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1559D" w:rsidRPr="00E01F29" w:rsidP="0021559D" w14:paraId="1AA205CB" w14:textId="2C3BA18A">
      <w:pPr>
        <w:pStyle w:val="DocTitle-IPR"/>
        <w:spacing w:after="2040"/>
        <w:rPr>
          <w:rFonts w:ascii="Candara" w:hAnsi="Candara"/>
        </w:rPr>
      </w:pPr>
      <w:r w:rsidRPr="00E01F29">
        <w:rPr>
          <w:rFonts w:ascii="Candara" w:hAnsi="Candara"/>
        </w:rPr>
        <w:t xml:space="preserve">Supporting Statement Part </w:t>
      </w:r>
      <w:r>
        <w:rPr>
          <w:rFonts w:ascii="Candara" w:hAnsi="Candara"/>
        </w:rPr>
        <w:t>A</w:t>
      </w:r>
    </w:p>
    <w:p w:rsidR="0021559D" w:rsidRPr="00267BFC" w:rsidP="0021559D" w14:paraId="54C50D38" w14:textId="77777777">
      <w:pPr>
        <w:spacing w:before="1440" w:after="2040"/>
        <w:jc w:val="center"/>
        <w:rPr>
          <w:rFonts w:ascii="Candara" w:hAnsi="Candara"/>
          <w:bCs/>
          <w:sz w:val="36"/>
          <w:szCs w:val="52"/>
        </w:rPr>
      </w:pPr>
      <w:r w:rsidRPr="00D6798F">
        <w:rPr>
          <w:rFonts w:ascii="Candara" w:hAnsi="Candara"/>
          <w:bCs/>
          <w:sz w:val="36"/>
          <w:szCs w:val="52"/>
        </w:rPr>
        <w:t>OMB No. 0584-[NEW]</w:t>
      </w:r>
    </w:p>
    <w:p w:rsidR="0021559D" w:rsidP="0021559D" w14:paraId="2698FA55" w14:textId="768E8D64">
      <w:pPr>
        <w:spacing w:before="1440" w:after="2040"/>
        <w:jc w:val="center"/>
        <w:rPr>
          <w:rFonts w:ascii="Candara" w:hAnsi="Candara" w:cs="Lucida Sans Unicode"/>
          <w:i/>
          <w:sz w:val="36"/>
          <w:szCs w:val="36"/>
        </w:rPr>
      </w:pPr>
      <w:r w:rsidRPr="00E11D8C">
        <w:rPr>
          <w:rFonts w:ascii="Candara" w:hAnsi="Candara" w:cs="Lucida Sans Unicode"/>
          <w:i/>
          <w:sz w:val="36"/>
          <w:szCs w:val="36"/>
        </w:rPr>
        <w:t>Assessment of Administrative Costs of Electronic Healthy Incentives Projects</w:t>
      </w:r>
      <w:r w:rsidRPr="00E11D8C">
        <w:rPr>
          <w:rFonts w:ascii="Candara" w:hAnsi="Candara" w:cs="Lucida Sans Unicode"/>
          <w:i/>
          <w:sz w:val="36"/>
          <w:szCs w:val="36"/>
        </w:rPr>
        <w:t xml:space="preserve"> </w:t>
      </w:r>
    </w:p>
    <w:p w:rsidR="0021559D" w:rsidRPr="00E40F84" w:rsidP="0021559D" w14:paraId="55C85250" w14:textId="44CB5C93">
      <w:pPr>
        <w:spacing w:before="1440" w:after="2040"/>
        <w:jc w:val="center"/>
        <w:rPr>
          <w:rFonts w:ascii="Calibri" w:hAnsi="Calibri" w:cs="Calibri"/>
        </w:rPr>
      </w:pPr>
      <w:r>
        <w:rPr>
          <w:rFonts w:ascii="Calibri" w:hAnsi="Calibri" w:cs="Calibri"/>
        </w:rPr>
        <w:t xml:space="preserve">October </w:t>
      </w:r>
      <w:r w:rsidR="00951378">
        <w:rPr>
          <w:rFonts w:ascii="Calibri" w:hAnsi="Calibri" w:cs="Calibri"/>
        </w:rPr>
        <w:t>2024</w:t>
      </w:r>
    </w:p>
    <w:p w:rsidR="0021559D" w:rsidRPr="00D569CC" w:rsidP="00D569CC" w14:paraId="1288F00A" w14:textId="124BBE20">
      <w:pPr>
        <w:pStyle w:val="TableText-IPR"/>
        <w:spacing w:after="120"/>
        <w:jc w:val="center"/>
        <w:rPr>
          <w:b/>
          <w:sz w:val="24"/>
          <w:szCs w:val="24"/>
        </w:rPr>
      </w:pPr>
      <w:r w:rsidRPr="008D5210">
        <w:rPr>
          <w:b/>
          <w:sz w:val="24"/>
          <w:szCs w:val="24"/>
        </w:rPr>
        <w:t xml:space="preserve">Project Officer: </w:t>
      </w:r>
      <w:r w:rsidR="00E11D8C">
        <w:rPr>
          <w:b/>
          <w:sz w:val="24"/>
          <w:szCs w:val="24"/>
        </w:rPr>
        <w:t xml:space="preserve">Kathleen </w:t>
      </w:r>
      <w:r w:rsidR="00AD46E4">
        <w:rPr>
          <w:b/>
          <w:sz w:val="24"/>
          <w:szCs w:val="24"/>
        </w:rPr>
        <w:t>Patton</w:t>
      </w:r>
    </w:p>
    <w:p w:rsidR="0021559D" w:rsidP="0021559D" w14:paraId="2A6D5A92" w14:textId="77777777">
      <w:pPr>
        <w:pStyle w:val="TableText-IPR"/>
        <w:jc w:val="center"/>
        <w:rPr>
          <w:rFonts w:cs="Calibri"/>
          <w:sz w:val="22"/>
          <w:szCs w:val="24"/>
        </w:rPr>
      </w:pPr>
      <w:r>
        <w:rPr>
          <w:rFonts w:cs="Calibri"/>
          <w:sz w:val="22"/>
          <w:szCs w:val="24"/>
        </w:rPr>
        <w:t>Food and Nutrition Service</w:t>
      </w:r>
    </w:p>
    <w:p w:rsidR="0021559D" w:rsidP="0021559D" w14:paraId="40385517" w14:textId="77777777">
      <w:pPr>
        <w:pStyle w:val="TableText-IPR"/>
        <w:jc w:val="center"/>
        <w:rPr>
          <w:rFonts w:cs="Calibri"/>
          <w:sz w:val="22"/>
          <w:szCs w:val="24"/>
        </w:rPr>
      </w:pPr>
      <w:r>
        <w:rPr>
          <w:rFonts w:cs="Calibri"/>
          <w:sz w:val="22"/>
          <w:szCs w:val="24"/>
        </w:rPr>
        <w:t>U.S. Department of Agriculture</w:t>
      </w:r>
    </w:p>
    <w:p w:rsidR="0021559D" w:rsidP="0021559D" w14:paraId="4C251E78" w14:textId="77777777">
      <w:pPr>
        <w:pStyle w:val="TableText-IPR"/>
        <w:jc w:val="center"/>
        <w:rPr>
          <w:rFonts w:cs="Calibri"/>
          <w:sz w:val="22"/>
          <w:szCs w:val="24"/>
        </w:rPr>
      </w:pPr>
      <w:r>
        <w:rPr>
          <w:rFonts w:cs="Calibri"/>
          <w:sz w:val="22"/>
          <w:szCs w:val="24"/>
        </w:rPr>
        <w:t>1320 Braddock Place</w:t>
      </w:r>
    </w:p>
    <w:p w:rsidR="0021559D" w:rsidP="00D569CC" w14:paraId="1EA61B8E" w14:textId="0141A861">
      <w:pPr>
        <w:pStyle w:val="TableText-IPR"/>
        <w:jc w:val="center"/>
        <w:rPr>
          <w:rFonts w:cs="Calibri"/>
          <w:sz w:val="22"/>
          <w:szCs w:val="24"/>
        </w:rPr>
      </w:pPr>
      <w:r>
        <w:rPr>
          <w:rFonts w:cs="Calibri"/>
          <w:sz w:val="22"/>
          <w:szCs w:val="24"/>
        </w:rPr>
        <w:t>Alexandria, VA 22314</w:t>
      </w:r>
    </w:p>
    <w:p w:rsidR="00E35E5E" w:rsidP="0021559D" w14:paraId="6B696506" w14:textId="342A6D4F">
      <w:pPr>
        <w:pStyle w:val="TableText-IPR"/>
        <w:jc w:val="center"/>
        <w:rPr>
          <w:rFonts w:cs="Calibri"/>
          <w:sz w:val="22"/>
        </w:rPr>
      </w:pPr>
      <w:r>
        <w:rPr>
          <w:rFonts w:cs="Calibri"/>
          <w:sz w:val="22"/>
        </w:rPr>
        <w:t>Phone: 703-</w:t>
      </w:r>
      <w:r w:rsidR="0043258A">
        <w:rPr>
          <w:rFonts w:cs="Calibri"/>
          <w:sz w:val="22"/>
        </w:rPr>
        <w:t>305-2813</w:t>
      </w:r>
    </w:p>
    <w:p w:rsidR="0021559D" w:rsidRPr="00E40F84" w:rsidP="0021559D" w14:paraId="657BD2AD" w14:textId="31A40BB7">
      <w:pPr>
        <w:pStyle w:val="TableText-IPR"/>
        <w:jc w:val="center"/>
        <w:rPr>
          <w:rFonts w:cs="Calibri"/>
          <w:sz w:val="22"/>
        </w:rPr>
        <w:sectPr w:rsidSect="00195435">
          <w:headerReference w:type="default" r:id="rId9"/>
          <w:footerReference w:type="default" r:id="rId10"/>
          <w:pgSz w:w="12240" w:h="15840"/>
          <w:pgMar w:top="1440" w:right="1440" w:bottom="1440" w:left="1440" w:header="720" w:footer="720" w:gutter="0"/>
          <w:pgNumType w:start="1"/>
          <w:cols w:space="720"/>
          <w:docGrid w:linePitch="299"/>
        </w:sectPr>
      </w:pPr>
      <w:r>
        <w:rPr>
          <w:rFonts w:cs="Calibri"/>
          <w:sz w:val="22"/>
        </w:rPr>
        <w:t xml:space="preserve">Email: </w:t>
      </w:r>
      <w:r w:rsidR="00D569CC">
        <w:rPr>
          <w:rFonts w:cs="Calibri"/>
          <w:sz w:val="22"/>
        </w:rPr>
        <w:t>Kathleen.Patton</w:t>
      </w:r>
      <w:r w:rsidRPr="00816FA2">
        <w:rPr>
          <w:rFonts w:cs="Calibri"/>
          <w:sz w:val="22"/>
        </w:rPr>
        <w:t>@usda.go</w:t>
      </w:r>
      <w:r>
        <w:rPr>
          <w:rFonts w:cs="Calibri"/>
          <w:sz w:val="22"/>
        </w:rPr>
        <w:t>v</w:t>
      </w:r>
    </w:p>
    <w:p w:rsidR="0064514B" w:rsidP="00D569CC" w14:paraId="303703BD" w14:textId="77777777">
      <w:pPr>
        <w:pStyle w:val="FrontMatter"/>
        <w:outlineLvl w:val="0"/>
      </w:pPr>
      <w:r>
        <w:t>Contents</w:t>
      </w:r>
    </w:p>
    <w:p w:rsidR="00B77E97" w:rsidP="00B77E97" w14:paraId="0AB128B2" w14:textId="0C9B9AFE">
      <w:pPr>
        <w:pStyle w:val="TOC10"/>
        <w:rPr>
          <w:rFonts w:asciiTheme="minorHAnsi" w:eastAsiaTheme="minorEastAsia" w:hAnsiTheme="minorHAnsi"/>
          <w:kern w:val="2"/>
          <w:sz w:val="22"/>
          <w:szCs w:val="22"/>
          <w14:ligatures w14:val="standardContextual"/>
        </w:rPr>
      </w:pPr>
      <w:r>
        <w:rPr>
          <w:rFonts w:asciiTheme="minorHAnsi" w:eastAsiaTheme="minorHAnsi" w:hAnsiTheme="minorHAnsi"/>
          <w:sz w:val="22"/>
          <w:szCs w:val="22"/>
        </w:rPr>
        <w:fldChar w:fldCharType="begin"/>
      </w:r>
      <w:r>
        <w:rPr>
          <w:rFonts w:asciiTheme="minorHAnsi" w:eastAsiaTheme="minorHAnsi" w:hAnsiTheme="minorHAnsi"/>
          <w:sz w:val="22"/>
          <w:szCs w:val="22"/>
        </w:rPr>
        <w:instrText xml:space="preserve"> TOC \o "1-1" \h \z \t "NewHeading1,1" </w:instrText>
      </w:r>
      <w:r>
        <w:rPr>
          <w:rFonts w:asciiTheme="minorHAnsi" w:eastAsiaTheme="minorHAnsi" w:hAnsiTheme="minorHAnsi"/>
          <w:sz w:val="22"/>
          <w:szCs w:val="22"/>
        </w:rPr>
        <w:fldChar w:fldCharType="separate"/>
      </w:r>
      <w:hyperlink w:anchor="_Toc148333335" w:history="1">
        <w:r w:rsidRPr="00F92528">
          <w:rPr>
            <w:rStyle w:val="Hyperlink"/>
          </w:rPr>
          <w:t xml:space="preserve">A1. </w:t>
        </w:r>
        <w:r w:rsidR="00605451">
          <w:rPr>
            <w:rStyle w:val="Hyperlink"/>
          </w:rPr>
          <w:t>C</w:t>
        </w:r>
        <w:r w:rsidRPr="00F92528">
          <w:rPr>
            <w:rStyle w:val="Hyperlink"/>
          </w:rPr>
          <w:t>ircumstances that make the collection of information necessary</w:t>
        </w:r>
        <w:r>
          <w:rPr>
            <w:webHidden/>
          </w:rPr>
          <w:tab/>
        </w:r>
        <w:r>
          <w:rPr>
            <w:webHidden/>
          </w:rPr>
          <w:fldChar w:fldCharType="begin"/>
        </w:r>
        <w:r>
          <w:rPr>
            <w:webHidden/>
          </w:rPr>
          <w:instrText xml:space="preserve"> PAGEREF _Toc148333335 \h </w:instrText>
        </w:r>
        <w:r>
          <w:rPr>
            <w:webHidden/>
          </w:rPr>
          <w:fldChar w:fldCharType="separate"/>
        </w:r>
        <w:r w:rsidR="00611C66">
          <w:rPr>
            <w:webHidden/>
          </w:rPr>
          <w:t>3</w:t>
        </w:r>
        <w:r>
          <w:rPr>
            <w:webHidden/>
          </w:rPr>
          <w:fldChar w:fldCharType="end"/>
        </w:r>
      </w:hyperlink>
    </w:p>
    <w:p w:rsidR="00B77E97" w:rsidP="00B77E97" w14:paraId="4972F361" w14:textId="2F6313A7">
      <w:pPr>
        <w:pStyle w:val="TOC10"/>
        <w:rPr>
          <w:rFonts w:asciiTheme="minorHAnsi" w:eastAsiaTheme="minorEastAsia" w:hAnsiTheme="minorHAnsi"/>
          <w:kern w:val="2"/>
          <w:sz w:val="22"/>
          <w:szCs w:val="22"/>
          <w14:ligatures w14:val="standardContextual"/>
        </w:rPr>
      </w:pPr>
      <w:hyperlink w:anchor="_Toc148333336" w:history="1">
        <w:r w:rsidRPr="00F92528">
          <w:rPr>
            <w:rStyle w:val="Hyperlink"/>
          </w:rPr>
          <w:t xml:space="preserve">A2. </w:t>
        </w:r>
        <w:r w:rsidR="00605451">
          <w:rPr>
            <w:rStyle w:val="Hyperlink"/>
          </w:rPr>
          <w:t>Purpose and use of the information</w:t>
        </w:r>
        <w:r w:rsidRPr="00F92528">
          <w:rPr>
            <w:rStyle w:val="Hyperlink"/>
          </w:rPr>
          <w:t>.</w:t>
        </w:r>
        <w:r>
          <w:rPr>
            <w:webHidden/>
          </w:rPr>
          <w:tab/>
        </w:r>
        <w:r>
          <w:rPr>
            <w:webHidden/>
          </w:rPr>
          <w:fldChar w:fldCharType="begin"/>
        </w:r>
        <w:r>
          <w:rPr>
            <w:webHidden/>
          </w:rPr>
          <w:instrText xml:space="preserve"> PAGEREF _Toc148333336 \h </w:instrText>
        </w:r>
        <w:r>
          <w:rPr>
            <w:webHidden/>
          </w:rPr>
          <w:fldChar w:fldCharType="separate"/>
        </w:r>
        <w:r w:rsidR="00611C66">
          <w:rPr>
            <w:webHidden/>
          </w:rPr>
          <w:t>5</w:t>
        </w:r>
        <w:r>
          <w:rPr>
            <w:webHidden/>
          </w:rPr>
          <w:fldChar w:fldCharType="end"/>
        </w:r>
      </w:hyperlink>
    </w:p>
    <w:p w:rsidR="00B77E97" w:rsidP="00B77E97" w14:paraId="59EFAB5A" w14:textId="783F2E28">
      <w:pPr>
        <w:pStyle w:val="TOC10"/>
        <w:rPr>
          <w:rFonts w:asciiTheme="minorHAnsi" w:eastAsiaTheme="minorEastAsia" w:hAnsiTheme="minorHAnsi"/>
          <w:kern w:val="2"/>
          <w:sz w:val="22"/>
          <w:szCs w:val="22"/>
          <w14:ligatures w14:val="standardContextual"/>
        </w:rPr>
      </w:pPr>
      <w:hyperlink w:anchor="_Toc148333337" w:history="1">
        <w:r w:rsidRPr="00F92528">
          <w:rPr>
            <w:rStyle w:val="Hyperlink"/>
          </w:rPr>
          <w:t xml:space="preserve">A3. </w:t>
        </w:r>
        <w:r w:rsidR="00605451">
          <w:rPr>
            <w:rStyle w:val="Hyperlink"/>
          </w:rPr>
          <w:t>Use of information technology and burden reduction</w:t>
        </w:r>
        <w:r>
          <w:rPr>
            <w:webHidden/>
          </w:rPr>
          <w:tab/>
        </w:r>
        <w:r>
          <w:rPr>
            <w:webHidden/>
          </w:rPr>
          <w:fldChar w:fldCharType="begin"/>
        </w:r>
        <w:r>
          <w:rPr>
            <w:webHidden/>
          </w:rPr>
          <w:instrText xml:space="preserve"> PAGEREF _Toc148333337 \h </w:instrText>
        </w:r>
        <w:r>
          <w:rPr>
            <w:webHidden/>
          </w:rPr>
          <w:fldChar w:fldCharType="separate"/>
        </w:r>
        <w:r w:rsidR="00611C66">
          <w:rPr>
            <w:webHidden/>
          </w:rPr>
          <w:t>14</w:t>
        </w:r>
        <w:r>
          <w:rPr>
            <w:webHidden/>
          </w:rPr>
          <w:fldChar w:fldCharType="end"/>
        </w:r>
      </w:hyperlink>
    </w:p>
    <w:p w:rsidR="00B77E97" w:rsidP="00B77E97" w14:paraId="5A8D70BD" w14:textId="2ADAB6C2">
      <w:pPr>
        <w:pStyle w:val="TOC10"/>
        <w:rPr>
          <w:rFonts w:asciiTheme="minorHAnsi" w:eastAsiaTheme="minorEastAsia" w:hAnsiTheme="minorHAnsi"/>
          <w:kern w:val="2"/>
          <w:sz w:val="22"/>
          <w:szCs w:val="22"/>
          <w14:ligatures w14:val="standardContextual"/>
        </w:rPr>
      </w:pPr>
      <w:hyperlink w:anchor="_Toc148333338" w:history="1">
        <w:r w:rsidRPr="00F92528">
          <w:rPr>
            <w:rStyle w:val="Hyperlink"/>
          </w:rPr>
          <w:t xml:space="preserve">A4. </w:t>
        </w:r>
        <w:r w:rsidR="00767C62">
          <w:rPr>
            <w:rStyle w:val="Hyperlink"/>
          </w:rPr>
          <w:t>E</w:t>
        </w:r>
        <w:r w:rsidRPr="00F92528">
          <w:rPr>
            <w:rStyle w:val="Hyperlink"/>
          </w:rPr>
          <w:t>fforts to identify duplication..</w:t>
        </w:r>
        <w:r>
          <w:rPr>
            <w:webHidden/>
          </w:rPr>
          <w:tab/>
        </w:r>
        <w:r>
          <w:rPr>
            <w:webHidden/>
          </w:rPr>
          <w:fldChar w:fldCharType="begin"/>
        </w:r>
        <w:r>
          <w:rPr>
            <w:webHidden/>
          </w:rPr>
          <w:instrText xml:space="preserve"> PAGEREF _Toc148333338 \h </w:instrText>
        </w:r>
        <w:r>
          <w:rPr>
            <w:webHidden/>
          </w:rPr>
          <w:fldChar w:fldCharType="separate"/>
        </w:r>
        <w:r w:rsidR="00611C66">
          <w:rPr>
            <w:webHidden/>
          </w:rPr>
          <w:t>15</w:t>
        </w:r>
        <w:r>
          <w:rPr>
            <w:webHidden/>
          </w:rPr>
          <w:fldChar w:fldCharType="end"/>
        </w:r>
      </w:hyperlink>
    </w:p>
    <w:p w:rsidR="00B77E97" w:rsidP="00B77E97" w14:paraId="7F2AE2B7" w14:textId="3B1D6C45">
      <w:pPr>
        <w:pStyle w:val="TOC10"/>
        <w:rPr>
          <w:rFonts w:asciiTheme="minorHAnsi" w:eastAsiaTheme="minorEastAsia" w:hAnsiTheme="minorHAnsi"/>
          <w:kern w:val="2"/>
          <w:sz w:val="22"/>
          <w:szCs w:val="22"/>
          <w14:ligatures w14:val="standardContextual"/>
        </w:rPr>
      </w:pPr>
      <w:hyperlink w:anchor="_Toc148333339" w:history="1">
        <w:r w:rsidRPr="00F92528">
          <w:rPr>
            <w:rStyle w:val="Hyperlink"/>
          </w:rPr>
          <w:t xml:space="preserve">A5. </w:t>
        </w:r>
        <w:r w:rsidR="00605451">
          <w:rPr>
            <w:rStyle w:val="Hyperlink"/>
          </w:rPr>
          <w:t>I</w:t>
        </w:r>
        <w:r w:rsidRPr="00F92528">
          <w:rPr>
            <w:rStyle w:val="Hyperlink"/>
          </w:rPr>
          <w:t xml:space="preserve">mpacts </w:t>
        </w:r>
        <w:r w:rsidR="00605451">
          <w:rPr>
            <w:rStyle w:val="Hyperlink"/>
          </w:rPr>
          <w:t xml:space="preserve">on </w:t>
        </w:r>
        <w:r w:rsidRPr="00F92528">
          <w:rPr>
            <w:rStyle w:val="Hyperlink"/>
          </w:rPr>
          <w:t>small businesses or other small entities</w:t>
        </w:r>
        <w:r>
          <w:rPr>
            <w:webHidden/>
          </w:rPr>
          <w:tab/>
        </w:r>
        <w:r>
          <w:rPr>
            <w:webHidden/>
          </w:rPr>
          <w:fldChar w:fldCharType="begin"/>
        </w:r>
        <w:r>
          <w:rPr>
            <w:webHidden/>
          </w:rPr>
          <w:instrText xml:space="preserve"> PAGEREF _Toc148333339 \h </w:instrText>
        </w:r>
        <w:r>
          <w:rPr>
            <w:webHidden/>
          </w:rPr>
          <w:fldChar w:fldCharType="separate"/>
        </w:r>
        <w:r w:rsidR="00611C66">
          <w:rPr>
            <w:webHidden/>
          </w:rPr>
          <w:t>15</w:t>
        </w:r>
        <w:r>
          <w:rPr>
            <w:webHidden/>
          </w:rPr>
          <w:fldChar w:fldCharType="end"/>
        </w:r>
      </w:hyperlink>
    </w:p>
    <w:p w:rsidR="00B77E97" w:rsidP="00B77E97" w14:paraId="2B488170" w14:textId="23A1FEA1">
      <w:pPr>
        <w:pStyle w:val="TOC10"/>
        <w:rPr>
          <w:rFonts w:asciiTheme="minorHAnsi" w:eastAsiaTheme="minorEastAsia" w:hAnsiTheme="minorHAnsi"/>
          <w:kern w:val="2"/>
          <w:sz w:val="22"/>
          <w:szCs w:val="22"/>
          <w14:ligatures w14:val="standardContextual"/>
        </w:rPr>
      </w:pPr>
      <w:hyperlink w:anchor="_Toc148333340" w:history="1">
        <w:r w:rsidRPr="00F92528">
          <w:rPr>
            <w:rStyle w:val="Hyperlink"/>
          </w:rPr>
          <w:t xml:space="preserve">A6. </w:t>
        </w:r>
        <w:r w:rsidR="00605451">
          <w:rPr>
            <w:rStyle w:val="Hyperlink"/>
          </w:rPr>
          <w:t>C</w:t>
        </w:r>
        <w:r w:rsidRPr="00F92528">
          <w:rPr>
            <w:rStyle w:val="Hyperlink"/>
          </w:rPr>
          <w:t>onsequence</w:t>
        </w:r>
        <w:r w:rsidR="00605451">
          <w:rPr>
            <w:rStyle w:val="Hyperlink"/>
          </w:rPr>
          <w:t>s of collecting the information less frequently</w:t>
        </w:r>
        <w:r>
          <w:rPr>
            <w:webHidden/>
          </w:rPr>
          <w:tab/>
        </w:r>
        <w:r>
          <w:rPr>
            <w:webHidden/>
          </w:rPr>
          <w:fldChar w:fldCharType="begin"/>
        </w:r>
        <w:r>
          <w:rPr>
            <w:webHidden/>
          </w:rPr>
          <w:instrText xml:space="preserve"> PAGEREF _Toc148333340 \h </w:instrText>
        </w:r>
        <w:r>
          <w:rPr>
            <w:webHidden/>
          </w:rPr>
          <w:fldChar w:fldCharType="separate"/>
        </w:r>
        <w:r w:rsidR="00611C66">
          <w:rPr>
            <w:webHidden/>
          </w:rPr>
          <w:t>17</w:t>
        </w:r>
        <w:r>
          <w:rPr>
            <w:webHidden/>
          </w:rPr>
          <w:fldChar w:fldCharType="end"/>
        </w:r>
      </w:hyperlink>
    </w:p>
    <w:p w:rsidR="00B77E97" w:rsidP="00B77E97" w14:paraId="179A8260" w14:textId="43143B52">
      <w:pPr>
        <w:pStyle w:val="TOC10"/>
        <w:rPr>
          <w:rFonts w:asciiTheme="minorHAnsi" w:eastAsiaTheme="minorEastAsia" w:hAnsiTheme="minorHAnsi"/>
          <w:kern w:val="2"/>
          <w:sz w:val="22"/>
          <w:szCs w:val="22"/>
          <w14:ligatures w14:val="standardContextual"/>
        </w:rPr>
      </w:pPr>
      <w:hyperlink w:anchor="_Toc148333341" w:history="1">
        <w:r w:rsidRPr="00F92528">
          <w:rPr>
            <w:rStyle w:val="Hyperlink"/>
          </w:rPr>
          <w:t>A7. Special Circumstances Relating to the Guideline of 5 CFR § 1320.5</w:t>
        </w:r>
        <w:r>
          <w:rPr>
            <w:webHidden/>
          </w:rPr>
          <w:tab/>
        </w:r>
        <w:r>
          <w:rPr>
            <w:webHidden/>
          </w:rPr>
          <w:fldChar w:fldCharType="begin"/>
        </w:r>
        <w:r>
          <w:rPr>
            <w:webHidden/>
          </w:rPr>
          <w:instrText xml:space="preserve"> PAGEREF _Toc148333341 \h </w:instrText>
        </w:r>
        <w:r>
          <w:rPr>
            <w:webHidden/>
          </w:rPr>
          <w:fldChar w:fldCharType="separate"/>
        </w:r>
        <w:r w:rsidR="00611C66">
          <w:rPr>
            <w:webHidden/>
          </w:rPr>
          <w:t>17</w:t>
        </w:r>
        <w:r>
          <w:rPr>
            <w:webHidden/>
          </w:rPr>
          <w:fldChar w:fldCharType="end"/>
        </w:r>
      </w:hyperlink>
    </w:p>
    <w:p w:rsidR="00B77E97" w:rsidP="00B77E97" w14:paraId="1D886ACE" w14:textId="18B22B46">
      <w:pPr>
        <w:pStyle w:val="TOC10"/>
        <w:rPr>
          <w:rFonts w:asciiTheme="minorHAnsi" w:eastAsiaTheme="minorEastAsia" w:hAnsiTheme="minorHAnsi"/>
          <w:kern w:val="2"/>
          <w:sz w:val="22"/>
          <w:szCs w:val="22"/>
          <w14:ligatures w14:val="standardContextual"/>
        </w:rPr>
      </w:pPr>
      <w:hyperlink w:anchor="_Toc148333342" w:history="1">
        <w:r w:rsidRPr="00F92528">
          <w:rPr>
            <w:rStyle w:val="Hyperlink"/>
          </w:rPr>
          <w:t xml:space="preserve">A8. </w:t>
        </w:r>
        <w:r w:rsidR="00605451">
          <w:rPr>
            <w:rStyle w:val="Hyperlink"/>
          </w:rPr>
          <w:t xml:space="preserve">Comments to the </w:t>
        </w:r>
        <w:r w:rsidR="00605451">
          <w:rPr>
            <w:rStyle w:val="Hyperlink"/>
            <w:i/>
            <w:iCs/>
          </w:rPr>
          <w:t xml:space="preserve">Federal </w:t>
        </w:r>
        <w:r w:rsidRPr="00605451" w:rsidR="00605451">
          <w:rPr>
            <w:rStyle w:val="Hyperlink"/>
            <w:i/>
            <w:iCs/>
          </w:rPr>
          <w:t>Registe</w:t>
        </w:r>
        <w:r w:rsidR="00605451">
          <w:rPr>
            <w:rStyle w:val="Hyperlink"/>
            <w:i/>
            <w:iCs/>
          </w:rPr>
          <w:t xml:space="preserve">r </w:t>
        </w:r>
        <w:r w:rsidR="00605451">
          <w:rPr>
            <w:rStyle w:val="Hyperlink"/>
          </w:rPr>
          <w:t>notice and efforts for consultation</w:t>
        </w:r>
        <w:r>
          <w:rPr>
            <w:webHidden/>
          </w:rPr>
          <w:tab/>
        </w:r>
        <w:r>
          <w:rPr>
            <w:webHidden/>
          </w:rPr>
          <w:fldChar w:fldCharType="begin"/>
        </w:r>
        <w:r>
          <w:rPr>
            <w:webHidden/>
          </w:rPr>
          <w:instrText xml:space="preserve"> PAGEREF _Toc148333342 \h </w:instrText>
        </w:r>
        <w:r>
          <w:rPr>
            <w:webHidden/>
          </w:rPr>
          <w:fldChar w:fldCharType="separate"/>
        </w:r>
        <w:r w:rsidR="00611C66">
          <w:rPr>
            <w:webHidden/>
          </w:rPr>
          <w:t>18</w:t>
        </w:r>
        <w:r>
          <w:rPr>
            <w:webHidden/>
          </w:rPr>
          <w:fldChar w:fldCharType="end"/>
        </w:r>
      </w:hyperlink>
    </w:p>
    <w:p w:rsidR="00B77E97" w:rsidP="00B77E97" w14:paraId="157610B8" w14:textId="0879BFA4">
      <w:pPr>
        <w:pStyle w:val="TOC10"/>
        <w:rPr>
          <w:rFonts w:asciiTheme="minorHAnsi" w:eastAsiaTheme="minorEastAsia" w:hAnsiTheme="minorHAnsi"/>
          <w:kern w:val="2"/>
          <w:sz w:val="22"/>
          <w:szCs w:val="22"/>
          <w14:ligatures w14:val="standardContextual"/>
        </w:rPr>
      </w:pPr>
      <w:hyperlink w:anchor="_Toc148333343" w:history="1">
        <w:r w:rsidRPr="00F92528">
          <w:rPr>
            <w:rStyle w:val="Hyperlink"/>
          </w:rPr>
          <w:t>A9. Explain any decision</w:t>
        </w:r>
        <w:r w:rsidR="00605451">
          <w:rPr>
            <w:rStyle w:val="Hyperlink"/>
          </w:rPr>
          <w:t>s</w:t>
        </w:r>
        <w:r w:rsidRPr="00F92528">
          <w:rPr>
            <w:rStyle w:val="Hyperlink"/>
          </w:rPr>
          <w:t xml:space="preserve"> to provide any payment or gift to respondents</w:t>
        </w:r>
        <w:r>
          <w:rPr>
            <w:webHidden/>
          </w:rPr>
          <w:tab/>
        </w:r>
        <w:r>
          <w:rPr>
            <w:webHidden/>
          </w:rPr>
          <w:fldChar w:fldCharType="begin"/>
        </w:r>
        <w:r>
          <w:rPr>
            <w:webHidden/>
          </w:rPr>
          <w:instrText xml:space="preserve"> PAGEREF _Toc148333343 \h </w:instrText>
        </w:r>
        <w:r>
          <w:rPr>
            <w:webHidden/>
          </w:rPr>
          <w:fldChar w:fldCharType="separate"/>
        </w:r>
        <w:r w:rsidR="00611C66">
          <w:rPr>
            <w:webHidden/>
          </w:rPr>
          <w:t>19</w:t>
        </w:r>
        <w:r>
          <w:rPr>
            <w:webHidden/>
          </w:rPr>
          <w:fldChar w:fldCharType="end"/>
        </w:r>
      </w:hyperlink>
    </w:p>
    <w:p w:rsidR="00B77E97" w:rsidP="00B77E97" w14:paraId="6D6C18F1" w14:textId="0632EC88">
      <w:pPr>
        <w:pStyle w:val="TOC10"/>
        <w:rPr>
          <w:rFonts w:asciiTheme="minorHAnsi" w:eastAsiaTheme="minorEastAsia" w:hAnsiTheme="minorHAnsi"/>
          <w:kern w:val="2"/>
          <w:sz w:val="22"/>
          <w:szCs w:val="22"/>
          <w14:ligatures w14:val="standardContextual"/>
        </w:rPr>
      </w:pPr>
      <w:hyperlink w:anchor="_Toc148333344" w:history="1">
        <w:r w:rsidRPr="00F92528">
          <w:rPr>
            <w:rStyle w:val="Hyperlink"/>
          </w:rPr>
          <w:t xml:space="preserve">A10. </w:t>
        </w:r>
        <w:r w:rsidR="00605451">
          <w:rPr>
            <w:rStyle w:val="Hyperlink"/>
          </w:rPr>
          <w:t>A</w:t>
        </w:r>
        <w:r w:rsidRPr="00F92528">
          <w:rPr>
            <w:rStyle w:val="Hyperlink"/>
          </w:rPr>
          <w:t>ssurance</w:t>
        </w:r>
        <w:r w:rsidR="00605451">
          <w:rPr>
            <w:rStyle w:val="Hyperlink"/>
          </w:rPr>
          <w:t>s</w:t>
        </w:r>
        <w:r w:rsidRPr="00F92528">
          <w:rPr>
            <w:rStyle w:val="Hyperlink"/>
          </w:rPr>
          <w:t xml:space="preserve"> of confidentiality provided to respondents</w:t>
        </w:r>
        <w:r>
          <w:rPr>
            <w:webHidden/>
          </w:rPr>
          <w:tab/>
        </w:r>
        <w:r>
          <w:rPr>
            <w:webHidden/>
          </w:rPr>
          <w:fldChar w:fldCharType="begin"/>
        </w:r>
        <w:r>
          <w:rPr>
            <w:webHidden/>
          </w:rPr>
          <w:instrText xml:space="preserve"> PAGEREF _Toc148333344 \h </w:instrText>
        </w:r>
        <w:r>
          <w:rPr>
            <w:webHidden/>
          </w:rPr>
          <w:fldChar w:fldCharType="separate"/>
        </w:r>
        <w:r w:rsidR="00611C66">
          <w:rPr>
            <w:webHidden/>
          </w:rPr>
          <w:t>20</w:t>
        </w:r>
        <w:r>
          <w:rPr>
            <w:webHidden/>
          </w:rPr>
          <w:fldChar w:fldCharType="end"/>
        </w:r>
      </w:hyperlink>
    </w:p>
    <w:p w:rsidR="00B77E97" w:rsidP="00B77E97" w14:paraId="6705B4EF" w14:textId="6AA8D78C">
      <w:pPr>
        <w:pStyle w:val="TOC10"/>
        <w:rPr>
          <w:rFonts w:asciiTheme="minorHAnsi" w:eastAsiaTheme="minorEastAsia" w:hAnsiTheme="minorHAnsi"/>
          <w:kern w:val="2"/>
          <w:sz w:val="22"/>
          <w:szCs w:val="22"/>
          <w14:ligatures w14:val="standardContextual"/>
        </w:rPr>
      </w:pPr>
      <w:hyperlink w:anchor="_Toc148333345" w:history="1">
        <w:r w:rsidRPr="00F92528">
          <w:rPr>
            <w:rStyle w:val="Hyperlink"/>
          </w:rPr>
          <w:t xml:space="preserve">A11. </w:t>
        </w:r>
        <w:r w:rsidR="00605451">
          <w:rPr>
            <w:rStyle w:val="Hyperlink"/>
          </w:rPr>
          <w:t>J</w:t>
        </w:r>
        <w:r w:rsidRPr="00F92528">
          <w:rPr>
            <w:rStyle w:val="Hyperlink"/>
          </w:rPr>
          <w:t>ustification for any questions of a sensitive nature</w:t>
        </w:r>
        <w:r>
          <w:rPr>
            <w:webHidden/>
          </w:rPr>
          <w:tab/>
        </w:r>
        <w:r>
          <w:rPr>
            <w:webHidden/>
          </w:rPr>
          <w:fldChar w:fldCharType="begin"/>
        </w:r>
        <w:r>
          <w:rPr>
            <w:webHidden/>
          </w:rPr>
          <w:instrText xml:space="preserve"> PAGEREF _Toc148333345 \h </w:instrText>
        </w:r>
        <w:r>
          <w:rPr>
            <w:webHidden/>
          </w:rPr>
          <w:fldChar w:fldCharType="separate"/>
        </w:r>
        <w:r w:rsidR="00611C66">
          <w:rPr>
            <w:webHidden/>
          </w:rPr>
          <w:t>21</w:t>
        </w:r>
        <w:r>
          <w:rPr>
            <w:webHidden/>
          </w:rPr>
          <w:fldChar w:fldCharType="end"/>
        </w:r>
      </w:hyperlink>
    </w:p>
    <w:p w:rsidR="00B77E97" w:rsidP="00B77E97" w14:paraId="60FB1781" w14:textId="09DD5698">
      <w:pPr>
        <w:pStyle w:val="TOC10"/>
        <w:rPr>
          <w:rFonts w:asciiTheme="minorHAnsi" w:eastAsiaTheme="minorEastAsia" w:hAnsiTheme="minorHAnsi"/>
          <w:kern w:val="2"/>
          <w:sz w:val="22"/>
          <w:szCs w:val="22"/>
          <w14:ligatures w14:val="standardContextual"/>
        </w:rPr>
      </w:pPr>
      <w:hyperlink w:anchor="_Toc148333346" w:history="1">
        <w:r w:rsidRPr="00F92528">
          <w:rPr>
            <w:rStyle w:val="Hyperlink"/>
          </w:rPr>
          <w:t xml:space="preserve">A12. </w:t>
        </w:r>
        <w:r w:rsidR="00605451">
          <w:rPr>
            <w:rStyle w:val="Hyperlink"/>
          </w:rPr>
          <w:t>E</w:t>
        </w:r>
        <w:r w:rsidRPr="00F92528">
          <w:rPr>
            <w:rStyle w:val="Hyperlink"/>
          </w:rPr>
          <w:t>stimates of the hour burden of the collection of information</w:t>
        </w:r>
        <w:r>
          <w:rPr>
            <w:webHidden/>
          </w:rPr>
          <w:tab/>
        </w:r>
        <w:r>
          <w:rPr>
            <w:webHidden/>
          </w:rPr>
          <w:fldChar w:fldCharType="begin"/>
        </w:r>
        <w:r>
          <w:rPr>
            <w:webHidden/>
          </w:rPr>
          <w:instrText xml:space="preserve"> PAGEREF _Toc148333346 \h </w:instrText>
        </w:r>
        <w:r>
          <w:rPr>
            <w:webHidden/>
          </w:rPr>
          <w:fldChar w:fldCharType="separate"/>
        </w:r>
        <w:r w:rsidR="00611C66">
          <w:rPr>
            <w:webHidden/>
          </w:rPr>
          <w:t>21</w:t>
        </w:r>
        <w:r>
          <w:rPr>
            <w:webHidden/>
          </w:rPr>
          <w:fldChar w:fldCharType="end"/>
        </w:r>
      </w:hyperlink>
    </w:p>
    <w:p w:rsidR="00B77E97" w:rsidP="00B77E97" w14:paraId="71D44CD8" w14:textId="6A621443">
      <w:pPr>
        <w:pStyle w:val="TOC10"/>
        <w:rPr>
          <w:rFonts w:asciiTheme="minorHAnsi" w:eastAsiaTheme="minorEastAsia" w:hAnsiTheme="minorHAnsi"/>
          <w:kern w:val="2"/>
          <w:sz w:val="22"/>
          <w:szCs w:val="22"/>
          <w14:ligatures w14:val="standardContextual"/>
        </w:rPr>
      </w:pPr>
      <w:hyperlink w:anchor="_Toc148333349" w:history="1">
        <w:r w:rsidRPr="00F92528">
          <w:rPr>
            <w:rStyle w:val="Hyperlink"/>
          </w:rPr>
          <w:t xml:space="preserve">A13. </w:t>
        </w:r>
        <w:r w:rsidR="00605451">
          <w:rPr>
            <w:rStyle w:val="Hyperlink"/>
          </w:rPr>
          <w:t>E</w:t>
        </w:r>
        <w:r w:rsidRPr="00F92528">
          <w:rPr>
            <w:rStyle w:val="Hyperlink"/>
          </w:rPr>
          <w:t>stimates of the total annual cost burden</w:t>
        </w:r>
        <w:r>
          <w:rPr>
            <w:webHidden/>
          </w:rPr>
          <w:tab/>
        </w:r>
        <w:r>
          <w:rPr>
            <w:webHidden/>
          </w:rPr>
          <w:fldChar w:fldCharType="begin"/>
        </w:r>
        <w:r>
          <w:rPr>
            <w:webHidden/>
          </w:rPr>
          <w:instrText xml:space="preserve"> PAGEREF _Toc148333349 \h </w:instrText>
        </w:r>
        <w:r>
          <w:rPr>
            <w:webHidden/>
          </w:rPr>
          <w:fldChar w:fldCharType="separate"/>
        </w:r>
        <w:r w:rsidR="00611C66">
          <w:rPr>
            <w:webHidden/>
          </w:rPr>
          <w:t>24</w:t>
        </w:r>
        <w:r>
          <w:rPr>
            <w:webHidden/>
          </w:rPr>
          <w:fldChar w:fldCharType="end"/>
        </w:r>
      </w:hyperlink>
    </w:p>
    <w:p w:rsidR="00B77E97" w:rsidP="00B77E97" w14:paraId="7894F32D" w14:textId="4FB03896">
      <w:pPr>
        <w:pStyle w:val="TOC10"/>
        <w:rPr>
          <w:rFonts w:asciiTheme="minorHAnsi" w:eastAsiaTheme="minorEastAsia" w:hAnsiTheme="minorHAnsi"/>
          <w:kern w:val="2"/>
          <w:sz w:val="22"/>
          <w:szCs w:val="22"/>
          <w14:ligatures w14:val="standardContextual"/>
        </w:rPr>
      </w:pPr>
      <w:hyperlink w:anchor="_Toc148333350" w:history="1">
        <w:r w:rsidRPr="00F92528">
          <w:rPr>
            <w:rStyle w:val="Hyperlink"/>
          </w:rPr>
          <w:t xml:space="preserve">A14. </w:t>
        </w:r>
        <w:r w:rsidR="00605451">
          <w:rPr>
            <w:rStyle w:val="Hyperlink"/>
          </w:rPr>
          <w:t>E</w:t>
        </w:r>
        <w:r w:rsidRPr="00F92528">
          <w:rPr>
            <w:rStyle w:val="Hyperlink"/>
          </w:rPr>
          <w:t>stimates of annualized cost to the Federal government</w:t>
        </w:r>
        <w:r>
          <w:rPr>
            <w:webHidden/>
          </w:rPr>
          <w:tab/>
        </w:r>
        <w:r>
          <w:rPr>
            <w:webHidden/>
          </w:rPr>
          <w:fldChar w:fldCharType="begin"/>
        </w:r>
        <w:r>
          <w:rPr>
            <w:webHidden/>
          </w:rPr>
          <w:instrText xml:space="preserve"> PAGEREF _Toc148333350 \h </w:instrText>
        </w:r>
        <w:r>
          <w:rPr>
            <w:webHidden/>
          </w:rPr>
          <w:fldChar w:fldCharType="separate"/>
        </w:r>
        <w:r w:rsidR="00611C66">
          <w:rPr>
            <w:webHidden/>
          </w:rPr>
          <w:t>24</w:t>
        </w:r>
        <w:r>
          <w:rPr>
            <w:webHidden/>
          </w:rPr>
          <w:fldChar w:fldCharType="end"/>
        </w:r>
      </w:hyperlink>
    </w:p>
    <w:p w:rsidR="00B77E97" w:rsidP="00B77E97" w14:paraId="0541F72B" w14:textId="3677C210">
      <w:pPr>
        <w:pStyle w:val="TOC10"/>
        <w:rPr>
          <w:rFonts w:asciiTheme="minorHAnsi" w:eastAsiaTheme="minorEastAsia" w:hAnsiTheme="minorHAnsi"/>
          <w:kern w:val="2"/>
          <w:sz w:val="22"/>
          <w:szCs w:val="22"/>
          <w14:ligatures w14:val="standardContextual"/>
        </w:rPr>
      </w:pPr>
      <w:hyperlink w:anchor="_Toc148333351" w:history="1">
        <w:r w:rsidRPr="00F92528">
          <w:rPr>
            <w:rStyle w:val="Hyperlink"/>
          </w:rPr>
          <w:t>A15. Explan</w:t>
        </w:r>
        <w:r w:rsidR="00605451">
          <w:rPr>
            <w:rStyle w:val="Hyperlink"/>
          </w:rPr>
          <w:t>ation of</w:t>
        </w:r>
        <w:r w:rsidRPr="00F92528">
          <w:rPr>
            <w:rStyle w:val="Hyperlink"/>
          </w:rPr>
          <w:t xml:space="preserve"> program changes or adjustments</w:t>
        </w:r>
        <w:r>
          <w:rPr>
            <w:webHidden/>
          </w:rPr>
          <w:tab/>
        </w:r>
        <w:r>
          <w:rPr>
            <w:webHidden/>
          </w:rPr>
          <w:fldChar w:fldCharType="begin"/>
        </w:r>
        <w:r>
          <w:rPr>
            <w:webHidden/>
          </w:rPr>
          <w:instrText xml:space="preserve"> PAGEREF _Toc148333351 \h </w:instrText>
        </w:r>
        <w:r>
          <w:rPr>
            <w:webHidden/>
          </w:rPr>
          <w:fldChar w:fldCharType="separate"/>
        </w:r>
        <w:r w:rsidR="00611C66">
          <w:rPr>
            <w:webHidden/>
          </w:rPr>
          <w:t>25</w:t>
        </w:r>
        <w:r>
          <w:rPr>
            <w:webHidden/>
          </w:rPr>
          <w:fldChar w:fldCharType="end"/>
        </w:r>
      </w:hyperlink>
    </w:p>
    <w:p w:rsidR="00B77E97" w:rsidP="00B77E97" w14:paraId="4EB3DCCD" w14:textId="2B5CA50C">
      <w:pPr>
        <w:pStyle w:val="TOC10"/>
        <w:rPr>
          <w:rFonts w:asciiTheme="minorHAnsi" w:eastAsiaTheme="minorEastAsia" w:hAnsiTheme="minorHAnsi"/>
          <w:kern w:val="2"/>
          <w:sz w:val="22"/>
          <w:szCs w:val="22"/>
          <w14:ligatures w14:val="standardContextual"/>
        </w:rPr>
      </w:pPr>
      <w:hyperlink w:anchor="_Toc148333352" w:history="1">
        <w:r w:rsidRPr="00F92528">
          <w:rPr>
            <w:rStyle w:val="Hyperlink"/>
          </w:rPr>
          <w:t xml:space="preserve">A16. </w:t>
        </w:r>
        <w:r w:rsidR="00605451">
          <w:rPr>
            <w:rStyle w:val="Hyperlink"/>
          </w:rPr>
          <w:t>P</w:t>
        </w:r>
        <w:r w:rsidRPr="00F92528">
          <w:rPr>
            <w:rStyle w:val="Hyperlink"/>
          </w:rPr>
          <w:t>lans for tabulation and publication.</w:t>
        </w:r>
        <w:r>
          <w:rPr>
            <w:webHidden/>
          </w:rPr>
          <w:tab/>
        </w:r>
        <w:r>
          <w:rPr>
            <w:webHidden/>
          </w:rPr>
          <w:fldChar w:fldCharType="begin"/>
        </w:r>
        <w:r>
          <w:rPr>
            <w:webHidden/>
          </w:rPr>
          <w:instrText xml:space="preserve"> PAGEREF _Toc148333352 \h </w:instrText>
        </w:r>
        <w:r>
          <w:rPr>
            <w:webHidden/>
          </w:rPr>
          <w:fldChar w:fldCharType="separate"/>
        </w:r>
        <w:r w:rsidR="00611C66">
          <w:rPr>
            <w:webHidden/>
          </w:rPr>
          <w:t>25</w:t>
        </w:r>
        <w:r>
          <w:rPr>
            <w:webHidden/>
          </w:rPr>
          <w:fldChar w:fldCharType="end"/>
        </w:r>
      </w:hyperlink>
    </w:p>
    <w:p w:rsidR="00B77E97" w:rsidP="00B77E97" w14:paraId="652A7671" w14:textId="1C3490E8">
      <w:pPr>
        <w:pStyle w:val="TOC10"/>
        <w:rPr>
          <w:rFonts w:asciiTheme="minorHAnsi" w:eastAsiaTheme="minorEastAsia" w:hAnsiTheme="minorHAnsi"/>
          <w:kern w:val="2"/>
          <w:sz w:val="22"/>
          <w:szCs w:val="22"/>
          <w14:ligatures w14:val="standardContextual"/>
        </w:rPr>
      </w:pPr>
      <w:hyperlink w:anchor="_Toc148333353" w:history="1">
        <w:r w:rsidRPr="00F92528">
          <w:rPr>
            <w:rStyle w:val="Hyperlink"/>
          </w:rPr>
          <w:t xml:space="preserve">A17. </w:t>
        </w:r>
        <w:r w:rsidR="00605451">
          <w:rPr>
            <w:rStyle w:val="Hyperlink"/>
          </w:rPr>
          <w:t>D</w:t>
        </w:r>
        <w:r w:rsidRPr="00F92528">
          <w:rPr>
            <w:rStyle w:val="Hyperlink"/>
          </w:rPr>
          <w:t>isplay</w:t>
        </w:r>
        <w:r w:rsidR="00605451">
          <w:rPr>
            <w:rStyle w:val="Hyperlink"/>
          </w:rPr>
          <w:t>ing</w:t>
        </w:r>
        <w:r w:rsidRPr="00F92528">
          <w:rPr>
            <w:rStyle w:val="Hyperlink"/>
          </w:rPr>
          <w:t xml:space="preserve"> the expiration date for OMB approval</w:t>
        </w:r>
        <w:r>
          <w:rPr>
            <w:webHidden/>
          </w:rPr>
          <w:tab/>
        </w:r>
        <w:r>
          <w:rPr>
            <w:webHidden/>
          </w:rPr>
          <w:fldChar w:fldCharType="begin"/>
        </w:r>
        <w:r>
          <w:rPr>
            <w:webHidden/>
          </w:rPr>
          <w:instrText xml:space="preserve"> PAGEREF _Toc148333353 \h </w:instrText>
        </w:r>
        <w:r>
          <w:rPr>
            <w:webHidden/>
          </w:rPr>
          <w:fldChar w:fldCharType="separate"/>
        </w:r>
        <w:r w:rsidR="00611C66">
          <w:rPr>
            <w:webHidden/>
          </w:rPr>
          <w:t>27</w:t>
        </w:r>
        <w:r>
          <w:rPr>
            <w:webHidden/>
          </w:rPr>
          <w:fldChar w:fldCharType="end"/>
        </w:r>
      </w:hyperlink>
    </w:p>
    <w:p w:rsidR="00B77E97" w:rsidP="00B77E97" w14:paraId="290EC251" w14:textId="27A7DC10">
      <w:pPr>
        <w:pStyle w:val="TOC10"/>
        <w:rPr>
          <w:rFonts w:asciiTheme="minorHAnsi" w:eastAsiaTheme="minorEastAsia" w:hAnsiTheme="minorHAnsi"/>
          <w:kern w:val="2"/>
          <w:sz w:val="22"/>
          <w:szCs w:val="22"/>
          <w14:ligatures w14:val="standardContextual"/>
        </w:rPr>
      </w:pPr>
      <w:hyperlink w:anchor="_Toc148333354" w:history="1">
        <w:r w:rsidRPr="00F92528">
          <w:rPr>
            <w:rStyle w:val="Hyperlink"/>
          </w:rPr>
          <w:t xml:space="preserve">A18. </w:t>
        </w:r>
        <w:r w:rsidR="00605451">
          <w:rPr>
            <w:rStyle w:val="Hyperlink"/>
          </w:rPr>
          <w:t>E</w:t>
        </w:r>
        <w:r w:rsidRPr="00F92528">
          <w:rPr>
            <w:rStyle w:val="Hyperlink"/>
          </w:rPr>
          <w:t>xception</w:t>
        </w:r>
        <w:r w:rsidR="00605451">
          <w:rPr>
            <w:rStyle w:val="Hyperlink"/>
          </w:rPr>
          <w:t>s</w:t>
        </w:r>
        <w:r w:rsidRPr="00F92528">
          <w:rPr>
            <w:rStyle w:val="Hyperlink"/>
          </w:rPr>
          <w:t xml:space="preserve"> to the certification statement identified in Item 19</w:t>
        </w:r>
        <w:r>
          <w:rPr>
            <w:webHidden/>
          </w:rPr>
          <w:tab/>
        </w:r>
        <w:r>
          <w:rPr>
            <w:webHidden/>
          </w:rPr>
          <w:fldChar w:fldCharType="begin"/>
        </w:r>
        <w:r>
          <w:rPr>
            <w:webHidden/>
          </w:rPr>
          <w:instrText xml:space="preserve"> PAGEREF _Toc148333354 \h </w:instrText>
        </w:r>
        <w:r>
          <w:rPr>
            <w:webHidden/>
          </w:rPr>
          <w:fldChar w:fldCharType="separate"/>
        </w:r>
        <w:r w:rsidR="00611C66">
          <w:rPr>
            <w:webHidden/>
          </w:rPr>
          <w:t>27</w:t>
        </w:r>
        <w:r>
          <w:rPr>
            <w:webHidden/>
          </w:rPr>
          <w:fldChar w:fldCharType="end"/>
        </w:r>
      </w:hyperlink>
    </w:p>
    <w:p w:rsidR="0064514B" w:rsidP="00B77E97" w14:paraId="11149028" w14:textId="36415B2B">
      <w:pPr>
        <w:pStyle w:val="TOCHeading2"/>
        <w:spacing w:before="0" w:after="0"/>
        <w:rPr>
          <w:rFonts w:ascii="Calibri" w:hAnsi="Calibri" w:cs="Times New Roman"/>
          <w:b w:val="0"/>
          <w:color w:val="auto"/>
          <w:sz w:val="24"/>
          <w:szCs w:val="20"/>
        </w:rPr>
      </w:pPr>
      <w:r>
        <w:rPr>
          <w:rFonts w:asciiTheme="minorHAnsi" w:eastAsiaTheme="minorHAnsi" w:hAnsiTheme="minorHAnsi" w:cstheme="minorBidi"/>
          <w:bCs/>
          <w:color w:val="auto"/>
          <w:sz w:val="22"/>
          <w:szCs w:val="22"/>
        </w:rPr>
        <w:fldChar w:fldCharType="end"/>
      </w:r>
    </w:p>
    <w:p w:rsidR="0064514B" w:rsidRPr="00CF49AA" w:rsidP="00D569CC" w14:paraId="5CEAFF4F" w14:textId="77777777">
      <w:pPr>
        <w:pStyle w:val="TOCHeading2"/>
        <w:spacing w:before="0"/>
        <w:outlineLvl w:val="1"/>
        <w:rPr>
          <w:caps/>
        </w:rPr>
      </w:pPr>
      <w:r w:rsidRPr="00CF49AA">
        <w:t>Tables</w:t>
      </w:r>
    </w:p>
    <w:p w:rsidR="00C633B4" w:rsidP="00DC0538" w14:paraId="29A9C4AB" w14:textId="4306935C">
      <w:pPr>
        <w:pStyle w:val="TableofFigures"/>
        <w:tabs>
          <w:tab w:val="right" w:leader="dot" w:pos="9350"/>
        </w:tabs>
        <w:spacing w:before="120" w:after="120"/>
        <w:ind w:left="475" w:hanging="475"/>
        <w:rPr>
          <w:rFonts w:asciiTheme="minorHAnsi" w:eastAsiaTheme="minorEastAsia" w:hAnsiTheme="minorHAnsi"/>
          <w:noProof/>
          <w:kern w:val="2"/>
          <w:sz w:val="22"/>
          <w:szCs w:val="22"/>
          <w14:ligatures w14:val="standardContextual"/>
        </w:rPr>
      </w:pPr>
      <w:r w:rsidRPr="00D569CC">
        <w:rPr>
          <w:rStyle w:val="Hyperlink"/>
        </w:rPr>
        <w:fldChar w:fldCharType="begin"/>
      </w:r>
      <w:r w:rsidRPr="00D569CC">
        <w:rPr>
          <w:rStyle w:val="Hyperlink"/>
        </w:rPr>
        <w:instrText xml:space="preserve"> TOC \h \z \t "TableTitle-IPR" \c </w:instrText>
      </w:r>
      <w:r w:rsidRPr="00D569CC">
        <w:rPr>
          <w:rStyle w:val="Hyperlink"/>
        </w:rPr>
        <w:fldChar w:fldCharType="separate"/>
      </w:r>
      <w:hyperlink w:anchor="_Toc170219528" w:history="1">
        <w:r w:rsidRPr="007D71AE">
          <w:rPr>
            <w:rStyle w:val="Hyperlink"/>
            <w:noProof/>
          </w:rPr>
          <w:t>Table A2.1. Study Objectives</w:t>
        </w:r>
        <w:r>
          <w:rPr>
            <w:noProof/>
            <w:webHidden/>
          </w:rPr>
          <w:tab/>
        </w:r>
        <w:r>
          <w:rPr>
            <w:noProof/>
            <w:webHidden/>
          </w:rPr>
          <w:fldChar w:fldCharType="begin"/>
        </w:r>
        <w:r>
          <w:rPr>
            <w:noProof/>
            <w:webHidden/>
          </w:rPr>
          <w:instrText xml:space="preserve"> PAGEREF _Toc170219528 \h </w:instrText>
        </w:r>
        <w:r>
          <w:rPr>
            <w:noProof/>
            <w:webHidden/>
          </w:rPr>
          <w:fldChar w:fldCharType="separate"/>
        </w:r>
        <w:r>
          <w:rPr>
            <w:noProof/>
            <w:webHidden/>
          </w:rPr>
          <w:t>5</w:t>
        </w:r>
        <w:r>
          <w:rPr>
            <w:noProof/>
            <w:webHidden/>
          </w:rPr>
          <w:fldChar w:fldCharType="end"/>
        </w:r>
      </w:hyperlink>
    </w:p>
    <w:p w:rsidR="00C633B4" w:rsidP="00DC0538" w14:paraId="70EA9083" w14:textId="7D11F31A">
      <w:pPr>
        <w:pStyle w:val="TableofFigures"/>
        <w:tabs>
          <w:tab w:val="right" w:leader="dot" w:pos="9350"/>
        </w:tabs>
        <w:spacing w:before="120" w:after="120"/>
        <w:ind w:left="475" w:hanging="475"/>
        <w:rPr>
          <w:rFonts w:asciiTheme="minorHAnsi" w:eastAsiaTheme="minorEastAsia" w:hAnsiTheme="minorHAnsi"/>
          <w:noProof/>
          <w:kern w:val="2"/>
          <w:sz w:val="22"/>
          <w:szCs w:val="22"/>
          <w14:ligatures w14:val="standardContextual"/>
        </w:rPr>
      </w:pPr>
      <w:hyperlink w:anchor="_Toc170219529" w:history="1">
        <w:r w:rsidRPr="007D71AE">
          <w:rPr>
            <w:rStyle w:val="Hyperlink"/>
            <w:noProof/>
          </w:rPr>
          <w:t>Table A2.1. Study Objectives, continued</w:t>
        </w:r>
        <w:r>
          <w:rPr>
            <w:noProof/>
            <w:webHidden/>
          </w:rPr>
          <w:tab/>
        </w:r>
        <w:r>
          <w:rPr>
            <w:noProof/>
            <w:webHidden/>
          </w:rPr>
          <w:fldChar w:fldCharType="begin"/>
        </w:r>
        <w:r>
          <w:rPr>
            <w:noProof/>
            <w:webHidden/>
          </w:rPr>
          <w:instrText xml:space="preserve"> PAGEREF _Toc170219529 \h </w:instrText>
        </w:r>
        <w:r>
          <w:rPr>
            <w:noProof/>
            <w:webHidden/>
          </w:rPr>
          <w:fldChar w:fldCharType="separate"/>
        </w:r>
        <w:r>
          <w:rPr>
            <w:noProof/>
            <w:webHidden/>
          </w:rPr>
          <w:t>6</w:t>
        </w:r>
        <w:r>
          <w:rPr>
            <w:noProof/>
            <w:webHidden/>
          </w:rPr>
          <w:fldChar w:fldCharType="end"/>
        </w:r>
      </w:hyperlink>
    </w:p>
    <w:p w:rsidR="00C633B4" w:rsidP="00DC0538" w14:paraId="71B6DADD" w14:textId="0DF71EBB">
      <w:pPr>
        <w:pStyle w:val="TableofFigures"/>
        <w:tabs>
          <w:tab w:val="right" w:leader="dot" w:pos="9350"/>
        </w:tabs>
        <w:spacing w:before="120" w:after="120"/>
        <w:ind w:left="475" w:hanging="475"/>
        <w:rPr>
          <w:rFonts w:asciiTheme="minorHAnsi" w:eastAsiaTheme="minorEastAsia" w:hAnsiTheme="minorHAnsi"/>
          <w:noProof/>
          <w:kern w:val="2"/>
          <w:sz w:val="22"/>
          <w:szCs w:val="22"/>
          <w14:ligatures w14:val="standardContextual"/>
        </w:rPr>
      </w:pPr>
      <w:hyperlink w:anchor="_Toc170219530" w:history="1">
        <w:r w:rsidRPr="007D71AE">
          <w:rPr>
            <w:rStyle w:val="Hyperlink"/>
            <w:noProof/>
          </w:rPr>
          <w:t>Table A2.2. Overview of Data Collection Activities</w:t>
        </w:r>
        <w:r>
          <w:rPr>
            <w:noProof/>
            <w:webHidden/>
          </w:rPr>
          <w:tab/>
        </w:r>
        <w:r>
          <w:rPr>
            <w:noProof/>
            <w:webHidden/>
          </w:rPr>
          <w:fldChar w:fldCharType="begin"/>
        </w:r>
        <w:r>
          <w:rPr>
            <w:noProof/>
            <w:webHidden/>
          </w:rPr>
          <w:instrText xml:space="preserve"> PAGEREF _Toc170219530 \h </w:instrText>
        </w:r>
        <w:r>
          <w:rPr>
            <w:noProof/>
            <w:webHidden/>
          </w:rPr>
          <w:fldChar w:fldCharType="separate"/>
        </w:r>
        <w:r>
          <w:rPr>
            <w:noProof/>
            <w:webHidden/>
          </w:rPr>
          <w:t>6</w:t>
        </w:r>
        <w:r>
          <w:rPr>
            <w:noProof/>
            <w:webHidden/>
          </w:rPr>
          <w:fldChar w:fldCharType="end"/>
        </w:r>
      </w:hyperlink>
    </w:p>
    <w:p w:rsidR="00C633B4" w:rsidP="00DC0538" w14:paraId="0EF73212" w14:textId="350BE9D9">
      <w:pPr>
        <w:pStyle w:val="TableofFigures"/>
        <w:tabs>
          <w:tab w:val="right" w:leader="dot" w:pos="9350"/>
        </w:tabs>
        <w:spacing w:before="120" w:after="120"/>
        <w:ind w:left="475" w:hanging="475"/>
        <w:rPr>
          <w:rFonts w:asciiTheme="minorHAnsi" w:eastAsiaTheme="minorEastAsia" w:hAnsiTheme="minorHAnsi"/>
          <w:noProof/>
          <w:kern w:val="2"/>
          <w:sz w:val="22"/>
          <w:szCs w:val="22"/>
          <w14:ligatures w14:val="standardContextual"/>
        </w:rPr>
      </w:pPr>
      <w:hyperlink w:anchor="_Toc170219531" w:history="1">
        <w:r w:rsidRPr="007D71AE">
          <w:rPr>
            <w:rStyle w:val="Hyperlink"/>
            <w:noProof/>
          </w:rPr>
          <w:t>Table A2.2. Overview of Data Collection Activities, continued</w:t>
        </w:r>
        <w:r>
          <w:rPr>
            <w:noProof/>
            <w:webHidden/>
          </w:rPr>
          <w:tab/>
        </w:r>
        <w:r>
          <w:rPr>
            <w:noProof/>
            <w:webHidden/>
          </w:rPr>
          <w:fldChar w:fldCharType="begin"/>
        </w:r>
        <w:r>
          <w:rPr>
            <w:noProof/>
            <w:webHidden/>
          </w:rPr>
          <w:instrText xml:space="preserve"> PAGEREF _Toc170219531 \h </w:instrText>
        </w:r>
        <w:r>
          <w:rPr>
            <w:noProof/>
            <w:webHidden/>
          </w:rPr>
          <w:fldChar w:fldCharType="separate"/>
        </w:r>
        <w:r>
          <w:rPr>
            <w:noProof/>
            <w:webHidden/>
          </w:rPr>
          <w:t>7</w:t>
        </w:r>
        <w:r>
          <w:rPr>
            <w:noProof/>
            <w:webHidden/>
          </w:rPr>
          <w:fldChar w:fldCharType="end"/>
        </w:r>
      </w:hyperlink>
    </w:p>
    <w:p w:rsidR="00C633B4" w:rsidP="00DC0538" w14:paraId="3C4891AA" w14:textId="7811B688">
      <w:pPr>
        <w:pStyle w:val="TableofFigures"/>
        <w:tabs>
          <w:tab w:val="right" w:leader="dot" w:pos="9350"/>
        </w:tabs>
        <w:spacing w:before="120" w:after="120"/>
        <w:ind w:left="475" w:hanging="475"/>
        <w:rPr>
          <w:rFonts w:asciiTheme="minorHAnsi" w:eastAsiaTheme="minorEastAsia" w:hAnsiTheme="minorHAnsi"/>
          <w:noProof/>
          <w:kern w:val="2"/>
          <w:sz w:val="22"/>
          <w:szCs w:val="22"/>
          <w14:ligatures w14:val="standardContextual"/>
        </w:rPr>
      </w:pPr>
      <w:hyperlink w:anchor="_Toc170219532" w:history="1">
        <w:r w:rsidRPr="007D71AE">
          <w:rPr>
            <w:rStyle w:val="Hyperlink"/>
            <w:noProof/>
          </w:rPr>
          <w:t>Table A2.3. Interview data collection with essential staff</w:t>
        </w:r>
        <w:r>
          <w:rPr>
            <w:noProof/>
            <w:webHidden/>
          </w:rPr>
          <w:tab/>
        </w:r>
        <w:r>
          <w:rPr>
            <w:noProof/>
            <w:webHidden/>
          </w:rPr>
          <w:fldChar w:fldCharType="begin"/>
        </w:r>
        <w:r>
          <w:rPr>
            <w:noProof/>
            <w:webHidden/>
          </w:rPr>
          <w:instrText xml:space="preserve"> PAGEREF _Toc170219532 \h </w:instrText>
        </w:r>
        <w:r>
          <w:rPr>
            <w:noProof/>
            <w:webHidden/>
          </w:rPr>
          <w:fldChar w:fldCharType="separate"/>
        </w:r>
        <w:r>
          <w:rPr>
            <w:noProof/>
            <w:webHidden/>
          </w:rPr>
          <w:t>11</w:t>
        </w:r>
        <w:r>
          <w:rPr>
            <w:noProof/>
            <w:webHidden/>
          </w:rPr>
          <w:fldChar w:fldCharType="end"/>
        </w:r>
      </w:hyperlink>
    </w:p>
    <w:p w:rsidR="00C633B4" w:rsidP="00DC0538" w14:paraId="4708F848" w14:textId="254B476D">
      <w:pPr>
        <w:pStyle w:val="TableofFigures"/>
        <w:tabs>
          <w:tab w:val="right" w:leader="dot" w:pos="9350"/>
        </w:tabs>
        <w:spacing w:before="120" w:after="120"/>
        <w:ind w:left="475" w:hanging="475"/>
        <w:rPr>
          <w:rFonts w:asciiTheme="minorHAnsi" w:eastAsiaTheme="minorEastAsia" w:hAnsiTheme="minorHAnsi"/>
          <w:noProof/>
          <w:kern w:val="2"/>
          <w:sz w:val="22"/>
          <w:szCs w:val="22"/>
          <w14:ligatures w14:val="standardContextual"/>
        </w:rPr>
      </w:pPr>
      <w:hyperlink w:anchor="_Toc170219533" w:history="1">
        <w:r w:rsidRPr="007D71AE">
          <w:rPr>
            <w:rStyle w:val="Hyperlink"/>
            <w:noProof/>
          </w:rPr>
          <w:t>Table A2.4. Target Completes for In-Depth Interviews</w:t>
        </w:r>
        <w:r>
          <w:rPr>
            <w:noProof/>
            <w:webHidden/>
          </w:rPr>
          <w:tab/>
        </w:r>
        <w:r>
          <w:rPr>
            <w:noProof/>
            <w:webHidden/>
          </w:rPr>
          <w:fldChar w:fldCharType="begin"/>
        </w:r>
        <w:r>
          <w:rPr>
            <w:noProof/>
            <w:webHidden/>
          </w:rPr>
          <w:instrText xml:space="preserve"> PAGEREF _Toc170219533 \h </w:instrText>
        </w:r>
        <w:r>
          <w:rPr>
            <w:noProof/>
            <w:webHidden/>
          </w:rPr>
          <w:fldChar w:fldCharType="separate"/>
        </w:r>
        <w:r>
          <w:rPr>
            <w:noProof/>
            <w:webHidden/>
          </w:rPr>
          <w:t>11</w:t>
        </w:r>
        <w:r>
          <w:rPr>
            <w:noProof/>
            <w:webHidden/>
          </w:rPr>
          <w:fldChar w:fldCharType="end"/>
        </w:r>
      </w:hyperlink>
    </w:p>
    <w:p w:rsidR="00C633B4" w:rsidP="00DC0538" w14:paraId="3E29AD9C" w14:textId="1C1E1DA8">
      <w:pPr>
        <w:pStyle w:val="TableofFigures"/>
        <w:tabs>
          <w:tab w:val="right" w:leader="dot" w:pos="9350"/>
        </w:tabs>
        <w:spacing w:before="120" w:after="120"/>
        <w:ind w:left="475" w:hanging="475"/>
        <w:rPr>
          <w:rFonts w:asciiTheme="minorHAnsi" w:eastAsiaTheme="minorEastAsia" w:hAnsiTheme="minorHAnsi"/>
          <w:noProof/>
          <w:kern w:val="2"/>
          <w:sz w:val="22"/>
          <w:szCs w:val="22"/>
          <w14:ligatures w14:val="standardContextual"/>
        </w:rPr>
      </w:pPr>
      <w:hyperlink w:anchor="_Toc170219534" w:history="1">
        <w:r w:rsidRPr="007D71AE">
          <w:rPr>
            <w:rStyle w:val="Hyperlink"/>
            <w:noProof/>
          </w:rPr>
          <w:t>Table A8.1. Instrument Pretest Respondents</w:t>
        </w:r>
        <w:r>
          <w:rPr>
            <w:noProof/>
            <w:webHidden/>
          </w:rPr>
          <w:tab/>
        </w:r>
        <w:r>
          <w:rPr>
            <w:noProof/>
            <w:webHidden/>
          </w:rPr>
          <w:fldChar w:fldCharType="begin"/>
        </w:r>
        <w:r>
          <w:rPr>
            <w:noProof/>
            <w:webHidden/>
          </w:rPr>
          <w:instrText xml:space="preserve"> PAGEREF _Toc170219534 \h </w:instrText>
        </w:r>
        <w:r>
          <w:rPr>
            <w:noProof/>
            <w:webHidden/>
          </w:rPr>
          <w:fldChar w:fldCharType="separate"/>
        </w:r>
        <w:r>
          <w:rPr>
            <w:noProof/>
            <w:webHidden/>
          </w:rPr>
          <w:t>18</w:t>
        </w:r>
        <w:r>
          <w:rPr>
            <w:noProof/>
            <w:webHidden/>
          </w:rPr>
          <w:fldChar w:fldCharType="end"/>
        </w:r>
      </w:hyperlink>
    </w:p>
    <w:p w:rsidR="00C633B4" w:rsidP="00DC0538" w14:paraId="5FF61023" w14:textId="6AFE431F">
      <w:pPr>
        <w:pStyle w:val="TableofFigures"/>
        <w:tabs>
          <w:tab w:val="right" w:leader="dot" w:pos="9350"/>
        </w:tabs>
        <w:spacing w:before="120" w:after="120"/>
        <w:ind w:left="475" w:hanging="475"/>
        <w:rPr>
          <w:rFonts w:asciiTheme="minorHAnsi" w:eastAsiaTheme="minorEastAsia" w:hAnsiTheme="minorHAnsi"/>
          <w:noProof/>
          <w:kern w:val="2"/>
          <w:sz w:val="22"/>
          <w:szCs w:val="22"/>
          <w14:ligatures w14:val="standardContextual"/>
        </w:rPr>
      </w:pPr>
      <w:hyperlink w:anchor="_Toc170219535" w:history="1">
        <w:r w:rsidRPr="007D71AE">
          <w:rPr>
            <w:rStyle w:val="Hyperlink"/>
            <w:noProof/>
          </w:rPr>
          <w:t>Table A12.1. Burden Summary for Respondents</w:t>
        </w:r>
        <w:r>
          <w:rPr>
            <w:noProof/>
            <w:webHidden/>
          </w:rPr>
          <w:tab/>
        </w:r>
        <w:r>
          <w:rPr>
            <w:noProof/>
            <w:webHidden/>
          </w:rPr>
          <w:fldChar w:fldCharType="begin"/>
        </w:r>
        <w:r>
          <w:rPr>
            <w:noProof/>
            <w:webHidden/>
          </w:rPr>
          <w:instrText xml:space="preserve"> PAGEREF _Toc170219535 \h </w:instrText>
        </w:r>
        <w:r>
          <w:rPr>
            <w:noProof/>
            <w:webHidden/>
          </w:rPr>
          <w:fldChar w:fldCharType="separate"/>
        </w:r>
        <w:r>
          <w:rPr>
            <w:noProof/>
            <w:webHidden/>
          </w:rPr>
          <w:t>22</w:t>
        </w:r>
        <w:r>
          <w:rPr>
            <w:noProof/>
            <w:webHidden/>
          </w:rPr>
          <w:fldChar w:fldCharType="end"/>
        </w:r>
      </w:hyperlink>
    </w:p>
    <w:p w:rsidR="00C633B4" w:rsidP="00DC0538" w14:paraId="7DD60014" w14:textId="64D94DFD">
      <w:pPr>
        <w:pStyle w:val="TableofFigures"/>
        <w:tabs>
          <w:tab w:val="right" w:leader="dot" w:pos="9350"/>
        </w:tabs>
        <w:spacing w:before="120" w:after="120"/>
        <w:ind w:left="475" w:hanging="475"/>
        <w:rPr>
          <w:rFonts w:asciiTheme="minorHAnsi" w:eastAsiaTheme="minorEastAsia" w:hAnsiTheme="minorHAnsi"/>
          <w:noProof/>
          <w:kern w:val="2"/>
          <w:sz w:val="22"/>
          <w:szCs w:val="22"/>
          <w14:ligatures w14:val="standardContextual"/>
        </w:rPr>
      </w:pPr>
      <w:hyperlink w:anchor="_Toc170219536" w:history="1">
        <w:r w:rsidRPr="007D71AE">
          <w:rPr>
            <w:rStyle w:val="Hyperlink"/>
            <w:noProof/>
          </w:rPr>
          <w:t>Table A12.2. Wage Assumptions</w:t>
        </w:r>
        <w:r>
          <w:rPr>
            <w:noProof/>
            <w:webHidden/>
          </w:rPr>
          <w:tab/>
        </w:r>
        <w:r>
          <w:rPr>
            <w:noProof/>
            <w:webHidden/>
          </w:rPr>
          <w:fldChar w:fldCharType="begin"/>
        </w:r>
        <w:r>
          <w:rPr>
            <w:noProof/>
            <w:webHidden/>
          </w:rPr>
          <w:instrText xml:space="preserve"> PAGEREF _Toc170219536 \h </w:instrText>
        </w:r>
        <w:r>
          <w:rPr>
            <w:noProof/>
            <w:webHidden/>
          </w:rPr>
          <w:fldChar w:fldCharType="separate"/>
        </w:r>
        <w:r>
          <w:rPr>
            <w:noProof/>
            <w:webHidden/>
          </w:rPr>
          <w:t>23</w:t>
        </w:r>
        <w:r>
          <w:rPr>
            <w:noProof/>
            <w:webHidden/>
          </w:rPr>
          <w:fldChar w:fldCharType="end"/>
        </w:r>
      </w:hyperlink>
    </w:p>
    <w:p w:rsidR="00C633B4" w:rsidP="00DC0538" w14:paraId="15CDF8A7" w14:textId="7D696AA8">
      <w:pPr>
        <w:pStyle w:val="TableofFigures"/>
        <w:tabs>
          <w:tab w:val="right" w:leader="dot" w:pos="9350"/>
        </w:tabs>
        <w:spacing w:before="120" w:after="120"/>
        <w:ind w:left="475" w:hanging="475"/>
        <w:rPr>
          <w:rFonts w:asciiTheme="minorHAnsi" w:eastAsiaTheme="minorEastAsia" w:hAnsiTheme="minorHAnsi"/>
          <w:noProof/>
          <w:kern w:val="2"/>
          <w:sz w:val="22"/>
          <w:szCs w:val="22"/>
          <w14:ligatures w14:val="standardContextual"/>
        </w:rPr>
      </w:pPr>
      <w:hyperlink w:anchor="_Toc170219537" w:history="1">
        <w:r w:rsidRPr="007D71AE">
          <w:rPr>
            <w:rStyle w:val="Hyperlink"/>
            <w:noProof/>
          </w:rPr>
          <w:t>Table A16.1. Study Schedule</w:t>
        </w:r>
        <w:r>
          <w:rPr>
            <w:noProof/>
            <w:webHidden/>
          </w:rPr>
          <w:tab/>
        </w:r>
        <w:r>
          <w:rPr>
            <w:noProof/>
            <w:webHidden/>
          </w:rPr>
          <w:fldChar w:fldCharType="begin"/>
        </w:r>
        <w:r>
          <w:rPr>
            <w:noProof/>
            <w:webHidden/>
          </w:rPr>
          <w:instrText xml:space="preserve"> PAGEREF _Toc170219537 \h </w:instrText>
        </w:r>
        <w:r>
          <w:rPr>
            <w:noProof/>
            <w:webHidden/>
          </w:rPr>
          <w:fldChar w:fldCharType="separate"/>
        </w:r>
        <w:r>
          <w:rPr>
            <w:noProof/>
            <w:webHidden/>
          </w:rPr>
          <w:t>24</w:t>
        </w:r>
        <w:r>
          <w:rPr>
            <w:noProof/>
            <w:webHidden/>
          </w:rPr>
          <w:fldChar w:fldCharType="end"/>
        </w:r>
      </w:hyperlink>
    </w:p>
    <w:p w:rsidR="001575C4" w:rsidP="00DC0538" w14:paraId="4C521E11" w14:textId="1BB67845">
      <w:pPr>
        <w:pStyle w:val="TOC10"/>
        <w:spacing w:before="240" w:after="240"/>
        <w:rPr>
          <w:rFonts w:ascii="Candara" w:hAnsi="Candara" w:eastAsiaTheme="majorEastAsia" w:cstheme="majorBidi"/>
          <w:b/>
          <w:color w:val="003C79"/>
          <w:sz w:val="28"/>
          <w:szCs w:val="26"/>
        </w:rPr>
      </w:pPr>
      <w:r w:rsidRPr="00D569CC">
        <w:rPr>
          <w:rStyle w:val="Hyperlink"/>
          <w:bCs w:val="0"/>
        </w:rPr>
        <w:fldChar w:fldCharType="end"/>
      </w:r>
      <w:bookmarkStart w:id="0" w:name="_Hlk92994495"/>
    </w:p>
    <w:p w:rsidR="0064514B" w:rsidP="00D569CC" w14:paraId="0486D4E2" w14:textId="2FC24EB4">
      <w:pPr>
        <w:pStyle w:val="Heading2-IPR"/>
        <w:numPr>
          <w:ilvl w:val="0"/>
          <w:numId w:val="0"/>
        </w:numPr>
        <w:ind w:left="360" w:hanging="360"/>
      </w:pPr>
      <w:r>
        <w:t>Appendices</w:t>
      </w:r>
    </w:p>
    <w:p w:rsidR="00FE1B6C" w:rsidRPr="00FE1B6C" w:rsidP="00FE1B6C" w14:paraId="309EC140" w14:textId="77777777">
      <w:pPr>
        <w:pStyle w:val="ListParagraph"/>
        <w:numPr>
          <w:ilvl w:val="0"/>
          <w:numId w:val="31"/>
        </w:numPr>
        <w:rPr>
          <w:sz w:val="24"/>
          <w:szCs w:val="24"/>
        </w:rPr>
      </w:pPr>
      <w:bookmarkStart w:id="1" w:name="_Hlk170110085"/>
      <w:bookmarkEnd w:id="0"/>
      <w:r w:rsidRPr="00FE1B6C">
        <w:rPr>
          <w:sz w:val="24"/>
          <w:szCs w:val="24"/>
        </w:rPr>
        <w:t xml:space="preserve">Legal Authority </w:t>
      </w:r>
    </w:p>
    <w:p w:rsidR="00FE1B6C" w:rsidRPr="00FE1B6C" w:rsidP="00FE1B6C" w14:paraId="55687BBB" w14:textId="77777777">
      <w:pPr>
        <w:pStyle w:val="ListParagraph"/>
        <w:numPr>
          <w:ilvl w:val="0"/>
          <w:numId w:val="31"/>
        </w:numPr>
        <w:rPr>
          <w:sz w:val="24"/>
          <w:szCs w:val="24"/>
        </w:rPr>
      </w:pPr>
      <w:r w:rsidRPr="00FE1B6C">
        <w:rPr>
          <w:sz w:val="24"/>
          <w:szCs w:val="24"/>
        </w:rPr>
        <w:t>Research Objectives and Questions Crosswalk</w:t>
      </w:r>
    </w:p>
    <w:p w:rsidR="00FE1B6C" w:rsidRPr="00FE1B6C" w:rsidP="00FE1B6C" w14:paraId="245F99B7" w14:textId="288B1E96">
      <w:pPr>
        <w:pStyle w:val="ListParagraph"/>
        <w:numPr>
          <w:ilvl w:val="0"/>
          <w:numId w:val="31"/>
        </w:numPr>
        <w:rPr>
          <w:sz w:val="24"/>
          <w:szCs w:val="24"/>
        </w:rPr>
      </w:pPr>
      <w:r>
        <w:rPr>
          <w:sz w:val="24"/>
          <w:szCs w:val="24"/>
        </w:rPr>
        <w:t>Project Summary</w:t>
      </w:r>
    </w:p>
    <w:p w:rsidR="00FE1B6C" w:rsidP="0028541B" w14:paraId="58447339" w14:textId="2EFDBB8E">
      <w:pPr>
        <w:pStyle w:val="ListParagraph"/>
        <w:numPr>
          <w:ilvl w:val="0"/>
          <w:numId w:val="31"/>
        </w:numPr>
        <w:rPr>
          <w:sz w:val="24"/>
          <w:szCs w:val="24"/>
        </w:rPr>
      </w:pPr>
      <w:r w:rsidRPr="000402C8">
        <w:rPr>
          <w:sz w:val="24"/>
          <w:szCs w:val="24"/>
        </w:rPr>
        <w:t xml:space="preserve">Electronic Letter </w:t>
      </w:r>
      <w:r w:rsidR="007560CA">
        <w:rPr>
          <w:sz w:val="24"/>
          <w:szCs w:val="24"/>
        </w:rPr>
        <w:t xml:space="preserve">to States </w:t>
      </w:r>
      <w:r w:rsidRPr="000402C8">
        <w:rPr>
          <w:sz w:val="24"/>
          <w:szCs w:val="24"/>
        </w:rPr>
        <w:t>with Data Request</w:t>
      </w:r>
    </w:p>
    <w:p w:rsidR="004900B7" w:rsidRPr="0028541B" w:rsidP="0028541B" w14:paraId="2848D964" w14:textId="0E56D495">
      <w:pPr>
        <w:pStyle w:val="ListParagraph"/>
        <w:numPr>
          <w:ilvl w:val="0"/>
          <w:numId w:val="31"/>
        </w:numPr>
        <w:rPr>
          <w:sz w:val="24"/>
          <w:szCs w:val="24"/>
        </w:rPr>
      </w:pPr>
      <w:r>
        <w:rPr>
          <w:sz w:val="24"/>
          <w:szCs w:val="24"/>
        </w:rPr>
        <w:t xml:space="preserve">Reminder Electronic Letter to States with Data Request </w:t>
      </w:r>
    </w:p>
    <w:p w:rsidR="0028541B" w:rsidRPr="0028541B" w:rsidP="00FE1B6C" w14:paraId="134613D4" w14:textId="2FCCDD04">
      <w:pPr>
        <w:pStyle w:val="ListParagraph"/>
        <w:numPr>
          <w:ilvl w:val="0"/>
          <w:numId w:val="31"/>
        </w:numPr>
        <w:rPr>
          <w:sz w:val="24"/>
          <w:szCs w:val="24"/>
        </w:rPr>
      </w:pPr>
      <w:r w:rsidRPr="0028541B">
        <w:rPr>
          <w:sz w:val="24"/>
          <w:szCs w:val="24"/>
        </w:rPr>
        <w:t>State Administrative Cost Templates</w:t>
      </w:r>
    </w:p>
    <w:p w:rsidR="0028541B" w:rsidP="00FE1B6C" w14:paraId="2D380F83" w14:textId="06574E46">
      <w:pPr>
        <w:pStyle w:val="ListParagraph"/>
        <w:numPr>
          <w:ilvl w:val="0"/>
          <w:numId w:val="31"/>
        </w:numPr>
        <w:rPr>
          <w:sz w:val="24"/>
          <w:szCs w:val="24"/>
        </w:rPr>
      </w:pPr>
      <w:r w:rsidRPr="0028541B">
        <w:rPr>
          <w:sz w:val="24"/>
          <w:szCs w:val="24"/>
        </w:rPr>
        <w:t>Incentive Report Template</w:t>
      </w:r>
    </w:p>
    <w:p w:rsidR="00307FC3" w:rsidRPr="0028541B" w:rsidP="00FE1B6C" w14:paraId="464F26FD" w14:textId="0DA7D63E">
      <w:pPr>
        <w:pStyle w:val="ListParagraph"/>
        <w:numPr>
          <w:ilvl w:val="0"/>
          <w:numId w:val="31"/>
        </w:numPr>
        <w:rPr>
          <w:sz w:val="24"/>
          <w:szCs w:val="24"/>
        </w:rPr>
      </w:pPr>
      <w:r>
        <w:rPr>
          <w:sz w:val="24"/>
          <w:szCs w:val="24"/>
        </w:rPr>
        <w:t>Retailer List</w:t>
      </w:r>
    </w:p>
    <w:p w:rsidR="00FE1B6C" w:rsidP="00FE1B6C" w14:paraId="55052AF2" w14:textId="46F1DC99">
      <w:pPr>
        <w:pStyle w:val="ListParagraph"/>
        <w:numPr>
          <w:ilvl w:val="0"/>
          <w:numId w:val="31"/>
        </w:numPr>
        <w:rPr>
          <w:sz w:val="24"/>
          <w:szCs w:val="24"/>
        </w:rPr>
      </w:pPr>
      <w:r w:rsidRPr="00213C89">
        <w:rPr>
          <w:sz w:val="24"/>
          <w:szCs w:val="24"/>
        </w:rPr>
        <w:t>Electronic Letter with Request to Schedule Interview</w:t>
      </w:r>
    </w:p>
    <w:p w:rsidR="007560CA" w:rsidRPr="00213C89" w:rsidP="00FE1B6C" w14:paraId="3B1E569D" w14:textId="4BC05C69">
      <w:pPr>
        <w:pStyle w:val="ListParagraph"/>
        <w:numPr>
          <w:ilvl w:val="0"/>
          <w:numId w:val="31"/>
        </w:numPr>
        <w:rPr>
          <w:sz w:val="24"/>
          <w:szCs w:val="24"/>
        </w:rPr>
      </w:pPr>
      <w:r>
        <w:rPr>
          <w:sz w:val="24"/>
          <w:szCs w:val="24"/>
        </w:rPr>
        <w:t>Electronic Letter with Reminder to Schedule Interview</w:t>
      </w:r>
    </w:p>
    <w:p w:rsidR="00FE1B6C" w:rsidRPr="00213C89" w:rsidP="00FE1B6C" w14:paraId="424D6C91" w14:textId="47A8BEBC">
      <w:pPr>
        <w:pStyle w:val="ListParagraph"/>
        <w:numPr>
          <w:ilvl w:val="0"/>
          <w:numId w:val="31"/>
        </w:numPr>
        <w:rPr>
          <w:sz w:val="24"/>
          <w:szCs w:val="24"/>
        </w:rPr>
      </w:pPr>
      <w:r w:rsidRPr="00213C89">
        <w:rPr>
          <w:sz w:val="24"/>
          <w:szCs w:val="24"/>
        </w:rPr>
        <w:t>Electronic Letter with Reminder about Interview</w:t>
      </w:r>
    </w:p>
    <w:p w:rsidR="00FE1B6C" w:rsidP="00FE1B6C" w14:paraId="2F4ACAAC" w14:textId="5F1988AA">
      <w:pPr>
        <w:pStyle w:val="ListParagraph"/>
        <w:numPr>
          <w:ilvl w:val="0"/>
          <w:numId w:val="31"/>
        </w:numPr>
        <w:rPr>
          <w:sz w:val="24"/>
          <w:szCs w:val="24"/>
        </w:rPr>
      </w:pPr>
      <w:r w:rsidRPr="00213C89">
        <w:rPr>
          <w:sz w:val="24"/>
          <w:szCs w:val="24"/>
        </w:rPr>
        <w:t>In-Depth</w:t>
      </w:r>
      <w:r w:rsidR="007560CA">
        <w:rPr>
          <w:sz w:val="24"/>
          <w:szCs w:val="24"/>
        </w:rPr>
        <w:t xml:space="preserve"> </w:t>
      </w:r>
      <w:r w:rsidRPr="00213C89">
        <w:rPr>
          <w:sz w:val="24"/>
          <w:szCs w:val="24"/>
        </w:rPr>
        <w:t xml:space="preserve">Interview </w:t>
      </w:r>
      <w:r w:rsidR="007560CA">
        <w:rPr>
          <w:sz w:val="24"/>
          <w:szCs w:val="24"/>
        </w:rPr>
        <w:t>Protocol</w:t>
      </w:r>
    </w:p>
    <w:p w:rsidR="007560CA" w:rsidRPr="00213C89" w:rsidP="00FE1B6C" w14:paraId="021C2D0A" w14:textId="43BEAFF1">
      <w:pPr>
        <w:pStyle w:val="ListParagraph"/>
        <w:numPr>
          <w:ilvl w:val="0"/>
          <w:numId w:val="31"/>
        </w:numPr>
        <w:rPr>
          <w:sz w:val="24"/>
          <w:szCs w:val="24"/>
        </w:rPr>
      </w:pPr>
      <w:r>
        <w:rPr>
          <w:sz w:val="24"/>
          <w:szCs w:val="24"/>
        </w:rPr>
        <w:t>Interview Worksheets</w:t>
      </w:r>
    </w:p>
    <w:p w:rsidR="00DE7979" w:rsidRPr="00213C89" w:rsidP="00FE1B6C" w14:paraId="2B033322" w14:textId="2E3F29E5">
      <w:pPr>
        <w:pStyle w:val="ListParagraph"/>
        <w:numPr>
          <w:ilvl w:val="0"/>
          <w:numId w:val="31"/>
        </w:numPr>
        <w:rPr>
          <w:sz w:val="24"/>
          <w:szCs w:val="24"/>
        </w:rPr>
      </w:pPr>
      <w:r w:rsidRPr="00213C89">
        <w:rPr>
          <w:sz w:val="24"/>
          <w:szCs w:val="24"/>
        </w:rPr>
        <w:t xml:space="preserve">Interview Consent Form </w:t>
      </w:r>
    </w:p>
    <w:p w:rsidR="00FE1B6C" w:rsidP="00FE1B6C" w14:paraId="634DF3B6" w14:textId="53E3481A">
      <w:pPr>
        <w:pStyle w:val="ListParagraph"/>
        <w:numPr>
          <w:ilvl w:val="0"/>
          <w:numId w:val="31"/>
        </w:numPr>
        <w:rPr>
          <w:sz w:val="24"/>
          <w:szCs w:val="24"/>
        </w:rPr>
      </w:pPr>
      <w:r w:rsidRPr="00213C89">
        <w:rPr>
          <w:sz w:val="24"/>
          <w:szCs w:val="24"/>
        </w:rPr>
        <w:t>Interview Follow Up and Thank You Note</w:t>
      </w:r>
    </w:p>
    <w:p w:rsidR="007560CA" w:rsidRPr="00213C89" w:rsidP="00FE1B6C" w14:paraId="52333E60" w14:textId="3DB8F7A0">
      <w:pPr>
        <w:pStyle w:val="ListParagraph"/>
        <w:numPr>
          <w:ilvl w:val="0"/>
          <w:numId w:val="31"/>
        </w:numPr>
        <w:rPr>
          <w:sz w:val="24"/>
          <w:szCs w:val="24"/>
        </w:rPr>
      </w:pPr>
      <w:r>
        <w:rPr>
          <w:sz w:val="24"/>
          <w:szCs w:val="24"/>
        </w:rPr>
        <w:t>Electronic Letter to GusNIP Grantees with Data Request</w:t>
      </w:r>
    </w:p>
    <w:p w:rsidR="00FE1B6C" w:rsidRPr="00FE1B6C" w:rsidP="00FE1B6C" w14:paraId="3DDC8F3E" w14:textId="77777777">
      <w:pPr>
        <w:pStyle w:val="ListParagraph"/>
        <w:numPr>
          <w:ilvl w:val="0"/>
          <w:numId w:val="31"/>
        </w:numPr>
        <w:rPr>
          <w:sz w:val="24"/>
          <w:szCs w:val="24"/>
        </w:rPr>
      </w:pPr>
      <w:r w:rsidRPr="00FE1B6C">
        <w:rPr>
          <w:sz w:val="24"/>
          <w:szCs w:val="24"/>
        </w:rPr>
        <w:t>Comments from NASS</w:t>
      </w:r>
    </w:p>
    <w:p w:rsidR="00FE1B6C" w:rsidP="00FE1B6C" w14:paraId="51701C62" w14:textId="77777777">
      <w:pPr>
        <w:pStyle w:val="ListParagraph"/>
        <w:numPr>
          <w:ilvl w:val="0"/>
          <w:numId w:val="31"/>
        </w:numPr>
        <w:rPr>
          <w:sz w:val="24"/>
          <w:szCs w:val="24"/>
        </w:rPr>
      </w:pPr>
      <w:r w:rsidRPr="00FE1B6C">
        <w:rPr>
          <w:sz w:val="24"/>
          <w:szCs w:val="24"/>
        </w:rPr>
        <w:t>Response to NASS Comments</w:t>
      </w:r>
    </w:p>
    <w:p w:rsidR="007560CA" w:rsidRPr="00FE1B6C" w:rsidP="00FE1B6C" w14:paraId="43B5E285" w14:textId="6FB719E4">
      <w:pPr>
        <w:pStyle w:val="ListParagraph"/>
        <w:numPr>
          <w:ilvl w:val="0"/>
          <w:numId w:val="31"/>
        </w:numPr>
        <w:rPr>
          <w:sz w:val="24"/>
          <w:szCs w:val="24"/>
        </w:rPr>
      </w:pPr>
      <w:r>
        <w:rPr>
          <w:sz w:val="24"/>
          <w:szCs w:val="24"/>
        </w:rPr>
        <w:t>Institutional Review Board Approval Letter</w:t>
      </w:r>
    </w:p>
    <w:p w:rsidR="001D2867" w:rsidRPr="00FE1B6C" w:rsidP="00FE1B6C" w14:paraId="7ECF2103" w14:textId="09C1E409">
      <w:pPr>
        <w:pStyle w:val="ListParagraph"/>
        <w:numPr>
          <w:ilvl w:val="0"/>
          <w:numId w:val="31"/>
        </w:numPr>
        <w:rPr>
          <w:sz w:val="24"/>
          <w:szCs w:val="24"/>
        </w:rPr>
      </w:pPr>
      <w:r w:rsidRPr="00FE1B6C">
        <w:rPr>
          <w:sz w:val="24"/>
          <w:szCs w:val="24"/>
        </w:rPr>
        <w:t>Westat</w:t>
      </w:r>
      <w:r w:rsidRPr="00FE1B6C">
        <w:rPr>
          <w:sz w:val="24"/>
          <w:szCs w:val="24"/>
        </w:rPr>
        <w:t xml:space="preserve"> Information Security and Confidentiality Pledge</w:t>
      </w:r>
    </w:p>
    <w:p w:rsidR="007560CA" w:rsidRPr="007560CA" w:rsidP="007560CA" w14:paraId="206AF927" w14:textId="77777777">
      <w:pPr>
        <w:pStyle w:val="ListParagraph"/>
        <w:numPr>
          <w:ilvl w:val="0"/>
          <w:numId w:val="31"/>
        </w:numPr>
      </w:pPr>
      <w:r>
        <w:rPr>
          <w:sz w:val="24"/>
          <w:szCs w:val="24"/>
        </w:rPr>
        <w:t>Total Public Burden and Hours Cost</w:t>
      </w:r>
    </w:p>
    <w:p w:rsidR="007560CA" w:rsidRPr="007560CA" w:rsidP="007560CA" w14:paraId="3F3579ED" w14:textId="77777777">
      <w:pPr>
        <w:pStyle w:val="ListParagraph"/>
        <w:numPr>
          <w:ilvl w:val="0"/>
          <w:numId w:val="31"/>
        </w:numPr>
      </w:pPr>
      <w:r>
        <w:rPr>
          <w:sz w:val="24"/>
          <w:szCs w:val="24"/>
        </w:rPr>
        <w:t>Pretest Protocol</w:t>
      </w:r>
    </w:p>
    <w:p w:rsidR="0064514B" w:rsidP="007560CA" w14:paraId="2D1F98D6" w14:textId="08897B46">
      <w:pPr>
        <w:pStyle w:val="ListParagraph"/>
        <w:numPr>
          <w:ilvl w:val="0"/>
          <w:numId w:val="31"/>
        </w:numPr>
      </w:pPr>
      <w:r>
        <w:rPr>
          <w:sz w:val="24"/>
          <w:szCs w:val="24"/>
        </w:rPr>
        <w:t>Pretest Methods and Summary of Findings</w:t>
      </w:r>
      <w:bookmarkEnd w:id="1"/>
      <w:r>
        <w:br w:type="page"/>
      </w:r>
    </w:p>
    <w:p w:rsidR="00254128" w:rsidRPr="00E50BDB" w:rsidP="00C32C2C" w14:paraId="7432ED97" w14:textId="19EAA522">
      <w:pPr>
        <w:pStyle w:val="Heading1New"/>
      </w:pPr>
      <w:bookmarkStart w:id="2" w:name="_Toc148333335"/>
      <w:r w:rsidRPr="00E50BDB">
        <w:t xml:space="preserve">A1. </w:t>
      </w:r>
      <w:r w:rsidR="00D41188">
        <w:t xml:space="preserve">Circumstances that make the collection of information necessary: </w:t>
      </w:r>
      <w:r w:rsidRPr="00E50BD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2"/>
    </w:p>
    <w:p w:rsidR="00462917" w:rsidRPr="00A954A0" w:rsidP="00BA1066" w14:paraId="00F5E2BB" w14:textId="637845C0">
      <w:pPr>
        <w:pStyle w:val="BodyText-IPR"/>
        <w:spacing w:line="480" w:lineRule="auto"/>
        <w:rPr>
          <w:rFonts w:eastAsia="Calibri" w:cs="Calibri"/>
          <w:sz w:val="24"/>
          <w:szCs w:val="24"/>
        </w:rPr>
      </w:pPr>
      <w:r w:rsidRPr="00A954A0">
        <w:rPr>
          <w:rFonts w:eastAsia="Calibri" w:cs="Calibri"/>
          <w:sz w:val="24"/>
          <w:szCs w:val="24"/>
        </w:rPr>
        <w:t xml:space="preserve">This is a </w:t>
      </w:r>
      <w:r w:rsidR="00B055B1">
        <w:rPr>
          <w:rFonts w:eastAsia="Calibri" w:cs="Calibri"/>
          <w:sz w:val="24"/>
          <w:szCs w:val="24"/>
        </w:rPr>
        <w:t xml:space="preserve">request for a </w:t>
      </w:r>
      <w:r w:rsidRPr="00A954A0">
        <w:rPr>
          <w:rFonts w:eastAsia="Calibri" w:cs="Calibri"/>
          <w:sz w:val="24"/>
          <w:szCs w:val="24"/>
        </w:rPr>
        <w:t>n</w:t>
      </w:r>
      <w:r w:rsidR="00AD46E4">
        <w:rPr>
          <w:rFonts w:eastAsia="Calibri" w:cs="Calibri"/>
          <w:sz w:val="24"/>
          <w:szCs w:val="24"/>
        </w:rPr>
        <w:t>e</w:t>
      </w:r>
      <w:r w:rsidR="00D06AFA">
        <w:rPr>
          <w:rFonts w:eastAsia="Calibri" w:cs="Calibri"/>
          <w:sz w:val="24"/>
          <w:szCs w:val="24"/>
        </w:rPr>
        <w:t>w</w:t>
      </w:r>
      <w:r w:rsidRPr="00A954A0">
        <w:rPr>
          <w:rFonts w:eastAsia="Calibri" w:cs="Calibri"/>
          <w:sz w:val="24"/>
          <w:szCs w:val="24"/>
        </w:rPr>
        <w:t xml:space="preserve"> </w:t>
      </w:r>
      <w:r w:rsidR="004B32BF">
        <w:rPr>
          <w:rFonts w:eastAsia="Calibri" w:cs="Calibri"/>
          <w:sz w:val="24"/>
          <w:szCs w:val="24"/>
        </w:rPr>
        <w:t xml:space="preserve">one-time </w:t>
      </w:r>
      <w:r w:rsidRPr="00A954A0">
        <w:rPr>
          <w:rFonts w:eastAsia="Calibri" w:cs="Calibri"/>
          <w:sz w:val="24"/>
          <w:szCs w:val="24"/>
        </w:rPr>
        <w:t>data collection.</w:t>
      </w:r>
      <w:r w:rsidR="00D06AFA">
        <w:rPr>
          <w:rFonts w:eastAsia="Calibri" w:cs="Calibri"/>
          <w:sz w:val="24"/>
          <w:szCs w:val="24"/>
        </w:rPr>
        <w:t xml:space="preserve"> This data collection </w:t>
      </w:r>
      <w:r w:rsidRPr="00D569CC" w:rsidR="004B32BF">
        <w:rPr>
          <w:rFonts w:eastAsia="Calibri" w:cstheme="minorHAnsi"/>
          <w:sz w:val="24"/>
          <w:szCs w:val="24"/>
        </w:rPr>
        <w:t xml:space="preserve">will be conducted </w:t>
      </w:r>
      <w:r w:rsidR="004B32BF">
        <w:rPr>
          <w:rFonts w:eastAsia="Calibri" w:cstheme="minorHAnsi"/>
          <w:sz w:val="24"/>
          <w:szCs w:val="24"/>
        </w:rPr>
        <w:t>over a single (approximately) 15-month period, with multiple discrete instances of data collection within that period</w:t>
      </w:r>
      <w:r w:rsidR="00D06AFA">
        <w:rPr>
          <w:rFonts w:eastAsia="Calibri" w:cs="Calibri"/>
          <w:sz w:val="24"/>
          <w:szCs w:val="24"/>
        </w:rPr>
        <w:t xml:space="preserve">. </w:t>
      </w:r>
      <w:r w:rsidRPr="00A954A0">
        <w:rPr>
          <w:rFonts w:eastAsia="Calibri" w:cs="Calibri"/>
          <w:sz w:val="24"/>
          <w:szCs w:val="24"/>
        </w:rPr>
        <w:t>The U.S. Department of Agriculture’s (USDA) Food and Nutrition Service (FNS) is authorized to collect these data under Section 17 of the Food and Nutrition Act of 2008</w:t>
      </w:r>
      <w:r w:rsidR="007C6AB1">
        <w:rPr>
          <w:rFonts w:eastAsia="Calibri" w:cs="Calibri"/>
          <w:sz w:val="24"/>
          <w:szCs w:val="24"/>
        </w:rPr>
        <w:t xml:space="preserve"> (</w:t>
      </w:r>
      <w:r w:rsidRPr="00942A25" w:rsidR="007C6AB1">
        <w:rPr>
          <w:rFonts w:eastAsia="Calibri" w:cs="Calibri"/>
          <w:sz w:val="24"/>
          <w:szCs w:val="24"/>
        </w:rPr>
        <w:t xml:space="preserve">appendix </w:t>
      </w:r>
      <w:r w:rsidRPr="00942A25" w:rsidR="00C9099F">
        <w:rPr>
          <w:rFonts w:eastAsia="Calibri" w:cs="Calibri"/>
          <w:sz w:val="24"/>
          <w:szCs w:val="24"/>
        </w:rPr>
        <w:t>A</w:t>
      </w:r>
      <w:r w:rsidR="00C9099F">
        <w:rPr>
          <w:rFonts w:eastAsia="Calibri" w:cs="Calibri"/>
          <w:sz w:val="24"/>
          <w:szCs w:val="24"/>
        </w:rPr>
        <w:t>)</w:t>
      </w:r>
      <w:r w:rsidRPr="00A954A0">
        <w:rPr>
          <w:rFonts w:eastAsia="Calibri" w:cs="Calibri"/>
          <w:sz w:val="24"/>
          <w:szCs w:val="24"/>
        </w:rPr>
        <w:t>, which authorizes the Secretary of Agriculture to contract with private institutions to undertake research that will help improve the administration and effectiveness of the Supplemental Nutrition Assistance Program (SNAP) in delivering nutrition-related benefits.</w:t>
      </w:r>
    </w:p>
    <w:p w:rsidR="005016C9" w:rsidP="00BA1066" w14:paraId="59B9A741" w14:textId="0A32CB3F">
      <w:pPr>
        <w:pStyle w:val="BodyText-IPR"/>
        <w:spacing w:line="480" w:lineRule="auto"/>
        <w:rPr>
          <w:rFonts w:eastAsia="Calibri" w:cs="Calibri"/>
          <w:sz w:val="24"/>
          <w:szCs w:val="24"/>
        </w:rPr>
      </w:pPr>
      <w:r w:rsidRPr="00A954A0">
        <w:rPr>
          <w:rFonts w:eastAsia="Calibri" w:cs="Calibri"/>
          <w:sz w:val="24"/>
          <w:szCs w:val="24"/>
        </w:rPr>
        <w:t>SNAP is the largest hunger safety net program in the United States</w:t>
      </w:r>
      <w:r w:rsidRPr="00A954A0" w:rsidR="00C34840">
        <w:rPr>
          <w:rFonts w:eastAsia="Calibri" w:cs="Calibri"/>
          <w:sz w:val="24"/>
          <w:szCs w:val="24"/>
        </w:rPr>
        <w:t>,</w:t>
      </w:r>
      <w:r w:rsidRPr="00A954A0">
        <w:rPr>
          <w:rFonts w:eastAsia="Calibri" w:cs="Calibri"/>
          <w:sz w:val="24"/>
          <w:szCs w:val="24"/>
        </w:rPr>
        <w:t xml:space="preserve"> providing food assistance benefits to about one in eight Americans. </w:t>
      </w:r>
      <w:r w:rsidRPr="005016C9">
        <w:rPr>
          <w:rFonts w:eastAsia="Calibri" w:cs="Calibri"/>
          <w:sz w:val="24"/>
          <w:szCs w:val="24"/>
        </w:rPr>
        <w:t xml:space="preserve">However, SNAP participants have been reported to consume lower quality diets and </w:t>
      </w:r>
      <w:r>
        <w:rPr>
          <w:rFonts w:eastAsia="Calibri" w:cs="Calibri"/>
          <w:sz w:val="24"/>
          <w:szCs w:val="24"/>
        </w:rPr>
        <w:t>fewer</w:t>
      </w:r>
      <w:r w:rsidRPr="005016C9">
        <w:rPr>
          <w:rFonts w:eastAsia="Calibri" w:cs="Calibri"/>
          <w:sz w:val="24"/>
          <w:szCs w:val="24"/>
        </w:rPr>
        <w:t xml:space="preserve"> fruit</w:t>
      </w:r>
      <w:r>
        <w:rPr>
          <w:rFonts w:eastAsia="Calibri" w:cs="Calibri"/>
          <w:sz w:val="24"/>
          <w:szCs w:val="24"/>
        </w:rPr>
        <w:t>s</w:t>
      </w:r>
      <w:r w:rsidRPr="005016C9">
        <w:rPr>
          <w:rFonts w:eastAsia="Calibri" w:cs="Calibri"/>
          <w:sz w:val="24"/>
          <w:szCs w:val="24"/>
        </w:rPr>
        <w:t xml:space="preserve"> and vegetables than non-participants</w:t>
      </w:r>
      <w:r>
        <w:rPr>
          <w:rFonts w:eastAsia="Calibri" w:cs="Calibri"/>
          <w:sz w:val="24"/>
          <w:szCs w:val="24"/>
        </w:rPr>
        <w:t>; and have been reported to have less</w:t>
      </w:r>
      <w:r w:rsidRPr="005016C9">
        <w:rPr>
          <w:rFonts w:eastAsia="Calibri" w:cs="Calibri"/>
          <w:sz w:val="24"/>
          <w:szCs w:val="24"/>
        </w:rPr>
        <w:t xml:space="preserve"> fruit and vegetable consumption than the general public.</w:t>
      </w:r>
      <w:r>
        <w:rPr>
          <w:rStyle w:val="FootnoteReference"/>
          <w:rFonts w:eastAsia="Calibri" w:cs="Calibri"/>
          <w:sz w:val="24"/>
          <w:szCs w:val="24"/>
        </w:rPr>
        <w:footnoteReference w:id="3"/>
      </w:r>
      <w:r w:rsidRPr="005016C9">
        <w:rPr>
          <w:rFonts w:eastAsia="Calibri" w:cs="Calibri"/>
          <w:sz w:val="24"/>
          <w:szCs w:val="24"/>
        </w:rPr>
        <w:t xml:space="preserve"> </w:t>
      </w:r>
      <w:r>
        <w:rPr>
          <w:rFonts w:eastAsia="Calibri" w:cs="Calibri"/>
          <w:sz w:val="24"/>
          <w:szCs w:val="24"/>
        </w:rPr>
        <w:t>T</w:t>
      </w:r>
      <w:r w:rsidRPr="005016C9">
        <w:rPr>
          <w:rFonts w:eastAsia="Calibri" w:cs="Calibri"/>
          <w:sz w:val="24"/>
          <w:szCs w:val="24"/>
        </w:rPr>
        <w:t>he cost of healthy foods is a barrier for families on SNAP who are trying to improve their diet quality.</w:t>
      </w:r>
      <w:r>
        <w:rPr>
          <w:rStyle w:val="FootnoteReference"/>
          <w:rFonts w:eastAsia="Calibri" w:cs="Calibri"/>
          <w:sz w:val="24"/>
          <w:szCs w:val="24"/>
        </w:rPr>
        <w:footnoteReference w:id="4"/>
      </w:r>
      <w:r>
        <w:rPr>
          <w:rFonts w:eastAsia="Calibri" w:cs="Calibri"/>
          <w:sz w:val="24"/>
          <w:szCs w:val="24"/>
          <w:vertAlign w:val="superscript"/>
        </w:rPr>
        <w:t>,</w:t>
      </w:r>
      <w:r>
        <w:rPr>
          <w:rStyle w:val="FootnoteReference"/>
          <w:rFonts w:eastAsia="Calibri" w:cs="Calibri"/>
          <w:sz w:val="24"/>
          <w:szCs w:val="24"/>
        </w:rPr>
        <w:footnoteReference w:id="5"/>
      </w:r>
      <w:r w:rsidRPr="005016C9">
        <w:rPr>
          <w:rFonts w:eastAsia="Calibri" w:cs="Calibri"/>
          <w:sz w:val="24"/>
          <w:szCs w:val="24"/>
        </w:rPr>
        <w:t xml:space="preserve"> </w:t>
      </w:r>
      <w:r w:rsidR="0039490C">
        <w:rPr>
          <w:rFonts w:eastAsia="Calibri" w:cs="Calibri"/>
          <w:sz w:val="24"/>
          <w:szCs w:val="24"/>
        </w:rPr>
        <w:t xml:space="preserve">Financial </w:t>
      </w:r>
      <w:r w:rsidR="007C60E8">
        <w:rPr>
          <w:rFonts w:eastAsia="Calibri" w:cs="Calibri"/>
          <w:sz w:val="24"/>
          <w:szCs w:val="24"/>
        </w:rPr>
        <w:t>i</w:t>
      </w:r>
      <w:r w:rsidRPr="005016C9">
        <w:rPr>
          <w:rFonts w:eastAsia="Calibri" w:cs="Calibri"/>
          <w:sz w:val="24"/>
          <w:szCs w:val="24"/>
        </w:rPr>
        <w:t xml:space="preserve">ncentives provided through SNAP </w:t>
      </w:r>
      <w:r w:rsidR="006B2F10">
        <w:rPr>
          <w:rFonts w:eastAsia="Calibri" w:cs="Calibri"/>
          <w:sz w:val="24"/>
          <w:szCs w:val="24"/>
        </w:rPr>
        <w:t>for purchasing fruits and vegetables</w:t>
      </w:r>
      <w:r w:rsidRPr="005016C9">
        <w:rPr>
          <w:rFonts w:eastAsia="Calibri" w:cs="Calibri"/>
          <w:sz w:val="24"/>
          <w:szCs w:val="24"/>
        </w:rPr>
        <w:t xml:space="preserve"> can lower the price </w:t>
      </w:r>
      <w:r w:rsidR="0089007C">
        <w:rPr>
          <w:rFonts w:eastAsia="Calibri" w:cs="Calibri"/>
          <w:sz w:val="24"/>
          <w:szCs w:val="24"/>
        </w:rPr>
        <w:t>and</w:t>
      </w:r>
      <w:r w:rsidRPr="005016C9">
        <w:rPr>
          <w:rFonts w:eastAsia="Calibri" w:cs="Calibri"/>
          <w:sz w:val="24"/>
          <w:szCs w:val="24"/>
        </w:rPr>
        <w:t xml:space="preserve"> increase the purchase of fruits and vegetables by families on SNAP.</w:t>
      </w:r>
      <w:r>
        <w:rPr>
          <w:rFonts w:eastAsia="Calibri" w:cs="Calibri"/>
          <w:sz w:val="24"/>
          <w:szCs w:val="24"/>
        </w:rPr>
        <w:t xml:space="preserve"> </w:t>
      </w:r>
    </w:p>
    <w:p w:rsidR="004C4DDE" w:rsidP="00BA1066" w14:paraId="1B6FA49F" w14:textId="0E45FE2D">
      <w:pPr>
        <w:pStyle w:val="BodyText-IPR"/>
        <w:spacing w:line="480" w:lineRule="auto"/>
        <w:rPr>
          <w:sz w:val="24"/>
          <w:szCs w:val="24"/>
        </w:rPr>
      </w:pPr>
      <w:r w:rsidRPr="005016C9">
        <w:rPr>
          <w:sz w:val="24"/>
          <w:szCs w:val="24"/>
        </w:rPr>
        <w:t xml:space="preserve">Since 2011, </w:t>
      </w:r>
      <w:r w:rsidR="00416AA6">
        <w:rPr>
          <w:sz w:val="24"/>
          <w:szCs w:val="24"/>
        </w:rPr>
        <w:t>USDA’s</w:t>
      </w:r>
      <w:r w:rsidRPr="005016C9">
        <w:rPr>
          <w:sz w:val="24"/>
          <w:szCs w:val="24"/>
        </w:rPr>
        <w:t xml:space="preserve"> Food and Nutrition Service (FNS) and the National Institute of Food and Agriculture (NIFA) have explored various aspects of SNAP nutrition incentives, including different implementation models, incentive amounts, and distribution methods.</w:t>
      </w:r>
      <w:r>
        <w:rPr>
          <w:sz w:val="24"/>
          <w:szCs w:val="24"/>
        </w:rPr>
        <w:t xml:space="preserve"> </w:t>
      </w:r>
      <w:r w:rsidRPr="005016C9">
        <w:rPr>
          <w:sz w:val="24"/>
          <w:szCs w:val="24"/>
        </w:rPr>
        <w:t>From 2011 to 2012, FNS’s Healthy Incentives Pilot (HIP)</w:t>
      </w:r>
      <w:r>
        <w:rPr>
          <w:sz w:val="24"/>
          <w:szCs w:val="24"/>
        </w:rPr>
        <w:t xml:space="preserve"> </w:t>
      </w:r>
      <w:r>
        <w:rPr>
          <w:sz w:val="24"/>
          <w:szCs w:val="24"/>
        </w:rPr>
        <w:t xml:space="preserve">credited </w:t>
      </w:r>
      <w:r w:rsidR="00E26EB0">
        <w:rPr>
          <w:sz w:val="24"/>
          <w:szCs w:val="24"/>
        </w:rPr>
        <w:t xml:space="preserve">randomly </w:t>
      </w:r>
      <w:r>
        <w:rPr>
          <w:sz w:val="24"/>
          <w:szCs w:val="24"/>
        </w:rPr>
        <w:t>select</w:t>
      </w:r>
      <w:r w:rsidR="00E26EB0">
        <w:rPr>
          <w:sz w:val="24"/>
          <w:szCs w:val="24"/>
        </w:rPr>
        <w:t>ed</w:t>
      </w:r>
      <w:r>
        <w:rPr>
          <w:sz w:val="24"/>
          <w:szCs w:val="24"/>
        </w:rPr>
        <w:t xml:space="preserve"> SNAP participants’ </w:t>
      </w:r>
      <w:r w:rsidRPr="004C4DDE">
        <w:rPr>
          <w:sz w:val="24"/>
          <w:szCs w:val="24"/>
        </w:rPr>
        <w:t>electronic benefits transfer (EBT) cards</w:t>
      </w:r>
      <w:r>
        <w:rPr>
          <w:sz w:val="24"/>
          <w:szCs w:val="24"/>
        </w:rPr>
        <w:t xml:space="preserve"> </w:t>
      </w:r>
      <w:r w:rsidRPr="004C4DDE">
        <w:rPr>
          <w:sz w:val="24"/>
          <w:szCs w:val="24"/>
        </w:rPr>
        <w:t>30 cents for every SNAP dollar spent on qualifying fruits and vegetables</w:t>
      </w:r>
      <w:r>
        <w:rPr>
          <w:sz w:val="24"/>
          <w:szCs w:val="24"/>
        </w:rPr>
        <w:t xml:space="preserve">. </w:t>
      </w:r>
      <w:r w:rsidRPr="004C4DDE">
        <w:rPr>
          <w:sz w:val="24"/>
          <w:szCs w:val="24"/>
        </w:rPr>
        <w:t>Evaluation findings indicate</w:t>
      </w:r>
      <w:r>
        <w:rPr>
          <w:sz w:val="24"/>
          <w:szCs w:val="24"/>
        </w:rPr>
        <w:t xml:space="preserve">d these incentives increased </w:t>
      </w:r>
      <w:r w:rsidRPr="004C4DDE">
        <w:rPr>
          <w:sz w:val="24"/>
          <w:szCs w:val="24"/>
        </w:rPr>
        <w:t>fruit and vegetable consumption by a quarter cup per day</w:t>
      </w:r>
      <w:r>
        <w:rPr>
          <w:sz w:val="24"/>
          <w:szCs w:val="24"/>
        </w:rPr>
        <w:t>.</w:t>
      </w:r>
      <w:r>
        <w:rPr>
          <w:rStyle w:val="FootnoteReference"/>
          <w:sz w:val="24"/>
          <w:szCs w:val="24"/>
        </w:rPr>
        <w:footnoteReference w:id="6"/>
      </w:r>
      <w:r>
        <w:rPr>
          <w:sz w:val="24"/>
          <w:szCs w:val="24"/>
        </w:rPr>
        <w:t xml:space="preserve"> </w:t>
      </w:r>
      <w:r w:rsidRPr="004C4DDE">
        <w:rPr>
          <w:sz w:val="24"/>
          <w:szCs w:val="24"/>
        </w:rPr>
        <w:t>Starting in 2015, the Gus Schumacher Nutrition Incentive Program (</w:t>
      </w:r>
      <w:r w:rsidR="00E523B6">
        <w:rPr>
          <w:sz w:val="24"/>
          <w:szCs w:val="24"/>
        </w:rPr>
        <w:t>GusNIP</w:t>
      </w:r>
      <w:r w:rsidR="008D3E44">
        <w:rPr>
          <w:sz w:val="24"/>
          <w:szCs w:val="24"/>
        </w:rPr>
        <w:t>)</w:t>
      </w:r>
      <w:r w:rsidR="00E523B6">
        <w:rPr>
          <w:sz w:val="24"/>
          <w:szCs w:val="24"/>
        </w:rPr>
        <w:t xml:space="preserve">, </w:t>
      </w:r>
      <w:r w:rsidRPr="004C4DDE">
        <w:rPr>
          <w:sz w:val="24"/>
          <w:szCs w:val="24"/>
        </w:rPr>
        <w:t>formerly the Food Insecurity Nutrition Incentives (FINI) Grant Program) administered by NIFA has provided funds to grantees to develop, test, and implement various incentive models for increasing purchases of fruits and vegetables.</w:t>
      </w:r>
      <w:r>
        <w:rPr>
          <w:sz w:val="24"/>
          <w:szCs w:val="24"/>
        </w:rPr>
        <w:t xml:space="preserve"> </w:t>
      </w:r>
      <w:r w:rsidRPr="004C4DDE">
        <w:rPr>
          <w:sz w:val="24"/>
          <w:szCs w:val="24"/>
        </w:rPr>
        <w:t xml:space="preserve">These incentives increased purchases of fruit and vegetables, and they were used more often when provided as electronic </w:t>
      </w:r>
      <w:r w:rsidR="00C35783">
        <w:rPr>
          <w:sz w:val="24"/>
          <w:szCs w:val="24"/>
        </w:rPr>
        <w:t>point-of-sale (</w:t>
      </w:r>
      <w:r w:rsidRPr="004C4DDE">
        <w:rPr>
          <w:sz w:val="24"/>
          <w:szCs w:val="24"/>
        </w:rPr>
        <w:t>POS</w:t>
      </w:r>
      <w:r w:rsidR="00C35783">
        <w:rPr>
          <w:sz w:val="24"/>
          <w:szCs w:val="24"/>
        </w:rPr>
        <w:t>)</w:t>
      </w:r>
      <w:r w:rsidRPr="004C4DDE">
        <w:rPr>
          <w:sz w:val="24"/>
          <w:szCs w:val="24"/>
        </w:rPr>
        <w:t xml:space="preserve"> discounts instead of rebates</w:t>
      </w:r>
      <w:r w:rsidR="00AB480E">
        <w:rPr>
          <w:sz w:val="24"/>
          <w:szCs w:val="24"/>
        </w:rPr>
        <w:t xml:space="preserve"> (e.g., coupons)</w:t>
      </w:r>
      <w:r>
        <w:rPr>
          <w:sz w:val="24"/>
          <w:szCs w:val="24"/>
        </w:rPr>
        <w:t>.</w:t>
      </w:r>
      <w:r>
        <w:rPr>
          <w:rStyle w:val="FootnoteReference"/>
          <w:sz w:val="24"/>
          <w:szCs w:val="24"/>
        </w:rPr>
        <w:footnoteReference w:id="7"/>
      </w:r>
      <w:r>
        <w:rPr>
          <w:sz w:val="24"/>
          <w:szCs w:val="24"/>
          <w:vertAlign w:val="superscript"/>
        </w:rPr>
        <w:t>,</w:t>
      </w:r>
      <w:r>
        <w:rPr>
          <w:rStyle w:val="FootnoteReference"/>
          <w:sz w:val="24"/>
          <w:szCs w:val="24"/>
        </w:rPr>
        <w:footnoteReference w:id="8"/>
      </w:r>
      <w:r w:rsidRPr="004C4DDE">
        <w:rPr>
          <w:sz w:val="24"/>
          <w:szCs w:val="24"/>
        </w:rPr>
        <w:t xml:space="preserve"> </w:t>
      </w:r>
    </w:p>
    <w:p w:rsidR="005016C9" w:rsidRPr="004C4DDE" w:rsidP="00BA1066" w14:paraId="584E79C1" w14:textId="38D8BBAD">
      <w:pPr>
        <w:pStyle w:val="BodyText-IPR"/>
        <w:spacing w:line="480" w:lineRule="auto"/>
        <w:rPr>
          <w:sz w:val="24"/>
          <w:szCs w:val="24"/>
        </w:rPr>
      </w:pPr>
      <w:r w:rsidRPr="004C4DDE">
        <w:rPr>
          <w:sz w:val="24"/>
          <w:szCs w:val="24"/>
        </w:rPr>
        <w:t xml:space="preserve">With the passage of the American Rescue Plan Act of 2021, FNS was allocated $25 million to enter into agreements with States to implement projects integrating nutrition incentives with </w:t>
      </w:r>
      <w:r w:rsidR="00652D17">
        <w:rPr>
          <w:sz w:val="24"/>
          <w:szCs w:val="24"/>
        </w:rPr>
        <w:t xml:space="preserve">SNAP </w:t>
      </w:r>
      <w:r w:rsidRPr="004C4DDE">
        <w:rPr>
          <w:sz w:val="24"/>
          <w:szCs w:val="24"/>
        </w:rPr>
        <w:t>EBT systems.</w:t>
      </w:r>
      <w:r>
        <w:rPr>
          <w:sz w:val="24"/>
          <w:szCs w:val="24"/>
        </w:rPr>
        <w:t xml:space="preserve"> </w:t>
      </w:r>
      <w:r w:rsidRPr="00D41188" w:rsidR="00D41188">
        <w:t xml:space="preserve"> </w:t>
      </w:r>
      <w:r w:rsidRPr="00D41188" w:rsidR="00D41188">
        <w:rPr>
          <w:sz w:val="24"/>
          <w:szCs w:val="24"/>
        </w:rPr>
        <w:t xml:space="preserve">In Fiscal Year 2023 FNS awarded grants to three States, Colorado, Louisiana, and Washington for implementing Electronic Healthy Incentives Projects (eHIP) to leverage EBT </w:t>
      </w:r>
      <w:r w:rsidRPr="00D41188" w:rsidR="00D41188">
        <w:rPr>
          <w:sz w:val="24"/>
          <w:szCs w:val="24"/>
        </w:rPr>
        <w:t>integration to deliver financial incentives at point of purchase to SNAP households when they purchase qualifying fruits and vegetables.</w:t>
      </w:r>
    </w:p>
    <w:p w:rsidR="00E523B6" w:rsidP="006C11FE" w14:paraId="7803F0F2" w14:textId="49C4E8E9">
      <w:pPr>
        <w:spacing w:after="240" w:line="480" w:lineRule="auto"/>
        <w:rPr>
          <w:sz w:val="24"/>
          <w:szCs w:val="24"/>
        </w:rPr>
      </w:pPr>
      <w:r w:rsidRPr="00A954A0">
        <w:rPr>
          <w:rFonts w:ascii="Calibri" w:eastAsia="Calibri" w:hAnsi="Calibri" w:cs="Calibri"/>
          <w:sz w:val="24"/>
          <w:szCs w:val="24"/>
        </w:rPr>
        <w:t>USDA</w:t>
      </w:r>
      <w:r w:rsidRPr="00A954A0" w:rsidR="1CBBCBB9">
        <w:rPr>
          <w:rFonts w:ascii="Calibri" w:eastAsia="Calibri" w:hAnsi="Calibri" w:cs="Calibri"/>
          <w:sz w:val="24"/>
          <w:szCs w:val="24"/>
        </w:rPr>
        <w:t xml:space="preserve"> FNS</w:t>
      </w:r>
      <w:r w:rsidRPr="00A954A0">
        <w:rPr>
          <w:rFonts w:ascii="Calibri" w:eastAsia="Calibri" w:hAnsi="Calibri" w:cs="Calibri"/>
          <w:sz w:val="24"/>
          <w:szCs w:val="24"/>
        </w:rPr>
        <w:t xml:space="preserve"> </w:t>
      </w:r>
      <w:r w:rsidRPr="00A954A0" w:rsidR="00D95104">
        <w:rPr>
          <w:rFonts w:ascii="Calibri" w:eastAsia="Calibri" w:hAnsi="Calibri" w:cs="Calibri"/>
          <w:sz w:val="24"/>
          <w:szCs w:val="24"/>
        </w:rPr>
        <w:t xml:space="preserve">funded this </w:t>
      </w:r>
      <w:r w:rsidRPr="00A954A0">
        <w:rPr>
          <w:rFonts w:ascii="Calibri" w:eastAsia="Calibri" w:hAnsi="Calibri" w:cs="Calibri"/>
          <w:sz w:val="24"/>
          <w:szCs w:val="24"/>
        </w:rPr>
        <w:t>study</w:t>
      </w:r>
      <w:r w:rsidR="008548BD">
        <w:rPr>
          <w:rFonts w:ascii="Calibri" w:eastAsia="Calibri" w:hAnsi="Calibri" w:cs="Calibri"/>
          <w:sz w:val="24"/>
          <w:szCs w:val="24"/>
        </w:rPr>
        <w:t xml:space="preserve">, separate from the eHIP project, </w:t>
      </w:r>
      <w:r w:rsidRPr="00A954A0" w:rsidR="1CBBCBB9">
        <w:rPr>
          <w:rFonts w:ascii="Calibri" w:eastAsia="Calibri" w:hAnsi="Calibri" w:cs="Calibri"/>
          <w:sz w:val="24"/>
          <w:szCs w:val="24"/>
        </w:rPr>
        <w:t xml:space="preserve">to </w:t>
      </w:r>
      <w:r w:rsidR="008548BD">
        <w:rPr>
          <w:rFonts w:ascii="Calibri" w:eastAsia="Calibri" w:hAnsi="Calibri" w:cs="Calibri"/>
          <w:sz w:val="24"/>
          <w:szCs w:val="24"/>
        </w:rPr>
        <w:t xml:space="preserve">calculate the costs of eHIP in the three States to determine the startup and ongoing costs of administering incentives to SNAP households through EBT integration and to estimate the cost of administering eHIP at scale. </w:t>
      </w:r>
    </w:p>
    <w:p w:rsidR="00E9773B" w:rsidRPr="00A954A0" w:rsidP="00C32C2C" w14:paraId="4470441A" w14:textId="26EC08C5">
      <w:pPr>
        <w:pStyle w:val="Heading1New"/>
      </w:pPr>
      <w:bookmarkStart w:id="3" w:name="_Toc148333336"/>
      <w:r w:rsidRPr="00A954A0">
        <w:t xml:space="preserve">A2. </w:t>
      </w:r>
      <w:r w:rsidR="00D41188">
        <w:t xml:space="preserve">Purpose and use of the information: </w:t>
      </w:r>
      <w:r w:rsidRPr="00A954A0">
        <w:t xml:space="preserve">Indicate how, by whom, and for what purpose the information is to be used. Except for a new collection, indicate how the agency has </w:t>
      </w:r>
      <w:r w:rsidRPr="00A954A0">
        <w:t>actually used</w:t>
      </w:r>
      <w:r w:rsidRPr="00A954A0">
        <w:t xml:space="preserve"> the information received from the current collection.</w:t>
      </w:r>
      <w:bookmarkEnd w:id="3"/>
    </w:p>
    <w:p w:rsidR="00C434C8" w:rsidP="001D16F5" w14:paraId="02D41E20" w14:textId="59ABEA1B">
      <w:pPr>
        <w:spacing w:after="240" w:line="480" w:lineRule="auto"/>
        <w:rPr>
          <w:sz w:val="24"/>
          <w:szCs w:val="24"/>
        </w:rPr>
      </w:pPr>
      <w:r>
        <w:rPr>
          <w:b/>
          <w:bCs/>
          <w:sz w:val="24"/>
          <w:szCs w:val="24"/>
        </w:rPr>
        <w:t xml:space="preserve">Purpose and use of information. </w:t>
      </w:r>
      <w:r w:rsidR="00D842C9">
        <w:rPr>
          <w:sz w:val="24"/>
          <w:szCs w:val="24"/>
        </w:rPr>
        <w:t>This study</w:t>
      </w:r>
      <w:r w:rsidR="008548BD">
        <w:rPr>
          <w:sz w:val="24"/>
          <w:szCs w:val="24"/>
        </w:rPr>
        <w:t>, conducted by Westat,</w:t>
      </w:r>
      <w:r w:rsidR="00D842C9">
        <w:rPr>
          <w:sz w:val="24"/>
          <w:szCs w:val="24"/>
        </w:rPr>
        <w:t xml:space="preserve"> will provide FNS with a comprehensive understanding of </w:t>
      </w:r>
      <w:r>
        <w:rPr>
          <w:sz w:val="24"/>
          <w:szCs w:val="24"/>
        </w:rPr>
        <w:t xml:space="preserve">the </w:t>
      </w:r>
      <w:r w:rsidR="00BA21B3">
        <w:rPr>
          <w:sz w:val="24"/>
          <w:szCs w:val="24"/>
        </w:rPr>
        <w:t xml:space="preserve">costs </w:t>
      </w:r>
      <w:r>
        <w:rPr>
          <w:sz w:val="24"/>
          <w:szCs w:val="24"/>
        </w:rPr>
        <w:t>of e</w:t>
      </w:r>
      <w:r w:rsidR="00C12E02">
        <w:rPr>
          <w:sz w:val="24"/>
          <w:szCs w:val="24"/>
        </w:rPr>
        <w:t>HIP</w:t>
      </w:r>
      <w:r w:rsidR="00BA21B3">
        <w:rPr>
          <w:sz w:val="24"/>
          <w:szCs w:val="24"/>
        </w:rPr>
        <w:t xml:space="preserve">. This will </w:t>
      </w:r>
      <w:r w:rsidR="008548BD">
        <w:rPr>
          <w:sz w:val="24"/>
          <w:szCs w:val="24"/>
        </w:rPr>
        <w:t>provide information to</w:t>
      </w:r>
      <w:r w:rsidR="00BA21B3">
        <w:rPr>
          <w:sz w:val="24"/>
          <w:szCs w:val="24"/>
        </w:rPr>
        <w:t xml:space="preserve"> FNS as it considers nationwide expansion of eHIP. Table A2.1 provides the objectives</w:t>
      </w:r>
      <w:r w:rsidR="006D33B9">
        <w:rPr>
          <w:sz w:val="24"/>
          <w:szCs w:val="24"/>
        </w:rPr>
        <w:t xml:space="preserve"> and </w:t>
      </w:r>
      <w:r w:rsidR="00AA5BF6">
        <w:rPr>
          <w:sz w:val="24"/>
          <w:szCs w:val="24"/>
        </w:rPr>
        <w:t xml:space="preserve">associated </w:t>
      </w:r>
      <w:r w:rsidR="00860449">
        <w:rPr>
          <w:sz w:val="24"/>
          <w:szCs w:val="24"/>
        </w:rPr>
        <w:t>research questions</w:t>
      </w:r>
      <w:r w:rsidR="00BA21B3">
        <w:rPr>
          <w:sz w:val="24"/>
          <w:szCs w:val="24"/>
        </w:rPr>
        <w:t xml:space="preserve">. </w:t>
      </w:r>
      <w:r w:rsidR="0013731A">
        <w:rPr>
          <w:sz w:val="24"/>
          <w:szCs w:val="24"/>
        </w:rPr>
        <w:t xml:space="preserve">The information collected will be used to complete these objectives. </w:t>
      </w:r>
    </w:p>
    <w:p w:rsidR="00C434C8" w:rsidRPr="00A954A0" w:rsidP="00C434C8" w14:paraId="2F751F70" w14:textId="2AF3A0AC">
      <w:pPr>
        <w:pStyle w:val="TableTitle-IPR"/>
        <w:rPr>
          <w:sz w:val="24"/>
        </w:rPr>
      </w:pPr>
      <w:bookmarkStart w:id="4" w:name="_Toc170219528"/>
      <w:r w:rsidRPr="00A954A0">
        <w:rPr>
          <w:sz w:val="24"/>
        </w:rPr>
        <w:t xml:space="preserve">Table A2.1. </w:t>
      </w:r>
      <w:r w:rsidR="00BA21B3">
        <w:rPr>
          <w:sz w:val="24"/>
        </w:rPr>
        <w:t>Study Objectives</w:t>
      </w:r>
      <w:bookmarkEnd w:id="4"/>
    </w:p>
    <w:tbl>
      <w:tblPr>
        <w:tblStyle w:val="InsightTable"/>
        <w:tblW w:w="5000" w:type="pct"/>
        <w:tblInd w:w="0" w:type="dxa"/>
        <w:tblLook w:val="04A0"/>
      </w:tblPr>
      <w:tblGrid>
        <w:gridCol w:w="9360"/>
      </w:tblGrid>
      <w:tr w14:paraId="2CD1F063" w14:textId="77777777" w:rsidTr="00BA21B3">
        <w:tblPrEx>
          <w:tblW w:w="5000" w:type="pct"/>
          <w:tblInd w:w="0" w:type="dxa"/>
          <w:tblLook w:val="04A0"/>
        </w:tblPrEx>
        <w:trPr>
          <w:trHeight w:val="120"/>
          <w:tblHeader/>
        </w:trPr>
        <w:tc>
          <w:tcPr>
            <w:tcW w:w="5000" w:type="pct"/>
            <w:tcBorders>
              <w:top w:val="single" w:sz="8" w:space="0" w:color="003C79"/>
              <w:bottom w:val="single" w:sz="8" w:space="0" w:color="003C79"/>
            </w:tcBorders>
            <w:hideMark/>
          </w:tcPr>
          <w:p w:rsidR="00BA21B3" w:rsidRPr="007C1C52" w:rsidP="00BA21B3" w14:paraId="3B43CD40" w14:textId="7A7B15FA">
            <w:pPr>
              <w:pStyle w:val="TableHeaderRow-IPR"/>
              <w:rPr>
                <w:szCs w:val="18"/>
              </w:rPr>
            </w:pPr>
            <w:r>
              <w:rPr>
                <w:szCs w:val="18"/>
              </w:rPr>
              <w:t>Study objectives</w:t>
            </w:r>
          </w:p>
        </w:tc>
      </w:tr>
      <w:tr w14:paraId="0F952D26" w14:textId="77777777" w:rsidTr="00BA21B3">
        <w:tblPrEx>
          <w:tblW w:w="5000" w:type="pct"/>
          <w:tblInd w:w="0" w:type="dxa"/>
          <w:tblLook w:val="04A0"/>
        </w:tblPrEx>
        <w:trPr>
          <w:trHeight w:val="120"/>
        </w:trPr>
        <w:tc>
          <w:tcPr>
            <w:tcW w:w="5000" w:type="pct"/>
            <w:tcBorders>
              <w:top w:val="single" w:sz="8" w:space="0" w:color="003C79"/>
            </w:tcBorders>
            <w:hideMark/>
          </w:tcPr>
          <w:p w:rsidR="00BA21B3" w:rsidRPr="0098370C" w:rsidP="00BA21B3" w14:paraId="0CFFCF66" w14:textId="43787522">
            <w:pPr>
              <w:pStyle w:val="TableText-IPR"/>
              <w:jc w:val="center"/>
            </w:pPr>
            <w:r w:rsidRPr="00FE141F">
              <w:rPr>
                <w:b/>
              </w:rPr>
              <w:t>Objective 1: Quantify, to the extent possible, the cost of administering eHIP.</w:t>
            </w:r>
          </w:p>
        </w:tc>
      </w:tr>
      <w:tr w14:paraId="61977264" w14:textId="77777777" w:rsidTr="00734F4F">
        <w:tblPrEx>
          <w:tblW w:w="5000" w:type="pct"/>
          <w:tblInd w:w="0" w:type="dxa"/>
          <w:tblLook w:val="04A0"/>
        </w:tblPrEx>
        <w:trPr>
          <w:trHeight w:val="120"/>
        </w:trPr>
        <w:tc>
          <w:tcPr>
            <w:tcW w:w="5000" w:type="pct"/>
          </w:tcPr>
          <w:p w:rsidR="00120465" w:rsidRPr="00120465" w:rsidP="00120465" w14:paraId="45B23B3D" w14:textId="4EDC546E">
            <w:pPr>
              <w:pStyle w:val="TableText-IPR"/>
              <w:rPr>
                <w:i/>
              </w:rPr>
            </w:pPr>
            <w:r>
              <w:rPr>
                <w:i/>
              </w:rPr>
              <w:t xml:space="preserve">Identify and determine: </w:t>
            </w:r>
          </w:p>
        </w:tc>
      </w:tr>
      <w:tr w14:paraId="34007304" w14:textId="77777777" w:rsidTr="00734F4F">
        <w:tblPrEx>
          <w:tblW w:w="5000" w:type="pct"/>
          <w:tblInd w:w="0" w:type="dxa"/>
          <w:tblLook w:val="04A0"/>
        </w:tblPrEx>
        <w:trPr>
          <w:trHeight w:val="120"/>
        </w:trPr>
        <w:tc>
          <w:tcPr>
            <w:tcW w:w="5000" w:type="pct"/>
          </w:tcPr>
          <w:p w:rsidR="00BA21B3" w:rsidRPr="0098370C" w:rsidP="0003577E" w14:paraId="545DF803" w14:textId="4B4CA5E3">
            <w:pPr>
              <w:pStyle w:val="TableText-IPR"/>
              <w:numPr>
                <w:ilvl w:val="0"/>
                <w:numId w:val="28"/>
              </w:numPr>
              <w:ind w:left="480"/>
            </w:pPr>
            <w:r>
              <w:t>T</w:t>
            </w:r>
            <w:r w:rsidRPr="00FE141F">
              <w:t>he cost of each eHIP project, overal</w:t>
            </w:r>
            <w:r>
              <w:t>l and disaggregated by function</w:t>
            </w:r>
            <w:r w:rsidR="006C28F4">
              <w:t xml:space="preserve"> (</w:t>
            </w:r>
            <w:r w:rsidR="00B8471D">
              <w:t>e.g., State administrative expenses, EBT and retailer systems changes, retailer recruitment, project promotion, incentive payments)</w:t>
            </w:r>
            <w:r>
              <w:t>.</w:t>
            </w:r>
          </w:p>
        </w:tc>
      </w:tr>
      <w:tr w14:paraId="3D7959EF" w14:textId="77777777" w:rsidTr="00734F4F">
        <w:tblPrEx>
          <w:tblW w:w="5000" w:type="pct"/>
          <w:tblInd w:w="0" w:type="dxa"/>
          <w:tblLook w:val="04A0"/>
        </w:tblPrEx>
        <w:trPr>
          <w:trHeight w:val="120"/>
        </w:trPr>
        <w:tc>
          <w:tcPr>
            <w:tcW w:w="5000" w:type="pct"/>
          </w:tcPr>
          <w:p w:rsidR="00BA21B3" w:rsidRPr="0098370C" w:rsidP="006D33B9" w14:paraId="0D096BCD" w14:textId="4F182E6F">
            <w:pPr>
              <w:pStyle w:val="TableText-IPR"/>
              <w:numPr>
                <w:ilvl w:val="0"/>
                <w:numId w:val="28"/>
              </w:numPr>
              <w:ind w:left="504"/>
            </w:pPr>
            <w:r>
              <w:t>R</w:t>
            </w:r>
            <w:r w:rsidRPr="00FE141F">
              <w:t xml:space="preserve">esources FNS, State agencies, EBT processors, retailers, and other stakeholders </w:t>
            </w:r>
            <w:r w:rsidRPr="00FE141F" w:rsidR="006D33B9">
              <w:t>commit</w:t>
            </w:r>
            <w:r w:rsidR="006D33B9">
              <w:t>ted</w:t>
            </w:r>
            <w:r w:rsidRPr="00FE141F">
              <w:t xml:space="preserve"> to </w:t>
            </w:r>
            <w:r w:rsidR="006D33B9">
              <w:t>implement eHIP</w:t>
            </w:r>
            <w:r>
              <w:t>, by project</w:t>
            </w:r>
            <w:r w:rsidR="006D33B9">
              <w:t>.</w:t>
            </w:r>
          </w:p>
        </w:tc>
      </w:tr>
      <w:tr w14:paraId="2DC6CA76" w14:textId="77777777" w:rsidTr="00734F4F">
        <w:tblPrEx>
          <w:tblW w:w="5000" w:type="pct"/>
          <w:tblInd w:w="0" w:type="dxa"/>
          <w:tblLook w:val="04A0"/>
        </w:tblPrEx>
        <w:trPr>
          <w:trHeight w:val="120"/>
        </w:trPr>
        <w:tc>
          <w:tcPr>
            <w:tcW w:w="5000" w:type="pct"/>
          </w:tcPr>
          <w:p w:rsidR="00BA21B3" w:rsidRPr="0098370C" w:rsidP="00120465" w14:paraId="0BAE0371" w14:textId="4F1F1D68">
            <w:pPr>
              <w:pStyle w:val="TableText-IPR"/>
              <w:numPr>
                <w:ilvl w:val="0"/>
                <w:numId w:val="28"/>
              </w:numPr>
              <w:ind w:left="504"/>
            </w:pPr>
            <w:r>
              <w:t>A</w:t>
            </w:r>
            <w:r w:rsidRPr="00FE141F">
              <w:t>dditional fundin</w:t>
            </w:r>
            <w:r w:rsidR="006D33B9">
              <w:t xml:space="preserve">g and/or in-kind contributions </w:t>
            </w:r>
            <w:r w:rsidRPr="00FE141F">
              <w:t>used for the project</w:t>
            </w:r>
            <w:r w:rsidR="006D33B9">
              <w:t>s, and w</w:t>
            </w:r>
            <w:r w:rsidRPr="00FE141F">
              <w:t>hat</w:t>
            </w:r>
            <w:r w:rsidR="006D33B9">
              <w:t xml:space="preserve"> </w:t>
            </w:r>
            <w:r w:rsidRPr="00FE141F">
              <w:t xml:space="preserve">these resources </w:t>
            </w:r>
            <w:r w:rsidR="006D33B9">
              <w:t>were put toward.</w:t>
            </w:r>
          </w:p>
        </w:tc>
      </w:tr>
      <w:tr w14:paraId="16B35C8B" w14:textId="77777777" w:rsidTr="00734F4F">
        <w:tblPrEx>
          <w:tblW w:w="5000" w:type="pct"/>
          <w:tblInd w:w="0" w:type="dxa"/>
          <w:tblLook w:val="04A0"/>
        </w:tblPrEx>
        <w:trPr>
          <w:trHeight w:val="120"/>
        </w:trPr>
        <w:tc>
          <w:tcPr>
            <w:tcW w:w="5000" w:type="pct"/>
          </w:tcPr>
          <w:p w:rsidR="00BA21B3" w:rsidRPr="0098370C" w:rsidP="006D33B9" w14:paraId="61084E5E" w14:textId="3CCC0ED4">
            <w:pPr>
              <w:pStyle w:val="TableText-IPR"/>
              <w:numPr>
                <w:ilvl w:val="0"/>
                <w:numId w:val="28"/>
              </w:numPr>
              <w:ind w:left="504"/>
            </w:pPr>
            <w:r>
              <w:t>C</w:t>
            </w:r>
            <w:r w:rsidRPr="00FE141F">
              <w:t>osts primarily associated with the initial start</w:t>
            </w:r>
            <w:r>
              <w:t>-</w:t>
            </w:r>
            <w:r w:rsidR="006D33B9">
              <w:t>up.</w:t>
            </w:r>
          </w:p>
        </w:tc>
      </w:tr>
      <w:tr w14:paraId="73EB66C5" w14:textId="77777777" w:rsidTr="00734F4F">
        <w:tblPrEx>
          <w:tblW w:w="5000" w:type="pct"/>
          <w:tblInd w:w="0" w:type="dxa"/>
          <w:tblLook w:val="04A0"/>
        </w:tblPrEx>
        <w:trPr>
          <w:trHeight w:val="120"/>
        </w:trPr>
        <w:tc>
          <w:tcPr>
            <w:tcW w:w="5000" w:type="pct"/>
          </w:tcPr>
          <w:p w:rsidR="00BA21B3" w:rsidRPr="0098370C" w:rsidP="00BA21B3" w14:paraId="3B98E73A" w14:textId="5583F46C">
            <w:pPr>
              <w:pStyle w:val="TableText-IPR"/>
              <w:numPr>
                <w:ilvl w:val="0"/>
                <w:numId w:val="28"/>
              </w:numPr>
              <w:ind w:left="504"/>
            </w:pPr>
            <w:r>
              <w:t>C</w:t>
            </w:r>
            <w:r w:rsidRPr="00FE141F">
              <w:t>osts associa</w:t>
            </w:r>
            <w:r w:rsidR="006D33B9">
              <w:t>ted with ongoing administration.</w:t>
            </w:r>
          </w:p>
        </w:tc>
      </w:tr>
      <w:tr w14:paraId="04E876AB" w14:textId="77777777" w:rsidTr="00E264A3">
        <w:tblPrEx>
          <w:tblW w:w="5000" w:type="pct"/>
          <w:tblInd w:w="0" w:type="dxa"/>
          <w:tblLook w:val="04A0"/>
        </w:tblPrEx>
        <w:trPr>
          <w:trHeight w:val="120"/>
        </w:trPr>
        <w:tc>
          <w:tcPr>
            <w:tcW w:w="5000" w:type="pct"/>
          </w:tcPr>
          <w:p w:rsidR="0017332A" w:rsidRPr="0098370C" w:rsidP="00E264A3" w14:paraId="7DF396AD" w14:textId="2F12DC33">
            <w:pPr>
              <w:pStyle w:val="TableText-IPR"/>
              <w:numPr>
                <w:ilvl w:val="0"/>
                <w:numId w:val="28"/>
              </w:numPr>
              <w:ind w:left="504"/>
            </w:pPr>
            <w:r>
              <w:t>H</w:t>
            </w:r>
            <w:r w:rsidRPr="00FE141F">
              <w:t>ow many incentives were issued (by total dollar value and number of transactions)</w:t>
            </w:r>
            <w:r>
              <w:t>, h</w:t>
            </w:r>
            <w:r w:rsidRPr="00FE141F">
              <w:t>ow many households were issued incentives</w:t>
            </w:r>
            <w:r>
              <w:t>, and, how</w:t>
            </w:r>
            <w:r w:rsidRPr="00FE141F">
              <w:t xml:space="preserve"> issuance var</w:t>
            </w:r>
            <w:r>
              <w:t xml:space="preserve">ies </w:t>
            </w:r>
            <w:r w:rsidRPr="00FE141F">
              <w:t>by project features, including incentive model, incentive amoun</w:t>
            </w:r>
            <w:r>
              <w:t>t, retailer type, and geography.</w:t>
            </w:r>
          </w:p>
        </w:tc>
      </w:tr>
      <w:tr w14:paraId="59CA725F" w14:textId="77777777" w:rsidTr="00734F4F">
        <w:tblPrEx>
          <w:tblW w:w="5000" w:type="pct"/>
          <w:tblInd w:w="0" w:type="dxa"/>
          <w:tblLook w:val="04A0"/>
        </w:tblPrEx>
        <w:trPr>
          <w:trHeight w:val="120"/>
        </w:trPr>
        <w:tc>
          <w:tcPr>
            <w:tcW w:w="5000" w:type="pct"/>
          </w:tcPr>
          <w:p w:rsidR="00BA21B3" w:rsidRPr="0098370C" w:rsidP="006D33B9" w14:paraId="4EC0E97E" w14:textId="53FA30FE">
            <w:pPr>
              <w:pStyle w:val="TableText-IPR"/>
              <w:numPr>
                <w:ilvl w:val="0"/>
                <w:numId w:val="28"/>
              </w:numPr>
              <w:ind w:left="504"/>
            </w:pPr>
            <w:r>
              <w:t>H</w:t>
            </w:r>
            <w:r w:rsidRPr="00FE141F">
              <w:t xml:space="preserve">ow many incentives </w:t>
            </w:r>
            <w:r w:rsidR="006D33B9">
              <w:t>redeemed</w:t>
            </w:r>
            <w:r w:rsidRPr="00FE141F">
              <w:t xml:space="preserve"> (by total dollar value and number of transactions)</w:t>
            </w:r>
            <w:r w:rsidR="006D33B9">
              <w:t>, h</w:t>
            </w:r>
            <w:r w:rsidRPr="00FE141F">
              <w:t xml:space="preserve">ow many households </w:t>
            </w:r>
            <w:r w:rsidR="006D33B9">
              <w:t>redeemed</w:t>
            </w:r>
            <w:r w:rsidRPr="00FE141F">
              <w:t xml:space="preserve"> incentives</w:t>
            </w:r>
            <w:r w:rsidR="006D33B9">
              <w:t>, and, how</w:t>
            </w:r>
            <w:r w:rsidRPr="00FE141F">
              <w:t xml:space="preserve"> </w:t>
            </w:r>
            <w:r w:rsidR="006D33B9">
              <w:t>redemption</w:t>
            </w:r>
            <w:r w:rsidRPr="00FE141F">
              <w:t xml:space="preserve"> var</w:t>
            </w:r>
            <w:r w:rsidR="006D33B9">
              <w:t xml:space="preserve">ies </w:t>
            </w:r>
            <w:r w:rsidRPr="00FE141F">
              <w:t>by project features, including incentive model, incentive amoun</w:t>
            </w:r>
            <w:r w:rsidR="006D33B9">
              <w:t>t, retailer type, and geography.</w:t>
            </w:r>
          </w:p>
        </w:tc>
      </w:tr>
    </w:tbl>
    <w:p w:rsidR="00A46DC2" w:rsidRPr="00A954A0" w:rsidP="00A46DC2" w14:paraId="7A52ED21" w14:textId="32A81001">
      <w:pPr>
        <w:pStyle w:val="TableTitle-IPR"/>
        <w:rPr>
          <w:sz w:val="24"/>
        </w:rPr>
      </w:pPr>
      <w:bookmarkStart w:id="5" w:name="_Toc170219529"/>
      <w:r w:rsidRPr="00A954A0">
        <w:rPr>
          <w:sz w:val="24"/>
        </w:rPr>
        <w:t xml:space="preserve">Table A2.1. </w:t>
      </w:r>
      <w:r>
        <w:rPr>
          <w:sz w:val="24"/>
        </w:rPr>
        <w:t>Study Objectives, continued</w:t>
      </w:r>
      <w:bookmarkEnd w:id="5"/>
    </w:p>
    <w:tbl>
      <w:tblPr>
        <w:tblStyle w:val="InsightTable"/>
        <w:tblW w:w="5000" w:type="pct"/>
        <w:tblInd w:w="0" w:type="dxa"/>
        <w:tblLook w:val="04A0"/>
      </w:tblPr>
      <w:tblGrid>
        <w:gridCol w:w="9360"/>
      </w:tblGrid>
      <w:tr w14:paraId="2F94BFD4" w14:textId="77777777" w:rsidTr="00D937AE">
        <w:tblPrEx>
          <w:tblW w:w="5000" w:type="pct"/>
          <w:tblInd w:w="0" w:type="dxa"/>
          <w:tblLook w:val="04A0"/>
        </w:tblPrEx>
        <w:trPr>
          <w:trHeight w:val="120"/>
          <w:tblHeader/>
        </w:trPr>
        <w:tc>
          <w:tcPr>
            <w:tcW w:w="5000" w:type="pct"/>
            <w:tcBorders>
              <w:top w:val="single" w:sz="8" w:space="0" w:color="003C79"/>
              <w:bottom w:val="single" w:sz="8" w:space="0" w:color="003C79"/>
            </w:tcBorders>
            <w:hideMark/>
          </w:tcPr>
          <w:p w:rsidR="00A46DC2" w:rsidRPr="007C1C52" w:rsidP="00D937AE" w14:paraId="5A5FFDB4" w14:textId="77777777">
            <w:pPr>
              <w:pStyle w:val="TableHeaderRow-IPR"/>
              <w:rPr>
                <w:szCs w:val="18"/>
              </w:rPr>
            </w:pPr>
            <w:r>
              <w:rPr>
                <w:szCs w:val="18"/>
              </w:rPr>
              <w:t>Study objectives</w:t>
            </w:r>
          </w:p>
        </w:tc>
      </w:tr>
      <w:tr w14:paraId="62C587F7" w14:textId="77777777" w:rsidTr="00D937AE">
        <w:tblPrEx>
          <w:tblW w:w="5000" w:type="pct"/>
          <w:tblInd w:w="0" w:type="dxa"/>
          <w:tblLook w:val="04A0"/>
        </w:tblPrEx>
        <w:trPr>
          <w:trHeight w:val="120"/>
        </w:trPr>
        <w:tc>
          <w:tcPr>
            <w:tcW w:w="5000" w:type="pct"/>
          </w:tcPr>
          <w:p w:rsidR="00A46DC2" w:rsidRPr="0098370C" w:rsidP="00D937AE" w14:paraId="67EF4F63" w14:textId="77777777">
            <w:pPr>
              <w:pStyle w:val="TableText-IPR"/>
              <w:jc w:val="center"/>
            </w:pPr>
            <w:r w:rsidRPr="000E1024">
              <w:rPr>
                <w:b/>
                <w:bCs/>
              </w:rPr>
              <w:t>Objective 2: Estimate the cost of nationwide expansion of eHIP.</w:t>
            </w:r>
          </w:p>
        </w:tc>
      </w:tr>
      <w:tr w14:paraId="02E06064" w14:textId="77777777" w:rsidTr="00D937AE">
        <w:tblPrEx>
          <w:tblW w:w="5000" w:type="pct"/>
          <w:tblInd w:w="0" w:type="dxa"/>
          <w:tblLook w:val="04A0"/>
        </w:tblPrEx>
        <w:trPr>
          <w:trHeight w:val="120"/>
        </w:trPr>
        <w:tc>
          <w:tcPr>
            <w:tcW w:w="5000" w:type="pct"/>
          </w:tcPr>
          <w:p w:rsidR="00A46DC2" w:rsidRPr="00120465" w:rsidP="00D937AE" w14:paraId="4EFE0A5D" w14:textId="77777777">
            <w:pPr>
              <w:pStyle w:val="TableText-IPR"/>
            </w:pPr>
            <w:r>
              <w:rPr>
                <w:i/>
              </w:rPr>
              <w:t>Identify and determine:</w:t>
            </w:r>
          </w:p>
        </w:tc>
      </w:tr>
      <w:tr w14:paraId="169C21E8" w14:textId="77777777" w:rsidTr="00D937AE">
        <w:tblPrEx>
          <w:tblW w:w="5000" w:type="pct"/>
          <w:tblInd w:w="0" w:type="dxa"/>
          <w:tblLook w:val="04A0"/>
        </w:tblPrEx>
        <w:trPr>
          <w:trHeight w:val="120"/>
        </w:trPr>
        <w:tc>
          <w:tcPr>
            <w:tcW w:w="5000" w:type="pct"/>
          </w:tcPr>
          <w:p w:rsidR="00A46DC2" w:rsidRPr="0098370C" w:rsidP="00D937AE" w14:paraId="74DE7E31" w14:textId="77777777">
            <w:pPr>
              <w:pStyle w:val="TableText-IPR"/>
              <w:numPr>
                <w:ilvl w:val="0"/>
                <w:numId w:val="29"/>
              </w:numPr>
              <w:ind w:left="504"/>
            </w:pPr>
            <w:r>
              <w:t>T</w:t>
            </w:r>
            <w:r w:rsidRPr="00FE141F">
              <w:t>he pro</w:t>
            </w:r>
            <w:r>
              <w:t xml:space="preserve">jected costs of eHIP nationwide, </w:t>
            </w:r>
            <w:r w:rsidRPr="00FE141F">
              <w:t>overall and disaggregat</w:t>
            </w:r>
            <w:r>
              <w:t>ed by function and stakeholder.</w:t>
            </w:r>
          </w:p>
        </w:tc>
      </w:tr>
      <w:tr w14:paraId="2A0DD346" w14:textId="77777777" w:rsidTr="00D937AE">
        <w:tblPrEx>
          <w:tblW w:w="5000" w:type="pct"/>
          <w:tblInd w:w="0" w:type="dxa"/>
          <w:tblLook w:val="04A0"/>
        </w:tblPrEx>
        <w:trPr>
          <w:trHeight w:val="120"/>
        </w:trPr>
        <w:tc>
          <w:tcPr>
            <w:tcW w:w="5000" w:type="pct"/>
          </w:tcPr>
          <w:p w:rsidR="00A46DC2" w:rsidRPr="0098370C" w:rsidP="00D937AE" w14:paraId="7ECD6E4F" w14:textId="77777777">
            <w:pPr>
              <w:pStyle w:val="TableText-IPR"/>
              <w:numPr>
                <w:ilvl w:val="0"/>
                <w:numId w:val="29"/>
              </w:numPr>
              <w:ind w:left="504"/>
            </w:pPr>
            <w:r>
              <w:t>The costs</w:t>
            </w:r>
            <w:r w:rsidRPr="00FE141F">
              <w:t xml:space="preserve"> </w:t>
            </w:r>
            <w:r>
              <w:t xml:space="preserve">that would be </w:t>
            </w:r>
            <w:r w:rsidRPr="00FE141F">
              <w:t>primarily assoc</w:t>
            </w:r>
            <w:r>
              <w:t>iated with the initial start-up.</w:t>
            </w:r>
          </w:p>
        </w:tc>
      </w:tr>
      <w:tr w14:paraId="0BAB21F4" w14:textId="77777777" w:rsidTr="00D937AE">
        <w:tblPrEx>
          <w:tblW w:w="5000" w:type="pct"/>
          <w:tblInd w:w="0" w:type="dxa"/>
          <w:tblLook w:val="04A0"/>
        </w:tblPrEx>
        <w:trPr>
          <w:trHeight w:val="120"/>
        </w:trPr>
        <w:tc>
          <w:tcPr>
            <w:tcW w:w="5000" w:type="pct"/>
          </w:tcPr>
          <w:p w:rsidR="00A46DC2" w:rsidRPr="0098370C" w:rsidP="00D937AE" w14:paraId="6F6EE098" w14:textId="77777777">
            <w:pPr>
              <w:pStyle w:val="TableText-IPR"/>
              <w:numPr>
                <w:ilvl w:val="0"/>
                <w:numId w:val="29"/>
              </w:numPr>
              <w:ind w:left="504"/>
            </w:pPr>
            <w:r>
              <w:t>T</w:t>
            </w:r>
            <w:r w:rsidRPr="00FE141F">
              <w:t xml:space="preserve">he costs </w:t>
            </w:r>
            <w:r>
              <w:t xml:space="preserve">that would be </w:t>
            </w:r>
            <w:r w:rsidRPr="00FE141F">
              <w:t>associa</w:t>
            </w:r>
            <w:r>
              <w:t>ted with ongoing administration.</w:t>
            </w:r>
          </w:p>
        </w:tc>
      </w:tr>
      <w:tr w14:paraId="6ED6CA64" w14:textId="77777777" w:rsidTr="00D937AE">
        <w:tblPrEx>
          <w:tblW w:w="5000" w:type="pct"/>
          <w:tblInd w:w="0" w:type="dxa"/>
          <w:tblLook w:val="04A0"/>
        </w:tblPrEx>
        <w:trPr>
          <w:trHeight w:val="120"/>
        </w:trPr>
        <w:tc>
          <w:tcPr>
            <w:tcW w:w="5000" w:type="pct"/>
          </w:tcPr>
          <w:p w:rsidR="00A46DC2" w:rsidRPr="0098370C" w:rsidP="00D937AE" w14:paraId="3F42557F" w14:textId="77777777">
            <w:pPr>
              <w:pStyle w:val="TableText-IPR"/>
              <w:numPr>
                <w:ilvl w:val="0"/>
                <w:numId w:val="29"/>
              </w:numPr>
              <w:ind w:left="504"/>
            </w:pPr>
            <w:r>
              <w:t>F</w:t>
            </w:r>
            <w:r w:rsidRPr="00FE141F">
              <w:t xml:space="preserve">actors </w:t>
            </w:r>
            <w:r>
              <w:t xml:space="preserve">that </w:t>
            </w:r>
            <w:r w:rsidRPr="00FE141F">
              <w:t xml:space="preserve">would help to reduce the </w:t>
            </w:r>
            <w:r>
              <w:t>cost of scaling eHIP nationwide.</w:t>
            </w:r>
          </w:p>
        </w:tc>
      </w:tr>
      <w:tr w14:paraId="6A272869" w14:textId="77777777" w:rsidTr="00D937AE">
        <w:tblPrEx>
          <w:tblW w:w="5000" w:type="pct"/>
          <w:tblInd w:w="0" w:type="dxa"/>
          <w:tblLook w:val="04A0"/>
        </w:tblPrEx>
        <w:trPr>
          <w:trHeight w:val="120"/>
        </w:trPr>
        <w:tc>
          <w:tcPr>
            <w:tcW w:w="5000" w:type="pct"/>
          </w:tcPr>
          <w:p w:rsidR="00A46DC2" w:rsidRPr="0098370C" w:rsidP="00D937AE" w14:paraId="411F55B0" w14:textId="77777777">
            <w:pPr>
              <w:pStyle w:val="TableText-IPR"/>
              <w:jc w:val="center"/>
            </w:pPr>
            <w:r w:rsidRPr="00712F8B">
              <w:rPr>
                <w:b/>
                <w:bCs/>
              </w:rPr>
              <w:t>Objective 3: If possible, compare the cost of administering eHIP to the cost of administering other incentive programs for SNAP households that do not use EBT integration.</w:t>
            </w:r>
          </w:p>
        </w:tc>
      </w:tr>
      <w:tr w14:paraId="50D5C638" w14:textId="77777777" w:rsidTr="00D937AE">
        <w:tblPrEx>
          <w:tblW w:w="5000" w:type="pct"/>
          <w:tblInd w:w="0" w:type="dxa"/>
          <w:tblLook w:val="04A0"/>
        </w:tblPrEx>
        <w:trPr>
          <w:trHeight w:val="120"/>
        </w:trPr>
        <w:tc>
          <w:tcPr>
            <w:tcW w:w="5000" w:type="pct"/>
          </w:tcPr>
          <w:p w:rsidR="00A46DC2" w:rsidRPr="0098370C" w:rsidP="00D937AE" w14:paraId="7B463E6D" w14:textId="77777777">
            <w:pPr>
              <w:pStyle w:val="TableText-IPR"/>
            </w:pPr>
            <w:r>
              <w:rPr>
                <w:i/>
              </w:rPr>
              <w:t>Identify and determine:</w:t>
            </w:r>
          </w:p>
        </w:tc>
      </w:tr>
      <w:tr w14:paraId="20C33931" w14:textId="77777777" w:rsidTr="00D937AE">
        <w:tblPrEx>
          <w:tblW w:w="5000" w:type="pct"/>
          <w:tblInd w:w="0" w:type="dxa"/>
          <w:tblLook w:val="04A0"/>
        </w:tblPrEx>
        <w:trPr>
          <w:trHeight w:val="120"/>
        </w:trPr>
        <w:tc>
          <w:tcPr>
            <w:tcW w:w="5000" w:type="pct"/>
          </w:tcPr>
          <w:p w:rsidR="00A46DC2" w:rsidRPr="0098370C" w:rsidP="00D937AE" w14:paraId="34223E77" w14:textId="77777777">
            <w:pPr>
              <w:pStyle w:val="TableText-IPR"/>
              <w:numPr>
                <w:ilvl w:val="0"/>
                <w:numId w:val="30"/>
              </w:numPr>
              <w:ind w:left="570"/>
            </w:pPr>
            <w:r>
              <w:t>How start-up</w:t>
            </w:r>
            <w:r w:rsidRPr="00FE141F">
              <w:t xml:space="preserve"> costs differ between eHIP and other incenti</w:t>
            </w:r>
            <w:r>
              <w:t>ve programs for SNAP households.</w:t>
            </w:r>
          </w:p>
        </w:tc>
      </w:tr>
      <w:tr w14:paraId="50D641FE" w14:textId="77777777" w:rsidTr="00D937AE">
        <w:tblPrEx>
          <w:tblW w:w="5000" w:type="pct"/>
          <w:tblInd w:w="0" w:type="dxa"/>
          <w:tblLook w:val="04A0"/>
        </w:tblPrEx>
        <w:trPr>
          <w:trHeight w:val="120"/>
        </w:trPr>
        <w:tc>
          <w:tcPr>
            <w:tcW w:w="5000" w:type="pct"/>
          </w:tcPr>
          <w:p w:rsidR="00A46DC2" w:rsidRPr="0098370C" w:rsidP="00D937AE" w14:paraId="7C75DE18" w14:textId="77777777">
            <w:pPr>
              <w:pStyle w:val="TableText-IPR"/>
              <w:numPr>
                <w:ilvl w:val="0"/>
                <w:numId w:val="30"/>
              </w:numPr>
              <w:ind w:left="570"/>
            </w:pPr>
            <w:r>
              <w:t>H</w:t>
            </w:r>
            <w:r w:rsidRPr="00FE141F">
              <w:t>ow</w:t>
            </w:r>
            <w:r>
              <w:t xml:space="preserve"> </w:t>
            </w:r>
            <w:r w:rsidRPr="00FE141F">
              <w:t>the costs associated with ongoing administration</w:t>
            </w:r>
            <w:r>
              <w:t>, f</w:t>
            </w:r>
            <w:r w:rsidRPr="00FE141F">
              <w:t xml:space="preserve">ollowing initial </w:t>
            </w:r>
            <w:r>
              <w:t>start-up,</w:t>
            </w:r>
            <w:r w:rsidRPr="00FE141F">
              <w:t xml:space="preserve"> differ between eHIP and other incentive programs for SNAP households</w:t>
            </w:r>
            <w:r>
              <w:t>.</w:t>
            </w:r>
          </w:p>
        </w:tc>
      </w:tr>
      <w:tr w14:paraId="31DB25B0" w14:textId="77777777" w:rsidTr="00D937AE">
        <w:tblPrEx>
          <w:tblW w:w="5000" w:type="pct"/>
          <w:tblInd w:w="0" w:type="dxa"/>
          <w:tblLook w:val="04A0"/>
        </w:tblPrEx>
        <w:trPr>
          <w:trHeight w:val="120"/>
        </w:trPr>
        <w:tc>
          <w:tcPr>
            <w:tcW w:w="5000" w:type="pct"/>
          </w:tcPr>
          <w:p w:rsidR="00A46DC2" w:rsidRPr="0098370C" w:rsidP="00D937AE" w14:paraId="46AE901B" w14:textId="77777777">
            <w:pPr>
              <w:pStyle w:val="TableText-IPR"/>
              <w:numPr>
                <w:ilvl w:val="0"/>
                <w:numId w:val="30"/>
              </w:numPr>
              <w:ind w:left="570"/>
            </w:pPr>
            <w:r>
              <w:t>T</w:t>
            </w:r>
            <w:r w:rsidRPr="00FE141F">
              <w:t xml:space="preserve">he </w:t>
            </w:r>
            <w:r>
              <w:t>ROI</w:t>
            </w:r>
            <w:r w:rsidRPr="00FE141F">
              <w:t xml:space="preserve"> cost for eHIP compared to other incentive programs </w:t>
            </w:r>
            <w:r>
              <w:t>that do not use EBT integration.</w:t>
            </w:r>
          </w:p>
        </w:tc>
      </w:tr>
    </w:tbl>
    <w:p w:rsidR="00C434C8" w:rsidP="001D16F5" w14:paraId="3E620D15" w14:textId="77777777">
      <w:pPr>
        <w:spacing w:after="240" w:line="480" w:lineRule="auto"/>
        <w:rPr>
          <w:sz w:val="24"/>
          <w:szCs w:val="24"/>
        </w:rPr>
      </w:pPr>
    </w:p>
    <w:p w:rsidR="00236048" w:rsidRPr="00A954A0" w:rsidP="001D16F5" w14:paraId="5CE29183" w14:textId="7A33E4BE">
      <w:pPr>
        <w:spacing w:after="240" w:line="480" w:lineRule="auto"/>
        <w:rPr>
          <w:sz w:val="24"/>
          <w:szCs w:val="24"/>
        </w:rPr>
      </w:pPr>
      <w:r>
        <w:rPr>
          <w:b/>
          <w:bCs/>
          <w:sz w:val="24"/>
          <w:szCs w:val="24"/>
        </w:rPr>
        <w:t xml:space="preserve">From whom and how the information will be collected. </w:t>
      </w:r>
      <w:r w:rsidRPr="00A954A0">
        <w:rPr>
          <w:sz w:val="24"/>
          <w:szCs w:val="24"/>
        </w:rPr>
        <w:t xml:space="preserve">To achieve the study objectives, the </w:t>
      </w:r>
      <w:r w:rsidR="006718DC">
        <w:rPr>
          <w:sz w:val="24"/>
          <w:szCs w:val="24"/>
        </w:rPr>
        <w:t xml:space="preserve">study team will use four </w:t>
      </w:r>
      <w:r w:rsidRPr="00A954A0">
        <w:rPr>
          <w:sz w:val="24"/>
          <w:szCs w:val="24"/>
        </w:rPr>
        <w:t>sources of data: administrative data</w:t>
      </w:r>
      <w:r w:rsidR="006718DC">
        <w:rPr>
          <w:sz w:val="24"/>
          <w:szCs w:val="24"/>
        </w:rPr>
        <w:t xml:space="preserve"> related to project costs, interviews with State and other project entity representatives, </w:t>
      </w:r>
      <w:r w:rsidR="006718DC">
        <w:rPr>
          <w:rFonts w:ascii="Calibri" w:eastAsia="Calibri" w:hAnsi="Calibri" w:cs="Calibri"/>
          <w:sz w:val="24"/>
          <w:szCs w:val="24"/>
        </w:rPr>
        <w:t xml:space="preserve">extant national and State data, and administrative </w:t>
      </w:r>
      <w:r w:rsidRPr="00E523B6" w:rsidR="006718DC">
        <w:rPr>
          <w:rFonts w:ascii="Calibri" w:eastAsia="Calibri" w:hAnsi="Calibri" w:cs="Calibri"/>
          <w:sz w:val="24"/>
          <w:szCs w:val="24"/>
        </w:rPr>
        <w:t>data from GusNIP grantees</w:t>
      </w:r>
      <w:r>
        <w:rPr>
          <w:sz w:val="24"/>
          <w:szCs w:val="24"/>
        </w:rPr>
        <w:t xml:space="preserve">. </w:t>
      </w:r>
      <w:bookmarkStart w:id="6" w:name="_Hlk157522297"/>
      <w:r w:rsidR="0082659B">
        <w:rPr>
          <w:sz w:val="24"/>
          <w:szCs w:val="24"/>
        </w:rPr>
        <w:t xml:space="preserve">All components of the data collection are voluntary. </w:t>
      </w:r>
      <w:bookmarkEnd w:id="6"/>
      <w:r w:rsidRPr="00A954A0" w:rsidR="00AA73A2">
        <w:rPr>
          <w:sz w:val="24"/>
          <w:szCs w:val="24"/>
        </w:rPr>
        <w:t xml:space="preserve">Table A2.1 </w:t>
      </w:r>
      <w:r w:rsidRPr="00A954A0">
        <w:rPr>
          <w:sz w:val="24"/>
          <w:szCs w:val="24"/>
        </w:rPr>
        <w:t>provides an overview of the data collection activities</w:t>
      </w:r>
      <w:r w:rsidR="00321E42">
        <w:rPr>
          <w:sz w:val="24"/>
          <w:szCs w:val="24"/>
        </w:rPr>
        <w:t xml:space="preserve">; </w:t>
      </w:r>
      <w:r w:rsidRPr="00942A25" w:rsidR="00321E42">
        <w:rPr>
          <w:sz w:val="24"/>
          <w:szCs w:val="24"/>
        </w:rPr>
        <w:t>appendix B</w:t>
      </w:r>
      <w:r w:rsidR="00321E42">
        <w:rPr>
          <w:sz w:val="24"/>
          <w:szCs w:val="24"/>
        </w:rPr>
        <w:t xml:space="preserve"> provides a more detailed crosswalk between research objectives, research questions, and data collection activities</w:t>
      </w:r>
      <w:r w:rsidR="002A05A9">
        <w:rPr>
          <w:sz w:val="24"/>
          <w:szCs w:val="24"/>
        </w:rPr>
        <w:t xml:space="preserve">; </w:t>
      </w:r>
      <w:r w:rsidRPr="00942A25" w:rsidR="002A05A9">
        <w:rPr>
          <w:sz w:val="24"/>
          <w:szCs w:val="24"/>
        </w:rPr>
        <w:t>appendix C</w:t>
      </w:r>
      <w:r w:rsidR="002A05A9">
        <w:rPr>
          <w:sz w:val="24"/>
          <w:szCs w:val="24"/>
        </w:rPr>
        <w:t xml:space="preserve"> </w:t>
      </w:r>
      <w:r w:rsidR="00DB488E">
        <w:rPr>
          <w:sz w:val="24"/>
          <w:szCs w:val="24"/>
        </w:rPr>
        <w:t xml:space="preserve">provides a </w:t>
      </w:r>
      <w:r w:rsidR="00383354">
        <w:rPr>
          <w:sz w:val="24"/>
          <w:szCs w:val="24"/>
        </w:rPr>
        <w:t>project summary</w:t>
      </w:r>
      <w:r w:rsidRPr="00A954A0">
        <w:rPr>
          <w:sz w:val="24"/>
          <w:szCs w:val="24"/>
        </w:rPr>
        <w:t>. Additional detail on each data collection activity follows.</w:t>
      </w:r>
    </w:p>
    <w:p w:rsidR="00AD29C9" w:rsidRPr="00A954A0" w:rsidP="004D6EEB" w14:paraId="3C58E67D" w14:textId="30714729">
      <w:pPr>
        <w:pStyle w:val="TableTitle-IPR"/>
        <w:rPr>
          <w:sz w:val="24"/>
        </w:rPr>
      </w:pPr>
      <w:bookmarkStart w:id="7" w:name="_Toc518292778"/>
      <w:bookmarkStart w:id="8" w:name="_Toc170219530"/>
      <w:r w:rsidRPr="00A954A0">
        <w:rPr>
          <w:sz w:val="24"/>
        </w:rPr>
        <w:t>Table A</w:t>
      </w:r>
      <w:r w:rsidRPr="00A954A0" w:rsidR="00FD753E">
        <w:rPr>
          <w:sz w:val="24"/>
        </w:rPr>
        <w:t>2.</w:t>
      </w:r>
      <w:r w:rsidR="00A46DC2">
        <w:rPr>
          <w:sz w:val="24"/>
        </w:rPr>
        <w:t>2</w:t>
      </w:r>
      <w:r w:rsidRPr="00A954A0">
        <w:rPr>
          <w:sz w:val="24"/>
        </w:rPr>
        <w:t xml:space="preserve">. Overview of </w:t>
      </w:r>
      <w:r w:rsidRPr="00A954A0" w:rsidR="00C34840">
        <w:rPr>
          <w:sz w:val="24"/>
        </w:rPr>
        <w:t>D</w:t>
      </w:r>
      <w:r w:rsidRPr="00A954A0">
        <w:rPr>
          <w:sz w:val="24"/>
        </w:rPr>
        <w:t xml:space="preserve">ata </w:t>
      </w:r>
      <w:r w:rsidRPr="00A954A0" w:rsidR="00C34840">
        <w:rPr>
          <w:sz w:val="24"/>
        </w:rPr>
        <w:t>C</w:t>
      </w:r>
      <w:r w:rsidRPr="00A954A0">
        <w:rPr>
          <w:sz w:val="24"/>
        </w:rPr>
        <w:t xml:space="preserve">ollection </w:t>
      </w:r>
      <w:r w:rsidRPr="00A954A0" w:rsidR="00C34840">
        <w:rPr>
          <w:sz w:val="24"/>
        </w:rPr>
        <w:t>A</w:t>
      </w:r>
      <w:r w:rsidRPr="00A954A0">
        <w:rPr>
          <w:sz w:val="24"/>
        </w:rPr>
        <w:t>ctivities</w:t>
      </w:r>
      <w:bookmarkEnd w:id="7"/>
      <w:bookmarkEnd w:id="8"/>
    </w:p>
    <w:tbl>
      <w:tblPr>
        <w:tblStyle w:val="InsightTable"/>
        <w:tblW w:w="5000" w:type="pct"/>
        <w:tblInd w:w="0" w:type="dxa"/>
        <w:tblLayout w:type="fixed"/>
        <w:tblLook w:val="04A0"/>
      </w:tblPr>
      <w:tblGrid>
        <w:gridCol w:w="1453"/>
        <w:gridCol w:w="1359"/>
        <w:gridCol w:w="1919"/>
        <w:gridCol w:w="1737"/>
        <w:gridCol w:w="1737"/>
        <w:gridCol w:w="1155"/>
      </w:tblGrid>
      <w:tr w14:paraId="752908D7" w14:textId="77777777" w:rsidTr="00F300A1">
        <w:tblPrEx>
          <w:tblW w:w="5000" w:type="pct"/>
          <w:tblInd w:w="0" w:type="dxa"/>
          <w:tblLayout w:type="fixed"/>
          <w:tblLook w:val="04A0"/>
        </w:tblPrEx>
        <w:trPr>
          <w:trHeight w:val="120"/>
          <w:tblHeader/>
        </w:trPr>
        <w:tc>
          <w:tcPr>
            <w:tcW w:w="776" w:type="pct"/>
            <w:tcBorders>
              <w:top w:val="single" w:sz="8" w:space="0" w:color="003C79"/>
              <w:bottom w:val="single" w:sz="8" w:space="0" w:color="003C79"/>
            </w:tcBorders>
            <w:hideMark/>
          </w:tcPr>
          <w:p w:rsidR="00AD29C9" w:rsidRPr="007C1C52" w:rsidP="00D43420" w14:paraId="398F0BA6" w14:textId="77777777">
            <w:pPr>
              <w:pStyle w:val="TableHeaderRow-IPR"/>
              <w:rPr>
                <w:szCs w:val="18"/>
              </w:rPr>
            </w:pPr>
            <w:r w:rsidRPr="007C1C52">
              <w:rPr>
                <w:szCs w:val="18"/>
              </w:rPr>
              <w:t>Instrument</w:t>
            </w:r>
          </w:p>
        </w:tc>
        <w:tc>
          <w:tcPr>
            <w:tcW w:w="726" w:type="pct"/>
            <w:tcBorders>
              <w:top w:val="single" w:sz="8" w:space="0" w:color="003C79"/>
              <w:bottom w:val="single" w:sz="8" w:space="0" w:color="003C79"/>
            </w:tcBorders>
            <w:hideMark/>
          </w:tcPr>
          <w:p w:rsidR="00AD29C9" w:rsidRPr="007C1C52" w:rsidP="00D43420" w14:paraId="3FBEA8A9" w14:textId="1E68C572">
            <w:pPr>
              <w:pStyle w:val="TableHeaderRow-IPR"/>
              <w:rPr>
                <w:szCs w:val="18"/>
              </w:rPr>
            </w:pPr>
            <w:r w:rsidRPr="007C1C52">
              <w:rPr>
                <w:szCs w:val="18"/>
              </w:rPr>
              <w:t xml:space="preserve">Affected </w:t>
            </w:r>
            <w:r w:rsidRPr="007C1C52" w:rsidR="00C34840">
              <w:rPr>
                <w:szCs w:val="18"/>
              </w:rPr>
              <w:t>P</w:t>
            </w:r>
            <w:r w:rsidRPr="007C1C52">
              <w:rPr>
                <w:szCs w:val="18"/>
              </w:rPr>
              <w:t>ublic</w:t>
            </w:r>
          </w:p>
        </w:tc>
        <w:tc>
          <w:tcPr>
            <w:tcW w:w="1025" w:type="pct"/>
            <w:tcBorders>
              <w:top w:val="single" w:sz="8" w:space="0" w:color="003C79"/>
              <w:bottom w:val="single" w:sz="8" w:space="0" w:color="003C79"/>
            </w:tcBorders>
            <w:hideMark/>
          </w:tcPr>
          <w:p w:rsidR="00AD29C9" w:rsidRPr="007C1C52" w:rsidP="00D43420" w14:paraId="10592E91" w14:textId="346B6D13">
            <w:pPr>
              <w:pStyle w:val="TableHeaderRow-IPR"/>
              <w:rPr>
                <w:szCs w:val="18"/>
              </w:rPr>
            </w:pPr>
            <w:r w:rsidRPr="007C1C52">
              <w:rPr>
                <w:szCs w:val="18"/>
              </w:rPr>
              <w:t xml:space="preserve">Respondent </w:t>
            </w:r>
            <w:r w:rsidRPr="007C1C52" w:rsidR="00C34840">
              <w:rPr>
                <w:szCs w:val="18"/>
              </w:rPr>
              <w:t>T</w:t>
            </w:r>
            <w:r w:rsidRPr="007C1C52">
              <w:rPr>
                <w:szCs w:val="18"/>
              </w:rPr>
              <w:t>ype</w:t>
            </w:r>
          </w:p>
        </w:tc>
        <w:tc>
          <w:tcPr>
            <w:tcW w:w="928" w:type="pct"/>
            <w:tcBorders>
              <w:top w:val="single" w:sz="8" w:space="0" w:color="003C79"/>
              <w:bottom w:val="single" w:sz="8" w:space="0" w:color="003C79"/>
            </w:tcBorders>
            <w:hideMark/>
          </w:tcPr>
          <w:p w:rsidR="00AD29C9" w:rsidRPr="007C1C52" w:rsidP="00D43420" w14:paraId="485C3BFB" w14:textId="18443065">
            <w:pPr>
              <w:pStyle w:val="TableHeaderRow-IPR"/>
              <w:rPr>
                <w:szCs w:val="18"/>
              </w:rPr>
            </w:pPr>
            <w:r w:rsidRPr="007C1C52">
              <w:rPr>
                <w:szCs w:val="18"/>
              </w:rPr>
              <w:t xml:space="preserve">Method of </w:t>
            </w:r>
            <w:r w:rsidRPr="007C1C52" w:rsidR="00C34840">
              <w:rPr>
                <w:szCs w:val="18"/>
              </w:rPr>
              <w:t>C</w:t>
            </w:r>
            <w:r w:rsidRPr="007C1C52">
              <w:rPr>
                <w:szCs w:val="18"/>
              </w:rPr>
              <w:t>ollection</w:t>
            </w:r>
          </w:p>
        </w:tc>
        <w:tc>
          <w:tcPr>
            <w:tcW w:w="928" w:type="pct"/>
            <w:tcBorders>
              <w:top w:val="single" w:sz="8" w:space="0" w:color="003C79"/>
              <w:bottom w:val="single" w:sz="8" w:space="0" w:color="003C79"/>
            </w:tcBorders>
            <w:hideMark/>
          </w:tcPr>
          <w:p w:rsidR="00AD29C9" w:rsidRPr="007C1C52" w:rsidP="00D43420" w14:paraId="1575D4B8" w14:textId="3749201E">
            <w:pPr>
              <w:pStyle w:val="TableHeaderRow-IPR"/>
              <w:rPr>
                <w:szCs w:val="18"/>
              </w:rPr>
            </w:pPr>
            <w:r>
              <w:rPr>
                <w:szCs w:val="18"/>
              </w:rPr>
              <w:t>Total time per round of data collection (total time across all rounds of data collection)</w:t>
            </w:r>
          </w:p>
        </w:tc>
        <w:tc>
          <w:tcPr>
            <w:tcW w:w="617" w:type="pct"/>
            <w:tcBorders>
              <w:top w:val="single" w:sz="8" w:space="0" w:color="003C79"/>
              <w:bottom w:val="single" w:sz="8" w:space="0" w:color="003C79"/>
            </w:tcBorders>
            <w:hideMark/>
          </w:tcPr>
          <w:p w:rsidR="00AD29C9" w:rsidRPr="007C1C52" w:rsidP="00D43420" w14:paraId="646E43B9" w14:textId="4A36493B">
            <w:pPr>
              <w:pStyle w:val="TableHeaderRow-IPR"/>
              <w:rPr>
                <w:szCs w:val="18"/>
              </w:rPr>
            </w:pPr>
            <w:r w:rsidRPr="007C1C52">
              <w:rPr>
                <w:szCs w:val="18"/>
              </w:rPr>
              <w:t>Study Objectives Addressed</w:t>
            </w:r>
          </w:p>
        </w:tc>
      </w:tr>
      <w:tr w14:paraId="5315F6B1" w14:textId="77777777" w:rsidTr="00F300A1">
        <w:tblPrEx>
          <w:tblW w:w="5000" w:type="pct"/>
          <w:tblInd w:w="0" w:type="dxa"/>
          <w:tblLayout w:type="fixed"/>
          <w:tblLook w:val="04A0"/>
        </w:tblPrEx>
        <w:trPr>
          <w:trHeight w:val="120"/>
        </w:trPr>
        <w:tc>
          <w:tcPr>
            <w:tcW w:w="776" w:type="pct"/>
            <w:tcBorders>
              <w:top w:val="single" w:sz="8" w:space="0" w:color="003C79"/>
            </w:tcBorders>
            <w:hideMark/>
          </w:tcPr>
          <w:p w:rsidR="001E29BD" w:rsidP="007C1C52" w14:paraId="56CDB019" w14:textId="77777777">
            <w:pPr>
              <w:pStyle w:val="TableText-IPR"/>
            </w:pPr>
            <w:r w:rsidRPr="0098370C">
              <w:t xml:space="preserve">Administrative </w:t>
            </w:r>
            <w:r w:rsidR="007E1D10">
              <w:t xml:space="preserve">project cost </w:t>
            </w:r>
            <w:r>
              <w:t>d</w:t>
            </w:r>
            <w:r w:rsidRPr="0098370C">
              <w:t xml:space="preserve">ata </w:t>
            </w:r>
            <w:r>
              <w:t>c</w:t>
            </w:r>
            <w:r w:rsidRPr="0098370C">
              <w:t>ollection</w:t>
            </w:r>
          </w:p>
          <w:p w:rsidR="00AD29C9" w:rsidRPr="0098370C" w:rsidP="007C1C52" w14:paraId="42450AE1" w14:textId="074CD234">
            <w:pPr>
              <w:pStyle w:val="TableText-IPR"/>
            </w:pPr>
            <w:r>
              <w:t xml:space="preserve">(appendices </w:t>
            </w:r>
            <w:r w:rsidR="004900B7">
              <w:t>D</w:t>
            </w:r>
            <w:r>
              <w:t>-</w:t>
            </w:r>
            <w:r w:rsidR="004900B7">
              <w:t>H</w:t>
            </w:r>
            <w:r>
              <w:t>)</w:t>
            </w:r>
            <w:r w:rsidRPr="0098370C">
              <w:t xml:space="preserve"> </w:t>
            </w:r>
          </w:p>
        </w:tc>
        <w:tc>
          <w:tcPr>
            <w:tcW w:w="726" w:type="pct"/>
            <w:tcBorders>
              <w:top w:val="single" w:sz="8" w:space="0" w:color="003C79"/>
            </w:tcBorders>
            <w:hideMark/>
          </w:tcPr>
          <w:p w:rsidR="00AD29C9" w:rsidRPr="007E1D10" w:rsidP="00860449" w14:paraId="6DBF2D6E" w14:textId="7587641E">
            <w:pPr>
              <w:pStyle w:val="TableText-IPR"/>
            </w:pPr>
            <w:r w:rsidRPr="0098370C">
              <w:t xml:space="preserve">State </w:t>
            </w:r>
            <w:r w:rsidRPr="0098370C">
              <w:t>government</w:t>
            </w:r>
            <w:r w:rsidR="007E1D10">
              <w:rPr>
                <w:vertAlign w:val="superscript"/>
              </w:rPr>
              <w:t>a</w:t>
            </w:r>
          </w:p>
        </w:tc>
        <w:tc>
          <w:tcPr>
            <w:tcW w:w="1025" w:type="pct"/>
            <w:tcBorders>
              <w:top w:val="single" w:sz="8" w:space="0" w:color="003C79"/>
            </w:tcBorders>
            <w:hideMark/>
          </w:tcPr>
          <w:p w:rsidR="00AD29C9" w:rsidRPr="0098370C" w:rsidP="007C1C52" w14:paraId="5A3ED10A" w14:textId="12C9A7DC">
            <w:pPr>
              <w:pStyle w:val="TableText-IPR"/>
            </w:pPr>
            <w:r>
              <w:t>Three</w:t>
            </w:r>
            <w:r w:rsidRPr="0098370C">
              <w:t xml:space="preserve"> SNAP State</w:t>
            </w:r>
            <w:r w:rsidR="006505B7">
              <w:t xml:space="preserve"> agency</w:t>
            </w:r>
            <w:r w:rsidRPr="0098370C">
              <w:t xml:space="preserve"> </w:t>
            </w:r>
            <w:r>
              <w:t xml:space="preserve">project </w:t>
            </w:r>
            <w:r w:rsidRPr="0098370C">
              <w:t>directors</w:t>
            </w:r>
            <w:r w:rsidR="007E1D10">
              <w:rPr>
                <w:vertAlign w:val="superscript"/>
              </w:rPr>
              <w:t>a</w:t>
            </w:r>
            <w:r w:rsidRPr="0098370C">
              <w:t xml:space="preserve"> </w:t>
            </w:r>
          </w:p>
        </w:tc>
        <w:tc>
          <w:tcPr>
            <w:tcW w:w="928" w:type="pct"/>
            <w:tcBorders>
              <w:top w:val="single" w:sz="8" w:space="0" w:color="003C79"/>
            </w:tcBorders>
            <w:hideMark/>
          </w:tcPr>
          <w:p w:rsidR="00AD29C9" w:rsidRPr="0098370C" w:rsidP="007C1C52" w14:paraId="36E6650B" w14:textId="0A6C578D">
            <w:pPr>
              <w:pStyle w:val="TableText-IPR"/>
            </w:pPr>
            <w:r>
              <w:t>Web file upload</w:t>
            </w:r>
          </w:p>
        </w:tc>
        <w:tc>
          <w:tcPr>
            <w:tcW w:w="928" w:type="pct"/>
            <w:tcBorders>
              <w:top w:val="single" w:sz="8" w:space="0" w:color="003C79"/>
            </w:tcBorders>
            <w:hideMark/>
          </w:tcPr>
          <w:p w:rsidR="006505B7" w:rsidRPr="0098370C" w:rsidP="00F300A1" w14:paraId="3FBF2CDD" w14:textId="403663EE">
            <w:pPr>
              <w:pStyle w:val="TableText-IPR"/>
            </w:pPr>
            <w:r>
              <w:t>7</w:t>
            </w:r>
            <w:r w:rsidR="007E1D10">
              <w:t xml:space="preserve"> hours </w:t>
            </w:r>
            <w:r w:rsidR="004B0D01">
              <w:t xml:space="preserve">for each of </w:t>
            </w:r>
            <w:r w:rsidR="007E1D10">
              <w:t>three rounds of data collection (2</w:t>
            </w:r>
            <w:r>
              <w:t>1</w:t>
            </w:r>
            <w:r w:rsidR="007E1D10">
              <w:t xml:space="preserve"> hours total)</w:t>
            </w:r>
          </w:p>
        </w:tc>
        <w:tc>
          <w:tcPr>
            <w:tcW w:w="617" w:type="pct"/>
            <w:tcBorders>
              <w:top w:val="single" w:sz="8" w:space="0" w:color="003C79"/>
            </w:tcBorders>
            <w:noWrap/>
            <w:hideMark/>
          </w:tcPr>
          <w:p w:rsidR="00AD29C9" w:rsidRPr="0098370C" w:rsidP="007C1C52" w14:paraId="2428FA45" w14:textId="5CCD06B6">
            <w:pPr>
              <w:pStyle w:val="TableText-IPR"/>
            </w:pPr>
            <w:r>
              <w:t>All</w:t>
            </w:r>
          </w:p>
        </w:tc>
      </w:tr>
    </w:tbl>
    <w:p w:rsidR="00914150" w:rsidP="0003577E" w14:paraId="0BE795F1" w14:textId="77777777">
      <w:pPr>
        <w:spacing w:after="0" w:line="240" w:lineRule="auto"/>
        <w:rPr>
          <w:sz w:val="18"/>
          <w:szCs w:val="18"/>
        </w:rPr>
      </w:pPr>
    </w:p>
    <w:p w:rsidR="00914150" w:rsidRPr="00A954A0" w:rsidP="00914150" w14:paraId="1C8A7246" w14:textId="161A24D4">
      <w:pPr>
        <w:pStyle w:val="TableTitle-IPR"/>
        <w:rPr>
          <w:sz w:val="24"/>
        </w:rPr>
      </w:pPr>
      <w:bookmarkStart w:id="9" w:name="_Toc170219531"/>
      <w:r w:rsidRPr="00A954A0">
        <w:rPr>
          <w:sz w:val="24"/>
        </w:rPr>
        <w:t>Table A2.</w:t>
      </w:r>
      <w:r>
        <w:rPr>
          <w:sz w:val="24"/>
        </w:rPr>
        <w:t>2</w:t>
      </w:r>
      <w:r w:rsidRPr="00A954A0">
        <w:rPr>
          <w:sz w:val="24"/>
        </w:rPr>
        <w:t>. Overview of Data Collection Activities</w:t>
      </w:r>
      <w:r>
        <w:rPr>
          <w:sz w:val="24"/>
        </w:rPr>
        <w:t>, continued</w:t>
      </w:r>
      <w:bookmarkEnd w:id="9"/>
    </w:p>
    <w:tbl>
      <w:tblPr>
        <w:tblStyle w:val="InsightTable"/>
        <w:tblW w:w="5000" w:type="pct"/>
        <w:tblInd w:w="0" w:type="dxa"/>
        <w:tblLayout w:type="fixed"/>
        <w:tblLook w:val="04A0"/>
      </w:tblPr>
      <w:tblGrid>
        <w:gridCol w:w="1453"/>
        <w:gridCol w:w="1359"/>
        <w:gridCol w:w="1919"/>
        <w:gridCol w:w="1737"/>
        <w:gridCol w:w="1737"/>
        <w:gridCol w:w="1155"/>
      </w:tblGrid>
      <w:tr w14:paraId="258213FF" w14:textId="77777777" w:rsidTr="00D937AE">
        <w:tblPrEx>
          <w:tblW w:w="5000" w:type="pct"/>
          <w:tblInd w:w="0" w:type="dxa"/>
          <w:tblLayout w:type="fixed"/>
          <w:tblLook w:val="04A0"/>
        </w:tblPrEx>
        <w:trPr>
          <w:trHeight w:val="120"/>
          <w:tblHeader/>
        </w:trPr>
        <w:tc>
          <w:tcPr>
            <w:tcW w:w="776" w:type="pct"/>
            <w:tcBorders>
              <w:top w:val="single" w:sz="8" w:space="0" w:color="003C79"/>
              <w:bottom w:val="single" w:sz="8" w:space="0" w:color="003C79"/>
            </w:tcBorders>
            <w:hideMark/>
          </w:tcPr>
          <w:p w:rsidR="00914150" w:rsidRPr="007C1C52" w:rsidP="00D937AE" w14:paraId="064EAFD0" w14:textId="77777777">
            <w:pPr>
              <w:pStyle w:val="TableHeaderRow-IPR"/>
              <w:rPr>
                <w:szCs w:val="18"/>
              </w:rPr>
            </w:pPr>
            <w:r w:rsidRPr="007C1C52">
              <w:rPr>
                <w:szCs w:val="18"/>
              </w:rPr>
              <w:t>Instrument</w:t>
            </w:r>
          </w:p>
        </w:tc>
        <w:tc>
          <w:tcPr>
            <w:tcW w:w="726" w:type="pct"/>
            <w:tcBorders>
              <w:top w:val="single" w:sz="8" w:space="0" w:color="003C79"/>
              <w:bottom w:val="single" w:sz="8" w:space="0" w:color="003C79"/>
            </w:tcBorders>
            <w:hideMark/>
          </w:tcPr>
          <w:p w:rsidR="00914150" w:rsidRPr="007C1C52" w:rsidP="00D937AE" w14:paraId="13BB83E0" w14:textId="77777777">
            <w:pPr>
              <w:pStyle w:val="TableHeaderRow-IPR"/>
              <w:rPr>
                <w:szCs w:val="18"/>
              </w:rPr>
            </w:pPr>
            <w:r w:rsidRPr="007C1C52">
              <w:rPr>
                <w:szCs w:val="18"/>
              </w:rPr>
              <w:t>Affected Public</w:t>
            </w:r>
          </w:p>
        </w:tc>
        <w:tc>
          <w:tcPr>
            <w:tcW w:w="1025" w:type="pct"/>
            <w:tcBorders>
              <w:top w:val="single" w:sz="8" w:space="0" w:color="003C79"/>
              <w:bottom w:val="single" w:sz="8" w:space="0" w:color="003C79"/>
            </w:tcBorders>
            <w:hideMark/>
          </w:tcPr>
          <w:p w:rsidR="00914150" w:rsidRPr="007C1C52" w:rsidP="00D937AE" w14:paraId="1BBEDC87" w14:textId="77777777">
            <w:pPr>
              <w:pStyle w:val="TableHeaderRow-IPR"/>
              <w:rPr>
                <w:szCs w:val="18"/>
              </w:rPr>
            </w:pPr>
            <w:r w:rsidRPr="007C1C52">
              <w:rPr>
                <w:szCs w:val="18"/>
              </w:rPr>
              <w:t>Respondent Type</w:t>
            </w:r>
          </w:p>
        </w:tc>
        <w:tc>
          <w:tcPr>
            <w:tcW w:w="928" w:type="pct"/>
            <w:tcBorders>
              <w:top w:val="single" w:sz="8" w:space="0" w:color="003C79"/>
              <w:bottom w:val="single" w:sz="8" w:space="0" w:color="003C79"/>
            </w:tcBorders>
            <w:hideMark/>
          </w:tcPr>
          <w:p w:rsidR="00914150" w:rsidRPr="007C1C52" w:rsidP="00D937AE" w14:paraId="041EEAB5" w14:textId="77777777">
            <w:pPr>
              <w:pStyle w:val="TableHeaderRow-IPR"/>
              <w:rPr>
                <w:szCs w:val="18"/>
              </w:rPr>
            </w:pPr>
            <w:r w:rsidRPr="007C1C52">
              <w:rPr>
                <w:szCs w:val="18"/>
              </w:rPr>
              <w:t>Method of Collection</w:t>
            </w:r>
          </w:p>
        </w:tc>
        <w:tc>
          <w:tcPr>
            <w:tcW w:w="928" w:type="pct"/>
            <w:tcBorders>
              <w:top w:val="single" w:sz="8" w:space="0" w:color="003C79"/>
              <w:bottom w:val="single" w:sz="8" w:space="0" w:color="003C79"/>
            </w:tcBorders>
            <w:hideMark/>
          </w:tcPr>
          <w:p w:rsidR="00914150" w:rsidRPr="007C1C52" w:rsidP="00D937AE" w14:paraId="311ED60E" w14:textId="4C08A843">
            <w:pPr>
              <w:pStyle w:val="TableHeaderRow-IPR"/>
              <w:rPr>
                <w:szCs w:val="18"/>
              </w:rPr>
            </w:pPr>
            <w:r>
              <w:rPr>
                <w:szCs w:val="18"/>
              </w:rPr>
              <w:t xml:space="preserve">Total time per round of data collection (total time </w:t>
            </w:r>
            <w:r w:rsidR="00112759">
              <w:rPr>
                <w:szCs w:val="18"/>
              </w:rPr>
              <w:t xml:space="preserve">across </w:t>
            </w:r>
            <w:r>
              <w:rPr>
                <w:szCs w:val="18"/>
              </w:rPr>
              <w:t>all rounds of data collection)</w:t>
            </w:r>
          </w:p>
        </w:tc>
        <w:tc>
          <w:tcPr>
            <w:tcW w:w="617" w:type="pct"/>
            <w:tcBorders>
              <w:top w:val="single" w:sz="8" w:space="0" w:color="003C79"/>
              <w:bottom w:val="single" w:sz="8" w:space="0" w:color="003C79"/>
            </w:tcBorders>
            <w:hideMark/>
          </w:tcPr>
          <w:p w:rsidR="00914150" w:rsidRPr="007C1C52" w:rsidP="00D937AE" w14:paraId="0706A8B0" w14:textId="77777777">
            <w:pPr>
              <w:pStyle w:val="TableHeaderRow-IPR"/>
              <w:rPr>
                <w:szCs w:val="18"/>
              </w:rPr>
            </w:pPr>
            <w:r w:rsidRPr="007C1C52">
              <w:rPr>
                <w:szCs w:val="18"/>
              </w:rPr>
              <w:t>Study Objectives Addressed</w:t>
            </w:r>
          </w:p>
        </w:tc>
      </w:tr>
      <w:tr w14:paraId="36BEDFDC" w14:textId="77777777" w:rsidTr="00D937AE">
        <w:tblPrEx>
          <w:tblW w:w="5000" w:type="pct"/>
          <w:tblInd w:w="0" w:type="dxa"/>
          <w:tblLayout w:type="fixed"/>
          <w:tblLook w:val="04A0"/>
        </w:tblPrEx>
        <w:trPr>
          <w:trHeight w:val="120"/>
        </w:trPr>
        <w:tc>
          <w:tcPr>
            <w:tcW w:w="776" w:type="pct"/>
          </w:tcPr>
          <w:p w:rsidR="00914150" w:rsidRPr="0098370C" w:rsidP="00D937AE" w14:paraId="723CAB74" w14:textId="2928DC26">
            <w:pPr>
              <w:pStyle w:val="TableText-IPR"/>
            </w:pPr>
            <w:r>
              <w:t xml:space="preserve">Interview data collection (appendix </w:t>
            </w:r>
            <w:r w:rsidR="004900B7">
              <w:t>I-L</w:t>
            </w:r>
            <w:r>
              <w:t>)</w:t>
            </w:r>
          </w:p>
        </w:tc>
        <w:tc>
          <w:tcPr>
            <w:tcW w:w="726" w:type="pct"/>
          </w:tcPr>
          <w:p w:rsidR="00914150" w:rsidRPr="0098370C" w:rsidP="00D937AE" w14:paraId="1C8A6EEA" w14:textId="77777777">
            <w:pPr>
              <w:pStyle w:val="TableText-IPR"/>
            </w:pPr>
            <w:r w:rsidRPr="0098370C">
              <w:t>State government</w:t>
            </w:r>
            <w:r>
              <w:t xml:space="preserve"> </w:t>
            </w:r>
          </w:p>
        </w:tc>
        <w:tc>
          <w:tcPr>
            <w:tcW w:w="1025" w:type="pct"/>
          </w:tcPr>
          <w:p w:rsidR="00914150" w:rsidRPr="0098370C" w:rsidP="00D937AE" w14:paraId="05CDBE89" w14:textId="77777777">
            <w:pPr>
              <w:pStyle w:val="TableText-IPR"/>
            </w:pPr>
            <w:r>
              <w:t>Two SNAP State agency project staff per State</w:t>
            </w:r>
          </w:p>
        </w:tc>
        <w:tc>
          <w:tcPr>
            <w:tcW w:w="928" w:type="pct"/>
          </w:tcPr>
          <w:p w:rsidR="00914150" w:rsidRPr="0098370C" w:rsidP="00D937AE" w14:paraId="411331BC" w14:textId="77777777">
            <w:pPr>
              <w:pStyle w:val="TableText-IPR"/>
            </w:pPr>
            <w:r>
              <w:t>Videoconference or teleconference</w:t>
            </w:r>
          </w:p>
        </w:tc>
        <w:tc>
          <w:tcPr>
            <w:tcW w:w="928" w:type="pct"/>
          </w:tcPr>
          <w:p w:rsidR="00914150" w:rsidRPr="0098370C" w:rsidP="00D937AE" w14:paraId="1867DA55" w14:textId="6007B21F">
            <w:pPr>
              <w:pStyle w:val="TableText-IPR"/>
            </w:pPr>
            <w:r>
              <w:t>90 minutes</w:t>
            </w:r>
            <w:r w:rsidR="0052462F">
              <w:t xml:space="preserve"> per respondent per round; </w:t>
            </w:r>
            <w:r>
              <w:t>180 minutes total</w:t>
            </w:r>
            <w:r w:rsidR="0052462F">
              <w:t xml:space="preserve"> per respondent across all rounds</w:t>
            </w:r>
            <w:r>
              <w:t>)</w:t>
            </w:r>
          </w:p>
        </w:tc>
        <w:tc>
          <w:tcPr>
            <w:tcW w:w="617" w:type="pct"/>
          </w:tcPr>
          <w:p w:rsidR="00914150" w:rsidRPr="0098370C" w:rsidP="00D937AE" w14:paraId="632FAAF8" w14:textId="77777777">
            <w:pPr>
              <w:pStyle w:val="TableText-IPR"/>
            </w:pPr>
            <w:r>
              <w:t>All</w:t>
            </w:r>
          </w:p>
        </w:tc>
      </w:tr>
      <w:tr w14:paraId="685AE267" w14:textId="77777777" w:rsidTr="00D937AE">
        <w:tblPrEx>
          <w:tblW w:w="5000" w:type="pct"/>
          <w:tblInd w:w="0" w:type="dxa"/>
          <w:tblLayout w:type="fixed"/>
          <w:tblLook w:val="04A0"/>
        </w:tblPrEx>
        <w:trPr>
          <w:trHeight w:val="120"/>
        </w:trPr>
        <w:tc>
          <w:tcPr>
            <w:tcW w:w="776" w:type="pct"/>
          </w:tcPr>
          <w:p w:rsidR="00914150" w:rsidRPr="0098370C" w:rsidP="00D937AE" w14:paraId="539EC6C0" w14:textId="1F926DAE">
            <w:pPr>
              <w:pStyle w:val="TableText-IPR"/>
            </w:pPr>
            <w:r>
              <w:t xml:space="preserve">Interview data collection (appendix </w:t>
            </w:r>
            <w:r w:rsidR="004900B7">
              <w:t>I-L</w:t>
            </w:r>
            <w:r>
              <w:t>)</w:t>
            </w:r>
          </w:p>
        </w:tc>
        <w:tc>
          <w:tcPr>
            <w:tcW w:w="726" w:type="pct"/>
          </w:tcPr>
          <w:p w:rsidR="00914150" w:rsidRPr="0098370C" w:rsidP="00D937AE" w14:paraId="0D3B86B3" w14:textId="77777777">
            <w:pPr>
              <w:pStyle w:val="TableText-IPR"/>
            </w:pPr>
            <w:r>
              <w:t>Businesses</w:t>
            </w:r>
          </w:p>
        </w:tc>
        <w:tc>
          <w:tcPr>
            <w:tcW w:w="1025" w:type="pct"/>
          </w:tcPr>
          <w:p w:rsidR="00914150" w:rsidRPr="0098370C" w:rsidP="00D937AE" w14:paraId="3FAB376D" w14:textId="77777777">
            <w:pPr>
              <w:pStyle w:val="TableText-IPR"/>
            </w:pPr>
            <w:r>
              <w:t xml:space="preserve">Two EBT processor </w:t>
            </w:r>
            <w:r>
              <w:t>staff</w:t>
            </w:r>
            <w:r>
              <w:rPr>
                <w:vertAlign w:val="superscript"/>
              </w:rPr>
              <w:t>b</w:t>
            </w:r>
            <w:r>
              <w:t xml:space="preserve">; </w:t>
            </w:r>
            <w:r>
              <w:t>and,</w:t>
            </w:r>
            <w:r>
              <w:t xml:space="preserve"> two TPP staff, six retailer staff within each of the three States</w:t>
            </w:r>
          </w:p>
        </w:tc>
        <w:tc>
          <w:tcPr>
            <w:tcW w:w="928" w:type="pct"/>
          </w:tcPr>
          <w:p w:rsidR="00914150" w:rsidRPr="0098370C" w:rsidP="00D937AE" w14:paraId="267A257E" w14:textId="77777777">
            <w:pPr>
              <w:pStyle w:val="TableText-IPR"/>
            </w:pPr>
            <w:r>
              <w:t>Videoconference or teleconference</w:t>
            </w:r>
          </w:p>
        </w:tc>
        <w:tc>
          <w:tcPr>
            <w:tcW w:w="928" w:type="pct"/>
          </w:tcPr>
          <w:p w:rsidR="00914150" w:rsidRPr="0098370C" w:rsidP="00D937AE" w14:paraId="36FD24E5" w14:textId="511C8006">
            <w:pPr>
              <w:pStyle w:val="TableText-IPR"/>
            </w:pPr>
            <w:r>
              <w:t xml:space="preserve">60–90 minutes </w:t>
            </w:r>
            <w:r w:rsidR="0052462F">
              <w:t xml:space="preserve">per respondent per round; </w:t>
            </w:r>
            <w:r>
              <w:t>120 – 180 minutes total</w:t>
            </w:r>
            <w:r w:rsidR="0052462F">
              <w:t xml:space="preserve"> per respondent across all rounds</w:t>
            </w:r>
          </w:p>
        </w:tc>
        <w:tc>
          <w:tcPr>
            <w:tcW w:w="617" w:type="pct"/>
          </w:tcPr>
          <w:p w:rsidR="00914150" w:rsidRPr="0098370C" w:rsidP="00D937AE" w14:paraId="287D4208" w14:textId="77777777">
            <w:pPr>
              <w:pStyle w:val="TableText-IPR"/>
            </w:pPr>
            <w:r>
              <w:t>All</w:t>
            </w:r>
          </w:p>
        </w:tc>
      </w:tr>
      <w:tr w14:paraId="36CE559F" w14:textId="77777777" w:rsidTr="00D937AE">
        <w:tblPrEx>
          <w:tblW w:w="5000" w:type="pct"/>
          <w:tblInd w:w="0" w:type="dxa"/>
          <w:tblLayout w:type="fixed"/>
          <w:tblLook w:val="04A0"/>
        </w:tblPrEx>
        <w:trPr>
          <w:trHeight w:val="120"/>
        </w:trPr>
        <w:tc>
          <w:tcPr>
            <w:tcW w:w="776" w:type="pct"/>
          </w:tcPr>
          <w:p w:rsidR="00914150" w:rsidRPr="0098370C" w:rsidP="00D937AE" w14:paraId="01AC7DC9" w14:textId="77777777">
            <w:pPr>
              <w:pStyle w:val="TableText-IPR"/>
            </w:pPr>
            <w:r>
              <w:t>Extant national and State data</w:t>
            </w:r>
          </w:p>
        </w:tc>
        <w:tc>
          <w:tcPr>
            <w:tcW w:w="726" w:type="pct"/>
          </w:tcPr>
          <w:p w:rsidR="00914150" w:rsidRPr="0098370C" w:rsidP="00D937AE" w14:paraId="51623EDE" w14:textId="77777777">
            <w:pPr>
              <w:pStyle w:val="TableText-IPR"/>
            </w:pPr>
            <w:r>
              <w:t>N/A</w:t>
            </w:r>
          </w:p>
        </w:tc>
        <w:tc>
          <w:tcPr>
            <w:tcW w:w="1025" w:type="pct"/>
          </w:tcPr>
          <w:p w:rsidR="00914150" w:rsidRPr="0098370C" w:rsidP="00D937AE" w14:paraId="4112A2FE" w14:textId="77777777">
            <w:pPr>
              <w:pStyle w:val="TableText-IPR"/>
            </w:pPr>
            <w:r>
              <w:t>N/A</w:t>
            </w:r>
          </w:p>
        </w:tc>
        <w:tc>
          <w:tcPr>
            <w:tcW w:w="928" w:type="pct"/>
          </w:tcPr>
          <w:p w:rsidR="00914150" w:rsidRPr="0098370C" w:rsidP="00D937AE" w14:paraId="0303BAAD" w14:textId="77777777">
            <w:pPr>
              <w:pStyle w:val="TableText-IPR"/>
            </w:pPr>
            <w:r>
              <w:t>Publicly available web file download</w:t>
            </w:r>
          </w:p>
        </w:tc>
        <w:tc>
          <w:tcPr>
            <w:tcW w:w="928" w:type="pct"/>
          </w:tcPr>
          <w:p w:rsidR="00914150" w:rsidRPr="0098370C" w:rsidP="00D937AE" w14:paraId="411D2E81" w14:textId="77777777">
            <w:pPr>
              <w:pStyle w:val="TableText-IPR"/>
            </w:pPr>
            <w:r>
              <w:t>N/A</w:t>
            </w:r>
          </w:p>
        </w:tc>
        <w:tc>
          <w:tcPr>
            <w:tcW w:w="617" w:type="pct"/>
          </w:tcPr>
          <w:p w:rsidR="00914150" w:rsidRPr="0098370C" w:rsidP="00D937AE" w14:paraId="178DD26D" w14:textId="77777777">
            <w:pPr>
              <w:pStyle w:val="TableText-IPR"/>
            </w:pPr>
            <w:r>
              <w:t xml:space="preserve">2 </w:t>
            </w:r>
          </w:p>
        </w:tc>
      </w:tr>
      <w:tr w14:paraId="66D6907F" w14:textId="77777777" w:rsidTr="00D937AE">
        <w:tblPrEx>
          <w:tblW w:w="5000" w:type="pct"/>
          <w:tblInd w:w="0" w:type="dxa"/>
          <w:tblLayout w:type="fixed"/>
          <w:tblLook w:val="04A0"/>
        </w:tblPrEx>
        <w:trPr>
          <w:trHeight w:val="120"/>
        </w:trPr>
        <w:tc>
          <w:tcPr>
            <w:tcW w:w="776" w:type="pct"/>
          </w:tcPr>
          <w:p w:rsidR="00914150" w:rsidP="00D937AE" w14:paraId="24B78D2E" w14:textId="77777777">
            <w:pPr>
              <w:pStyle w:val="TableText-IPR"/>
            </w:pPr>
            <w:r w:rsidRPr="0098370C">
              <w:t>Administrative</w:t>
            </w:r>
            <w:r>
              <w:t xml:space="preserve"> GusNIP grantee</w:t>
            </w:r>
            <w:r w:rsidRPr="0098370C">
              <w:t xml:space="preserve"> </w:t>
            </w:r>
            <w:r>
              <w:t>d</w:t>
            </w:r>
            <w:r w:rsidRPr="0098370C">
              <w:t xml:space="preserve">ata </w:t>
            </w:r>
            <w:r>
              <w:t>c</w:t>
            </w:r>
            <w:r w:rsidRPr="0098370C">
              <w:t>ollection</w:t>
            </w:r>
          </w:p>
          <w:p w:rsidR="00914150" w:rsidRPr="0098370C" w:rsidP="00D937AE" w14:paraId="30AFDE13" w14:textId="4F8677D0">
            <w:pPr>
              <w:pStyle w:val="TableText-IPR"/>
            </w:pPr>
            <w:r>
              <w:t xml:space="preserve">(appendix </w:t>
            </w:r>
            <w:r w:rsidR="004900B7">
              <w:t>P</w:t>
            </w:r>
            <w:r>
              <w:t>)</w:t>
            </w:r>
          </w:p>
        </w:tc>
        <w:tc>
          <w:tcPr>
            <w:tcW w:w="726" w:type="pct"/>
          </w:tcPr>
          <w:p w:rsidR="00914150" w:rsidRPr="0098370C" w:rsidP="00D937AE" w14:paraId="65E759DD" w14:textId="77777777">
            <w:pPr>
              <w:pStyle w:val="TableText-IPR"/>
            </w:pPr>
            <w:r>
              <w:t>Businesses</w:t>
            </w:r>
          </w:p>
        </w:tc>
        <w:tc>
          <w:tcPr>
            <w:tcW w:w="1025" w:type="pct"/>
          </w:tcPr>
          <w:p w:rsidR="00914150" w:rsidRPr="0098370C" w:rsidP="00D937AE" w14:paraId="776F60C1" w14:textId="77777777">
            <w:pPr>
              <w:pStyle w:val="TableText-IPR"/>
            </w:pPr>
            <w:r>
              <w:t>One staff member from each of twelve GusNIP grantees</w:t>
            </w:r>
          </w:p>
        </w:tc>
        <w:tc>
          <w:tcPr>
            <w:tcW w:w="928" w:type="pct"/>
          </w:tcPr>
          <w:p w:rsidR="00914150" w:rsidRPr="0098370C" w:rsidP="00D937AE" w14:paraId="06DFB46B" w14:textId="77777777">
            <w:pPr>
              <w:pStyle w:val="TableText-IPR"/>
            </w:pPr>
            <w:r>
              <w:t>Web file upload</w:t>
            </w:r>
          </w:p>
        </w:tc>
        <w:tc>
          <w:tcPr>
            <w:tcW w:w="928" w:type="pct"/>
          </w:tcPr>
          <w:p w:rsidR="00914150" w:rsidRPr="0098370C" w:rsidP="00D937AE" w14:paraId="4F191A5A" w14:textId="0BD94AB3">
            <w:pPr>
              <w:pStyle w:val="TableText-IPR"/>
            </w:pPr>
            <w:r>
              <w:t xml:space="preserve">70 minutes </w:t>
            </w:r>
            <w:r w:rsidR="0052462F">
              <w:t xml:space="preserve">per respondent </w:t>
            </w:r>
          </w:p>
        </w:tc>
        <w:tc>
          <w:tcPr>
            <w:tcW w:w="617" w:type="pct"/>
          </w:tcPr>
          <w:p w:rsidR="00914150" w:rsidRPr="0098370C" w:rsidP="00D937AE" w14:paraId="1114D25A" w14:textId="77777777">
            <w:pPr>
              <w:pStyle w:val="TableText-IPR"/>
            </w:pPr>
            <w:r>
              <w:t xml:space="preserve">3 </w:t>
            </w:r>
          </w:p>
        </w:tc>
      </w:tr>
    </w:tbl>
    <w:p w:rsidR="00914150" w:rsidP="00914150" w14:paraId="5072551E" w14:textId="77777777">
      <w:pPr>
        <w:spacing w:after="0" w:line="240" w:lineRule="auto"/>
        <w:rPr>
          <w:sz w:val="18"/>
          <w:szCs w:val="18"/>
        </w:rPr>
      </w:pPr>
      <w:r>
        <w:rPr>
          <w:sz w:val="18"/>
          <w:szCs w:val="18"/>
          <w:vertAlign w:val="superscript"/>
        </w:rPr>
        <w:t>a</w:t>
      </w:r>
      <w:r>
        <w:rPr>
          <w:sz w:val="18"/>
          <w:szCs w:val="18"/>
        </w:rPr>
        <w:t xml:space="preserve"> Each State is expected to coordinate</w:t>
      </w:r>
      <w:r w:rsidRPr="007E1D10">
        <w:rPr>
          <w:sz w:val="18"/>
          <w:szCs w:val="18"/>
        </w:rPr>
        <w:t xml:space="preserve"> data submission </w:t>
      </w:r>
      <w:r>
        <w:rPr>
          <w:sz w:val="18"/>
          <w:szCs w:val="18"/>
        </w:rPr>
        <w:t>of administrative project costs</w:t>
      </w:r>
      <w:r w:rsidRPr="007E1D10">
        <w:rPr>
          <w:sz w:val="18"/>
          <w:szCs w:val="18"/>
        </w:rPr>
        <w:t xml:space="preserve"> from all </w:t>
      </w:r>
      <w:r>
        <w:rPr>
          <w:sz w:val="18"/>
          <w:szCs w:val="18"/>
        </w:rPr>
        <w:t xml:space="preserve">relevant </w:t>
      </w:r>
      <w:r w:rsidRPr="007E1D10">
        <w:rPr>
          <w:sz w:val="18"/>
          <w:szCs w:val="18"/>
        </w:rPr>
        <w:t>entities</w:t>
      </w:r>
      <w:r>
        <w:rPr>
          <w:sz w:val="18"/>
          <w:szCs w:val="18"/>
        </w:rPr>
        <w:t xml:space="preserve"> (including retailers, EBT processors, and TPPs). However, the study team will work with individual entities if needed. </w:t>
      </w:r>
    </w:p>
    <w:p w:rsidR="00914150" w:rsidRPr="004B4360" w:rsidP="004B4360" w14:paraId="6FED114C" w14:textId="66098236">
      <w:pPr>
        <w:rPr>
          <w:sz w:val="24"/>
          <w:szCs w:val="24"/>
        </w:rPr>
      </w:pPr>
      <w:r>
        <w:rPr>
          <w:sz w:val="18"/>
          <w:szCs w:val="18"/>
          <w:vertAlign w:val="superscript"/>
        </w:rPr>
        <w:t>b</w:t>
      </w:r>
      <w:r>
        <w:rPr>
          <w:sz w:val="18"/>
          <w:szCs w:val="18"/>
        </w:rPr>
        <w:t xml:space="preserve"> One EBT processor serves two project States and the second serves the third project State.</w:t>
      </w:r>
    </w:p>
    <w:p w:rsidR="00DC5D41" w:rsidRPr="00D569CC" w:rsidP="006C11FE" w14:paraId="69E280CC" w14:textId="03DBCEDC">
      <w:pPr>
        <w:pStyle w:val="BodyText-IPR"/>
        <w:numPr>
          <w:ilvl w:val="0"/>
          <w:numId w:val="20"/>
        </w:numPr>
        <w:spacing w:before="480" w:line="480" w:lineRule="auto"/>
        <w:rPr>
          <w:sz w:val="24"/>
          <w:szCs w:val="24"/>
        </w:rPr>
      </w:pPr>
      <w:r>
        <w:rPr>
          <w:b/>
          <w:bCs/>
          <w:sz w:val="24"/>
          <w:szCs w:val="24"/>
        </w:rPr>
        <w:t>Administrative p</w:t>
      </w:r>
      <w:r w:rsidRPr="00D569CC" w:rsidR="00E46855">
        <w:rPr>
          <w:b/>
          <w:bCs/>
          <w:sz w:val="24"/>
          <w:szCs w:val="24"/>
        </w:rPr>
        <w:t>roject cost data collection</w:t>
      </w:r>
      <w:r w:rsidRPr="00D569CC" w:rsidR="003B69C9">
        <w:rPr>
          <w:sz w:val="24"/>
          <w:szCs w:val="24"/>
        </w:rPr>
        <w:t xml:space="preserve">. </w:t>
      </w:r>
      <w:r w:rsidRPr="00D569CC" w:rsidR="00B464AA">
        <w:rPr>
          <w:sz w:val="24"/>
          <w:szCs w:val="24"/>
        </w:rPr>
        <w:t>SNAP State agency</w:t>
      </w:r>
      <w:r w:rsidR="00E46855">
        <w:rPr>
          <w:sz w:val="24"/>
          <w:szCs w:val="24"/>
        </w:rPr>
        <w:t xml:space="preserve"> project</w:t>
      </w:r>
      <w:r w:rsidRPr="00D569CC" w:rsidR="00B464AA">
        <w:rPr>
          <w:sz w:val="24"/>
          <w:szCs w:val="24"/>
        </w:rPr>
        <w:t xml:space="preserve"> directors will receive a</w:t>
      </w:r>
      <w:r w:rsidR="006E6137">
        <w:rPr>
          <w:sz w:val="24"/>
          <w:szCs w:val="24"/>
        </w:rPr>
        <w:t xml:space="preserve">n electronic letter from the study team describing the request for project administrative data and providing instructions for completing the request (appendix D). The study team </w:t>
      </w:r>
      <w:r w:rsidR="00BD33DD">
        <w:rPr>
          <w:sz w:val="24"/>
          <w:szCs w:val="24"/>
        </w:rPr>
        <w:t>will provide directors a</w:t>
      </w:r>
      <w:r w:rsidRPr="00D569CC" w:rsidR="00B464AA">
        <w:rPr>
          <w:sz w:val="24"/>
          <w:szCs w:val="24"/>
        </w:rPr>
        <w:t xml:space="preserve"> unique URL granting them access to </w:t>
      </w:r>
      <w:r w:rsidR="00E46855">
        <w:rPr>
          <w:sz w:val="24"/>
          <w:szCs w:val="24"/>
        </w:rPr>
        <w:t>a</w:t>
      </w:r>
      <w:r w:rsidR="00BD33DD">
        <w:rPr>
          <w:sz w:val="24"/>
          <w:szCs w:val="24"/>
        </w:rPr>
        <w:t xml:space="preserve"> Federally</w:t>
      </w:r>
      <w:r w:rsidR="00345EB2">
        <w:rPr>
          <w:sz w:val="24"/>
          <w:szCs w:val="24"/>
        </w:rPr>
        <w:t xml:space="preserve"> </w:t>
      </w:r>
      <w:r w:rsidR="00BD33DD">
        <w:rPr>
          <w:sz w:val="24"/>
          <w:szCs w:val="24"/>
        </w:rPr>
        <w:t>approved</w:t>
      </w:r>
      <w:r w:rsidR="00E46855">
        <w:rPr>
          <w:sz w:val="24"/>
          <w:szCs w:val="24"/>
        </w:rPr>
        <w:t xml:space="preserve"> secure</w:t>
      </w:r>
      <w:r>
        <w:rPr>
          <w:sz w:val="24"/>
          <w:szCs w:val="24"/>
        </w:rPr>
        <w:t>-</w:t>
      </w:r>
      <w:r w:rsidR="00E46855">
        <w:rPr>
          <w:sz w:val="24"/>
          <w:szCs w:val="24"/>
        </w:rPr>
        <w:t>file</w:t>
      </w:r>
      <w:r>
        <w:rPr>
          <w:sz w:val="24"/>
          <w:szCs w:val="24"/>
        </w:rPr>
        <w:t>-</w:t>
      </w:r>
      <w:r w:rsidR="00E46855">
        <w:rPr>
          <w:sz w:val="24"/>
          <w:szCs w:val="24"/>
        </w:rPr>
        <w:t>upload web address</w:t>
      </w:r>
      <w:r w:rsidR="00BD33DD">
        <w:rPr>
          <w:sz w:val="24"/>
          <w:szCs w:val="24"/>
        </w:rPr>
        <w:t xml:space="preserve"> </w:t>
      </w:r>
      <w:r w:rsidR="00E46855">
        <w:rPr>
          <w:sz w:val="24"/>
          <w:szCs w:val="24"/>
        </w:rPr>
        <w:t xml:space="preserve">where all administrative data can be submitted </w:t>
      </w:r>
      <w:r w:rsidRPr="00D569CC" w:rsidR="005C4750">
        <w:rPr>
          <w:sz w:val="24"/>
          <w:szCs w:val="24"/>
        </w:rPr>
        <w:t>(</w:t>
      </w:r>
      <w:r w:rsidRPr="00652A7D" w:rsidR="00927500">
        <w:rPr>
          <w:sz w:val="24"/>
          <w:szCs w:val="24"/>
        </w:rPr>
        <w:t>appendi</w:t>
      </w:r>
      <w:r w:rsidRPr="00652A7D" w:rsidR="00C32765">
        <w:rPr>
          <w:sz w:val="24"/>
          <w:szCs w:val="24"/>
        </w:rPr>
        <w:t>ces</w:t>
      </w:r>
      <w:r w:rsidR="00BD33DD">
        <w:rPr>
          <w:sz w:val="24"/>
          <w:szCs w:val="24"/>
        </w:rPr>
        <w:t xml:space="preserve"> </w:t>
      </w:r>
      <w:r w:rsidR="004900B7">
        <w:rPr>
          <w:sz w:val="24"/>
          <w:szCs w:val="24"/>
        </w:rPr>
        <w:t>D</w:t>
      </w:r>
      <w:r w:rsidRPr="00652A7D">
        <w:rPr>
          <w:sz w:val="24"/>
          <w:szCs w:val="24"/>
        </w:rPr>
        <w:t>-</w:t>
      </w:r>
      <w:r w:rsidR="004900B7">
        <w:rPr>
          <w:sz w:val="24"/>
          <w:szCs w:val="24"/>
        </w:rPr>
        <w:t>H</w:t>
      </w:r>
      <w:r w:rsidR="00E46855">
        <w:rPr>
          <w:sz w:val="24"/>
          <w:szCs w:val="24"/>
        </w:rPr>
        <w:t>)</w:t>
      </w:r>
      <w:r w:rsidRPr="00D569CC" w:rsidR="00927500">
        <w:rPr>
          <w:sz w:val="24"/>
          <w:szCs w:val="24"/>
        </w:rPr>
        <w:t>.</w:t>
      </w:r>
    </w:p>
    <w:p w:rsidR="00914CE1" w:rsidP="00D569CC" w14:paraId="2B977ED6" w14:textId="22B8DD78">
      <w:pPr>
        <w:pStyle w:val="BodyText-IPR"/>
        <w:spacing w:line="480" w:lineRule="auto"/>
        <w:ind w:left="720"/>
        <w:rPr>
          <w:sz w:val="24"/>
          <w:szCs w:val="24"/>
        </w:rPr>
      </w:pPr>
      <w:r w:rsidRPr="00F54E35">
        <w:rPr>
          <w:sz w:val="24"/>
          <w:szCs w:val="24"/>
        </w:rPr>
        <w:t>The cost data will include administrative costs, incentives issued, and qualifying fruit and vegetable purchases</w:t>
      </w:r>
      <w:r>
        <w:rPr>
          <w:sz w:val="24"/>
          <w:szCs w:val="24"/>
        </w:rPr>
        <w:t xml:space="preserve">. The study team </w:t>
      </w:r>
      <w:r w:rsidR="003C5E61">
        <w:rPr>
          <w:sz w:val="24"/>
          <w:szCs w:val="24"/>
        </w:rPr>
        <w:t xml:space="preserve">will conduct </w:t>
      </w:r>
      <w:r w:rsidRPr="00914CE1">
        <w:rPr>
          <w:sz w:val="24"/>
          <w:szCs w:val="24"/>
        </w:rPr>
        <w:t xml:space="preserve">three rounds of cost data collection: the project launch round, would occur upon project go-live launch or receipt of OMB approval (whichever is later); the interim round, would occur approximately 6 months </w:t>
      </w:r>
      <w:r w:rsidRPr="00914CE1">
        <w:rPr>
          <w:sz w:val="24"/>
          <w:szCs w:val="24"/>
        </w:rPr>
        <w:t xml:space="preserve">after the project launch round; and the final round, would occur approximately 6 months after the interim round. Actual intervals between data collection will depend upon when the </w:t>
      </w:r>
      <w:r w:rsidR="004432D5">
        <w:rPr>
          <w:sz w:val="24"/>
          <w:szCs w:val="24"/>
        </w:rPr>
        <w:t xml:space="preserve">three </w:t>
      </w:r>
      <w:r w:rsidR="00EA487D">
        <w:rPr>
          <w:sz w:val="24"/>
          <w:szCs w:val="24"/>
        </w:rPr>
        <w:t xml:space="preserve">project </w:t>
      </w:r>
      <w:r w:rsidRPr="00914CE1">
        <w:rPr>
          <w:sz w:val="24"/>
          <w:szCs w:val="24"/>
        </w:rPr>
        <w:t xml:space="preserve">States launch their programs. </w:t>
      </w:r>
      <w:r>
        <w:rPr>
          <w:sz w:val="24"/>
          <w:szCs w:val="24"/>
        </w:rPr>
        <w:t>The study team</w:t>
      </w:r>
      <w:r w:rsidRPr="00914CE1">
        <w:rPr>
          <w:sz w:val="24"/>
          <w:szCs w:val="24"/>
        </w:rPr>
        <w:t xml:space="preserve"> chose three discrete rounds of cost data collection to minimize burden on States and their part</w:t>
      </w:r>
      <w:r>
        <w:rPr>
          <w:sz w:val="24"/>
          <w:szCs w:val="24"/>
        </w:rPr>
        <w:t>ners.</w:t>
      </w:r>
      <w:r w:rsidRPr="00914CE1">
        <w:rPr>
          <w:sz w:val="24"/>
          <w:szCs w:val="24"/>
        </w:rPr>
        <w:t xml:space="preserve"> </w:t>
      </w:r>
      <w:r>
        <w:rPr>
          <w:sz w:val="24"/>
          <w:szCs w:val="24"/>
        </w:rPr>
        <w:t>T</w:t>
      </w:r>
      <w:r w:rsidRPr="00914CE1">
        <w:rPr>
          <w:sz w:val="24"/>
          <w:szCs w:val="24"/>
        </w:rPr>
        <w:t xml:space="preserve">his schedule </w:t>
      </w:r>
      <w:r>
        <w:rPr>
          <w:sz w:val="24"/>
          <w:szCs w:val="24"/>
        </w:rPr>
        <w:t>should</w:t>
      </w:r>
      <w:r w:rsidRPr="00914CE1">
        <w:rPr>
          <w:sz w:val="24"/>
          <w:szCs w:val="24"/>
        </w:rPr>
        <w:t xml:space="preserve"> be less disruptive to their operations than requesting data more frequently</w:t>
      </w:r>
      <w:r>
        <w:rPr>
          <w:sz w:val="24"/>
          <w:szCs w:val="24"/>
        </w:rPr>
        <w:t>; however, the study team will accept data from States submitted more frequently than the proposed schedule</w:t>
      </w:r>
      <w:r w:rsidR="004F6C8D">
        <w:rPr>
          <w:sz w:val="24"/>
          <w:szCs w:val="24"/>
        </w:rPr>
        <w:t xml:space="preserve"> if </w:t>
      </w:r>
      <w:r w:rsidR="005732A0">
        <w:rPr>
          <w:sz w:val="24"/>
          <w:szCs w:val="24"/>
        </w:rPr>
        <w:t>preferred</w:t>
      </w:r>
      <w:r w:rsidRPr="00914CE1">
        <w:rPr>
          <w:sz w:val="24"/>
          <w:szCs w:val="24"/>
        </w:rPr>
        <w:t>.</w:t>
      </w:r>
      <w:r>
        <w:rPr>
          <w:sz w:val="24"/>
          <w:szCs w:val="24"/>
        </w:rPr>
        <w:t xml:space="preserve"> </w:t>
      </w:r>
      <w:r w:rsidRPr="00914CE1">
        <w:rPr>
          <w:sz w:val="24"/>
          <w:szCs w:val="24"/>
        </w:rPr>
        <w:t xml:space="preserve">Each State is expected to coordinate data submission from all entities (including retailers, EBT processors, </w:t>
      </w:r>
      <w:r w:rsidR="002F18F7">
        <w:rPr>
          <w:sz w:val="24"/>
          <w:szCs w:val="24"/>
        </w:rPr>
        <w:t xml:space="preserve">and </w:t>
      </w:r>
      <w:r w:rsidRPr="00914CE1">
        <w:rPr>
          <w:sz w:val="24"/>
          <w:szCs w:val="24"/>
        </w:rPr>
        <w:t xml:space="preserve">TPPs). However, the study team will work with individual entities if needed. </w:t>
      </w:r>
      <w:r>
        <w:rPr>
          <w:sz w:val="24"/>
          <w:szCs w:val="24"/>
        </w:rPr>
        <w:t xml:space="preserve"> </w:t>
      </w:r>
      <w:r w:rsidRPr="00914CE1">
        <w:rPr>
          <w:sz w:val="24"/>
          <w:szCs w:val="24"/>
        </w:rPr>
        <w:t xml:space="preserve"> </w:t>
      </w:r>
      <w:r w:rsidRPr="00F54E35">
        <w:rPr>
          <w:sz w:val="24"/>
          <w:szCs w:val="24"/>
        </w:rPr>
        <w:t xml:space="preserve"> </w:t>
      </w:r>
    </w:p>
    <w:p w:rsidR="00FF6F74" w:rsidRPr="00A954A0" w:rsidP="00D569CC" w14:paraId="5E13CB67" w14:textId="3A66DC06">
      <w:pPr>
        <w:pStyle w:val="BodyText-IPR"/>
        <w:spacing w:line="480" w:lineRule="auto"/>
        <w:ind w:left="720"/>
        <w:rPr>
          <w:sz w:val="24"/>
          <w:szCs w:val="24"/>
        </w:rPr>
      </w:pPr>
      <w:r>
        <w:rPr>
          <w:sz w:val="24"/>
          <w:szCs w:val="24"/>
        </w:rPr>
        <w:t xml:space="preserve">The study team </w:t>
      </w:r>
      <w:r w:rsidRPr="00914CE1">
        <w:rPr>
          <w:sz w:val="24"/>
          <w:szCs w:val="24"/>
        </w:rPr>
        <w:t xml:space="preserve">will provide a </w:t>
      </w:r>
      <w:r w:rsidR="006156BB">
        <w:rPr>
          <w:sz w:val="24"/>
          <w:szCs w:val="24"/>
        </w:rPr>
        <w:t xml:space="preserve">Federally approved </w:t>
      </w:r>
      <w:r w:rsidRPr="00914CE1">
        <w:rPr>
          <w:sz w:val="24"/>
          <w:szCs w:val="24"/>
        </w:rPr>
        <w:t xml:space="preserve">secure website and protocol for submitting these data to protect the confidentiality of the data (particularly the firm-level and store-level data on retailer costs, incentives, and qualifying purchases). </w:t>
      </w:r>
      <w:r>
        <w:rPr>
          <w:sz w:val="24"/>
          <w:szCs w:val="24"/>
        </w:rPr>
        <w:t>The team w</w:t>
      </w:r>
      <w:r w:rsidRPr="00914CE1">
        <w:rPr>
          <w:sz w:val="24"/>
          <w:szCs w:val="24"/>
        </w:rPr>
        <w:t>ill receive and review data on an ongoing basis during the pre-live and live op</w:t>
      </w:r>
      <w:r>
        <w:rPr>
          <w:sz w:val="24"/>
          <w:szCs w:val="24"/>
        </w:rPr>
        <w:t xml:space="preserve">erations phases of the project; and </w:t>
      </w:r>
      <w:r w:rsidRPr="00914CE1">
        <w:rPr>
          <w:sz w:val="24"/>
          <w:szCs w:val="24"/>
        </w:rPr>
        <w:t xml:space="preserve">follow up as needed with the States, including probes during the staff interviews (after operations go live and later). </w:t>
      </w:r>
    </w:p>
    <w:p w:rsidR="001B64AE" w:rsidP="00893492" w14:paraId="61DBC160" w14:textId="4FD5AF73">
      <w:pPr>
        <w:pStyle w:val="BodyText-IPR"/>
        <w:numPr>
          <w:ilvl w:val="0"/>
          <w:numId w:val="20"/>
        </w:numPr>
        <w:spacing w:line="480" w:lineRule="auto"/>
        <w:rPr>
          <w:sz w:val="24"/>
          <w:szCs w:val="24"/>
        </w:rPr>
      </w:pPr>
      <w:r w:rsidRPr="00914CE1">
        <w:rPr>
          <w:b/>
          <w:bCs/>
          <w:sz w:val="24"/>
          <w:szCs w:val="24"/>
        </w:rPr>
        <w:t>Interview data collection</w:t>
      </w:r>
      <w:r w:rsidRPr="00A954A0" w:rsidR="003B69C9">
        <w:rPr>
          <w:sz w:val="24"/>
          <w:szCs w:val="24"/>
        </w:rPr>
        <w:t xml:space="preserve">. </w:t>
      </w:r>
      <w:r w:rsidRPr="00A954A0" w:rsidR="00FF6F74">
        <w:rPr>
          <w:sz w:val="24"/>
          <w:szCs w:val="24"/>
        </w:rPr>
        <w:t xml:space="preserve">The study team will use </w:t>
      </w:r>
      <w:r w:rsidRPr="00EC7F5C" w:rsidR="00EC7F5C">
        <w:rPr>
          <w:sz w:val="24"/>
          <w:szCs w:val="24"/>
        </w:rPr>
        <w:t xml:space="preserve">narrowly focused modular interview guides </w:t>
      </w:r>
      <w:r w:rsidRPr="00A954A0" w:rsidR="00FF6F74">
        <w:rPr>
          <w:sz w:val="24"/>
          <w:szCs w:val="24"/>
        </w:rPr>
        <w:t>to conduct</w:t>
      </w:r>
      <w:r w:rsidR="00EC7F5C">
        <w:rPr>
          <w:sz w:val="24"/>
          <w:szCs w:val="24"/>
        </w:rPr>
        <w:t xml:space="preserve"> essential staff</w:t>
      </w:r>
      <w:r w:rsidRPr="00A954A0" w:rsidR="00FF6F74">
        <w:rPr>
          <w:sz w:val="24"/>
          <w:szCs w:val="24"/>
        </w:rPr>
        <w:t xml:space="preserve"> interviews </w:t>
      </w:r>
      <w:r w:rsidR="00FA0A44">
        <w:rPr>
          <w:sz w:val="24"/>
          <w:szCs w:val="24"/>
        </w:rPr>
        <w:t xml:space="preserve">with staff from SNAP State agencies, EBT processors, retailers, and TPPs </w:t>
      </w:r>
      <w:r w:rsidRPr="00A954A0" w:rsidR="00FF6F74">
        <w:rPr>
          <w:sz w:val="24"/>
          <w:szCs w:val="24"/>
        </w:rPr>
        <w:t>via teleconference or videoconference, based on each respondent’s preference</w:t>
      </w:r>
      <w:r w:rsidR="00EC7F5C">
        <w:rPr>
          <w:sz w:val="24"/>
          <w:szCs w:val="24"/>
        </w:rPr>
        <w:t xml:space="preserve">, </w:t>
      </w:r>
      <w:r w:rsidRPr="00EC7F5C" w:rsidR="00EC7F5C">
        <w:rPr>
          <w:sz w:val="24"/>
          <w:szCs w:val="24"/>
        </w:rPr>
        <w:t>using Federally approved, secure video-conferencing software</w:t>
      </w:r>
      <w:r w:rsidRPr="00A954A0" w:rsidR="00FF6F74">
        <w:rPr>
          <w:sz w:val="24"/>
          <w:szCs w:val="24"/>
        </w:rPr>
        <w:t>.</w:t>
      </w:r>
      <w:r w:rsidR="00235DCF">
        <w:rPr>
          <w:sz w:val="24"/>
          <w:szCs w:val="24"/>
        </w:rPr>
        <w:t xml:space="preserve"> </w:t>
      </w:r>
      <w:r w:rsidRPr="006156BB" w:rsidR="006156BB">
        <w:rPr>
          <w:sz w:val="24"/>
          <w:szCs w:val="24"/>
        </w:rPr>
        <w:t xml:space="preserve">Essential staff are staff members with </w:t>
      </w:r>
      <w:r w:rsidR="00D21D71">
        <w:rPr>
          <w:sz w:val="24"/>
          <w:szCs w:val="24"/>
        </w:rPr>
        <w:t>detailed</w:t>
      </w:r>
      <w:r w:rsidRPr="006156BB" w:rsidR="00D21D71">
        <w:rPr>
          <w:sz w:val="24"/>
          <w:szCs w:val="24"/>
        </w:rPr>
        <w:t xml:space="preserve"> </w:t>
      </w:r>
      <w:r w:rsidRPr="006156BB" w:rsidR="006156BB">
        <w:rPr>
          <w:sz w:val="24"/>
          <w:szCs w:val="24"/>
        </w:rPr>
        <w:t xml:space="preserve">knowledge of the eHIP project and its processes. The study team will select staff with these characteristics who likely can confirm and enhance understanding of the eHIP project, discuss additional costs and </w:t>
      </w:r>
      <w:r w:rsidRPr="006156BB" w:rsidR="006156BB">
        <w:rPr>
          <w:sz w:val="24"/>
          <w:szCs w:val="24"/>
        </w:rPr>
        <w:t>funding sources not known to the study team at the onset, and provide lessons learned during the project.</w:t>
      </w:r>
      <w:r w:rsidR="006156BB">
        <w:rPr>
          <w:sz w:val="24"/>
          <w:szCs w:val="24"/>
        </w:rPr>
        <w:t xml:space="preserve"> </w:t>
      </w:r>
      <w:r w:rsidRPr="001B64AE">
        <w:rPr>
          <w:sz w:val="24"/>
          <w:szCs w:val="24"/>
        </w:rPr>
        <w:t>The study team will work with senior staff within t</w:t>
      </w:r>
      <w:r>
        <w:rPr>
          <w:sz w:val="24"/>
          <w:szCs w:val="24"/>
        </w:rPr>
        <w:t xml:space="preserve">he study </w:t>
      </w:r>
      <w:r w:rsidRPr="001B64AE">
        <w:rPr>
          <w:sz w:val="24"/>
          <w:szCs w:val="24"/>
        </w:rPr>
        <w:t>entities</w:t>
      </w:r>
      <w:r>
        <w:rPr>
          <w:sz w:val="24"/>
          <w:szCs w:val="24"/>
        </w:rPr>
        <w:t xml:space="preserve"> (SNAP State agencies, EBT processors, retailers, and TPPs)</w:t>
      </w:r>
      <w:r w:rsidRPr="001B64AE">
        <w:rPr>
          <w:sz w:val="24"/>
          <w:szCs w:val="24"/>
        </w:rPr>
        <w:t xml:space="preserve"> to identify these essential staff members. </w:t>
      </w:r>
      <w:r>
        <w:rPr>
          <w:sz w:val="24"/>
          <w:szCs w:val="24"/>
        </w:rPr>
        <w:t xml:space="preserve">The study team will send identified staff members an electronic letter requesting to schedule an interview (appendix </w:t>
      </w:r>
      <w:r w:rsidR="004900B7">
        <w:rPr>
          <w:sz w:val="24"/>
          <w:szCs w:val="24"/>
        </w:rPr>
        <w:t>I</w:t>
      </w:r>
      <w:r>
        <w:rPr>
          <w:sz w:val="24"/>
          <w:szCs w:val="24"/>
        </w:rPr>
        <w:t xml:space="preserve">). After this, the study team will send identified staff members additional electronic letters with a reminder to schedule an interview (appendix </w:t>
      </w:r>
      <w:r w:rsidR="004900B7">
        <w:rPr>
          <w:sz w:val="24"/>
          <w:szCs w:val="24"/>
        </w:rPr>
        <w:t>J</w:t>
      </w:r>
      <w:r>
        <w:rPr>
          <w:sz w:val="24"/>
          <w:szCs w:val="24"/>
        </w:rPr>
        <w:t xml:space="preserve">) and a reminder about their scheduled interview (appendix </w:t>
      </w:r>
      <w:r w:rsidR="004900B7">
        <w:rPr>
          <w:sz w:val="24"/>
          <w:szCs w:val="24"/>
        </w:rPr>
        <w:t>K</w:t>
      </w:r>
      <w:r>
        <w:rPr>
          <w:sz w:val="24"/>
          <w:szCs w:val="24"/>
        </w:rPr>
        <w:t xml:space="preserve">). Prior to the interview, the team will send staff members the interview consent form (appendix </w:t>
      </w:r>
      <w:r w:rsidR="004900B7">
        <w:rPr>
          <w:sz w:val="24"/>
          <w:szCs w:val="24"/>
        </w:rPr>
        <w:t>N</w:t>
      </w:r>
      <w:r>
        <w:rPr>
          <w:sz w:val="24"/>
          <w:szCs w:val="24"/>
        </w:rPr>
        <w:t xml:space="preserve">) and after the interview they will send a follow-up and thank you note (appendix </w:t>
      </w:r>
      <w:r w:rsidR="004900B7">
        <w:rPr>
          <w:sz w:val="24"/>
          <w:szCs w:val="24"/>
        </w:rPr>
        <w:t>O</w:t>
      </w:r>
      <w:r>
        <w:rPr>
          <w:sz w:val="24"/>
          <w:szCs w:val="24"/>
        </w:rPr>
        <w:t xml:space="preserve">). </w:t>
      </w:r>
    </w:p>
    <w:p w:rsidR="00687A77" w:rsidP="0003577E" w14:paraId="6E15D98C" w14:textId="24A2FA88">
      <w:pPr>
        <w:pStyle w:val="BodyText-IPR"/>
        <w:spacing w:line="480" w:lineRule="auto"/>
        <w:ind w:left="720"/>
        <w:rPr>
          <w:sz w:val="24"/>
          <w:szCs w:val="24"/>
        </w:rPr>
      </w:pPr>
      <w:r>
        <w:rPr>
          <w:sz w:val="24"/>
          <w:szCs w:val="24"/>
        </w:rPr>
        <w:t xml:space="preserve">The team will </w:t>
      </w:r>
      <w:r w:rsidRPr="00235DCF">
        <w:rPr>
          <w:sz w:val="24"/>
          <w:szCs w:val="24"/>
        </w:rPr>
        <w:t xml:space="preserve">tailor the interview guides for each respondent based on the data received that </w:t>
      </w:r>
      <w:r>
        <w:rPr>
          <w:sz w:val="24"/>
          <w:szCs w:val="24"/>
        </w:rPr>
        <w:t xml:space="preserve">needs to be </w:t>
      </w:r>
      <w:r w:rsidRPr="00235DCF">
        <w:rPr>
          <w:sz w:val="24"/>
          <w:szCs w:val="24"/>
        </w:rPr>
        <w:t>review</w:t>
      </w:r>
      <w:r>
        <w:rPr>
          <w:sz w:val="24"/>
          <w:szCs w:val="24"/>
        </w:rPr>
        <w:t>ed</w:t>
      </w:r>
      <w:r w:rsidRPr="00235DCF">
        <w:rPr>
          <w:sz w:val="24"/>
          <w:szCs w:val="24"/>
        </w:rPr>
        <w:t xml:space="preserve"> with the respondent</w:t>
      </w:r>
      <w:r w:rsidR="00FA0A44">
        <w:rPr>
          <w:sz w:val="24"/>
          <w:szCs w:val="24"/>
        </w:rPr>
        <w:t xml:space="preserve"> </w:t>
      </w:r>
      <w:r w:rsidR="007D00D6">
        <w:rPr>
          <w:sz w:val="24"/>
          <w:szCs w:val="24"/>
        </w:rPr>
        <w:t>to</w:t>
      </w:r>
      <w:r w:rsidR="00FA0A44">
        <w:rPr>
          <w:sz w:val="24"/>
          <w:szCs w:val="24"/>
        </w:rPr>
        <w:t xml:space="preserve"> minimize burden</w:t>
      </w:r>
      <w:r>
        <w:rPr>
          <w:sz w:val="24"/>
          <w:szCs w:val="24"/>
        </w:rPr>
        <w:t>.</w:t>
      </w:r>
      <w:r w:rsidR="00893492">
        <w:rPr>
          <w:sz w:val="24"/>
          <w:szCs w:val="24"/>
        </w:rPr>
        <w:t xml:space="preserve"> </w:t>
      </w:r>
      <w:r w:rsidR="00523178">
        <w:rPr>
          <w:sz w:val="24"/>
          <w:szCs w:val="24"/>
        </w:rPr>
        <w:t xml:space="preserve">The team will include material in the interview guides that seek to gather missing information on project costs, clarify unclear data and confirm understanding of the data, and elicit lessons learned by staff members that are not easily reflected in the </w:t>
      </w:r>
      <w:r w:rsidR="00FA0A44">
        <w:rPr>
          <w:sz w:val="24"/>
          <w:szCs w:val="24"/>
        </w:rPr>
        <w:t xml:space="preserve">data templates provided to SNAP State agencies. </w:t>
      </w:r>
      <w:r w:rsidR="00523178">
        <w:rPr>
          <w:sz w:val="24"/>
          <w:szCs w:val="24"/>
        </w:rPr>
        <w:t xml:space="preserve"> </w:t>
      </w:r>
      <w:r w:rsidR="00652A7D">
        <w:rPr>
          <w:sz w:val="24"/>
          <w:szCs w:val="24"/>
        </w:rPr>
        <w:t xml:space="preserve">During the interviews, the interviewer will also walk respondents through cost estimates </w:t>
      </w:r>
      <w:r w:rsidR="004113D5">
        <w:rPr>
          <w:sz w:val="24"/>
          <w:szCs w:val="24"/>
        </w:rPr>
        <w:t>that the respondents omitted</w:t>
      </w:r>
      <w:r w:rsidR="00652A7D">
        <w:rPr>
          <w:sz w:val="24"/>
          <w:szCs w:val="24"/>
        </w:rPr>
        <w:t xml:space="preserve"> in the administrative data collection through worksheets.</w:t>
      </w:r>
    </w:p>
    <w:p w:rsidR="00F95502" w:rsidP="00D569CC" w14:paraId="1AA94B2B" w14:textId="3D430A75">
      <w:pPr>
        <w:pStyle w:val="BodyText-IPR"/>
        <w:spacing w:line="480" w:lineRule="auto"/>
        <w:ind w:left="720"/>
        <w:rPr>
          <w:sz w:val="24"/>
          <w:szCs w:val="24"/>
        </w:rPr>
      </w:pPr>
      <w:r>
        <w:rPr>
          <w:sz w:val="24"/>
          <w:szCs w:val="24"/>
        </w:rPr>
        <w:t xml:space="preserve">The study team proposes two rounds of interviews. </w:t>
      </w:r>
      <w:r w:rsidRPr="00893492">
        <w:rPr>
          <w:sz w:val="24"/>
          <w:szCs w:val="24"/>
        </w:rPr>
        <w:t xml:space="preserve">The first round will be scheduled shortly after the launch of each eHIP project and receipt of the first round of </w:t>
      </w:r>
      <w:r>
        <w:rPr>
          <w:sz w:val="24"/>
          <w:szCs w:val="24"/>
        </w:rPr>
        <w:t xml:space="preserve">administrative project </w:t>
      </w:r>
      <w:r w:rsidRPr="00893492">
        <w:rPr>
          <w:sz w:val="24"/>
          <w:szCs w:val="24"/>
        </w:rPr>
        <w:t>cost data.</w:t>
      </w:r>
      <w:r w:rsidR="00FA0A44">
        <w:rPr>
          <w:sz w:val="24"/>
          <w:szCs w:val="24"/>
        </w:rPr>
        <w:t xml:space="preserve"> The first round of interviews is scheduled to occur over a four-month period.</w:t>
      </w:r>
      <w:r w:rsidRPr="00893492">
        <w:rPr>
          <w:sz w:val="24"/>
          <w:szCs w:val="24"/>
        </w:rPr>
        <w:t xml:space="preserve"> These interviews will focus on understanding implementation and </w:t>
      </w:r>
      <w:r w:rsidRPr="00893492">
        <w:rPr>
          <w:sz w:val="24"/>
          <w:szCs w:val="24"/>
        </w:rPr>
        <w:t>start-up costs and will include mostly questions about cost da</w:t>
      </w:r>
      <w:r>
        <w:rPr>
          <w:sz w:val="24"/>
          <w:szCs w:val="24"/>
        </w:rPr>
        <w:t>ta received from project States</w:t>
      </w:r>
      <w:r w:rsidRPr="00893492">
        <w:rPr>
          <w:sz w:val="24"/>
          <w:szCs w:val="24"/>
        </w:rPr>
        <w:t xml:space="preserve">. The second round of interviews will be scheduled toward the end of data collection and will include questions about the cost data </w:t>
      </w:r>
      <w:r w:rsidR="00C615DD">
        <w:rPr>
          <w:sz w:val="24"/>
          <w:szCs w:val="24"/>
        </w:rPr>
        <w:t>as well as</w:t>
      </w:r>
      <w:r w:rsidRPr="00893492" w:rsidR="00C615DD">
        <w:rPr>
          <w:sz w:val="24"/>
          <w:szCs w:val="24"/>
        </w:rPr>
        <w:t xml:space="preserve"> </w:t>
      </w:r>
      <w:r w:rsidRPr="00893492">
        <w:rPr>
          <w:sz w:val="24"/>
          <w:szCs w:val="24"/>
        </w:rPr>
        <w:t>about</w:t>
      </w:r>
      <w:r w:rsidR="00623D72">
        <w:rPr>
          <w:sz w:val="24"/>
          <w:szCs w:val="24"/>
        </w:rPr>
        <w:t xml:space="preserve"> relevant</w:t>
      </w:r>
      <w:r w:rsidRPr="00893492">
        <w:rPr>
          <w:sz w:val="24"/>
          <w:szCs w:val="24"/>
        </w:rPr>
        <w:t xml:space="preserve"> lessons learned </w:t>
      </w:r>
      <w:r w:rsidR="00FA0A44">
        <w:rPr>
          <w:sz w:val="24"/>
          <w:szCs w:val="24"/>
        </w:rPr>
        <w:t xml:space="preserve">about the project </w:t>
      </w:r>
      <w:r w:rsidRPr="00893492">
        <w:rPr>
          <w:sz w:val="24"/>
          <w:szCs w:val="24"/>
        </w:rPr>
        <w:t>over the course of implementation</w:t>
      </w:r>
      <w:r w:rsidR="000948CA">
        <w:rPr>
          <w:sz w:val="24"/>
          <w:szCs w:val="24"/>
        </w:rPr>
        <w:t xml:space="preserve"> as </w:t>
      </w:r>
      <w:r w:rsidR="004B5AFF">
        <w:rPr>
          <w:sz w:val="24"/>
          <w:szCs w:val="24"/>
        </w:rPr>
        <w:t>could</w:t>
      </w:r>
      <w:r w:rsidR="000948CA">
        <w:rPr>
          <w:sz w:val="24"/>
          <w:szCs w:val="24"/>
        </w:rPr>
        <w:t xml:space="preserve"> </w:t>
      </w:r>
      <w:r w:rsidR="00B037C4">
        <w:rPr>
          <w:sz w:val="24"/>
          <w:szCs w:val="24"/>
        </w:rPr>
        <w:t xml:space="preserve">inform </w:t>
      </w:r>
      <w:r w:rsidR="00766F86">
        <w:rPr>
          <w:sz w:val="24"/>
          <w:szCs w:val="24"/>
        </w:rPr>
        <w:t xml:space="preserve">cost-effective </w:t>
      </w:r>
      <w:r w:rsidR="00345FF0">
        <w:rPr>
          <w:sz w:val="24"/>
          <w:szCs w:val="24"/>
        </w:rPr>
        <w:t>expansion</w:t>
      </w:r>
      <w:r w:rsidR="00F96F35">
        <w:rPr>
          <w:sz w:val="24"/>
          <w:szCs w:val="24"/>
        </w:rPr>
        <w:t xml:space="preserve"> beyond the initial</w:t>
      </w:r>
      <w:r w:rsidR="007608B8">
        <w:rPr>
          <w:sz w:val="24"/>
          <w:szCs w:val="24"/>
        </w:rPr>
        <w:t xml:space="preserve"> eHIP</w:t>
      </w:r>
      <w:r w:rsidR="00F96F35">
        <w:rPr>
          <w:sz w:val="24"/>
          <w:szCs w:val="24"/>
        </w:rPr>
        <w:t xml:space="preserve"> projects</w:t>
      </w:r>
      <w:r w:rsidRPr="00893492">
        <w:rPr>
          <w:sz w:val="24"/>
          <w:szCs w:val="24"/>
        </w:rPr>
        <w:t>.</w:t>
      </w:r>
      <w:r w:rsidRPr="00A954A0" w:rsidR="00FF6F74">
        <w:rPr>
          <w:sz w:val="24"/>
          <w:szCs w:val="24"/>
        </w:rPr>
        <w:t xml:space="preserve"> </w:t>
      </w:r>
      <w:r w:rsidR="00FA0A44">
        <w:rPr>
          <w:sz w:val="24"/>
          <w:szCs w:val="24"/>
        </w:rPr>
        <w:t>The second round of interviews is scheduled to occur over one month.</w:t>
      </w:r>
    </w:p>
    <w:p w:rsidR="005046F7" w:rsidRPr="00A954A0" w:rsidP="00D569CC" w14:paraId="6CF4FC4B" w14:textId="207365C0">
      <w:pPr>
        <w:pStyle w:val="BodyText-IPR"/>
        <w:spacing w:line="480" w:lineRule="auto"/>
        <w:ind w:left="720"/>
        <w:rPr>
          <w:sz w:val="24"/>
          <w:szCs w:val="24"/>
        </w:rPr>
      </w:pPr>
      <w:r w:rsidRPr="00A954A0">
        <w:rPr>
          <w:rFonts w:eastAsia="Calibri" w:cs="Calibri"/>
          <w:sz w:val="24"/>
          <w:szCs w:val="24"/>
        </w:rPr>
        <w:t xml:space="preserve">These </w:t>
      </w:r>
      <w:r w:rsidRPr="00A954A0">
        <w:rPr>
          <w:sz w:val="24"/>
          <w:szCs w:val="24"/>
        </w:rPr>
        <w:t xml:space="preserve">interviews </w:t>
      </w:r>
      <w:r w:rsidR="00EC7F5C">
        <w:rPr>
          <w:sz w:val="24"/>
          <w:szCs w:val="24"/>
        </w:rPr>
        <w:t xml:space="preserve">with eHIP State agencies and their partners will complement the administrative project cost data collection by confirming and enhancing understanding </w:t>
      </w:r>
      <w:r w:rsidR="009947F3">
        <w:rPr>
          <w:sz w:val="24"/>
          <w:szCs w:val="24"/>
        </w:rPr>
        <w:t xml:space="preserve">of the </w:t>
      </w:r>
      <w:r w:rsidRPr="00EC7F5C" w:rsidR="00EC7F5C">
        <w:rPr>
          <w:sz w:val="24"/>
          <w:szCs w:val="24"/>
        </w:rPr>
        <w:t xml:space="preserve">information received from </w:t>
      </w:r>
      <w:r w:rsidR="00FA0A44">
        <w:rPr>
          <w:sz w:val="24"/>
          <w:szCs w:val="24"/>
        </w:rPr>
        <w:t>the</w:t>
      </w:r>
      <w:r w:rsidRPr="00EC7F5C" w:rsidR="00EC7F5C">
        <w:rPr>
          <w:sz w:val="24"/>
          <w:szCs w:val="24"/>
        </w:rPr>
        <w:t xml:space="preserve"> cost data templates</w:t>
      </w:r>
      <w:r w:rsidR="00893492">
        <w:rPr>
          <w:sz w:val="24"/>
          <w:szCs w:val="24"/>
        </w:rPr>
        <w:t>, allowing the team to make any needed changes to analyses</w:t>
      </w:r>
      <w:r w:rsidR="00EC7F5C">
        <w:rPr>
          <w:sz w:val="24"/>
          <w:szCs w:val="24"/>
        </w:rPr>
        <w:t xml:space="preserve">; </w:t>
      </w:r>
      <w:r w:rsidR="00893492">
        <w:rPr>
          <w:sz w:val="24"/>
          <w:szCs w:val="24"/>
        </w:rPr>
        <w:t xml:space="preserve">by </w:t>
      </w:r>
      <w:r w:rsidR="00EC7F5C">
        <w:rPr>
          <w:sz w:val="24"/>
          <w:szCs w:val="24"/>
        </w:rPr>
        <w:t xml:space="preserve">capturing additional costs and funding sources not provided in the cost data; and </w:t>
      </w:r>
      <w:r w:rsidR="00893492">
        <w:rPr>
          <w:sz w:val="24"/>
          <w:szCs w:val="24"/>
        </w:rPr>
        <w:t xml:space="preserve">by </w:t>
      </w:r>
      <w:r w:rsidR="00EC7F5C">
        <w:rPr>
          <w:sz w:val="24"/>
          <w:szCs w:val="24"/>
        </w:rPr>
        <w:t xml:space="preserve">compiling lessons learned to </w:t>
      </w:r>
      <w:r w:rsidRPr="00EC7F5C" w:rsidR="00EC7F5C">
        <w:rPr>
          <w:sz w:val="24"/>
          <w:szCs w:val="24"/>
        </w:rPr>
        <w:t xml:space="preserve">identify best practices, challenges faced, and </w:t>
      </w:r>
      <w:r w:rsidR="00CA0838">
        <w:rPr>
          <w:sz w:val="24"/>
          <w:szCs w:val="24"/>
        </w:rPr>
        <w:t xml:space="preserve">cost </w:t>
      </w:r>
      <w:r w:rsidR="00986287">
        <w:rPr>
          <w:sz w:val="24"/>
          <w:szCs w:val="24"/>
        </w:rPr>
        <w:t xml:space="preserve">considerations </w:t>
      </w:r>
      <w:r w:rsidR="00CA0838">
        <w:rPr>
          <w:sz w:val="24"/>
          <w:szCs w:val="24"/>
        </w:rPr>
        <w:t xml:space="preserve">likely to be faced with additional </w:t>
      </w:r>
      <w:r w:rsidR="00AB61A4">
        <w:rPr>
          <w:sz w:val="24"/>
          <w:szCs w:val="24"/>
        </w:rPr>
        <w:t xml:space="preserve">eHIP </w:t>
      </w:r>
      <w:r w:rsidR="00CA0838">
        <w:rPr>
          <w:sz w:val="24"/>
          <w:szCs w:val="24"/>
        </w:rPr>
        <w:t>expansion</w:t>
      </w:r>
      <w:r w:rsidRPr="00A954A0">
        <w:rPr>
          <w:sz w:val="24"/>
          <w:szCs w:val="24"/>
        </w:rPr>
        <w:t>.</w:t>
      </w:r>
      <w:r w:rsidRPr="00A954A0" w:rsidR="00390C29">
        <w:rPr>
          <w:sz w:val="24"/>
          <w:szCs w:val="24"/>
        </w:rPr>
        <w:t xml:space="preserve"> </w:t>
      </w:r>
      <w:r w:rsidRPr="00893492" w:rsidR="00893492">
        <w:rPr>
          <w:sz w:val="24"/>
          <w:szCs w:val="24"/>
        </w:rPr>
        <w:t xml:space="preserve">When appropriate, </w:t>
      </w:r>
      <w:r w:rsidR="00893492">
        <w:rPr>
          <w:sz w:val="24"/>
          <w:szCs w:val="24"/>
        </w:rPr>
        <w:t>the study team may</w:t>
      </w:r>
      <w:r w:rsidRPr="00893492" w:rsidR="00893492">
        <w:rPr>
          <w:sz w:val="24"/>
          <w:szCs w:val="24"/>
        </w:rPr>
        <w:t xml:space="preserve"> schedule group interviews with multiple respondents who fall into the same category. For example, it is likely that </w:t>
      </w:r>
      <w:r w:rsidR="00893492">
        <w:rPr>
          <w:sz w:val="24"/>
          <w:szCs w:val="24"/>
        </w:rPr>
        <w:t>the study team will</w:t>
      </w:r>
      <w:r w:rsidRPr="00893492" w:rsidR="00893492">
        <w:rPr>
          <w:sz w:val="24"/>
          <w:szCs w:val="24"/>
        </w:rPr>
        <w:t xml:space="preserve"> try to interview the TPP project manager and systems lead together, as their work on the project will substantially overlap. </w:t>
      </w:r>
      <w:r w:rsidR="00893492">
        <w:rPr>
          <w:sz w:val="24"/>
          <w:szCs w:val="24"/>
        </w:rPr>
        <w:t>The team</w:t>
      </w:r>
      <w:r w:rsidRPr="00893492" w:rsidR="00893492">
        <w:rPr>
          <w:sz w:val="24"/>
          <w:szCs w:val="24"/>
        </w:rPr>
        <w:t xml:space="preserve"> anticipate</w:t>
      </w:r>
      <w:r w:rsidR="00893492">
        <w:rPr>
          <w:sz w:val="24"/>
          <w:szCs w:val="24"/>
        </w:rPr>
        <w:t>s</w:t>
      </w:r>
      <w:r w:rsidRPr="00893492" w:rsidR="00893492">
        <w:rPr>
          <w:sz w:val="24"/>
          <w:szCs w:val="24"/>
        </w:rPr>
        <w:t xml:space="preserve"> interviewing different retailers participating in the project separately in each State to ensure that confidentiality about any proprietary business processes they share in interviews</w:t>
      </w:r>
      <w:r w:rsidR="00893492">
        <w:rPr>
          <w:sz w:val="24"/>
          <w:szCs w:val="24"/>
        </w:rPr>
        <w:t xml:space="preserve"> is maintained</w:t>
      </w:r>
      <w:r w:rsidRPr="00893492" w:rsidR="00893492">
        <w:rPr>
          <w:sz w:val="24"/>
          <w:szCs w:val="24"/>
        </w:rPr>
        <w:t>.</w:t>
      </w:r>
      <w:r w:rsidR="00893492">
        <w:rPr>
          <w:sz w:val="24"/>
          <w:szCs w:val="24"/>
        </w:rPr>
        <w:t xml:space="preserve"> </w:t>
      </w:r>
      <w:r w:rsidRPr="00A954A0" w:rsidR="00390C29">
        <w:rPr>
          <w:sz w:val="24"/>
          <w:szCs w:val="24"/>
        </w:rPr>
        <w:t>Table A2.</w:t>
      </w:r>
      <w:r w:rsidRPr="00A954A0" w:rsidR="00384971">
        <w:rPr>
          <w:sz w:val="24"/>
          <w:szCs w:val="24"/>
        </w:rPr>
        <w:t>2</w:t>
      </w:r>
      <w:r w:rsidRPr="00A954A0" w:rsidR="00390C29">
        <w:rPr>
          <w:sz w:val="24"/>
          <w:szCs w:val="24"/>
        </w:rPr>
        <w:t xml:space="preserve"> </w:t>
      </w:r>
      <w:r w:rsidR="00AB61A4">
        <w:rPr>
          <w:sz w:val="24"/>
          <w:szCs w:val="24"/>
        </w:rPr>
        <w:t>not</w:t>
      </w:r>
      <w:r w:rsidRPr="00A954A0">
        <w:rPr>
          <w:sz w:val="24"/>
          <w:szCs w:val="24"/>
        </w:rPr>
        <w:t xml:space="preserve">es the </w:t>
      </w:r>
      <w:r w:rsidR="00811545">
        <w:rPr>
          <w:sz w:val="24"/>
          <w:szCs w:val="24"/>
        </w:rPr>
        <w:t>essential staff</w:t>
      </w:r>
      <w:r w:rsidRPr="00A954A0">
        <w:rPr>
          <w:sz w:val="24"/>
          <w:szCs w:val="24"/>
        </w:rPr>
        <w:t xml:space="preserve"> interviews</w:t>
      </w:r>
      <w:r w:rsidRPr="00A954A0" w:rsidR="00CE093F">
        <w:rPr>
          <w:sz w:val="24"/>
          <w:szCs w:val="24"/>
        </w:rPr>
        <w:t>;</w:t>
      </w:r>
      <w:r w:rsidRPr="00A954A0" w:rsidR="00FF6748">
        <w:rPr>
          <w:sz w:val="24"/>
          <w:szCs w:val="24"/>
        </w:rPr>
        <w:t xml:space="preserve"> </w:t>
      </w:r>
      <w:r w:rsidR="00D114A4">
        <w:rPr>
          <w:sz w:val="24"/>
          <w:szCs w:val="24"/>
        </w:rPr>
        <w:t xml:space="preserve">interview recruitment </w:t>
      </w:r>
      <w:r w:rsidR="00811545">
        <w:rPr>
          <w:sz w:val="24"/>
          <w:szCs w:val="24"/>
        </w:rPr>
        <w:t xml:space="preserve">protocols </w:t>
      </w:r>
      <w:r w:rsidR="00D114A4">
        <w:rPr>
          <w:sz w:val="24"/>
          <w:szCs w:val="24"/>
        </w:rPr>
        <w:t xml:space="preserve">appear in </w:t>
      </w:r>
      <w:r w:rsidRPr="00652A7D" w:rsidR="00D114A4">
        <w:rPr>
          <w:sz w:val="24"/>
          <w:szCs w:val="24"/>
        </w:rPr>
        <w:t xml:space="preserve">appendices </w:t>
      </w:r>
      <w:r w:rsidR="004900B7">
        <w:rPr>
          <w:sz w:val="24"/>
          <w:szCs w:val="24"/>
        </w:rPr>
        <w:t>I</w:t>
      </w:r>
      <w:r w:rsidRPr="00652A7D" w:rsidR="00652A7D">
        <w:rPr>
          <w:sz w:val="24"/>
          <w:szCs w:val="24"/>
        </w:rPr>
        <w:t>-</w:t>
      </w:r>
      <w:r w:rsidR="004900B7">
        <w:rPr>
          <w:sz w:val="24"/>
          <w:szCs w:val="24"/>
        </w:rPr>
        <w:t>K</w:t>
      </w:r>
      <w:r w:rsidR="00D114A4">
        <w:rPr>
          <w:sz w:val="24"/>
          <w:szCs w:val="24"/>
        </w:rPr>
        <w:t xml:space="preserve">, </w:t>
      </w:r>
      <w:r w:rsidRPr="00A954A0" w:rsidR="00FF6748">
        <w:rPr>
          <w:sz w:val="24"/>
          <w:szCs w:val="24"/>
        </w:rPr>
        <w:t xml:space="preserve">interview protocols </w:t>
      </w:r>
      <w:r w:rsidRPr="00A954A0" w:rsidR="00CE093F">
        <w:rPr>
          <w:sz w:val="24"/>
          <w:szCs w:val="24"/>
        </w:rPr>
        <w:t xml:space="preserve">appear </w:t>
      </w:r>
      <w:r w:rsidRPr="00A954A0" w:rsidR="00FF6748">
        <w:rPr>
          <w:sz w:val="24"/>
          <w:szCs w:val="24"/>
        </w:rPr>
        <w:t xml:space="preserve">in </w:t>
      </w:r>
      <w:r w:rsidRPr="00652A7D" w:rsidR="00FF6748">
        <w:rPr>
          <w:sz w:val="24"/>
          <w:szCs w:val="24"/>
        </w:rPr>
        <w:t>appendi</w:t>
      </w:r>
      <w:r w:rsidRPr="00652A7D" w:rsidR="006A7C00">
        <w:rPr>
          <w:sz w:val="24"/>
          <w:szCs w:val="24"/>
        </w:rPr>
        <w:t xml:space="preserve">ces </w:t>
      </w:r>
      <w:r w:rsidR="004900B7">
        <w:rPr>
          <w:sz w:val="24"/>
          <w:szCs w:val="24"/>
        </w:rPr>
        <w:t>L</w:t>
      </w:r>
      <w:r w:rsidRPr="00652A7D" w:rsidR="00652A7D">
        <w:rPr>
          <w:sz w:val="24"/>
          <w:szCs w:val="24"/>
        </w:rPr>
        <w:t>-</w:t>
      </w:r>
      <w:r w:rsidR="004900B7">
        <w:rPr>
          <w:sz w:val="24"/>
          <w:szCs w:val="24"/>
        </w:rPr>
        <w:t>O</w:t>
      </w:r>
      <w:r w:rsidR="009A125C">
        <w:rPr>
          <w:sz w:val="24"/>
          <w:szCs w:val="24"/>
        </w:rPr>
        <w:t xml:space="preserve">, and the pretest protocol, methods, and summary of findings appear in appendices </w:t>
      </w:r>
      <w:r w:rsidR="00EF027B">
        <w:rPr>
          <w:sz w:val="24"/>
          <w:szCs w:val="24"/>
        </w:rPr>
        <w:t>V</w:t>
      </w:r>
      <w:r w:rsidR="009A125C">
        <w:rPr>
          <w:sz w:val="24"/>
          <w:szCs w:val="24"/>
        </w:rPr>
        <w:t>-</w:t>
      </w:r>
      <w:r w:rsidR="00EF027B">
        <w:rPr>
          <w:sz w:val="24"/>
          <w:szCs w:val="24"/>
        </w:rPr>
        <w:t>W</w:t>
      </w:r>
      <w:r w:rsidRPr="00A954A0">
        <w:rPr>
          <w:sz w:val="24"/>
          <w:szCs w:val="24"/>
        </w:rPr>
        <w:t>.</w:t>
      </w:r>
      <w:r w:rsidR="003A4D9D">
        <w:rPr>
          <w:sz w:val="24"/>
          <w:szCs w:val="24"/>
        </w:rPr>
        <w:t xml:space="preserve"> Table A2.3 notes the target number of interviewees and completed interviews</w:t>
      </w:r>
      <w:r w:rsidR="007608B8">
        <w:rPr>
          <w:sz w:val="24"/>
          <w:szCs w:val="24"/>
        </w:rPr>
        <w:t>.</w:t>
      </w:r>
    </w:p>
    <w:p w:rsidR="005046F7" w:rsidRPr="004D6EEB" w:rsidP="00457A70" w14:paraId="776654DE" w14:textId="2275A599">
      <w:pPr>
        <w:pStyle w:val="TableTitle-IPR"/>
        <w:rPr>
          <w:sz w:val="24"/>
          <w:szCs w:val="28"/>
        </w:rPr>
      </w:pPr>
      <w:bookmarkStart w:id="10" w:name="_Toc112244902"/>
      <w:bookmarkStart w:id="11" w:name="_Toc127243865"/>
      <w:bookmarkStart w:id="12" w:name="_Toc170219532"/>
      <w:r w:rsidRPr="004D6EEB">
        <w:rPr>
          <w:sz w:val="24"/>
          <w:szCs w:val="28"/>
        </w:rPr>
        <w:t>Table A2.</w:t>
      </w:r>
      <w:r w:rsidR="00A46DC2">
        <w:rPr>
          <w:sz w:val="24"/>
          <w:szCs w:val="28"/>
        </w:rPr>
        <w:t>3</w:t>
      </w:r>
      <w:r w:rsidRPr="004D6EEB">
        <w:rPr>
          <w:sz w:val="24"/>
          <w:szCs w:val="28"/>
        </w:rPr>
        <w:t>. Interview</w:t>
      </w:r>
      <w:r w:rsidR="00811545">
        <w:rPr>
          <w:sz w:val="24"/>
          <w:szCs w:val="28"/>
        </w:rPr>
        <w:t xml:space="preserve"> data collection with essential staff</w:t>
      </w:r>
      <w:bookmarkEnd w:id="10"/>
      <w:bookmarkEnd w:id="11"/>
      <w:bookmarkEnd w:id="12"/>
    </w:p>
    <w:tbl>
      <w:tblPr>
        <w:tblStyle w:val="InsightTable"/>
        <w:tblW w:w="4856" w:type="pct"/>
        <w:tblInd w:w="0" w:type="dxa"/>
        <w:tblLayout w:type="fixed"/>
        <w:tblCellMar>
          <w:left w:w="58" w:type="dxa"/>
          <w:right w:w="58" w:type="dxa"/>
        </w:tblCellMar>
        <w:tblLook w:val="04A0"/>
      </w:tblPr>
      <w:tblGrid>
        <w:gridCol w:w="1168"/>
        <w:gridCol w:w="1262"/>
        <w:gridCol w:w="2160"/>
        <w:gridCol w:w="2160"/>
        <w:gridCol w:w="1296"/>
        <w:gridCol w:w="1044"/>
      </w:tblGrid>
      <w:tr w14:paraId="340A5A81" w14:textId="77777777" w:rsidTr="005653F2">
        <w:tblPrEx>
          <w:tblW w:w="4856" w:type="pct"/>
          <w:tblInd w:w="0" w:type="dxa"/>
          <w:tblLayout w:type="fixed"/>
          <w:tblCellMar>
            <w:left w:w="58" w:type="dxa"/>
            <w:right w:w="58" w:type="dxa"/>
          </w:tblCellMar>
          <w:tblLook w:val="04A0"/>
        </w:tblPrEx>
        <w:trPr>
          <w:tblHeader/>
        </w:trPr>
        <w:tc>
          <w:tcPr>
            <w:tcW w:w="642" w:type="pct"/>
            <w:tcBorders>
              <w:top w:val="single" w:sz="8" w:space="0" w:color="003C79"/>
              <w:bottom w:val="single" w:sz="8" w:space="0" w:color="003C79"/>
            </w:tcBorders>
          </w:tcPr>
          <w:p w:rsidR="003A4D9D" w:rsidRPr="00442F13" w:rsidP="00457A70" w14:paraId="704DCBFB" w14:textId="10CB9135">
            <w:pPr>
              <w:pStyle w:val="TableHeaderRow-IPR"/>
            </w:pPr>
            <w:r>
              <w:t>Affected Public</w:t>
            </w:r>
          </w:p>
        </w:tc>
        <w:tc>
          <w:tcPr>
            <w:tcW w:w="694" w:type="pct"/>
            <w:tcBorders>
              <w:top w:val="single" w:sz="8" w:space="0" w:color="003C79"/>
              <w:bottom w:val="single" w:sz="8" w:space="0" w:color="003C79"/>
            </w:tcBorders>
          </w:tcPr>
          <w:p w:rsidR="003A4D9D" w:rsidRPr="00442F13" w:rsidP="00457A70" w14:paraId="4CA461C3" w14:textId="241C64A5">
            <w:pPr>
              <w:pStyle w:val="TableHeaderRow-IPR"/>
            </w:pPr>
            <w:r w:rsidRPr="00442F13">
              <w:t>Respondent Category</w:t>
            </w:r>
          </w:p>
        </w:tc>
        <w:tc>
          <w:tcPr>
            <w:tcW w:w="1188" w:type="pct"/>
            <w:tcBorders>
              <w:top w:val="single" w:sz="8" w:space="0" w:color="003C79"/>
              <w:bottom w:val="single" w:sz="8" w:space="0" w:color="003C79"/>
            </w:tcBorders>
          </w:tcPr>
          <w:p w:rsidR="003A4D9D" w:rsidRPr="00442F13" w:rsidP="00457A70" w14:paraId="59475F43" w14:textId="4679DC65">
            <w:pPr>
              <w:pStyle w:val="TableHeaderRow-IPR"/>
            </w:pPr>
            <w:r>
              <w:t xml:space="preserve">Possible </w:t>
            </w:r>
            <w:r w:rsidR="00447E25">
              <w:t>Staff Roles</w:t>
            </w:r>
          </w:p>
        </w:tc>
        <w:tc>
          <w:tcPr>
            <w:tcW w:w="1188" w:type="pct"/>
            <w:tcBorders>
              <w:top w:val="single" w:sz="8" w:space="0" w:color="003C79"/>
              <w:bottom w:val="single" w:sz="8" w:space="0" w:color="003C79"/>
            </w:tcBorders>
          </w:tcPr>
          <w:p w:rsidR="003A4D9D" w:rsidRPr="00442F13" w:rsidP="00457A70" w14:paraId="221E7CFC" w14:textId="77777777">
            <w:pPr>
              <w:pStyle w:val="TableHeaderRow-IPR"/>
            </w:pPr>
            <w:r w:rsidRPr="00442F13">
              <w:t>Interview Topics</w:t>
            </w:r>
          </w:p>
        </w:tc>
        <w:tc>
          <w:tcPr>
            <w:tcW w:w="713" w:type="pct"/>
            <w:tcBorders>
              <w:top w:val="single" w:sz="8" w:space="0" w:color="003C79"/>
              <w:bottom w:val="single" w:sz="8" w:space="0" w:color="003C79"/>
            </w:tcBorders>
          </w:tcPr>
          <w:p w:rsidR="003A4D9D" w:rsidRPr="00442F13" w:rsidP="004E4D6C" w14:paraId="06AD9BC1" w14:textId="22BD4A27">
            <w:pPr>
              <w:pStyle w:val="TableHeaderRow-IPR"/>
            </w:pPr>
            <w:r w:rsidRPr="00442F13">
              <w:t>Number of Interview</w:t>
            </w:r>
            <w:r>
              <w:t xml:space="preserve"> Round</w:t>
            </w:r>
            <w:r w:rsidRPr="00442F13">
              <w:t>s per State</w:t>
            </w:r>
          </w:p>
        </w:tc>
        <w:tc>
          <w:tcPr>
            <w:tcW w:w="574" w:type="pct"/>
            <w:tcBorders>
              <w:top w:val="single" w:sz="8" w:space="0" w:color="003C79"/>
              <w:bottom w:val="single" w:sz="8" w:space="0" w:color="003C79"/>
            </w:tcBorders>
          </w:tcPr>
          <w:p w:rsidR="003A4D9D" w:rsidRPr="00442F13" w:rsidP="00457A70" w14:paraId="4D3CE42C" w14:textId="77777777">
            <w:pPr>
              <w:pStyle w:val="TableHeaderRow-IPR"/>
            </w:pPr>
            <w:r w:rsidRPr="00442F13">
              <w:t>Length of Interview</w:t>
            </w:r>
          </w:p>
        </w:tc>
      </w:tr>
      <w:tr w14:paraId="4FA8592C" w14:textId="77777777" w:rsidTr="005653F2">
        <w:tblPrEx>
          <w:tblW w:w="4856" w:type="pct"/>
          <w:tblInd w:w="0" w:type="dxa"/>
          <w:tblLayout w:type="fixed"/>
          <w:tblCellMar>
            <w:left w:w="58" w:type="dxa"/>
            <w:right w:w="58" w:type="dxa"/>
          </w:tblCellMar>
          <w:tblLook w:val="04A0"/>
        </w:tblPrEx>
        <w:trPr>
          <w:trHeight w:val="1728"/>
        </w:trPr>
        <w:tc>
          <w:tcPr>
            <w:tcW w:w="642" w:type="pct"/>
            <w:tcBorders>
              <w:top w:val="single" w:sz="8" w:space="0" w:color="003C79"/>
            </w:tcBorders>
          </w:tcPr>
          <w:p w:rsidR="003A4D9D" w:rsidP="00B776B6" w14:paraId="0D4ABB8C" w14:textId="07247B31">
            <w:pPr>
              <w:pStyle w:val="TableText-IPR"/>
            </w:pPr>
            <w:r>
              <w:t>State government</w:t>
            </w:r>
          </w:p>
        </w:tc>
        <w:tc>
          <w:tcPr>
            <w:tcW w:w="694" w:type="pct"/>
            <w:tcBorders>
              <w:top w:val="single" w:sz="8" w:space="0" w:color="003C79"/>
            </w:tcBorders>
          </w:tcPr>
          <w:p w:rsidR="003A4D9D" w:rsidRPr="00653850" w:rsidP="00B776B6" w14:paraId="0C3EDDA2" w14:textId="7397454E">
            <w:pPr>
              <w:pStyle w:val="TableText-IPR"/>
            </w:pPr>
            <w:r>
              <w:t>SNAP State agency</w:t>
            </w:r>
          </w:p>
        </w:tc>
        <w:tc>
          <w:tcPr>
            <w:tcW w:w="1188" w:type="pct"/>
            <w:tcBorders>
              <w:top w:val="single" w:sz="8" w:space="0" w:color="003C79"/>
            </w:tcBorders>
          </w:tcPr>
          <w:p w:rsidR="003A4D9D" w:rsidP="004E4D6C" w14:paraId="2114A74A" w14:textId="77777777">
            <w:pPr>
              <w:pStyle w:val="TableRedBullets-IPR"/>
              <w:ind w:left="288" w:hanging="288"/>
            </w:pPr>
            <w:r w:rsidRPr="00FE141F">
              <w:t>Project manager</w:t>
            </w:r>
          </w:p>
          <w:p w:rsidR="003A4D9D" w:rsidP="004E4D6C" w14:paraId="6E8BD095" w14:textId="77777777">
            <w:pPr>
              <w:pStyle w:val="TableRedBullets-IPR"/>
              <w:ind w:left="288" w:hanging="288"/>
            </w:pPr>
            <w:r>
              <w:t>SNAP data manager</w:t>
            </w:r>
          </w:p>
          <w:p w:rsidR="003A4D9D" w:rsidP="004E4D6C" w14:paraId="14BC571D" w14:textId="77777777">
            <w:pPr>
              <w:pStyle w:val="TableRedBullets-IPR"/>
              <w:ind w:left="288" w:hanging="288"/>
            </w:pPr>
            <w:r>
              <w:t>Customer service lead</w:t>
            </w:r>
          </w:p>
          <w:p w:rsidR="003A4D9D" w:rsidP="004E4D6C" w14:paraId="783CC5B3" w14:textId="77777777">
            <w:pPr>
              <w:pStyle w:val="TableRedBullets-IPR"/>
              <w:ind w:left="288" w:hanging="288"/>
            </w:pPr>
            <w:r w:rsidRPr="00FE141F">
              <w:t>eHIP promotion lead</w:t>
            </w:r>
          </w:p>
          <w:p w:rsidR="003A4D9D" w:rsidP="004E4D6C" w14:paraId="62C9505D" w14:textId="4E56313D">
            <w:pPr>
              <w:pStyle w:val="TableRedBullets-IPR"/>
              <w:ind w:left="288" w:hanging="288"/>
            </w:pPr>
            <w:r w:rsidRPr="00FE141F">
              <w:t>Accounting</w:t>
            </w:r>
            <w:r>
              <w:t xml:space="preserve"> </w:t>
            </w:r>
            <w:r w:rsidRPr="00FE141F">
              <w:t>representative</w:t>
            </w:r>
            <w:r>
              <w:t xml:space="preserve"> </w:t>
            </w:r>
          </w:p>
        </w:tc>
        <w:tc>
          <w:tcPr>
            <w:tcW w:w="1188" w:type="pct"/>
            <w:vMerge w:val="restart"/>
            <w:tcBorders>
              <w:top w:val="single" w:sz="8" w:space="0" w:color="003C79"/>
            </w:tcBorders>
          </w:tcPr>
          <w:p w:rsidR="003A4D9D" w:rsidP="004E4D6C" w14:paraId="53C574C1" w14:textId="6DC9A925">
            <w:pPr>
              <w:pStyle w:val="TableRedBullets-IPR"/>
              <w:ind w:left="288" w:hanging="288"/>
            </w:pPr>
            <w:r>
              <w:t>Administrative cost data elucidation</w:t>
            </w:r>
          </w:p>
          <w:p w:rsidR="003A4D9D" w:rsidP="004E4D6C" w14:paraId="303C5AC8" w14:textId="57EB6EE6">
            <w:pPr>
              <w:pStyle w:val="TableRedBullets-IPR"/>
              <w:ind w:left="288" w:hanging="288"/>
            </w:pPr>
            <w:r>
              <w:t>Unexpectedly large costs*</w:t>
            </w:r>
          </w:p>
          <w:p w:rsidR="003A4D9D" w:rsidP="004E4D6C" w14:paraId="71826B73" w14:textId="3AB81D29">
            <w:pPr>
              <w:pStyle w:val="TableRedBullets-IPR"/>
              <w:ind w:left="288" w:hanging="288"/>
            </w:pPr>
            <w:r>
              <w:t>Additional costs and funding sources not in administrative cost data*</w:t>
            </w:r>
          </w:p>
          <w:p w:rsidR="003A4D9D" w:rsidRPr="00653850" w:rsidP="00B776B6" w14:paraId="1CFF2484" w14:textId="5338ADD6">
            <w:pPr>
              <w:pStyle w:val="TableRedBullets-IPR"/>
              <w:ind w:left="288" w:hanging="288"/>
            </w:pPr>
            <w:r>
              <w:t>Staff hours and hourly rates</w:t>
            </w:r>
            <w:r w:rsidRPr="009C63EA">
              <w:t>†</w:t>
            </w:r>
          </w:p>
          <w:p w:rsidR="003A4D9D" w:rsidP="004E4D6C" w14:paraId="279F02E2" w14:textId="77777777">
            <w:pPr>
              <w:pStyle w:val="TableRedBullets-IPR"/>
              <w:ind w:left="288" w:hanging="288"/>
            </w:pPr>
            <w:r>
              <w:t>System changes, project management, and accounting and customer service costs</w:t>
            </w:r>
            <w:r w:rsidRPr="009C63EA">
              <w:t>†</w:t>
            </w:r>
          </w:p>
          <w:p w:rsidR="003A4D9D" w:rsidP="004E4D6C" w14:paraId="3B388878" w14:textId="7633F4D9">
            <w:pPr>
              <w:pStyle w:val="TableRedBullets-IPR"/>
              <w:ind w:left="288" w:hanging="288"/>
            </w:pPr>
            <w:r>
              <w:t>Other sources of eHIP funding</w:t>
            </w:r>
            <w:r w:rsidR="004B7A8B">
              <w:t xml:space="preserve"> (e.g., SNAP </w:t>
            </w:r>
            <w:r w:rsidR="00F9522A">
              <w:t xml:space="preserve">operating </w:t>
            </w:r>
            <w:r w:rsidR="004B7A8B">
              <w:t>funds</w:t>
            </w:r>
            <w:r w:rsidR="00806BEC">
              <w:t>, State general funds</w:t>
            </w:r>
            <w:r w:rsidR="00D21B3C">
              <w:t>, outside organization grant funds</w:t>
            </w:r>
            <w:r w:rsidR="004B7A8B">
              <w:t>)</w:t>
            </w:r>
          </w:p>
          <w:p w:rsidR="003A4D9D" w:rsidP="004E4D6C" w14:paraId="6ABC8224" w14:textId="585E1C15">
            <w:pPr>
              <w:pStyle w:val="TableRedBullets-IPR"/>
              <w:ind w:left="288" w:hanging="288"/>
            </w:pPr>
            <w:r>
              <w:t>Costs going forward</w:t>
            </w:r>
            <w:r w:rsidR="004B7A8B">
              <w:t xml:space="preserve"> (e.g., growth rate of future costs)</w:t>
            </w:r>
          </w:p>
          <w:p w:rsidR="003A4D9D" w:rsidP="004E4D6C" w14:paraId="53FE13B6" w14:textId="5A9B67AF">
            <w:pPr>
              <w:pStyle w:val="TableRedBullets-IPR"/>
              <w:ind w:left="288" w:hanging="288"/>
            </w:pPr>
            <w:r>
              <w:t>Expansion</w:t>
            </w:r>
            <w:r>
              <w:t xml:space="preserve"> cost estimates</w:t>
            </w:r>
            <w:r w:rsidR="004B7A8B">
              <w:t xml:space="preserve"> (e.g., factors driving ongoing costs)</w:t>
            </w:r>
          </w:p>
          <w:p w:rsidR="003A4D9D" w:rsidRPr="00653850" w:rsidP="004E4D6C" w14:paraId="6AED7652" w14:textId="330B647D">
            <w:pPr>
              <w:pStyle w:val="TableRedBullets-IPR"/>
              <w:ind w:left="288" w:hanging="288"/>
            </w:pPr>
            <w:r>
              <w:t>Lessons learned</w:t>
            </w:r>
          </w:p>
        </w:tc>
        <w:tc>
          <w:tcPr>
            <w:tcW w:w="713" w:type="pct"/>
            <w:vMerge w:val="restart"/>
            <w:tcBorders>
              <w:top w:val="single" w:sz="8" w:space="0" w:color="003C79"/>
            </w:tcBorders>
          </w:tcPr>
          <w:p w:rsidR="003A4D9D" w:rsidRPr="00653850" w:rsidP="00B776B6" w14:paraId="2BC8FB40" w14:textId="460E56C7">
            <w:pPr>
              <w:pStyle w:val="TableText-IPR"/>
              <w:jc w:val="center"/>
            </w:pPr>
            <w:r>
              <w:t>2</w:t>
            </w:r>
          </w:p>
          <w:p w:rsidR="003A4D9D" w:rsidRPr="00653850" w:rsidP="00B776B6" w14:paraId="32E127FE" w14:textId="126F0E48">
            <w:pPr>
              <w:pStyle w:val="TableText-IPR"/>
              <w:jc w:val="center"/>
            </w:pPr>
          </w:p>
        </w:tc>
        <w:tc>
          <w:tcPr>
            <w:tcW w:w="574" w:type="pct"/>
            <w:vMerge w:val="restart"/>
            <w:tcBorders>
              <w:top w:val="single" w:sz="8" w:space="0" w:color="003C79"/>
            </w:tcBorders>
          </w:tcPr>
          <w:p w:rsidR="003A4D9D" w:rsidRPr="00653850" w:rsidP="00B776B6" w14:paraId="0FDE0DEC" w14:textId="3288CAF7">
            <w:pPr>
              <w:pStyle w:val="TableText-IPR"/>
              <w:jc w:val="center"/>
            </w:pPr>
            <w:r>
              <w:t>60 - 90 minutes</w:t>
            </w:r>
          </w:p>
          <w:p w:rsidR="003A4D9D" w:rsidRPr="00653850" w:rsidP="004E4D6C" w14:paraId="02C80D06" w14:textId="53EE9032">
            <w:pPr>
              <w:pStyle w:val="TableText-IPR"/>
              <w:jc w:val="center"/>
            </w:pPr>
          </w:p>
        </w:tc>
      </w:tr>
      <w:tr w14:paraId="6D29F188" w14:textId="77777777" w:rsidTr="005653F2">
        <w:tblPrEx>
          <w:tblW w:w="4856" w:type="pct"/>
          <w:tblInd w:w="0" w:type="dxa"/>
          <w:tblLayout w:type="fixed"/>
          <w:tblCellMar>
            <w:left w:w="58" w:type="dxa"/>
            <w:right w:w="58" w:type="dxa"/>
          </w:tblCellMar>
          <w:tblLook w:val="04A0"/>
        </w:tblPrEx>
        <w:trPr>
          <w:trHeight w:val="1152"/>
        </w:trPr>
        <w:tc>
          <w:tcPr>
            <w:tcW w:w="642" w:type="pct"/>
            <w:vMerge w:val="restart"/>
          </w:tcPr>
          <w:p w:rsidR="003A4D9D" w:rsidP="00B776B6" w14:paraId="18612CD9" w14:textId="5AD3F735">
            <w:pPr>
              <w:pStyle w:val="TableText-IPR"/>
            </w:pPr>
            <w:r>
              <w:t>Businesses</w:t>
            </w:r>
          </w:p>
        </w:tc>
        <w:tc>
          <w:tcPr>
            <w:tcW w:w="694" w:type="pct"/>
          </w:tcPr>
          <w:p w:rsidR="003A4D9D" w:rsidRPr="00653850" w:rsidP="00B776B6" w14:paraId="0F2A604F" w14:textId="0709A73B">
            <w:pPr>
              <w:pStyle w:val="TableText-IPR"/>
            </w:pPr>
            <w:r>
              <w:t>EBT processor</w:t>
            </w:r>
          </w:p>
        </w:tc>
        <w:tc>
          <w:tcPr>
            <w:tcW w:w="1188" w:type="pct"/>
          </w:tcPr>
          <w:p w:rsidR="003A4D9D" w:rsidP="004E4D6C" w14:paraId="5C31C6F1" w14:textId="77777777">
            <w:pPr>
              <w:pStyle w:val="TableRedBullets-IPR"/>
              <w:ind w:left="288" w:hanging="288"/>
            </w:pPr>
            <w:r w:rsidRPr="00FE141F">
              <w:t>Project manager</w:t>
            </w:r>
          </w:p>
          <w:p w:rsidR="003A4D9D" w:rsidP="004E4D6C" w14:paraId="7BEA1312" w14:textId="77777777">
            <w:pPr>
              <w:pStyle w:val="TableRedBullets-IPR"/>
              <w:ind w:left="288" w:hanging="288"/>
            </w:pPr>
            <w:r>
              <w:t>Systems lead</w:t>
            </w:r>
          </w:p>
          <w:p w:rsidR="003A4D9D" w:rsidP="004E4D6C" w14:paraId="254C8DDF" w14:textId="77777777">
            <w:pPr>
              <w:pStyle w:val="TableRedBullets-IPR"/>
              <w:ind w:left="288" w:hanging="288"/>
            </w:pPr>
            <w:r>
              <w:t>Certification lead</w:t>
            </w:r>
          </w:p>
          <w:p w:rsidR="003A4D9D" w:rsidRPr="00653850" w:rsidP="004E4D6C" w14:paraId="67BD7D21" w14:textId="3C7C2A84">
            <w:pPr>
              <w:pStyle w:val="TableRedBullets-IPR"/>
              <w:ind w:left="288" w:hanging="288"/>
            </w:pPr>
            <w:r>
              <w:t>Customer service lead</w:t>
            </w:r>
          </w:p>
        </w:tc>
        <w:tc>
          <w:tcPr>
            <w:tcW w:w="1188" w:type="pct"/>
            <w:vMerge/>
          </w:tcPr>
          <w:p w:rsidR="003A4D9D" w:rsidRPr="00653850" w:rsidP="004E4D6C" w14:paraId="28CAB089" w14:textId="195996E9">
            <w:pPr>
              <w:pStyle w:val="TableRedBullets-IPR"/>
              <w:ind w:left="288" w:hanging="288"/>
            </w:pPr>
          </w:p>
        </w:tc>
        <w:tc>
          <w:tcPr>
            <w:tcW w:w="713" w:type="pct"/>
            <w:vMerge/>
          </w:tcPr>
          <w:p w:rsidR="003A4D9D" w:rsidRPr="00653850" w:rsidP="00B776B6" w14:paraId="63127E1F" w14:textId="00ED5455">
            <w:pPr>
              <w:pStyle w:val="TableText-IPR"/>
              <w:jc w:val="center"/>
            </w:pPr>
          </w:p>
        </w:tc>
        <w:tc>
          <w:tcPr>
            <w:tcW w:w="574" w:type="pct"/>
            <w:vMerge/>
          </w:tcPr>
          <w:p w:rsidR="003A4D9D" w:rsidRPr="00653850" w:rsidP="00B776B6" w14:paraId="7F013A63" w14:textId="764D55B6">
            <w:pPr>
              <w:pStyle w:val="TableText-IPR"/>
              <w:jc w:val="center"/>
            </w:pPr>
          </w:p>
        </w:tc>
      </w:tr>
      <w:tr w14:paraId="1B15ADD3" w14:textId="77777777" w:rsidTr="005653F2">
        <w:tblPrEx>
          <w:tblW w:w="4856" w:type="pct"/>
          <w:tblInd w:w="0" w:type="dxa"/>
          <w:tblLayout w:type="fixed"/>
          <w:tblCellMar>
            <w:left w:w="58" w:type="dxa"/>
            <w:right w:w="58" w:type="dxa"/>
          </w:tblCellMar>
          <w:tblLook w:val="04A0"/>
        </w:tblPrEx>
        <w:trPr>
          <w:trHeight w:val="864"/>
        </w:trPr>
        <w:tc>
          <w:tcPr>
            <w:tcW w:w="642" w:type="pct"/>
            <w:vMerge/>
          </w:tcPr>
          <w:p w:rsidR="003A4D9D" w:rsidP="00B776B6" w14:paraId="6583D90B" w14:textId="77777777">
            <w:pPr>
              <w:pStyle w:val="TableText-IPR"/>
            </w:pPr>
          </w:p>
        </w:tc>
        <w:tc>
          <w:tcPr>
            <w:tcW w:w="694" w:type="pct"/>
          </w:tcPr>
          <w:p w:rsidR="003A4D9D" w:rsidRPr="00653850" w:rsidP="00B776B6" w14:paraId="0BC18C3F" w14:textId="63022CF7">
            <w:pPr>
              <w:pStyle w:val="TableText-IPR"/>
            </w:pPr>
            <w:r>
              <w:t>TPP</w:t>
            </w:r>
          </w:p>
        </w:tc>
        <w:tc>
          <w:tcPr>
            <w:tcW w:w="1188" w:type="pct"/>
          </w:tcPr>
          <w:p w:rsidR="003A4D9D" w:rsidP="00B776B6" w14:paraId="02062265" w14:textId="77777777">
            <w:pPr>
              <w:pStyle w:val="TableRedBullets-IPR"/>
              <w:ind w:left="288" w:hanging="288"/>
            </w:pPr>
            <w:r w:rsidRPr="00FE141F">
              <w:t>Project manager</w:t>
            </w:r>
          </w:p>
          <w:p w:rsidR="003A4D9D" w:rsidP="00B776B6" w14:paraId="406222E8" w14:textId="77777777">
            <w:pPr>
              <w:pStyle w:val="TableRedBullets-IPR"/>
              <w:ind w:left="288" w:hanging="288"/>
            </w:pPr>
            <w:r>
              <w:t>Systems lead</w:t>
            </w:r>
          </w:p>
          <w:p w:rsidR="003A4D9D" w:rsidRPr="00653850" w:rsidP="004E4D6C" w14:paraId="1B2DFD71" w14:textId="632004DF">
            <w:pPr>
              <w:pStyle w:val="TableRedBullets-IPR"/>
              <w:ind w:left="288" w:hanging="288"/>
            </w:pPr>
            <w:r>
              <w:t>Certification lead</w:t>
            </w:r>
          </w:p>
        </w:tc>
        <w:tc>
          <w:tcPr>
            <w:tcW w:w="1188" w:type="pct"/>
            <w:vMerge/>
          </w:tcPr>
          <w:p w:rsidR="003A4D9D" w:rsidRPr="00653850" w:rsidP="004E4D6C" w14:paraId="42A7364F" w14:textId="319AB7B7">
            <w:pPr>
              <w:pStyle w:val="TableRedBullets-IPR"/>
              <w:ind w:left="288" w:hanging="288"/>
            </w:pPr>
          </w:p>
        </w:tc>
        <w:tc>
          <w:tcPr>
            <w:tcW w:w="713" w:type="pct"/>
            <w:vMerge/>
          </w:tcPr>
          <w:p w:rsidR="003A4D9D" w:rsidRPr="00653850" w:rsidP="00B776B6" w14:paraId="2E0DA511" w14:textId="4962CD5D">
            <w:pPr>
              <w:pStyle w:val="TableText-IPR"/>
              <w:jc w:val="center"/>
            </w:pPr>
          </w:p>
        </w:tc>
        <w:tc>
          <w:tcPr>
            <w:tcW w:w="574" w:type="pct"/>
            <w:vMerge/>
          </w:tcPr>
          <w:p w:rsidR="003A4D9D" w:rsidRPr="00653850" w:rsidP="00B776B6" w14:paraId="0D629C5F" w14:textId="53E566DA">
            <w:pPr>
              <w:pStyle w:val="TableText-IPR"/>
              <w:jc w:val="center"/>
            </w:pPr>
          </w:p>
        </w:tc>
      </w:tr>
      <w:tr w14:paraId="1584E47E" w14:textId="77777777" w:rsidTr="005653F2">
        <w:tblPrEx>
          <w:tblW w:w="4856" w:type="pct"/>
          <w:tblInd w:w="0" w:type="dxa"/>
          <w:tblLayout w:type="fixed"/>
          <w:tblCellMar>
            <w:left w:w="58" w:type="dxa"/>
            <w:right w:w="58" w:type="dxa"/>
          </w:tblCellMar>
          <w:tblLook w:val="04A0"/>
        </w:tblPrEx>
        <w:trPr>
          <w:trHeight w:val="576"/>
        </w:trPr>
        <w:tc>
          <w:tcPr>
            <w:tcW w:w="642" w:type="pct"/>
            <w:vMerge/>
          </w:tcPr>
          <w:p w:rsidR="003A4D9D" w:rsidP="00B776B6" w14:paraId="0BFC4547" w14:textId="77777777">
            <w:pPr>
              <w:pStyle w:val="TableText-IPR"/>
            </w:pPr>
          </w:p>
        </w:tc>
        <w:tc>
          <w:tcPr>
            <w:tcW w:w="694" w:type="pct"/>
          </w:tcPr>
          <w:p w:rsidR="003A4D9D" w:rsidRPr="00653850" w:rsidP="00B776B6" w14:paraId="6536CDC6" w14:textId="0E2A689F">
            <w:pPr>
              <w:pStyle w:val="TableText-IPR"/>
            </w:pPr>
            <w:r>
              <w:t>Retailer</w:t>
            </w:r>
          </w:p>
        </w:tc>
        <w:tc>
          <w:tcPr>
            <w:tcW w:w="1188" w:type="pct"/>
          </w:tcPr>
          <w:p w:rsidR="003A4D9D" w:rsidP="00B776B6" w14:paraId="452067A4" w14:textId="77777777">
            <w:pPr>
              <w:pStyle w:val="TableRedBullets-IPR"/>
              <w:ind w:left="288" w:hanging="288"/>
            </w:pPr>
            <w:r w:rsidRPr="00FE141F">
              <w:t>Project manager</w:t>
            </w:r>
          </w:p>
          <w:p w:rsidR="003A4D9D" w:rsidRPr="00653850" w:rsidP="004E4D6C" w14:paraId="028107EA" w14:textId="0397B980">
            <w:pPr>
              <w:pStyle w:val="TableRedBullets-IPR"/>
              <w:ind w:left="288" w:hanging="288"/>
            </w:pPr>
            <w:r>
              <w:t>Systems lead</w:t>
            </w:r>
          </w:p>
        </w:tc>
        <w:tc>
          <w:tcPr>
            <w:tcW w:w="1188" w:type="pct"/>
            <w:vMerge/>
          </w:tcPr>
          <w:p w:rsidR="003A4D9D" w:rsidRPr="00653850" w:rsidP="004E4D6C" w14:paraId="2E2CBAA7" w14:textId="5BD0A7A5">
            <w:pPr>
              <w:pStyle w:val="TableRedBullets-IPR"/>
              <w:ind w:left="288" w:hanging="288"/>
            </w:pPr>
          </w:p>
        </w:tc>
        <w:tc>
          <w:tcPr>
            <w:tcW w:w="713" w:type="pct"/>
            <w:vMerge/>
          </w:tcPr>
          <w:p w:rsidR="003A4D9D" w:rsidRPr="00653850" w:rsidP="00B776B6" w14:paraId="05016D57" w14:textId="6DBDD1D8">
            <w:pPr>
              <w:pStyle w:val="TableText-IPR"/>
              <w:jc w:val="center"/>
            </w:pPr>
          </w:p>
        </w:tc>
        <w:tc>
          <w:tcPr>
            <w:tcW w:w="574" w:type="pct"/>
            <w:vMerge/>
          </w:tcPr>
          <w:p w:rsidR="003A4D9D" w:rsidRPr="00653850" w:rsidP="00B776B6" w14:paraId="22CC5FD3" w14:textId="79E7B70A">
            <w:pPr>
              <w:pStyle w:val="TableText-IPR"/>
              <w:jc w:val="center"/>
            </w:pPr>
          </w:p>
        </w:tc>
      </w:tr>
    </w:tbl>
    <w:p w:rsidR="005E0812" w:rsidRPr="0003577E" w:rsidP="00D569CC" w14:paraId="64AE726C" w14:textId="6FC1368A">
      <w:pPr>
        <w:pStyle w:val="BodyText-IPR"/>
        <w:spacing w:after="0"/>
        <w:rPr>
          <w:sz w:val="18"/>
          <w:szCs w:val="18"/>
        </w:rPr>
      </w:pPr>
      <w:r w:rsidRPr="0003577E">
        <w:rPr>
          <w:sz w:val="18"/>
          <w:szCs w:val="18"/>
        </w:rPr>
        <w:t xml:space="preserve">* Asked only of </w:t>
      </w:r>
      <w:r w:rsidRPr="0003577E" w:rsidR="004E4D6C">
        <w:rPr>
          <w:sz w:val="18"/>
          <w:szCs w:val="18"/>
        </w:rPr>
        <w:t>SNAP State agency staff.</w:t>
      </w:r>
    </w:p>
    <w:p w:rsidR="005E0812" w:rsidRPr="0003577E" w:rsidP="004E4D6C" w14:paraId="281A7CC8" w14:textId="5F4A3655">
      <w:pPr>
        <w:pStyle w:val="BodyText-IPR"/>
        <w:spacing w:line="480" w:lineRule="auto"/>
        <w:rPr>
          <w:sz w:val="18"/>
          <w:szCs w:val="18"/>
        </w:rPr>
      </w:pPr>
      <w:r w:rsidRPr="0003577E">
        <w:rPr>
          <w:sz w:val="18"/>
          <w:szCs w:val="18"/>
        </w:rPr>
        <w:t xml:space="preserve">† Asked only of EBT processors, TPPs, and retailers. </w:t>
      </w:r>
    </w:p>
    <w:p w:rsidR="00447E25" w:rsidRPr="0078161E" w:rsidP="00447E25" w14:paraId="5BEC7F58" w14:textId="16E59425">
      <w:pPr>
        <w:pStyle w:val="TableTitle-IPR"/>
        <w:rPr>
          <w:sz w:val="24"/>
          <w:szCs w:val="28"/>
        </w:rPr>
      </w:pPr>
      <w:bookmarkStart w:id="13" w:name="_Toc136983771"/>
      <w:bookmarkStart w:id="14" w:name="_Toc170219533"/>
      <w:r w:rsidRPr="0078161E">
        <w:rPr>
          <w:sz w:val="24"/>
          <w:szCs w:val="28"/>
        </w:rPr>
        <w:t xml:space="preserve">Table </w:t>
      </w:r>
      <w:r>
        <w:rPr>
          <w:sz w:val="24"/>
          <w:szCs w:val="28"/>
        </w:rPr>
        <w:t>A2</w:t>
      </w:r>
      <w:r w:rsidRPr="0078161E">
        <w:rPr>
          <w:sz w:val="24"/>
          <w:szCs w:val="28"/>
        </w:rPr>
        <w:t>.</w:t>
      </w:r>
      <w:r w:rsidR="00A46DC2">
        <w:rPr>
          <w:sz w:val="24"/>
          <w:szCs w:val="28"/>
        </w:rPr>
        <w:t>4</w:t>
      </w:r>
      <w:r w:rsidRPr="0078161E">
        <w:rPr>
          <w:sz w:val="24"/>
          <w:szCs w:val="28"/>
        </w:rPr>
        <w:t>. Target Completes for In-Depth Interviews</w:t>
      </w:r>
      <w:bookmarkEnd w:id="13"/>
      <w:bookmarkEnd w:id="14"/>
    </w:p>
    <w:tbl>
      <w:tblPr>
        <w:tblStyle w:val="InsightTable1"/>
        <w:tblW w:w="5000" w:type="pct"/>
        <w:tblLayout w:type="fixed"/>
        <w:tblLook w:val="04A0"/>
      </w:tblPr>
      <w:tblGrid>
        <w:gridCol w:w="1498"/>
        <w:gridCol w:w="1498"/>
        <w:gridCol w:w="1591"/>
        <w:gridCol w:w="1593"/>
        <w:gridCol w:w="1591"/>
        <w:gridCol w:w="1589"/>
      </w:tblGrid>
      <w:tr w14:paraId="437C6606" w14:textId="77777777" w:rsidTr="0003577E">
        <w:tblPrEx>
          <w:tblW w:w="5000" w:type="pct"/>
          <w:tblLayout w:type="fixed"/>
          <w:tblLook w:val="04A0"/>
        </w:tblPrEx>
        <w:trPr>
          <w:trHeight w:val="360"/>
        </w:trPr>
        <w:tc>
          <w:tcPr>
            <w:tcW w:w="0" w:type="pct"/>
            <w:vMerge w:val="restart"/>
            <w:tcBorders>
              <w:top w:val="single" w:sz="8" w:space="0" w:color="003C79"/>
              <w:bottom w:val="single" w:sz="8" w:space="0" w:color="003C79"/>
              <w:right w:val="single" w:sz="4" w:space="0" w:color="A6A6A6" w:themeColor="background1" w:themeShade="A6"/>
            </w:tcBorders>
          </w:tcPr>
          <w:p w:rsidR="00447E25" w:rsidRPr="0003577E" w:rsidP="00D6138E" w14:paraId="1ADE3534" w14:textId="77777777">
            <w:pPr>
              <w:pStyle w:val="TableHeaderRow-IPR"/>
              <w:keepNext/>
              <w:rPr>
                <w:rFonts w:asciiTheme="minorHAnsi" w:hAnsiTheme="minorHAnsi" w:cstheme="minorHAnsi"/>
                <w:sz w:val="20"/>
                <w:szCs w:val="20"/>
              </w:rPr>
            </w:pPr>
            <w:r w:rsidRPr="0003577E">
              <w:rPr>
                <w:rFonts w:asciiTheme="minorHAnsi" w:hAnsiTheme="minorHAnsi" w:cstheme="minorHAnsi"/>
                <w:sz w:val="20"/>
                <w:szCs w:val="20"/>
              </w:rPr>
              <w:t>Affected public</w:t>
            </w:r>
          </w:p>
        </w:tc>
        <w:tc>
          <w:tcPr>
            <w:tcW w:w="0" w:type="pct"/>
            <w:vMerge w:val="restart"/>
            <w:tcBorders>
              <w:top w:val="single" w:sz="8" w:space="0" w:color="003C79"/>
              <w:bottom w:val="single" w:sz="8" w:space="0" w:color="003C79"/>
              <w:right w:val="single" w:sz="4" w:space="0" w:color="A6A6A6" w:themeColor="background1" w:themeShade="A6"/>
            </w:tcBorders>
          </w:tcPr>
          <w:p w:rsidR="00447E25" w:rsidRPr="0003577E" w:rsidP="00D6138E" w14:paraId="59ABC463" w14:textId="77777777">
            <w:pPr>
              <w:pStyle w:val="TableHeaderRow-IPR"/>
              <w:keepNext/>
              <w:rPr>
                <w:rFonts w:asciiTheme="minorHAnsi" w:hAnsiTheme="minorHAnsi" w:cstheme="minorHAnsi"/>
                <w:sz w:val="20"/>
                <w:szCs w:val="20"/>
              </w:rPr>
            </w:pPr>
            <w:r w:rsidRPr="0003577E">
              <w:rPr>
                <w:rFonts w:asciiTheme="minorHAnsi" w:hAnsiTheme="minorHAnsi" w:cstheme="minorHAnsi"/>
                <w:sz w:val="20"/>
                <w:szCs w:val="20"/>
              </w:rPr>
              <w:t>Entity</w:t>
            </w:r>
          </w:p>
        </w:tc>
        <w:tc>
          <w:tcPr>
            <w:tcW w:w="0" w:type="pct"/>
            <w:gridSpan w:val="2"/>
            <w:tcBorders>
              <w:top w:val="single" w:sz="8" w:space="0" w:color="003C79"/>
              <w:left w:val="single" w:sz="4" w:space="0" w:color="A6A6A6" w:themeColor="background1" w:themeShade="A6"/>
              <w:bottom w:val="single" w:sz="4" w:space="0" w:color="A6A6A6" w:themeColor="background1" w:themeShade="A6"/>
            </w:tcBorders>
            <w:shd w:val="clear" w:color="auto" w:fill="auto"/>
          </w:tcPr>
          <w:p w:rsidR="00447E25" w:rsidRPr="0003577E" w:rsidP="00D6138E" w14:paraId="2D99E228" w14:textId="77777777">
            <w:pPr>
              <w:pStyle w:val="BodyText-IPR"/>
              <w:keepNext/>
              <w:spacing w:after="0"/>
              <w:rPr>
                <w:rFonts w:asciiTheme="minorHAnsi" w:hAnsiTheme="minorHAnsi" w:cstheme="minorHAnsi"/>
                <w:b/>
                <w:szCs w:val="20"/>
              </w:rPr>
            </w:pPr>
            <w:r w:rsidRPr="0003577E">
              <w:rPr>
                <w:rFonts w:asciiTheme="minorHAnsi" w:hAnsiTheme="minorHAnsi" w:cstheme="minorHAnsi"/>
                <w:b/>
                <w:szCs w:val="20"/>
              </w:rPr>
              <w:t>Target number of interviewees</w:t>
            </w:r>
          </w:p>
        </w:tc>
        <w:tc>
          <w:tcPr>
            <w:tcW w:w="0" w:type="pct"/>
            <w:gridSpan w:val="2"/>
            <w:tcBorders>
              <w:top w:val="single" w:sz="8" w:space="0" w:color="003C79"/>
              <w:left w:val="single" w:sz="4" w:space="0" w:color="A6A6A6" w:themeColor="background1" w:themeShade="A6"/>
              <w:bottom w:val="single" w:sz="4" w:space="0" w:color="A6A6A6" w:themeColor="background1" w:themeShade="A6"/>
            </w:tcBorders>
            <w:shd w:val="clear" w:color="auto" w:fill="auto"/>
          </w:tcPr>
          <w:p w:rsidR="00447E25" w:rsidRPr="0003577E" w:rsidP="00D6138E" w14:paraId="0385EA5B" w14:textId="56C87471">
            <w:pPr>
              <w:pStyle w:val="BodyText-IPR"/>
              <w:keepNext/>
              <w:spacing w:after="0"/>
              <w:rPr>
                <w:rFonts w:asciiTheme="minorHAnsi" w:hAnsiTheme="minorHAnsi" w:cstheme="minorHAnsi"/>
                <w:b/>
                <w:bCs/>
                <w:szCs w:val="20"/>
              </w:rPr>
            </w:pPr>
            <w:r w:rsidRPr="0003577E">
              <w:rPr>
                <w:rFonts w:asciiTheme="minorHAnsi" w:hAnsiTheme="minorHAnsi" w:cstheme="minorHAnsi"/>
                <w:b/>
                <w:bCs/>
                <w:szCs w:val="20"/>
              </w:rPr>
              <w:t>Target number of completed interviews</w:t>
            </w:r>
            <w:r w:rsidR="00295FBE">
              <w:rPr>
                <w:rFonts w:asciiTheme="minorHAnsi" w:hAnsiTheme="minorHAnsi" w:cstheme="minorHAnsi"/>
                <w:b/>
                <w:bCs/>
                <w:szCs w:val="20"/>
              </w:rPr>
              <w:t xml:space="preserve"> (over two rounds)</w:t>
            </w:r>
          </w:p>
        </w:tc>
      </w:tr>
      <w:tr w14:paraId="3EFB4DCE" w14:textId="77777777" w:rsidTr="0003577E">
        <w:tblPrEx>
          <w:tblW w:w="5000" w:type="pct"/>
          <w:tblLayout w:type="fixed"/>
          <w:tblLook w:val="04A0"/>
        </w:tblPrEx>
        <w:trPr>
          <w:trHeight w:val="360"/>
        </w:trPr>
        <w:tc>
          <w:tcPr>
            <w:tcW w:w="0" w:type="pct"/>
            <w:vMerge/>
            <w:tcBorders>
              <w:top w:val="single" w:sz="12" w:space="0" w:color="003C79"/>
              <w:bottom w:val="single" w:sz="8" w:space="0" w:color="003C79"/>
              <w:right w:val="single" w:sz="4" w:space="0" w:color="A6A6A6" w:themeColor="background1" w:themeShade="A6"/>
            </w:tcBorders>
          </w:tcPr>
          <w:p w:rsidR="00447E25" w:rsidRPr="00503F46" w:rsidP="00D6138E" w14:paraId="1662BA2A" w14:textId="77777777">
            <w:pPr>
              <w:pStyle w:val="TableHeaderRow-IPR"/>
              <w:jc w:val="left"/>
              <w:rPr>
                <w:rFonts w:asciiTheme="minorHAnsi" w:hAnsiTheme="minorHAnsi" w:cstheme="minorHAnsi"/>
                <w:b w:val="0"/>
                <w:bCs/>
                <w:sz w:val="20"/>
                <w:szCs w:val="20"/>
              </w:rPr>
            </w:pPr>
          </w:p>
        </w:tc>
        <w:tc>
          <w:tcPr>
            <w:tcW w:w="0" w:type="pct"/>
            <w:vMerge/>
            <w:tcBorders>
              <w:top w:val="single" w:sz="8" w:space="0" w:color="B12732"/>
              <w:left w:val="nil"/>
              <w:bottom w:val="single" w:sz="8" w:space="0" w:color="003C79"/>
              <w:right w:val="single" w:sz="4" w:space="0" w:color="A6A6A6" w:themeColor="background1" w:themeShade="A6"/>
            </w:tcBorders>
          </w:tcPr>
          <w:p w:rsidR="00447E25" w:rsidRPr="00503F46" w:rsidP="00D6138E" w14:paraId="648CA9C2" w14:textId="77777777">
            <w:pPr>
              <w:pStyle w:val="TableHeaderRow-IPR"/>
              <w:jc w:val="left"/>
              <w:rPr>
                <w:rFonts w:asciiTheme="minorHAnsi" w:hAnsiTheme="minorHAnsi" w:cstheme="minorHAnsi"/>
                <w:b w:val="0"/>
                <w:bCs/>
                <w:sz w:val="20"/>
                <w:szCs w:val="20"/>
              </w:rPr>
            </w:pPr>
          </w:p>
        </w:tc>
        <w:tc>
          <w:tcPr>
            <w:tcW w:w="0" w:type="pct"/>
            <w:tcBorders>
              <w:top w:val="single" w:sz="4" w:space="0" w:color="A6A6A6" w:themeColor="background1" w:themeShade="A6"/>
              <w:left w:val="single" w:sz="4" w:space="0" w:color="A6A6A6" w:themeColor="background1" w:themeShade="A6"/>
              <w:bottom w:val="single" w:sz="8" w:space="0" w:color="003C79"/>
            </w:tcBorders>
            <w:shd w:val="clear" w:color="auto" w:fill="auto"/>
          </w:tcPr>
          <w:p w:rsidR="00447E25" w:rsidRPr="0003577E" w:rsidP="00D6138E" w14:paraId="035962C7" w14:textId="77777777">
            <w:pPr>
              <w:pStyle w:val="BodyText-IPR"/>
              <w:spacing w:after="0"/>
              <w:jc w:val="center"/>
              <w:rPr>
                <w:rFonts w:asciiTheme="minorHAnsi" w:hAnsiTheme="minorHAnsi" w:cstheme="minorHAnsi"/>
                <w:b/>
                <w:bCs/>
                <w:szCs w:val="20"/>
              </w:rPr>
            </w:pPr>
            <w:r w:rsidRPr="0003577E">
              <w:rPr>
                <w:rFonts w:asciiTheme="minorHAnsi" w:hAnsiTheme="minorHAnsi" w:cstheme="minorHAnsi"/>
                <w:b/>
                <w:bCs/>
                <w:szCs w:val="20"/>
              </w:rPr>
              <w:t>Per State</w:t>
            </w:r>
          </w:p>
        </w:tc>
        <w:tc>
          <w:tcPr>
            <w:tcW w:w="0" w:type="pct"/>
            <w:tcBorders>
              <w:top w:val="single" w:sz="4" w:space="0" w:color="A6A6A6" w:themeColor="background1" w:themeShade="A6"/>
              <w:bottom w:val="single" w:sz="8" w:space="0" w:color="003C79"/>
            </w:tcBorders>
            <w:shd w:val="clear" w:color="auto" w:fill="auto"/>
          </w:tcPr>
          <w:p w:rsidR="00447E25" w:rsidRPr="0003577E" w:rsidP="00D6138E" w14:paraId="172F23F8" w14:textId="77777777">
            <w:pPr>
              <w:pStyle w:val="BodyText-IPR"/>
              <w:spacing w:after="0"/>
              <w:jc w:val="center"/>
              <w:rPr>
                <w:rFonts w:asciiTheme="minorHAnsi" w:hAnsiTheme="minorHAnsi" w:cstheme="minorHAnsi"/>
                <w:b/>
                <w:bCs/>
                <w:szCs w:val="20"/>
              </w:rPr>
            </w:pPr>
            <w:r w:rsidRPr="0003577E">
              <w:rPr>
                <w:rFonts w:asciiTheme="minorHAnsi" w:hAnsiTheme="minorHAnsi" w:cstheme="minorHAnsi"/>
                <w:b/>
                <w:bCs/>
                <w:szCs w:val="20"/>
              </w:rPr>
              <w:t>Total</w:t>
            </w:r>
          </w:p>
        </w:tc>
        <w:tc>
          <w:tcPr>
            <w:tcW w:w="0" w:type="pct"/>
            <w:tcBorders>
              <w:top w:val="single" w:sz="4" w:space="0" w:color="A6A6A6" w:themeColor="background1" w:themeShade="A6"/>
              <w:bottom w:val="single" w:sz="8" w:space="0" w:color="003C79"/>
            </w:tcBorders>
            <w:shd w:val="clear" w:color="auto" w:fill="auto"/>
          </w:tcPr>
          <w:p w:rsidR="00447E25" w:rsidRPr="0003577E" w:rsidP="00D6138E" w14:paraId="06839300" w14:textId="77777777">
            <w:pPr>
              <w:pStyle w:val="BodyText-IPR"/>
              <w:spacing w:after="0"/>
              <w:jc w:val="center"/>
              <w:rPr>
                <w:rFonts w:asciiTheme="minorHAnsi" w:hAnsiTheme="minorHAnsi" w:cstheme="minorHAnsi"/>
                <w:b/>
                <w:bCs/>
                <w:szCs w:val="20"/>
              </w:rPr>
            </w:pPr>
            <w:r w:rsidRPr="0003577E">
              <w:rPr>
                <w:rFonts w:asciiTheme="minorHAnsi" w:hAnsiTheme="minorHAnsi" w:cstheme="minorHAnsi"/>
                <w:b/>
                <w:bCs/>
                <w:szCs w:val="20"/>
              </w:rPr>
              <w:t>Per State</w:t>
            </w:r>
          </w:p>
        </w:tc>
        <w:tc>
          <w:tcPr>
            <w:tcW w:w="0" w:type="pct"/>
            <w:tcBorders>
              <w:top w:val="single" w:sz="4" w:space="0" w:color="A6A6A6" w:themeColor="background1" w:themeShade="A6"/>
              <w:bottom w:val="single" w:sz="8" w:space="0" w:color="003C79"/>
            </w:tcBorders>
            <w:shd w:val="clear" w:color="auto" w:fill="auto"/>
          </w:tcPr>
          <w:p w:rsidR="00447E25" w:rsidRPr="0003577E" w:rsidP="00D6138E" w14:paraId="00AB196E" w14:textId="77777777">
            <w:pPr>
              <w:pStyle w:val="BodyText-IPR"/>
              <w:spacing w:after="0"/>
              <w:jc w:val="center"/>
              <w:rPr>
                <w:rFonts w:asciiTheme="minorHAnsi" w:hAnsiTheme="minorHAnsi" w:cstheme="minorHAnsi"/>
                <w:b/>
                <w:bCs/>
                <w:szCs w:val="20"/>
              </w:rPr>
            </w:pPr>
            <w:r w:rsidRPr="0003577E">
              <w:rPr>
                <w:rFonts w:asciiTheme="minorHAnsi" w:hAnsiTheme="minorHAnsi" w:cstheme="minorHAnsi"/>
                <w:b/>
                <w:bCs/>
                <w:szCs w:val="20"/>
              </w:rPr>
              <w:t>Total</w:t>
            </w:r>
          </w:p>
        </w:tc>
      </w:tr>
      <w:tr w14:paraId="2270C6BE" w14:textId="77777777" w:rsidTr="0003577E">
        <w:tblPrEx>
          <w:tblW w:w="5000" w:type="pct"/>
          <w:tblLayout w:type="fixed"/>
          <w:tblLook w:val="04A0"/>
        </w:tblPrEx>
        <w:trPr>
          <w:trHeight w:val="360"/>
        </w:trPr>
        <w:tc>
          <w:tcPr>
            <w:tcW w:w="0" w:type="pct"/>
            <w:tcBorders>
              <w:top w:val="single" w:sz="8" w:space="0" w:color="003C79"/>
              <w:left w:val="nil"/>
              <w:bottom w:val="single" w:sz="4" w:space="0" w:color="auto"/>
              <w:right w:val="single" w:sz="4" w:space="0" w:color="A6A6A6" w:themeColor="background1" w:themeShade="A6"/>
            </w:tcBorders>
          </w:tcPr>
          <w:p w:rsidR="00447E25" w:rsidRPr="00570714" w:rsidP="00D6138E" w14:paraId="49E49E32" w14:textId="77777777">
            <w:pPr>
              <w:pStyle w:val="TableHeaderRow-IPR"/>
              <w:jc w:val="left"/>
              <w:rPr>
                <w:rFonts w:asciiTheme="minorHAnsi" w:hAnsiTheme="minorHAnsi" w:cstheme="minorHAnsi"/>
                <w:b w:val="0"/>
                <w:bCs/>
                <w:sz w:val="20"/>
                <w:szCs w:val="20"/>
              </w:rPr>
            </w:pPr>
            <w:r>
              <w:rPr>
                <w:rFonts w:asciiTheme="minorHAnsi" w:hAnsiTheme="minorHAnsi" w:cstheme="minorHAnsi"/>
                <w:b w:val="0"/>
                <w:bCs/>
                <w:sz w:val="20"/>
                <w:szCs w:val="20"/>
              </w:rPr>
              <w:t>State government</w:t>
            </w:r>
          </w:p>
        </w:tc>
        <w:tc>
          <w:tcPr>
            <w:tcW w:w="0" w:type="pct"/>
            <w:tcBorders>
              <w:top w:val="single" w:sz="8" w:space="0" w:color="003C79"/>
              <w:left w:val="nil"/>
              <w:bottom w:val="single" w:sz="4" w:space="0" w:color="auto"/>
              <w:right w:val="single" w:sz="4" w:space="0" w:color="A6A6A6" w:themeColor="background1" w:themeShade="A6"/>
            </w:tcBorders>
          </w:tcPr>
          <w:p w:rsidR="00447E25" w:rsidRPr="00503F46" w:rsidP="00D6138E" w14:paraId="6295B89B" w14:textId="77777777">
            <w:pPr>
              <w:pStyle w:val="TableHeaderRow-IPR"/>
              <w:jc w:val="left"/>
              <w:rPr>
                <w:rFonts w:asciiTheme="minorHAnsi" w:hAnsiTheme="minorHAnsi" w:cstheme="minorHAnsi"/>
                <w:b w:val="0"/>
                <w:bCs/>
                <w:sz w:val="20"/>
                <w:szCs w:val="20"/>
              </w:rPr>
            </w:pPr>
            <w:r w:rsidRPr="00570714">
              <w:rPr>
                <w:rFonts w:asciiTheme="minorHAnsi" w:hAnsiTheme="minorHAnsi" w:cstheme="minorHAnsi"/>
                <w:b w:val="0"/>
                <w:bCs/>
                <w:sz w:val="20"/>
                <w:szCs w:val="20"/>
              </w:rPr>
              <w:t>SNAP State Agency</w:t>
            </w:r>
          </w:p>
        </w:tc>
        <w:tc>
          <w:tcPr>
            <w:tcW w:w="0" w:type="pct"/>
            <w:tcBorders>
              <w:top w:val="single" w:sz="8" w:space="0" w:color="003C79"/>
              <w:left w:val="single" w:sz="4" w:space="0" w:color="A6A6A6" w:themeColor="background1" w:themeShade="A6"/>
              <w:bottom w:val="single" w:sz="4" w:space="0" w:color="auto"/>
            </w:tcBorders>
          </w:tcPr>
          <w:p w:rsidR="00447E25" w:rsidP="00D6138E" w14:paraId="24D80759" w14:textId="77777777">
            <w:pPr>
              <w:pStyle w:val="BodyText-IPR"/>
              <w:spacing w:after="0"/>
              <w:jc w:val="center"/>
              <w:rPr>
                <w:rFonts w:asciiTheme="minorHAnsi" w:hAnsiTheme="minorHAnsi" w:cstheme="minorHAnsi"/>
                <w:szCs w:val="20"/>
              </w:rPr>
            </w:pPr>
            <w:r>
              <w:rPr>
                <w:rFonts w:asciiTheme="minorHAnsi" w:hAnsiTheme="minorHAnsi" w:cstheme="minorHAnsi"/>
                <w:szCs w:val="20"/>
              </w:rPr>
              <w:t>2</w:t>
            </w:r>
          </w:p>
        </w:tc>
        <w:tc>
          <w:tcPr>
            <w:tcW w:w="0" w:type="pct"/>
            <w:tcBorders>
              <w:top w:val="single" w:sz="8" w:space="0" w:color="003C79"/>
              <w:bottom w:val="single" w:sz="4" w:space="0" w:color="auto"/>
            </w:tcBorders>
          </w:tcPr>
          <w:p w:rsidR="00447E25" w:rsidP="00D6138E" w14:paraId="0E9EB089" w14:textId="77777777">
            <w:pPr>
              <w:pStyle w:val="BodyText-IPR"/>
              <w:spacing w:after="0"/>
              <w:jc w:val="center"/>
              <w:rPr>
                <w:rFonts w:asciiTheme="minorHAnsi" w:hAnsiTheme="minorHAnsi" w:cstheme="minorHAnsi"/>
                <w:szCs w:val="20"/>
              </w:rPr>
            </w:pPr>
            <w:r>
              <w:rPr>
                <w:rFonts w:asciiTheme="minorHAnsi" w:hAnsiTheme="minorHAnsi" w:cstheme="minorHAnsi"/>
                <w:szCs w:val="20"/>
              </w:rPr>
              <w:t>6</w:t>
            </w:r>
          </w:p>
        </w:tc>
        <w:tc>
          <w:tcPr>
            <w:tcW w:w="0" w:type="pct"/>
            <w:tcBorders>
              <w:top w:val="single" w:sz="8" w:space="0" w:color="003C79"/>
              <w:bottom w:val="single" w:sz="4" w:space="0" w:color="auto"/>
            </w:tcBorders>
          </w:tcPr>
          <w:p w:rsidR="00447E25" w:rsidP="00D6138E" w14:paraId="78E72B04" w14:textId="77777777">
            <w:pPr>
              <w:pStyle w:val="BodyText-IPR"/>
              <w:spacing w:after="0"/>
              <w:jc w:val="center"/>
              <w:rPr>
                <w:rFonts w:asciiTheme="minorHAnsi" w:hAnsiTheme="minorHAnsi" w:cstheme="minorHAnsi"/>
                <w:szCs w:val="20"/>
              </w:rPr>
            </w:pPr>
            <w:r>
              <w:rPr>
                <w:rFonts w:asciiTheme="minorHAnsi" w:hAnsiTheme="minorHAnsi" w:cstheme="minorHAnsi"/>
                <w:szCs w:val="20"/>
              </w:rPr>
              <w:t>4</w:t>
            </w:r>
          </w:p>
        </w:tc>
        <w:tc>
          <w:tcPr>
            <w:tcW w:w="0" w:type="pct"/>
            <w:tcBorders>
              <w:top w:val="single" w:sz="8" w:space="0" w:color="003C79"/>
              <w:bottom w:val="single" w:sz="4" w:space="0" w:color="auto"/>
            </w:tcBorders>
          </w:tcPr>
          <w:p w:rsidR="00447E25" w:rsidP="00D6138E" w14:paraId="576A41F2" w14:textId="77777777">
            <w:pPr>
              <w:pStyle w:val="BodyText-IPR"/>
              <w:spacing w:after="0"/>
              <w:jc w:val="center"/>
              <w:rPr>
                <w:rFonts w:asciiTheme="minorHAnsi" w:hAnsiTheme="minorHAnsi" w:cstheme="minorHAnsi"/>
                <w:szCs w:val="20"/>
              </w:rPr>
            </w:pPr>
            <w:r>
              <w:rPr>
                <w:rFonts w:asciiTheme="minorHAnsi" w:hAnsiTheme="minorHAnsi" w:cstheme="minorHAnsi"/>
                <w:szCs w:val="20"/>
              </w:rPr>
              <w:t>12</w:t>
            </w:r>
          </w:p>
        </w:tc>
      </w:tr>
      <w:tr w14:paraId="2A1D21F0" w14:textId="77777777" w:rsidTr="00D6138E">
        <w:tblPrEx>
          <w:tblW w:w="5000" w:type="pct"/>
          <w:tblLayout w:type="fixed"/>
          <w:tblLook w:val="04A0"/>
        </w:tblPrEx>
        <w:trPr>
          <w:trHeight w:val="360"/>
        </w:trPr>
        <w:tc>
          <w:tcPr>
            <w:tcW w:w="800" w:type="pct"/>
            <w:vMerge w:val="restart"/>
            <w:tcBorders>
              <w:top w:val="single" w:sz="4" w:space="0" w:color="A6A6A6" w:themeColor="background1" w:themeShade="A6"/>
              <w:left w:val="nil"/>
              <w:right w:val="single" w:sz="4" w:space="0" w:color="A6A6A6" w:themeColor="background1" w:themeShade="A6"/>
            </w:tcBorders>
          </w:tcPr>
          <w:p w:rsidR="00447E25" w:rsidRPr="00BA130F" w:rsidP="00D6138E" w14:paraId="5B853B17" w14:textId="77777777">
            <w:pPr>
              <w:pStyle w:val="TableHeaderRow-IPR"/>
              <w:jc w:val="left"/>
              <w:rPr>
                <w:rFonts w:asciiTheme="minorHAnsi" w:hAnsiTheme="minorHAnsi" w:cstheme="minorHAnsi"/>
                <w:b w:val="0"/>
                <w:bCs/>
                <w:sz w:val="20"/>
                <w:szCs w:val="20"/>
              </w:rPr>
            </w:pPr>
            <w:r>
              <w:rPr>
                <w:rFonts w:asciiTheme="minorHAnsi" w:hAnsiTheme="minorHAnsi" w:cstheme="minorHAnsi"/>
                <w:b w:val="0"/>
                <w:bCs/>
                <w:sz w:val="20"/>
                <w:szCs w:val="20"/>
              </w:rPr>
              <w:t>Businesses</w:t>
            </w:r>
          </w:p>
        </w:tc>
        <w:tc>
          <w:tcPr>
            <w:tcW w:w="800" w:type="pct"/>
            <w:tcBorders>
              <w:top w:val="single" w:sz="4" w:space="0" w:color="A6A6A6" w:themeColor="background1" w:themeShade="A6"/>
              <w:left w:val="nil"/>
              <w:bottom w:val="single" w:sz="4" w:space="0" w:color="auto"/>
              <w:right w:val="single" w:sz="4" w:space="0" w:color="A6A6A6" w:themeColor="background1" w:themeShade="A6"/>
            </w:tcBorders>
          </w:tcPr>
          <w:p w:rsidR="00447E25" w:rsidRPr="00503F46" w:rsidP="00D6138E" w14:paraId="2138D9EB" w14:textId="77777777">
            <w:pPr>
              <w:pStyle w:val="TableHeaderRow-IPR"/>
              <w:jc w:val="left"/>
              <w:rPr>
                <w:rFonts w:asciiTheme="minorHAnsi" w:hAnsiTheme="minorHAnsi" w:cstheme="minorHAnsi"/>
                <w:b w:val="0"/>
                <w:bCs/>
                <w:sz w:val="20"/>
                <w:szCs w:val="20"/>
              </w:rPr>
            </w:pPr>
            <w:r w:rsidRPr="00BA130F">
              <w:rPr>
                <w:rFonts w:asciiTheme="minorHAnsi" w:hAnsiTheme="minorHAnsi" w:cstheme="minorHAnsi"/>
                <w:b w:val="0"/>
                <w:bCs/>
                <w:sz w:val="20"/>
                <w:szCs w:val="20"/>
              </w:rPr>
              <w:t>EBT processor</w:t>
            </w:r>
            <w:r>
              <w:rPr>
                <w:rFonts w:asciiTheme="minorHAnsi" w:hAnsiTheme="minorHAnsi" w:cstheme="minorHAnsi"/>
                <w:b w:val="0"/>
                <w:bCs/>
                <w:sz w:val="20"/>
                <w:szCs w:val="20"/>
              </w:rPr>
              <w:t>*</w:t>
            </w:r>
          </w:p>
        </w:tc>
        <w:tc>
          <w:tcPr>
            <w:tcW w:w="850" w:type="pct"/>
            <w:tcBorders>
              <w:top w:val="single" w:sz="4" w:space="0" w:color="A6A6A6" w:themeColor="background1" w:themeShade="A6"/>
              <w:left w:val="single" w:sz="4" w:space="0" w:color="A6A6A6" w:themeColor="background1" w:themeShade="A6"/>
              <w:bottom w:val="single" w:sz="4" w:space="0" w:color="auto"/>
            </w:tcBorders>
          </w:tcPr>
          <w:p w:rsidR="00447E25" w:rsidP="00D6138E" w14:paraId="1D0CC9D1" w14:textId="77777777">
            <w:pPr>
              <w:pStyle w:val="BodyText-IPR"/>
              <w:spacing w:after="0"/>
              <w:jc w:val="center"/>
              <w:rPr>
                <w:rFonts w:asciiTheme="minorHAnsi" w:hAnsiTheme="minorHAnsi" w:cstheme="minorHAnsi"/>
                <w:szCs w:val="20"/>
              </w:rPr>
            </w:pPr>
            <w:r>
              <w:rPr>
                <w:rFonts w:asciiTheme="minorHAnsi" w:hAnsiTheme="minorHAnsi" w:cstheme="minorHAnsi"/>
                <w:szCs w:val="20"/>
              </w:rPr>
              <w:t>2</w:t>
            </w:r>
          </w:p>
        </w:tc>
        <w:tc>
          <w:tcPr>
            <w:tcW w:w="851" w:type="pct"/>
            <w:tcBorders>
              <w:top w:val="single" w:sz="4" w:space="0" w:color="A6A6A6" w:themeColor="background1" w:themeShade="A6"/>
              <w:bottom w:val="single" w:sz="4" w:space="0" w:color="auto"/>
            </w:tcBorders>
          </w:tcPr>
          <w:p w:rsidR="00447E25" w:rsidP="00D6138E" w14:paraId="0EA7084F" w14:textId="77777777">
            <w:pPr>
              <w:pStyle w:val="BodyText-IPR"/>
              <w:spacing w:after="0"/>
              <w:jc w:val="center"/>
              <w:rPr>
                <w:rFonts w:asciiTheme="minorHAnsi" w:hAnsiTheme="minorHAnsi" w:cstheme="minorHAnsi"/>
                <w:szCs w:val="20"/>
              </w:rPr>
            </w:pPr>
            <w:r>
              <w:rPr>
                <w:rFonts w:asciiTheme="minorHAnsi" w:hAnsiTheme="minorHAnsi" w:cstheme="minorHAnsi"/>
                <w:szCs w:val="20"/>
              </w:rPr>
              <w:t>2</w:t>
            </w:r>
          </w:p>
        </w:tc>
        <w:tc>
          <w:tcPr>
            <w:tcW w:w="850" w:type="pct"/>
            <w:tcBorders>
              <w:top w:val="single" w:sz="4" w:space="0" w:color="A6A6A6" w:themeColor="background1" w:themeShade="A6"/>
              <w:bottom w:val="single" w:sz="4" w:space="0" w:color="auto"/>
            </w:tcBorders>
          </w:tcPr>
          <w:p w:rsidR="00447E25" w:rsidP="00D6138E" w14:paraId="38F666B6" w14:textId="77777777">
            <w:pPr>
              <w:pStyle w:val="BodyText-IPR"/>
              <w:spacing w:after="0"/>
              <w:jc w:val="center"/>
              <w:rPr>
                <w:rFonts w:asciiTheme="minorHAnsi" w:hAnsiTheme="minorHAnsi" w:cstheme="minorHAnsi"/>
                <w:szCs w:val="20"/>
              </w:rPr>
            </w:pPr>
            <w:r>
              <w:rPr>
                <w:rFonts w:asciiTheme="minorHAnsi" w:hAnsiTheme="minorHAnsi" w:cstheme="minorHAnsi"/>
                <w:szCs w:val="20"/>
              </w:rPr>
              <w:t>4</w:t>
            </w:r>
          </w:p>
        </w:tc>
        <w:tc>
          <w:tcPr>
            <w:tcW w:w="849" w:type="pct"/>
            <w:tcBorders>
              <w:top w:val="single" w:sz="4" w:space="0" w:color="A6A6A6" w:themeColor="background1" w:themeShade="A6"/>
              <w:bottom w:val="single" w:sz="4" w:space="0" w:color="auto"/>
            </w:tcBorders>
          </w:tcPr>
          <w:p w:rsidR="00447E25" w:rsidP="00D6138E" w14:paraId="5FCF2DCE" w14:textId="77777777">
            <w:pPr>
              <w:pStyle w:val="BodyText-IPR"/>
              <w:spacing w:after="0"/>
              <w:jc w:val="center"/>
              <w:rPr>
                <w:rFonts w:asciiTheme="minorHAnsi" w:hAnsiTheme="minorHAnsi" w:cstheme="minorHAnsi"/>
                <w:szCs w:val="20"/>
              </w:rPr>
            </w:pPr>
            <w:r>
              <w:rPr>
                <w:rFonts w:asciiTheme="minorHAnsi" w:hAnsiTheme="minorHAnsi" w:cstheme="minorHAnsi"/>
                <w:szCs w:val="20"/>
              </w:rPr>
              <w:t>4</w:t>
            </w:r>
          </w:p>
        </w:tc>
      </w:tr>
      <w:tr w14:paraId="729097E9" w14:textId="77777777" w:rsidTr="00D6138E">
        <w:tblPrEx>
          <w:tblW w:w="5000" w:type="pct"/>
          <w:tblLayout w:type="fixed"/>
          <w:tblLook w:val="04A0"/>
        </w:tblPrEx>
        <w:trPr>
          <w:trHeight w:val="360"/>
        </w:trPr>
        <w:tc>
          <w:tcPr>
            <w:tcW w:w="800" w:type="pct"/>
            <w:vMerge/>
            <w:tcBorders>
              <w:left w:val="nil"/>
              <w:right w:val="single" w:sz="4" w:space="0" w:color="A6A6A6" w:themeColor="background1" w:themeShade="A6"/>
            </w:tcBorders>
          </w:tcPr>
          <w:p w:rsidR="00447E25" w:rsidP="00D6138E" w14:paraId="3AABAF75" w14:textId="77777777">
            <w:pPr>
              <w:pStyle w:val="TableHeaderRow-IPR"/>
              <w:jc w:val="left"/>
              <w:rPr>
                <w:rFonts w:asciiTheme="minorHAnsi" w:hAnsiTheme="minorHAnsi" w:cstheme="minorHAnsi"/>
                <w:b w:val="0"/>
                <w:bCs/>
                <w:sz w:val="20"/>
                <w:szCs w:val="20"/>
              </w:rPr>
            </w:pPr>
          </w:p>
        </w:tc>
        <w:tc>
          <w:tcPr>
            <w:tcW w:w="800" w:type="pct"/>
            <w:tcBorders>
              <w:top w:val="single" w:sz="4" w:space="0" w:color="A6A6A6" w:themeColor="background1" w:themeShade="A6"/>
              <w:left w:val="nil"/>
              <w:bottom w:val="single" w:sz="4" w:space="0" w:color="auto"/>
              <w:right w:val="single" w:sz="4" w:space="0" w:color="A6A6A6" w:themeColor="background1" w:themeShade="A6"/>
            </w:tcBorders>
          </w:tcPr>
          <w:p w:rsidR="00447E25" w:rsidRPr="00503F46" w:rsidP="00D6138E" w14:paraId="6776E8FA" w14:textId="77777777">
            <w:pPr>
              <w:pStyle w:val="TableHeaderRow-IPR"/>
              <w:jc w:val="left"/>
              <w:rPr>
                <w:rFonts w:asciiTheme="minorHAnsi" w:hAnsiTheme="minorHAnsi" w:cstheme="minorHAnsi"/>
                <w:b w:val="0"/>
                <w:bCs/>
                <w:sz w:val="20"/>
                <w:szCs w:val="20"/>
              </w:rPr>
            </w:pPr>
            <w:r>
              <w:rPr>
                <w:rFonts w:asciiTheme="minorHAnsi" w:hAnsiTheme="minorHAnsi" w:cstheme="minorHAnsi"/>
                <w:b w:val="0"/>
                <w:bCs/>
                <w:sz w:val="20"/>
                <w:szCs w:val="20"/>
              </w:rPr>
              <w:t>TPP</w:t>
            </w:r>
          </w:p>
        </w:tc>
        <w:tc>
          <w:tcPr>
            <w:tcW w:w="850" w:type="pct"/>
            <w:tcBorders>
              <w:top w:val="single" w:sz="4" w:space="0" w:color="A6A6A6" w:themeColor="background1" w:themeShade="A6"/>
              <w:left w:val="single" w:sz="4" w:space="0" w:color="A6A6A6" w:themeColor="background1" w:themeShade="A6"/>
              <w:bottom w:val="single" w:sz="4" w:space="0" w:color="auto"/>
            </w:tcBorders>
          </w:tcPr>
          <w:p w:rsidR="00447E25" w:rsidP="00D6138E" w14:paraId="57D4B7FA" w14:textId="77777777">
            <w:pPr>
              <w:pStyle w:val="BodyText-IPR"/>
              <w:spacing w:after="0"/>
              <w:jc w:val="center"/>
              <w:rPr>
                <w:rFonts w:asciiTheme="minorHAnsi" w:hAnsiTheme="minorHAnsi" w:cstheme="minorHAnsi"/>
                <w:szCs w:val="20"/>
              </w:rPr>
            </w:pPr>
            <w:r>
              <w:rPr>
                <w:rFonts w:asciiTheme="minorHAnsi" w:hAnsiTheme="minorHAnsi" w:cstheme="minorHAnsi"/>
                <w:szCs w:val="20"/>
              </w:rPr>
              <w:t>2</w:t>
            </w:r>
          </w:p>
        </w:tc>
        <w:tc>
          <w:tcPr>
            <w:tcW w:w="851" w:type="pct"/>
            <w:tcBorders>
              <w:top w:val="single" w:sz="4" w:space="0" w:color="A6A6A6" w:themeColor="background1" w:themeShade="A6"/>
              <w:bottom w:val="single" w:sz="4" w:space="0" w:color="auto"/>
            </w:tcBorders>
          </w:tcPr>
          <w:p w:rsidR="00447E25" w:rsidP="00D6138E" w14:paraId="16A2E703" w14:textId="77777777">
            <w:pPr>
              <w:pStyle w:val="BodyText-IPR"/>
              <w:spacing w:after="0"/>
              <w:jc w:val="center"/>
              <w:rPr>
                <w:rFonts w:asciiTheme="minorHAnsi" w:hAnsiTheme="minorHAnsi" w:cstheme="minorHAnsi"/>
                <w:szCs w:val="20"/>
              </w:rPr>
            </w:pPr>
            <w:r>
              <w:rPr>
                <w:rFonts w:asciiTheme="minorHAnsi" w:hAnsiTheme="minorHAnsi" w:cstheme="minorHAnsi"/>
                <w:szCs w:val="20"/>
              </w:rPr>
              <w:t>6</w:t>
            </w:r>
          </w:p>
        </w:tc>
        <w:tc>
          <w:tcPr>
            <w:tcW w:w="850" w:type="pct"/>
            <w:tcBorders>
              <w:top w:val="single" w:sz="4" w:space="0" w:color="A6A6A6" w:themeColor="background1" w:themeShade="A6"/>
              <w:bottom w:val="single" w:sz="4" w:space="0" w:color="auto"/>
            </w:tcBorders>
          </w:tcPr>
          <w:p w:rsidR="00447E25" w:rsidP="00D6138E" w14:paraId="028514DE" w14:textId="77777777">
            <w:pPr>
              <w:pStyle w:val="BodyText-IPR"/>
              <w:spacing w:after="0"/>
              <w:jc w:val="center"/>
              <w:rPr>
                <w:rFonts w:asciiTheme="minorHAnsi" w:hAnsiTheme="minorHAnsi" w:cstheme="minorHAnsi"/>
                <w:szCs w:val="20"/>
              </w:rPr>
            </w:pPr>
            <w:r>
              <w:rPr>
                <w:rFonts w:asciiTheme="minorHAnsi" w:hAnsiTheme="minorHAnsi" w:cstheme="minorHAnsi"/>
                <w:szCs w:val="20"/>
              </w:rPr>
              <w:t>4</w:t>
            </w:r>
          </w:p>
        </w:tc>
        <w:tc>
          <w:tcPr>
            <w:tcW w:w="849" w:type="pct"/>
            <w:tcBorders>
              <w:top w:val="single" w:sz="4" w:space="0" w:color="A6A6A6" w:themeColor="background1" w:themeShade="A6"/>
              <w:bottom w:val="single" w:sz="4" w:space="0" w:color="auto"/>
            </w:tcBorders>
          </w:tcPr>
          <w:p w:rsidR="00447E25" w:rsidP="00D6138E" w14:paraId="467E33A8" w14:textId="77777777">
            <w:pPr>
              <w:pStyle w:val="BodyText-IPR"/>
              <w:spacing w:after="0"/>
              <w:jc w:val="center"/>
              <w:rPr>
                <w:rFonts w:asciiTheme="minorHAnsi" w:hAnsiTheme="minorHAnsi" w:cstheme="minorHAnsi"/>
                <w:szCs w:val="20"/>
              </w:rPr>
            </w:pPr>
            <w:r>
              <w:rPr>
                <w:rFonts w:asciiTheme="minorHAnsi" w:hAnsiTheme="minorHAnsi" w:cstheme="minorHAnsi"/>
                <w:szCs w:val="20"/>
              </w:rPr>
              <w:t>12</w:t>
            </w:r>
          </w:p>
        </w:tc>
      </w:tr>
      <w:tr w14:paraId="35297833" w14:textId="77777777" w:rsidTr="00D6138E">
        <w:tblPrEx>
          <w:tblW w:w="5000" w:type="pct"/>
          <w:tblLayout w:type="fixed"/>
          <w:tblLook w:val="04A0"/>
        </w:tblPrEx>
        <w:trPr>
          <w:trHeight w:val="360"/>
        </w:trPr>
        <w:tc>
          <w:tcPr>
            <w:tcW w:w="800" w:type="pct"/>
            <w:vMerge/>
            <w:tcBorders>
              <w:left w:val="nil"/>
              <w:bottom w:val="single" w:sz="18" w:space="0" w:color="7F7F7F" w:themeColor="text1" w:themeTint="80"/>
              <w:right w:val="single" w:sz="4" w:space="0" w:color="A6A6A6" w:themeColor="background1" w:themeShade="A6"/>
            </w:tcBorders>
          </w:tcPr>
          <w:p w:rsidR="00447E25" w:rsidP="00D6138E" w14:paraId="3020BB5C" w14:textId="77777777">
            <w:pPr>
              <w:pStyle w:val="TableHeaderRow-IPR"/>
              <w:jc w:val="left"/>
              <w:rPr>
                <w:rFonts w:asciiTheme="minorHAnsi" w:hAnsiTheme="minorHAnsi" w:cstheme="minorHAnsi"/>
                <w:b w:val="0"/>
                <w:bCs/>
                <w:sz w:val="20"/>
                <w:szCs w:val="20"/>
              </w:rPr>
            </w:pPr>
          </w:p>
        </w:tc>
        <w:tc>
          <w:tcPr>
            <w:tcW w:w="800" w:type="pct"/>
            <w:tcBorders>
              <w:top w:val="single" w:sz="4" w:space="0" w:color="auto"/>
              <w:left w:val="nil"/>
              <w:bottom w:val="single" w:sz="18" w:space="0" w:color="7F7F7F" w:themeColor="text1" w:themeTint="80"/>
              <w:right w:val="single" w:sz="4" w:space="0" w:color="A6A6A6" w:themeColor="background1" w:themeShade="A6"/>
            </w:tcBorders>
          </w:tcPr>
          <w:p w:rsidR="00447E25" w:rsidRPr="00503F46" w:rsidP="00D6138E" w14:paraId="72C079AF" w14:textId="77777777">
            <w:pPr>
              <w:pStyle w:val="TableHeaderRow-IPR"/>
              <w:jc w:val="left"/>
              <w:rPr>
                <w:rFonts w:asciiTheme="minorHAnsi" w:hAnsiTheme="minorHAnsi" w:cstheme="minorHAnsi"/>
                <w:b w:val="0"/>
                <w:bCs/>
                <w:sz w:val="20"/>
                <w:szCs w:val="20"/>
              </w:rPr>
            </w:pPr>
            <w:r>
              <w:rPr>
                <w:rFonts w:asciiTheme="minorHAnsi" w:hAnsiTheme="minorHAnsi" w:cstheme="minorHAnsi"/>
                <w:b w:val="0"/>
                <w:bCs/>
                <w:sz w:val="20"/>
                <w:szCs w:val="20"/>
              </w:rPr>
              <w:t>Retailer</w:t>
            </w:r>
          </w:p>
        </w:tc>
        <w:tc>
          <w:tcPr>
            <w:tcW w:w="850" w:type="pct"/>
            <w:tcBorders>
              <w:top w:val="single" w:sz="4" w:space="0" w:color="auto"/>
              <w:left w:val="single" w:sz="4" w:space="0" w:color="A6A6A6" w:themeColor="background1" w:themeShade="A6"/>
              <w:bottom w:val="single" w:sz="18" w:space="0" w:color="7F7F7F" w:themeColor="text1" w:themeTint="80"/>
            </w:tcBorders>
          </w:tcPr>
          <w:p w:rsidR="00447E25" w:rsidRPr="00503F46" w:rsidP="00D6138E" w14:paraId="5D09106E" w14:textId="77777777">
            <w:pPr>
              <w:pStyle w:val="BodyText-IPR"/>
              <w:spacing w:after="0"/>
              <w:jc w:val="center"/>
              <w:rPr>
                <w:rFonts w:asciiTheme="minorHAnsi" w:hAnsiTheme="minorHAnsi" w:cstheme="minorHAnsi"/>
                <w:szCs w:val="20"/>
              </w:rPr>
            </w:pPr>
            <w:r>
              <w:rPr>
                <w:rFonts w:asciiTheme="minorHAnsi" w:hAnsiTheme="minorHAnsi" w:cstheme="minorHAnsi"/>
                <w:szCs w:val="20"/>
              </w:rPr>
              <w:t>6</w:t>
            </w:r>
          </w:p>
        </w:tc>
        <w:tc>
          <w:tcPr>
            <w:tcW w:w="851" w:type="pct"/>
            <w:tcBorders>
              <w:top w:val="single" w:sz="4" w:space="0" w:color="auto"/>
              <w:bottom w:val="single" w:sz="18" w:space="0" w:color="7F7F7F" w:themeColor="text1" w:themeTint="80"/>
            </w:tcBorders>
          </w:tcPr>
          <w:p w:rsidR="00447E25" w:rsidRPr="00503F46" w:rsidP="00D6138E" w14:paraId="3FC82E7E" w14:textId="77777777">
            <w:pPr>
              <w:pStyle w:val="BodyText-IPR"/>
              <w:spacing w:after="0"/>
              <w:jc w:val="center"/>
              <w:rPr>
                <w:rFonts w:asciiTheme="minorHAnsi" w:hAnsiTheme="minorHAnsi" w:cstheme="minorHAnsi"/>
                <w:szCs w:val="20"/>
              </w:rPr>
            </w:pPr>
            <w:r>
              <w:rPr>
                <w:rFonts w:asciiTheme="minorHAnsi" w:hAnsiTheme="minorHAnsi" w:cstheme="minorHAnsi"/>
                <w:szCs w:val="20"/>
              </w:rPr>
              <w:t>18</w:t>
            </w:r>
          </w:p>
        </w:tc>
        <w:tc>
          <w:tcPr>
            <w:tcW w:w="850" w:type="pct"/>
            <w:tcBorders>
              <w:top w:val="single" w:sz="4" w:space="0" w:color="auto"/>
              <w:bottom w:val="single" w:sz="18" w:space="0" w:color="7F7F7F" w:themeColor="text1" w:themeTint="80"/>
            </w:tcBorders>
          </w:tcPr>
          <w:p w:rsidR="00447E25" w:rsidP="00D6138E" w14:paraId="7DAC6C24" w14:textId="77777777">
            <w:pPr>
              <w:pStyle w:val="BodyText-IPR"/>
              <w:spacing w:after="0"/>
              <w:jc w:val="center"/>
              <w:rPr>
                <w:rFonts w:asciiTheme="minorHAnsi" w:hAnsiTheme="minorHAnsi" w:cstheme="minorHAnsi"/>
                <w:szCs w:val="20"/>
              </w:rPr>
            </w:pPr>
            <w:r>
              <w:rPr>
                <w:rFonts w:asciiTheme="minorHAnsi" w:hAnsiTheme="minorHAnsi" w:cstheme="minorHAnsi"/>
                <w:szCs w:val="20"/>
              </w:rPr>
              <w:t>12</w:t>
            </w:r>
          </w:p>
        </w:tc>
        <w:tc>
          <w:tcPr>
            <w:tcW w:w="849" w:type="pct"/>
            <w:tcBorders>
              <w:top w:val="single" w:sz="4" w:space="0" w:color="auto"/>
              <w:bottom w:val="single" w:sz="18" w:space="0" w:color="7F7F7F" w:themeColor="text1" w:themeTint="80"/>
            </w:tcBorders>
          </w:tcPr>
          <w:p w:rsidR="00447E25" w:rsidRPr="00503F46" w:rsidP="00D6138E" w14:paraId="5ABD8F26" w14:textId="77777777">
            <w:pPr>
              <w:pStyle w:val="BodyText-IPR"/>
              <w:spacing w:after="0"/>
              <w:jc w:val="center"/>
              <w:rPr>
                <w:rFonts w:asciiTheme="minorHAnsi" w:hAnsiTheme="minorHAnsi" w:cstheme="minorHAnsi"/>
                <w:szCs w:val="20"/>
              </w:rPr>
            </w:pPr>
            <w:r>
              <w:rPr>
                <w:rFonts w:asciiTheme="minorHAnsi" w:hAnsiTheme="minorHAnsi" w:cstheme="minorHAnsi"/>
                <w:szCs w:val="20"/>
              </w:rPr>
              <w:t>36</w:t>
            </w:r>
          </w:p>
        </w:tc>
      </w:tr>
    </w:tbl>
    <w:p w:rsidR="00447E25" w:rsidRPr="00960E81" w:rsidP="00447E25" w14:paraId="12F51CBD" w14:textId="77777777">
      <w:pPr>
        <w:pStyle w:val="FtnteBodyText-IPR"/>
        <w:spacing w:after="360"/>
        <w:rPr>
          <w:sz w:val="18"/>
          <w:szCs w:val="18"/>
        </w:rPr>
      </w:pPr>
      <w:r>
        <w:rPr>
          <w:sz w:val="18"/>
          <w:szCs w:val="18"/>
        </w:rPr>
        <w:t xml:space="preserve">*One EBT processor serves two project States and the second serves the third project State. </w:t>
      </w:r>
    </w:p>
    <w:p w:rsidR="00447E25" w:rsidP="004E4D6C" w14:paraId="3131907A" w14:textId="77777777">
      <w:pPr>
        <w:pStyle w:val="BodyText-IPR"/>
        <w:spacing w:line="480" w:lineRule="auto"/>
        <w:rPr>
          <w:sz w:val="20"/>
          <w:szCs w:val="20"/>
        </w:rPr>
      </w:pPr>
    </w:p>
    <w:p w:rsidR="00BA4BAE" w:rsidP="00BA4BAE" w14:paraId="4D72F862" w14:textId="26825CB9">
      <w:pPr>
        <w:pStyle w:val="BodyText-IPR"/>
        <w:numPr>
          <w:ilvl w:val="0"/>
          <w:numId w:val="20"/>
        </w:numPr>
        <w:spacing w:line="480" w:lineRule="auto"/>
        <w:rPr>
          <w:sz w:val="24"/>
          <w:szCs w:val="24"/>
        </w:rPr>
      </w:pPr>
      <w:r w:rsidRPr="00BA4BAE">
        <w:rPr>
          <w:b/>
          <w:bCs/>
          <w:sz w:val="24"/>
          <w:szCs w:val="24"/>
        </w:rPr>
        <w:t>Extant national and State data</w:t>
      </w:r>
      <w:r w:rsidRPr="00A954A0" w:rsidR="003B69C9">
        <w:rPr>
          <w:sz w:val="24"/>
          <w:szCs w:val="24"/>
        </w:rPr>
        <w:t xml:space="preserve">. </w:t>
      </w:r>
      <w:r w:rsidRPr="00BA4BAE">
        <w:rPr>
          <w:sz w:val="24"/>
          <w:szCs w:val="24"/>
        </w:rPr>
        <w:t xml:space="preserve">To </w:t>
      </w:r>
      <w:r w:rsidR="001D61B9">
        <w:rPr>
          <w:sz w:val="24"/>
          <w:szCs w:val="24"/>
        </w:rPr>
        <w:t xml:space="preserve">help </w:t>
      </w:r>
      <w:r w:rsidRPr="00BA4BAE">
        <w:rPr>
          <w:sz w:val="24"/>
          <w:szCs w:val="24"/>
        </w:rPr>
        <w:t xml:space="preserve">address </w:t>
      </w:r>
      <w:r>
        <w:rPr>
          <w:sz w:val="24"/>
          <w:szCs w:val="24"/>
        </w:rPr>
        <w:t>study o</w:t>
      </w:r>
      <w:r w:rsidRPr="00BA4BAE">
        <w:rPr>
          <w:sz w:val="24"/>
          <w:szCs w:val="24"/>
        </w:rPr>
        <w:t xml:space="preserve">bjective 2, </w:t>
      </w:r>
      <w:r>
        <w:rPr>
          <w:sz w:val="24"/>
          <w:szCs w:val="24"/>
        </w:rPr>
        <w:t>the study team</w:t>
      </w:r>
      <w:r w:rsidRPr="00BA4BAE">
        <w:rPr>
          <w:sz w:val="24"/>
          <w:szCs w:val="24"/>
        </w:rPr>
        <w:t xml:space="preserve"> will collect </w:t>
      </w:r>
      <w:r>
        <w:rPr>
          <w:sz w:val="24"/>
          <w:szCs w:val="24"/>
        </w:rPr>
        <w:t xml:space="preserve">publicly available </w:t>
      </w:r>
      <w:r w:rsidRPr="00BA4BAE">
        <w:rPr>
          <w:sz w:val="24"/>
          <w:szCs w:val="24"/>
        </w:rPr>
        <w:t>extant data on State and national characteristics. These data are likely to include numbers of SNAP retailers</w:t>
      </w:r>
      <w:r>
        <w:rPr>
          <w:sz w:val="24"/>
          <w:szCs w:val="24"/>
        </w:rPr>
        <w:t>,</w:t>
      </w:r>
      <w:r w:rsidRPr="00BA4BAE">
        <w:rPr>
          <w:sz w:val="24"/>
          <w:szCs w:val="24"/>
        </w:rPr>
        <w:t xml:space="preserve"> wage rates for State employees and those in industries involved in eHIP activities, and aggregate SNAP caseloads, among others. </w:t>
      </w:r>
      <w:r>
        <w:rPr>
          <w:sz w:val="24"/>
          <w:szCs w:val="24"/>
        </w:rPr>
        <w:t>The team</w:t>
      </w:r>
      <w:r w:rsidRPr="00BA4BAE">
        <w:rPr>
          <w:sz w:val="24"/>
          <w:szCs w:val="24"/>
        </w:rPr>
        <w:t xml:space="preserve"> will identify all </w:t>
      </w:r>
      <w:r>
        <w:rPr>
          <w:sz w:val="24"/>
          <w:szCs w:val="24"/>
        </w:rPr>
        <w:t xml:space="preserve">sought-after </w:t>
      </w:r>
      <w:r w:rsidRPr="00BA4BAE">
        <w:rPr>
          <w:sz w:val="24"/>
          <w:szCs w:val="24"/>
        </w:rPr>
        <w:t xml:space="preserve">data elements </w:t>
      </w:r>
      <w:r>
        <w:rPr>
          <w:sz w:val="24"/>
          <w:szCs w:val="24"/>
        </w:rPr>
        <w:t xml:space="preserve">and their source(s) </w:t>
      </w:r>
      <w:r w:rsidRPr="00BA4BAE">
        <w:rPr>
          <w:sz w:val="24"/>
          <w:szCs w:val="24"/>
        </w:rPr>
        <w:t>in one document</w:t>
      </w:r>
      <w:r>
        <w:rPr>
          <w:sz w:val="24"/>
          <w:szCs w:val="24"/>
        </w:rPr>
        <w:t xml:space="preserve"> and</w:t>
      </w:r>
      <w:r w:rsidR="00AD4673">
        <w:rPr>
          <w:sz w:val="24"/>
          <w:szCs w:val="24"/>
        </w:rPr>
        <w:t xml:space="preserve"> </w:t>
      </w:r>
      <w:r w:rsidRPr="00BA4BAE">
        <w:rPr>
          <w:sz w:val="24"/>
          <w:szCs w:val="24"/>
        </w:rPr>
        <w:t xml:space="preserve">will log </w:t>
      </w:r>
      <w:r>
        <w:rPr>
          <w:sz w:val="24"/>
          <w:szCs w:val="24"/>
        </w:rPr>
        <w:t>the</w:t>
      </w:r>
      <w:r w:rsidRPr="00BA4BAE">
        <w:rPr>
          <w:sz w:val="24"/>
          <w:szCs w:val="24"/>
        </w:rPr>
        <w:t xml:space="preserve"> completeness of these data </w:t>
      </w:r>
      <w:r>
        <w:rPr>
          <w:sz w:val="24"/>
          <w:szCs w:val="24"/>
        </w:rPr>
        <w:t>and any other information necessary for</w:t>
      </w:r>
      <w:r w:rsidRPr="00BA4BAE">
        <w:rPr>
          <w:sz w:val="24"/>
          <w:szCs w:val="24"/>
        </w:rPr>
        <w:t xml:space="preserve"> proper attribution in analyses.</w:t>
      </w:r>
    </w:p>
    <w:p w:rsidR="00561539" w:rsidP="00561539" w14:paraId="51ABA40B" w14:textId="26B5E1AE">
      <w:pPr>
        <w:pStyle w:val="BodyText-IPR"/>
        <w:numPr>
          <w:ilvl w:val="0"/>
          <w:numId w:val="20"/>
        </w:numPr>
        <w:spacing w:line="480" w:lineRule="auto"/>
        <w:rPr>
          <w:sz w:val="24"/>
          <w:szCs w:val="24"/>
        </w:rPr>
      </w:pPr>
      <w:r w:rsidRPr="00BA4BAE">
        <w:rPr>
          <w:b/>
          <w:bCs/>
          <w:sz w:val="24"/>
          <w:szCs w:val="24"/>
        </w:rPr>
        <w:t>Administrative GusNIP grantee data collection</w:t>
      </w:r>
      <w:r w:rsidRPr="00A954A0">
        <w:rPr>
          <w:sz w:val="24"/>
          <w:szCs w:val="24"/>
        </w:rPr>
        <w:t xml:space="preserve">. </w:t>
      </w:r>
      <w:r w:rsidR="001D61B9">
        <w:rPr>
          <w:sz w:val="24"/>
          <w:szCs w:val="24"/>
        </w:rPr>
        <w:t xml:space="preserve">The study team </w:t>
      </w:r>
      <w:r w:rsidRPr="001D61B9" w:rsidR="001D61B9">
        <w:rPr>
          <w:sz w:val="24"/>
          <w:szCs w:val="24"/>
        </w:rPr>
        <w:t>will</w:t>
      </w:r>
      <w:r w:rsidR="001D61B9">
        <w:rPr>
          <w:sz w:val="24"/>
          <w:szCs w:val="24"/>
        </w:rPr>
        <w:t xml:space="preserve"> work with FNS</w:t>
      </w:r>
      <w:r w:rsidRPr="001D61B9" w:rsidR="001D61B9">
        <w:rPr>
          <w:sz w:val="24"/>
          <w:szCs w:val="24"/>
        </w:rPr>
        <w:t xml:space="preserve"> to determine the </w:t>
      </w:r>
      <w:r w:rsidR="009B73A7">
        <w:rPr>
          <w:sz w:val="24"/>
          <w:szCs w:val="24"/>
        </w:rPr>
        <w:t xml:space="preserve">analytic </w:t>
      </w:r>
      <w:r w:rsidRPr="001D61B9" w:rsidR="001D61B9">
        <w:rPr>
          <w:sz w:val="24"/>
          <w:szCs w:val="24"/>
        </w:rPr>
        <w:t xml:space="preserve">approach </w:t>
      </w:r>
      <w:r w:rsidR="00723385">
        <w:rPr>
          <w:sz w:val="24"/>
          <w:szCs w:val="24"/>
        </w:rPr>
        <w:t xml:space="preserve">for eHIP </w:t>
      </w:r>
      <w:r w:rsidRPr="001D61B9" w:rsidR="001D61B9">
        <w:rPr>
          <w:sz w:val="24"/>
          <w:szCs w:val="24"/>
        </w:rPr>
        <w:t>to GusNIP comparison and</w:t>
      </w:r>
      <w:r w:rsidR="009816D5">
        <w:rPr>
          <w:sz w:val="24"/>
          <w:szCs w:val="24"/>
        </w:rPr>
        <w:t xml:space="preserve"> </w:t>
      </w:r>
      <w:r w:rsidRPr="001D61B9" w:rsidR="001D61B9">
        <w:rPr>
          <w:sz w:val="24"/>
          <w:szCs w:val="24"/>
        </w:rPr>
        <w:t xml:space="preserve">selection criteria for GusNIP </w:t>
      </w:r>
      <w:r w:rsidR="008233FD">
        <w:rPr>
          <w:sz w:val="24"/>
          <w:szCs w:val="24"/>
        </w:rPr>
        <w:t>grantee</w:t>
      </w:r>
      <w:r w:rsidRPr="001D61B9" w:rsidR="001D61B9">
        <w:rPr>
          <w:sz w:val="24"/>
          <w:szCs w:val="24"/>
        </w:rPr>
        <w:t xml:space="preserve">s. </w:t>
      </w:r>
      <w:r w:rsidR="001D61B9">
        <w:rPr>
          <w:sz w:val="24"/>
          <w:szCs w:val="24"/>
        </w:rPr>
        <w:t xml:space="preserve">The team will </w:t>
      </w:r>
      <w:r w:rsidRPr="001D61B9" w:rsidR="001D61B9">
        <w:rPr>
          <w:sz w:val="24"/>
          <w:szCs w:val="24"/>
        </w:rPr>
        <w:t xml:space="preserve">meet with NIFA </w:t>
      </w:r>
      <w:r w:rsidR="002A50C6">
        <w:rPr>
          <w:sz w:val="24"/>
          <w:szCs w:val="24"/>
        </w:rPr>
        <w:t xml:space="preserve">and </w:t>
      </w:r>
      <w:r w:rsidRPr="001D61B9" w:rsidR="002A50C6">
        <w:rPr>
          <w:sz w:val="24"/>
          <w:szCs w:val="24"/>
        </w:rPr>
        <w:t xml:space="preserve">the Gus Schumacher Nutrition Incentive Program Training, Technical Assistance, Evaluation, and Information Center (NTAE) </w:t>
      </w:r>
      <w:r w:rsidRPr="001D61B9" w:rsidR="001D61B9">
        <w:rPr>
          <w:sz w:val="24"/>
          <w:szCs w:val="24"/>
        </w:rPr>
        <w:t xml:space="preserve">to ascertain what data they </w:t>
      </w:r>
      <w:r w:rsidR="001D61B9">
        <w:rPr>
          <w:sz w:val="24"/>
          <w:szCs w:val="24"/>
        </w:rPr>
        <w:t xml:space="preserve">may share </w:t>
      </w:r>
      <w:r w:rsidR="002A50C6">
        <w:rPr>
          <w:sz w:val="24"/>
          <w:szCs w:val="24"/>
        </w:rPr>
        <w:t xml:space="preserve">about </w:t>
      </w:r>
      <w:r w:rsidR="001D61B9">
        <w:rPr>
          <w:sz w:val="24"/>
          <w:szCs w:val="24"/>
        </w:rPr>
        <w:t>GusNIP grantees</w:t>
      </w:r>
      <w:r w:rsidR="009816D5">
        <w:rPr>
          <w:sz w:val="24"/>
          <w:szCs w:val="24"/>
        </w:rPr>
        <w:t xml:space="preserve"> with the grantees’</w:t>
      </w:r>
      <w:r w:rsidR="002A50C6">
        <w:rPr>
          <w:sz w:val="24"/>
          <w:szCs w:val="24"/>
        </w:rPr>
        <w:t xml:space="preserve"> </w:t>
      </w:r>
      <w:r w:rsidR="009816D5">
        <w:rPr>
          <w:sz w:val="24"/>
          <w:szCs w:val="24"/>
        </w:rPr>
        <w:t>consent</w:t>
      </w:r>
      <w:r w:rsidR="001D61B9">
        <w:rPr>
          <w:sz w:val="24"/>
          <w:szCs w:val="24"/>
        </w:rPr>
        <w:t xml:space="preserve">. The team </w:t>
      </w:r>
      <w:r w:rsidR="00B74A6E">
        <w:rPr>
          <w:sz w:val="24"/>
          <w:szCs w:val="24"/>
        </w:rPr>
        <w:t xml:space="preserve">will </w:t>
      </w:r>
      <w:r w:rsidR="001D61B9">
        <w:rPr>
          <w:sz w:val="24"/>
          <w:szCs w:val="24"/>
        </w:rPr>
        <w:t xml:space="preserve">also </w:t>
      </w:r>
      <w:r w:rsidR="00B74A6E">
        <w:rPr>
          <w:sz w:val="24"/>
          <w:szCs w:val="24"/>
        </w:rPr>
        <w:t>work</w:t>
      </w:r>
      <w:r w:rsidRPr="001D61B9" w:rsidR="001D61B9">
        <w:rPr>
          <w:sz w:val="24"/>
          <w:szCs w:val="24"/>
        </w:rPr>
        <w:t xml:space="preserve"> with </w:t>
      </w:r>
      <w:r w:rsidR="00242D3E">
        <w:rPr>
          <w:sz w:val="24"/>
          <w:szCs w:val="24"/>
        </w:rPr>
        <w:t xml:space="preserve">NTAE </w:t>
      </w:r>
      <w:r w:rsidRPr="001D61B9" w:rsidR="001D61B9">
        <w:rPr>
          <w:sz w:val="24"/>
          <w:szCs w:val="24"/>
        </w:rPr>
        <w:t xml:space="preserve">to contact </w:t>
      </w:r>
      <w:r w:rsidR="00652A7D">
        <w:rPr>
          <w:sz w:val="24"/>
          <w:szCs w:val="24"/>
        </w:rPr>
        <w:t xml:space="preserve">up to </w:t>
      </w:r>
      <w:r w:rsidR="00EC5448">
        <w:rPr>
          <w:sz w:val="24"/>
          <w:szCs w:val="24"/>
        </w:rPr>
        <w:t>12</w:t>
      </w:r>
      <w:r w:rsidR="00652A7D">
        <w:rPr>
          <w:sz w:val="24"/>
          <w:szCs w:val="24"/>
        </w:rPr>
        <w:t xml:space="preserve"> </w:t>
      </w:r>
      <w:r w:rsidRPr="001D61B9" w:rsidR="001D61B9">
        <w:rPr>
          <w:sz w:val="24"/>
          <w:szCs w:val="24"/>
        </w:rPr>
        <w:t xml:space="preserve">GusNIP grantees to gain their permission to share </w:t>
      </w:r>
      <w:r w:rsidR="00242D3E">
        <w:rPr>
          <w:sz w:val="24"/>
          <w:szCs w:val="24"/>
        </w:rPr>
        <w:t>NIFA and N</w:t>
      </w:r>
      <w:r w:rsidRPr="001D61B9" w:rsidR="001D61B9">
        <w:rPr>
          <w:sz w:val="24"/>
          <w:szCs w:val="24"/>
        </w:rPr>
        <w:t xml:space="preserve">TAE data. </w:t>
      </w:r>
      <w:r w:rsidR="002A50C6">
        <w:rPr>
          <w:sz w:val="24"/>
          <w:szCs w:val="24"/>
        </w:rPr>
        <w:t>The team’s selection criteria for grantees include (but are not limited to): GusNIP incentive structure, State, urbanicity of GusNIP program, and approximate size of GusNIP program (as measured by number of incentives issued).</w:t>
      </w:r>
      <w:r>
        <w:rPr>
          <w:rStyle w:val="FootnoteReference"/>
          <w:sz w:val="24"/>
          <w:szCs w:val="24"/>
        </w:rPr>
        <w:footnoteReference w:id="9"/>
      </w:r>
      <w:r w:rsidR="002A50C6">
        <w:rPr>
          <w:sz w:val="24"/>
          <w:szCs w:val="24"/>
        </w:rPr>
        <w:t xml:space="preserve"> </w:t>
      </w:r>
      <w:r w:rsidR="001D61B9">
        <w:rPr>
          <w:sz w:val="24"/>
          <w:szCs w:val="24"/>
        </w:rPr>
        <w:t>O</w:t>
      </w:r>
      <w:r w:rsidR="00472F20">
        <w:rPr>
          <w:sz w:val="24"/>
          <w:szCs w:val="24"/>
        </w:rPr>
        <w:t xml:space="preserve">nce the approach </w:t>
      </w:r>
      <w:r w:rsidR="002A50C6">
        <w:rPr>
          <w:sz w:val="24"/>
          <w:szCs w:val="24"/>
        </w:rPr>
        <w:t xml:space="preserve">for comparing eHIP to </w:t>
      </w:r>
      <w:r w:rsidR="00472F20">
        <w:rPr>
          <w:sz w:val="24"/>
          <w:szCs w:val="24"/>
        </w:rPr>
        <w:t>GusNIP is finalized</w:t>
      </w:r>
      <w:r w:rsidR="00F9522A">
        <w:rPr>
          <w:sz w:val="24"/>
          <w:szCs w:val="24"/>
        </w:rPr>
        <w:t xml:space="preserve"> and the 12 most suitable grantees (based on the selection criteria) are selected</w:t>
      </w:r>
      <w:r w:rsidR="00472F20">
        <w:rPr>
          <w:sz w:val="24"/>
          <w:szCs w:val="24"/>
        </w:rPr>
        <w:t>, the study team</w:t>
      </w:r>
      <w:r w:rsidRPr="00472F20" w:rsidR="00472F20">
        <w:rPr>
          <w:sz w:val="24"/>
          <w:szCs w:val="24"/>
        </w:rPr>
        <w:t xml:space="preserve"> will </w:t>
      </w:r>
      <w:r w:rsidR="00242D3E">
        <w:rPr>
          <w:sz w:val="24"/>
          <w:szCs w:val="24"/>
        </w:rPr>
        <w:t>ask the</w:t>
      </w:r>
      <w:r w:rsidR="00F9522A">
        <w:rPr>
          <w:sz w:val="24"/>
          <w:szCs w:val="24"/>
        </w:rPr>
        <w:t>se</w:t>
      </w:r>
      <w:r w:rsidR="00242D3E">
        <w:rPr>
          <w:sz w:val="24"/>
          <w:szCs w:val="24"/>
        </w:rPr>
        <w:t xml:space="preserve"> 12 GusNIP</w:t>
      </w:r>
      <w:r w:rsidR="009816D5">
        <w:rPr>
          <w:sz w:val="24"/>
          <w:szCs w:val="24"/>
        </w:rPr>
        <w:t xml:space="preserve"> grantees </w:t>
      </w:r>
      <w:r w:rsidR="00242D3E">
        <w:rPr>
          <w:sz w:val="24"/>
          <w:szCs w:val="24"/>
        </w:rPr>
        <w:t>to give</w:t>
      </w:r>
      <w:r w:rsidR="00281BB1">
        <w:rPr>
          <w:sz w:val="24"/>
          <w:szCs w:val="24"/>
        </w:rPr>
        <w:t xml:space="preserve"> permission for NIFA and NTAE to share </w:t>
      </w:r>
      <w:r w:rsidR="009816D5">
        <w:rPr>
          <w:sz w:val="24"/>
          <w:szCs w:val="24"/>
        </w:rPr>
        <w:t xml:space="preserve">data </w:t>
      </w:r>
      <w:r w:rsidR="009816D5">
        <w:rPr>
          <w:sz w:val="24"/>
          <w:szCs w:val="24"/>
        </w:rPr>
        <w:t>reports that the</w:t>
      </w:r>
      <w:r w:rsidR="00281BB1">
        <w:rPr>
          <w:sz w:val="24"/>
          <w:szCs w:val="24"/>
        </w:rPr>
        <w:t xml:space="preserve"> grantees</w:t>
      </w:r>
      <w:r w:rsidR="009816D5">
        <w:rPr>
          <w:sz w:val="24"/>
          <w:szCs w:val="24"/>
        </w:rPr>
        <w:t xml:space="preserve"> had previously compiled and provided to NIFA and NTAE</w:t>
      </w:r>
      <w:r>
        <w:rPr>
          <w:sz w:val="24"/>
          <w:szCs w:val="24"/>
        </w:rPr>
        <w:t xml:space="preserve"> (appendix </w:t>
      </w:r>
      <w:r w:rsidR="004900B7">
        <w:rPr>
          <w:sz w:val="24"/>
          <w:szCs w:val="24"/>
        </w:rPr>
        <w:t>P</w:t>
      </w:r>
      <w:r>
        <w:rPr>
          <w:sz w:val="24"/>
          <w:szCs w:val="24"/>
        </w:rPr>
        <w:t>)</w:t>
      </w:r>
      <w:r w:rsidR="00281BB1">
        <w:rPr>
          <w:sz w:val="24"/>
          <w:szCs w:val="24"/>
        </w:rPr>
        <w:t>; NIFA and NTAE can submit these reports to the study team via secure portal</w:t>
      </w:r>
      <w:r w:rsidR="009816D5">
        <w:rPr>
          <w:sz w:val="24"/>
          <w:szCs w:val="24"/>
        </w:rPr>
        <w:t xml:space="preserve">. </w:t>
      </w:r>
      <w:r w:rsidR="00472F20">
        <w:rPr>
          <w:sz w:val="24"/>
          <w:szCs w:val="24"/>
        </w:rPr>
        <w:t xml:space="preserve">GusNIP grantees will </w:t>
      </w:r>
      <w:r w:rsidR="00281BB1">
        <w:rPr>
          <w:sz w:val="24"/>
          <w:szCs w:val="24"/>
        </w:rPr>
        <w:t xml:space="preserve">also </w:t>
      </w:r>
      <w:r w:rsidR="00472F20">
        <w:rPr>
          <w:sz w:val="24"/>
          <w:szCs w:val="24"/>
        </w:rPr>
        <w:t>be offered the</w:t>
      </w:r>
      <w:r w:rsidRPr="00472F20" w:rsidR="00472F20">
        <w:rPr>
          <w:sz w:val="24"/>
          <w:szCs w:val="24"/>
        </w:rPr>
        <w:t xml:space="preserve"> same secure data transfer protocols as </w:t>
      </w:r>
      <w:r w:rsidR="008851FB">
        <w:rPr>
          <w:sz w:val="24"/>
          <w:szCs w:val="24"/>
        </w:rPr>
        <w:t>described</w:t>
      </w:r>
      <w:r w:rsidRPr="00472F20" w:rsidR="00472F20">
        <w:rPr>
          <w:sz w:val="24"/>
          <w:szCs w:val="24"/>
        </w:rPr>
        <w:t xml:space="preserve"> for </w:t>
      </w:r>
      <w:r w:rsidR="00804CD6">
        <w:rPr>
          <w:sz w:val="24"/>
          <w:szCs w:val="24"/>
        </w:rPr>
        <w:t xml:space="preserve">the </w:t>
      </w:r>
      <w:r w:rsidR="00472F20">
        <w:rPr>
          <w:sz w:val="24"/>
          <w:szCs w:val="24"/>
        </w:rPr>
        <w:t>a</w:t>
      </w:r>
      <w:r w:rsidRPr="00472F20" w:rsidR="00472F20">
        <w:rPr>
          <w:sz w:val="24"/>
          <w:szCs w:val="24"/>
        </w:rPr>
        <w:t xml:space="preserve">dministrative project cost data collection </w:t>
      </w:r>
      <w:r w:rsidR="00281BB1">
        <w:rPr>
          <w:sz w:val="24"/>
          <w:szCs w:val="24"/>
        </w:rPr>
        <w:t>if the grantees prefer to submit the reports directly to the study team. T</w:t>
      </w:r>
      <w:r w:rsidR="00472F20">
        <w:rPr>
          <w:sz w:val="24"/>
          <w:szCs w:val="24"/>
        </w:rPr>
        <w:t xml:space="preserve">he study team will </w:t>
      </w:r>
      <w:r w:rsidRPr="00472F20" w:rsidR="00472F20">
        <w:rPr>
          <w:sz w:val="24"/>
          <w:szCs w:val="24"/>
        </w:rPr>
        <w:t xml:space="preserve">review data as </w:t>
      </w:r>
      <w:r w:rsidR="00CD49BE">
        <w:rPr>
          <w:sz w:val="24"/>
          <w:szCs w:val="24"/>
        </w:rPr>
        <w:t>it</w:t>
      </w:r>
      <w:r w:rsidR="00DE3752">
        <w:rPr>
          <w:sz w:val="24"/>
          <w:szCs w:val="24"/>
        </w:rPr>
        <w:t xml:space="preserve"> i</w:t>
      </w:r>
      <w:r w:rsidR="00CD49BE">
        <w:rPr>
          <w:sz w:val="24"/>
          <w:szCs w:val="24"/>
        </w:rPr>
        <w:t>s</w:t>
      </w:r>
      <w:r w:rsidR="00472F20">
        <w:rPr>
          <w:sz w:val="24"/>
          <w:szCs w:val="24"/>
        </w:rPr>
        <w:t xml:space="preserve"> received</w:t>
      </w:r>
      <w:r w:rsidRPr="00472F20" w:rsidR="00472F20">
        <w:rPr>
          <w:sz w:val="24"/>
          <w:szCs w:val="24"/>
        </w:rPr>
        <w:t>.</w:t>
      </w:r>
      <w:r w:rsidR="00652A7D">
        <w:rPr>
          <w:sz w:val="24"/>
          <w:szCs w:val="24"/>
        </w:rPr>
        <w:t xml:space="preserve"> </w:t>
      </w:r>
      <w:r>
        <w:rPr>
          <w:sz w:val="24"/>
          <w:szCs w:val="24"/>
        </w:rPr>
        <w:t xml:space="preserve">If additional follow-up is needed with grantees after receiving their administration data, the study team will send identified grantee staff an electronic letter requesting to schedule an interview (appendix </w:t>
      </w:r>
      <w:r w:rsidR="004900B7">
        <w:rPr>
          <w:sz w:val="24"/>
          <w:szCs w:val="24"/>
        </w:rPr>
        <w:t>I</w:t>
      </w:r>
      <w:r>
        <w:rPr>
          <w:sz w:val="24"/>
          <w:szCs w:val="24"/>
        </w:rPr>
        <w:t xml:space="preserve">). After this, the study team will send grantee staff additional electronic letters with a reminder to schedule an interview (appendix </w:t>
      </w:r>
      <w:r w:rsidR="004900B7">
        <w:rPr>
          <w:sz w:val="24"/>
          <w:szCs w:val="24"/>
        </w:rPr>
        <w:t>J</w:t>
      </w:r>
      <w:r>
        <w:rPr>
          <w:sz w:val="24"/>
          <w:szCs w:val="24"/>
        </w:rPr>
        <w:t xml:space="preserve">) and a reminder about their scheduled interview (appendix </w:t>
      </w:r>
      <w:r w:rsidR="004900B7">
        <w:rPr>
          <w:sz w:val="24"/>
          <w:szCs w:val="24"/>
        </w:rPr>
        <w:t>K</w:t>
      </w:r>
      <w:r>
        <w:rPr>
          <w:sz w:val="24"/>
          <w:szCs w:val="24"/>
        </w:rPr>
        <w:t xml:space="preserve">). Prior to the interview, the team will send grantee staff members the interview consent form (appendix </w:t>
      </w:r>
      <w:r w:rsidR="004900B7">
        <w:rPr>
          <w:sz w:val="24"/>
          <w:szCs w:val="24"/>
        </w:rPr>
        <w:t>N</w:t>
      </w:r>
      <w:r>
        <w:rPr>
          <w:sz w:val="24"/>
          <w:szCs w:val="24"/>
        </w:rPr>
        <w:t xml:space="preserve">) and after the interview they will send a follow-up and thank you note (appendix </w:t>
      </w:r>
      <w:r w:rsidR="004900B7">
        <w:rPr>
          <w:sz w:val="24"/>
          <w:szCs w:val="24"/>
        </w:rPr>
        <w:t>O</w:t>
      </w:r>
      <w:r>
        <w:rPr>
          <w:sz w:val="24"/>
          <w:szCs w:val="24"/>
        </w:rPr>
        <w:t xml:space="preserve">). </w:t>
      </w:r>
    </w:p>
    <w:p w:rsidR="00E9773B" w:rsidRPr="00A954A0" w:rsidP="00C32C2C" w14:paraId="736B8674" w14:textId="1447C893">
      <w:pPr>
        <w:pStyle w:val="Heading1New"/>
      </w:pPr>
      <w:bookmarkStart w:id="15" w:name="_Toc148333337"/>
      <w:r w:rsidRPr="00A954A0">
        <w:t xml:space="preserve">A3. </w:t>
      </w:r>
      <w:r w:rsidR="00D41188">
        <w:t xml:space="preserve">Use of information technology and burden reduction: </w:t>
      </w:r>
      <w:r w:rsidRPr="00A954A0">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15"/>
    </w:p>
    <w:p w:rsidR="00535A2D" w:rsidRPr="00A954A0" w:rsidP="00957E9F" w14:paraId="7DE69515" w14:textId="79BB96B4">
      <w:pPr>
        <w:pStyle w:val="Instructions"/>
        <w:contextualSpacing/>
        <w:rPr>
          <w:rFonts w:ascii="Calibri" w:eastAsia="Calibri" w:hAnsi="Calibri" w:cs="Calibri"/>
          <w:b w:val="0"/>
          <w:sz w:val="24"/>
        </w:rPr>
      </w:pPr>
      <w:r w:rsidRPr="00A954A0">
        <w:rPr>
          <w:rFonts w:ascii="Calibri" w:eastAsia="Calibri" w:hAnsi="Calibri" w:cs="Calibri"/>
          <w:b w:val="0"/>
          <w:sz w:val="24"/>
        </w:rPr>
        <w:t xml:space="preserve">This study </w:t>
      </w:r>
      <w:r w:rsidR="005E1B17">
        <w:rPr>
          <w:rFonts w:ascii="Calibri" w:eastAsia="Calibri" w:hAnsi="Calibri" w:cs="Calibri"/>
          <w:b w:val="0"/>
          <w:sz w:val="24"/>
        </w:rPr>
        <w:t>will</w:t>
      </w:r>
      <w:r w:rsidRPr="00A954A0">
        <w:rPr>
          <w:rFonts w:ascii="Calibri" w:eastAsia="Calibri" w:hAnsi="Calibri" w:cs="Calibri"/>
          <w:b w:val="0"/>
          <w:sz w:val="24"/>
        </w:rPr>
        <w:t xml:space="preserve"> comply with the E-Government Act of 2002 (Public Law 107</w:t>
      </w:r>
      <w:r w:rsidR="00033679">
        <w:rPr>
          <w:rFonts w:ascii="Calibri" w:eastAsia="Calibri" w:hAnsi="Calibri" w:cs="Calibri"/>
          <w:b w:val="0"/>
          <w:sz w:val="24"/>
        </w:rPr>
        <w:t>–</w:t>
      </w:r>
      <w:r w:rsidRPr="00A954A0">
        <w:rPr>
          <w:rFonts w:ascii="Calibri" w:eastAsia="Calibri" w:hAnsi="Calibri" w:cs="Calibri"/>
          <w:b w:val="0"/>
          <w:sz w:val="24"/>
        </w:rPr>
        <w:t xml:space="preserve">347, 44 U.S.C. Ch 36). </w:t>
      </w:r>
      <w:r w:rsidRPr="00A954A0" w:rsidR="001A4EF7">
        <w:rPr>
          <w:rFonts w:ascii="Calibri" w:eastAsia="Calibri" w:hAnsi="Calibri" w:cs="Calibri"/>
          <w:b w:val="0"/>
          <w:sz w:val="24"/>
        </w:rPr>
        <w:t xml:space="preserve">All data collection </w:t>
      </w:r>
      <w:r w:rsidRPr="00A954A0" w:rsidR="002B64BA">
        <w:rPr>
          <w:rFonts w:ascii="Calibri" w:eastAsia="Calibri" w:hAnsi="Calibri" w:cs="Calibri"/>
          <w:b w:val="0"/>
          <w:sz w:val="24"/>
        </w:rPr>
        <w:t xml:space="preserve">will be </w:t>
      </w:r>
      <w:r w:rsidR="001937BE">
        <w:rPr>
          <w:rFonts w:ascii="Calibri" w:eastAsia="Calibri" w:hAnsi="Calibri" w:cs="Calibri"/>
          <w:b w:val="0"/>
          <w:sz w:val="24"/>
        </w:rPr>
        <w:t>100</w:t>
      </w:r>
      <w:r w:rsidR="00066759">
        <w:rPr>
          <w:rFonts w:ascii="Calibri" w:eastAsia="Calibri" w:hAnsi="Calibri" w:cs="Calibri"/>
          <w:b w:val="0"/>
          <w:sz w:val="24"/>
        </w:rPr>
        <w:t xml:space="preserve">% </w:t>
      </w:r>
      <w:r w:rsidRPr="00A954A0" w:rsidR="009F654E">
        <w:rPr>
          <w:rFonts w:ascii="Calibri" w:eastAsia="Calibri" w:hAnsi="Calibri" w:cs="Calibri"/>
          <w:b w:val="0"/>
          <w:sz w:val="24"/>
        </w:rPr>
        <w:t xml:space="preserve">electronic </w:t>
      </w:r>
      <w:r w:rsidRPr="00A954A0" w:rsidR="002B64BA">
        <w:rPr>
          <w:rFonts w:ascii="Calibri" w:eastAsia="Calibri" w:hAnsi="Calibri" w:cs="Calibri"/>
          <w:b w:val="0"/>
          <w:sz w:val="24"/>
        </w:rPr>
        <w:t xml:space="preserve">and </w:t>
      </w:r>
      <w:r w:rsidRPr="00A954A0" w:rsidR="009F654E">
        <w:rPr>
          <w:rFonts w:ascii="Calibri" w:eastAsia="Calibri" w:hAnsi="Calibri" w:cs="Calibri"/>
          <w:b w:val="0"/>
          <w:sz w:val="24"/>
        </w:rPr>
        <w:t xml:space="preserve">is designed to minimize burden. </w:t>
      </w:r>
    </w:p>
    <w:p w:rsidR="00875B53" w:rsidRPr="00A954A0" w:rsidP="001D16F5" w14:paraId="75CFA947" w14:textId="62A8DF58">
      <w:pPr>
        <w:spacing w:after="240" w:line="480" w:lineRule="auto"/>
        <w:rPr>
          <w:rFonts w:ascii="Calibri" w:eastAsia="Calibri" w:hAnsi="Calibri" w:cs="Calibri"/>
          <w:sz w:val="24"/>
          <w:szCs w:val="24"/>
        </w:rPr>
      </w:pPr>
      <w:r>
        <w:rPr>
          <w:b/>
          <w:bCs/>
          <w:sz w:val="24"/>
          <w:szCs w:val="24"/>
        </w:rPr>
        <w:t>Administrative p</w:t>
      </w:r>
      <w:r w:rsidRPr="00BE2518">
        <w:rPr>
          <w:b/>
          <w:bCs/>
          <w:sz w:val="24"/>
          <w:szCs w:val="24"/>
        </w:rPr>
        <w:t>roject cost data collection</w:t>
      </w:r>
      <w:r w:rsidRPr="00A954A0" w:rsidR="00C16016">
        <w:rPr>
          <w:rFonts w:ascii="Calibri" w:eastAsia="Calibri" w:hAnsi="Calibri" w:cs="Calibri"/>
          <w:sz w:val="24"/>
          <w:szCs w:val="24"/>
        </w:rPr>
        <w:t xml:space="preserve">. </w:t>
      </w:r>
      <w:r>
        <w:rPr>
          <w:rFonts w:ascii="Calibri" w:eastAsia="Calibri" w:hAnsi="Calibri" w:cs="Calibri"/>
          <w:sz w:val="24"/>
          <w:szCs w:val="24"/>
        </w:rPr>
        <w:t>State agencies,</w:t>
      </w:r>
      <w:r w:rsidRPr="00635364">
        <w:rPr>
          <w:rFonts w:asciiTheme="majorHAnsi" w:eastAsiaTheme="minorEastAsia" w:hAnsiTheme="majorHAnsi"/>
          <w:szCs w:val="20"/>
          <w:lang w:eastAsia="ja-JP"/>
        </w:rPr>
        <w:t xml:space="preserve"> </w:t>
      </w:r>
      <w:r w:rsidRPr="00635364">
        <w:rPr>
          <w:rFonts w:ascii="Calibri" w:eastAsia="Calibri" w:hAnsi="Calibri" w:cs="Calibri"/>
          <w:sz w:val="24"/>
          <w:szCs w:val="24"/>
        </w:rPr>
        <w:t>retailers, EBT processors</w:t>
      </w:r>
      <w:r>
        <w:rPr>
          <w:rFonts w:ascii="Calibri" w:eastAsia="Calibri" w:hAnsi="Calibri" w:cs="Calibri"/>
          <w:sz w:val="24"/>
          <w:szCs w:val="24"/>
        </w:rPr>
        <w:t xml:space="preserve">, </w:t>
      </w:r>
      <w:r w:rsidR="00DE3752">
        <w:rPr>
          <w:rFonts w:ascii="Calibri" w:eastAsia="Calibri" w:hAnsi="Calibri" w:cs="Calibri"/>
          <w:sz w:val="24"/>
          <w:szCs w:val="24"/>
        </w:rPr>
        <w:t xml:space="preserve">and </w:t>
      </w:r>
      <w:r w:rsidRPr="00635364">
        <w:rPr>
          <w:rFonts w:ascii="Calibri" w:eastAsia="Calibri" w:hAnsi="Calibri" w:cs="Calibri"/>
          <w:sz w:val="24"/>
          <w:szCs w:val="24"/>
        </w:rPr>
        <w:t>TPPs</w:t>
      </w:r>
      <w:r>
        <w:rPr>
          <w:rFonts w:ascii="Calibri" w:eastAsia="Calibri" w:hAnsi="Calibri" w:cs="Calibri"/>
          <w:sz w:val="24"/>
          <w:szCs w:val="24"/>
        </w:rPr>
        <w:t xml:space="preserve"> will submit cost data through </w:t>
      </w:r>
      <w:r w:rsidRPr="00A954A0" w:rsidR="00804CD6">
        <w:rPr>
          <w:sz w:val="24"/>
          <w:szCs w:val="24"/>
        </w:rPr>
        <w:t>a secure</w:t>
      </w:r>
      <w:r w:rsidR="002D2534">
        <w:rPr>
          <w:sz w:val="24"/>
          <w:szCs w:val="24"/>
        </w:rPr>
        <w:t xml:space="preserve"> online</w:t>
      </w:r>
      <w:r w:rsidRPr="00A954A0" w:rsidR="00804CD6">
        <w:rPr>
          <w:sz w:val="24"/>
          <w:szCs w:val="24"/>
        </w:rPr>
        <w:t xml:space="preserve"> file transfer protocol</w:t>
      </w:r>
      <w:r w:rsidR="00804CD6">
        <w:rPr>
          <w:sz w:val="24"/>
          <w:szCs w:val="24"/>
        </w:rPr>
        <w:t>,</w:t>
      </w:r>
      <w:r w:rsidRPr="00804CD6" w:rsidR="00804CD6">
        <w:rPr>
          <w:sz w:val="24"/>
          <w:szCs w:val="24"/>
        </w:rPr>
        <w:t xml:space="preserve"> </w:t>
      </w:r>
      <w:r w:rsidRPr="00A954A0" w:rsidR="00804CD6">
        <w:rPr>
          <w:sz w:val="24"/>
          <w:szCs w:val="24"/>
        </w:rPr>
        <w:t>which will prevent any unauthorized access to the information contained in the data submissions.</w:t>
      </w:r>
      <w:r w:rsidRPr="00A954A0" w:rsidR="00A93C0D">
        <w:rPr>
          <w:rFonts w:ascii="Calibri" w:eastAsia="Calibri" w:hAnsi="Calibri" w:cs="Calibri"/>
          <w:sz w:val="24"/>
          <w:szCs w:val="24"/>
        </w:rPr>
        <w:t xml:space="preserve"> </w:t>
      </w:r>
    </w:p>
    <w:p w:rsidR="004C00C2" w:rsidRPr="00A954A0" w:rsidP="001D16F5" w14:paraId="320D36E3" w14:textId="5BE221C8">
      <w:pPr>
        <w:spacing w:after="240" w:line="480" w:lineRule="auto"/>
        <w:rPr>
          <w:sz w:val="24"/>
          <w:szCs w:val="24"/>
        </w:rPr>
      </w:pPr>
      <w:r>
        <w:rPr>
          <w:b/>
          <w:bCs/>
          <w:sz w:val="24"/>
          <w:szCs w:val="24"/>
        </w:rPr>
        <w:t>I</w:t>
      </w:r>
      <w:r w:rsidRPr="00A954A0">
        <w:rPr>
          <w:b/>
          <w:bCs/>
          <w:sz w:val="24"/>
          <w:szCs w:val="24"/>
        </w:rPr>
        <w:t>nterview</w:t>
      </w:r>
      <w:r>
        <w:rPr>
          <w:b/>
          <w:bCs/>
          <w:sz w:val="24"/>
          <w:szCs w:val="24"/>
        </w:rPr>
        <w:t xml:space="preserve"> data collection</w:t>
      </w:r>
      <w:r w:rsidRPr="00A954A0">
        <w:rPr>
          <w:b/>
          <w:bCs/>
          <w:sz w:val="24"/>
          <w:szCs w:val="24"/>
        </w:rPr>
        <w:t xml:space="preserve">. </w:t>
      </w:r>
      <w:r w:rsidRPr="00A954A0" w:rsidR="00C4497C">
        <w:rPr>
          <w:sz w:val="24"/>
          <w:szCs w:val="24"/>
        </w:rPr>
        <w:t xml:space="preserve">The study team will hold all </w:t>
      </w:r>
      <w:r w:rsidR="00804CD6">
        <w:rPr>
          <w:sz w:val="24"/>
          <w:szCs w:val="24"/>
        </w:rPr>
        <w:t>essential staff</w:t>
      </w:r>
      <w:r w:rsidRPr="00A954A0" w:rsidR="00C4497C">
        <w:rPr>
          <w:sz w:val="24"/>
          <w:szCs w:val="24"/>
        </w:rPr>
        <w:t xml:space="preserve"> interviews by </w:t>
      </w:r>
      <w:r w:rsidR="00FF78BD">
        <w:rPr>
          <w:sz w:val="24"/>
          <w:szCs w:val="24"/>
        </w:rPr>
        <w:t xml:space="preserve">either </w:t>
      </w:r>
      <w:r w:rsidRPr="00A954A0" w:rsidR="00C4497C">
        <w:rPr>
          <w:sz w:val="24"/>
          <w:szCs w:val="24"/>
        </w:rPr>
        <w:t xml:space="preserve">teleconference or videoconference according to the preference of the interviewees. </w:t>
      </w:r>
    </w:p>
    <w:p w:rsidR="00C32580" w:rsidP="001D16F5" w14:paraId="1A47CD0C" w14:textId="038D24B7">
      <w:pPr>
        <w:spacing w:after="240" w:line="480" w:lineRule="auto"/>
        <w:rPr>
          <w:b/>
          <w:bCs/>
          <w:sz w:val="24"/>
          <w:szCs w:val="24"/>
        </w:rPr>
      </w:pPr>
      <w:r w:rsidRPr="00BA4BAE">
        <w:rPr>
          <w:b/>
          <w:bCs/>
          <w:sz w:val="24"/>
          <w:szCs w:val="24"/>
        </w:rPr>
        <w:t>Extant national and State data</w:t>
      </w:r>
      <w:r>
        <w:rPr>
          <w:b/>
          <w:bCs/>
          <w:sz w:val="24"/>
          <w:szCs w:val="24"/>
        </w:rPr>
        <w:t xml:space="preserve">. </w:t>
      </w:r>
      <w:r>
        <w:rPr>
          <w:sz w:val="24"/>
          <w:szCs w:val="24"/>
        </w:rPr>
        <w:t>The study team</w:t>
      </w:r>
      <w:r w:rsidRPr="00BA4BAE">
        <w:rPr>
          <w:sz w:val="24"/>
          <w:szCs w:val="24"/>
        </w:rPr>
        <w:t xml:space="preserve"> will collect </w:t>
      </w:r>
      <w:r>
        <w:rPr>
          <w:sz w:val="24"/>
          <w:szCs w:val="24"/>
        </w:rPr>
        <w:t xml:space="preserve">publicly available </w:t>
      </w:r>
      <w:r w:rsidRPr="00BA4BAE">
        <w:rPr>
          <w:sz w:val="24"/>
          <w:szCs w:val="24"/>
        </w:rPr>
        <w:t xml:space="preserve">extant data on </w:t>
      </w:r>
      <w:r>
        <w:rPr>
          <w:sz w:val="24"/>
          <w:szCs w:val="24"/>
        </w:rPr>
        <w:t xml:space="preserve">relevant </w:t>
      </w:r>
      <w:r w:rsidRPr="00BA4BAE">
        <w:rPr>
          <w:sz w:val="24"/>
          <w:szCs w:val="24"/>
        </w:rPr>
        <w:t>State and national characteristics</w:t>
      </w:r>
      <w:r>
        <w:rPr>
          <w:sz w:val="24"/>
          <w:szCs w:val="24"/>
        </w:rPr>
        <w:t xml:space="preserve"> via publicly</w:t>
      </w:r>
      <w:r w:rsidR="00FF78BD">
        <w:rPr>
          <w:sz w:val="24"/>
          <w:szCs w:val="24"/>
        </w:rPr>
        <w:t xml:space="preserve"> </w:t>
      </w:r>
      <w:r>
        <w:rPr>
          <w:sz w:val="24"/>
          <w:szCs w:val="24"/>
        </w:rPr>
        <w:t>accessible web file downloads.</w:t>
      </w:r>
    </w:p>
    <w:p w:rsidR="00AB3BBC" w:rsidRPr="00A954A0" w:rsidP="001D16F5" w14:paraId="0ACEA940" w14:textId="1BB59C7F">
      <w:pPr>
        <w:spacing w:after="240" w:line="480" w:lineRule="auto"/>
        <w:rPr>
          <w:sz w:val="24"/>
          <w:szCs w:val="24"/>
        </w:rPr>
      </w:pPr>
      <w:r w:rsidRPr="00FA48DA">
        <w:rPr>
          <w:b/>
          <w:bCs/>
          <w:sz w:val="24"/>
          <w:szCs w:val="24"/>
        </w:rPr>
        <w:t>Administrative GusNIP grantee data collection</w:t>
      </w:r>
      <w:r w:rsidRPr="00D569CC">
        <w:rPr>
          <w:b/>
          <w:sz w:val="24"/>
          <w:szCs w:val="24"/>
        </w:rPr>
        <w:t>.</w:t>
      </w:r>
      <w:r w:rsidRPr="00A954A0">
        <w:rPr>
          <w:sz w:val="24"/>
          <w:szCs w:val="24"/>
        </w:rPr>
        <w:t xml:space="preserve"> </w:t>
      </w:r>
      <w:r>
        <w:rPr>
          <w:sz w:val="24"/>
          <w:szCs w:val="24"/>
        </w:rPr>
        <w:t xml:space="preserve">Like the State entities for the administrative project cost data collection, </w:t>
      </w:r>
      <w:r w:rsidRPr="00472F20">
        <w:rPr>
          <w:sz w:val="24"/>
          <w:szCs w:val="24"/>
        </w:rPr>
        <w:t>NIFA, NTAE, and</w:t>
      </w:r>
      <w:r w:rsidR="00C16116">
        <w:rPr>
          <w:sz w:val="24"/>
          <w:szCs w:val="24"/>
        </w:rPr>
        <w:t>/or</w:t>
      </w:r>
      <w:r w:rsidRPr="00472F20">
        <w:rPr>
          <w:sz w:val="24"/>
          <w:szCs w:val="24"/>
        </w:rPr>
        <w:t xml:space="preserve"> the GusNIP </w:t>
      </w:r>
      <w:r w:rsidR="008233FD">
        <w:rPr>
          <w:sz w:val="24"/>
          <w:szCs w:val="24"/>
        </w:rPr>
        <w:t>grantee</w:t>
      </w:r>
      <w:r w:rsidRPr="00472F20">
        <w:rPr>
          <w:sz w:val="24"/>
          <w:szCs w:val="24"/>
        </w:rPr>
        <w:t>s th</w:t>
      </w:r>
      <w:r>
        <w:rPr>
          <w:sz w:val="24"/>
          <w:szCs w:val="24"/>
        </w:rPr>
        <w:t xml:space="preserve">emselves </w:t>
      </w:r>
      <w:r>
        <w:rPr>
          <w:rFonts w:ascii="Calibri" w:eastAsia="Calibri" w:hAnsi="Calibri" w:cs="Calibri"/>
          <w:sz w:val="24"/>
          <w:szCs w:val="24"/>
        </w:rPr>
        <w:t xml:space="preserve">will submit cost data through </w:t>
      </w:r>
      <w:r w:rsidRPr="00A954A0">
        <w:rPr>
          <w:sz w:val="24"/>
          <w:szCs w:val="24"/>
        </w:rPr>
        <w:t>a secure file transfer protocol</w:t>
      </w:r>
      <w:r>
        <w:rPr>
          <w:sz w:val="24"/>
          <w:szCs w:val="24"/>
        </w:rPr>
        <w:t>,</w:t>
      </w:r>
      <w:r w:rsidRPr="00804CD6">
        <w:rPr>
          <w:sz w:val="24"/>
          <w:szCs w:val="24"/>
        </w:rPr>
        <w:t xml:space="preserve"> </w:t>
      </w:r>
      <w:r w:rsidRPr="00A954A0">
        <w:rPr>
          <w:sz w:val="24"/>
          <w:szCs w:val="24"/>
        </w:rPr>
        <w:t>which will prevent any unauthorized access to the information contained in the data submissions.</w:t>
      </w:r>
    </w:p>
    <w:p w:rsidR="0076464E" w:rsidRPr="00A954A0" w:rsidP="003D2E07" w14:paraId="583E81B4" w14:textId="7F4A4F7A">
      <w:pPr>
        <w:spacing w:after="240" w:line="480" w:lineRule="auto"/>
        <w:rPr>
          <w:rFonts w:ascii="Calibri" w:eastAsia="Calibri" w:hAnsi="Calibri" w:cs="Calibri"/>
          <w:sz w:val="24"/>
          <w:szCs w:val="24"/>
        </w:rPr>
      </w:pPr>
      <w:r w:rsidRPr="00A954A0">
        <w:rPr>
          <w:sz w:val="24"/>
          <w:szCs w:val="24"/>
        </w:rPr>
        <w:t xml:space="preserve">Overall, </w:t>
      </w:r>
      <w:r w:rsidRPr="00A954A0" w:rsidR="00C131ED">
        <w:rPr>
          <w:sz w:val="24"/>
          <w:szCs w:val="24"/>
        </w:rPr>
        <w:t xml:space="preserve">these electronic data collection methods will </w:t>
      </w:r>
      <w:r w:rsidRPr="00A954A0" w:rsidR="00E6028F">
        <w:rPr>
          <w:sz w:val="24"/>
          <w:szCs w:val="24"/>
        </w:rPr>
        <w:t xml:space="preserve">reduce burden by </w:t>
      </w:r>
      <w:r w:rsidRPr="00A954A0" w:rsidR="00CE093F">
        <w:rPr>
          <w:sz w:val="24"/>
          <w:szCs w:val="24"/>
        </w:rPr>
        <w:t>enabling</w:t>
      </w:r>
      <w:r w:rsidRPr="00A954A0" w:rsidR="00E6028F">
        <w:rPr>
          <w:sz w:val="24"/>
          <w:szCs w:val="24"/>
        </w:rPr>
        <w:t xml:space="preserve"> </w:t>
      </w:r>
      <w:r w:rsidR="002B5303">
        <w:rPr>
          <w:sz w:val="24"/>
          <w:szCs w:val="24"/>
        </w:rPr>
        <w:t>respondents</w:t>
      </w:r>
      <w:r w:rsidRPr="00A954A0" w:rsidR="002B5303">
        <w:rPr>
          <w:sz w:val="24"/>
          <w:szCs w:val="24"/>
        </w:rPr>
        <w:t xml:space="preserve"> </w:t>
      </w:r>
      <w:r w:rsidRPr="00A954A0" w:rsidR="00E6028F">
        <w:rPr>
          <w:sz w:val="24"/>
          <w:szCs w:val="24"/>
        </w:rPr>
        <w:t xml:space="preserve">to easily schedule their </w:t>
      </w:r>
      <w:r w:rsidRPr="00A954A0" w:rsidR="009239B5">
        <w:rPr>
          <w:sz w:val="24"/>
          <w:szCs w:val="24"/>
        </w:rPr>
        <w:t>efforts</w:t>
      </w:r>
      <w:r w:rsidRPr="00A954A0" w:rsidR="00E6028F">
        <w:rPr>
          <w:sz w:val="24"/>
          <w:szCs w:val="24"/>
        </w:rPr>
        <w:t xml:space="preserve"> for this study around their other responsibilities</w:t>
      </w:r>
      <w:r w:rsidRPr="00A954A0" w:rsidR="00FF25D6">
        <w:rPr>
          <w:sz w:val="24"/>
          <w:szCs w:val="24"/>
        </w:rPr>
        <w:t xml:space="preserve"> and </w:t>
      </w:r>
      <w:r w:rsidR="00FA48DA">
        <w:rPr>
          <w:sz w:val="24"/>
          <w:szCs w:val="24"/>
        </w:rPr>
        <w:t>easily submit</w:t>
      </w:r>
      <w:r w:rsidRPr="00A954A0" w:rsidR="00360438">
        <w:rPr>
          <w:sz w:val="24"/>
          <w:szCs w:val="24"/>
        </w:rPr>
        <w:t xml:space="preserve"> </w:t>
      </w:r>
      <w:r w:rsidR="0053519D">
        <w:rPr>
          <w:sz w:val="24"/>
          <w:szCs w:val="24"/>
        </w:rPr>
        <w:t xml:space="preserve">requested </w:t>
      </w:r>
      <w:r w:rsidRPr="00A954A0" w:rsidR="00360438">
        <w:rPr>
          <w:sz w:val="24"/>
          <w:szCs w:val="24"/>
        </w:rPr>
        <w:t xml:space="preserve">data </w:t>
      </w:r>
      <w:r w:rsidR="002D2534">
        <w:rPr>
          <w:sz w:val="24"/>
          <w:szCs w:val="24"/>
        </w:rPr>
        <w:t>via web upload</w:t>
      </w:r>
      <w:r w:rsidRPr="00A954A0" w:rsidR="00FF25D6">
        <w:rPr>
          <w:sz w:val="24"/>
          <w:szCs w:val="24"/>
        </w:rPr>
        <w:t>.</w:t>
      </w:r>
    </w:p>
    <w:p w:rsidR="00254128" w:rsidRPr="00A954A0" w:rsidP="00C32C2C" w14:paraId="37A0778D" w14:textId="02F56C97">
      <w:pPr>
        <w:pStyle w:val="Heading1New"/>
      </w:pPr>
      <w:bookmarkStart w:id="16" w:name="_Toc148333338"/>
      <w:r w:rsidRPr="00A954A0">
        <w:t xml:space="preserve">A4. </w:t>
      </w:r>
      <w:r w:rsidR="00D41188">
        <w:t xml:space="preserve">Efforts to identify duplication: </w:t>
      </w:r>
      <w:r w:rsidRPr="00A954A0">
        <w:t>Describe efforts to identify duplication. Show specifically why any similar information already available cannot be used or modified for use for the purposes described in</w:t>
      </w:r>
      <w:r w:rsidR="002A33F3">
        <w:t xml:space="preserve"> </w:t>
      </w:r>
      <w:r w:rsidRPr="00A954A0">
        <w:t>Question 2.</w:t>
      </w:r>
      <w:bookmarkEnd w:id="16"/>
    </w:p>
    <w:p w:rsidR="00254128" w:rsidRPr="00A954A0" w:rsidP="00D569CC" w14:paraId="1C3BB878" w14:textId="77871DC1">
      <w:pPr>
        <w:spacing w:after="240" w:line="480" w:lineRule="auto"/>
        <w:rPr>
          <w:sz w:val="24"/>
          <w:szCs w:val="24"/>
        </w:rPr>
      </w:pPr>
      <w:r w:rsidRPr="00D569CC">
        <w:rPr>
          <w:sz w:val="24"/>
          <w:szCs w:val="24"/>
        </w:rPr>
        <w:t>There is no similar information collection. Every effort has been made to avoid duplication.</w:t>
      </w:r>
      <w:r w:rsidR="00FA48DA">
        <w:rPr>
          <w:sz w:val="24"/>
          <w:szCs w:val="24"/>
        </w:rPr>
        <w:t xml:space="preserve"> </w:t>
      </w:r>
      <w:r w:rsidRPr="00D569CC">
        <w:rPr>
          <w:sz w:val="24"/>
          <w:szCs w:val="24"/>
        </w:rPr>
        <w:t xml:space="preserve">FNS has reviewed USDA </w:t>
      </w:r>
      <w:r w:rsidR="007D00D6">
        <w:rPr>
          <w:sz w:val="24"/>
          <w:szCs w:val="24"/>
        </w:rPr>
        <w:t xml:space="preserve">grant </w:t>
      </w:r>
      <w:r w:rsidRPr="00D569CC">
        <w:rPr>
          <w:sz w:val="24"/>
          <w:szCs w:val="24"/>
        </w:rPr>
        <w:t>reporting requirements</w:t>
      </w:r>
      <w:r w:rsidRPr="00D569CC" w:rsidR="00CE093F">
        <w:rPr>
          <w:sz w:val="24"/>
          <w:szCs w:val="24"/>
        </w:rPr>
        <w:t>,</w:t>
      </w:r>
      <w:r w:rsidRPr="00D569CC">
        <w:rPr>
          <w:sz w:val="24"/>
          <w:szCs w:val="24"/>
        </w:rPr>
        <w:t xml:space="preserve"> and none include the information to be collected in this study. FNS solely administers and monitors </w:t>
      </w:r>
      <w:r w:rsidR="006D1039">
        <w:rPr>
          <w:sz w:val="24"/>
          <w:szCs w:val="24"/>
        </w:rPr>
        <w:t>eHIP implementation</w:t>
      </w:r>
      <w:r w:rsidRPr="00D569CC">
        <w:rPr>
          <w:sz w:val="24"/>
          <w:szCs w:val="24"/>
        </w:rPr>
        <w:t xml:space="preserve">. </w:t>
      </w:r>
      <w:r w:rsidR="007D00D6">
        <w:rPr>
          <w:sz w:val="24"/>
          <w:szCs w:val="24"/>
        </w:rPr>
        <w:t xml:space="preserve">The study team pretested all study data collection instruments to reduce duplication and burden (see appendices </w:t>
      </w:r>
      <w:r w:rsidR="00EF027B">
        <w:rPr>
          <w:sz w:val="24"/>
          <w:szCs w:val="24"/>
        </w:rPr>
        <w:t>V</w:t>
      </w:r>
      <w:r w:rsidR="007D00D6">
        <w:rPr>
          <w:sz w:val="24"/>
          <w:szCs w:val="24"/>
        </w:rPr>
        <w:t>-</w:t>
      </w:r>
      <w:r w:rsidR="00EF027B">
        <w:rPr>
          <w:sz w:val="24"/>
          <w:szCs w:val="24"/>
        </w:rPr>
        <w:t>W</w:t>
      </w:r>
      <w:r w:rsidR="007D00D6">
        <w:rPr>
          <w:sz w:val="24"/>
          <w:szCs w:val="24"/>
        </w:rPr>
        <w:t>). The team also will customize</w:t>
      </w:r>
      <w:r w:rsidRPr="00235DCF" w:rsidR="007D00D6">
        <w:rPr>
          <w:sz w:val="24"/>
          <w:szCs w:val="24"/>
        </w:rPr>
        <w:t xml:space="preserve"> the interview guides for each respondent based on the data received that </w:t>
      </w:r>
      <w:r w:rsidR="007D00D6">
        <w:rPr>
          <w:sz w:val="24"/>
          <w:szCs w:val="24"/>
        </w:rPr>
        <w:t xml:space="preserve">needs to be </w:t>
      </w:r>
      <w:r w:rsidRPr="00235DCF" w:rsidR="007D00D6">
        <w:rPr>
          <w:sz w:val="24"/>
          <w:szCs w:val="24"/>
        </w:rPr>
        <w:t>review</w:t>
      </w:r>
      <w:r w:rsidR="007D00D6">
        <w:rPr>
          <w:sz w:val="24"/>
          <w:szCs w:val="24"/>
        </w:rPr>
        <w:t>ed</w:t>
      </w:r>
      <w:r w:rsidRPr="00235DCF" w:rsidR="007D00D6">
        <w:rPr>
          <w:sz w:val="24"/>
          <w:szCs w:val="24"/>
        </w:rPr>
        <w:t xml:space="preserve"> with the respondent</w:t>
      </w:r>
      <w:r w:rsidR="007D00D6">
        <w:rPr>
          <w:sz w:val="24"/>
          <w:szCs w:val="24"/>
        </w:rPr>
        <w:t xml:space="preserve"> to minimize duplication and burden.</w:t>
      </w:r>
    </w:p>
    <w:p w:rsidR="00254128" w:rsidRPr="00A954A0" w:rsidP="00C32C2C" w14:paraId="776D3BFA" w14:textId="4D09C778">
      <w:pPr>
        <w:pStyle w:val="Heading1New"/>
      </w:pPr>
      <w:bookmarkStart w:id="17" w:name="_Toc148333339"/>
      <w:r w:rsidRPr="00A954A0">
        <w:t xml:space="preserve">A5. </w:t>
      </w:r>
      <w:r w:rsidR="00D41188">
        <w:t xml:space="preserve">Impacts on small businesses or other small entities: </w:t>
      </w:r>
      <w:r w:rsidRPr="00A954A0">
        <w:t>If the collection of information impacts small businesses or other small entities (Item 5 of OMB Form 83-I), describe any methods used to minimize burden</w:t>
      </w:r>
      <w:r w:rsidRPr="00A954A0" w:rsidR="00580F71">
        <w:t>.</w:t>
      </w:r>
      <w:bookmarkEnd w:id="17"/>
    </w:p>
    <w:p w:rsidR="00F575FE" w:rsidP="003942CE" w14:paraId="20F57ACD" w14:textId="01CE5BBF">
      <w:pPr>
        <w:spacing w:after="240" w:line="480" w:lineRule="auto"/>
        <w:rPr>
          <w:sz w:val="24"/>
          <w:szCs w:val="24"/>
        </w:rPr>
      </w:pPr>
      <w:r w:rsidRPr="00A954A0">
        <w:rPr>
          <w:rFonts w:ascii="Calibri" w:eastAsia="Calibri" w:hAnsi="Calibri" w:cs="Calibri"/>
          <w:sz w:val="24"/>
          <w:szCs w:val="24"/>
        </w:rPr>
        <w:t xml:space="preserve">Information being requested or required has been held to the minimum required for the intended use. </w:t>
      </w:r>
      <w:r>
        <w:rPr>
          <w:rFonts w:ascii="Calibri" w:eastAsia="Calibri" w:hAnsi="Calibri" w:cs="Calibri"/>
          <w:sz w:val="24"/>
          <w:szCs w:val="24"/>
        </w:rPr>
        <w:t xml:space="preserve">The study team is collecting data from </w:t>
      </w:r>
      <w:r w:rsidR="007D00D6">
        <w:rPr>
          <w:rFonts w:ascii="Calibri" w:eastAsia="Calibri" w:hAnsi="Calibri" w:cs="Calibri"/>
          <w:sz w:val="24"/>
          <w:szCs w:val="24"/>
        </w:rPr>
        <w:t xml:space="preserve">large state government </w:t>
      </w:r>
      <w:r>
        <w:rPr>
          <w:rFonts w:ascii="Calibri" w:eastAsia="Calibri" w:hAnsi="Calibri" w:cs="Calibri"/>
          <w:sz w:val="24"/>
          <w:szCs w:val="24"/>
        </w:rPr>
        <w:t>entities</w:t>
      </w:r>
      <w:r w:rsidR="007D00D6">
        <w:rPr>
          <w:rFonts w:ascii="Calibri" w:eastAsia="Calibri" w:hAnsi="Calibri" w:cs="Calibri"/>
          <w:sz w:val="24"/>
          <w:szCs w:val="24"/>
        </w:rPr>
        <w:t xml:space="preserve">: </w:t>
      </w:r>
      <w:r w:rsidR="00EC0D8F">
        <w:rPr>
          <w:rFonts w:ascii="Calibri" w:eastAsia="Calibri" w:hAnsi="Calibri" w:cs="Calibri"/>
          <w:sz w:val="24"/>
          <w:szCs w:val="24"/>
        </w:rPr>
        <w:t xml:space="preserve">three </w:t>
      </w:r>
      <w:r>
        <w:rPr>
          <w:rFonts w:ascii="Calibri" w:eastAsia="Calibri" w:hAnsi="Calibri" w:cs="Calibri"/>
          <w:sz w:val="24"/>
          <w:szCs w:val="24"/>
        </w:rPr>
        <w:t xml:space="preserve">SNAP </w:t>
      </w:r>
      <w:r w:rsidR="00DE3752">
        <w:rPr>
          <w:rFonts w:ascii="Calibri" w:eastAsia="Calibri" w:hAnsi="Calibri" w:cs="Calibri"/>
          <w:sz w:val="24"/>
          <w:szCs w:val="24"/>
        </w:rPr>
        <w:t>S</w:t>
      </w:r>
      <w:r>
        <w:rPr>
          <w:rFonts w:ascii="Calibri" w:eastAsia="Calibri" w:hAnsi="Calibri" w:cs="Calibri"/>
          <w:sz w:val="24"/>
          <w:szCs w:val="24"/>
        </w:rPr>
        <w:t>tate agencies</w:t>
      </w:r>
      <w:r w:rsidR="00D671A8">
        <w:rPr>
          <w:rFonts w:ascii="Calibri" w:eastAsia="Calibri" w:hAnsi="Calibri" w:cs="Calibri"/>
          <w:sz w:val="24"/>
          <w:szCs w:val="24"/>
        </w:rPr>
        <w:t>.</w:t>
      </w:r>
      <w:r>
        <w:rPr>
          <w:rFonts w:ascii="Calibri" w:eastAsia="Calibri" w:hAnsi="Calibri" w:cs="Calibri"/>
          <w:sz w:val="24"/>
          <w:szCs w:val="24"/>
        </w:rPr>
        <w:t xml:space="preserve"> </w:t>
      </w:r>
      <w:r w:rsidR="00465FB1">
        <w:rPr>
          <w:rFonts w:ascii="Calibri" w:eastAsia="Calibri" w:hAnsi="Calibri" w:cs="Calibri"/>
          <w:sz w:val="24"/>
          <w:szCs w:val="24"/>
        </w:rPr>
        <w:t>While the</w:t>
      </w:r>
      <w:r w:rsidR="00795C5D">
        <w:rPr>
          <w:rFonts w:ascii="Calibri" w:eastAsia="Calibri" w:hAnsi="Calibri" w:cs="Calibri"/>
          <w:sz w:val="24"/>
          <w:szCs w:val="24"/>
        </w:rPr>
        <w:t xml:space="preserve"> study team does </w:t>
      </w:r>
      <w:r w:rsidR="00465FB1">
        <w:rPr>
          <w:rFonts w:ascii="Calibri" w:eastAsia="Calibri" w:hAnsi="Calibri" w:cs="Calibri"/>
          <w:sz w:val="24"/>
          <w:szCs w:val="24"/>
        </w:rPr>
        <w:t xml:space="preserve">not yet know whether any TPPs </w:t>
      </w:r>
      <w:r w:rsidR="00DE3752">
        <w:rPr>
          <w:rFonts w:ascii="Calibri" w:eastAsia="Calibri" w:hAnsi="Calibri" w:cs="Calibri"/>
          <w:sz w:val="24"/>
          <w:szCs w:val="24"/>
        </w:rPr>
        <w:t>and/or retailers</w:t>
      </w:r>
      <w:r w:rsidR="006D1039">
        <w:rPr>
          <w:rFonts w:ascii="Calibri" w:eastAsia="Calibri" w:hAnsi="Calibri" w:cs="Calibri"/>
          <w:sz w:val="24"/>
          <w:szCs w:val="24"/>
        </w:rPr>
        <w:t xml:space="preserve"> </w:t>
      </w:r>
      <w:r w:rsidR="00465FB1">
        <w:rPr>
          <w:rFonts w:ascii="Calibri" w:eastAsia="Calibri" w:hAnsi="Calibri" w:cs="Calibri"/>
          <w:sz w:val="24"/>
          <w:szCs w:val="24"/>
        </w:rPr>
        <w:t>potentially participating in the data collection would be</w:t>
      </w:r>
      <w:r w:rsidRPr="00A954A0">
        <w:rPr>
          <w:rFonts w:ascii="Calibri" w:eastAsia="Calibri" w:hAnsi="Calibri" w:cs="Calibri"/>
          <w:sz w:val="24"/>
          <w:szCs w:val="24"/>
        </w:rPr>
        <w:t xml:space="preserve"> small entities</w:t>
      </w:r>
      <w:r w:rsidR="00465FB1">
        <w:rPr>
          <w:rFonts w:ascii="Calibri" w:eastAsia="Calibri" w:hAnsi="Calibri" w:cs="Calibri"/>
          <w:sz w:val="24"/>
          <w:szCs w:val="24"/>
        </w:rPr>
        <w:t>,</w:t>
      </w:r>
      <w:r w:rsidRPr="00A954A0">
        <w:rPr>
          <w:rFonts w:ascii="Calibri" w:eastAsia="Calibri" w:hAnsi="Calibri" w:cs="Calibri"/>
          <w:sz w:val="24"/>
          <w:szCs w:val="24"/>
        </w:rPr>
        <w:t xml:space="preserve"> </w:t>
      </w:r>
      <w:r w:rsidR="00465FB1">
        <w:rPr>
          <w:rFonts w:ascii="Calibri" w:eastAsia="Calibri" w:hAnsi="Calibri" w:cs="Calibri"/>
          <w:sz w:val="24"/>
          <w:szCs w:val="24"/>
        </w:rPr>
        <w:t xml:space="preserve">the team has minimized potential burden by developing </w:t>
      </w:r>
      <w:r w:rsidR="006D1039">
        <w:rPr>
          <w:rFonts w:ascii="Calibri" w:eastAsia="Calibri" w:hAnsi="Calibri" w:cs="Calibri"/>
          <w:sz w:val="24"/>
          <w:szCs w:val="24"/>
        </w:rPr>
        <w:t>data templates</w:t>
      </w:r>
      <w:r w:rsidR="00B0699C">
        <w:rPr>
          <w:rFonts w:ascii="Calibri" w:eastAsia="Calibri" w:hAnsi="Calibri" w:cs="Calibri"/>
          <w:sz w:val="24"/>
          <w:szCs w:val="24"/>
        </w:rPr>
        <w:t xml:space="preserve"> for the administrative project cost data collection</w:t>
      </w:r>
      <w:r w:rsidR="006D1039">
        <w:rPr>
          <w:rFonts w:ascii="Calibri" w:eastAsia="Calibri" w:hAnsi="Calibri" w:cs="Calibri"/>
          <w:sz w:val="24"/>
          <w:szCs w:val="24"/>
        </w:rPr>
        <w:t xml:space="preserve"> in consultation with FNS </w:t>
      </w:r>
      <w:r w:rsidR="00D21B3C">
        <w:rPr>
          <w:rFonts w:ascii="Calibri" w:eastAsia="Calibri" w:hAnsi="Calibri" w:cs="Calibri"/>
          <w:sz w:val="24"/>
          <w:szCs w:val="24"/>
        </w:rPr>
        <w:t xml:space="preserve">and the project States </w:t>
      </w:r>
      <w:r w:rsidR="006D1039">
        <w:rPr>
          <w:rFonts w:ascii="Calibri" w:eastAsia="Calibri" w:hAnsi="Calibri" w:cs="Calibri"/>
          <w:sz w:val="24"/>
          <w:szCs w:val="24"/>
        </w:rPr>
        <w:t>that account for each entity’s responsibilities</w:t>
      </w:r>
      <w:r w:rsidR="008A79D6">
        <w:rPr>
          <w:rFonts w:ascii="Calibri" w:eastAsia="Calibri" w:hAnsi="Calibri" w:cs="Calibri"/>
          <w:sz w:val="24"/>
          <w:szCs w:val="24"/>
        </w:rPr>
        <w:t xml:space="preserve"> to </w:t>
      </w:r>
      <w:r w:rsidR="006D1039">
        <w:rPr>
          <w:rFonts w:ascii="Calibri" w:eastAsia="Calibri" w:hAnsi="Calibri" w:cs="Calibri"/>
          <w:sz w:val="24"/>
          <w:szCs w:val="24"/>
        </w:rPr>
        <w:t xml:space="preserve">ensure the requested data </w:t>
      </w:r>
      <w:r w:rsidR="002B30BC">
        <w:rPr>
          <w:rFonts w:ascii="Calibri" w:eastAsia="Calibri" w:hAnsi="Calibri" w:cs="Calibri"/>
          <w:sz w:val="24"/>
          <w:szCs w:val="24"/>
        </w:rPr>
        <w:t xml:space="preserve">are </w:t>
      </w:r>
      <w:r w:rsidR="00D21B3C">
        <w:rPr>
          <w:rFonts w:ascii="Calibri" w:eastAsia="Calibri" w:hAnsi="Calibri" w:cs="Calibri"/>
          <w:sz w:val="24"/>
          <w:szCs w:val="24"/>
        </w:rPr>
        <w:t xml:space="preserve">within each entity’s reporting capabilities, </w:t>
      </w:r>
      <w:r w:rsidR="002B30BC">
        <w:rPr>
          <w:rFonts w:ascii="Calibri" w:eastAsia="Calibri" w:hAnsi="Calibri" w:cs="Calibri"/>
          <w:sz w:val="24"/>
          <w:szCs w:val="24"/>
        </w:rPr>
        <w:t>and assign the primary responsibility of consolidating data for the data collection templates to the SNAP State agencies</w:t>
      </w:r>
      <w:r w:rsidR="006D1039">
        <w:rPr>
          <w:rFonts w:ascii="Calibri" w:eastAsia="Calibri" w:hAnsi="Calibri" w:cs="Calibri"/>
          <w:sz w:val="24"/>
          <w:szCs w:val="24"/>
        </w:rPr>
        <w:t xml:space="preserve">. </w:t>
      </w:r>
      <w:r w:rsidR="00B0699C">
        <w:rPr>
          <w:rFonts w:ascii="Calibri" w:eastAsia="Calibri" w:hAnsi="Calibri" w:cs="Calibri"/>
          <w:sz w:val="24"/>
          <w:szCs w:val="24"/>
        </w:rPr>
        <w:t>The study team will work directly with participating entities to clarify questions and resolve</w:t>
      </w:r>
      <w:r w:rsidRPr="00B0699C" w:rsidR="00B0699C">
        <w:rPr>
          <w:rFonts w:ascii="Calibri" w:eastAsia="Calibri" w:hAnsi="Calibri" w:cs="Calibri"/>
          <w:sz w:val="24"/>
          <w:szCs w:val="24"/>
        </w:rPr>
        <w:t xml:space="preserve"> missing data</w:t>
      </w:r>
      <w:r w:rsidR="00B0699C">
        <w:rPr>
          <w:rFonts w:ascii="Calibri" w:eastAsia="Calibri" w:hAnsi="Calibri" w:cs="Calibri"/>
          <w:sz w:val="24"/>
          <w:szCs w:val="24"/>
        </w:rPr>
        <w:t xml:space="preserve"> with this administrative data collection. </w:t>
      </w:r>
      <w:r w:rsidR="00B0699C">
        <w:rPr>
          <w:sz w:val="24"/>
          <w:szCs w:val="24"/>
        </w:rPr>
        <w:t>The study team is collecting the project data in three discrete rounds, which should</w:t>
      </w:r>
      <w:r w:rsidRPr="00914CE1" w:rsidR="00B0699C">
        <w:rPr>
          <w:sz w:val="24"/>
          <w:szCs w:val="24"/>
        </w:rPr>
        <w:t xml:space="preserve"> be less disruptive to t</w:t>
      </w:r>
      <w:r w:rsidR="00B0699C">
        <w:rPr>
          <w:sz w:val="24"/>
          <w:szCs w:val="24"/>
        </w:rPr>
        <w:t>hese entities’</w:t>
      </w:r>
      <w:r w:rsidRPr="00914CE1" w:rsidR="00B0699C">
        <w:rPr>
          <w:sz w:val="24"/>
          <w:szCs w:val="24"/>
        </w:rPr>
        <w:t xml:space="preserve"> operations than requesting data more frequently</w:t>
      </w:r>
      <w:r w:rsidR="00B0699C">
        <w:rPr>
          <w:sz w:val="24"/>
          <w:szCs w:val="24"/>
        </w:rPr>
        <w:t>.</w:t>
      </w:r>
      <w:r>
        <w:rPr>
          <w:sz w:val="24"/>
          <w:szCs w:val="24"/>
        </w:rPr>
        <w:t xml:space="preserve"> All data will be submitted via secure web file upload, which should further reduce burden.</w:t>
      </w:r>
    </w:p>
    <w:p w:rsidR="006D1039" w:rsidP="003942CE" w14:paraId="2D7151F5" w14:textId="7757572A">
      <w:pPr>
        <w:spacing w:after="240" w:line="480" w:lineRule="auto"/>
        <w:rPr>
          <w:sz w:val="24"/>
          <w:szCs w:val="24"/>
        </w:rPr>
      </w:pPr>
      <w:r>
        <w:rPr>
          <w:sz w:val="24"/>
          <w:szCs w:val="24"/>
        </w:rPr>
        <w:t>For the interview data collection, all interviews will be conducted based on the interviewees’ schedules and by their choice of teleconference or videoconference. T</w:t>
      </w:r>
      <w:r w:rsidRPr="00F575FE">
        <w:rPr>
          <w:sz w:val="24"/>
          <w:szCs w:val="24"/>
        </w:rPr>
        <w:t>he interview guides</w:t>
      </w:r>
      <w:r>
        <w:rPr>
          <w:sz w:val="24"/>
          <w:szCs w:val="24"/>
        </w:rPr>
        <w:t xml:space="preserve"> will be tailored</w:t>
      </w:r>
      <w:r w:rsidRPr="00F575FE">
        <w:rPr>
          <w:sz w:val="24"/>
          <w:szCs w:val="24"/>
        </w:rPr>
        <w:t xml:space="preserve"> prior to interviews with information specific to the respondent’s position and the project State</w:t>
      </w:r>
      <w:r>
        <w:rPr>
          <w:sz w:val="24"/>
          <w:szCs w:val="24"/>
        </w:rPr>
        <w:t xml:space="preserve"> to maximize relevancy and clarity for the respondent. </w:t>
      </w:r>
      <w:r w:rsidRPr="00F575FE">
        <w:rPr>
          <w:sz w:val="24"/>
          <w:szCs w:val="24"/>
        </w:rPr>
        <w:t xml:space="preserve">The interviewers will send respondents information on the interview ahead of time, including any specific questions about cost data received that may require the respondent to prepare before the interview. </w:t>
      </w:r>
      <w:r w:rsidR="00234B41">
        <w:rPr>
          <w:sz w:val="24"/>
          <w:szCs w:val="24"/>
        </w:rPr>
        <w:t xml:space="preserve">This should reduce the burden on respondents by preventing unplanned and exigent time required </w:t>
      </w:r>
      <w:r w:rsidR="00234B41">
        <w:rPr>
          <w:sz w:val="24"/>
          <w:szCs w:val="24"/>
        </w:rPr>
        <w:t xml:space="preserve">to address known matters after the interview. </w:t>
      </w:r>
      <w:r w:rsidRPr="00F575FE">
        <w:rPr>
          <w:sz w:val="24"/>
          <w:szCs w:val="24"/>
        </w:rPr>
        <w:t xml:space="preserve">During the interview, interviewers will share their screens to show respondents the cost data they are discussing as well as the </w:t>
      </w:r>
      <w:r w:rsidR="00234B41">
        <w:rPr>
          <w:sz w:val="24"/>
          <w:szCs w:val="24"/>
        </w:rPr>
        <w:t xml:space="preserve">conceptual </w:t>
      </w:r>
      <w:r w:rsidRPr="00F575FE">
        <w:rPr>
          <w:sz w:val="24"/>
          <w:szCs w:val="24"/>
        </w:rPr>
        <w:t>cost model</w:t>
      </w:r>
      <w:r w:rsidR="00234B41">
        <w:rPr>
          <w:sz w:val="24"/>
          <w:szCs w:val="24"/>
        </w:rPr>
        <w:t xml:space="preserve"> for </w:t>
      </w:r>
      <w:r w:rsidRPr="00234B41" w:rsidR="00234B41">
        <w:rPr>
          <w:sz w:val="24"/>
          <w:szCs w:val="24"/>
        </w:rPr>
        <w:t>estimating the costs of implementing and administering eHIP</w:t>
      </w:r>
      <w:r w:rsidRPr="00F575FE">
        <w:rPr>
          <w:sz w:val="24"/>
          <w:szCs w:val="24"/>
        </w:rPr>
        <w:t xml:space="preserve"> when appropriate.</w:t>
      </w:r>
      <w:r w:rsidR="00A32918">
        <w:rPr>
          <w:sz w:val="24"/>
          <w:szCs w:val="24"/>
        </w:rPr>
        <w:t xml:space="preserve"> Seeing the cost model should </w:t>
      </w:r>
      <w:r w:rsidR="00EF027B">
        <w:rPr>
          <w:sz w:val="24"/>
          <w:szCs w:val="24"/>
        </w:rPr>
        <w:t xml:space="preserve">improve </w:t>
      </w:r>
      <w:r w:rsidR="00A32918">
        <w:rPr>
          <w:sz w:val="24"/>
          <w:szCs w:val="24"/>
        </w:rPr>
        <w:t>interviewees</w:t>
      </w:r>
      <w:r w:rsidR="00EF027B">
        <w:rPr>
          <w:sz w:val="24"/>
          <w:szCs w:val="24"/>
        </w:rPr>
        <w:t>’ thought processing regarding the disparate elements of total project costs.</w:t>
      </w:r>
      <w:r>
        <w:rPr>
          <w:sz w:val="24"/>
          <w:szCs w:val="24"/>
        </w:rPr>
        <w:t xml:space="preserve"> Collectively, these steps should reduce burden on interviewees. </w:t>
      </w:r>
    </w:p>
    <w:p w:rsidR="00254128" w:rsidRPr="00A954A0" w14:paraId="725F238C" w14:textId="7E64CC4A">
      <w:pPr>
        <w:spacing w:after="240" w:line="480" w:lineRule="auto"/>
        <w:rPr>
          <w:sz w:val="24"/>
          <w:szCs w:val="24"/>
        </w:rPr>
      </w:pPr>
      <w:r>
        <w:rPr>
          <w:sz w:val="24"/>
          <w:szCs w:val="24"/>
        </w:rPr>
        <w:t>For the a</w:t>
      </w:r>
      <w:r w:rsidRPr="00D671A8">
        <w:rPr>
          <w:sz w:val="24"/>
          <w:szCs w:val="24"/>
        </w:rPr>
        <w:t>dministrative GusNIP grantee data collection</w:t>
      </w:r>
      <w:r>
        <w:rPr>
          <w:sz w:val="24"/>
          <w:szCs w:val="24"/>
        </w:rPr>
        <w:t xml:space="preserve">, the study team will </w:t>
      </w:r>
      <w:r w:rsidR="00DE3752">
        <w:rPr>
          <w:sz w:val="24"/>
          <w:szCs w:val="24"/>
        </w:rPr>
        <w:t xml:space="preserve">reduce burden by </w:t>
      </w:r>
      <w:r w:rsidR="00234B41">
        <w:rPr>
          <w:sz w:val="24"/>
          <w:szCs w:val="24"/>
        </w:rPr>
        <w:t>suggesting to grantees (if they prefer) to authorize NIFA and NTAE to release these data directly to the study team. However, if grantees prefer to directly provide the study team with their data, the study team will o</w:t>
      </w:r>
      <w:r w:rsidR="0016060C">
        <w:rPr>
          <w:sz w:val="24"/>
          <w:szCs w:val="24"/>
        </w:rPr>
        <w:t xml:space="preserve">nly </w:t>
      </w:r>
      <w:r w:rsidR="00234B41">
        <w:rPr>
          <w:sz w:val="24"/>
          <w:szCs w:val="24"/>
        </w:rPr>
        <w:t xml:space="preserve">be </w:t>
      </w:r>
      <w:r w:rsidR="00DE3752">
        <w:rPr>
          <w:sz w:val="24"/>
          <w:szCs w:val="24"/>
        </w:rPr>
        <w:t xml:space="preserve">requesting data </w:t>
      </w:r>
      <w:r w:rsidR="0016060C">
        <w:rPr>
          <w:sz w:val="24"/>
          <w:szCs w:val="24"/>
        </w:rPr>
        <w:t xml:space="preserve">that has </w:t>
      </w:r>
      <w:r w:rsidR="00DE3752">
        <w:rPr>
          <w:sz w:val="24"/>
          <w:szCs w:val="24"/>
        </w:rPr>
        <w:t xml:space="preserve">already </w:t>
      </w:r>
      <w:r w:rsidR="0016060C">
        <w:rPr>
          <w:sz w:val="24"/>
          <w:szCs w:val="24"/>
        </w:rPr>
        <w:t xml:space="preserve">been compiled and </w:t>
      </w:r>
      <w:r w:rsidR="00DE3752">
        <w:rPr>
          <w:sz w:val="24"/>
          <w:szCs w:val="24"/>
        </w:rPr>
        <w:t xml:space="preserve">provided to NIFA and NTAE. The study team will </w:t>
      </w:r>
      <w:r>
        <w:rPr>
          <w:sz w:val="24"/>
          <w:szCs w:val="24"/>
        </w:rPr>
        <w:t xml:space="preserve">provide </w:t>
      </w:r>
      <w:r w:rsidR="00A14AC0">
        <w:rPr>
          <w:sz w:val="24"/>
          <w:szCs w:val="24"/>
        </w:rPr>
        <w:t xml:space="preserve">a </w:t>
      </w:r>
      <w:r>
        <w:rPr>
          <w:sz w:val="24"/>
          <w:szCs w:val="24"/>
        </w:rPr>
        <w:t>secure web file upload</w:t>
      </w:r>
      <w:r w:rsidR="0079282F">
        <w:rPr>
          <w:sz w:val="24"/>
          <w:szCs w:val="24"/>
        </w:rPr>
        <w:t xml:space="preserve"> </w:t>
      </w:r>
      <w:r w:rsidR="00A14AC0">
        <w:rPr>
          <w:sz w:val="24"/>
          <w:szCs w:val="24"/>
        </w:rPr>
        <w:t>protocol</w:t>
      </w:r>
      <w:r>
        <w:rPr>
          <w:sz w:val="24"/>
          <w:szCs w:val="24"/>
        </w:rPr>
        <w:t xml:space="preserve"> to minimize </w:t>
      </w:r>
      <w:r w:rsidR="00DE3752">
        <w:rPr>
          <w:sz w:val="24"/>
          <w:szCs w:val="24"/>
        </w:rPr>
        <w:t>grantees’</w:t>
      </w:r>
      <w:r>
        <w:rPr>
          <w:sz w:val="24"/>
          <w:szCs w:val="24"/>
        </w:rPr>
        <w:t xml:space="preserve"> burden in participating. </w:t>
      </w:r>
    </w:p>
    <w:p w:rsidR="00254128" w:rsidRPr="00A954A0" w:rsidP="00C32C2C" w14:paraId="1160A16E" w14:textId="1DCDC961">
      <w:pPr>
        <w:pStyle w:val="Heading1New"/>
      </w:pPr>
      <w:bookmarkStart w:id="18" w:name="_Toc148333340"/>
      <w:r w:rsidRPr="00A954A0">
        <w:t xml:space="preserve">A6. </w:t>
      </w:r>
      <w:r w:rsidR="00D41188">
        <w:t xml:space="preserve">Consequences of collecting the information less frequently: </w:t>
      </w:r>
      <w:r w:rsidRPr="00A954A0">
        <w:t>Describe the consequence to Federal program or policy activities if the collection is not</w:t>
      </w:r>
      <w:r w:rsidRPr="00A954A0" w:rsidR="00580F71">
        <w:t xml:space="preserve"> </w:t>
      </w:r>
      <w:r w:rsidRPr="00A954A0">
        <w:t>conducted, or is conducted less frequently, as well as any technical or legal obstacles to reducing burden.</w:t>
      </w:r>
      <w:bookmarkEnd w:id="18"/>
    </w:p>
    <w:p w:rsidR="00254128" w:rsidRPr="00A954A0" w:rsidP="003942CE" w14:paraId="05D42D4A" w14:textId="4CB94764">
      <w:pPr>
        <w:spacing w:after="240" w:line="480" w:lineRule="auto"/>
        <w:rPr>
          <w:rFonts w:ascii="Calibri" w:eastAsia="Calibri" w:hAnsi="Calibri" w:cs="Calibri"/>
          <w:sz w:val="24"/>
          <w:szCs w:val="24"/>
        </w:rPr>
      </w:pPr>
      <w:r w:rsidRPr="00D569CC">
        <w:rPr>
          <w:rFonts w:eastAsia="Calibri" w:cstheme="minorHAnsi"/>
          <w:sz w:val="24"/>
          <w:szCs w:val="24"/>
        </w:rPr>
        <w:t>The data collection for the proposed study</w:t>
      </w:r>
      <w:r w:rsidR="00D27AC5">
        <w:rPr>
          <w:rFonts w:eastAsia="Calibri" w:cstheme="minorHAnsi"/>
          <w:sz w:val="24"/>
          <w:szCs w:val="24"/>
        </w:rPr>
        <w:t xml:space="preserve"> is voluntary and</w:t>
      </w:r>
      <w:r w:rsidRPr="00D569CC">
        <w:rPr>
          <w:rFonts w:eastAsia="Calibri" w:cstheme="minorHAnsi"/>
          <w:sz w:val="24"/>
          <w:szCs w:val="24"/>
        </w:rPr>
        <w:t xml:space="preserve"> </w:t>
      </w:r>
      <w:r w:rsidR="004B32BF">
        <w:rPr>
          <w:rFonts w:eastAsia="Calibri" w:cstheme="minorHAnsi"/>
          <w:sz w:val="24"/>
          <w:szCs w:val="24"/>
        </w:rPr>
        <w:t xml:space="preserve">is a one-time data collection that </w:t>
      </w:r>
      <w:r w:rsidRPr="00D569CC">
        <w:rPr>
          <w:rFonts w:eastAsia="Calibri" w:cstheme="minorHAnsi"/>
          <w:sz w:val="24"/>
          <w:szCs w:val="24"/>
        </w:rPr>
        <w:t xml:space="preserve">will be conducted </w:t>
      </w:r>
      <w:r w:rsidR="00501CD0">
        <w:rPr>
          <w:rFonts w:eastAsia="Calibri" w:cstheme="minorHAnsi"/>
          <w:sz w:val="24"/>
          <w:szCs w:val="24"/>
        </w:rPr>
        <w:t xml:space="preserve">over a single (approximately) 15-month period, with multiple discrete instances of data collection within that period. If the data collection is conducted less frequently, then there will be risks that the data collected will be incomplete or insufficient to fully meet the study objectives. </w:t>
      </w:r>
      <w:r w:rsidRPr="00D569CC">
        <w:rPr>
          <w:rFonts w:eastAsia="Calibri" w:cstheme="minorHAnsi"/>
          <w:sz w:val="24"/>
          <w:szCs w:val="24"/>
        </w:rPr>
        <w:t>Without this</w:t>
      </w:r>
      <w:r w:rsidR="00501CD0">
        <w:rPr>
          <w:rFonts w:eastAsia="Calibri" w:cstheme="minorHAnsi"/>
          <w:sz w:val="24"/>
          <w:szCs w:val="24"/>
        </w:rPr>
        <w:t xml:space="preserve"> data collection</w:t>
      </w:r>
      <w:r w:rsidRPr="00D569CC">
        <w:rPr>
          <w:rFonts w:eastAsia="Calibri" w:cstheme="minorHAnsi"/>
          <w:sz w:val="24"/>
          <w:szCs w:val="24"/>
        </w:rPr>
        <w:t xml:space="preserve"> effort, FNS will not know </w:t>
      </w:r>
      <w:r w:rsidRPr="00D569CC" w:rsidR="00C479F2">
        <w:rPr>
          <w:rFonts w:eastAsia="Calibri" w:cstheme="minorHAnsi"/>
          <w:sz w:val="24"/>
          <w:szCs w:val="24"/>
        </w:rPr>
        <w:t xml:space="preserve">the </w:t>
      </w:r>
      <w:r w:rsidR="00BB19A1">
        <w:rPr>
          <w:rFonts w:eastAsia="Calibri" w:cstheme="minorHAnsi"/>
          <w:sz w:val="24"/>
          <w:szCs w:val="24"/>
        </w:rPr>
        <w:t>actual</w:t>
      </w:r>
      <w:r w:rsidRPr="00D569CC" w:rsidR="00BB19A1">
        <w:rPr>
          <w:rFonts w:eastAsia="Calibri" w:cstheme="minorHAnsi"/>
          <w:sz w:val="24"/>
          <w:szCs w:val="24"/>
        </w:rPr>
        <w:t xml:space="preserve"> </w:t>
      </w:r>
      <w:r w:rsidRPr="00D569CC" w:rsidR="00C479F2">
        <w:rPr>
          <w:rFonts w:eastAsia="Calibri" w:cstheme="minorHAnsi"/>
          <w:sz w:val="24"/>
          <w:szCs w:val="24"/>
        </w:rPr>
        <w:t>cost of administering eHIP programs, the estimated costs of nationwide expansion of eHIP, and the costs</w:t>
      </w:r>
      <w:r w:rsidR="003022D3">
        <w:rPr>
          <w:rFonts w:eastAsia="Calibri" w:cstheme="minorHAnsi"/>
          <w:sz w:val="24"/>
          <w:szCs w:val="24"/>
        </w:rPr>
        <w:t xml:space="preserve"> and return on investment</w:t>
      </w:r>
      <w:r w:rsidRPr="00D569CC" w:rsidR="00C479F2">
        <w:rPr>
          <w:rFonts w:eastAsia="Calibri" w:cstheme="minorHAnsi"/>
          <w:sz w:val="24"/>
          <w:szCs w:val="24"/>
        </w:rPr>
        <w:t xml:space="preserve"> of eHIP</w:t>
      </w:r>
      <w:r w:rsidR="00C479F2">
        <w:rPr>
          <w:rFonts w:ascii="Calibri" w:eastAsia="Calibri" w:hAnsi="Calibri" w:cs="Calibri"/>
          <w:sz w:val="24"/>
          <w:szCs w:val="24"/>
        </w:rPr>
        <w:t xml:space="preserve"> programs versus other incentive programs. This i</w:t>
      </w:r>
      <w:r w:rsidRPr="00A954A0" w:rsidR="00D70C8B">
        <w:rPr>
          <w:rFonts w:ascii="Calibri" w:eastAsia="Calibri" w:hAnsi="Calibri" w:cs="Calibri"/>
          <w:sz w:val="24"/>
          <w:szCs w:val="24"/>
        </w:rPr>
        <w:t xml:space="preserve">nformation </w:t>
      </w:r>
      <w:r w:rsidRPr="00A954A0" w:rsidR="0084103D">
        <w:rPr>
          <w:rFonts w:ascii="Calibri" w:eastAsia="Calibri" w:hAnsi="Calibri" w:cs="Calibri"/>
          <w:sz w:val="24"/>
          <w:szCs w:val="24"/>
        </w:rPr>
        <w:t xml:space="preserve">will help FNS evaluate </w:t>
      </w:r>
      <w:r w:rsidR="0040334B">
        <w:rPr>
          <w:rFonts w:ascii="Calibri" w:eastAsia="Calibri" w:hAnsi="Calibri" w:cs="Calibri"/>
          <w:sz w:val="24"/>
          <w:szCs w:val="24"/>
        </w:rPr>
        <w:t xml:space="preserve">both </w:t>
      </w:r>
      <w:r w:rsidRPr="00A954A0" w:rsidR="0084103D">
        <w:rPr>
          <w:rFonts w:ascii="Calibri" w:eastAsia="Calibri" w:hAnsi="Calibri" w:cs="Calibri"/>
          <w:sz w:val="24"/>
          <w:szCs w:val="24"/>
        </w:rPr>
        <w:t>the extent to which</w:t>
      </w:r>
      <w:r w:rsidR="00C479F2">
        <w:rPr>
          <w:rFonts w:ascii="Calibri" w:eastAsia="Calibri" w:hAnsi="Calibri" w:cs="Calibri"/>
          <w:sz w:val="24"/>
          <w:szCs w:val="24"/>
        </w:rPr>
        <w:t xml:space="preserve"> eHIP programs are being </w:t>
      </w:r>
      <w:r w:rsidR="00C479F2">
        <w:rPr>
          <w:rFonts w:ascii="Calibri" w:eastAsia="Calibri" w:hAnsi="Calibri" w:cs="Calibri"/>
          <w:sz w:val="24"/>
          <w:szCs w:val="24"/>
        </w:rPr>
        <w:t>administered effectively and efficiently by</w:t>
      </w:r>
      <w:r w:rsidRPr="00A954A0" w:rsidR="0084103D">
        <w:rPr>
          <w:rFonts w:ascii="Calibri" w:eastAsia="Calibri" w:hAnsi="Calibri" w:cs="Calibri"/>
          <w:sz w:val="24"/>
          <w:szCs w:val="24"/>
        </w:rPr>
        <w:t xml:space="preserve"> </w:t>
      </w:r>
      <w:r w:rsidR="00C479F2">
        <w:rPr>
          <w:rFonts w:ascii="Calibri" w:eastAsia="Calibri" w:hAnsi="Calibri" w:cs="Calibri"/>
          <w:sz w:val="24"/>
          <w:szCs w:val="24"/>
        </w:rPr>
        <w:t xml:space="preserve">participating </w:t>
      </w:r>
      <w:r w:rsidRPr="00A954A0" w:rsidR="00B3639F">
        <w:rPr>
          <w:rFonts w:ascii="Calibri" w:eastAsia="Calibri" w:hAnsi="Calibri" w:cs="Calibri"/>
          <w:sz w:val="24"/>
          <w:szCs w:val="24"/>
        </w:rPr>
        <w:t>State agencies</w:t>
      </w:r>
      <w:r w:rsidR="00C479F2">
        <w:rPr>
          <w:rFonts w:ascii="Calibri" w:eastAsia="Calibri" w:hAnsi="Calibri" w:cs="Calibri"/>
          <w:sz w:val="24"/>
          <w:szCs w:val="24"/>
        </w:rPr>
        <w:t xml:space="preserve"> and the economic impact of eHIP programs.</w:t>
      </w:r>
      <w:r w:rsidRPr="00A954A0" w:rsidR="00A06349">
        <w:rPr>
          <w:rFonts w:ascii="Calibri" w:eastAsia="Calibri" w:hAnsi="Calibri" w:cs="Calibri"/>
          <w:sz w:val="24"/>
          <w:szCs w:val="24"/>
        </w:rPr>
        <w:t xml:space="preserve"> Study results will also help FNS</w:t>
      </w:r>
      <w:r w:rsidRPr="00A954A0" w:rsidR="00800685">
        <w:rPr>
          <w:rFonts w:ascii="Calibri" w:eastAsia="Calibri" w:hAnsi="Calibri" w:cs="Calibri"/>
          <w:sz w:val="24"/>
          <w:szCs w:val="24"/>
        </w:rPr>
        <w:t xml:space="preserve"> (a)</w:t>
      </w:r>
      <w:r w:rsidRPr="00A954A0" w:rsidR="00A06349">
        <w:rPr>
          <w:rFonts w:ascii="Calibri" w:eastAsia="Calibri" w:hAnsi="Calibri" w:cs="Calibri"/>
          <w:sz w:val="24"/>
          <w:szCs w:val="24"/>
        </w:rPr>
        <w:t xml:space="preserve"> </w:t>
      </w:r>
      <w:r w:rsidR="00C479F2">
        <w:rPr>
          <w:rFonts w:ascii="Calibri" w:eastAsia="Calibri" w:hAnsi="Calibri" w:cs="Calibri"/>
          <w:sz w:val="24"/>
          <w:szCs w:val="24"/>
        </w:rPr>
        <w:t>consider the feasibility and worthiness of expanding eHIP programs nationwide</w:t>
      </w:r>
      <w:r w:rsidRPr="00A954A0" w:rsidR="00800685">
        <w:rPr>
          <w:rFonts w:ascii="Calibri" w:eastAsia="Calibri" w:hAnsi="Calibri" w:cs="Calibri"/>
          <w:sz w:val="24"/>
          <w:szCs w:val="24"/>
        </w:rPr>
        <w:t xml:space="preserve"> and (b) provide guidance to </w:t>
      </w:r>
      <w:r w:rsidR="00C479F2">
        <w:rPr>
          <w:rFonts w:ascii="Calibri" w:eastAsia="Calibri" w:hAnsi="Calibri" w:cs="Calibri"/>
          <w:sz w:val="24"/>
          <w:szCs w:val="24"/>
        </w:rPr>
        <w:t xml:space="preserve">other States considering implementing their own eHIP programs. </w:t>
      </w:r>
    </w:p>
    <w:p w:rsidR="00D65618" w:rsidP="00D65618" w14:paraId="77ABE50F" w14:textId="663BBE59">
      <w:pPr>
        <w:pStyle w:val="Heading1New"/>
      </w:pPr>
      <w:bookmarkStart w:id="19" w:name="_Toc148333341"/>
      <w:r w:rsidRPr="00A954A0">
        <w:t xml:space="preserve">A7. </w:t>
      </w:r>
      <w:r w:rsidRPr="00A954A0" w:rsidR="00206646">
        <w:t>Special Circumstances Relating to the Guideline of 5 CFR § 1320.5</w:t>
      </w:r>
      <w:bookmarkEnd w:id="19"/>
    </w:p>
    <w:p w:rsidR="00254128" w:rsidRPr="002D0C75" w:rsidP="002D0C75" w14:paraId="31DCA24B" w14:textId="42209975">
      <w:pPr>
        <w:pStyle w:val="BodyText-IPR"/>
        <w:rPr>
          <w:rFonts w:ascii="Candara" w:hAnsi="Candara"/>
          <w:b/>
          <w:bCs/>
          <w:sz w:val="24"/>
          <w:szCs w:val="24"/>
        </w:rPr>
      </w:pPr>
      <w:r w:rsidRPr="002D0C75">
        <w:rPr>
          <w:rFonts w:ascii="Candara" w:hAnsi="Candara"/>
          <w:b/>
          <w:bCs/>
          <w:sz w:val="24"/>
          <w:szCs w:val="24"/>
        </w:rPr>
        <w:t>Explain any special circumstances that would cause an information collection to be conducted in a manner:</w:t>
      </w:r>
    </w:p>
    <w:p w:rsidR="00254128" w:rsidRPr="00E50BDB" w:rsidP="00E50BDB" w14:paraId="596AAAA7" w14:textId="0EE6089C">
      <w:pPr>
        <w:pStyle w:val="ListParagraph"/>
        <w:numPr>
          <w:ilvl w:val="0"/>
          <w:numId w:val="26"/>
        </w:numPr>
        <w:spacing w:after="120" w:line="240" w:lineRule="auto"/>
        <w:rPr>
          <w:rFonts w:ascii="Candara" w:hAnsi="Candara"/>
          <w:sz w:val="24"/>
          <w:szCs w:val="24"/>
        </w:rPr>
      </w:pPr>
      <w:r w:rsidRPr="00E50BDB">
        <w:rPr>
          <w:rFonts w:ascii="Candara" w:eastAsia="Calibri" w:hAnsi="Candara" w:cs="Calibri"/>
          <w:b/>
          <w:bCs/>
          <w:sz w:val="24"/>
          <w:szCs w:val="24"/>
        </w:rPr>
        <w:t xml:space="preserve">requiring respondents to report information to the agency more often than </w:t>
      </w:r>
      <w:r w:rsidRPr="00E50BDB">
        <w:rPr>
          <w:rFonts w:ascii="Candara" w:eastAsia="Calibri" w:hAnsi="Candara" w:cs="Calibri"/>
          <w:b/>
          <w:bCs/>
          <w:sz w:val="24"/>
          <w:szCs w:val="24"/>
        </w:rPr>
        <w:t>quarterly;</w:t>
      </w:r>
    </w:p>
    <w:p w:rsidR="00254128" w:rsidRPr="00E50BDB" w:rsidP="00E50BDB" w14:paraId="462C38CD" w14:textId="725A1D4D">
      <w:pPr>
        <w:pStyle w:val="ListParagraph"/>
        <w:numPr>
          <w:ilvl w:val="0"/>
          <w:numId w:val="26"/>
        </w:numPr>
        <w:spacing w:after="120" w:line="240" w:lineRule="auto"/>
        <w:rPr>
          <w:rFonts w:ascii="Candara" w:hAnsi="Candara"/>
          <w:sz w:val="24"/>
          <w:szCs w:val="24"/>
        </w:rPr>
      </w:pPr>
      <w:r w:rsidRPr="00E50BDB">
        <w:rPr>
          <w:rFonts w:ascii="Candara" w:eastAsia="Calibri" w:hAnsi="Candara" w:cs="Calibri"/>
          <w:b/>
          <w:bCs/>
          <w:sz w:val="24"/>
          <w:szCs w:val="24"/>
        </w:rPr>
        <w:t xml:space="preserve">requiring respondents to prepare a written response to a collection of information in fewer than 30 days after receipt of </w:t>
      </w:r>
      <w:r w:rsidRPr="00E50BDB">
        <w:rPr>
          <w:rFonts w:ascii="Candara" w:eastAsia="Calibri" w:hAnsi="Candara" w:cs="Calibri"/>
          <w:b/>
          <w:bCs/>
          <w:sz w:val="24"/>
          <w:szCs w:val="24"/>
        </w:rPr>
        <w:t>it;</w:t>
      </w:r>
    </w:p>
    <w:p w:rsidR="00254128" w:rsidRPr="00E50BDB" w:rsidP="00E50BDB" w14:paraId="16EEBB83" w14:textId="48A8D3DD">
      <w:pPr>
        <w:pStyle w:val="ListParagraph"/>
        <w:numPr>
          <w:ilvl w:val="0"/>
          <w:numId w:val="26"/>
        </w:numPr>
        <w:spacing w:after="120" w:line="240" w:lineRule="auto"/>
        <w:rPr>
          <w:rFonts w:ascii="Candara" w:hAnsi="Candara"/>
          <w:sz w:val="24"/>
          <w:szCs w:val="24"/>
        </w:rPr>
      </w:pPr>
      <w:r w:rsidRPr="00E50BDB">
        <w:rPr>
          <w:rFonts w:ascii="Candara" w:eastAsia="Calibri" w:hAnsi="Candara" w:cs="Calibri"/>
          <w:b/>
          <w:bCs/>
          <w:sz w:val="24"/>
          <w:szCs w:val="24"/>
        </w:rPr>
        <w:t xml:space="preserve">requiring respondents to submit more than an original and two copies of any </w:t>
      </w:r>
      <w:r w:rsidRPr="00E50BDB">
        <w:rPr>
          <w:rFonts w:ascii="Candara" w:eastAsia="Calibri" w:hAnsi="Candara" w:cs="Calibri"/>
          <w:b/>
          <w:bCs/>
          <w:sz w:val="24"/>
          <w:szCs w:val="24"/>
        </w:rPr>
        <w:t>document;</w:t>
      </w:r>
    </w:p>
    <w:p w:rsidR="00254128" w:rsidRPr="00E50BDB" w:rsidP="00E50BDB" w14:paraId="02672B0C" w14:textId="3314F773">
      <w:pPr>
        <w:pStyle w:val="ListParagraph"/>
        <w:numPr>
          <w:ilvl w:val="0"/>
          <w:numId w:val="26"/>
        </w:numPr>
        <w:spacing w:after="120" w:line="240" w:lineRule="auto"/>
        <w:rPr>
          <w:rFonts w:ascii="Candara" w:hAnsi="Candara"/>
          <w:sz w:val="24"/>
          <w:szCs w:val="24"/>
        </w:rPr>
      </w:pPr>
      <w:r w:rsidRPr="00E50BDB">
        <w:rPr>
          <w:rFonts w:ascii="Candara" w:eastAsia="Calibri" w:hAnsi="Candara" w:cs="Calibri"/>
          <w:b/>
          <w:bCs/>
          <w:sz w:val="24"/>
          <w:szCs w:val="24"/>
        </w:rPr>
        <w:t xml:space="preserve">requiring respondents to retain records, other than health, medical, government contract, grant-in-aid, or tax records for more than three </w:t>
      </w:r>
      <w:r w:rsidRPr="00E50BDB">
        <w:rPr>
          <w:rFonts w:ascii="Candara" w:eastAsia="Calibri" w:hAnsi="Candara" w:cs="Calibri"/>
          <w:b/>
          <w:bCs/>
          <w:sz w:val="24"/>
          <w:szCs w:val="24"/>
        </w:rPr>
        <w:t>years;</w:t>
      </w:r>
    </w:p>
    <w:p w:rsidR="00254128" w:rsidRPr="00E50BDB" w:rsidP="00E50BDB" w14:paraId="12798EB1" w14:textId="33DA99A0">
      <w:pPr>
        <w:pStyle w:val="ListParagraph"/>
        <w:numPr>
          <w:ilvl w:val="0"/>
          <w:numId w:val="26"/>
        </w:numPr>
        <w:spacing w:after="120" w:line="240" w:lineRule="auto"/>
        <w:rPr>
          <w:rFonts w:ascii="Candara" w:hAnsi="Candara"/>
          <w:sz w:val="24"/>
          <w:szCs w:val="24"/>
        </w:rPr>
      </w:pPr>
      <w:r w:rsidRPr="00E50BDB">
        <w:rPr>
          <w:rFonts w:ascii="Candara" w:eastAsia="Calibri" w:hAnsi="Candara" w:cs="Calibri"/>
          <w:b/>
          <w:bCs/>
          <w:sz w:val="24"/>
          <w:szCs w:val="24"/>
        </w:rPr>
        <w:t xml:space="preserve">in connection with a statistical survey, that is not designed to produce valid and reliable results that can be generalized to the universe of </w:t>
      </w:r>
      <w:r w:rsidRPr="00E50BDB">
        <w:rPr>
          <w:rFonts w:ascii="Candara" w:eastAsia="Calibri" w:hAnsi="Candara" w:cs="Calibri"/>
          <w:b/>
          <w:bCs/>
          <w:sz w:val="24"/>
          <w:szCs w:val="24"/>
        </w:rPr>
        <w:t>study;</w:t>
      </w:r>
    </w:p>
    <w:p w:rsidR="00254128" w:rsidRPr="00E50BDB" w:rsidP="00E50BDB" w14:paraId="236120F4" w14:textId="099D409F">
      <w:pPr>
        <w:pStyle w:val="ListParagraph"/>
        <w:numPr>
          <w:ilvl w:val="0"/>
          <w:numId w:val="26"/>
        </w:numPr>
        <w:spacing w:after="120" w:line="240" w:lineRule="auto"/>
        <w:rPr>
          <w:rFonts w:ascii="Candara" w:hAnsi="Candara"/>
          <w:sz w:val="24"/>
          <w:szCs w:val="24"/>
        </w:rPr>
      </w:pPr>
      <w:r w:rsidRPr="00E50BDB">
        <w:rPr>
          <w:rFonts w:ascii="Candara" w:eastAsia="Calibri" w:hAnsi="Candara" w:cs="Calibri"/>
          <w:b/>
          <w:bCs/>
          <w:sz w:val="24"/>
          <w:szCs w:val="24"/>
        </w:rPr>
        <w:t xml:space="preserve">requiring the use of a statistical data classification that has not been reviewed and approved by </w:t>
      </w:r>
      <w:r w:rsidRPr="00E50BDB">
        <w:rPr>
          <w:rFonts w:ascii="Candara" w:eastAsia="Calibri" w:hAnsi="Candara" w:cs="Calibri"/>
          <w:b/>
          <w:bCs/>
          <w:sz w:val="24"/>
          <w:szCs w:val="24"/>
        </w:rPr>
        <w:t>OMB;</w:t>
      </w:r>
    </w:p>
    <w:p w:rsidR="00254128" w:rsidRPr="00E50BDB" w:rsidP="00E50BDB" w14:paraId="4E905A89" w14:textId="371368AD">
      <w:pPr>
        <w:pStyle w:val="ListParagraph"/>
        <w:numPr>
          <w:ilvl w:val="0"/>
          <w:numId w:val="26"/>
        </w:numPr>
        <w:spacing w:after="120" w:line="240" w:lineRule="auto"/>
        <w:rPr>
          <w:rFonts w:ascii="Candara" w:hAnsi="Candara"/>
          <w:sz w:val="24"/>
          <w:szCs w:val="24"/>
        </w:rPr>
      </w:pPr>
      <w:r w:rsidRPr="00E50BDB">
        <w:rPr>
          <w:rFonts w:ascii="Candara" w:eastAsia="Calibri" w:hAnsi="Candara" w:cs="Calibri"/>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54128" w:rsidRPr="00E50BDB" w:rsidP="004854BC" w14:paraId="22BC1EE4" w14:textId="74F2E7FB">
      <w:pPr>
        <w:pStyle w:val="ListParagraph"/>
        <w:numPr>
          <w:ilvl w:val="0"/>
          <w:numId w:val="26"/>
        </w:numPr>
        <w:spacing w:after="480" w:line="240" w:lineRule="auto"/>
        <w:rPr>
          <w:rFonts w:ascii="Candara" w:hAnsi="Candara"/>
          <w:sz w:val="24"/>
          <w:szCs w:val="24"/>
        </w:rPr>
      </w:pPr>
      <w:r w:rsidRPr="00E50BDB">
        <w:rPr>
          <w:rFonts w:ascii="Candara" w:eastAsia="Calibri" w:hAnsi="Candara" w:cs="Calibri"/>
          <w:b/>
          <w:bCs/>
          <w:sz w:val="24"/>
          <w:szCs w:val="24"/>
        </w:rPr>
        <w:t>requiring respondents to submit proprietary trade secret, or other confidential information unless the agency can demonstrate that it has instituted procedures to protect the information</w:t>
      </w:r>
      <w:r w:rsidRPr="00E50BDB" w:rsidR="006779CE">
        <w:rPr>
          <w:rFonts w:ascii="Candara" w:eastAsia="Calibri" w:hAnsi="Candara" w:cs="Calibri"/>
          <w:b/>
          <w:bCs/>
          <w:sz w:val="24"/>
          <w:szCs w:val="24"/>
        </w:rPr>
        <w:t>’</w:t>
      </w:r>
      <w:r w:rsidRPr="00E50BDB">
        <w:rPr>
          <w:rFonts w:ascii="Candara" w:eastAsia="Calibri" w:hAnsi="Candara" w:cs="Calibri"/>
          <w:b/>
          <w:bCs/>
          <w:sz w:val="24"/>
          <w:szCs w:val="24"/>
        </w:rPr>
        <w:t>s confidentiality to the extent permitted by law.</w:t>
      </w:r>
    </w:p>
    <w:p w:rsidR="007007B5" w:rsidRPr="00A954A0" w:rsidP="003942CE" w14:paraId="675000FA" w14:textId="4F8F5450">
      <w:pPr>
        <w:spacing w:after="240" w:line="480" w:lineRule="auto"/>
        <w:rPr>
          <w:rFonts w:ascii="Calibri" w:eastAsia="Calibri" w:hAnsi="Calibri" w:cs="Calibri"/>
          <w:sz w:val="24"/>
          <w:szCs w:val="24"/>
        </w:rPr>
      </w:pPr>
      <w:r w:rsidRPr="00A954A0">
        <w:rPr>
          <w:rFonts w:ascii="Calibri" w:eastAsia="Calibri" w:hAnsi="Calibri" w:cs="Calibri"/>
          <w:sz w:val="24"/>
          <w:szCs w:val="24"/>
        </w:rPr>
        <w:t>There are no special circumstances that would cause USDA FNS to conduct this information collection in a manner inconsistent with 5 CFR 1320.5.</w:t>
      </w:r>
    </w:p>
    <w:p w:rsidR="00545AA8" w:rsidRPr="00A954A0" w:rsidP="00C32C2C" w14:paraId="570EED69" w14:textId="075CA139">
      <w:pPr>
        <w:pStyle w:val="Heading1New"/>
      </w:pPr>
      <w:bookmarkStart w:id="20" w:name="_Toc148333342"/>
      <w:r w:rsidRPr="00A954A0">
        <w:t xml:space="preserve">A8. </w:t>
      </w:r>
      <w:r w:rsidR="00D41188">
        <w:t xml:space="preserve">Comments to the Federal Register notice and efforts for consultation: </w:t>
      </w:r>
      <w:r w:rsidRPr="00A954A0">
        <w:t xml:space="preserve">If applicable, provide a copy and identify the date and page number of </w:t>
      </w:r>
      <w:r w:rsidRPr="00A954A0">
        <w:t>publication</w:t>
      </w:r>
      <w:r w:rsidRPr="00A954A0">
        <w:t xml:space="preserve"> in the Federal Register of the agency</w:t>
      </w:r>
      <w:r w:rsidRPr="00A954A0" w:rsidR="006779CE">
        <w:t>’</w:t>
      </w:r>
      <w:r w:rsidRPr="00A954A0">
        <w:t xml:space="preserve">s notice, required by 5 CFR 1320.8 (d), soliciting comments on the information collection prior to submission to OMB. Summarize public comments received </w:t>
      </w:r>
      <w:r w:rsidRPr="00A954A0">
        <w:t>in response to that notice and describe actions taken by the agency in response to these comments. Specifically address comments received on cost and hour burden.</w:t>
      </w:r>
      <w:bookmarkEnd w:id="20"/>
      <w:r w:rsidRPr="00A954A0">
        <w:t xml:space="preserve"> </w:t>
      </w:r>
    </w:p>
    <w:p w:rsidR="00E9773B" w:rsidRPr="00A954A0" w:rsidP="00E50BDB" w14:paraId="3AA2E6EA" w14:textId="29E1D0AB">
      <w:pPr>
        <w:pStyle w:val="Question"/>
        <w:rPr>
          <w:rFonts w:ascii="Calibri" w:hAnsi="Calibri"/>
        </w:rPr>
      </w:pPr>
      <w:r w:rsidRPr="00A954A0">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E9773B" w:rsidRPr="00A954A0" w:rsidP="001D16F5" w14:paraId="7EE0BBB1" w14:textId="4CA3767B">
      <w:pPr>
        <w:spacing w:after="240" w:line="480" w:lineRule="auto"/>
        <w:rPr>
          <w:sz w:val="24"/>
          <w:szCs w:val="24"/>
        </w:rPr>
      </w:pPr>
      <w:r>
        <w:rPr>
          <w:sz w:val="24"/>
          <w:szCs w:val="24"/>
        </w:rPr>
        <w:t>The agency’s</w:t>
      </w:r>
      <w:r w:rsidR="00A379AF">
        <w:rPr>
          <w:sz w:val="24"/>
          <w:szCs w:val="24"/>
        </w:rPr>
        <w:t xml:space="preserve"> 60</w:t>
      </w:r>
      <w:r w:rsidR="00E676D0">
        <w:rPr>
          <w:sz w:val="24"/>
          <w:szCs w:val="24"/>
        </w:rPr>
        <w:t xml:space="preserve">-Day </w:t>
      </w:r>
      <w:r w:rsidR="003B2A45">
        <w:rPr>
          <w:sz w:val="24"/>
          <w:szCs w:val="24"/>
        </w:rPr>
        <w:t>Federal Register Notice (</w:t>
      </w:r>
      <w:r w:rsidR="00E676D0">
        <w:rPr>
          <w:sz w:val="24"/>
          <w:szCs w:val="24"/>
        </w:rPr>
        <w:t>FRN</w:t>
      </w:r>
      <w:r w:rsidR="003B2A45">
        <w:rPr>
          <w:sz w:val="24"/>
          <w:szCs w:val="24"/>
        </w:rPr>
        <w:t>)</w:t>
      </w:r>
      <w:r>
        <w:rPr>
          <w:sz w:val="24"/>
          <w:szCs w:val="24"/>
        </w:rPr>
        <w:t xml:space="preserve"> </w:t>
      </w:r>
      <w:r w:rsidR="001E511B">
        <w:rPr>
          <w:sz w:val="24"/>
          <w:szCs w:val="24"/>
        </w:rPr>
        <w:t xml:space="preserve">was published </w:t>
      </w:r>
      <w:r w:rsidRPr="00281BB1" w:rsidR="00281BB1">
        <w:rPr>
          <w:sz w:val="24"/>
          <w:szCs w:val="24"/>
        </w:rPr>
        <w:t>April 4, 2024</w:t>
      </w:r>
      <w:r w:rsidR="00E50A91">
        <w:rPr>
          <w:sz w:val="24"/>
          <w:szCs w:val="24"/>
        </w:rPr>
        <w:t xml:space="preserve"> (</w:t>
      </w:r>
      <w:r w:rsidR="00D9201E">
        <w:rPr>
          <w:sz w:val="24"/>
          <w:szCs w:val="24"/>
        </w:rPr>
        <w:t xml:space="preserve">89 FR </w:t>
      </w:r>
      <w:r w:rsidR="00281BB1">
        <w:rPr>
          <w:sz w:val="24"/>
          <w:szCs w:val="24"/>
        </w:rPr>
        <w:t>23545-23550</w:t>
      </w:r>
      <w:r w:rsidR="00E50A91">
        <w:rPr>
          <w:sz w:val="24"/>
          <w:szCs w:val="24"/>
        </w:rPr>
        <w:t>)</w:t>
      </w:r>
      <w:r w:rsidR="001C6741">
        <w:rPr>
          <w:sz w:val="24"/>
          <w:szCs w:val="24"/>
        </w:rPr>
        <w:t xml:space="preserve">. </w:t>
      </w:r>
      <w:r w:rsidR="006E5CC3">
        <w:rPr>
          <w:sz w:val="24"/>
          <w:szCs w:val="24"/>
        </w:rPr>
        <w:t>FNS did not receive any comments for the 60-Day FRN</w:t>
      </w:r>
      <w:r w:rsidR="00F50730">
        <w:rPr>
          <w:sz w:val="24"/>
          <w:szCs w:val="24"/>
        </w:rPr>
        <w:t>.</w:t>
      </w:r>
    </w:p>
    <w:p w:rsidR="00DC2102" w:rsidP="004B4360" w14:paraId="294798AE" w14:textId="692EFFD1">
      <w:pPr>
        <w:spacing w:after="240" w:line="480" w:lineRule="auto"/>
        <w:rPr>
          <w:sz w:val="24"/>
          <w:szCs w:val="24"/>
        </w:rPr>
      </w:pPr>
      <w:r>
        <w:rPr>
          <w:sz w:val="24"/>
          <w:szCs w:val="24"/>
        </w:rPr>
        <w:t>After the data collection instruments were developed, the study team also pretested the administrative cost instrument with staff from each eHIP project State</w:t>
      </w:r>
      <w:r w:rsidR="00AC31F0">
        <w:rPr>
          <w:sz w:val="24"/>
          <w:szCs w:val="24"/>
        </w:rPr>
        <w:t xml:space="preserve"> (Table A8.1)</w:t>
      </w:r>
      <w:r>
        <w:rPr>
          <w:sz w:val="24"/>
          <w:szCs w:val="24"/>
        </w:rPr>
        <w:t>. During each pretest, each State</w:t>
      </w:r>
      <w:r w:rsidR="00821DD4">
        <w:rPr>
          <w:sz w:val="24"/>
          <w:szCs w:val="24"/>
        </w:rPr>
        <w:t xml:space="preserve"> </w:t>
      </w:r>
      <w:r w:rsidRPr="00A954A0" w:rsidR="00A01953">
        <w:rPr>
          <w:sz w:val="24"/>
          <w:szCs w:val="24"/>
        </w:rPr>
        <w:t xml:space="preserve">provided input about </w:t>
      </w:r>
      <w:r w:rsidR="00860EF3">
        <w:rPr>
          <w:sz w:val="24"/>
          <w:szCs w:val="24"/>
        </w:rPr>
        <w:t>administrative data</w:t>
      </w:r>
      <w:r>
        <w:rPr>
          <w:sz w:val="24"/>
          <w:szCs w:val="24"/>
        </w:rPr>
        <w:t xml:space="preserve"> content</w:t>
      </w:r>
      <w:r w:rsidRPr="00A954A0" w:rsidR="00A01953">
        <w:rPr>
          <w:sz w:val="24"/>
          <w:szCs w:val="24"/>
        </w:rPr>
        <w:t xml:space="preserve">, including </w:t>
      </w:r>
      <w:r w:rsidRPr="00A954A0" w:rsidR="008128A6">
        <w:rPr>
          <w:sz w:val="24"/>
          <w:szCs w:val="24"/>
        </w:rPr>
        <w:t xml:space="preserve">what </w:t>
      </w:r>
      <w:r>
        <w:rPr>
          <w:sz w:val="24"/>
          <w:szCs w:val="24"/>
        </w:rPr>
        <w:t>data elements the State would be able to provide and how to identify each element requested</w:t>
      </w:r>
      <w:r w:rsidR="00336DAC">
        <w:rPr>
          <w:sz w:val="24"/>
          <w:szCs w:val="24"/>
        </w:rPr>
        <w:t xml:space="preserve"> (see appendix </w:t>
      </w:r>
      <w:r w:rsidR="004900B7">
        <w:rPr>
          <w:sz w:val="24"/>
          <w:szCs w:val="24"/>
        </w:rPr>
        <w:t>V</w:t>
      </w:r>
      <w:r w:rsidR="002A6087">
        <w:rPr>
          <w:sz w:val="24"/>
          <w:szCs w:val="24"/>
        </w:rPr>
        <w:t xml:space="preserve"> </w:t>
      </w:r>
      <w:r w:rsidR="00336DAC">
        <w:rPr>
          <w:sz w:val="24"/>
          <w:szCs w:val="24"/>
        </w:rPr>
        <w:t>for the pretest protocol)</w:t>
      </w:r>
      <w:r w:rsidRPr="00A954A0" w:rsidR="00A01953">
        <w:rPr>
          <w:sz w:val="24"/>
          <w:szCs w:val="24"/>
        </w:rPr>
        <w:t xml:space="preserve">. This </w:t>
      </w:r>
      <w:r>
        <w:rPr>
          <w:sz w:val="24"/>
          <w:szCs w:val="24"/>
        </w:rPr>
        <w:t xml:space="preserve">pretest </w:t>
      </w:r>
      <w:r w:rsidRPr="00A954A0" w:rsidR="00A01953">
        <w:rPr>
          <w:sz w:val="24"/>
          <w:szCs w:val="24"/>
        </w:rPr>
        <w:t>feedback was then used to refine and finalize the data collection instruments (</w:t>
      </w:r>
      <w:r w:rsidR="003E5E17">
        <w:rPr>
          <w:sz w:val="24"/>
          <w:szCs w:val="24"/>
        </w:rPr>
        <w:t xml:space="preserve">see appendix </w:t>
      </w:r>
      <w:r w:rsidR="004900B7">
        <w:rPr>
          <w:sz w:val="24"/>
          <w:szCs w:val="24"/>
        </w:rPr>
        <w:t>W</w:t>
      </w:r>
      <w:r w:rsidR="002A6087">
        <w:rPr>
          <w:sz w:val="24"/>
          <w:szCs w:val="24"/>
        </w:rPr>
        <w:t xml:space="preserve"> </w:t>
      </w:r>
      <w:r w:rsidR="00336DAC">
        <w:rPr>
          <w:sz w:val="24"/>
          <w:szCs w:val="24"/>
        </w:rPr>
        <w:t>for the Pretest Methods and Summary of Findings</w:t>
      </w:r>
      <w:r w:rsidR="0047771B">
        <w:rPr>
          <w:sz w:val="24"/>
          <w:szCs w:val="24"/>
        </w:rPr>
        <w:t>)</w:t>
      </w:r>
      <w:r w:rsidRPr="00A954A0" w:rsidR="00A01953">
        <w:rPr>
          <w:sz w:val="24"/>
          <w:szCs w:val="24"/>
        </w:rPr>
        <w:t>.</w:t>
      </w:r>
    </w:p>
    <w:p w:rsidR="00AC31F0" w:rsidRPr="00C633B4" w:rsidP="00C633B4" w14:paraId="5B06B37D" w14:textId="320D8915">
      <w:pPr>
        <w:pStyle w:val="TableTitle-IPR"/>
        <w:rPr>
          <w:sz w:val="24"/>
        </w:rPr>
      </w:pPr>
      <w:bookmarkStart w:id="21" w:name="_Toc162866540"/>
      <w:bookmarkStart w:id="22" w:name="_Toc170219534"/>
      <w:r w:rsidRPr="00C633B4">
        <w:rPr>
          <w:sz w:val="24"/>
        </w:rPr>
        <w:t>Table A8.1.</w:t>
      </w:r>
      <w:bookmarkEnd w:id="21"/>
      <w:r w:rsidRPr="00C633B4" w:rsidR="00C633B4">
        <w:rPr>
          <w:sz w:val="24"/>
        </w:rPr>
        <w:t xml:space="preserve"> Instrument Pretest Respondents</w:t>
      </w:r>
      <w:bookmarkEnd w:id="22"/>
    </w:p>
    <w:tbl>
      <w:tblPr>
        <w:tblStyle w:val="TableGrid"/>
        <w:tblW w:w="5000" w:type="pct"/>
        <w:tblInd w:w="0" w:type="dxa"/>
        <w:tblBorders>
          <w:top w:val="single" w:sz="8" w:space="0" w:color="B32732"/>
          <w:left w:val="none" w:sz="0" w:space="0" w:color="auto"/>
          <w:bottom w:val="single" w:sz="18" w:space="0" w:color="66706C"/>
          <w:right w:val="none" w:sz="0" w:space="0" w:color="auto"/>
          <w:insideH w:val="single" w:sz="4" w:space="0" w:color="A6A6A6"/>
          <w:insideV w:val="single" w:sz="4" w:space="0" w:color="A6A6A6"/>
        </w:tblBorders>
        <w:tblCellMar>
          <w:left w:w="58" w:type="dxa"/>
          <w:right w:w="58" w:type="dxa"/>
        </w:tblCellMar>
        <w:tblLook w:val="04A0"/>
      </w:tblPr>
      <w:tblGrid>
        <w:gridCol w:w="2669"/>
        <w:gridCol w:w="6691"/>
      </w:tblGrid>
      <w:tr w14:paraId="3CDE8A3C" w14:textId="77777777" w:rsidTr="00D65197">
        <w:tblPrEx>
          <w:tblW w:w="5000" w:type="pct"/>
          <w:tblInd w:w="0" w:type="dxa"/>
          <w:tblBorders>
            <w:top w:val="single" w:sz="8" w:space="0" w:color="B32732"/>
            <w:left w:val="none" w:sz="0" w:space="0" w:color="auto"/>
            <w:bottom w:val="single" w:sz="18" w:space="0" w:color="66706C"/>
            <w:right w:val="none" w:sz="0" w:space="0" w:color="auto"/>
            <w:insideH w:val="single" w:sz="4" w:space="0" w:color="A6A6A6"/>
            <w:insideV w:val="single" w:sz="4" w:space="0" w:color="A6A6A6"/>
          </w:tblBorders>
          <w:tblCellMar>
            <w:left w:w="58" w:type="dxa"/>
            <w:right w:w="58" w:type="dxa"/>
          </w:tblCellMar>
          <w:tblLook w:val="04A0"/>
        </w:tblPrEx>
        <w:trPr>
          <w:trHeight w:val="432"/>
          <w:tblHeader/>
        </w:trPr>
        <w:tc>
          <w:tcPr>
            <w:tcW w:w="1426" w:type="pct"/>
            <w:tcBorders>
              <w:top w:val="single" w:sz="8" w:space="0" w:color="003C79"/>
              <w:left w:val="nil"/>
              <w:bottom w:val="single" w:sz="8" w:space="0" w:color="003C79"/>
              <w:right w:val="nil"/>
            </w:tcBorders>
            <w:vAlign w:val="center"/>
            <w:hideMark/>
          </w:tcPr>
          <w:p w:rsidR="009C6EB5" w:rsidP="00004562" w14:paraId="2B20A0F9" w14:textId="77777777">
            <w:pPr>
              <w:pStyle w:val="TableText-IPR"/>
              <w:keepNext/>
              <w:keepLines/>
              <w:jc w:val="center"/>
              <w:rPr>
                <w:rFonts w:ascii="Lucida Sans" w:hAnsi="Lucida Sans" w:cs="Arial"/>
                <w:b/>
                <w:sz w:val="18"/>
                <w:szCs w:val="18"/>
              </w:rPr>
            </w:pPr>
            <w:r>
              <w:rPr>
                <w:rFonts w:ascii="Lucida Sans" w:hAnsi="Lucida Sans" w:cs="Arial"/>
                <w:b/>
                <w:sz w:val="18"/>
                <w:szCs w:val="18"/>
              </w:rPr>
              <w:t>Name</w:t>
            </w:r>
          </w:p>
        </w:tc>
        <w:tc>
          <w:tcPr>
            <w:tcW w:w="3574" w:type="pct"/>
            <w:tcBorders>
              <w:top w:val="single" w:sz="8" w:space="0" w:color="003C79"/>
              <w:left w:val="nil"/>
              <w:bottom w:val="single" w:sz="8" w:space="0" w:color="003C79"/>
              <w:right w:val="nil"/>
            </w:tcBorders>
            <w:vAlign w:val="center"/>
            <w:hideMark/>
          </w:tcPr>
          <w:p w:rsidR="009C6EB5" w:rsidP="00004562" w14:paraId="1DCC2CC7" w14:textId="0E012AB9">
            <w:pPr>
              <w:pStyle w:val="TableText-IPR"/>
              <w:keepNext/>
              <w:keepLines/>
              <w:jc w:val="center"/>
              <w:rPr>
                <w:rFonts w:ascii="Lucida Sans" w:hAnsi="Lucida Sans" w:cs="Arial"/>
                <w:b/>
                <w:sz w:val="18"/>
                <w:szCs w:val="18"/>
              </w:rPr>
            </w:pPr>
            <w:r>
              <w:rPr>
                <w:rFonts w:ascii="Lucida Sans" w:hAnsi="Lucida Sans" w:cs="Arial"/>
                <w:b/>
                <w:sz w:val="18"/>
                <w:szCs w:val="18"/>
              </w:rPr>
              <w:t>Title and Organization</w:t>
            </w:r>
          </w:p>
        </w:tc>
      </w:tr>
      <w:tr w14:paraId="01F6135D" w14:textId="77777777" w:rsidTr="00D65197">
        <w:tblPrEx>
          <w:tblW w:w="5000" w:type="pct"/>
          <w:tblInd w:w="0" w:type="dxa"/>
          <w:tblCellMar>
            <w:left w:w="58" w:type="dxa"/>
            <w:right w:w="58" w:type="dxa"/>
          </w:tblCellMar>
          <w:tblLook w:val="04A0"/>
        </w:tblPrEx>
        <w:trPr>
          <w:trHeight w:val="432"/>
        </w:trPr>
        <w:tc>
          <w:tcPr>
            <w:tcW w:w="1426" w:type="pct"/>
            <w:tcBorders>
              <w:top w:val="single" w:sz="8" w:space="0" w:color="003C79"/>
              <w:left w:val="nil"/>
              <w:bottom w:val="single" w:sz="4" w:space="0" w:color="A6A6A6"/>
              <w:right w:val="single" w:sz="4" w:space="0" w:color="A6A6A6"/>
            </w:tcBorders>
            <w:vAlign w:val="center"/>
          </w:tcPr>
          <w:p w:rsidR="009C6EB5" w:rsidRPr="00116E02" w:rsidP="00004562" w14:paraId="406A05A0" w14:textId="4B18E611">
            <w:pPr>
              <w:pStyle w:val="TableText-IPR"/>
              <w:keepNext/>
              <w:keepLines/>
              <w:spacing w:line="240" w:lineRule="exact"/>
              <w:rPr>
                <w:rFonts w:cs="Calibri"/>
              </w:rPr>
            </w:pPr>
            <w:r>
              <w:rPr>
                <w:rFonts w:cs="Calibri"/>
              </w:rPr>
              <w:t>De’Angela</w:t>
            </w:r>
            <w:r>
              <w:rPr>
                <w:rFonts w:cs="Calibri"/>
              </w:rPr>
              <w:t xml:space="preserve"> </w:t>
            </w:r>
            <w:r w:rsidR="002938C0">
              <w:rPr>
                <w:rFonts w:cs="Calibri"/>
              </w:rPr>
              <w:t>C.</w:t>
            </w:r>
          </w:p>
        </w:tc>
        <w:tc>
          <w:tcPr>
            <w:tcW w:w="3574" w:type="pct"/>
            <w:tcBorders>
              <w:top w:val="single" w:sz="8" w:space="0" w:color="003C79"/>
              <w:left w:val="single" w:sz="4" w:space="0" w:color="A6A6A6"/>
              <w:bottom w:val="single" w:sz="4" w:space="0" w:color="A6A6A6"/>
              <w:right w:val="single" w:sz="4" w:space="0" w:color="A6A6A6"/>
            </w:tcBorders>
            <w:vAlign w:val="center"/>
          </w:tcPr>
          <w:p w:rsidR="009C6EB5" w:rsidRPr="00116E02" w:rsidP="00004562" w14:paraId="3E669F32" w14:textId="2D0EBB9D">
            <w:pPr>
              <w:pStyle w:val="TableText-IPR"/>
              <w:keepNext/>
              <w:keepLines/>
              <w:spacing w:line="240" w:lineRule="exact"/>
              <w:rPr>
                <w:rFonts w:cs="Calibri"/>
              </w:rPr>
            </w:pPr>
            <w:r>
              <w:rPr>
                <w:rFonts w:cs="Calibri"/>
              </w:rPr>
              <w:t>eHIP coordinator, Department of Children &amp; Family Services, Louisiana</w:t>
            </w:r>
          </w:p>
        </w:tc>
      </w:tr>
      <w:tr w14:paraId="227FACF1" w14:textId="77777777" w:rsidTr="00D65197">
        <w:tblPrEx>
          <w:tblW w:w="5000" w:type="pct"/>
          <w:tblInd w:w="0" w:type="dxa"/>
          <w:tblCellMar>
            <w:left w:w="58" w:type="dxa"/>
            <w:right w:w="58" w:type="dxa"/>
          </w:tblCellMar>
          <w:tblLook w:val="04A0"/>
        </w:tblPrEx>
        <w:trPr>
          <w:trHeight w:val="432"/>
        </w:trPr>
        <w:tc>
          <w:tcPr>
            <w:tcW w:w="1426" w:type="pct"/>
            <w:tcBorders>
              <w:top w:val="single" w:sz="4" w:space="0" w:color="A6A6A6"/>
              <w:left w:val="nil"/>
              <w:bottom w:val="single" w:sz="4" w:space="0" w:color="A6A6A6"/>
              <w:right w:val="single" w:sz="4" w:space="0" w:color="A6A6A6"/>
            </w:tcBorders>
            <w:vAlign w:val="center"/>
          </w:tcPr>
          <w:p w:rsidR="009C6EB5" w:rsidRPr="00116E02" w:rsidP="00004562" w14:paraId="5851943A" w14:textId="153EFEA8">
            <w:pPr>
              <w:pStyle w:val="TableText-IPR"/>
              <w:keepNext/>
              <w:keepLines/>
              <w:spacing w:line="240" w:lineRule="exact"/>
              <w:rPr>
                <w:rFonts w:cs="Calibri"/>
              </w:rPr>
            </w:pPr>
            <w:r>
              <w:rPr>
                <w:rFonts w:cs="Calibri"/>
              </w:rPr>
              <w:t xml:space="preserve">Emma </w:t>
            </w:r>
            <w:r w:rsidR="002938C0">
              <w:rPr>
                <w:rFonts w:cs="Calibri"/>
              </w:rPr>
              <w:t>K.</w:t>
            </w:r>
          </w:p>
        </w:tc>
        <w:tc>
          <w:tcPr>
            <w:tcW w:w="3574" w:type="pct"/>
            <w:tcBorders>
              <w:top w:val="single" w:sz="4" w:space="0" w:color="A6A6A6"/>
              <w:left w:val="single" w:sz="4" w:space="0" w:color="A6A6A6"/>
              <w:bottom w:val="single" w:sz="4" w:space="0" w:color="A6A6A6"/>
              <w:right w:val="single" w:sz="4" w:space="0" w:color="A6A6A6"/>
            </w:tcBorders>
            <w:vAlign w:val="center"/>
          </w:tcPr>
          <w:p w:rsidR="009C6EB5" w:rsidRPr="00116E02" w:rsidP="00004562" w14:paraId="4CB04CD0" w14:textId="36052C38">
            <w:pPr>
              <w:pStyle w:val="TableText-IPR"/>
              <w:keepNext/>
              <w:keepLines/>
              <w:spacing w:line="240" w:lineRule="exact"/>
              <w:rPr>
                <w:rFonts w:cs="Calibri"/>
              </w:rPr>
            </w:pPr>
            <w:r>
              <w:rPr>
                <w:rFonts w:cs="Calibri"/>
              </w:rPr>
              <w:t>EB</w:t>
            </w:r>
            <w:r w:rsidR="007A640F">
              <w:rPr>
                <w:rFonts w:cs="Calibri"/>
              </w:rPr>
              <w:t>T</w:t>
            </w:r>
            <w:r>
              <w:rPr>
                <w:rFonts w:cs="Calibri"/>
              </w:rPr>
              <w:t xml:space="preserve"> and Incentives Project Administrator, Department of Human Services, Colorado</w:t>
            </w:r>
          </w:p>
        </w:tc>
      </w:tr>
      <w:tr w14:paraId="109119D7" w14:textId="77777777" w:rsidTr="00D65197">
        <w:tblPrEx>
          <w:tblW w:w="5000" w:type="pct"/>
          <w:tblInd w:w="0" w:type="dxa"/>
          <w:tblCellMar>
            <w:left w:w="58" w:type="dxa"/>
            <w:right w:w="58" w:type="dxa"/>
          </w:tblCellMar>
          <w:tblLook w:val="04A0"/>
        </w:tblPrEx>
        <w:trPr>
          <w:trHeight w:val="432"/>
        </w:trPr>
        <w:tc>
          <w:tcPr>
            <w:tcW w:w="1426" w:type="pct"/>
            <w:tcBorders>
              <w:top w:val="single" w:sz="4" w:space="0" w:color="A6A6A6"/>
              <w:left w:val="nil"/>
              <w:bottom w:val="single" w:sz="4" w:space="0" w:color="A6A6A6"/>
              <w:right w:val="single" w:sz="4" w:space="0" w:color="A6A6A6"/>
            </w:tcBorders>
            <w:vAlign w:val="center"/>
          </w:tcPr>
          <w:p w:rsidR="009C6EB5" w:rsidRPr="00116E02" w:rsidP="00004562" w14:paraId="171A6A2D" w14:textId="4C73D47D">
            <w:pPr>
              <w:pStyle w:val="TableText-IPR"/>
              <w:keepLines/>
              <w:spacing w:line="240" w:lineRule="exact"/>
              <w:rPr>
                <w:rFonts w:cs="Calibri"/>
              </w:rPr>
            </w:pPr>
            <w:r>
              <w:rPr>
                <w:rFonts w:cs="Calibri"/>
              </w:rPr>
              <w:t xml:space="preserve">Alex </w:t>
            </w:r>
            <w:r w:rsidR="002938C0">
              <w:rPr>
                <w:rFonts w:cs="Calibri"/>
              </w:rPr>
              <w:t>H.</w:t>
            </w:r>
          </w:p>
        </w:tc>
        <w:tc>
          <w:tcPr>
            <w:tcW w:w="3574" w:type="pct"/>
            <w:tcBorders>
              <w:top w:val="single" w:sz="4" w:space="0" w:color="A6A6A6"/>
              <w:left w:val="single" w:sz="4" w:space="0" w:color="A6A6A6"/>
              <w:bottom w:val="single" w:sz="4" w:space="0" w:color="A6A6A6"/>
              <w:right w:val="single" w:sz="4" w:space="0" w:color="A6A6A6"/>
            </w:tcBorders>
            <w:vAlign w:val="center"/>
          </w:tcPr>
          <w:p w:rsidR="009C6EB5" w:rsidRPr="00116E02" w:rsidP="00004562" w14:paraId="6B6804E8" w14:textId="6E063ECA">
            <w:pPr>
              <w:rPr>
                <w:rFonts w:ascii="Calibri" w:hAnsi="Calibri" w:cs="Calibri"/>
              </w:rPr>
            </w:pPr>
            <w:r>
              <w:rPr>
                <w:rFonts w:ascii="Calibri" w:hAnsi="Calibri" w:cs="Calibri"/>
              </w:rPr>
              <w:t>Electronic Health Incentives Program Coordinator, Department of Health, Washington State</w:t>
            </w:r>
          </w:p>
        </w:tc>
      </w:tr>
    </w:tbl>
    <w:p w:rsidR="00AC31F0" w:rsidP="004B4360" w14:paraId="7771B4AD" w14:textId="77777777">
      <w:pPr>
        <w:spacing w:after="240" w:line="480" w:lineRule="auto"/>
        <w:rPr>
          <w:sz w:val="24"/>
          <w:szCs w:val="24"/>
        </w:rPr>
      </w:pPr>
    </w:p>
    <w:p w:rsidR="0082659B" w:rsidRPr="00A954A0" w:rsidP="002D0C75" w14:paraId="39F84FBF" w14:textId="4E1958D0">
      <w:pPr>
        <w:spacing w:after="240" w:line="480" w:lineRule="auto"/>
        <w:rPr>
          <w:sz w:val="24"/>
          <w:szCs w:val="24"/>
        </w:rPr>
      </w:pPr>
      <w:r w:rsidRPr="00CB7896">
        <w:rPr>
          <w:sz w:val="24"/>
          <w:szCs w:val="28"/>
        </w:rPr>
        <w:t>FNS consulted with a mathematical statistician from USDA’s National Agricultural Statistics Service (NASS)</w:t>
      </w:r>
      <w:r w:rsidR="009C6EB5">
        <w:rPr>
          <w:sz w:val="24"/>
          <w:szCs w:val="28"/>
        </w:rPr>
        <w:t xml:space="preserve">, </w:t>
      </w:r>
      <w:r w:rsidRPr="00803A02" w:rsidR="00803A02">
        <w:rPr>
          <w:sz w:val="24"/>
          <w:szCs w:val="28"/>
        </w:rPr>
        <w:t>Prakash Adhikari</w:t>
      </w:r>
      <w:r w:rsidRPr="00CB7896">
        <w:rPr>
          <w:sz w:val="24"/>
          <w:szCs w:val="28"/>
        </w:rPr>
        <w:t xml:space="preserve">, who reviewed the study methodology </w:t>
      </w:r>
      <w:r w:rsidRPr="00552935">
        <w:rPr>
          <w:sz w:val="24"/>
          <w:szCs w:val="28"/>
        </w:rPr>
        <w:t>and procedures.</w:t>
      </w:r>
      <w:r w:rsidRPr="00552935">
        <w:rPr>
          <w:sz w:val="24"/>
          <w:szCs w:val="28"/>
        </w:rPr>
        <w:t xml:space="preserve"> </w:t>
      </w:r>
      <w:r w:rsidRPr="00552935">
        <w:rPr>
          <w:sz w:val="24"/>
          <w:szCs w:val="28"/>
        </w:rPr>
        <w:t xml:space="preserve">The review from NASS and the study team’s response to NASS’s comments appear in </w:t>
      </w:r>
      <w:r w:rsidRPr="006F3CD7">
        <w:rPr>
          <w:sz w:val="24"/>
          <w:szCs w:val="28"/>
        </w:rPr>
        <w:t xml:space="preserve">appendices </w:t>
      </w:r>
      <w:r w:rsidR="004900B7">
        <w:rPr>
          <w:sz w:val="24"/>
          <w:szCs w:val="28"/>
        </w:rPr>
        <w:t>Q</w:t>
      </w:r>
      <w:r w:rsidRPr="006F3CD7" w:rsidR="00D95FC7">
        <w:rPr>
          <w:sz w:val="24"/>
          <w:szCs w:val="28"/>
        </w:rPr>
        <w:t xml:space="preserve"> </w:t>
      </w:r>
      <w:r w:rsidRPr="006F3CD7" w:rsidR="00541B4E">
        <w:rPr>
          <w:sz w:val="24"/>
          <w:szCs w:val="28"/>
        </w:rPr>
        <w:t xml:space="preserve">and </w:t>
      </w:r>
      <w:r w:rsidR="004900B7">
        <w:rPr>
          <w:sz w:val="24"/>
          <w:szCs w:val="28"/>
        </w:rPr>
        <w:t>R</w:t>
      </w:r>
      <w:r w:rsidRPr="00552935">
        <w:rPr>
          <w:sz w:val="24"/>
          <w:szCs w:val="28"/>
        </w:rPr>
        <w:t>.</w:t>
      </w:r>
    </w:p>
    <w:p w:rsidR="00254128" w:rsidRPr="00A954A0" w:rsidP="00C32C2C" w14:paraId="74D43F79" w14:textId="5BA383AE">
      <w:pPr>
        <w:pStyle w:val="Heading1New"/>
      </w:pPr>
      <w:bookmarkStart w:id="23" w:name="_Toc148333343"/>
      <w:r w:rsidRPr="00A954A0">
        <w:t>A9. Explain any decision to provide any payment or gift to respondents, other than remuneration of contractors or grantees.</w:t>
      </w:r>
      <w:bookmarkEnd w:id="23"/>
    </w:p>
    <w:p w:rsidR="00254128" w:rsidRPr="00A954A0" w:rsidP="003942CE" w14:paraId="0120CC26" w14:textId="6330F52C">
      <w:pPr>
        <w:spacing w:after="240" w:line="480" w:lineRule="auto"/>
        <w:rPr>
          <w:sz w:val="24"/>
          <w:szCs w:val="24"/>
        </w:rPr>
      </w:pPr>
      <w:r w:rsidRPr="00A954A0">
        <w:rPr>
          <w:rFonts w:ascii="Calibri" w:eastAsia="Calibri" w:hAnsi="Calibri" w:cs="Calibri"/>
          <w:sz w:val="24"/>
          <w:szCs w:val="24"/>
        </w:rPr>
        <w:t>No payment or gift will be provided to respondents.</w:t>
      </w:r>
    </w:p>
    <w:p w:rsidR="00254128" w:rsidRPr="00A954A0" w:rsidP="00C32C2C" w14:paraId="665C851B" w14:textId="06ED219F">
      <w:pPr>
        <w:pStyle w:val="Heading1New"/>
      </w:pPr>
      <w:bookmarkStart w:id="24" w:name="_Toc148333344"/>
      <w:r w:rsidRPr="00A954A0">
        <w:t xml:space="preserve">A10. </w:t>
      </w:r>
      <w:r w:rsidR="00D41188">
        <w:t xml:space="preserve">Assurances of confidentiality provided to respondents: </w:t>
      </w:r>
      <w:r w:rsidRPr="00A954A0">
        <w:t>Describe any assurance of confidentiality provided to respondents and the basis for the assurance in statute, regulation, or agency policy</w:t>
      </w:r>
      <w:bookmarkEnd w:id="24"/>
    </w:p>
    <w:p w:rsidR="000202A4" w:rsidRPr="00A954A0" w14:paraId="6A9207E2" w14:textId="6A051CDC">
      <w:pPr>
        <w:pStyle w:val="Body11ptCalibrDBi-IPR"/>
        <w:rPr>
          <w:sz w:val="24"/>
        </w:rPr>
      </w:pPr>
      <w:r w:rsidRPr="00A954A0">
        <w:rPr>
          <w:sz w:val="24"/>
        </w:rPr>
        <w:t xml:space="preserve">In accordance with the Privacy Act of 1974, the study team will protect the privacy of all information collected for the study and will use it for research purposes only. No information that identifies any study participant will be </w:t>
      </w:r>
      <w:r w:rsidRPr="00A954A0" w:rsidR="00213A59">
        <w:rPr>
          <w:sz w:val="24"/>
        </w:rPr>
        <w:t>collected</w:t>
      </w:r>
      <w:r w:rsidRPr="00A954A0" w:rsidR="002071D5">
        <w:rPr>
          <w:sz w:val="24"/>
        </w:rPr>
        <w:t>; only aggregate</w:t>
      </w:r>
      <w:r w:rsidRPr="00A954A0" w:rsidR="00E431BC">
        <w:rPr>
          <w:sz w:val="24"/>
        </w:rPr>
        <w:t xml:space="preserve"> participant</w:t>
      </w:r>
      <w:r w:rsidRPr="00A954A0" w:rsidR="002071D5">
        <w:rPr>
          <w:sz w:val="24"/>
        </w:rPr>
        <w:t xml:space="preserve"> data will be </w:t>
      </w:r>
      <w:r w:rsidRPr="00A954A0" w:rsidR="00DD2365">
        <w:rPr>
          <w:sz w:val="24"/>
        </w:rPr>
        <w:t>collected</w:t>
      </w:r>
      <w:r w:rsidRPr="00A954A0" w:rsidR="00E431BC">
        <w:rPr>
          <w:sz w:val="24"/>
        </w:rPr>
        <w:t>.</w:t>
      </w:r>
      <w:r w:rsidRPr="00A954A0" w:rsidR="002071D5">
        <w:rPr>
          <w:sz w:val="24"/>
        </w:rPr>
        <w:t xml:space="preserve"> </w:t>
      </w:r>
      <w:r w:rsidRPr="00A954A0" w:rsidR="006779CE">
        <w:rPr>
          <w:sz w:val="24"/>
        </w:rPr>
        <w:t xml:space="preserve">FNS Privacy </w:t>
      </w:r>
      <w:r w:rsidRPr="00D95951" w:rsidR="006779CE">
        <w:rPr>
          <w:sz w:val="24"/>
        </w:rPr>
        <w:t xml:space="preserve">Officer, </w:t>
      </w:r>
      <w:r w:rsidRPr="00D95951" w:rsidR="00232AAE">
        <w:rPr>
          <w:sz w:val="24"/>
        </w:rPr>
        <w:t>D</w:t>
      </w:r>
      <w:r w:rsidRPr="00D95951" w:rsidR="007C2026">
        <w:rPr>
          <w:sz w:val="24"/>
        </w:rPr>
        <w:t>eea Coleman</w:t>
      </w:r>
      <w:r w:rsidRPr="00D95951" w:rsidR="006779CE">
        <w:rPr>
          <w:sz w:val="24"/>
        </w:rPr>
        <w:t xml:space="preserve">, reviewed </w:t>
      </w:r>
      <w:r w:rsidRPr="00D95951" w:rsidR="00903921">
        <w:rPr>
          <w:sz w:val="24"/>
        </w:rPr>
        <w:t xml:space="preserve">on </w:t>
      </w:r>
      <w:r w:rsidRPr="00D65197" w:rsidR="008233FD">
        <w:rPr>
          <w:sz w:val="24"/>
        </w:rPr>
        <w:t>[</w:t>
      </w:r>
      <w:r w:rsidRPr="00D65197" w:rsidR="001D1111">
        <w:rPr>
          <w:sz w:val="24"/>
        </w:rPr>
        <w:t>July 8, 2024</w:t>
      </w:r>
      <w:r w:rsidRPr="00D65197" w:rsidR="008233FD">
        <w:rPr>
          <w:sz w:val="24"/>
        </w:rPr>
        <w:t>]</w:t>
      </w:r>
      <w:r w:rsidRPr="00D95951" w:rsidR="006779CE">
        <w:rPr>
          <w:sz w:val="24"/>
        </w:rPr>
        <w:t xml:space="preserve"> this</w:t>
      </w:r>
      <w:r w:rsidRPr="00A954A0" w:rsidR="006779CE">
        <w:rPr>
          <w:sz w:val="24"/>
        </w:rPr>
        <w:t xml:space="preserve"> information collection request and de</w:t>
      </w:r>
      <w:r w:rsidRPr="00A954A0" w:rsidR="00E602D4">
        <w:rPr>
          <w:sz w:val="24"/>
        </w:rPr>
        <w:t>termined that the collection is not subject to the requirements of the Privacy Act.</w:t>
      </w:r>
      <w:r w:rsidRPr="00A954A0">
        <w:rPr>
          <w:sz w:val="24"/>
        </w:rPr>
        <w:t xml:space="preserve"> The identities of </w:t>
      </w:r>
      <w:r w:rsidR="005D19AC">
        <w:rPr>
          <w:sz w:val="24"/>
        </w:rPr>
        <w:t xml:space="preserve">participating </w:t>
      </w:r>
      <w:r w:rsidRPr="00A954A0" w:rsidR="00B66DE6">
        <w:rPr>
          <w:sz w:val="24"/>
        </w:rPr>
        <w:t>SNAP State agency</w:t>
      </w:r>
      <w:r w:rsidR="008233FD">
        <w:rPr>
          <w:sz w:val="24"/>
        </w:rPr>
        <w:t>, EBT processor, TPP, retailer, and GusNIP grant</w:t>
      </w:r>
      <w:r w:rsidR="005D19AC">
        <w:rPr>
          <w:sz w:val="24"/>
        </w:rPr>
        <w:t>ee</w:t>
      </w:r>
      <w:r w:rsidR="008233FD">
        <w:rPr>
          <w:sz w:val="24"/>
        </w:rPr>
        <w:t xml:space="preserve"> staff</w:t>
      </w:r>
      <w:r w:rsidRPr="00A954A0" w:rsidR="002414F5">
        <w:rPr>
          <w:sz w:val="24"/>
        </w:rPr>
        <w:t xml:space="preserve"> </w:t>
      </w:r>
      <w:r w:rsidRPr="00A954A0">
        <w:rPr>
          <w:sz w:val="24"/>
        </w:rPr>
        <w:t>will not be disclosed.</w:t>
      </w:r>
    </w:p>
    <w:p w:rsidR="000202A4" w:rsidRPr="00A954A0" w:rsidP="000202A4" w14:paraId="2230E62D" w14:textId="655B7B6C">
      <w:pPr>
        <w:pStyle w:val="Body11ptCalibrDBi-IPR"/>
        <w:rPr>
          <w:sz w:val="24"/>
        </w:rPr>
      </w:pPr>
      <w:r w:rsidRPr="00A954A0">
        <w:rPr>
          <w:sz w:val="24"/>
        </w:rPr>
        <w:t>SNAP</w:t>
      </w:r>
      <w:r w:rsidRPr="00A954A0">
        <w:rPr>
          <w:sz w:val="24"/>
        </w:rPr>
        <w:t xml:space="preserve"> S</w:t>
      </w:r>
      <w:r w:rsidRPr="00A954A0">
        <w:rPr>
          <w:sz w:val="24"/>
        </w:rPr>
        <w:t>tate agencies</w:t>
      </w:r>
      <w:r w:rsidR="005D19AC">
        <w:rPr>
          <w:sz w:val="24"/>
        </w:rPr>
        <w:t>, EBT processors, TPPs, retailers, NIFA and NTAE staff, and GusNIP grantees</w:t>
      </w:r>
      <w:r w:rsidRPr="00A954A0">
        <w:rPr>
          <w:sz w:val="24"/>
        </w:rPr>
        <w:t xml:space="preserve"> </w:t>
      </w:r>
      <w:r w:rsidRPr="00A954A0" w:rsidR="004B5933">
        <w:rPr>
          <w:sz w:val="24"/>
        </w:rPr>
        <w:t xml:space="preserve">asked to submit </w:t>
      </w:r>
      <w:r w:rsidR="005D19AC">
        <w:rPr>
          <w:sz w:val="24"/>
        </w:rPr>
        <w:t>administrative</w:t>
      </w:r>
      <w:r w:rsidRPr="00A954A0" w:rsidR="004B5933">
        <w:rPr>
          <w:sz w:val="24"/>
        </w:rPr>
        <w:t xml:space="preserve"> data </w:t>
      </w:r>
      <w:r w:rsidRPr="00A954A0" w:rsidR="003E12F4">
        <w:rPr>
          <w:sz w:val="24"/>
        </w:rPr>
        <w:t xml:space="preserve">will do so </w:t>
      </w:r>
      <w:r w:rsidRPr="00A954A0">
        <w:rPr>
          <w:sz w:val="24"/>
        </w:rPr>
        <w:t xml:space="preserve">using a secure </w:t>
      </w:r>
      <w:r w:rsidRPr="00A954A0" w:rsidR="003E12F4">
        <w:rPr>
          <w:sz w:val="24"/>
        </w:rPr>
        <w:t>file transfer protocol</w:t>
      </w:r>
      <w:r w:rsidRPr="00A954A0">
        <w:rPr>
          <w:sz w:val="24"/>
        </w:rPr>
        <w:t xml:space="preserve">, which prevents any unauthorized access to the information contained in the data submissions. All members of the study team </w:t>
      </w:r>
      <w:r w:rsidRPr="00A954A0" w:rsidR="0047050C">
        <w:rPr>
          <w:sz w:val="24"/>
        </w:rPr>
        <w:t>with</w:t>
      </w:r>
      <w:r w:rsidRPr="00A954A0">
        <w:rPr>
          <w:sz w:val="24"/>
        </w:rPr>
        <w:t xml:space="preserve"> access to the data will be trained on the importance of privacy and data security. All data will be kept in secured locations. </w:t>
      </w:r>
    </w:p>
    <w:p w:rsidR="000202A4" w:rsidRPr="00A954A0" w:rsidP="000202A4" w14:paraId="48FB218A" w14:textId="35D54623">
      <w:pPr>
        <w:pStyle w:val="Body11ptCalibrDBi-IPR"/>
        <w:rPr>
          <w:sz w:val="24"/>
        </w:rPr>
      </w:pPr>
      <w:r w:rsidRPr="00A954A0">
        <w:rPr>
          <w:sz w:val="24"/>
        </w:rPr>
        <w:t>T</w:t>
      </w:r>
      <w:r w:rsidRPr="00A954A0">
        <w:rPr>
          <w:sz w:val="24"/>
        </w:rPr>
        <w:t>he contractor</w:t>
      </w:r>
      <w:r w:rsidRPr="00A954A0" w:rsidR="006F1F12">
        <w:rPr>
          <w:sz w:val="24"/>
        </w:rPr>
        <w:t>’s</w:t>
      </w:r>
      <w:r w:rsidRPr="00A954A0">
        <w:rPr>
          <w:sz w:val="24"/>
        </w:rPr>
        <w:t xml:space="preserve"> systems do not tie into any of FNS’s data management and analysis systems. The contractor</w:t>
      </w:r>
      <w:r w:rsidRPr="00A954A0" w:rsidR="006F1F12">
        <w:rPr>
          <w:sz w:val="24"/>
        </w:rPr>
        <w:t>’</w:t>
      </w:r>
      <w:r w:rsidRPr="00A954A0">
        <w:rPr>
          <w:sz w:val="24"/>
        </w:rPr>
        <w:t>s data creation and processing system was not created for this contract agreement. FNS does not have any control over the contractor</w:t>
      </w:r>
      <w:r w:rsidRPr="00A954A0" w:rsidR="006F1F12">
        <w:rPr>
          <w:sz w:val="24"/>
        </w:rPr>
        <w:t>’</w:t>
      </w:r>
      <w:r w:rsidRPr="00A954A0">
        <w:rPr>
          <w:sz w:val="24"/>
        </w:rPr>
        <w:t>s systems.</w:t>
      </w:r>
      <w:r w:rsidRPr="00A954A0" w:rsidR="001352AE">
        <w:rPr>
          <w:sz w:val="24"/>
        </w:rPr>
        <w:t xml:space="preserve"> However, the study team will submit data files to FNS including </w:t>
      </w:r>
      <w:r w:rsidR="005D19AC">
        <w:rPr>
          <w:sz w:val="24"/>
        </w:rPr>
        <w:t>administrative project cost data</w:t>
      </w:r>
      <w:r w:rsidRPr="00A954A0" w:rsidR="001352AE">
        <w:rPr>
          <w:sz w:val="24"/>
        </w:rPr>
        <w:t xml:space="preserve">, deidentified interview transcripts, extant data and documents analyzed, </w:t>
      </w:r>
      <w:r w:rsidR="005D19AC">
        <w:rPr>
          <w:sz w:val="24"/>
        </w:rPr>
        <w:t>a</w:t>
      </w:r>
      <w:r w:rsidRPr="005D19AC" w:rsidR="005D19AC">
        <w:rPr>
          <w:sz w:val="24"/>
        </w:rPr>
        <w:t>dministrative GusNIP grantee data</w:t>
      </w:r>
      <w:r w:rsidR="005D19AC">
        <w:rPr>
          <w:sz w:val="24"/>
        </w:rPr>
        <w:t>,</w:t>
      </w:r>
      <w:r w:rsidRPr="005D19AC" w:rsidR="005D19AC">
        <w:rPr>
          <w:sz w:val="24"/>
        </w:rPr>
        <w:t xml:space="preserve"> </w:t>
      </w:r>
      <w:r w:rsidRPr="00A954A0" w:rsidR="001352AE">
        <w:rPr>
          <w:sz w:val="24"/>
        </w:rPr>
        <w:t xml:space="preserve">statistical software code, and associated documentation used to produce the </w:t>
      </w:r>
      <w:r w:rsidRPr="00A954A0" w:rsidR="008D190A">
        <w:rPr>
          <w:sz w:val="24"/>
        </w:rPr>
        <w:t>f</w:t>
      </w:r>
      <w:r w:rsidRPr="00A954A0" w:rsidR="001352AE">
        <w:rPr>
          <w:sz w:val="24"/>
        </w:rPr>
        <w:t xml:space="preserve">inal </w:t>
      </w:r>
      <w:r w:rsidRPr="00A954A0" w:rsidR="008D190A">
        <w:rPr>
          <w:sz w:val="24"/>
        </w:rPr>
        <w:t>r</w:t>
      </w:r>
      <w:r w:rsidRPr="00A954A0" w:rsidR="001352AE">
        <w:rPr>
          <w:sz w:val="24"/>
        </w:rPr>
        <w:t>eport. Audio</w:t>
      </w:r>
      <w:r w:rsidR="003176A5">
        <w:rPr>
          <w:sz w:val="24"/>
        </w:rPr>
        <w:t xml:space="preserve"> </w:t>
      </w:r>
      <w:r w:rsidRPr="00A954A0" w:rsidR="001352AE">
        <w:rPr>
          <w:sz w:val="24"/>
        </w:rPr>
        <w:t xml:space="preserve">recordings from the </w:t>
      </w:r>
      <w:r w:rsidRPr="00A954A0" w:rsidR="00761F22">
        <w:rPr>
          <w:sz w:val="24"/>
        </w:rPr>
        <w:t>interviews</w:t>
      </w:r>
      <w:r w:rsidRPr="00A954A0" w:rsidR="001352AE">
        <w:rPr>
          <w:sz w:val="24"/>
        </w:rPr>
        <w:t xml:space="preserve"> will not be provided because it is not feasible to remove identifying information.</w:t>
      </w:r>
      <w:r w:rsidRPr="00A954A0" w:rsidR="00874252">
        <w:rPr>
          <w:sz w:val="24"/>
        </w:rPr>
        <w:t xml:space="preserve"> Per the institutional review board approval for the study</w:t>
      </w:r>
      <w:r w:rsidRPr="00A954A0" w:rsidR="00A34540">
        <w:rPr>
          <w:sz w:val="24"/>
        </w:rPr>
        <w:t xml:space="preserve"> (</w:t>
      </w:r>
      <w:r w:rsidRPr="00185892" w:rsidR="00A34540">
        <w:rPr>
          <w:sz w:val="24"/>
        </w:rPr>
        <w:t>appendix</w:t>
      </w:r>
      <w:r w:rsidRPr="00A1475B" w:rsidR="00A34540">
        <w:rPr>
          <w:sz w:val="24"/>
        </w:rPr>
        <w:t xml:space="preserve"> </w:t>
      </w:r>
      <w:r w:rsidR="004900B7">
        <w:rPr>
          <w:sz w:val="24"/>
        </w:rPr>
        <w:t>S</w:t>
      </w:r>
      <w:r w:rsidRPr="00A954A0" w:rsidR="00A34540">
        <w:rPr>
          <w:sz w:val="24"/>
        </w:rPr>
        <w:t>)</w:t>
      </w:r>
      <w:r w:rsidRPr="00A954A0" w:rsidR="00874252">
        <w:rPr>
          <w:sz w:val="24"/>
        </w:rPr>
        <w:t xml:space="preserve">, </w:t>
      </w:r>
      <w:r w:rsidRPr="00A954A0" w:rsidR="002A3C86">
        <w:rPr>
          <w:sz w:val="24"/>
        </w:rPr>
        <w:t xml:space="preserve">FNS’s contractor </w:t>
      </w:r>
      <w:r w:rsidR="002A3C86">
        <w:rPr>
          <w:sz w:val="24"/>
        </w:rPr>
        <w:t xml:space="preserve">will destroy its copies of </w:t>
      </w:r>
      <w:r w:rsidRPr="00A954A0" w:rsidR="00874252">
        <w:rPr>
          <w:sz w:val="24"/>
        </w:rPr>
        <w:t xml:space="preserve">all </w:t>
      </w:r>
      <w:r w:rsidR="002A3C86">
        <w:rPr>
          <w:sz w:val="24"/>
        </w:rPr>
        <w:t xml:space="preserve">study data </w:t>
      </w:r>
      <w:r w:rsidR="005265CD">
        <w:rPr>
          <w:sz w:val="24"/>
        </w:rPr>
        <w:t>36</w:t>
      </w:r>
      <w:r w:rsidRPr="00A954A0" w:rsidR="007F02C7">
        <w:rPr>
          <w:sz w:val="24"/>
        </w:rPr>
        <w:t xml:space="preserve"> months after the study ends</w:t>
      </w:r>
      <w:r w:rsidRPr="00A954A0" w:rsidR="00874252">
        <w:rPr>
          <w:sz w:val="24"/>
        </w:rPr>
        <w:t>.</w:t>
      </w:r>
    </w:p>
    <w:p w:rsidR="000202A4" w:rsidRPr="00A954A0" w:rsidP="007C1C52" w14:paraId="65429920" w14:textId="0E1B9D31">
      <w:pPr>
        <w:pStyle w:val="Body11ptCalibrDBi-IPR"/>
        <w:rPr>
          <w:sz w:val="24"/>
        </w:rPr>
      </w:pPr>
      <w:r w:rsidRPr="00A954A0">
        <w:rPr>
          <w:sz w:val="24"/>
        </w:rPr>
        <w:t xml:space="preserve">The following safeguards will be employed by FNS’s contractor to protect privacy during the study: </w:t>
      </w:r>
    </w:p>
    <w:p w:rsidR="000202A4" w:rsidRPr="00A954A0" w:rsidP="003942CE" w14:paraId="79C55B3D" w14:textId="77777777">
      <w:pPr>
        <w:pStyle w:val="BulletsRed-IPR"/>
        <w:spacing w:after="0"/>
        <w:rPr>
          <w:sz w:val="24"/>
        </w:rPr>
      </w:pPr>
      <w:r w:rsidRPr="00A954A0">
        <w:rPr>
          <w:sz w:val="24"/>
        </w:rPr>
        <w:t xml:space="preserve">Computer data files will be protected with passwords, and access will be limited to specific users on the research team. </w:t>
      </w:r>
    </w:p>
    <w:p w:rsidR="00761F22" w:rsidRPr="00A954A0" w:rsidP="003942CE" w14:paraId="02B10EF8" w14:textId="4D4A65F0">
      <w:pPr>
        <w:pStyle w:val="BulletsRed-IPR"/>
        <w:spacing w:after="0"/>
        <w:rPr>
          <w:sz w:val="24"/>
        </w:rPr>
      </w:pPr>
      <w:r w:rsidRPr="00A954A0">
        <w:rPr>
          <w:sz w:val="24"/>
        </w:rPr>
        <w:t xml:space="preserve">Interview recordings will </w:t>
      </w:r>
      <w:r w:rsidRPr="00A954A0" w:rsidR="004B0534">
        <w:rPr>
          <w:sz w:val="24"/>
        </w:rPr>
        <w:t>not be shared with anyone.</w:t>
      </w:r>
    </w:p>
    <w:p w:rsidR="000202A4" w:rsidRPr="00A954A0" w:rsidP="003942CE" w14:paraId="234A395C" w14:textId="77777777">
      <w:pPr>
        <w:pStyle w:val="BulletsRed-IPR"/>
        <w:spacing w:after="0"/>
        <w:rPr>
          <w:sz w:val="24"/>
        </w:rPr>
      </w:pPr>
      <w:r w:rsidRPr="00A954A0">
        <w:rPr>
          <w:sz w:val="24"/>
        </w:rPr>
        <w:t>Employees must notify their supervisor, the project director, and the contractor’s security officer if secured and private information has been disclosed to an unauthorized person, used in an improper manner, or altered in an improper manner.</w:t>
      </w:r>
    </w:p>
    <w:p w:rsidR="000202A4" w:rsidRPr="00A954A0" w:rsidP="006C11FE" w14:paraId="576DA288" w14:textId="141EBEFC">
      <w:pPr>
        <w:pStyle w:val="Body11ptCalibrDBi-IPR"/>
        <w:rPr>
          <w:sz w:val="24"/>
        </w:rPr>
      </w:pPr>
      <w:r w:rsidRPr="00A954A0">
        <w:rPr>
          <w:sz w:val="24"/>
        </w:rPr>
        <w:t xml:space="preserve">The Confidentiality Pledge in which employees of the contractor provide assurances to the above safeguards appears in </w:t>
      </w:r>
      <w:r w:rsidRPr="00A1475B">
        <w:rPr>
          <w:sz w:val="24"/>
        </w:rPr>
        <w:t xml:space="preserve">appendix </w:t>
      </w:r>
      <w:r w:rsidR="004900B7">
        <w:rPr>
          <w:sz w:val="24"/>
        </w:rPr>
        <w:t>T</w:t>
      </w:r>
      <w:r w:rsidRPr="00A954A0">
        <w:rPr>
          <w:sz w:val="24"/>
        </w:rPr>
        <w:t>.</w:t>
      </w:r>
    </w:p>
    <w:p w:rsidR="00254128" w:rsidRPr="00A954A0" w:rsidP="00C32C2C" w14:paraId="0D792BCE" w14:textId="708E6CD4">
      <w:pPr>
        <w:pStyle w:val="Heading1New"/>
      </w:pPr>
      <w:bookmarkStart w:id="25" w:name="_Toc148333345"/>
      <w:r w:rsidRPr="00A954A0">
        <w:t xml:space="preserve">A11. </w:t>
      </w:r>
      <w:r w:rsidR="00D41188">
        <w:t xml:space="preserve">Justification for any questions of a sensitive nature: </w:t>
      </w:r>
      <w:r w:rsidRPr="00A954A0">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w:t>
      </w:r>
      <w:r w:rsidRPr="00A954A0">
        <w:t>made of the information, the explanation to be given to persons from whom the information is requested, and any steps to be taken to obtain their consent</w:t>
      </w:r>
      <w:bookmarkEnd w:id="25"/>
    </w:p>
    <w:p w:rsidR="00930617" w:rsidRPr="00A954A0" w:rsidP="003942CE" w14:paraId="4A3DF784" w14:textId="4727BB42">
      <w:pPr>
        <w:spacing w:before="480" w:after="240" w:line="480" w:lineRule="auto"/>
        <w:rPr>
          <w:rFonts w:ascii="Calibri" w:eastAsia="Calibri" w:hAnsi="Calibri" w:cs="Calibri"/>
          <w:sz w:val="24"/>
          <w:szCs w:val="24"/>
        </w:rPr>
      </w:pPr>
      <w:r w:rsidRPr="00A954A0">
        <w:rPr>
          <w:rFonts w:ascii="Calibri" w:eastAsia="Calibri" w:hAnsi="Calibri" w:cs="Calibri"/>
          <w:sz w:val="24"/>
          <w:szCs w:val="24"/>
        </w:rPr>
        <w:t xml:space="preserve">This information collection includes no questions of a sensitive nature. The FNS Privacy Officer, </w:t>
      </w:r>
      <w:r w:rsidRPr="00D95951" w:rsidR="00455118">
        <w:rPr>
          <w:rFonts w:ascii="Calibri" w:eastAsia="Calibri" w:hAnsi="Calibri" w:cs="Calibri"/>
          <w:sz w:val="24"/>
          <w:szCs w:val="24"/>
        </w:rPr>
        <w:t>Deea Coleman</w:t>
      </w:r>
      <w:r w:rsidRPr="00D95951">
        <w:rPr>
          <w:rFonts w:ascii="Calibri" w:eastAsia="Calibri" w:hAnsi="Calibri" w:cs="Calibri"/>
          <w:sz w:val="24"/>
          <w:szCs w:val="24"/>
        </w:rPr>
        <w:t>,</w:t>
      </w:r>
      <w:r w:rsidR="00E42156">
        <w:rPr>
          <w:rFonts w:ascii="Calibri" w:eastAsia="Calibri" w:hAnsi="Calibri" w:cs="Calibri"/>
          <w:sz w:val="24"/>
          <w:szCs w:val="24"/>
        </w:rPr>
        <w:t xml:space="preserve"> </w:t>
      </w:r>
      <w:r w:rsidRPr="00D95951">
        <w:rPr>
          <w:rFonts w:ascii="Calibri" w:eastAsia="Calibri" w:hAnsi="Calibri" w:cs="Calibri"/>
          <w:sz w:val="24"/>
          <w:szCs w:val="24"/>
        </w:rPr>
        <w:t>reviewed this</w:t>
      </w:r>
      <w:r w:rsidRPr="00A954A0">
        <w:rPr>
          <w:rFonts w:ascii="Calibri" w:eastAsia="Calibri" w:hAnsi="Calibri" w:cs="Calibri"/>
          <w:sz w:val="24"/>
          <w:szCs w:val="24"/>
        </w:rPr>
        <w:t xml:space="preserve"> information collection request</w:t>
      </w:r>
      <w:r w:rsidR="007047EA">
        <w:rPr>
          <w:rFonts w:ascii="Calibri" w:eastAsia="Calibri" w:hAnsi="Calibri" w:cs="Calibri"/>
          <w:sz w:val="24"/>
          <w:szCs w:val="24"/>
        </w:rPr>
        <w:t xml:space="preserve"> on </w:t>
      </w:r>
      <w:r w:rsidRPr="00D65197" w:rsidR="006259D0">
        <w:rPr>
          <w:sz w:val="24"/>
          <w:szCs w:val="24"/>
        </w:rPr>
        <w:t>[</w:t>
      </w:r>
      <w:r w:rsidRPr="00D65197" w:rsidR="001D1111">
        <w:rPr>
          <w:sz w:val="24"/>
          <w:szCs w:val="24"/>
        </w:rPr>
        <w:t>July 8, 2024</w:t>
      </w:r>
      <w:r w:rsidRPr="00D65197" w:rsidR="006259D0">
        <w:rPr>
          <w:sz w:val="24"/>
          <w:szCs w:val="24"/>
        </w:rPr>
        <w:t>]</w:t>
      </w:r>
      <w:r w:rsidR="006259D0">
        <w:rPr>
          <w:sz w:val="24"/>
          <w:szCs w:val="24"/>
        </w:rPr>
        <w:t xml:space="preserve"> </w:t>
      </w:r>
      <w:r w:rsidRPr="00A954A0">
        <w:rPr>
          <w:rFonts w:ascii="Calibri" w:eastAsia="Calibri" w:hAnsi="Calibri" w:cs="Calibri"/>
          <w:sz w:val="24"/>
          <w:szCs w:val="24"/>
        </w:rPr>
        <w:t>and determined that the collection is not subject to the requirements of the Privacy Act.</w:t>
      </w:r>
    </w:p>
    <w:p w:rsidR="00A50FD2" w:rsidRPr="00A954A0" w:rsidP="00C32C2C" w14:paraId="7432953C" w14:textId="4E17DA13">
      <w:pPr>
        <w:pStyle w:val="Heading1New"/>
      </w:pPr>
      <w:bookmarkStart w:id="26" w:name="_Toc148333346"/>
      <w:r w:rsidRPr="00A954A0">
        <w:t xml:space="preserve">A12. </w:t>
      </w:r>
      <w:r w:rsidR="00D41188">
        <w:t xml:space="preserve">Estimates of the hour burden of the collection of information: </w:t>
      </w:r>
      <w:r w:rsidRPr="00A954A0">
        <w:t xml:space="preserve">Provide estimates of the hour burden of the collection of information. Indicate the number of respondents, frequency of response, annual hour burden, and an explanation of how the burden was </w:t>
      </w:r>
      <w:r w:rsidRPr="00A954A0">
        <w:t>estimated.*</w:t>
      </w:r>
      <w:bookmarkEnd w:id="26"/>
    </w:p>
    <w:p w:rsidR="00163533" w:rsidRPr="00D41188" w:rsidP="0003577E" w14:paraId="61204911" w14:textId="611940B2">
      <w:pPr>
        <w:pStyle w:val="Heading3WithoutNumebrs"/>
        <w:ind w:left="288" w:right="720"/>
      </w:pPr>
      <w:bookmarkStart w:id="27" w:name="_Toc148333347"/>
      <w:r w:rsidRPr="00D41188">
        <w:t>12A</w:t>
      </w:r>
      <w:r w:rsidRPr="00D41188" w:rsidR="00D41188">
        <w:t>.</w:t>
      </w:r>
      <w:r w:rsidRPr="00D41188">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bookmarkEnd w:id="27"/>
    </w:p>
    <w:p w:rsidR="004822FC" w:rsidRPr="00A954A0" w:rsidP="006C11FE" w14:paraId="386DDC75" w14:textId="263229C7">
      <w:pPr>
        <w:spacing w:after="240" w:line="480" w:lineRule="auto"/>
        <w:rPr>
          <w:sz w:val="24"/>
          <w:szCs w:val="24"/>
        </w:rPr>
      </w:pPr>
      <w:r w:rsidRPr="00A954A0">
        <w:rPr>
          <w:sz w:val="24"/>
          <w:szCs w:val="24"/>
        </w:rPr>
        <w:t xml:space="preserve">This new information collection has a total of </w:t>
      </w:r>
      <w:r w:rsidR="00F67A5F">
        <w:rPr>
          <w:sz w:val="24"/>
          <w:szCs w:val="24"/>
        </w:rPr>
        <w:t>5</w:t>
      </w:r>
      <w:r w:rsidR="00B17EAB">
        <w:rPr>
          <w:sz w:val="24"/>
          <w:szCs w:val="24"/>
        </w:rPr>
        <w:t>0</w:t>
      </w:r>
      <w:r w:rsidRPr="00A954A0" w:rsidR="008C0511">
        <w:rPr>
          <w:sz w:val="24"/>
          <w:szCs w:val="24"/>
        </w:rPr>
        <w:t xml:space="preserve"> </w:t>
      </w:r>
      <w:r w:rsidRPr="00A954A0">
        <w:rPr>
          <w:sz w:val="24"/>
          <w:szCs w:val="24"/>
        </w:rPr>
        <w:t xml:space="preserve">respondents, </w:t>
      </w:r>
      <w:r w:rsidR="00692C3A">
        <w:rPr>
          <w:sz w:val="24"/>
          <w:szCs w:val="24"/>
        </w:rPr>
        <w:t>362</w:t>
      </w:r>
      <w:r w:rsidR="00692C3A">
        <w:rPr>
          <w:sz w:val="24"/>
          <w:szCs w:val="24"/>
        </w:rPr>
        <w:t xml:space="preserve"> </w:t>
      </w:r>
      <w:r w:rsidR="008C0511">
        <w:rPr>
          <w:sz w:val="24"/>
          <w:szCs w:val="24"/>
        </w:rPr>
        <w:t>r</w:t>
      </w:r>
      <w:r w:rsidRPr="00A954A0">
        <w:rPr>
          <w:sz w:val="24"/>
          <w:szCs w:val="24"/>
        </w:rPr>
        <w:t xml:space="preserve">esponses, and </w:t>
      </w:r>
      <w:r w:rsidR="00B17EAB">
        <w:rPr>
          <w:sz w:val="24"/>
          <w:szCs w:val="24"/>
        </w:rPr>
        <w:t>198</w:t>
      </w:r>
      <w:r w:rsidR="00E41903">
        <w:rPr>
          <w:sz w:val="24"/>
          <w:szCs w:val="24"/>
        </w:rPr>
        <w:t xml:space="preserve"> </w:t>
      </w:r>
      <w:r w:rsidRPr="00A954A0">
        <w:rPr>
          <w:sz w:val="24"/>
          <w:szCs w:val="24"/>
        </w:rPr>
        <w:t xml:space="preserve">burden hours. </w:t>
      </w:r>
      <w:bookmarkStart w:id="28" w:name="_Hlk157522354"/>
      <w:r w:rsidR="00C87BBB">
        <w:rPr>
          <w:sz w:val="24"/>
          <w:szCs w:val="24"/>
        </w:rPr>
        <w:t>The burden estimate assumes a 100 percent response rate;</w:t>
      </w:r>
      <w:r w:rsidR="005C7842">
        <w:rPr>
          <w:sz w:val="24"/>
          <w:szCs w:val="24"/>
        </w:rPr>
        <w:t xml:space="preserve"> this is consistent with recent </w:t>
      </w:r>
      <w:r w:rsidR="00666FA7">
        <w:rPr>
          <w:sz w:val="24"/>
          <w:szCs w:val="24"/>
        </w:rPr>
        <w:t xml:space="preserve">administrative data collections from </w:t>
      </w:r>
      <w:r w:rsidR="005C7842">
        <w:rPr>
          <w:sz w:val="24"/>
          <w:szCs w:val="24"/>
        </w:rPr>
        <w:t>State agencies that administer nutrition assistance programs.</w:t>
      </w:r>
      <w:bookmarkEnd w:id="28"/>
      <w:r w:rsidR="00C87BBB">
        <w:rPr>
          <w:sz w:val="24"/>
          <w:szCs w:val="24"/>
        </w:rPr>
        <w:t xml:space="preserve"> </w:t>
      </w:r>
      <w:r w:rsidRPr="00A954A0">
        <w:rPr>
          <w:sz w:val="24"/>
          <w:szCs w:val="24"/>
        </w:rPr>
        <w:t xml:space="preserve">The affected public in this study </w:t>
      </w:r>
      <w:r w:rsidRPr="00A954A0" w:rsidR="00923D7C">
        <w:rPr>
          <w:sz w:val="24"/>
          <w:szCs w:val="24"/>
        </w:rPr>
        <w:t>can be summarized as</w:t>
      </w:r>
      <w:r w:rsidRPr="00A954A0">
        <w:rPr>
          <w:sz w:val="24"/>
          <w:szCs w:val="24"/>
        </w:rPr>
        <w:t xml:space="preserve"> </w:t>
      </w:r>
      <w:r w:rsidR="004E186D">
        <w:rPr>
          <w:sz w:val="24"/>
          <w:szCs w:val="24"/>
        </w:rPr>
        <w:t xml:space="preserve">12 individuals from State government and 38 individuals from business (for- and not-for-profit). This includes 12 </w:t>
      </w:r>
      <w:r w:rsidR="00666FA7">
        <w:rPr>
          <w:sz w:val="24"/>
          <w:szCs w:val="24"/>
        </w:rPr>
        <w:t>State SNAP agency staff, 2 staff members from the two EBT processors working with the three eHIP project States, 18 retailer staff, 6 TPP staff</w:t>
      </w:r>
      <w:r w:rsidR="00D8458D">
        <w:rPr>
          <w:sz w:val="24"/>
          <w:szCs w:val="24"/>
        </w:rPr>
        <w:t xml:space="preserve">, and </w:t>
      </w:r>
      <w:r w:rsidR="00EC5448">
        <w:rPr>
          <w:sz w:val="24"/>
          <w:szCs w:val="24"/>
        </w:rPr>
        <w:t>12</w:t>
      </w:r>
      <w:r w:rsidR="00D8458D">
        <w:rPr>
          <w:sz w:val="24"/>
          <w:szCs w:val="24"/>
        </w:rPr>
        <w:t xml:space="preserve"> GusNIP grantee staff</w:t>
      </w:r>
      <w:r w:rsidR="00666FA7">
        <w:rPr>
          <w:sz w:val="24"/>
          <w:szCs w:val="24"/>
        </w:rPr>
        <w:t xml:space="preserve"> for a t</w:t>
      </w:r>
      <w:r w:rsidRPr="00A954A0">
        <w:rPr>
          <w:sz w:val="24"/>
          <w:szCs w:val="24"/>
        </w:rPr>
        <w:t xml:space="preserve">otal sample size of </w:t>
      </w:r>
      <w:r w:rsidR="004E186D">
        <w:rPr>
          <w:sz w:val="24"/>
          <w:szCs w:val="24"/>
        </w:rPr>
        <w:t>50</w:t>
      </w:r>
      <w:r w:rsidRPr="00A954A0" w:rsidR="004E186D">
        <w:rPr>
          <w:sz w:val="24"/>
          <w:szCs w:val="24"/>
        </w:rPr>
        <w:t xml:space="preserve"> </w:t>
      </w:r>
      <w:r w:rsidRPr="00A954A0">
        <w:rPr>
          <w:sz w:val="24"/>
          <w:szCs w:val="24"/>
        </w:rPr>
        <w:t xml:space="preserve">individuals. </w:t>
      </w:r>
    </w:p>
    <w:p w:rsidR="004822FC" w:rsidRPr="00A954A0" w:rsidP="006C11FE" w14:paraId="69AF41FA" w14:textId="61FB8F92">
      <w:pPr>
        <w:spacing w:after="240" w:line="480" w:lineRule="auto"/>
        <w:rPr>
          <w:sz w:val="24"/>
          <w:szCs w:val="24"/>
        </w:rPr>
      </w:pPr>
      <w:r w:rsidRPr="00A954A0">
        <w:rPr>
          <w:sz w:val="24"/>
          <w:szCs w:val="24"/>
        </w:rPr>
        <w:t xml:space="preserve">The annual total estimated burden (hours) across all data collection components is </w:t>
      </w:r>
      <w:r w:rsidRPr="00A954A0" w:rsidR="004E186D">
        <w:rPr>
          <w:sz w:val="24"/>
          <w:szCs w:val="24"/>
        </w:rPr>
        <w:t>1</w:t>
      </w:r>
      <w:r w:rsidR="004E186D">
        <w:rPr>
          <w:sz w:val="24"/>
          <w:szCs w:val="24"/>
        </w:rPr>
        <w:t>98</w:t>
      </w:r>
      <w:r w:rsidRPr="00A954A0" w:rsidR="004E186D">
        <w:rPr>
          <w:sz w:val="24"/>
          <w:szCs w:val="24"/>
        </w:rPr>
        <w:t xml:space="preserve"> </w:t>
      </w:r>
      <w:r w:rsidRPr="00A954A0">
        <w:rPr>
          <w:sz w:val="24"/>
          <w:szCs w:val="24"/>
        </w:rPr>
        <w:t xml:space="preserve">hours. Time per response ranges from </w:t>
      </w:r>
      <w:r w:rsidR="00A27147">
        <w:rPr>
          <w:sz w:val="24"/>
          <w:szCs w:val="24"/>
        </w:rPr>
        <w:t>5</w:t>
      </w:r>
      <w:r w:rsidRPr="00A954A0" w:rsidR="00A27147">
        <w:rPr>
          <w:sz w:val="24"/>
          <w:szCs w:val="24"/>
        </w:rPr>
        <w:t xml:space="preserve"> </w:t>
      </w:r>
      <w:r w:rsidRPr="00A954A0">
        <w:rPr>
          <w:sz w:val="24"/>
          <w:szCs w:val="24"/>
        </w:rPr>
        <w:t>minute</w:t>
      </w:r>
      <w:r w:rsidRPr="00A954A0" w:rsidR="00975BB6">
        <w:rPr>
          <w:sz w:val="24"/>
          <w:szCs w:val="24"/>
        </w:rPr>
        <w:t>s</w:t>
      </w:r>
      <w:r w:rsidRPr="00A954A0">
        <w:rPr>
          <w:sz w:val="24"/>
          <w:szCs w:val="24"/>
        </w:rPr>
        <w:t xml:space="preserve"> for reading reminder </w:t>
      </w:r>
      <w:r w:rsidRPr="00A954A0" w:rsidR="00975BB6">
        <w:rPr>
          <w:sz w:val="24"/>
          <w:szCs w:val="24"/>
        </w:rPr>
        <w:t>emails</w:t>
      </w:r>
      <w:r w:rsidRPr="00A954A0">
        <w:rPr>
          <w:sz w:val="24"/>
          <w:szCs w:val="24"/>
        </w:rPr>
        <w:t xml:space="preserve"> to </w:t>
      </w:r>
      <w:r w:rsidR="00A27147">
        <w:rPr>
          <w:sz w:val="24"/>
          <w:szCs w:val="24"/>
        </w:rPr>
        <w:t>7</w:t>
      </w:r>
      <w:r w:rsidRPr="00A954A0">
        <w:rPr>
          <w:sz w:val="24"/>
          <w:szCs w:val="24"/>
        </w:rPr>
        <w:t xml:space="preserve"> hours </w:t>
      </w:r>
      <w:r w:rsidRPr="00A954A0" w:rsidR="00637CAD">
        <w:rPr>
          <w:sz w:val="24"/>
          <w:szCs w:val="24"/>
        </w:rPr>
        <w:t xml:space="preserve">for </w:t>
      </w:r>
      <w:r w:rsidR="00A27147">
        <w:rPr>
          <w:sz w:val="24"/>
          <w:szCs w:val="24"/>
        </w:rPr>
        <w:t>completing administrative project cost data collection</w:t>
      </w:r>
      <w:r w:rsidRPr="00A954A0">
        <w:rPr>
          <w:sz w:val="24"/>
          <w:szCs w:val="24"/>
        </w:rPr>
        <w:t xml:space="preserve">. </w:t>
      </w:r>
      <w:r w:rsidRPr="00A954A0" w:rsidR="00C944CB">
        <w:rPr>
          <w:sz w:val="24"/>
          <w:szCs w:val="24"/>
        </w:rPr>
        <w:t xml:space="preserve">Time per response was estimated based on the </w:t>
      </w:r>
      <w:r w:rsidR="00A27147">
        <w:rPr>
          <w:sz w:val="24"/>
          <w:szCs w:val="24"/>
        </w:rPr>
        <w:t xml:space="preserve">experience and expertise of the study team’s SNAP EBT experts and their experience </w:t>
      </w:r>
      <w:r w:rsidR="00A27147">
        <w:rPr>
          <w:sz w:val="24"/>
          <w:szCs w:val="24"/>
        </w:rPr>
        <w:t>with previous similar administrative data collections</w:t>
      </w:r>
      <w:r w:rsidRPr="00A954A0" w:rsidR="00C944CB">
        <w:rPr>
          <w:sz w:val="24"/>
          <w:szCs w:val="24"/>
        </w:rPr>
        <w:t xml:space="preserve">. </w:t>
      </w:r>
      <w:r w:rsidRPr="00A954A0">
        <w:rPr>
          <w:sz w:val="24"/>
          <w:szCs w:val="24"/>
        </w:rPr>
        <w:t>No respondents will be asked to keep records of data as part of this data collection; therefore, no burden hours have been estimated for record</w:t>
      </w:r>
      <w:r w:rsidRPr="00A954A0" w:rsidR="006F1F12">
        <w:rPr>
          <w:sz w:val="24"/>
          <w:szCs w:val="24"/>
        </w:rPr>
        <w:t xml:space="preserve"> </w:t>
      </w:r>
      <w:r w:rsidRPr="00A954A0">
        <w:rPr>
          <w:sz w:val="24"/>
          <w:szCs w:val="24"/>
        </w:rPr>
        <w:t>keeping.</w:t>
      </w:r>
    </w:p>
    <w:p w:rsidR="009107BA" w:rsidRPr="00A954A0" w:rsidP="006C11FE" w14:paraId="0238E790" w14:textId="3B1CD95A">
      <w:pPr>
        <w:spacing w:after="240" w:line="480" w:lineRule="auto"/>
        <w:rPr>
          <w:sz w:val="24"/>
          <w:szCs w:val="24"/>
        </w:rPr>
      </w:pPr>
      <w:r w:rsidRPr="00A954A0">
        <w:rPr>
          <w:sz w:val="24"/>
          <w:szCs w:val="24"/>
        </w:rPr>
        <w:t>S</w:t>
      </w:r>
      <w:r w:rsidRPr="00A954A0" w:rsidR="004822FC">
        <w:rPr>
          <w:sz w:val="24"/>
          <w:szCs w:val="24"/>
        </w:rPr>
        <w:t xml:space="preserve">ee </w:t>
      </w:r>
      <w:r w:rsidRPr="00A954A0">
        <w:rPr>
          <w:sz w:val="24"/>
          <w:szCs w:val="24"/>
        </w:rPr>
        <w:t>t</w:t>
      </w:r>
      <w:r w:rsidRPr="00A954A0" w:rsidR="004822FC">
        <w:rPr>
          <w:sz w:val="24"/>
          <w:szCs w:val="24"/>
        </w:rPr>
        <w:t xml:space="preserve">able A12.1 and </w:t>
      </w:r>
      <w:r w:rsidRPr="00B73D70" w:rsidR="004822FC">
        <w:rPr>
          <w:sz w:val="24"/>
          <w:szCs w:val="24"/>
        </w:rPr>
        <w:t xml:space="preserve">appendix </w:t>
      </w:r>
      <w:r w:rsidR="004900B7">
        <w:rPr>
          <w:sz w:val="24"/>
          <w:szCs w:val="24"/>
        </w:rPr>
        <w:t>U</w:t>
      </w:r>
      <w:r w:rsidRPr="00A954A0" w:rsidR="00EF027B">
        <w:rPr>
          <w:sz w:val="24"/>
          <w:szCs w:val="24"/>
        </w:rPr>
        <w:t xml:space="preserve"> </w:t>
      </w:r>
      <w:r w:rsidRPr="00A954A0" w:rsidR="004822FC">
        <w:rPr>
          <w:sz w:val="24"/>
          <w:szCs w:val="24"/>
        </w:rPr>
        <w:t>for more detailed information concerning the burden and annualized costs to respondents for this collection</w:t>
      </w:r>
      <w:r w:rsidRPr="00A954A0">
        <w:rPr>
          <w:sz w:val="24"/>
          <w:szCs w:val="24"/>
        </w:rPr>
        <w:t>.</w:t>
      </w:r>
    </w:p>
    <w:p w:rsidR="00E8124D" w:rsidRPr="004D6EEB" w:rsidP="007C1C52" w14:paraId="4FF25D0C" w14:textId="3E164212">
      <w:pPr>
        <w:pStyle w:val="TableTitle-IPR"/>
        <w:rPr>
          <w:sz w:val="24"/>
          <w:szCs w:val="28"/>
        </w:rPr>
      </w:pPr>
      <w:bookmarkStart w:id="29" w:name="_Toc170219535"/>
      <w:r w:rsidRPr="004D6EEB">
        <w:rPr>
          <w:sz w:val="24"/>
          <w:szCs w:val="28"/>
        </w:rPr>
        <w:t>Table A12</w:t>
      </w:r>
      <w:r w:rsidRPr="004D6EEB" w:rsidR="00C07E72">
        <w:rPr>
          <w:sz w:val="24"/>
          <w:szCs w:val="28"/>
        </w:rPr>
        <w:t>.1</w:t>
      </w:r>
      <w:r w:rsidRPr="004D6EEB">
        <w:rPr>
          <w:sz w:val="24"/>
          <w:szCs w:val="28"/>
        </w:rPr>
        <w:t xml:space="preserve">. </w:t>
      </w:r>
      <w:r w:rsidRPr="004D6EEB" w:rsidR="00C07E72">
        <w:rPr>
          <w:sz w:val="24"/>
          <w:szCs w:val="28"/>
        </w:rPr>
        <w:t>Burden Summary</w:t>
      </w:r>
      <w:r w:rsidRPr="004D6EEB" w:rsidR="000B136B">
        <w:rPr>
          <w:sz w:val="24"/>
          <w:szCs w:val="28"/>
        </w:rPr>
        <w:t xml:space="preserve"> for Respondents</w:t>
      </w:r>
      <w:bookmarkEnd w:id="29"/>
    </w:p>
    <w:tbl>
      <w:tblPr>
        <w:tblStyle w:val="InsightTable"/>
        <w:tblW w:w="5000" w:type="pct"/>
        <w:tblInd w:w="0" w:type="dxa"/>
        <w:tblLook w:val="04A0"/>
      </w:tblPr>
      <w:tblGrid>
        <w:gridCol w:w="2779"/>
        <w:gridCol w:w="1318"/>
        <w:gridCol w:w="1468"/>
        <w:gridCol w:w="1191"/>
        <w:gridCol w:w="1222"/>
        <w:gridCol w:w="1382"/>
      </w:tblGrid>
      <w:tr w14:paraId="03012055" w14:textId="77777777" w:rsidTr="00A27147">
        <w:tblPrEx>
          <w:tblW w:w="5000" w:type="pct"/>
          <w:tblInd w:w="0" w:type="dxa"/>
          <w:tblLook w:val="04A0"/>
        </w:tblPrEx>
        <w:trPr>
          <w:trHeight w:val="120"/>
        </w:trPr>
        <w:tc>
          <w:tcPr>
            <w:tcW w:w="1485" w:type="pct"/>
            <w:tcBorders>
              <w:top w:val="single" w:sz="8" w:space="0" w:color="003C79"/>
              <w:bottom w:val="single" w:sz="8" w:space="0" w:color="003C79"/>
            </w:tcBorders>
            <w:hideMark/>
          </w:tcPr>
          <w:p w:rsidR="00E8124D" w:rsidRPr="00F50AEA" w:rsidP="00F50AEA" w14:paraId="1FE8659C" w14:textId="31432FCD">
            <w:pPr>
              <w:pStyle w:val="TableText-IPR"/>
              <w:keepNext/>
              <w:keepLines/>
              <w:rPr>
                <w:rFonts w:ascii="Lucida Sans" w:hAnsi="Lucida Sans" w:cs="Arial"/>
                <w:b/>
                <w:sz w:val="18"/>
                <w:szCs w:val="18"/>
              </w:rPr>
            </w:pPr>
            <w:r w:rsidRPr="00F50AEA">
              <w:rPr>
                <w:rFonts w:ascii="Lucida Sans" w:hAnsi="Lucida Sans" w:cs="Arial"/>
                <w:b/>
                <w:sz w:val="18"/>
                <w:szCs w:val="18"/>
              </w:rPr>
              <w:t xml:space="preserve">Affected </w:t>
            </w:r>
            <w:r w:rsidR="006F1F12">
              <w:rPr>
                <w:rFonts w:ascii="Lucida Sans" w:hAnsi="Lucida Sans" w:cs="Arial"/>
                <w:b/>
                <w:sz w:val="18"/>
                <w:szCs w:val="18"/>
              </w:rPr>
              <w:t>P</w:t>
            </w:r>
            <w:r w:rsidRPr="00F50AEA">
              <w:rPr>
                <w:rFonts w:ascii="Lucida Sans" w:hAnsi="Lucida Sans" w:cs="Arial"/>
                <w:b/>
                <w:sz w:val="18"/>
                <w:szCs w:val="18"/>
              </w:rPr>
              <w:t>ublic</w:t>
            </w:r>
          </w:p>
        </w:tc>
        <w:tc>
          <w:tcPr>
            <w:tcW w:w="704" w:type="pct"/>
            <w:tcBorders>
              <w:top w:val="single" w:sz="8" w:space="0" w:color="003C79"/>
              <w:bottom w:val="single" w:sz="8" w:space="0" w:color="003C79"/>
            </w:tcBorders>
            <w:hideMark/>
          </w:tcPr>
          <w:p w:rsidR="00E8124D" w:rsidRPr="00F50AEA" w:rsidP="00F50AEA" w14:paraId="318ED9C1" w14:textId="4A39BDAA">
            <w:pPr>
              <w:pStyle w:val="TableText-IPR"/>
              <w:keepNext/>
              <w:keepLines/>
              <w:rPr>
                <w:rFonts w:ascii="Lucida Sans" w:hAnsi="Lucida Sans" w:cs="Arial"/>
                <w:b/>
                <w:sz w:val="18"/>
                <w:szCs w:val="18"/>
              </w:rPr>
            </w:pPr>
            <w:r w:rsidRPr="00F50AEA">
              <w:rPr>
                <w:rFonts w:ascii="Lucida Sans" w:hAnsi="Lucida Sans" w:cs="Arial"/>
                <w:b/>
                <w:sz w:val="18"/>
                <w:szCs w:val="18"/>
              </w:rPr>
              <w:t xml:space="preserve">Estimated </w:t>
            </w:r>
            <w:r w:rsidR="006F1F12">
              <w:rPr>
                <w:rFonts w:ascii="Lucida Sans" w:hAnsi="Lucida Sans" w:cs="Arial"/>
                <w:b/>
                <w:sz w:val="18"/>
                <w:szCs w:val="18"/>
              </w:rPr>
              <w:t>N</w:t>
            </w:r>
            <w:r w:rsidRPr="00F50AEA">
              <w:rPr>
                <w:rFonts w:ascii="Lucida Sans" w:hAnsi="Lucida Sans" w:cs="Arial"/>
                <w:b/>
                <w:sz w:val="18"/>
                <w:szCs w:val="18"/>
              </w:rPr>
              <w:t xml:space="preserve">umber of </w:t>
            </w:r>
            <w:r w:rsidR="006F1F12">
              <w:rPr>
                <w:rFonts w:ascii="Lucida Sans" w:hAnsi="Lucida Sans" w:cs="Arial"/>
                <w:b/>
                <w:sz w:val="18"/>
                <w:szCs w:val="18"/>
              </w:rPr>
              <w:t>R</w:t>
            </w:r>
            <w:r w:rsidRPr="00F50AEA">
              <w:rPr>
                <w:rFonts w:ascii="Lucida Sans" w:hAnsi="Lucida Sans" w:cs="Arial"/>
                <w:b/>
                <w:sz w:val="18"/>
                <w:szCs w:val="18"/>
              </w:rPr>
              <w:t>espondents</w:t>
            </w:r>
          </w:p>
        </w:tc>
        <w:tc>
          <w:tcPr>
            <w:tcW w:w="784" w:type="pct"/>
            <w:tcBorders>
              <w:top w:val="single" w:sz="8" w:space="0" w:color="003C79"/>
              <w:bottom w:val="single" w:sz="8" w:space="0" w:color="003C79"/>
            </w:tcBorders>
            <w:hideMark/>
          </w:tcPr>
          <w:p w:rsidR="00E8124D" w:rsidRPr="00F50AEA" w:rsidP="00F50AEA" w14:paraId="504490E9" w14:textId="14D2B927">
            <w:pPr>
              <w:pStyle w:val="TableText-IPR"/>
              <w:keepNext/>
              <w:keepLines/>
              <w:rPr>
                <w:rFonts w:ascii="Lucida Sans" w:hAnsi="Lucida Sans" w:cs="Arial"/>
                <w:b/>
                <w:sz w:val="18"/>
                <w:szCs w:val="18"/>
              </w:rPr>
            </w:pPr>
            <w:r w:rsidRPr="00F50AEA">
              <w:rPr>
                <w:rFonts w:ascii="Lucida Sans" w:hAnsi="Lucida Sans" w:cs="Arial"/>
                <w:b/>
                <w:sz w:val="18"/>
                <w:szCs w:val="18"/>
              </w:rPr>
              <w:t xml:space="preserve">Number of </w:t>
            </w:r>
            <w:r w:rsidR="006F1F12">
              <w:rPr>
                <w:rFonts w:ascii="Lucida Sans" w:hAnsi="Lucida Sans" w:cs="Arial"/>
                <w:b/>
                <w:sz w:val="18"/>
                <w:szCs w:val="18"/>
              </w:rPr>
              <w:t>R</w:t>
            </w:r>
            <w:r w:rsidRPr="00F50AEA">
              <w:rPr>
                <w:rFonts w:ascii="Lucida Sans" w:hAnsi="Lucida Sans" w:cs="Arial"/>
                <w:b/>
                <w:sz w:val="18"/>
                <w:szCs w:val="18"/>
              </w:rPr>
              <w:t xml:space="preserve">esponses per </w:t>
            </w:r>
            <w:r w:rsidR="006F1F12">
              <w:rPr>
                <w:rFonts w:ascii="Lucida Sans" w:hAnsi="Lucida Sans" w:cs="Arial"/>
                <w:b/>
                <w:sz w:val="18"/>
                <w:szCs w:val="18"/>
              </w:rPr>
              <w:t>R</w:t>
            </w:r>
            <w:r w:rsidRPr="00F50AEA">
              <w:rPr>
                <w:rFonts w:ascii="Lucida Sans" w:hAnsi="Lucida Sans" w:cs="Arial"/>
                <w:b/>
                <w:sz w:val="18"/>
                <w:szCs w:val="18"/>
              </w:rPr>
              <w:t>espondent</w:t>
            </w:r>
            <w:r w:rsidRPr="00B8461D" w:rsidR="00B8461D">
              <w:rPr>
                <w:rFonts w:ascii="Lucida Sans" w:hAnsi="Lucida Sans" w:cs="Arial"/>
                <w:b/>
                <w:sz w:val="18"/>
                <w:szCs w:val="18"/>
                <w:vertAlign w:val="superscript"/>
              </w:rPr>
              <w:t>a</w:t>
            </w:r>
          </w:p>
        </w:tc>
        <w:tc>
          <w:tcPr>
            <w:tcW w:w="636" w:type="pct"/>
            <w:tcBorders>
              <w:top w:val="single" w:sz="8" w:space="0" w:color="003C79"/>
              <w:bottom w:val="single" w:sz="8" w:space="0" w:color="003C79"/>
            </w:tcBorders>
            <w:hideMark/>
          </w:tcPr>
          <w:p w:rsidR="00E8124D" w:rsidRPr="00F50AEA" w:rsidP="00F50AEA" w14:paraId="717825A4" w14:textId="24418EFA">
            <w:pPr>
              <w:pStyle w:val="TableText-IPR"/>
              <w:keepNext/>
              <w:keepLines/>
              <w:rPr>
                <w:rFonts w:ascii="Lucida Sans" w:hAnsi="Lucida Sans" w:cs="Arial"/>
                <w:b/>
                <w:sz w:val="18"/>
                <w:szCs w:val="18"/>
              </w:rPr>
            </w:pPr>
            <w:r w:rsidRPr="00F50AEA">
              <w:rPr>
                <w:rFonts w:ascii="Lucida Sans" w:hAnsi="Lucida Sans" w:cs="Arial"/>
                <w:b/>
                <w:sz w:val="18"/>
                <w:szCs w:val="18"/>
              </w:rPr>
              <w:t xml:space="preserve">Total </w:t>
            </w:r>
            <w:r w:rsidR="006F1F12">
              <w:rPr>
                <w:rFonts w:ascii="Lucida Sans" w:hAnsi="Lucida Sans" w:cs="Arial"/>
                <w:b/>
                <w:sz w:val="18"/>
                <w:szCs w:val="18"/>
              </w:rPr>
              <w:t>A</w:t>
            </w:r>
            <w:r w:rsidRPr="00F50AEA">
              <w:rPr>
                <w:rFonts w:ascii="Lucida Sans" w:hAnsi="Lucida Sans" w:cs="Arial"/>
                <w:b/>
                <w:sz w:val="18"/>
                <w:szCs w:val="18"/>
              </w:rPr>
              <w:t xml:space="preserve">nnual </w:t>
            </w:r>
            <w:r w:rsidR="006F1F12">
              <w:rPr>
                <w:rFonts w:ascii="Lucida Sans" w:hAnsi="Lucida Sans" w:cs="Arial"/>
                <w:b/>
                <w:sz w:val="18"/>
                <w:szCs w:val="18"/>
              </w:rPr>
              <w:t>R</w:t>
            </w:r>
            <w:r w:rsidRPr="00F50AEA">
              <w:rPr>
                <w:rFonts w:ascii="Lucida Sans" w:hAnsi="Lucida Sans" w:cs="Arial"/>
                <w:b/>
                <w:sz w:val="18"/>
                <w:szCs w:val="18"/>
              </w:rPr>
              <w:t>esponses</w:t>
            </w:r>
          </w:p>
        </w:tc>
        <w:tc>
          <w:tcPr>
            <w:tcW w:w="653" w:type="pct"/>
            <w:tcBorders>
              <w:top w:val="single" w:sz="8" w:space="0" w:color="003C79"/>
              <w:bottom w:val="single" w:sz="8" w:space="0" w:color="003C79"/>
            </w:tcBorders>
            <w:hideMark/>
          </w:tcPr>
          <w:p w:rsidR="00E8124D" w:rsidRPr="00F50AEA" w:rsidP="00F50AEA" w14:paraId="2948ED1B" w14:textId="4259C18D">
            <w:pPr>
              <w:pStyle w:val="TableText-IPR"/>
              <w:keepNext/>
              <w:keepLines/>
              <w:rPr>
                <w:rFonts w:ascii="Lucida Sans" w:hAnsi="Lucida Sans" w:cs="Arial"/>
                <w:b/>
                <w:sz w:val="18"/>
                <w:szCs w:val="18"/>
              </w:rPr>
            </w:pPr>
            <w:r w:rsidRPr="00F50AEA">
              <w:rPr>
                <w:rFonts w:ascii="Lucida Sans" w:hAnsi="Lucida Sans" w:cs="Arial"/>
                <w:b/>
                <w:sz w:val="18"/>
                <w:szCs w:val="18"/>
              </w:rPr>
              <w:t xml:space="preserve">Estimated </w:t>
            </w:r>
            <w:r w:rsidR="006F1F12">
              <w:rPr>
                <w:rFonts w:ascii="Lucida Sans" w:hAnsi="Lucida Sans" w:cs="Arial"/>
                <w:b/>
                <w:sz w:val="18"/>
                <w:szCs w:val="18"/>
              </w:rPr>
              <w:t>H</w:t>
            </w:r>
            <w:r w:rsidRPr="00F50AEA">
              <w:rPr>
                <w:rFonts w:ascii="Lucida Sans" w:hAnsi="Lucida Sans" w:cs="Arial"/>
                <w:b/>
                <w:sz w:val="18"/>
                <w:szCs w:val="18"/>
              </w:rPr>
              <w:t xml:space="preserve">ours per </w:t>
            </w:r>
            <w:r w:rsidR="006F1F12">
              <w:rPr>
                <w:rFonts w:ascii="Lucida Sans" w:hAnsi="Lucida Sans" w:cs="Arial"/>
                <w:b/>
                <w:sz w:val="18"/>
                <w:szCs w:val="18"/>
              </w:rPr>
              <w:t>R</w:t>
            </w:r>
            <w:r w:rsidRPr="00F50AEA">
              <w:rPr>
                <w:rFonts w:ascii="Lucida Sans" w:hAnsi="Lucida Sans" w:cs="Arial"/>
                <w:b/>
                <w:sz w:val="18"/>
                <w:szCs w:val="18"/>
              </w:rPr>
              <w:t>esponse</w:t>
            </w:r>
            <w:r w:rsidRPr="00B8461D" w:rsidR="00B8461D">
              <w:rPr>
                <w:rFonts w:ascii="Lucida Sans" w:hAnsi="Lucida Sans" w:cs="Arial"/>
                <w:b/>
                <w:sz w:val="18"/>
                <w:szCs w:val="18"/>
                <w:vertAlign w:val="superscript"/>
              </w:rPr>
              <w:t>b</w:t>
            </w:r>
          </w:p>
        </w:tc>
        <w:tc>
          <w:tcPr>
            <w:tcW w:w="738" w:type="pct"/>
            <w:tcBorders>
              <w:top w:val="single" w:sz="8" w:space="0" w:color="003C79"/>
              <w:bottom w:val="single" w:sz="8" w:space="0" w:color="003C79"/>
            </w:tcBorders>
            <w:hideMark/>
          </w:tcPr>
          <w:p w:rsidR="00E8124D" w:rsidRPr="00F50AEA" w:rsidP="00F50AEA" w14:paraId="6DBCE744" w14:textId="2A88DCA4">
            <w:pPr>
              <w:pStyle w:val="TableText-IPR"/>
              <w:keepNext/>
              <w:keepLines/>
              <w:rPr>
                <w:rFonts w:ascii="Lucida Sans" w:hAnsi="Lucida Sans" w:cs="Arial"/>
                <w:b/>
                <w:sz w:val="18"/>
                <w:szCs w:val="18"/>
              </w:rPr>
            </w:pPr>
            <w:r w:rsidRPr="00F50AEA">
              <w:rPr>
                <w:rFonts w:ascii="Lucida Sans" w:hAnsi="Lucida Sans" w:cs="Arial"/>
                <w:b/>
                <w:sz w:val="18"/>
                <w:szCs w:val="18"/>
              </w:rPr>
              <w:t xml:space="preserve">Estimated </w:t>
            </w:r>
            <w:r w:rsidR="006F1F12">
              <w:rPr>
                <w:rFonts w:ascii="Lucida Sans" w:hAnsi="Lucida Sans" w:cs="Arial"/>
                <w:b/>
                <w:sz w:val="18"/>
                <w:szCs w:val="18"/>
              </w:rPr>
              <w:t>T</w:t>
            </w:r>
            <w:r w:rsidRPr="00F50AEA">
              <w:rPr>
                <w:rFonts w:ascii="Lucida Sans" w:hAnsi="Lucida Sans" w:cs="Arial"/>
                <w:b/>
                <w:sz w:val="18"/>
                <w:szCs w:val="18"/>
              </w:rPr>
              <w:t xml:space="preserve">otal </w:t>
            </w:r>
            <w:r w:rsidR="006F1F12">
              <w:rPr>
                <w:rFonts w:ascii="Lucida Sans" w:hAnsi="Lucida Sans" w:cs="Arial"/>
                <w:b/>
                <w:sz w:val="18"/>
                <w:szCs w:val="18"/>
              </w:rPr>
              <w:t>B</w:t>
            </w:r>
            <w:r w:rsidRPr="00F50AEA">
              <w:rPr>
                <w:rFonts w:ascii="Lucida Sans" w:hAnsi="Lucida Sans" w:cs="Arial"/>
                <w:b/>
                <w:sz w:val="18"/>
                <w:szCs w:val="18"/>
              </w:rPr>
              <w:t>urden (</w:t>
            </w:r>
            <w:r w:rsidR="006F1F12">
              <w:rPr>
                <w:rFonts w:ascii="Lucida Sans" w:hAnsi="Lucida Sans" w:cs="Arial"/>
                <w:b/>
                <w:sz w:val="18"/>
                <w:szCs w:val="18"/>
              </w:rPr>
              <w:t>H</w:t>
            </w:r>
            <w:r w:rsidRPr="00F50AEA">
              <w:rPr>
                <w:rFonts w:ascii="Lucida Sans" w:hAnsi="Lucida Sans" w:cs="Arial"/>
                <w:b/>
                <w:sz w:val="18"/>
                <w:szCs w:val="18"/>
              </w:rPr>
              <w:t>ours)</w:t>
            </w:r>
          </w:p>
        </w:tc>
      </w:tr>
      <w:tr w14:paraId="31FB9B81" w14:textId="77777777" w:rsidTr="00A27147">
        <w:tblPrEx>
          <w:tblW w:w="5000" w:type="pct"/>
          <w:tblInd w:w="0" w:type="dxa"/>
          <w:tblLook w:val="04A0"/>
        </w:tblPrEx>
        <w:trPr>
          <w:trHeight w:val="288"/>
        </w:trPr>
        <w:tc>
          <w:tcPr>
            <w:tcW w:w="1485" w:type="pct"/>
            <w:tcBorders>
              <w:top w:val="single" w:sz="8" w:space="0" w:color="003C79"/>
            </w:tcBorders>
          </w:tcPr>
          <w:p w:rsidR="00014999" w:rsidRPr="00F50AEA" w14:paraId="23C39182" w14:textId="49D9A935">
            <w:pPr>
              <w:pStyle w:val="TableText-IPR"/>
              <w:keepNext/>
              <w:keepLines/>
              <w:spacing w:line="240" w:lineRule="exact"/>
              <w:rPr>
                <w:rFonts w:cs="Calibri"/>
              </w:rPr>
            </w:pPr>
            <w:r>
              <w:rPr>
                <w:rFonts w:cs="Calibri"/>
              </w:rPr>
              <w:t xml:space="preserve">State Government (includes SNAP </w:t>
            </w:r>
            <w:r w:rsidR="00DD0998">
              <w:rPr>
                <w:rFonts w:cs="Calibri"/>
              </w:rPr>
              <w:t xml:space="preserve">State </w:t>
            </w:r>
            <w:r>
              <w:rPr>
                <w:rFonts w:cs="Calibri"/>
              </w:rPr>
              <w:t>agency staff)</w:t>
            </w:r>
          </w:p>
        </w:tc>
        <w:tc>
          <w:tcPr>
            <w:tcW w:w="704" w:type="pct"/>
            <w:tcBorders>
              <w:top w:val="single" w:sz="8" w:space="0" w:color="003C79"/>
            </w:tcBorders>
          </w:tcPr>
          <w:p w:rsidR="00014999" w:rsidRPr="00F50AEA" w:rsidP="001D16F5" w14:paraId="20B1ECA3" w14:textId="0ABFD0A6">
            <w:pPr>
              <w:pStyle w:val="TableText-IPR"/>
              <w:keepNext/>
              <w:keepLines/>
              <w:spacing w:line="240" w:lineRule="exact"/>
              <w:jc w:val="right"/>
              <w:rPr>
                <w:rFonts w:cs="Calibri"/>
              </w:rPr>
            </w:pPr>
            <w:r>
              <w:rPr>
                <w:rFonts w:cs="Calibri"/>
              </w:rPr>
              <w:t>1</w:t>
            </w:r>
            <w:r w:rsidR="004E186D">
              <w:rPr>
                <w:rFonts w:cs="Calibri"/>
              </w:rPr>
              <w:t>2</w:t>
            </w:r>
          </w:p>
        </w:tc>
        <w:tc>
          <w:tcPr>
            <w:tcW w:w="784" w:type="pct"/>
            <w:tcBorders>
              <w:top w:val="single" w:sz="8" w:space="0" w:color="003C79"/>
            </w:tcBorders>
          </w:tcPr>
          <w:p w:rsidR="00014999" w:rsidRPr="00F50AEA" w:rsidP="001D16F5" w14:paraId="64CFFCD5" w14:textId="688B7C02">
            <w:pPr>
              <w:pStyle w:val="TableText-IPR"/>
              <w:keepNext/>
              <w:keepLines/>
              <w:spacing w:line="240" w:lineRule="exact"/>
              <w:jc w:val="right"/>
              <w:rPr>
                <w:rFonts w:cs="Calibri"/>
              </w:rPr>
            </w:pPr>
            <w:r>
              <w:rPr>
                <w:rFonts w:cs="Calibri"/>
              </w:rPr>
              <w:t>7.5</w:t>
            </w:r>
          </w:p>
        </w:tc>
        <w:tc>
          <w:tcPr>
            <w:tcW w:w="636" w:type="pct"/>
            <w:tcBorders>
              <w:top w:val="single" w:sz="8" w:space="0" w:color="003C79"/>
            </w:tcBorders>
          </w:tcPr>
          <w:p w:rsidR="00014999" w:rsidRPr="00F50AEA" w14:paraId="1A236C7F" w14:textId="4A214DD7">
            <w:pPr>
              <w:pStyle w:val="TableText-IPR"/>
              <w:keepNext/>
              <w:keepLines/>
              <w:spacing w:line="240" w:lineRule="exact"/>
              <w:jc w:val="right"/>
              <w:rPr>
                <w:rFonts w:cs="Calibri"/>
              </w:rPr>
            </w:pPr>
            <w:r>
              <w:rPr>
                <w:rFonts w:cs="Calibri"/>
              </w:rPr>
              <w:t>90</w:t>
            </w:r>
          </w:p>
        </w:tc>
        <w:tc>
          <w:tcPr>
            <w:tcW w:w="653" w:type="pct"/>
            <w:tcBorders>
              <w:top w:val="single" w:sz="8" w:space="0" w:color="003C79"/>
            </w:tcBorders>
          </w:tcPr>
          <w:p w:rsidR="00014999" w:rsidRPr="00F50AEA" w:rsidP="001D16F5" w14:paraId="5C05F3F1" w14:textId="7AB40745">
            <w:pPr>
              <w:pStyle w:val="TableText-IPR"/>
              <w:keepNext/>
              <w:keepLines/>
              <w:spacing w:line="240" w:lineRule="exact"/>
              <w:jc w:val="right"/>
              <w:rPr>
                <w:rFonts w:cs="Calibri"/>
              </w:rPr>
            </w:pPr>
            <w:r>
              <w:rPr>
                <w:rFonts w:cs="Calibri"/>
              </w:rPr>
              <w:t>1.</w:t>
            </w:r>
            <w:r w:rsidR="007A640F">
              <w:rPr>
                <w:rFonts w:cs="Calibri"/>
              </w:rPr>
              <w:t>0</w:t>
            </w:r>
          </w:p>
        </w:tc>
        <w:tc>
          <w:tcPr>
            <w:tcW w:w="738" w:type="pct"/>
            <w:tcBorders>
              <w:top w:val="single" w:sz="8" w:space="0" w:color="003C79"/>
            </w:tcBorders>
          </w:tcPr>
          <w:p w:rsidR="00014999" w:rsidRPr="00F50AEA" w:rsidP="001D16F5" w14:paraId="6B6C3A0B" w14:textId="6787DDEC">
            <w:pPr>
              <w:pStyle w:val="TableText-IPR"/>
              <w:keepNext/>
              <w:keepLines/>
              <w:spacing w:line="240" w:lineRule="exact"/>
              <w:jc w:val="right"/>
              <w:rPr>
                <w:rFonts w:cs="Calibri"/>
              </w:rPr>
            </w:pPr>
            <w:r>
              <w:rPr>
                <w:rFonts w:cs="Calibri"/>
              </w:rPr>
              <w:t>92.</w:t>
            </w:r>
            <w:r w:rsidR="007A640F">
              <w:rPr>
                <w:rFonts w:cs="Calibri"/>
              </w:rPr>
              <w:t>8</w:t>
            </w:r>
          </w:p>
        </w:tc>
      </w:tr>
      <w:tr w14:paraId="09CCD4A0" w14:textId="77777777" w:rsidTr="00A27147">
        <w:tblPrEx>
          <w:tblW w:w="5000" w:type="pct"/>
          <w:tblInd w:w="0" w:type="dxa"/>
          <w:tblLook w:val="04A0"/>
        </w:tblPrEx>
        <w:trPr>
          <w:trHeight w:val="288"/>
        </w:trPr>
        <w:tc>
          <w:tcPr>
            <w:tcW w:w="1485" w:type="pct"/>
            <w:hideMark/>
          </w:tcPr>
          <w:p w:rsidR="00A27147" w:rsidRPr="00F50AEA" w14:paraId="3EE3581C" w14:textId="24072EE6">
            <w:pPr>
              <w:pStyle w:val="TableText-IPR"/>
              <w:keepNext/>
              <w:keepLines/>
              <w:spacing w:line="240" w:lineRule="exact"/>
              <w:rPr>
                <w:rFonts w:cs="Calibri"/>
              </w:rPr>
            </w:pPr>
            <w:r>
              <w:rPr>
                <w:rFonts w:cs="Calibri"/>
              </w:rPr>
              <w:t xml:space="preserve">Businesses (includes </w:t>
            </w:r>
            <w:r>
              <w:rPr>
                <w:rFonts w:cs="Calibri"/>
              </w:rPr>
              <w:t xml:space="preserve">EBT </w:t>
            </w:r>
            <w:r>
              <w:rPr>
                <w:rFonts w:cs="Calibri"/>
              </w:rPr>
              <w:t>p</w:t>
            </w:r>
            <w:r>
              <w:rPr>
                <w:rFonts w:cs="Calibri"/>
              </w:rPr>
              <w:t>rocessor</w:t>
            </w:r>
            <w:r>
              <w:rPr>
                <w:rFonts w:cs="Calibri"/>
              </w:rPr>
              <w:t>, retailer, TPP</w:t>
            </w:r>
            <w:r w:rsidR="00D8458D">
              <w:rPr>
                <w:rFonts w:cs="Calibri"/>
              </w:rPr>
              <w:t>, and GusNIP</w:t>
            </w:r>
            <w:r>
              <w:rPr>
                <w:rFonts w:cs="Calibri"/>
              </w:rPr>
              <w:t xml:space="preserve"> </w:t>
            </w:r>
            <w:r>
              <w:rPr>
                <w:rFonts w:cs="Calibri"/>
              </w:rPr>
              <w:t>s</w:t>
            </w:r>
            <w:r>
              <w:rPr>
                <w:rFonts w:cs="Calibri"/>
              </w:rPr>
              <w:t>taff</w:t>
            </w:r>
            <w:r>
              <w:rPr>
                <w:rFonts w:cs="Calibri"/>
              </w:rPr>
              <w:t>)</w:t>
            </w:r>
          </w:p>
        </w:tc>
        <w:tc>
          <w:tcPr>
            <w:tcW w:w="704" w:type="pct"/>
          </w:tcPr>
          <w:p w:rsidR="00A27147" w:rsidRPr="00F50AEA" w:rsidP="0058758E" w14:paraId="32B7F686" w14:textId="2FD7D33D">
            <w:pPr>
              <w:pStyle w:val="TableText-IPR"/>
              <w:keepNext/>
              <w:keepLines/>
              <w:spacing w:line="240" w:lineRule="exact"/>
              <w:jc w:val="right"/>
              <w:rPr>
                <w:rFonts w:cs="Calibri"/>
              </w:rPr>
            </w:pPr>
            <w:r>
              <w:rPr>
                <w:rFonts w:cs="Calibri"/>
              </w:rPr>
              <w:t>3</w:t>
            </w:r>
            <w:r w:rsidR="00EC5448">
              <w:rPr>
                <w:rFonts w:cs="Calibri"/>
              </w:rPr>
              <w:t>8</w:t>
            </w:r>
          </w:p>
        </w:tc>
        <w:tc>
          <w:tcPr>
            <w:tcW w:w="784" w:type="pct"/>
          </w:tcPr>
          <w:p w:rsidR="00A27147" w:rsidRPr="00F50AEA" w:rsidP="0058758E" w14:paraId="5679500A" w14:textId="21215060">
            <w:pPr>
              <w:pStyle w:val="TableText-IPR"/>
              <w:keepNext/>
              <w:keepLines/>
              <w:spacing w:line="240" w:lineRule="exact"/>
              <w:jc w:val="right"/>
              <w:rPr>
                <w:rFonts w:cs="Calibri"/>
              </w:rPr>
            </w:pPr>
            <w:r>
              <w:rPr>
                <w:rFonts w:cs="Calibri"/>
              </w:rPr>
              <w:t>7.2</w:t>
            </w:r>
          </w:p>
        </w:tc>
        <w:tc>
          <w:tcPr>
            <w:tcW w:w="636" w:type="pct"/>
          </w:tcPr>
          <w:p w:rsidR="00A27147" w:rsidRPr="00F50AEA" w:rsidP="0058758E" w14:paraId="070075EA" w14:textId="48528F7E">
            <w:pPr>
              <w:pStyle w:val="TableText-IPR"/>
              <w:keepNext/>
              <w:keepLines/>
              <w:spacing w:line="240" w:lineRule="exact"/>
              <w:jc w:val="right"/>
              <w:rPr>
                <w:rFonts w:cs="Calibri"/>
              </w:rPr>
            </w:pPr>
            <w:r>
              <w:rPr>
                <w:rFonts w:cs="Calibri"/>
              </w:rPr>
              <w:t>272</w:t>
            </w:r>
          </w:p>
        </w:tc>
        <w:tc>
          <w:tcPr>
            <w:tcW w:w="653" w:type="pct"/>
          </w:tcPr>
          <w:p w:rsidR="00A27147" w:rsidRPr="00F50AEA" w:rsidP="0058758E" w14:paraId="37B84329" w14:textId="2257A39A">
            <w:pPr>
              <w:pStyle w:val="TableText-IPR"/>
              <w:keepNext/>
              <w:keepLines/>
              <w:spacing w:line="240" w:lineRule="exact"/>
              <w:jc w:val="right"/>
              <w:rPr>
                <w:rFonts w:cs="Calibri"/>
              </w:rPr>
            </w:pPr>
            <w:r>
              <w:rPr>
                <w:rFonts w:cs="Calibri"/>
              </w:rPr>
              <w:t>0.</w:t>
            </w:r>
            <w:r w:rsidR="004C5D44">
              <w:rPr>
                <w:rFonts w:cs="Calibri"/>
              </w:rPr>
              <w:t>4</w:t>
            </w:r>
          </w:p>
        </w:tc>
        <w:tc>
          <w:tcPr>
            <w:tcW w:w="738" w:type="pct"/>
          </w:tcPr>
          <w:p w:rsidR="00A27147" w:rsidRPr="00F50AEA" w:rsidP="0058758E" w14:paraId="32F55BBB" w14:textId="0E4AC138">
            <w:pPr>
              <w:pStyle w:val="TableText-IPR"/>
              <w:keepNext/>
              <w:keepLines/>
              <w:spacing w:line="240" w:lineRule="exact"/>
              <w:jc w:val="right"/>
              <w:rPr>
                <w:rFonts w:cs="Calibri"/>
              </w:rPr>
            </w:pPr>
            <w:r>
              <w:rPr>
                <w:rFonts w:cs="Calibri"/>
              </w:rPr>
              <w:t>105</w:t>
            </w:r>
            <w:r w:rsidR="00335781">
              <w:rPr>
                <w:rFonts w:cs="Calibri"/>
              </w:rPr>
              <w:t>.</w:t>
            </w:r>
            <w:r>
              <w:rPr>
                <w:rFonts w:cs="Calibri"/>
              </w:rPr>
              <w:t>7</w:t>
            </w:r>
          </w:p>
        </w:tc>
      </w:tr>
      <w:tr w14:paraId="3F341172" w14:textId="77777777" w:rsidTr="00A27147">
        <w:tblPrEx>
          <w:tblW w:w="5000" w:type="pct"/>
          <w:tblInd w:w="0" w:type="dxa"/>
          <w:tblLook w:val="04A0"/>
        </w:tblPrEx>
        <w:trPr>
          <w:trHeight w:val="288"/>
        </w:trPr>
        <w:tc>
          <w:tcPr>
            <w:tcW w:w="1485" w:type="pct"/>
            <w:hideMark/>
          </w:tcPr>
          <w:p w:rsidR="00E8124D" w:rsidRPr="00F50AEA" w:rsidP="00F50AEA" w14:paraId="3BBF5782" w14:textId="04A59870">
            <w:pPr>
              <w:pStyle w:val="TableText-IPR"/>
              <w:keepNext/>
              <w:keepLines/>
              <w:spacing w:line="240" w:lineRule="exact"/>
              <w:rPr>
                <w:rFonts w:cs="Calibri"/>
              </w:rPr>
            </w:pPr>
            <w:r w:rsidRPr="00F50AEA">
              <w:rPr>
                <w:rFonts w:cs="Calibri"/>
              </w:rPr>
              <w:t xml:space="preserve">Total </w:t>
            </w:r>
            <w:r w:rsidR="00E54B4B">
              <w:rPr>
                <w:rFonts w:cs="Calibri"/>
              </w:rPr>
              <w:t xml:space="preserve">respondent </w:t>
            </w:r>
            <w:r w:rsidRPr="00F50AEA">
              <w:rPr>
                <w:rFonts w:cs="Calibri"/>
              </w:rPr>
              <w:t>burden estimate</w:t>
            </w:r>
          </w:p>
        </w:tc>
        <w:tc>
          <w:tcPr>
            <w:tcW w:w="704" w:type="pct"/>
          </w:tcPr>
          <w:p w:rsidR="00E8124D" w:rsidRPr="00F50AEA" w:rsidP="001D16F5" w14:paraId="368CE068" w14:textId="64E33EDC">
            <w:pPr>
              <w:pStyle w:val="TableText-IPR"/>
              <w:keepNext/>
              <w:keepLines/>
              <w:spacing w:line="240" w:lineRule="exact"/>
              <w:jc w:val="right"/>
              <w:rPr>
                <w:rFonts w:cs="Calibri"/>
              </w:rPr>
            </w:pPr>
            <w:r>
              <w:rPr>
                <w:rFonts w:cs="Calibri"/>
              </w:rPr>
              <w:t>5</w:t>
            </w:r>
            <w:r w:rsidR="004E186D">
              <w:rPr>
                <w:rFonts w:cs="Calibri"/>
              </w:rPr>
              <w:t>0</w:t>
            </w:r>
          </w:p>
        </w:tc>
        <w:tc>
          <w:tcPr>
            <w:tcW w:w="784" w:type="pct"/>
          </w:tcPr>
          <w:p w:rsidR="00E8124D" w:rsidRPr="00F50AEA" w14:paraId="5589C8E0" w14:textId="62598A50">
            <w:pPr>
              <w:pStyle w:val="TableText-IPR"/>
              <w:keepNext/>
              <w:keepLines/>
              <w:spacing w:line="240" w:lineRule="exact"/>
              <w:jc w:val="right"/>
              <w:rPr>
                <w:rFonts w:cs="Calibri"/>
              </w:rPr>
            </w:pPr>
            <w:r>
              <w:rPr>
                <w:rFonts w:cs="Calibri"/>
              </w:rPr>
              <w:t>7.</w:t>
            </w:r>
            <w:r w:rsidR="007A640F">
              <w:rPr>
                <w:rFonts w:cs="Calibri"/>
              </w:rPr>
              <w:t>2</w:t>
            </w:r>
          </w:p>
        </w:tc>
        <w:tc>
          <w:tcPr>
            <w:tcW w:w="636" w:type="pct"/>
          </w:tcPr>
          <w:p w:rsidR="00E8124D" w:rsidRPr="00F50AEA" w:rsidP="001D16F5" w14:paraId="21EC2413" w14:textId="201C0844">
            <w:pPr>
              <w:pStyle w:val="TableText-IPR"/>
              <w:keepNext/>
              <w:keepLines/>
              <w:spacing w:line="240" w:lineRule="exact"/>
              <w:jc w:val="right"/>
              <w:rPr>
                <w:rFonts w:cs="Calibri"/>
              </w:rPr>
            </w:pPr>
            <w:r>
              <w:rPr>
                <w:rFonts w:cs="Calibri"/>
              </w:rPr>
              <w:t>3</w:t>
            </w:r>
            <w:r w:rsidR="007A640F">
              <w:rPr>
                <w:rFonts w:cs="Calibri"/>
              </w:rPr>
              <w:t>62</w:t>
            </w:r>
          </w:p>
        </w:tc>
        <w:tc>
          <w:tcPr>
            <w:tcW w:w="653" w:type="pct"/>
          </w:tcPr>
          <w:p w:rsidR="00E8124D" w:rsidRPr="00F50AEA" w:rsidP="001D16F5" w14:paraId="7B30B98D" w14:textId="6E75CD13">
            <w:pPr>
              <w:pStyle w:val="TableText-IPR"/>
              <w:keepNext/>
              <w:keepLines/>
              <w:spacing w:line="240" w:lineRule="exact"/>
              <w:jc w:val="right"/>
              <w:rPr>
                <w:rFonts w:cs="Calibri"/>
              </w:rPr>
            </w:pPr>
            <w:r>
              <w:rPr>
                <w:rFonts w:cs="Calibri"/>
              </w:rPr>
              <w:t>0.</w:t>
            </w:r>
            <w:r w:rsidR="007A640F">
              <w:rPr>
                <w:rFonts w:cs="Calibri"/>
              </w:rPr>
              <w:t>5</w:t>
            </w:r>
          </w:p>
        </w:tc>
        <w:tc>
          <w:tcPr>
            <w:tcW w:w="738" w:type="pct"/>
          </w:tcPr>
          <w:p w:rsidR="00E8124D" w:rsidRPr="00F50AEA" w:rsidP="001D16F5" w14:paraId="174B4F76" w14:textId="1F81AAAD">
            <w:pPr>
              <w:pStyle w:val="TableText-IPR"/>
              <w:keepNext/>
              <w:keepLines/>
              <w:spacing w:line="240" w:lineRule="exact"/>
              <w:jc w:val="right"/>
              <w:rPr>
                <w:rFonts w:cs="Calibri"/>
              </w:rPr>
            </w:pPr>
            <w:r>
              <w:rPr>
                <w:rFonts w:cs="Calibri"/>
              </w:rPr>
              <w:t>19</w:t>
            </w:r>
            <w:r w:rsidR="007A640F">
              <w:rPr>
                <w:rFonts w:cs="Calibri"/>
              </w:rPr>
              <w:t>8.5</w:t>
            </w:r>
          </w:p>
        </w:tc>
      </w:tr>
    </w:tbl>
    <w:p w:rsidR="009107BA" w:rsidP="00B8461D" w14:paraId="0DE0CA62" w14:textId="1885DF2A">
      <w:pPr>
        <w:spacing w:line="240" w:lineRule="auto"/>
        <w:contextualSpacing/>
        <w:rPr>
          <w:bCs/>
          <w:sz w:val="20"/>
          <w:szCs w:val="20"/>
        </w:rPr>
      </w:pPr>
      <w:r w:rsidRPr="00985B8B">
        <w:rPr>
          <w:bCs/>
          <w:sz w:val="20"/>
          <w:szCs w:val="20"/>
          <w:vertAlign w:val="superscript"/>
        </w:rPr>
        <w:t>a</w:t>
      </w:r>
      <w:r w:rsidRPr="00B8461D">
        <w:rPr>
          <w:bCs/>
          <w:sz w:val="20"/>
          <w:szCs w:val="20"/>
        </w:rPr>
        <w:t xml:space="preserve"> Number of</w:t>
      </w:r>
      <w:r w:rsidRPr="00B8461D">
        <w:rPr>
          <w:bCs/>
          <w:sz w:val="20"/>
          <w:szCs w:val="20"/>
        </w:rPr>
        <w:t xml:space="preserve"> responses per respondent = </w:t>
      </w:r>
      <w:r w:rsidR="006F1F12">
        <w:rPr>
          <w:bCs/>
          <w:sz w:val="20"/>
          <w:szCs w:val="20"/>
        </w:rPr>
        <w:t>t</w:t>
      </w:r>
      <w:r w:rsidRPr="00B8461D">
        <w:rPr>
          <w:bCs/>
          <w:sz w:val="20"/>
          <w:szCs w:val="20"/>
        </w:rPr>
        <w:t>otal annual responses/</w:t>
      </w:r>
      <w:r w:rsidR="006F1F12">
        <w:rPr>
          <w:bCs/>
          <w:sz w:val="20"/>
          <w:szCs w:val="20"/>
        </w:rPr>
        <w:t>t</w:t>
      </w:r>
      <w:r w:rsidRPr="00B8461D">
        <w:rPr>
          <w:bCs/>
          <w:sz w:val="20"/>
          <w:szCs w:val="20"/>
        </w:rPr>
        <w:t>otal number of respondents</w:t>
      </w:r>
    </w:p>
    <w:p w:rsidR="00B8461D" w:rsidRPr="00B8461D" w:rsidP="007C1C52" w14:paraId="2D96F29A" w14:textId="3EA2C05B">
      <w:pPr>
        <w:spacing w:after="360" w:line="480" w:lineRule="auto"/>
        <w:rPr>
          <w:bCs/>
          <w:sz w:val="20"/>
          <w:szCs w:val="20"/>
        </w:rPr>
      </w:pPr>
      <w:r w:rsidRPr="00985B8B">
        <w:rPr>
          <w:bCs/>
          <w:sz w:val="20"/>
          <w:szCs w:val="20"/>
          <w:vertAlign w:val="superscript"/>
        </w:rPr>
        <w:t>b</w:t>
      </w:r>
      <w:r>
        <w:rPr>
          <w:bCs/>
          <w:sz w:val="20"/>
          <w:szCs w:val="20"/>
        </w:rPr>
        <w:t xml:space="preserve"> </w:t>
      </w:r>
      <w:r w:rsidR="00A531D2">
        <w:rPr>
          <w:bCs/>
          <w:sz w:val="20"/>
          <w:szCs w:val="20"/>
        </w:rPr>
        <w:t>Estimated</w:t>
      </w:r>
      <w:r w:rsidRPr="00B8461D">
        <w:rPr>
          <w:bCs/>
          <w:sz w:val="20"/>
          <w:szCs w:val="20"/>
        </w:rPr>
        <w:t xml:space="preserve"> hours per response = </w:t>
      </w:r>
      <w:r w:rsidR="006F1F12">
        <w:rPr>
          <w:bCs/>
          <w:sz w:val="20"/>
          <w:szCs w:val="20"/>
        </w:rPr>
        <w:t>t</w:t>
      </w:r>
      <w:r w:rsidRPr="00B8461D">
        <w:rPr>
          <w:bCs/>
          <w:sz w:val="20"/>
          <w:szCs w:val="20"/>
        </w:rPr>
        <w:t>otal burden/</w:t>
      </w:r>
      <w:r w:rsidR="006F1F12">
        <w:rPr>
          <w:bCs/>
          <w:sz w:val="20"/>
          <w:szCs w:val="20"/>
        </w:rPr>
        <w:t>t</w:t>
      </w:r>
      <w:r w:rsidRPr="00B8461D">
        <w:rPr>
          <w:bCs/>
          <w:sz w:val="20"/>
          <w:szCs w:val="20"/>
        </w:rPr>
        <w:t>otal annual responses</w:t>
      </w:r>
    </w:p>
    <w:p w:rsidR="00163533" w:rsidRPr="00A954A0" w:rsidP="0003577E" w14:paraId="6E1C15D7" w14:textId="4464149A">
      <w:pPr>
        <w:pStyle w:val="Heading3WithoutNumebrs"/>
        <w:ind w:left="288" w:right="720"/>
      </w:pPr>
      <w:bookmarkStart w:id="30" w:name="_Toc148333348"/>
      <w:r w:rsidRPr="00A954A0">
        <w:t>12B</w:t>
      </w:r>
      <w:r w:rsidR="00D41188">
        <w:t>.</w:t>
      </w:r>
      <w:r w:rsidRPr="00A954A0">
        <w:t xml:space="preserve"> Provide estimates of annualized cost to respondents for the hour burdens for collections of information, identifying and using appropriate wage rate categories.</w:t>
      </w:r>
      <w:bookmarkEnd w:id="30"/>
    </w:p>
    <w:p w:rsidR="00875782" w:rsidRPr="00A954A0" w:rsidP="001D16F5" w14:paraId="40786ECC" w14:textId="54BD607A">
      <w:pPr>
        <w:spacing w:after="240" w:line="480" w:lineRule="auto"/>
        <w:rPr>
          <w:sz w:val="24"/>
          <w:szCs w:val="24"/>
        </w:rPr>
      </w:pPr>
      <w:r w:rsidRPr="00A954A0">
        <w:rPr>
          <w:sz w:val="24"/>
          <w:szCs w:val="24"/>
        </w:rPr>
        <w:t>Annualized cost of respondent burden is the product of each type of respondent’s annual burden and average hourly wage rate. The total annualized cost to respondents for the hour burdens for collections of information is $</w:t>
      </w:r>
      <w:r w:rsidR="004C5D44">
        <w:rPr>
          <w:sz w:val="24"/>
          <w:szCs w:val="24"/>
        </w:rPr>
        <w:t>14</w:t>
      </w:r>
      <w:r w:rsidR="00D8458D">
        <w:rPr>
          <w:sz w:val="24"/>
          <w:szCs w:val="24"/>
        </w:rPr>
        <w:t>,</w:t>
      </w:r>
      <w:r w:rsidR="007A640F">
        <w:rPr>
          <w:sz w:val="24"/>
          <w:szCs w:val="24"/>
        </w:rPr>
        <w:t>219</w:t>
      </w:r>
      <w:r w:rsidRPr="00A954A0" w:rsidR="007A640F">
        <w:rPr>
          <w:sz w:val="24"/>
          <w:szCs w:val="24"/>
        </w:rPr>
        <w:t xml:space="preserve"> </w:t>
      </w:r>
      <w:r w:rsidRPr="00A954A0">
        <w:rPr>
          <w:sz w:val="24"/>
          <w:szCs w:val="24"/>
        </w:rPr>
        <w:t>($</w:t>
      </w:r>
      <w:r w:rsidR="00D8458D">
        <w:rPr>
          <w:sz w:val="24"/>
          <w:szCs w:val="24"/>
        </w:rPr>
        <w:t>5,</w:t>
      </w:r>
      <w:r w:rsidR="007A640F">
        <w:rPr>
          <w:sz w:val="24"/>
          <w:szCs w:val="24"/>
        </w:rPr>
        <w:t>142</w:t>
      </w:r>
      <w:r w:rsidRPr="00A954A0" w:rsidR="007A640F">
        <w:rPr>
          <w:sz w:val="24"/>
          <w:szCs w:val="24"/>
        </w:rPr>
        <w:t xml:space="preserve"> </w:t>
      </w:r>
      <w:r w:rsidRPr="00A954A0">
        <w:rPr>
          <w:sz w:val="24"/>
          <w:szCs w:val="24"/>
        </w:rPr>
        <w:t xml:space="preserve">for </w:t>
      </w:r>
      <w:r w:rsidRPr="00A954A0" w:rsidR="00764072">
        <w:rPr>
          <w:sz w:val="24"/>
          <w:szCs w:val="24"/>
        </w:rPr>
        <w:t>SNAP</w:t>
      </w:r>
      <w:r w:rsidRPr="00A954A0">
        <w:rPr>
          <w:sz w:val="24"/>
          <w:szCs w:val="24"/>
        </w:rPr>
        <w:t xml:space="preserve"> S</w:t>
      </w:r>
      <w:r w:rsidRPr="00A954A0" w:rsidR="00923D7C">
        <w:rPr>
          <w:sz w:val="24"/>
          <w:szCs w:val="24"/>
        </w:rPr>
        <w:t>tate agencie</w:t>
      </w:r>
      <w:r w:rsidRPr="00A954A0">
        <w:rPr>
          <w:sz w:val="24"/>
          <w:szCs w:val="24"/>
        </w:rPr>
        <w:t>s and $</w:t>
      </w:r>
      <w:r w:rsidR="004C5D44">
        <w:rPr>
          <w:sz w:val="24"/>
          <w:szCs w:val="24"/>
        </w:rPr>
        <w:t>9,076</w:t>
      </w:r>
      <w:r w:rsidR="00D43EA2">
        <w:rPr>
          <w:sz w:val="24"/>
          <w:szCs w:val="24"/>
        </w:rPr>
        <w:t xml:space="preserve"> </w:t>
      </w:r>
      <w:r w:rsidRPr="00A954A0">
        <w:rPr>
          <w:sz w:val="24"/>
          <w:szCs w:val="24"/>
        </w:rPr>
        <w:t xml:space="preserve">for </w:t>
      </w:r>
      <w:r w:rsidR="00D43EA2">
        <w:rPr>
          <w:sz w:val="24"/>
          <w:szCs w:val="24"/>
        </w:rPr>
        <w:t>businesse</w:t>
      </w:r>
      <w:r w:rsidRPr="00A954A0" w:rsidR="00D43EA2">
        <w:rPr>
          <w:sz w:val="24"/>
          <w:szCs w:val="24"/>
        </w:rPr>
        <w:t>s</w:t>
      </w:r>
      <w:r w:rsidRPr="00A954A0">
        <w:rPr>
          <w:sz w:val="24"/>
          <w:szCs w:val="24"/>
        </w:rPr>
        <w:t>). This total annualized cost is calculated as the sum of the annualized costs by respondent category</w:t>
      </w:r>
      <w:r w:rsidR="00AF7B8A">
        <w:rPr>
          <w:sz w:val="24"/>
          <w:szCs w:val="24"/>
        </w:rPr>
        <w:t xml:space="preserve"> and includes a 33 percent fringe benefit amount</w:t>
      </w:r>
      <w:r w:rsidRPr="00A954A0">
        <w:rPr>
          <w:sz w:val="24"/>
          <w:szCs w:val="24"/>
        </w:rPr>
        <w:t xml:space="preserve">. For each respondent category, the annualized cost is the product of burden hours (including pretest burden) and an assumed wage rate for a corresponding occupation. </w:t>
      </w:r>
    </w:p>
    <w:p w:rsidR="00875782" w:rsidRPr="00A954A0" w:rsidP="006C11FE" w14:paraId="6400F5B5" w14:textId="037295B2">
      <w:pPr>
        <w:spacing w:after="240" w:line="480" w:lineRule="auto"/>
        <w:rPr>
          <w:sz w:val="24"/>
          <w:szCs w:val="24"/>
        </w:rPr>
      </w:pPr>
      <w:r w:rsidRPr="00A954A0">
        <w:rPr>
          <w:sz w:val="24"/>
          <w:szCs w:val="24"/>
        </w:rPr>
        <w:t xml:space="preserve">The </w:t>
      </w:r>
      <w:r w:rsidRPr="00A954A0" w:rsidR="00AF3F13">
        <w:rPr>
          <w:sz w:val="24"/>
          <w:szCs w:val="24"/>
        </w:rPr>
        <w:t>study team determined w</w:t>
      </w:r>
      <w:r w:rsidRPr="00A954A0">
        <w:rPr>
          <w:sz w:val="24"/>
          <w:szCs w:val="24"/>
        </w:rPr>
        <w:t xml:space="preserve">age rates using the </w:t>
      </w:r>
      <w:r w:rsidR="00DD0998">
        <w:rPr>
          <w:sz w:val="24"/>
          <w:szCs w:val="24"/>
        </w:rPr>
        <w:t>2023</w:t>
      </w:r>
      <w:r w:rsidRPr="00A954A0" w:rsidR="00DD0998">
        <w:rPr>
          <w:sz w:val="24"/>
          <w:szCs w:val="24"/>
        </w:rPr>
        <w:t xml:space="preserve"> </w:t>
      </w:r>
      <w:r w:rsidRPr="00A954A0">
        <w:rPr>
          <w:sz w:val="24"/>
          <w:szCs w:val="24"/>
        </w:rPr>
        <w:t>national occupational employment and wage data from the D</w:t>
      </w:r>
      <w:r w:rsidRPr="00A954A0" w:rsidR="00923D7C">
        <w:rPr>
          <w:sz w:val="24"/>
          <w:szCs w:val="24"/>
        </w:rPr>
        <w:t>epartment of Labor’s</w:t>
      </w:r>
      <w:r w:rsidRPr="00A954A0">
        <w:rPr>
          <w:sz w:val="24"/>
          <w:szCs w:val="24"/>
        </w:rPr>
        <w:t xml:space="preserve"> Bureau of Labor Statistics. </w:t>
      </w:r>
      <w:r w:rsidRPr="00A954A0" w:rsidR="00A41EF9">
        <w:rPr>
          <w:sz w:val="24"/>
          <w:szCs w:val="24"/>
        </w:rPr>
        <w:t xml:space="preserve">Table A12.2 shows the wage assumptions. </w:t>
      </w:r>
    </w:p>
    <w:p w:rsidR="003D3563" w:rsidRPr="004D6EEB" w:rsidP="003D3563" w14:paraId="311448AE" w14:textId="2E0040C2">
      <w:pPr>
        <w:pStyle w:val="TableTitle-IPR"/>
        <w:rPr>
          <w:sz w:val="24"/>
          <w:szCs w:val="28"/>
        </w:rPr>
      </w:pPr>
      <w:bookmarkStart w:id="31" w:name="_Toc170219536"/>
      <w:r w:rsidRPr="004D6EEB">
        <w:rPr>
          <w:sz w:val="24"/>
          <w:szCs w:val="28"/>
        </w:rPr>
        <w:t xml:space="preserve">Table A12.2. </w:t>
      </w:r>
      <w:r w:rsidRPr="004D6EEB" w:rsidR="00086569">
        <w:rPr>
          <w:sz w:val="24"/>
          <w:szCs w:val="28"/>
        </w:rPr>
        <w:t>Wage Assumptions</w:t>
      </w:r>
      <w:bookmarkEnd w:id="31"/>
    </w:p>
    <w:tbl>
      <w:tblPr>
        <w:tblStyle w:val="InsightTable"/>
        <w:tblW w:w="5000" w:type="pct"/>
        <w:tblInd w:w="0" w:type="dxa"/>
        <w:tblLayout w:type="fixed"/>
        <w:tblLook w:val="04A0"/>
      </w:tblPr>
      <w:tblGrid>
        <w:gridCol w:w="2150"/>
        <w:gridCol w:w="1349"/>
        <w:gridCol w:w="1114"/>
        <w:gridCol w:w="1352"/>
        <w:gridCol w:w="1217"/>
        <w:gridCol w:w="1090"/>
        <w:gridCol w:w="1088"/>
      </w:tblGrid>
      <w:tr w14:paraId="5B8F3542" w14:textId="7D6297EB" w:rsidTr="001925AE">
        <w:tblPrEx>
          <w:tblW w:w="5000" w:type="pct"/>
          <w:tblInd w:w="0" w:type="dxa"/>
          <w:tblLayout w:type="fixed"/>
          <w:tblLook w:val="04A0"/>
        </w:tblPrEx>
        <w:trPr>
          <w:trHeight w:val="290"/>
        </w:trPr>
        <w:tc>
          <w:tcPr>
            <w:tcW w:w="1149" w:type="pct"/>
            <w:tcBorders>
              <w:top w:val="single" w:sz="8" w:space="0" w:color="003C79"/>
              <w:bottom w:val="single" w:sz="8" w:space="0" w:color="003C79"/>
            </w:tcBorders>
            <w:noWrap/>
            <w:hideMark/>
          </w:tcPr>
          <w:p w:rsidR="00C15458" w:rsidRPr="00DA036A" w:rsidP="00DA036A" w14:paraId="393228B0" w14:textId="77777777">
            <w:pPr>
              <w:pStyle w:val="TableText-IPR"/>
              <w:keepNext/>
              <w:keepLines/>
              <w:rPr>
                <w:rFonts w:ascii="Lucida Sans" w:hAnsi="Lucida Sans" w:cs="Arial"/>
                <w:b/>
                <w:sz w:val="18"/>
                <w:szCs w:val="18"/>
              </w:rPr>
            </w:pPr>
            <w:r w:rsidRPr="00DA036A">
              <w:rPr>
                <w:rFonts w:ascii="Lucida Sans" w:hAnsi="Lucida Sans" w:cs="Arial"/>
                <w:b/>
                <w:sz w:val="18"/>
                <w:szCs w:val="18"/>
              </w:rPr>
              <w:t>Respondent Group</w:t>
            </w:r>
          </w:p>
        </w:tc>
        <w:tc>
          <w:tcPr>
            <w:tcW w:w="721" w:type="pct"/>
            <w:tcBorders>
              <w:top w:val="single" w:sz="8" w:space="0" w:color="003C79"/>
              <w:bottom w:val="single" w:sz="8" w:space="0" w:color="003C79"/>
            </w:tcBorders>
            <w:noWrap/>
            <w:hideMark/>
          </w:tcPr>
          <w:p w:rsidR="00C15458" w:rsidRPr="00DA036A" w:rsidP="00DA036A" w14:paraId="544FAAC6" w14:textId="77777777">
            <w:pPr>
              <w:pStyle w:val="TableText-IPR"/>
              <w:keepNext/>
              <w:keepLines/>
              <w:rPr>
                <w:rFonts w:ascii="Lucida Sans" w:hAnsi="Lucida Sans" w:cs="Arial"/>
                <w:b/>
                <w:sz w:val="18"/>
                <w:szCs w:val="18"/>
              </w:rPr>
            </w:pPr>
            <w:r w:rsidRPr="00DA036A">
              <w:rPr>
                <w:rFonts w:ascii="Lucida Sans" w:hAnsi="Lucida Sans" w:cs="Arial"/>
                <w:b/>
                <w:sz w:val="18"/>
                <w:szCs w:val="18"/>
              </w:rPr>
              <w:t>Job Category</w:t>
            </w:r>
          </w:p>
        </w:tc>
        <w:tc>
          <w:tcPr>
            <w:tcW w:w="595" w:type="pct"/>
            <w:tcBorders>
              <w:top w:val="single" w:sz="8" w:space="0" w:color="003C79"/>
              <w:bottom w:val="single" w:sz="8" w:space="0" w:color="003C79"/>
            </w:tcBorders>
            <w:noWrap/>
            <w:hideMark/>
          </w:tcPr>
          <w:p w:rsidR="00C15458" w:rsidRPr="00DA036A" w:rsidP="00DA036A" w14:paraId="0F5748AC" w14:textId="77777777">
            <w:pPr>
              <w:pStyle w:val="TableText-IPR"/>
              <w:keepNext/>
              <w:keepLines/>
              <w:rPr>
                <w:rFonts w:ascii="Lucida Sans" w:hAnsi="Lucida Sans" w:cs="Arial"/>
                <w:b/>
                <w:sz w:val="18"/>
                <w:szCs w:val="18"/>
              </w:rPr>
            </w:pPr>
            <w:r w:rsidRPr="00DA036A">
              <w:rPr>
                <w:rFonts w:ascii="Lucida Sans" w:hAnsi="Lucida Sans" w:cs="Arial"/>
                <w:b/>
                <w:sz w:val="18"/>
                <w:szCs w:val="18"/>
              </w:rPr>
              <w:t>Code</w:t>
            </w:r>
          </w:p>
        </w:tc>
        <w:tc>
          <w:tcPr>
            <w:tcW w:w="722" w:type="pct"/>
            <w:tcBorders>
              <w:top w:val="single" w:sz="8" w:space="0" w:color="003C79"/>
              <w:bottom w:val="single" w:sz="8" w:space="0" w:color="003C79"/>
            </w:tcBorders>
            <w:noWrap/>
            <w:hideMark/>
          </w:tcPr>
          <w:p w:rsidR="00C15458" w:rsidRPr="00DA036A" w:rsidP="00DA036A" w14:paraId="228BA0B0" w14:textId="77777777">
            <w:pPr>
              <w:pStyle w:val="TableText-IPR"/>
              <w:keepNext/>
              <w:keepLines/>
              <w:rPr>
                <w:rFonts w:ascii="Lucida Sans" w:hAnsi="Lucida Sans" w:cs="Arial"/>
                <w:b/>
                <w:sz w:val="18"/>
                <w:szCs w:val="18"/>
              </w:rPr>
            </w:pPr>
            <w:r w:rsidRPr="00DA036A">
              <w:rPr>
                <w:rFonts w:ascii="Lucida Sans" w:hAnsi="Lucida Sans" w:cs="Arial"/>
                <w:b/>
                <w:sz w:val="18"/>
                <w:szCs w:val="18"/>
              </w:rPr>
              <w:t>Code Description</w:t>
            </w:r>
          </w:p>
        </w:tc>
        <w:tc>
          <w:tcPr>
            <w:tcW w:w="650" w:type="pct"/>
            <w:tcBorders>
              <w:top w:val="single" w:sz="8" w:space="0" w:color="003C79"/>
              <w:bottom w:val="single" w:sz="8" w:space="0" w:color="003C79"/>
            </w:tcBorders>
            <w:noWrap/>
            <w:hideMark/>
          </w:tcPr>
          <w:p w:rsidR="00C15458" w:rsidRPr="00DA036A" w:rsidP="00DA036A" w14:paraId="61A04E3C" w14:textId="77777777">
            <w:pPr>
              <w:pStyle w:val="TableText-IPR"/>
              <w:keepNext/>
              <w:keepLines/>
              <w:rPr>
                <w:rFonts w:ascii="Lucida Sans" w:hAnsi="Lucida Sans" w:cs="Arial"/>
                <w:b/>
                <w:sz w:val="18"/>
                <w:szCs w:val="18"/>
              </w:rPr>
            </w:pPr>
            <w:r w:rsidRPr="00DA036A">
              <w:rPr>
                <w:rFonts w:ascii="Lucida Sans" w:hAnsi="Lucida Sans" w:cs="Arial"/>
                <w:b/>
                <w:sz w:val="18"/>
                <w:szCs w:val="18"/>
              </w:rPr>
              <w:t>Industry</w:t>
            </w:r>
          </w:p>
        </w:tc>
        <w:tc>
          <w:tcPr>
            <w:tcW w:w="582" w:type="pct"/>
            <w:tcBorders>
              <w:top w:val="single" w:sz="8" w:space="0" w:color="003C79"/>
              <w:bottom w:val="single" w:sz="8" w:space="0" w:color="003C79"/>
            </w:tcBorders>
            <w:noWrap/>
            <w:hideMark/>
          </w:tcPr>
          <w:p w:rsidR="00C15458" w:rsidRPr="00DA036A" w:rsidP="00DA036A" w14:paraId="672041F5" w14:textId="7BBC2BB0">
            <w:pPr>
              <w:pStyle w:val="TableText-IPR"/>
              <w:keepNext/>
              <w:keepLines/>
              <w:rPr>
                <w:rFonts w:ascii="Lucida Sans" w:hAnsi="Lucida Sans" w:cs="Arial"/>
                <w:b/>
                <w:sz w:val="18"/>
                <w:szCs w:val="18"/>
              </w:rPr>
            </w:pPr>
            <w:r w:rsidRPr="00DA036A">
              <w:rPr>
                <w:rFonts w:ascii="Lucida Sans" w:hAnsi="Lucida Sans" w:cs="Arial"/>
                <w:b/>
                <w:sz w:val="18"/>
                <w:szCs w:val="18"/>
              </w:rPr>
              <w:t>Wage ($)</w:t>
            </w:r>
          </w:p>
        </w:tc>
        <w:tc>
          <w:tcPr>
            <w:tcW w:w="581" w:type="pct"/>
            <w:tcBorders>
              <w:top w:val="single" w:sz="8" w:space="0" w:color="003C79"/>
              <w:bottom w:val="single" w:sz="8" w:space="0" w:color="003C79"/>
            </w:tcBorders>
          </w:tcPr>
          <w:p w:rsidR="00C15458" w:rsidRPr="00DA036A" w:rsidP="00DA036A" w14:paraId="4A6AFECB" w14:textId="3C3B293F">
            <w:pPr>
              <w:pStyle w:val="TableText-IPR"/>
              <w:keepNext/>
              <w:keepLines/>
              <w:rPr>
                <w:rFonts w:ascii="Lucida Sans" w:hAnsi="Lucida Sans" w:cs="Arial"/>
                <w:b/>
                <w:sz w:val="18"/>
                <w:szCs w:val="18"/>
              </w:rPr>
            </w:pPr>
            <w:r>
              <w:rPr>
                <w:rFonts w:ascii="Lucida Sans" w:hAnsi="Lucida Sans" w:cs="Arial"/>
                <w:b/>
                <w:sz w:val="18"/>
                <w:szCs w:val="18"/>
              </w:rPr>
              <w:t>Fully Loaded Wage ($)</w:t>
            </w:r>
          </w:p>
        </w:tc>
      </w:tr>
      <w:tr w14:paraId="38F76267" w14:textId="1CEB7138" w:rsidTr="009E232A">
        <w:tblPrEx>
          <w:tblW w:w="5000" w:type="pct"/>
          <w:tblInd w:w="0" w:type="dxa"/>
          <w:tblLayout w:type="fixed"/>
          <w:tblLook w:val="04A0"/>
        </w:tblPrEx>
        <w:trPr>
          <w:trHeight w:val="290"/>
        </w:trPr>
        <w:tc>
          <w:tcPr>
            <w:tcW w:w="1149" w:type="pct"/>
            <w:tcBorders>
              <w:top w:val="single" w:sz="8" w:space="0" w:color="003C79"/>
            </w:tcBorders>
            <w:noWrap/>
            <w:hideMark/>
          </w:tcPr>
          <w:p w:rsidR="00DD0998" w:rsidRPr="00DA036A" w:rsidP="00DD0998" w14:paraId="1FFB1C57" w14:textId="33EC5D9A">
            <w:pPr>
              <w:pStyle w:val="TableText-IPR"/>
              <w:keepNext/>
              <w:keepLines/>
              <w:spacing w:line="240" w:lineRule="exact"/>
              <w:rPr>
                <w:rFonts w:cs="Calibri"/>
              </w:rPr>
            </w:pPr>
            <w:r>
              <w:rPr>
                <w:rFonts w:cs="Calibri"/>
              </w:rPr>
              <w:t>SNAP State agency staff</w:t>
            </w:r>
          </w:p>
        </w:tc>
        <w:tc>
          <w:tcPr>
            <w:tcW w:w="721" w:type="pct"/>
            <w:tcBorders>
              <w:top w:val="single" w:sz="8" w:space="0" w:color="003C79"/>
            </w:tcBorders>
            <w:noWrap/>
            <w:hideMark/>
          </w:tcPr>
          <w:p w:rsidR="00DD0998" w:rsidRPr="00DA036A" w:rsidP="00DD0998" w14:paraId="7F7AF6A4" w14:textId="366FC9C6">
            <w:pPr>
              <w:pStyle w:val="TableText-IPR"/>
              <w:keepNext/>
              <w:keepLines/>
              <w:spacing w:line="240" w:lineRule="exact"/>
              <w:rPr>
                <w:rFonts w:cs="Calibri"/>
              </w:rPr>
            </w:pPr>
            <w:r w:rsidRPr="00DA036A">
              <w:rPr>
                <w:rFonts w:cs="Calibri"/>
              </w:rPr>
              <w:t>Management Occupations</w:t>
            </w:r>
          </w:p>
        </w:tc>
        <w:tc>
          <w:tcPr>
            <w:tcW w:w="595" w:type="pct"/>
            <w:tcBorders>
              <w:top w:val="single" w:sz="8" w:space="0" w:color="003C79"/>
            </w:tcBorders>
            <w:noWrap/>
            <w:hideMark/>
          </w:tcPr>
          <w:p w:rsidR="00DD0998" w:rsidRPr="00DA036A" w:rsidP="00DD0998" w14:paraId="2B54E4E5" w14:textId="5B87DF0F">
            <w:pPr>
              <w:pStyle w:val="TableText-IPR"/>
              <w:keepNext/>
              <w:keepLines/>
              <w:spacing w:line="240" w:lineRule="exact"/>
              <w:rPr>
                <w:rFonts w:cs="Calibri"/>
              </w:rPr>
            </w:pPr>
            <w:r w:rsidRPr="00DA036A">
              <w:rPr>
                <w:rFonts w:cs="Calibri"/>
              </w:rPr>
              <w:t>11-9151</w:t>
            </w:r>
          </w:p>
        </w:tc>
        <w:tc>
          <w:tcPr>
            <w:tcW w:w="722" w:type="pct"/>
            <w:tcBorders>
              <w:top w:val="single" w:sz="8" w:space="0" w:color="003C79"/>
            </w:tcBorders>
            <w:noWrap/>
            <w:hideMark/>
          </w:tcPr>
          <w:p w:rsidR="00DD0998" w:rsidRPr="00DA036A" w:rsidP="00DD0998" w14:paraId="72DDEDA5" w14:textId="66FF9D76">
            <w:pPr>
              <w:pStyle w:val="TableText-IPR"/>
              <w:keepNext/>
              <w:keepLines/>
              <w:spacing w:line="240" w:lineRule="exact"/>
              <w:rPr>
                <w:rFonts w:cs="Calibri"/>
              </w:rPr>
            </w:pPr>
            <w:r w:rsidRPr="00DA036A">
              <w:rPr>
                <w:rFonts w:cs="Calibri"/>
              </w:rPr>
              <w:t>Social and Community Service Managers</w:t>
            </w:r>
          </w:p>
        </w:tc>
        <w:tc>
          <w:tcPr>
            <w:tcW w:w="650" w:type="pct"/>
            <w:tcBorders>
              <w:top w:val="single" w:sz="8" w:space="0" w:color="003C79"/>
            </w:tcBorders>
            <w:noWrap/>
            <w:hideMark/>
          </w:tcPr>
          <w:p w:rsidR="00DD0998" w:rsidRPr="00DA036A" w:rsidP="00DD0998" w14:paraId="46F2C595" w14:textId="34FB0454">
            <w:pPr>
              <w:pStyle w:val="TableText-IPR"/>
              <w:keepNext/>
              <w:keepLines/>
              <w:spacing w:line="240" w:lineRule="exact"/>
              <w:rPr>
                <w:rFonts w:cs="Calibri"/>
              </w:rPr>
            </w:pPr>
            <w:r w:rsidRPr="00DA036A">
              <w:rPr>
                <w:rFonts w:cs="Calibri"/>
              </w:rPr>
              <w:t>State Government</w:t>
            </w:r>
            <w:r w:rsidRPr="00265241">
              <w:rPr>
                <w:rFonts w:cs="Calibri"/>
              </w:rPr>
              <w:t>, excluding schools and hospitals</w:t>
            </w:r>
          </w:p>
        </w:tc>
        <w:tc>
          <w:tcPr>
            <w:tcW w:w="582" w:type="pct"/>
            <w:tcBorders>
              <w:top w:val="single" w:sz="8" w:space="0" w:color="003C79"/>
            </w:tcBorders>
            <w:noWrap/>
            <w:hideMark/>
          </w:tcPr>
          <w:p w:rsidR="00DD0998" w:rsidRPr="0003577E" w:rsidP="00DD0998" w14:paraId="1A368775" w14:textId="021796B4">
            <w:pPr>
              <w:pStyle w:val="TableText-IPR"/>
              <w:keepNext/>
              <w:keepLines/>
              <w:spacing w:line="240" w:lineRule="exact"/>
              <w:jc w:val="right"/>
              <w:rPr>
                <w:rFonts w:cs="Calibri"/>
              </w:rPr>
            </w:pPr>
            <w:r w:rsidRPr="0003577E">
              <w:rPr>
                <w:rFonts w:cs="Calibri"/>
              </w:rPr>
              <w:t>41.68</w:t>
            </w:r>
          </w:p>
        </w:tc>
        <w:tc>
          <w:tcPr>
            <w:tcW w:w="581" w:type="pct"/>
            <w:tcBorders>
              <w:top w:val="single" w:sz="8" w:space="0" w:color="003C79"/>
            </w:tcBorders>
          </w:tcPr>
          <w:p w:rsidR="00DD0998" w:rsidRPr="0003577E" w:rsidP="00DD0998" w14:paraId="0F632F17" w14:textId="5DFD380D">
            <w:pPr>
              <w:pStyle w:val="TableText-IPR"/>
              <w:keepNext/>
              <w:keepLines/>
              <w:spacing w:line="240" w:lineRule="exact"/>
              <w:jc w:val="right"/>
              <w:rPr>
                <w:rFonts w:cs="Calibri"/>
              </w:rPr>
            </w:pPr>
            <w:r w:rsidRPr="0003577E">
              <w:rPr>
                <w:rFonts w:cs="Calibri"/>
              </w:rPr>
              <w:t>55.43</w:t>
            </w:r>
          </w:p>
        </w:tc>
      </w:tr>
      <w:tr w14:paraId="79598BA3" w14:textId="791439D5" w:rsidTr="009E232A">
        <w:tblPrEx>
          <w:tblW w:w="5000" w:type="pct"/>
          <w:tblInd w:w="0" w:type="dxa"/>
          <w:tblLayout w:type="fixed"/>
          <w:tblLook w:val="04A0"/>
        </w:tblPrEx>
        <w:trPr>
          <w:trHeight w:val="290"/>
        </w:trPr>
        <w:tc>
          <w:tcPr>
            <w:tcW w:w="1149" w:type="pct"/>
            <w:noWrap/>
            <w:hideMark/>
          </w:tcPr>
          <w:p w:rsidR="00265241" w:rsidRPr="00DA036A" w:rsidP="00265241" w14:paraId="4148723D" w14:textId="26BFA415">
            <w:pPr>
              <w:pStyle w:val="TableText-IPR"/>
              <w:keepNext/>
              <w:keepLines/>
              <w:spacing w:line="240" w:lineRule="exact"/>
              <w:rPr>
                <w:rFonts w:cs="Calibri"/>
              </w:rPr>
            </w:pPr>
            <w:r>
              <w:rPr>
                <w:rFonts w:cs="Calibri"/>
              </w:rPr>
              <w:t>EBT processor and TPP staff</w:t>
            </w:r>
          </w:p>
        </w:tc>
        <w:tc>
          <w:tcPr>
            <w:tcW w:w="721" w:type="pct"/>
            <w:noWrap/>
            <w:hideMark/>
          </w:tcPr>
          <w:p w:rsidR="00265241" w:rsidRPr="00DA036A" w:rsidP="00265241" w14:paraId="13536155" w14:textId="77777777">
            <w:pPr>
              <w:pStyle w:val="TableText-IPR"/>
              <w:keepNext/>
              <w:keepLines/>
              <w:spacing w:line="240" w:lineRule="exact"/>
              <w:rPr>
                <w:rFonts w:cs="Calibri"/>
              </w:rPr>
            </w:pPr>
            <w:r w:rsidRPr="00DA036A">
              <w:rPr>
                <w:rFonts w:cs="Calibri"/>
              </w:rPr>
              <w:t>Management Occupations</w:t>
            </w:r>
          </w:p>
        </w:tc>
        <w:tc>
          <w:tcPr>
            <w:tcW w:w="595" w:type="pct"/>
            <w:noWrap/>
            <w:hideMark/>
          </w:tcPr>
          <w:p w:rsidR="00265241" w:rsidRPr="00DA036A" w14:paraId="00C9C530" w14:textId="706082D7">
            <w:pPr>
              <w:pStyle w:val="TableText-IPR"/>
              <w:keepNext/>
              <w:keepLines/>
              <w:spacing w:line="240" w:lineRule="exact"/>
              <w:rPr>
                <w:rFonts w:cs="Calibri"/>
              </w:rPr>
            </w:pPr>
            <w:r w:rsidRPr="00DA036A">
              <w:rPr>
                <w:rFonts w:cs="Calibri"/>
              </w:rPr>
              <w:t>11-</w:t>
            </w:r>
            <w:r w:rsidR="00DD0998">
              <w:rPr>
                <w:rFonts w:cs="Calibri"/>
              </w:rPr>
              <w:t>3021</w:t>
            </w:r>
          </w:p>
        </w:tc>
        <w:tc>
          <w:tcPr>
            <w:tcW w:w="722" w:type="pct"/>
            <w:noWrap/>
            <w:hideMark/>
          </w:tcPr>
          <w:p w:rsidR="00265241" w:rsidRPr="00DA036A" w:rsidP="00265241" w14:paraId="579E649B" w14:textId="3D1F3606">
            <w:pPr>
              <w:pStyle w:val="TableText-IPR"/>
              <w:keepNext/>
              <w:keepLines/>
              <w:spacing w:line="240" w:lineRule="exact"/>
              <w:rPr>
                <w:rFonts w:cs="Calibri"/>
              </w:rPr>
            </w:pPr>
            <w:r w:rsidRPr="00DD0998">
              <w:rPr>
                <w:rFonts w:cs="Calibri"/>
              </w:rPr>
              <w:t>Computer and Information Systems Managers</w:t>
            </w:r>
          </w:p>
        </w:tc>
        <w:tc>
          <w:tcPr>
            <w:tcW w:w="650" w:type="pct"/>
            <w:noWrap/>
            <w:hideMark/>
          </w:tcPr>
          <w:p w:rsidR="00265241" w:rsidRPr="00DA036A" w:rsidP="00265241" w14:paraId="7286618D" w14:textId="5563C0EB">
            <w:pPr>
              <w:pStyle w:val="TableText-IPR"/>
              <w:keepNext/>
              <w:keepLines/>
              <w:spacing w:line="240" w:lineRule="exact"/>
              <w:rPr>
                <w:rFonts w:cs="Calibri"/>
              </w:rPr>
            </w:pPr>
            <w:r>
              <w:rPr>
                <w:rFonts w:cs="Calibri"/>
              </w:rPr>
              <w:t>Cross-industry</w:t>
            </w:r>
          </w:p>
        </w:tc>
        <w:tc>
          <w:tcPr>
            <w:tcW w:w="582" w:type="pct"/>
            <w:noWrap/>
            <w:hideMark/>
          </w:tcPr>
          <w:p w:rsidR="00265241" w:rsidRPr="0003577E" w14:paraId="081DC6A0" w14:textId="565C418F">
            <w:pPr>
              <w:pStyle w:val="TableText-IPR"/>
              <w:keepNext/>
              <w:keepLines/>
              <w:spacing w:line="240" w:lineRule="exact"/>
              <w:jc w:val="right"/>
              <w:rPr>
                <w:rFonts w:cs="Calibri"/>
              </w:rPr>
            </w:pPr>
            <w:r w:rsidRPr="0003577E">
              <w:rPr>
                <w:rFonts w:cs="Calibri"/>
              </w:rPr>
              <w:t>86.88</w:t>
            </w:r>
          </w:p>
        </w:tc>
        <w:tc>
          <w:tcPr>
            <w:tcW w:w="581" w:type="pct"/>
          </w:tcPr>
          <w:p w:rsidR="00265241" w:rsidRPr="0003577E" w:rsidP="00265241" w14:paraId="17FB9C9D" w14:textId="2C4BFEF1">
            <w:pPr>
              <w:pStyle w:val="TableText-IPR"/>
              <w:keepNext/>
              <w:keepLines/>
              <w:spacing w:line="240" w:lineRule="exact"/>
              <w:jc w:val="right"/>
              <w:rPr>
                <w:rFonts w:cs="Calibri"/>
              </w:rPr>
            </w:pPr>
            <w:r w:rsidRPr="0003577E">
              <w:rPr>
                <w:rFonts w:cs="Calibri"/>
              </w:rPr>
              <w:t>115.55</w:t>
            </w:r>
          </w:p>
        </w:tc>
      </w:tr>
      <w:tr w14:paraId="3ED6CF00" w14:textId="32985EEF" w:rsidTr="009E232A">
        <w:tblPrEx>
          <w:tblW w:w="5000" w:type="pct"/>
          <w:tblInd w:w="0" w:type="dxa"/>
          <w:tblLayout w:type="fixed"/>
          <w:tblLook w:val="04A0"/>
        </w:tblPrEx>
        <w:trPr>
          <w:trHeight w:val="290"/>
        </w:trPr>
        <w:tc>
          <w:tcPr>
            <w:tcW w:w="1149" w:type="pct"/>
            <w:noWrap/>
            <w:hideMark/>
          </w:tcPr>
          <w:p w:rsidR="00265241" w:rsidRPr="00DA036A" w:rsidP="00265241" w14:paraId="655A6C51" w14:textId="36D65F03">
            <w:pPr>
              <w:pStyle w:val="TableText-IPR"/>
              <w:keepNext/>
              <w:keepLines/>
              <w:spacing w:line="240" w:lineRule="exact"/>
              <w:rPr>
                <w:rFonts w:cs="Calibri"/>
              </w:rPr>
            </w:pPr>
            <w:r>
              <w:rPr>
                <w:rFonts w:cs="Calibri"/>
              </w:rPr>
              <w:t>Retailer staff</w:t>
            </w:r>
          </w:p>
        </w:tc>
        <w:tc>
          <w:tcPr>
            <w:tcW w:w="721" w:type="pct"/>
            <w:noWrap/>
            <w:hideMark/>
          </w:tcPr>
          <w:p w:rsidR="00265241" w:rsidRPr="00DA036A" w:rsidP="00265241" w14:paraId="58FA501E" w14:textId="057D0D31">
            <w:pPr>
              <w:pStyle w:val="TableText-IPR"/>
              <w:keepNext/>
              <w:keepLines/>
              <w:spacing w:line="240" w:lineRule="exact"/>
              <w:rPr>
                <w:rFonts w:cs="Calibri"/>
              </w:rPr>
            </w:pPr>
            <w:r w:rsidRPr="00DA036A">
              <w:rPr>
                <w:rFonts w:cs="Calibri"/>
              </w:rPr>
              <w:t>Management Occupations</w:t>
            </w:r>
          </w:p>
        </w:tc>
        <w:tc>
          <w:tcPr>
            <w:tcW w:w="595" w:type="pct"/>
            <w:noWrap/>
            <w:hideMark/>
          </w:tcPr>
          <w:p w:rsidR="00265241" w:rsidRPr="00DA036A" w:rsidP="00265241" w14:paraId="15E06FEF" w14:textId="5E500218">
            <w:pPr>
              <w:pStyle w:val="TableText-IPR"/>
              <w:keepNext/>
              <w:keepLines/>
              <w:spacing w:line="240" w:lineRule="exact"/>
              <w:rPr>
                <w:rFonts w:cs="Calibri"/>
              </w:rPr>
            </w:pPr>
            <w:r>
              <w:rPr>
                <w:rFonts w:cs="Calibri"/>
              </w:rPr>
              <w:t>11-1021</w:t>
            </w:r>
          </w:p>
        </w:tc>
        <w:tc>
          <w:tcPr>
            <w:tcW w:w="722" w:type="pct"/>
            <w:noWrap/>
            <w:hideMark/>
          </w:tcPr>
          <w:p w:rsidR="00265241" w:rsidRPr="00DA036A" w:rsidP="00265241" w14:paraId="5E32DFEA" w14:textId="64EDD4D1">
            <w:pPr>
              <w:pStyle w:val="TableText-IPR"/>
              <w:keepNext/>
              <w:keepLines/>
              <w:spacing w:line="240" w:lineRule="exact"/>
              <w:rPr>
                <w:rFonts w:cs="Calibri"/>
              </w:rPr>
            </w:pPr>
            <w:r w:rsidRPr="002734C1">
              <w:rPr>
                <w:rFonts w:cs="Calibri"/>
              </w:rPr>
              <w:t>General and Operations Managers</w:t>
            </w:r>
          </w:p>
        </w:tc>
        <w:tc>
          <w:tcPr>
            <w:tcW w:w="650" w:type="pct"/>
            <w:noWrap/>
            <w:hideMark/>
          </w:tcPr>
          <w:p w:rsidR="00265241" w:rsidRPr="00DA036A" w:rsidP="00265241" w14:paraId="60C507C5" w14:textId="371F3A7B">
            <w:pPr>
              <w:pStyle w:val="TableText-IPR"/>
              <w:keepNext/>
              <w:keepLines/>
              <w:spacing w:line="240" w:lineRule="exact"/>
              <w:rPr>
                <w:rFonts w:cs="Calibri"/>
              </w:rPr>
            </w:pPr>
            <w:r>
              <w:rPr>
                <w:rFonts w:cs="Calibri"/>
              </w:rPr>
              <w:t>Cross-industry</w:t>
            </w:r>
          </w:p>
        </w:tc>
        <w:tc>
          <w:tcPr>
            <w:tcW w:w="582" w:type="pct"/>
            <w:noWrap/>
            <w:hideMark/>
          </w:tcPr>
          <w:p w:rsidR="00265241" w:rsidRPr="0003577E" w14:paraId="711E9F6B" w14:textId="7A801DEB">
            <w:pPr>
              <w:pStyle w:val="TableText-IPR"/>
              <w:keepNext/>
              <w:keepLines/>
              <w:spacing w:line="240" w:lineRule="exact"/>
              <w:jc w:val="right"/>
              <w:rPr>
                <w:rFonts w:cs="Calibri"/>
              </w:rPr>
            </w:pPr>
            <w:r w:rsidRPr="0003577E">
              <w:t>62.18</w:t>
            </w:r>
          </w:p>
        </w:tc>
        <w:tc>
          <w:tcPr>
            <w:tcW w:w="581" w:type="pct"/>
          </w:tcPr>
          <w:p w:rsidR="00265241" w:rsidRPr="0003577E" w:rsidP="00265241" w14:paraId="1A7EB94A" w14:textId="2008AD52">
            <w:pPr>
              <w:pStyle w:val="TableText-IPR"/>
              <w:keepNext/>
              <w:keepLines/>
              <w:spacing w:line="240" w:lineRule="exact"/>
              <w:jc w:val="right"/>
              <w:rPr>
                <w:rFonts w:cs="Calibri"/>
              </w:rPr>
            </w:pPr>
            <w:r w:rsidRPr="0003577E">
              <w:rPr>
                <w:rFonts w:cs="Calibri"/>
              </w:rPr>
              <w:t>82.70</w:t>
            </w:r>
          </w:p>
        </w:tc>
      </w:tr>
      <w:tr w14:paraId="02655D38" w14:textId="77777777" w:rsidTr="009E232A">
        <w:tblPrEx>
          <w:tblW w:w="5000" w:type="pct"/>
          <w:tblInd w:w="0" w:type="dxa"/>
          <w:tblLayout w:type="fixed"/>
          <w:tblLook w:val="04A0"/>
        </w:tblPrEx>
        <w:trPr>
          <w:trHeight w:val="290"/>
        </w:trPr>
        <w:tc>
          <w:tcPr>
            <w:tcW w:w="1149" w:type="pct"/>
            <w:noWrap/>
          </w:tcPr>
          <w:p w:rsidR="00D8458D" w:rsidP="00265241" w14:paraId="4325E68D" w14:textId="49A956CC">
            <w:pPr>
              <w:pStyle w:val="TableText-IPR"/>
              <w:keepNext/>
              <w:keepLines/>
              <w:spacing w:line="240" w:lineRule="exact"/>
              <w:rPr>
                <w:rFonts w:cs="Calibri"/>
              </w:rPr>
            </w:pPr>
            <w:r>
              <w:rPr>
                <w:rFonts w:cs="Calibri"/>
              </w:rPr>
              <w:t>GusNIP grantee staff</w:t>
            </w:r>
          </w:p>
        </w:tc>
        <w:tc>
          <w:tcPr>
            <w:tcW w:w="721" w:type="pct"/>
            <w:noWrap/>
          </w:tcPr>
          <w:p w:rsidR="00D8458D" w:rsidRPr="00DA036A" w:rsidP="00265241" w14:paraId="200A8278" w14:textId="68AF2AA9">
            <w:pPr>
              <w:pStyle w:val="TableText-IPR"/>
              <w:keepNext/>
              <w:keepLines/>
              <w:spacing w:line="240" w:lineRule="exact"/>
              <w:rPr>
                <w:rFonts w:cs="Calibri"/>
              </w:rPr>
            </w:pPr>
            <w:r>
              <w:rPr>
                <w:rFonts w:cs="Calibri"/>
              </w:rPr>
              <w:t>Management Occupations</w:t>
            </w:r>
          </w:p>
        </w:tc>
        <w:tc>
          <w:tcPr>
            <w:tcW w:w="595" w:type="pct"/>
            <w:noWrap/>
          </w:tcPr>
          <w:p w:rsidR="00D8458D" w:rsidP="00265241" w14:paraId="4E3C07DD" w14:textId="67B89FC0">
            <w:pPr>
              <w:pStyle w:val="TableText-IPR"/>
              <w:keepNext/>
              <w:keepLines/>
              <w:spacing w:line="240" w:lineRule="exact"/>
              <w:rPr>
                <w:rFonts w:cs="Calibri"/>
              </w:rPr>
            </w:pPr>
            <w:r>
              <w:rPr>
                <w:rFonts w:cs="Calibri"/>
              </w:rPr>
              <w:t>11-9151</w:t>
            </w:r>
          </w:p>
        </w:tc>
        <w:tc>
          <w:tcPr>
            <w:tcW w:w="722" w:type="pct"/>
            <w:noWrap/>
          </w:tcPr>
          <w:p w:rsidR="00D8458D" w:rsidRPr="002734C1" w:rsidP="00265241" w14:paraId="7006940E" w14:textId="11FD298D">
            <w:pPr>
              <w:pStyle w:val="TableText-IPR"/>
              <w:keepNext/>
              <w:keepLines/>
              <w:spacing w:line="240" w:lineRule="exact"/>
              <w:rPr>
                <w:rFonts w:cs="Calibri"/>
              </w:rPr>
            </w:pPr>
            <w:r>
              <w:rPr>
                <w:rFonts w:cs="Calibri"/>
              </w:rPr>
              <w:t>Social and Community Service Managers</w:t>
            </w:r>
          </w:p>
        </w:tc>
        <w:tc>
          <w:tcPr>
            <w:tcW w:w="650" w:type="pct"/>
            <w:noWrap/>
          </w:tcPr>
          <w:p w:rsidR="00D8458D" w:rsidP="00265241" w14:paraId="476AD712" w14:textId="5CD3B204">
            <w:pPr>
              <w:pStyle w:val="TableText-IPR"/>
              <w:keepNext/>
              <w:keepLines/>
              <w:spacing w:line="240" w:lineRule="exact"/>
              <w:rPr>
                <w:rFonts w:cs="Calibri"/>
              </w:rPr>
            </w:pPr>
            <w:r>
              <w:rPr>
                <w:rFonts w:cs="Calibri"/>
              </w:rPr>
              <w:t>Cross-industry</w:t>
            </w:r>
          </w:p>
        </w:tc>
        <w:tc>
          <w:tcPr>
            <w:tcW w:w="582" w:type="pct"/>
            <w:noWrap/>
          </w:tcPr>
          <w:p w:rsidR="00D8458D" w:rsidRPr="0003577E" w14:paraId="68C99C49" w14:textId="292FB8F3">
            <w:pPr>
              <w:pStyle w:val="TableText-IPR"/>
              <w:keepNext/>
              <w:keepLines/>
              <w:spacing w:line="240" w:lineRule="exact"/>
              <w:jc w:val="right"/>
            </w:pPr>
            <w:r w:rsidRPr="0003577E">
              <w:t>40.10</w:t>
            </w:r>
          </w:p>
        </w:tc>
        <w:tc>
          <w:tcPr>
            <w:tcW w:w="581" w:type="pct"/>
          </w:tcPr>
          <w:p w:rsidR="00D8458D" w:rsidRPr="0003577E" w:rsidP="00265241" w14:paraId="197D990E" w14:textId="35FD78D9">
            <w:pPr>
              <w:pStyle w:val="TableText-IPR"/>
              <w:keepNext/>
              <w:keepLines/>
              <w:spacing w:line="240" w:lineRule="exact"/>
              <w:jc w:val="right"/>
              <w:rPr>
                <w:rFonts w:cs="Calibri"/>
              </w:rPr>
            </w:pPr>
            <w:r w:rsidRPr="0003577E">
              <w:rPr>
                <w:rFonts w:cs="Calibri"/>
              </w:rPr>
              <w:t>53.33</w:t>
            </w:r>
          </w:p>
        </w:tc>
      </w:tr>
    </w:tbl>
    <w:p w:rsidR="002734C1" w:rsidRPr="00D569CC" w:rsidP="00D569CC" w14:paraId="2251FB1A" w14:textId="77777777">
      <w:bookmarkStart w:id="32" w:name="_Toc148333349"/>
    </w:p>
    <w:p w:rsidR="00A95485" w:rsidRPr="00A954A0" w:rsidP="00C32C2C" w14:paraId="361E7B01" w14:textId="26E22299">
      <w:pPr>
        <w:pStyle w:val="Heading1New"/>
      </w:pPr>
      <w:r w:rsidRPr="00A954A0">
        <w:t xml:space="preserve">A13. </w:t>
      </w:r>
      <w:r w:rsidR="00D41188">
        <w:t xml:space="preserve">Estimates of the total annual cost burden: </w:t>
      </w:r>
      <w:r w:rsidRPr="00A954A0">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bookmarkEnd w:id="32"/>
    </w:p>
    <w:p w:rsidR="00081BB5" w:rsidRPr="00A954A0" w:rsidP="004C7F7D" w14:paraId="66EBB201" w14:textId="564F1959">
      <w:pPr>
        <w:pStyle w:val="Body11ptCalibrDBi-IPR"/>
        <w:rPr>
          <w:sz w:val="24"/>
        </w:rPr>
      </w:pPr>
      <w:r w:rsidRPr="00A954A0">
        <w:rPr>
          <w:sz w:val="24"/>
        </w:rPr>
        <w:t>No capital or startup or ongoing operational and maintenance costs are associated with this information collection.</w:t>
      </w:r>
    </w:p>
    <w:p w:rsidR="00A95485" w:rsidRPr="00A954A0" w:rsidP="00C32C2C" w14:paraId="20771078" w14:textId="56F88A44">
      <w:pPr>
        <w:pStyle w:val="Heading1New"/>
        <w:rPr>
          <w:rFonts w:ascii="Calibri" w:hAnsi="Calibri"/>
        </w:rPr>
      </w:pPr>
      <w:bookmarkStart w:id="33" w:name="_Toc148333350"/>
      <w:r w:rsidRPr="00A954A0">
        <w:t xml:space="preserve">A14. </w:t>
      </w:r>
      <w:r w:rsidR="00D41188">
        <w:t xml:space="preserve">Estimates of annualized cost to the Federal government: </w:t>
      </w:r>
      <w:r w:rsidRPr="00A954A0">
        <w:t>Provide estimates of annualized cost to the Federal government. Provide a description of the method used to estimate cost and any other expense that would not have been incurred without this collection of information.</w:t>
      </w:r>
      <w:bookmarkEnd w:id="33"/>
    </w:p>
    <w:p w:rsidR="004E0903" w:rsidRPr="00A954A0" w:rsidP="003942CE" w14:paraId="4B957A04" w14:textId="50A72319">
      <w:pPr>
        <w:spacing w:after="240" w:line="480" w:lineRule="auto"/>
        <w:rPr>
          <w:sz w:val="24"/>
          <w:szCs w:val="24"/>
        </w:rPr>
      </w:pPr>
      <w:r w:rsidRPr="00A954A0">
        <w:rPr>
          <w:sz w:val="24"/>
          <w:szCs w:val="24"/>
        </w:rPr>
        <w:t xml:space="preserve">The total cost to the Federal government is </w:t>
      </w:r>
      <w:r w:rsidRPr="00F5424B">
        <w:rPr>
          <w:sz w:val="24"/>
          <w:szCs w:val="24"/>
        </w:rPr>
        <w:t>$</w:t>
      </w:r>
      <w:r w:rsidR="001071B6">
        <w:rPr>
          <w:sz w:val="24"/>
          <w:szCs w:val="24"/>
        </w:rPr>
        <w:t>982,846</w:t>
      </w:r>
      <w:r w:rsidRPr="00A954A0">
        <w:rPr>
          <w:sz w:val="24"/>
          <w:szCs w:val="24"/>
        </w:rPr>
        <w:t xml:space="preserve"> over a </w:t>
      </w:r>
      <w:r w:rsidRPr="00A954A0" w:rsidR="005B15D4">
        <w:rPr>
          <w:sz w:val="24"/>
          <w:szCs w:val="24"/>
        </w:rPr>
        <w:t>4</w:t>
      </w:r>
      <w:r w:rsidR="005B15D4">
        <w:rPr>
          <w:sz w:val="24"/>
          <w:szCs w:val="24"/>
        </w:rPr>
        <w:t>8</w:t>
      </w:r>
      <w:r w:rsidRPr="00A954A0">
        <w:rPr>
          <w:sz w:val="24"/>
          <w:szCs w:val="24"/>
        </w:rPr>
        <w:t xml:space="preserve">-month period, or </w:t>
      </w:r>
      <w:r w:rsidRPr="00F5424B">
        <w:rPr>
          <w:sz w:val="24"/>
          <w:szCs w:val="24"/>
        </w:rPr>
        <w:t>$</w:t>
      </w:r>
      <w:r w:rsidR="001071B6">
        <w:rPr>
          <w:sz w:val="24"/>
          <w:szCs w:val="24"/>
        </w:rPr>
        <w:t>245,712</w:t>
      </w:r>
      <w:r w:rsidRPr="00A954A0" w:rsidR="00961CB0">
        <w:rPr>
          <w:sz w:val="24"/>
          <w:szCs w:val="24"/>
        </w:rPr>
        <w:t xml:space="preserve"> </w:t>
      </w:r>
      <w:r w:rsidRPr="00A954A0">
        <w:rPr>
          <w:sz w:val="24"/>
          <w:szCs w:val="24"/>
        </w:rPr>
        <w:t xml:space="preserve">annually. Contractor costs associated with all aspects of this study, including developing recruitment materials and data collection instruments, </w:t>
      </w:r>
      <w:r w:rsidR="002C35B3">
        <w:rPr>
          <w:sz w:val="24"/>
          <w:szCs w:val="24"/>
        </w:rPr>
        <w:t>establishing potential DUAs</w:t>
      </w:r>
      <w:r w:rsidRPr="00A954A0">
        <w:rPr>
          <w:sz w:val="24"/>
          <w:szCs w:val="24"/>
        </w:rPr>
        <w:t>, collecting data, conducting analysis, preparing reports and data files</w:t>
      </w:r>
      <w:r w:rsidR="00961CB0">
        <w:rPr>
          <w:sz w:val="24"/>
          <w:szCs w:val="24"/>
        </w:rPr>
        <w:t>, and fringe benefits</w:t>
      </w:r>
      <w:r w:rsidRPr="00A954A0">
        <w:rPr>
          <w:sz w:val="24"/>
          <w:szCs w:val="24"/>
        </w:rPr>
        <w:t>, total $</w:t>
      </w:r>
      <w:r w:rsidR="002C35B3">
        <w:rPr>
          <w:sz w:val="24"/>
          <w:szCs w:val="24"/>
        </w:rPr>
        <w:t>920,698</w:t>
      </w:r>
      <w:r w:rsidRPr="00A954A0">
        <w:rPr>
          <w:sz w:val="24"/>
          <w:szCs w:val="24"/>
        </w:rPr>
        <w:t xml:space="preserve"> over </w:t>
      </w:r>
      <w:r w:rsidRPr="00A954A0" w:rsidR="002C35B3">
        <w:rPr>
          <w:sz w:val="24"/>
          <w:szCs w:val="24"/>
        </w:rPr>
        <w:t>4</w:t>
      </w:r>
      <w:r w:rsidR="002C35B3">
        <w:rPr>
          <w:sz w:val="24"/>
          <w:szCs w:val="24"/>
        </w:rPr>
        <w:t>8</w:t>
      </w:r>
      <w:r w:rsidRPr="00A954A0" w:rsidR="002C35B3">
        <w:rPr>
          <w:sz w:val="24"/>
          <w:szCs w:val="24"/>
        </w:rPr>
        <w:t xml:space="preserve"> </w:t>
      </w:r>
      <w:r w:rsidRPr="00A954A0">
        <w:rPr>
          <w:sz w:val="24"/>
          <w:szCs w:val="24"/>
        </w:rPr>
        <w:t>months, an estimated $</w:t>
      </w:r>
      <w:r w:rsidR="002C35B3">
        <w:rPr>
          <w:sz w:val="24"/>
          <w:szCs w:val="24"/>
        </w:rPr>
        <w:t>230,175</w:t>
      </w:r>
      <w:r w:rsidRPr="00A954A0">
        <w:rPr>
          <w:sz w:val="24"/>
          <w:szCs w:val="24"/>
        </w:rPr>
        <w:t xml:space="preserve"> annual cost to the Federal </w:t>
      </w:r>
      <w:r w:rsidR="0092493F">
        <w:rPr>
          <w:sz w:val="24"/>
          <w:szCs w:val="24"/>
        </w:rPr>
        <w:t>g</w:t>
      </w:r>
      <w:r w:rsidRPr="00A954A0" w:rsidR="0092493F">
        <w:rPr>
          <w:sz w:val="24"/>
          <w:szCs w:val="24"/>
        </w:rPr>
        <w:t>overnment</w:t>
      </w:r>
      <w:r w:rsidRPr="00A954A0">
        <w:rPr>
          <w:sz w:val="24"/>
          <w:szCs w:val="24"/>
        </w:rPr>
        <w:t xml:space="preserve">. The annual cost also includes </w:t>
      </w:r>
      <w:r w:rsidR="004C5D44">
        <w:rPr>
          <w:sz w:val="24"/>
          <w:szCs w:val="24"/>
        </w:rPr>
        <w:t>2</w:t>
      </w:r>
      <w:r w:rsidRPr="00F5424B" w:rsidR="004C5D44">
        <w:rPr>
          <w:sz w:val="24"/>
          <w:szCs w:val="24"/>
        </w:rPr>
        <w:t>0</w:t>
      </w:r>
      <w:r w:rsidR="004C5D44">
        <w:rPr>
          <w:sz w:val="24"/>
          <w:szCs w:val="24"/>
        </w:rPr>
        <w:t>0</w:t>
      </w:r>
      <w:r w:rsidRPr="00A954A0" w:rsidR="004C5D44">
        <w:rPr>
          <w:sz w:val="24"/>
          <w:szCs w:val="24"/>
        </w:rPr>
        <w:t xml:space="preserve"> </w:t>
      </w:r>
      <w:r w:rsidRPr="00A954A0">
        <w:rPr>
          <w:sz w:val="24"/>
          <w:szCs w:val="24"/>
        </w:rPr>
        <w:t>hours per year of Federal employee time</w:t>
      </w:r>
      <w:r w:rsidR="00961CB0">
        <w:rPr>
          <w:sz w:val="24"/>
          <w:szCs w:val="24"/>
        </w:rPr>
        <w:t>, plus a 33 percent fringe benefit amount,</w:t>
      </w:r>
      <w:r w:rsidRPr="00A954A0">
        <w:rPr>
          <w:sz w:val="24"/>
          <w:szCs w:val="24"/>
        </w:rPr>
        <w:t xml:space="preserve"> for a Social Science Policy Analyst with a </w:t>
      </w:r>
      <w:r w:rsidRPr="004F3565">
        <w:rPr>
          <w:sz w:val="24"/>
          <w:szCs w:val="24"/>
        </w:rPr>
        <w:t>G</w:t>
      </w:r>
      <w:r w:rsidR="00A924F6">
        <w:rPr>
          <w:sz w:val="24"/>
          <w:szCs w:val="24"/>
        </w:rPr>
        <w:t>S</w:t>
      </w:r>
      <w:r w:rsidRPr="004F3565">
        <w:rPr>
          <w:sz w:val="24"/>
          <w:szCs w:val="24"/>
        </w:rPr>
        <w:t>-</w:t>
      </w:r>
      <w:r w:rsidRPr="004F3565" w:rsidR="00983803">
        <w:rPr>
          <w:sz w:val="24"/>
          <w:szCs w:val="24"/>
        </w:rPr>
        <w:t>13</w:t>
      </w:r>
      <w:r w:rsidRPr="004F3565">
        <w:rPr>
          <w:sz w:val="24"/>
          <w:szCs w:val="24"/>
        </w:rPr>
        <w:t xml:space="preserve">, step </w:t>
      </w:r>
      <w:r w:rsidR="004C5D44">
        <w:rPr>
          <w:sz w:val="24"/>
          <w:szCs w:val="24"/>
        </w:rPr>
        <w:t>2</w:t>
      </w:r>
      <w:r w:rsidRPr="00A954A0">
        <w:rPr>
          <w:sz w:val="24"/>
          <w:szCs w:val="24"/>
        </w:rPr>
        <w:t xml:space="preserve"> salary level in the Washington, DC, locality at</w:t>
      </w:r>
      <w:r w:rsidR="00961CB0">
        <w:rPr>
          <w:sz w:val="24"/>
          <w:szCs w:val="24"/>
        </w:rPr>
        <w:t xml:space="preserve"> $</w:t>
      </w:r>
      <w:r w:rsidR="001071B6">
        <w:rPr>
          <w:sz w:val="24"/>
          <w:szCs w:val="24"/>
        </w:rPr>
        <w:t>77.69</w:t>
      </w:r>
      <w:r w:rsidR="00961CB0">
        <w:rPr>
          <w:sz w:val="24"/>
          <w:szCs w:val="24"/>
        </w:rPr>
        <w:t xml:space="preserve"> per hour</w:t>
      </w:r>
      <w:r w:rsidRPr="00A954A0">
        <w:rPr>
          <w:sz w:val="24"/>
          <w:szCs w:val="24"/>
        </w:rPr>
        <w:t xml:space="preserve"> </w:t>
      </w:r>
      <w:r w:rsidR="00961CB0">
        <w:rPr>
          <w:sz w:val="24"/>
          <w:szCs w:val="24"/>
        </w:rPr>
        <w:t>(</w:t>
      </w:r>
      <w:r w:rsidRPr="00F5424B">
        <w:rPr>
          <w:sz w:val="24"/>
          <w:szCs w:val="24"/>
        </w:rPr>
        <w:t>$</w:t>
      </w:r>
      <w:r w:rsidR="001071B6">
        <w:rPr>
          <w:sz w:val="24"/>
          <w:szCs w:val="24"/>
        </w:rPr>
        <w:t>58.41</w:t>
      </w:r>
      <w:r w:rsidR="005B15D4">
        <w:rPr>
          <w:sz w:val="24"/>
          <w:szCs w:val="24"/>
        </w:rPr>
        <w:t xml:space="preserve"> </w:t>
      </w:r>
      <w:r w:rsidRPr="00A954A0">
        <w:rPr>
          <w:sz w:val="24"/>
          <w:szCs w:val="24"/>
        </w:rPr>
        <w:t>per hour</w:t>
      </w:r>
      <w:r w:rsidR="00961CB0">
        <w:rPr>
          <w:sz w:val="24"/>
          <w:szCs w:val="24"/>
        </w:rPr>
        <w:t xml:space="preserve"> without the fringe benefit amount)</w:t>
      </w:r>
      <w:r w:rsidRPr="00A954A0">
        <w:rPr>
          <w:sz w:val="24"/>
          <w:szCs w:val="24"/>
        </w:rPr>
        <w:t xml:space="preserve"> for a total of </w:t>
      </w:r>
      <w:r w:rsidRPr="00F5424B">
        <w:rPr>
          <w:sz w:val="24"/>
          <w:szCs w:val="24"/>
        </w:rPr>
        <w:t>$</w:t>
      </w:r>
      <w:r w:rsidR="001071B6">
        <w:rPr>
          <w:sz w:val="24"/>
          <w:szCs w:val="24"/>
        </w:rPr>
        <w:t>15,537</w:t>
      </w:r>
      <w:r w:rsidRPr="00A954A0">
        <w:rPr>
          <w:sz w:val="24"/>
          <w:szCs w:val="24"/>
        </w:rPr>
        <w:t xml:space="preserve"> per year. The total cost for the Federal employee is </w:t>
      </w:r>
      <w:r w:rsidRPr="00F5424B">
        <w:rPr>
          <w:sz w:val="24"/>
          <w:szCs w:val="24"/>
        </w:rPr>
        <w:t>$</w:t>
      </w:r>
      <w:r w:rsidR="001071B6">
        <w:rPr>
          <w:sz w:val="24"/>
          <w:szCs w:val="24"/>
        </w:rPr>
        <w:t>62,148</w:t>
      </w:r>
      <w:r w:rsidRPr="00A954A0">
        <w:rPr>
          <w:sz w:val="24"/>
          <w:szCs w:val="24"/>
        </w:rPr>
        <w:t xml:space="preserve"> over the </w:t>
      </w:r>
      <w:r w:rsidRPr="00A954A0" w:rsidR="002C35B3">
        <w:rPr>
          <w:sz w:val="24"/>
          <w:szCs w:val="24"/>
        </w:rPr>
        <w:t>4</w:t>
      </w:r>
      <w:r w:rsidR="002C35B3">
        <w:rPr>
          <w:sz w:val="24"/>
          <w:szCs w:val="24"/>
        </w:rPr>
        <w:t>8</w:t>
      </w:r>
      <w:r w:rsidRPr="00A954A0">
        <w:rPr>
          <w:sz w:val="24"/>
          <w:szCs w:val="24"/>
        </w:rPr>
        <w:t xml:space="preserve">-month period. Federal </w:t>
      </w:r>
      <w:r w:rsidRPr="00A954A0">
        <w:rPr>
          <w:sz w:val="24"/>
          <w:szCs w:val="24"/>
        </w:rPr>
        <w:t>employee</w:t>
      </w:r>
      <w:r w:rsidRPr="00A954A0">
        <w:rPr>
          <w:sz w:val="24"/>
          <w:szCs w:val="24"/>
        </w:rPr>
        <w:t xml:space="preserve"> pay rates are based on the General Schedule of the Office of Personnel Management for </w:t>
      </w:r>
      <w:r w:rsidRPr="00A954A0" w:rsidR="002C35B3">
        <w:rPr>
          <w:sz w:val="24"/>
          <w:szCs w:val="24"/>
        </w:rPr>
        <w:t>202</w:t>
      </w:r>
      <w:r w:rsidR="002C35B3">
        <w:rPr>
          <w:sz w:val="24"/>
          <w:szCs w:val="24"/>
        </w:rPr>
        <w:t>4</w:t>
      </w:r>
      <w:r w:rsidRPr="00A954A0">
        <w:rPr>
          <w:sz w:val="24"/>
          <w:szCs w:val="24"/>
        </w:rPr>
        <w:t>.</w:t>
      </w:r>
    </w:p>
    <w:p w:rsidR="00254128" w:rsidRPr="00A954A0" w:rsidP="00C32C2C" w14:paraId="4CB14FA6" w14:textId="1C3B41FD">
      <w:pPr>
        <w:pStyle w:val="Heading1New"/>
      </w:pPr>
      <w:bookmarkStart w:id="34" w:name="_Toc148333351"/>
      <w:r w:rsidRPr="00A954A0">
        <w:t xml:space="preserve">A15. </w:t>
      </w:r>
      <w:r w:rsidR="00D41188">
        <w:t xml:space="preserve">Explanation of program changes or adjustments: </w:t>
      </w:r>
      <w:r w:rsidRPr="00A954A0">
        <w:t>Explain the reasons for any program changes or adjustments reported in Items 13 or</w:t>
      </w:r>
      <w:r w:rsidRPr="00A954A0" w:rsidR="001F0FF3">
        <w:t xml:space="preserve"> </w:t>
      </w:r>
      <w:r w:rsidRPr="00A954A0">
        <w:t>14 of the OMB Form 83-1.</w:t>
      </w:r>
      <w:bookmarkEnd w:id="34"/>
    </w:p>
    <w:p w:rsidR="00254128" w:rsidRPr="00A954A0" w:rsidP="003942CE" w14:paraId="338186B7" w14:textId="0E0444CD">
      <w:pPr>
        <w:spacing w:after="240" w:line="480" w:lineRule="auto"/>
        <w:rPr>
          <w:rFonts w:ascii="Calibri" w:eastAsia="Calibri" w:hAnsi="Calibri" w:cs="Calibri"/>
          <w:sz w:val="24"/>
          <w:szCs w:val="24"/>
        </w:rPr>
      </w:pPr>
      <w:r w:rsidRPr="00A954A0">
        <w:rPr>
          <w:rFonts w:ascii="Calibri" w:eastAsia="Calibri" w:hAnsi="Calibri" w:cs="Calibri"/>
          <w:sz w:val="24"/>
          <w:szCs w:val="24"/>
        </w:rPr>
        <w:t xml:space="preserve">This submission is a new information collection request and will add </w:t>
      </w:r>
      <w:r w:rsidR="002E23EA">
        <w:rPr>
          <w:rFonts w:ascii="Calibri" w:eastAsia="Calibri" w:hAnsi="Calibri" w:cs="Calibri"/>
          <w:sz w:val="24"/>
          <w:szCs w:val="24"/>
        </w:rPr>
        <w:t>198</w:t>
      </w:r>
      <w:r w:rsidRPr="00A954A0" w:rsidR="002E23EA">
        <w:rPr>
          <w:rFonts w:ascii="Calibri" w:eastAsia="Calibri" w:hAnsi="Calibri" w:cs="Calibri"/>
          <w:sz w:val="24"/>
          <w:szCs w:val="24"/>
        </w:rPr>
        <w:t xml:space="preserve"> </w:t>
      </w:r>
      <w:r w:rsidRPr="00A954A0">
        <w:rPr>
          <w:rFonts w:ascii="Calibri" w:eastAsia="Calibri" w:hAnsi="Calibri" w:cs="Calibri"/>
          <w:sz w:val="24"/>
          <w:szCs w:val="24"/>
        </w:rPr>
        <w:t xml:space="preserve">hours of burden </w:t>
      </w:r>
      <w:r w:rsidRPr="00A954A0" w:rsidR="00EF7EB3">
        <w:rPr>
          <w:sz w:val="24"/>
          <w:szCs w:val="24"/>
        </w:rPr>
        <w:t xml:space="preserve">and </w:t>
      </w:r>
      <w:r w:rsidR="00692C3A">
        <w:rPr>
          <w:sz w:val="24"/>
          <w:szCs w:val="24"/>
        </w:rPr>
        <w:t>362</w:t>
      </w:r>
      <w:r w:rsidRPr="00A954A0" w:rsidR="00692C3A">
        <w:rPr>
          <w:sz w:val="24"/>
          <w:szCs w:val="24"/>
        </w:rPr>
        <w:t xml:space="preserve"> </w:t>
      </w:r>
      <w:r w:rsidRPr="00A954A0" w:rsidR="00EF7EB3">
        <w:rPr>
          <w:sz w:val="24"/>
          <w:szCs w:val="24"/>
        </w:rPr>
        <w:t xml:space="preserve">annual responses </w:t>
      </w:r>
      <w:r w:rsidRPr="00A954A0">
        <w:rPr>
          <w:rFonts w:ascii="Calibri" w:eastAsia="Calibri" w:hAnsi="Calibri" w:cs="Calibri"/>
          <w:sz w:val="24"/>
          <w:szCs w:val="24"/>
        </w:rPr>
        <w:t>to OMB’s inventory</w:t>
      </w:r>
      <w:r w:rsidRPr="00A954A0" w:rsidR="00401DE3">
        <w:rPr>
          <w:rFonts w:ascii="Calibri" w:eastAsia="Calibri" w:hAnsi="Calibri" w:cs="Calibri"/>
          <w:sz w:val="24"/>
          <w:szCs w:val="24"/>
        </w:rPr>
        <w:t>.</w:t>
      </w:r>
      <w:r w:rsidRPr="00A954A0">
        <w:rPr>
          <w:rFonts w:ascii="Calibri" w:eastAsia="Calibri" w:hAnsi="Calibri" w:cs="Calibri"/>
          <w:sz w:val="24"/>
          <w:szCs w:val="24"/>
        </w:rPr>
        <w:t xml:space="preserve"> </w:t>
      </w:r>
    </w:p>
    <w:p w:rsidR="00254128" w:rsidRPr="00A954A0" w:rsidP="00C32C2C" w14:paraId="118D3176" w14:textId="124265A7">
      <w:pPr>
        <w:pStyle w:val="Heading1New"/>
      </w:pPr>
      <w:bookmarkStart w:id="35" w:name="_Toc148333352"/>
      <w:r w:rsidRPr="00A954A0">
        <w:t xml:space="preserve">A16. </w:t>
      </w:r>
      <w:r w:rsidR="00D41188">
        <w:t xml:space="preserve">Plans for tabulation and publication: </w:t>
      </w:r>
      <w:r w:rsidRPr="00A954A0">
        <w:t>For collections of information whose results are planned to be published, outline plans for</w:t>
      </w:r>
      <w:r w:rsidRPr="00A954A0" w:rsidR="001F0FF3">
        <w:t xml:space="preserve"> </w:t>
      </w:r>
      <w:r w:rsidRPr="00A954A0">
        <w:t>tabulation and publication.</w:t>
      </w:r>
      <w:bookmarkEnd w:id="35"/>
    </w:p>
    <w:p w:rsidR="005C0ED3" w:rsidRPr="00A954A0" w:rsidP="005C0ED3" w14:paraId="5564DE66" w14:textId="7E3BD450">
      <w:pPr>
        <w:pStyle w:val="Body11ptCalibrDBi-IPR"/>
        <w:rPr>
          <w:sz w:val="24"/>
          <w:lang w:bidi="he-IL"/>
        </w:rPr>
      </w:pPr>
      <w:r w:rsidRPr="00A954A0">
        <w:rPr>
          <w:sz w:val="24"/>
          <w:lang w:bidi="he-IL"/>
        </w:rPr>
        <w:t>Table A16</w:t>
      </w:r>
      <w:r w:rsidRPr="00A954A0" w:rsidR="000E6C8E">
        <w:rPr>
          <w:sz w:val="24"/>
          <w:lang w:bidi="he-IL"/>
        </w:rPr>
        <w:t>.1</w:t>
      </w:r>
      <w:r w:rsidRPr="00A954A0">
        <w:rPr>
          <w:sz w:val="24"/>
          <w:lang w:bidi="he-IL"/>
        </w:rPr>
        <w:t xml:space="preserve"> shows the schedule for data collection, tabulation, and publication. </w:t>
      </w:r>
    </w:p>
    <w:p w:rsidR="000E6C8E" w:rsidRPr="004D6EEB" w:rsidP="000E6C8E" w14:paraId="361CCA9F" w14:textId="5472E750">
      <w:pPr>
        <w:pStyle w:val="TableTitle-IPR"/>
        <w:rPr>
          <w:sz w:val="24"/>
          <w:szCs w:val="28"/>
        </w:rPr>
      </w:pPr>
      <w:bookmarkStart w:id="36" w:name="_Toc170219537"/>
      <w:r w:rsidRPr="004D6EEB">
        <w:rPr>
          <w:sz w:val="24"/>
          <w:szCs w:val="28"/>
        </w:rPr>
        <w:t xml:space="preserve">Table A16.1. </w:t>
      </w:r>
      <w:r w:rsidRPr="004D6EEB" w:rsidR="006D4F3C">
        <w:rPr>
          <w:sz w:val="24"/>
          <w:szCs w:val="28"/>
        </w:rPr>
        <w:t>Study Schedule</w:t>
      </w:r>
      <w:bookmarkEnd w:id="36"/>
      <w:r w:rsidRPr="004D6EEB">
        <w:rPr>
          <w:sz w:val="24"/>
          <w:szCs w:val="28"/>
        </w:rPr>
        <w:t xml:space="preserve"> </w:t>
      </w:r>
    </w:p>
    <w:tbl>
      <w:tblPr>
        <w:tblStyle w:val="InsightTable"/>
        <w:tblW w:w="5000" w:type="pct"/>
        <w:tblInd w:w="0" w:type="dxa"/>
        <w:tblLayout w:type="fixed"/>
        <w:tblCellMar>
          <w:left w:w="58" w:type="dxa"/>
          <w:right w:w="58" w:type="dxa"/>
        </w:tblCellMar>
        <w:tblLook w:val="04A0"/>
      </w:tblPr>
      <w:tblGrid>
        <w:gridCol w:w="4049"/>
        <w:gridCol w:w="5311"/>
      </w:tblGrid>
      <w:tr w14:paraId="72363034" w14:textId="77777777" w:rsidTr="001925AE">
        <w:tblPrEx>
          <w:tblW w:w="5000" w:type="pct"/>
          <w:tblInd w:w="0" w:type="dxa"/>
          <w:tblLayout w:type="fixed"/>
          <w:tblCellMar>
            <w:left w:w="58" w:type="dxa"/>
            <w:right w:w="58" w:type="dxa"/>
          </w:tblCellMar>
          <w:tblLook w:val="04A0"/>
        </w:tblPrEx>
        <w:trPr>
          <w:trHeight w:val="360"/>
          <w:tblHeader/>
        </w:trPr>
        <w:tc>
          <w:tcPr>
            <w:tcW w:w="2163" w:type="pct"/>
            <w:tcBorders>
              <w:top w:val="single" w:sz="8" w:space="0" w:color="003C79"/>
              <w:bottom w:val="single" w:sz="8" w:space="0" w:color="003C79"/>
            </w:tcBorders>
            <w:noWrap/>
            <w:hideMark/>
          </w:tcPr>
          <w:p w:rsidR="005D54BF" w:rsidRPr="00380247" w:rsidP="005E7C4C" w14:paraId="59A19591" w14:textId="53E84DEC">
            <w:pPr>
              <w:pStyle w:val="TableHeaderRow-IPR"/>
              <w:widowControl w:val="0"/>
            </w:pPr>
            <w:r>
              <w:t>Activity</w:t>
            </w:r>
          </w:p>
        </w:tc>
        <w:tc>
          <w:tcPr>
            <w:tcW w:w="2837" w:type="pct"/>
            <w:tcBorders>
              <w:top w:val="single" w:sz="8" w:space="0" w:color="003C79"/>
              <w:bottom w:val="single" w:sz="8" w:space="0" w:color="003C79"/>
            </w:tcBorders>
            <w:noWrap/>
            <w:hideMark/>
          </w:tcPr>
          <w:p w:rsidR="005D54BF" w:rsidRPr="00380247" w:rsidP="005E7C4C" w14:paraId="26F3CE18" w14:textId="0ACA03F7">
            <w:pPr>
              <w:pStyle w:val="TableHeaderRow-IPR"/>
              <w:widowControl w:val="0"/>
            </w:pPr>
            <w:r>
              <w:t>Timeframe</w:t>
            </w:r>
          </w:p>
        </w:tc>
      </w:tr>
      <w:tr w14:paraId="2CE45F23" w14:textId="77777777" w:rsidTr="001925AE">
        <w:tblPrEx>
          <w:tblW w:w="5000" w:type="pct"/>
          <w:tblInd w:w="0" w:type="dxa"/>
          <w:tblLayout w:type="fixed"/>
          <w:tblCellMar>
            <w:left w:w="58" w:type="dxa"/>
            <w:right w:w="58" w:type="dxa"/>
          </w:tblCellMar>
          <w:tblLook w:val="04A0"/>
        </w:tblPrEx>
        <w:trPr>
          <w:trHeight w:val="288"/>
        </w:trPr>
        <w:tc>
          <w:tcPr>
            <w:tcW w:w="2163" w:type="pct"/>
            <w:tcBorders>
              <w:top w:val="single" w:sz="8" w:space="0" w:color="003C79"/>
            </w:tcBorders>
            <w:noWrap/>
            <w:hideMark/>
          </w:tcPr>
          <w:p w:rsidR="005D54BF" w:rsidRPr="00380247" w:rsidP="005E7C4C" w14:paraId="3DC90BA4" w14:textId="754747BE">
            <w:pPr>
              <w:pStyle w:val="TableText-IPR"/>
              <w:widowControl w:val="0"/>
            </w:pPr>
            <w:r>
              <w:t xml:space="preserve">Develop and Test Data Collection Instruments </w:t>
            </w:r>
          </w:p>
        </w:tc>
        <w:tc>
          <w:tcPr>
            <w:tcW w:w="2837" w:type="pct"/>
            <w:tcBorders>
              <w:top w:val="single" w:sz="8" w:space="0" w:color="003C79"/>
            </w:tcBorders>
            <w:noWrap/>
            <w:hideMark/>
          </w:tcPr>
          <w:p w:rsidR="005D54BF" w:rsidRPr="00380247" w:rsidP="007C1C52" w14:paraId="64D079FA" w14:textId="35FEF215">
            <w:pPr>
              <w:pStyle w:val="TableText-IPR"/>
              <w:widowControl w:val="0"/>
            </w:pPr>
            <w:r>
              <w:rPr>
                <w:rFonts w:cs="Calibri"/>
              </w:rPr>
              <w:t>January 2024—May 2024</w:t>
            </w:r>
          </w:p>
        </w:tc>
      </w:tr>
      <w:tr w14:paraId="3D6C2CD7" w14:textId="77777777" w:rsidTr="0020008B">
        <w:tblPrEx>
          <w:tblW w:w="5000" w:type="pct"/>
          <w:tblInd w:w="0" w:type="dxa"/>
          <w:tblLayout w:type="fixed"/>
          <w:tblCellMar>
            <w:left w:w="58" w:type="dxa"/>
            <w:right w:w="58" w:type="dxa"/>
          </w:tblCellMar>
          <w:tblLook w:val="04A0"/>
        </w:tblPrEx>
        <w:trPr>
          <w:trHeight w:val="288"/>
        </w:trPr>
        <w:tc>
          <w:tcPr>
            <w:tcW w:w="2163" w:type="pct"/>
          </w:tcPr>
          <w:p w:rsidR="000A4DC3" w:rsidP="003942CE" w14:paraId="677ECD46" w14:textId="61C87415">
            <w:pPr>
              <w:pStyle w:val="TableText-IPR"/>
              <w:widowControl w:val="0"/>
            </w:pPr>
            <w:r>
              <w:t>Data Collection</w:t>
            </w:r>
          </w:p>
        </w:tc>
        <w:tc>
          <w:tcPr>
            <w:tcW w:w="2837" w:type="pct"/>
          </w:tcPr>
          <w:p w:rsidR="000A4DC3" w14:paraId="0695D72A" w14:textId="07424B8A">
            <w:pPr>
              <w:pStyle w:val="TableText-IPR"/>
              <w:widowControl w:val="0"/>
            </w:pPr>
            <w:r>
              <w:t>15-month</w:t>
            </w:r>
            <w:r w:rsidR="00947016">
              <w:t xml:space="preserve"> period beginning </w:t>
            </w:r>
            <w:r>
              <w:t>immediately after</w:t>
            </w:r>
            <w:r w:rsidR="002477E6">
              <w:t xml:space="preserve"> OMB approval</w:t>
            </w:r>
          </w:p>
        </w:tc>
      </w:tr>
      <w:tr w14:paraId="23C11E71" w14:textId="77777777" w:rsidTr="0020008B">
        <w:tblPrEx>
          <w:tblW w:w="5000" w:type="pct"/>
          <w:tblInd w:w="0" w:type="dxa"/>
          <w:tblLayout w:type="fixed"/>
          <w:tblCellMar>
            <w:left w:w="58" w:type="dxa"/>
            <w:right w:w="58" w:type="dxa"/>
          </w:tblCellMar>
          <w:tblLook w:val="04A0"/>
        </w:tblPrEx>
        <w:trPr>
          <w:trHeight w:val="288"/>
        </w:trPr>
        <w:tc>
          <w:tcPr>
            <w:tcW w:w="2163" w:type="pct"/>
            <w:noWrap/>
          </w:tcPr>
          <w:p w:rsidR="00B4631D" w:rsidRPr="00B4631D" w14:paraId="12CBAC96" w14:textId="1E0C3DAE">
            <w:pPr>
              <w:pStyle w:val="TableText-IPR"/>
              <w:widowControl w:val="0"/>
            </w:pPr>
            <w:r w:rsidRPr="00B4631D">
              <w:t xml:space="preserve">Data Analysis and </w:t>
            </w:r>
            <w:r w:rsidR="00920CD3">
              <w:t>Prepare Exhibits</w:t>
            </w:r>
          </w:p>
        </w:tc>
        <w:tc>
          <w:tcPr>
            <w:tcW w:w="2837" w:type="pct"/>
            <w:noWrap/>
          </w:tcPr>
          <w:p w:rsidR="00B4631D" w:rsidP="007C1C52" w14:paraId="2AA8AB51" w14:textId="1F4D766D">
            <w:pPr>
              <w:pStyle w:val="TableText-IPR"/>
              <w:widowControl w:val="0"/>
              <w:rPr>
                <w:rFonts w:cs="Calibri"/>
              </w:rPr>
            </w:pPr>
            <w:r>
              <w:rPr>
                <w:rFonts w:cs="Calibri"/>
              </w:rPr>
              <w:t xml:space="preserve">On a rolling basis </w:t>
            </w:r>
            <w:r w:rsidRPr="0086321F">
              <w:t>upon completion of a set of analyses either by eHIP project or by phase (pre-implementation and implementation periods)</w:t>
            </w:r>
          </w:p>
        </w:tc>
      </w:tr>
      <w:tr w14:paraId="49B7CFB6" w14:textId="77777777" w:rsidTr="0020008B">
        <w:tblPrEx>
          <w:tblW w:w="5000" w:type="pct"/>
          <w:tblInd w:w="0" w:type="dxa"/>
          <w:tblLayout w:type="fixed"/>
          <w:tblCellMar>
            <w:left w:w="58" w:type="dxa"/>
            <w:right w:w="58" w:type="dxa"/>
          </w:tblCellMar>
          <w:tblLook w:val="04A0"/>
        </w:tblPrEx>
        <w:trPr>
          <w:trHeight w:val="288"/>
        </w:trPr>
        <w:tc>
          <w:tcPr>
            <w:tcW w:w="2163" w:type="pct"/>
            <w:noWrap/>
            <w:hideMark/>
          </w:tcPr>
          <w:p w:rsidR="005D54BF" w:rsidRPr="00380247" w:rsidP="005E7C4C" w14:paraId="28A77374" w14:textId="49FE9661">
            <w:pPr>
              <w:pStyle w:val="TableText-IPR"/>
              <w:widowControl w:val="0"/>
            </w:pPr>
            <w:r>
              <w:t xml:space="preserve">Draft and Final Reports for FNS </w:t>
            </w:r>
            <w:r w:rsidR="00923D7C">
              <w:t>W</w:t>
            </w:r>
            <w:r w:rsidR="001D0588">
              <w:t xml:space="preserve">ith </w:t>
            </w:r>
            <w:r w:rsidR="003E02E0">
              <w:t>Data Files and Documentation</w:t>
            </w:r>
          </w:p>
        </w:tc>
        <w:tc>
          <w:tcPr>
            <w:tcW w:w="2837" w:type="pct"/>
            <w:noWrap/>
            <w:hideMark/>
          </w:tcPr>
          <w:p w:rsidR="005D54BF" w:rsidRPr="00380247" w:rsidP="007C1C52" w14:paraId="3B04FF02" w14:textId="38F7FFFC">
            <w:pPr>
              <w:pStyle w:val="TableText-IPR"/>
              <w:widowControl w:val="0"/>
            </w:pPr>
            <w:r>
              <w:rPr>
                <w:rFonts w:cs="Calibri"/>
              </w:rPr>
              <w:t>July 2026—July 2027</w:t>
            </w:r>
          </w:p>
        </w:tc>
      </w:tr>
      <w:tr w14:paraId="739E317B" w14:textId="77777777" w:rsidTr="0020008B">
        <w:tblPrEx>
          <w:tblW w:w="5000" w:type="pct"/>
          <w:tblInd w:w="0" w:type="dxa"/>
          <w:tblLayout w:type="fixed"/>
          <w:tblCellMar>
            <w:left w:w="58" w:type="dxa"/>
            <w:right w:w="58" w:type="dxa"/>
          </w:tblCellMar>
          <w:tblLook w:val="04A0"/>
        </w:tblPrEx>
        <w:trPr>
          <w:trHeight w:val="288"/>
        </w:trPr>
        <w:tc>
          <w:tcPr>
            <w:tcW w:w="2163" w:type="pct"/>
            <w:noWrap/>
            <w:hideMark/>
          </w:tcPr>
          <w:p w:rsidR="005D54BF" w:rsidRPr="00380247" w:rsidP="005E7C4C" w14:paraId="71AEC7C1" w14:textId="4E0E7766">
            <w:pPr>
              <w:pStyle w:val="TableText-IPR"/>
              <w:widowControl w:val="0"/>
            </w:pPr>
            <w:r>
              <w:t>Briefing for FNS</w:t>
            </w:r>
          </w:p>
        </w:tc>
        <w:tc>
          <w:tcPr>
            <w:tcW w:w="2837" w:type="pct"/>
            <w:noWrap/>
            <w:hideMark/>
          </w:tcPr>
          <w:p w:rsidR="005D54BF" w:rsidRPr="009E00C3" w:rsidP="007C1C52" w14:paraId="5932240F" w14:textId="57BCB326">
            <w:pPr>
              <w:pStyle w:val="TableText-IPR"/>
              <w:widowControl w:val="0"/>
              <w:rPr>
                <w:rFonts w:cs="Calibri"/>
              </w:rPr>
            </w:pPr>
            <w:r>
              <w:rPr>
                <w:rFonts w:cs="Calibri"/>
              </w:rPr>
              <w:t>June 2027</w:t>
            </w:r>
          </w:p>
        </w:tc>
      </w:tr>
    </w:tbl>
    <w:p w:rsidR="00CF0338" w:rsidRPr="00A954A0" w14:paraId="50932F36" w14:textId="3E376CEE">
      <w:pPr>
        <w:pStyle w:val="BodyText-IPR"/>
        <w:spacing w:before="480" w:line="480" w:lineRule="auto"/>
        <w:rPr>
          <w:sz w:val="24"/>
          <w:szCs w:val="24"/>
        </w:rPr>
      </w:pPr>
      <w:r>
        <w:rPr>
          <w:b/>
          <w:bCs/>
          <w:sz w:val="24"/>
          <w:szCs w:val="24"/>
        </w:rPr>
        <w:t xml:space="preserve">Quantitative </w:t>
      </w:r>
      <w:r w:rsidR="00893619">
        <w:rPr>
          <w:b/>
          <w:bCs/>
          <w:sz w:val="24"/>
          <w:szCs w:val="24"/>
        </w:rPr>
        <w:t>data collection</w:t>
      </w:r>
      <w:r>
        <w:rPr>
          <w:b/>
          <w:bCs/>
          <w:sz w:val="24"/>
          <w:szCs w:val="24"/>
        </w:rPr>
        <w:t xml:space="preserve"> (includes data from a</w:t>
      </w:r>
      <w:r w:rsidR="00065052">
        <w:rPr>
          <w:b/>
          <w:bCs/>
          <w:sz w:val="24"/>
          <w:szCs w:val="24"/>
        </w:rPr>
        <w:t>dministrative p</w:t>
      </w:r>
      <w:r w:rsidRPr="00BE2518" w:rsidR="00065052">
        <w:rPr>
          <w:b/>
          <w:bCs/>
          <w:sz w:val="24"/>
          <w:szCs w:val="24"/>
        </w:rPr>
        <w:t>roject cost data collection</w:t>
      </w:r>
      <w:r>
        <w:rPr>
          <w:b/>
          <w:bCs/>
          <w:sz w:val="24"/>
          <w:szCs w:val="24"/>
        </w:rPr>
        <w:t>, e</w:t>
      </w:r>
      <w:r w:rsidRPr="00BA4BAE">
        <w:rPr>
          <w:b/>
          <w:bCs/>
          <w:sz w:val="24"/>
          <w:szCs w:val="24"/>
        </w:rPr>
        <w:t>xtant national and State data</w:t>
      </w:r>
      <w:r>
        <w:rPr>
          <w:b/>
          <w:bCs/>
          <w:sz w:val="24"/>
          <w:szCs w:val="24"/>
        </w:rPr>
        <w:t>, and a</w:t>
      </w:r>
      <w:r w:rsidRPr="00FA48DA">
        <w:rPr>
          <w:b/>
          <w:bCs/>
          <w:sz w:val="24"/>
          <w:szCs w:val="24"/>
        </w:rPr>
        <w:t>dministrative GusNIP grantee data collection</w:t>
      </w:r>
      <w:r>
        <w:rPr>
          <w:b/>
          <w:bCs/>
          <w:sz w:val="24"/>
          <w:szCs w:val="24"/>
        </w:rPr>
        <w:t>)</w:t>
      </w:r>
      <w:r w:rsidRPr="00A954A0">
        <w:rPr>
          <w:b/>
          <w:bCs/>
          <w:sz w:val="24"/>
          <w:szCs w:val="24"/>
        </w:rPr>
        <w:t>.</w:t>
      </w:r>
      <w:r w:rsidRPr="00A954A0">
        <w:rPr>
          <w:sz w:val="24"/>
          <w:szCs w:val="24"/>
        </w:rPr>
        <w:t xml:space="preserve"> Upon completion of the </w:t>
      </w:r>
      <w:r w:rsidR="00B75AC0">
        <w:rPr>
          <w:sz w:val="24"/>
          <w:szCs w:val="24"/>
        </w:rPr>
        <w:t>data collection period</w:t>
      </w:r>
      <w:r w:rsidRPr="00A954A0">
        <w:rPr>
          <w:sz w:val="24"/>
          <w:szCs w:val="24"/>
        </w:rPr>
        <w:t xml:space="preserve">, the study team will </w:t>
      </w:r>
      <w:r w:rsidRPr="00B75AC0" w:rsidR="00B75AC0">
        <w:rPr>
          <w:sz w:val="24"/>
          <w:szCs w:val="24"/>
        </w:rPr>
        <w:t>consolidate information from the various sources, including the eHIP project cost data and existing data sources</w:t>
      </w:r>
      <w:r w:rsidR="00B75AC0">
        <w:rPr>
          <w:sz w:val="24"/>
          <w:szCs w:val="24"/>
        </w:rPr>
        <w:t xml:space="preserve"> and create a file </w:t>
      </w:r>
      <w:r w:rsidRPr="00A954A0">
        <w:rPr>
          <w:sz w:val="24"/>
          <w:szCs w:val="24"/>
        </w:rPr>
        <w:t xml:space="preserve">for analysis using statistical software such as SAS or R. </w:t>
      </w:r>
      <w:r>
        <w:rPr>
          <w:sz w:val="24"/>
          <w:szCs w:val="24"/>
        </w:rPr>
        <w:t xml:space="preserve">The </w:t>
      </w:r>
      <w:r w:rsidRPr="00732C88">
        <w:rPr>
          <w:sz w:val="24"/>
          <w:szCs w:val="24"/>
        </w:rPr>
        <w:t xml:space="preserve">initial step in the data cleaning process will involve adding a variable to the dataset that identifies any discrepancies. </w:t>
      </w:r>
      <w:r>
        <w:rPr>
          <w:sz w:val="24"/>
          <w:szCs w:val="24"/>
        </w:rPr>
        <w:t>The study team</w:t>
      </w:r>
      <w:r w:rsidRPr="00732C88">
        <w:rPr>
          <w:sz w:val="24"/>
          <w:szCs w:val="24"/>
        </w:rPr>
        <w:t xml:space="preserve"> will carefully document all modified values and provide the reasoning behind each decision.</w:t>
      </w:r>
      <w:r>
        <w:rPr>
          <w:sz w:val="24"/>
          <w:szCs w:val="24"/>
        </w:rPr>
        <w:t xml:space="preserve"> The team will also </w:t>
      </w:r>
      <w:r w:rsidRPr="00732C88">
        <w:rPr>
          <w:sz w:val="24"/>
          <w:szCs w:val="24"/>
        </w:rPr>
        <w:t xml:space="preserve">generate and review frequency distributions, particularly for the incentive issuance data. This effort will help ensure that the values for each variable fall within expected parameters and meet predetermined thresholds for completeness. All corrections, revisions, and additions will be thoroughly documented. To gain further insight into distributions, </w:t>
      </w:r>
      <w:r>
        <w:rPr>
          <w:sz w:val="24"/>
          <w:szCs w:val="24"/>
        </w:rPr>
        <w:t>the team w</w:t>
      </w:r>
      <w:r w:rsidRPr="00732C88">
        <w:rPr>
          <w:sz w:val="24"/>
          <w:szCs w:val="24"/>
        </w:rPr>
        <w:t>ill use descriptive analyses such as means, percentages, and cross-tabulations.</w:t>
      </w:r>
      <w:r w:rsidRPr="00A954A0">
        <w:rPr>
          <w:sz w:val="24"/>
          <w:szCs w:val="24"/>
        </w:rPr>
        <w:t xml:space="preserve"> Using this analytic file, the study team will produce detailed tables and figures</w:t>
      </w:r>
      <w:r w:rsidRPr="00893619" w:rsidR="00893619">
        <w:rPr>
          <w:sz w:val="24"/>
          <w:szCs w:val="24"/>
        </w:rPr>
        <w:t xml:space="preserve"> </w:t>
      </w:r>
      <w:r w:rsidRPr="00A954A0">
        <w:rPr>
          <w:sz w:val="24"/>
          <w:szCs w:val="24"/>
        </w:rPr>
        <w:t xml:space="preserve">to be included in the </w:t>
      </w:r>
      <w:r w:rsidRPr="00A954A0" w:rsidR="00712BC4">
        <w:rPr>
          <w:sz w:val="24"/>
          <w:szCs w:val="24"/>
        </w:rPr>
        <w:t>f</w:t>
      </w:r>
      <w:r w:rsidRPr="00A954A0">
        <w:rPr>
          <w:sz w:val="24"/>
          <w:szCs w:val="24"/>
        </w:rPr>
        <w:t xml:space="preserve">inal </w:t>
      </w:r>
      <w:r w:rsidRPr="00A954A0" w:rsidR="00712BC4">
        <w:rPr>
          <w:sz w:val="24"/>
          <w:szCs w:val="24"/>
        </w:rPr>
        <w:t>r</w:t>
      </w:r>
      <w:r w:rsidRPr="00A954A0">
        <w:rPr>
          <w:sz w:val="24"/>
          <w:szCs w:val="24"/>
        </w:rPr>
        <w:t xml:space="preserve">eport. </w:t>
      </w:r>
      <w:r w:rsidR="00893619">
        <w:rPr>
          <w:sz w:val="24"/>
          <w:szCs w:val="24"/>
        </w:rPr>
        <w:t xml:space="preserve">These tables and figures will address the study objectives. </w:t>
      </w:r>
      <w:r w:rsidRPr="00A954A0">
        <w:rPr>
          <w:sz w:val="24"/>
          <w:szCs w:val="24"/>
        </w:rPr>
        <w:t xml:space="preserve">Responses to any open-ended questions will be uploaded into NVivo and coded along with the </w:t>
      </w:r>
      <w:r w:rsidRPr="00A954A0" w:rsidR="004566D9">
        <w:rPr>
          <w:sz w:val="24"/>
          <w:szCs w:val="24"/>
        </w:rPr>
        <w:t>interview</w:t>
      </w:r>
      <w:r w:rsidRPr="00A954A0">
        <w:rPr>
          <w:sz w:val="24"/>
          <w:szCs w:val="24"/>
        </w:rPr>
        <w:t xml:space="preserve"> data</w:t>
      </w:r>
      <w:r>
        <w:rPr>
          <w:sz w:val="24"/>
          <w:szCs w:val="24"/>
        </w:rPr>
        <w:t xml:space="preserve"> collection</w:t>
      </w:r>
      <w:r w:rsidRPr="00A954A0">
        <w:rPr>
          <w:sz w:val="24"/>
          <w:szCs w:val="24"/>
        </w:rPr>
        <w:t>.</w:t>
      </w:r>
    </w:p>
    <w:p w:rsidR="00CF0338" w:rsidRPr="00A954A0" w14:paraId="729BF6B2" w14:textId="384B5278">
      <w:pPr>
        <w:pStyle w:val="BodyText-IPR"/>
        <w:spacing w:line="480" w:lineRule="auto"/>
        <w:rPr>
          <w:sz w:val="24"/>
          <w:szCs w:val="24"/>
        </w:rPr>
      </w:pPr>
      <w:r>
        <w:rPr>
          <w:b/>
          <w:bCs/>
          <w:sz w:val="24"/>
          <w:szCs w:val="24"/>
        </w:rPr>
        <w:t>I</w:t>
      </w:r>
      <w:r w:rsidRPr="00A954A0">
        <w:rPr>
          <w:b/>
          <w:bCs/>
          <w:sz w:val="24"/>
          <w:szCs w:val="24"/>
        </w:rPr>
        <w:t>nterview</w:t>
      </w:r>
      <w:r>
        <w:rPr>
          <w:b/>
          <w:bCs/>
          <w:sz w:val="24"/>
          <w:szCs w:val="24"/>
        </w:rPr>
        <w:t xml:space="preserve"> data collection</w:t>
      </w:r>
      <w:r w:rsidRPr="00A954A0">
        <w:rPr>
          <w:b/>
          <w:bCs/>
          <w:sz w:val="24"/>
          <w:szCs w:val="24"/>
        </w:rPr>
        <w:t>.</w:t>
      </w:r>
      <w:r w:rsidRPr="00A954A0">
        <w:rPr>
          <w:sz w:val="24"/>
          <w:szCs w:val="24"/>
        </w:rPr>
        <w:t xml:space="preserve"> </w:t>
      </w:r>
      <w:r w:rsidRPr="00893619" w:rsidR="00893619">
        <w:rPr>
          <w:sz w:val="24"/>
          <w:szCs w:val="24"/>
        </w:rPr>
        <w:t xml:space="preserve">Interview data will include both factual data clarifying received cost data and open-ended responses to questions about lessons learned. The former will be incorporated into cost analyses for </w:t>
      </w:r>
      <w:r w:rsidR="00893619">
        <w:rPr>
          <w:sz w:val="24"/>
          <w:szCs w:val="24"/>
        </w:rPr>
        <w:t>study o</w:t>
      </w:r>
      <w:r w:rsidRPr="00893619" w:rsidR="00893619">
        <w:rPr>
          <w:sz w:val="24"/>
          <w:szCs w:val="24"/>
        </w:rPr>
        <w:t xml:space="preserve">bjective 1. The latter will be analyzed independently </w:t>
      </w:r>
      <w:r w:rsidRPr="00893619" w:rsidR="00893619">
        <w:rPr>
          <w:sz w:val="24"/>
          <w:szCs w:val="24"/>
        </w:rPr>
        <w:t xml:space="preserve">to contextualize </w:t>
      </w:r>
      <w:r w:rsidR="00893619">
        <w:rPr>
          <w:sz w:val="24"/>
          <w:szCs w:val="24"/>
        </w:rPr>
        <w:t>study o</w:t>
      </w:r>
      <w:r w:rsidRPr="00893619" w:rsidR="00893619">
        <w:rPr>
          <w:sz w:val="24"/>
          <w:szCs w:val="24"/>
        </w:rPr>
        <w:t xml:space="preserve">bjective 1 cost analyses as well as provide insight into </w:t>
      </w:r>
      <w:r w:rsidR="002E23EA">
        <w:rPr>
          <w:sz w:val="24"/>
          <w:szCs w:val="24"/>
        </w:rPr>
        <w:t xml:space="preserve">current cost assessments and </w:t>
      </w:r>
      <w:r w:rsidRPr="00893619" w:rsidR="00893619">
        <w:rPr>
          <w:sz w:val="24"/>
          <w:szCs w:val="24"/>
        </w:rPr>
        <w:t>possible nationwide expansion</w:t>
      </w:r>
      <w:r w:rsidR="00893619">
        <w:rPr>
          <w:sz w:val="24"/>
          <w:szCs w:val="24"/>
        </w:rPr>
        <w:t xml:space="preserve"> of eHIP</w:t>
      </w:r>
      <w:r w:rsidRPr="00893619" w:rsidR="00893619">
        <w:rPr>
          <w:sz w:val="24"/>
          <w:szCs w:val="24"/>
        </w:rPr>
        <w:t>.</w:t>
      </w:r>
      <w:r w:rsidR="00893619">
        <w:rPr>
          <w:sz w:val="24"/>
          <w:szCs w:val="24"/>
        </w:rPr>
        <w:t xml:space="preserve"> The study team will</w:t>
      </w:r>
      <w:r w:rsidRPr="00893619" w:rsidR="00893619">
        <w:rPr>
          <w:sz w:val="24"/>
          <w:szCs w:val="24"/>
        </w:rPr>
        <w:t xml:space="preserve"> </w:t>
      </w:r>
      <w:r w:rsidR="006D11D6">
        <w:rPr>
          <w:sz w:val="24"/>
          <w:szCs w:val="24"/>
        </w:rPr>
        <w:t>qualitatively</w:t>
      </w:r>
      <w:r w:rsidRPr="00893619" w:rsidR="00893619">
        <w:rPr>
          <w:sz w:val="24"/>
          <w:szCs w:val="24"/>
        </w:rPr>
        <w:t xml:space="preserve"> analyze interview data on lessons learned and recommendations from project States about how eHIP can be implemented effectively and efficiently.</w:t>
      </w:r>
      <w:r w:rsidR="00893619">
        <w:rPr>
          <w:sz w:val="24"/>
          <w:szCs w:val="24"/>
        </w:rPr>
        <w:t xml:space="preserve"> The team will </w:t>
      </w:r>
      <w:r w:rsidRPr="00A954A0" w:rsidR="00893619">
        <w:rPr>
          <w:sz w:val="24"/>
          <w:szCs w:val="24"/>
        </w:rPr>
        <w:t>develop a coding scheme that aligns with the study objectives and research questions. The study team will then use this coding scheme to code all interview transcripts in NVivo. Qualitative data analysis will be an iterative process, with multiple rounds of testing and discussion to refine the coding scheme.</w:t>
      </w:r>
      <w:r w:rsidR="00893619">
        <w:rPr>
          <w:sz w:val="24"/>
          <w:szCs w:val="24"/>
        </w:rPr>
        <w:t xml:space="preserve"> The study team will use the analyses completed to </w:t>
      </w:r>
      <w:r w:rsidRPr="00A954A0" w:rsidR="00893619">
        <w:rPr>
          <w:sz w:val="24"/>
          <w:szCs w:val="24"/>
        </w:rPr>
        <w:t>produce detailed tables and figures</w:t>
      </w:r>
      <w:r w:rsidRPr="00893619" w:rsidR="00893619">
        <w:rPr>
          <w:sz w:val="24"/>
          <w:szCs w:val="24"/>
        </w:rPr>
        <w:t xml:space="preserve"> </w:t>
      </w:r>
      <w:r w:rsidRPr="00A954A0" w:rsidR="00893619">
        <w:rPr>
          <w:sz w:val="24"/>
          <w:szCs w:val="24"/>
        </w:rPr>
        <w:t>to be included in the final report</w:t>
      </w:r>
      <w:r w:rsidR="00893619">
        <w:rPr>
          <w:sz w:val="24"/>
          <w:szCs w:val="24"/>
        </w:rPr>
        <w:t>, which will address the study objectives.</w:t>
      </w:r>
    </w:p>
    <w:p w:rsidR="00D83920" w:rsidRPr="00063A66" w:rsidP="00C32C2C" w14:paraId="68C486A0" w14:textId="77777777">
      <w:pPr>
        <w:pStyle w:val="BodyText-IPR"/>
        <w:rPr>
          <w:b/>
          <w:bCs/>
          <w:i/>
          <w:sz w:val="24"/>
          <w:szCs w:val="24"/>
        </w:rPr>
      </w:pPr>
      <w:r w:rsidRPr="00063A66">
        <w:rPr>
          <w:b/>
          <w:bCs/>
          <w:sz w:val="24"/>
          <w:szCs w:val="24"/>
        </w:rPr>
        <w:t>Reporting</w:t>
      </w:r>
    </w:p>
    <w:p w:rsidR="00EB7793" w:rsidRPr="00A954A0" w:rsidP="00C32C2C" w14:paraId="5D7198A6" w14:textId="0A9AEE37">
      <w:pPr>
        <w:pStyle w:val="Heading4-IPR"/>
        <w:spacing w:line="480" w:lineRule="auto"/>
        <w:ind w:left="0" w:firstLine="0"/>
        <w:outlineLvl w:val="9"/>
        <w:rPr>
          <w:rFonts w:ascii="Calibri" w:hAnsi="Calibri" w:eastAsiaTheme="minorHAnsi" w:cstheme="minorBidi"/>
          <w:b w:val="0"/>
          <w:i w:val="0"/>
          <w:color w:val="auto"/>
          <w:sz w:val="24"/>
          <w:szCs w:val="24"/>
        </w:rPr>
      </w:pPr>
      <w:r w:rsidRPr="009816D5">
        <w:rPr>
          <w:rStyle w:val="BodyText-IPRChar"/>
          <w:rFonts w:eastAsiaTheme="minorHAnsi"/>
          <w:b w:val="0"/>
          <w:bCs/>
          <w:i w:val="0"/>
          <w:iCs/>
          <w:color w:val="auto"/>
          <w:sz w:val="24"/>
          <w:szCs w:val="24"/>
        </w:rPr>
        <w:t>Results will be presented in a final report to be made public on the USDA FNS website:</w:t>
      </w:r>
      <w:r w:rsidRPr="009816D5">
        <w:rPr>
          <w:rFonts w:ascii="Calibri" w:hAnsi="Calibri" w:eastAsiaTheme="minorHAnsi" w:cstheme="minorBidi"/>
          <w:b w:val="0"/>
          <w:i w:val="0"/>
          <w:color w:val="auto"/>
          <w:sz w:val="24"/>
          <w:szCs w:val="24"/>
        </w:rPr>
        <w:t xml:space="preserve"> </w:t>
      </w:r>
      <w:hyperlink r:id="rId11" w:history="1">
        <w:r w:rsidRPr="001925AE" w:rsidR="00243C2C">
          <w:rPr>
            <w:rStyle w:val="Hyperlink"/>
            <w:rFonts w:ascii="Calibri" w:hAnsi="Calibri" w:eastAsiaTheme="minorHAnsi" w:cstheme="minorBidi"/>
            <w:b w:val="0"/>
            <w:i w:val="0"/>
            <w:color w:val="003C79"/>
            <w:sz w:val="24"/>
            <w:szCs w:val="24"/>
          </w:rPr>
          <w:t>https://www.fns.usda.gov/research-analysis</w:t>
        </w:r>
      </w:hyperlink>
      <w:r w:rsidRPr="00A954A0" w:rsidR="00243C2C">
        <w:rPr>
          <w:rFonts w:ascii="Calibri" w:hAnsi="Calibri" w:eastAsiaTheme="minorHAnsi" w:cstheme="minorBidi"/>
          <w:b w:val="0"/>
          <w:i w:val="0"/>
          <w:color w:val="auto"/>
          <w:sz w:val="24"/>
          <w:szCs w:val="24"/>
        </w:rPr>
        <w:t>.</w:t>
      </w:r>
    </w:p>
    <w:p w:rsidR="00C22067" w:rsidRPr="00A954A0" w:rsidP="00C32C2C" w14:paraId="4D5A63A0" w14:textId="18727C6F">
      <w:pPr>
        <w:pStyle w:val="Heading1New"/>
      </w:pPr>
      <w:bookmarkStart w:id="37" w:name="_Toc148333353"/>
      <w:r w:rsidRPr="00A954A0">
        <w:t xml:space="preserve">A17. </w:t>
      </w:r>
      <w:r w:rsidR="00D41188">
        <w:t xml:space="preserve">Displaying the expiration date for OMB approval: </w:t>
      </w:r>
      <w:r w:rsidRPr="00A954A0">
        <w:t>If seeking approval to not display the expiration date for OMB approval of the information</w:t>
      </w:r>
      <w:r w:rsidRPr="00A954A0" w:rsidR="0029314A">
        <w:t xml:space="preserve"> </w:t>
      </w:r>
      <w:r w:rsidRPr="00A954A0">
        <w:t>collection, explain the reasons that display would be inappropriate.</w:t>
      </w:r>
      <w:bookmarkEnd w:id="37"/>
    </w:p>
    <w:p w:rsidR="004C12F6" w:rsidRPr="00A954A0" w:rsidP="003942CE" w14:paraId="0355CEB0" w14:textId="4564245F">
      <w:pPr>
        <w:spacing w:after="240" w:line="480" w:lineRule="auto"/>
        <w:rPr>
          <w:b/>
          <w:bCs/>
          <w:sz w:val="24"/>
          <w:szCs w:val="24"/>
        </w:rPr>
      </w:pPr>
      <w:r w:rsidRPr="00A954A0">
        <w:rPr>
          <w:sz w:val="24"/>
          <w:szCs w:val="24"/>
        </w:rPr>
        <w:t>All data collection instruments will display the OMB approval number and expiration date.</w:t>
      </w:r>
    </w:p>
    <w:p w:rsidR="00C22067" w:rsidRPr="00A954A0" w:rsidP="00C32C2C" w14:paraId="42E7B7EB" w14:textId="3AFD90F5">
      <w:pPr>
        <w:pStyle w:val="Heading1New"/>
      </w:pPr>
      <w:bookmarkStart w:id="38" w:name="_Toc148333354"/>
      <w:r w:rsidRPr="00A954A0">
        <w:t xml:space="preserve">A18. </w:t>
      </w:r>
      <w:r w:rsidR="00D41188">
        <w:t xml:space="preserve">Exception to the certification statement identified in Item 19: </w:t>
      </w:r>
      <w:r w:rsidRPr="00A954A0">
        <w:t>Explain each exception to the certification statement identified in Item 19 of the OMB 83-I</w:t>
      </w:r>
      <w:r w:rsidR="0020008B">
        <w:t xml:space="preserve"> </w:t>
      </w:r>
      <w:r w:rsidRPr="00A954A0">
        <w:t>“Certification for Paperwork Reduction Act.”</w:t>
      </w:r>
      <w:bookmarkEnd w:id="38"/>
    </w:p>
    <w:p w:rsidR="00254128" w:rsidRPr="00A954A0" w:rsidP="003942CE" w14:paraId="11533A49" w14:textId="37A6F84C">
      <w:pPr>
        <w:spacing w:after="240" w:line="480" w:lineRule="auto"/>
        <w:rPr>
          <w:sz w:val="24"/>
          <w:szCs w:val="24"/>
        </w:rPr>
      </w:pPr>
      <w:r w:rsidRPr="00A954A0">
        <w:rPr>
          <w:sz w:val="24"/>
          <w:szCs w:val="24"/>
        </w:rPr>
        <w:t>There are no exceptions to the certification statement.</w:t>
      </w:r>
    </w:p>
    <w:sectPr w:rsidSect="00195435">
      <w:footerReference w:type="default" r:id="rId12"/>
      <w:pgSz w:w="12240" w:h="15840"/>
      <w:pgMar w:top="1440" w:right="1440" w:bottom="1152"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bel Light">
    <w:panose1 w:val="020B0303020204020204"/>
    <w:charset w:val="00"/>
    <w:family w:val="swiss"/>
    <w:pitch w:val="variable"/>
    <w:sig w:usb0="A00002EF" w:usb1="4000A44B" w:usb2="00000000" w:usb3="00000000" w:csb0="0000019F" w:csb1="00000000"/>
  </w:font>
  <w:font w:name="Lucida Sans">
    <w:panose1 w:val="020B0602040502020204"/>
    <w:charset w:val="00"/>
    <w:family w:val="swiss"/>
    <w:pitch w:val="variable"/>
    <w:sig w:usb0="8100AAF7" w:usb1="0000807B" w:usb2="00000008" w:usb3="00000000" w:csb0="000100FF"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3DBB" w14:paraId="3DA475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6FA7" w:rsidRPr="000668C0" w:rsidP="001925AE" w14:paraId="39E595DD" w14:textId="21024A72">
    <w:pPr>
      <w:tabs>
        <w:tab w:val="right" w:pos="9360"/>
      </w:tabs>
      <w:rPr>
        <w:rFonts w:ascii="Calibri" w:hAnsi="Calibri" w:cs="Arial"/>
        <w:i/>
        <w:sz w:val="20"/>
        <w:szCs w:val="18"/>
      </w:rPr>
    </w:pPr>
    <w:sdt>
      <w:sdtPr>
        <w:rPr>
          <w:rFonts w:ascii="Calibri" w:hAnsi="Calibri" w:cstheme="minorHAnsi"/>
          <w:i/>
          <w:sz w:val="20"/>
          <w:szCs w:val="20"/>
        </w:rPr>
        <w:id w:val="-1830204839"/>
        <w:docPartObj>
          <w:docPartGallery w:val="Page Numbers (Bottom of Page)"/>
          <w:docPartUnique/>
        </w:docPartObj>
      </w:sdtPr>
      <w:sdtEndPr>
        <w:rPr>
          <w:rStyle w:val="FooterTitle-IPRChar"/>
        </w:rPr>
      </w:sdtEndPr>
      <w:sdtContent>
        <w:sdt>
          <w:sdtPr>
            <w:rPr>
              <w:rFonts w:ascii="Calibri" w:eastAsia="Times New Roman" w:hAnsi="Calibri" w:cs="Arial"/>
              <w:i/>
              <w:sz w:val="20"/>
              <w:szCs w:val="18"/>
            </w:rPr>
            <w:id w:val="-2096241145"/>
            <w:docPartObj>
              <w:docPartGallery w:val="Page Numbers (Bottom of Page)"/>
              <w:docPartUnique/>
            </w:docPartObj>
          </w:sdtPr>
          <w:sdtEndPr>
            <w:rPr>
              <w:rStyle w:val="FooterTitle-IPRChar"/>
              <w:rFonts w:eastAsiaTheme="minorHAnsi"/>
            </w:rPr>
          </w:sdtEndPr>
          <w:sdtContent>
            <w:sdt>
              <w:sdtPr>
                <w:rPr>
                  <w:rFonts w:ascii="Calibri" w:eastAsia="Times New Roman" w:hAnsi="Calibri" w:cs="Arial"/>
                  <w:i/>
                  <w:sz w:val="20"/>
                  <w:szCs w:val="18"/>
                </w:rPr>
                <w:id w:val="-180821440"/>
                <w:docPartObj>
                  <w:docPartGallery w:val="Page Numbers (Bottom of Page)"/>
                  <w:docPartUnique/>
                </w:docPartObj>
              </w:sdtPr>
              <w:sdtEndPr>
                <w:rPr>
                  <w:rStyle w:val="FooterTitle-IPRChar"/>
                  <w:rFonts w:eastAsiaTheme="minorHAnsi"/>
                </w:rPr>
              </w:sdtEndPr>
              <w:sdtContent>
                <w:sdt>
                  <w:sdtPr>
                    <w:rPr>
                      <w:rStyle w:val="FooterTitle-IPRChar"/>
                      <w:rFonts w:eastAsiaTheme="minorHAnsi"/>
                    </w:rPr>
                    <w:id w:val="420530144"/>
                    <w:docPartObj>
                      <w:docPartGallery w:val="Page Numbers (Bottom of Page)"/>
                      <w:docPartUnique/>
                    </w:docPartObj>
                  </w:sdtPr>
                  <w:sdtEndPr>
                    <w:rPr>
                      <w:rStyle w:val="FooterTitle-IPRChar"/>
                    </w:rPr>
                  </w:sdtEndPr>
                  <w:sdtContent>
                    <w:r>
                      <w:rPr>
                        <w:noProof/>
                      </w:rPr>
                      <w:tab/>
                    </w:r>
                    <w:r w:rsidRPr="00A0610B">
                      <w:rPr>
                        <w:rStyle w:val="FooterTitle-IPRChar"/>
                        <w:rFonts w:eastAsiaTheme="minorHAnsi"/>
                      </w:rPr>
                      <w:fldChar w:fldCharType="begin"/>
                    </w:r>
                    <w:r w:rsidRPr="00A0610B">
                      <w:rPr>
                        <w:rStyle w:val="FooterTitle-IPRChar"/>
                        <w:rFonts w:eastAsiaTheme="minorHAnsi"/>
                      </w:rPr>
                      <w:instrText xml:space="preserve"> PAGE   \* MERGEFORMAT </w:instrText>
                    </w:r>
                    <w:r w:rsidRPr="00A0610B">
                      <w:rPr>
                        <w:rStyle w:val="FooterTitle-IPRChar"/>
                        <w:rFonts w:eastAsiaTheme="minorHAnsi"/>
                      </w:rPr>
                      <w:fldChar w:fldCharType="separate"/>
                    </w:r>
                    <w:r w:rsidR="00833C33">
                      <w:rPr>
                        <w:rStyle w:val="FooterTitle-IPRChar"/>
                        <w:rFonts w:eastAsiaTheme="minorHAnsi"/>
                        <w:noProof/>
                      </w:rPr>
                      <w:t>22</w:t>
                    </w:r>
                    <w:r w:rsidRPr="00A0610B">
                      <w:rPr>
                        <w:rStyle w:val="FooterTitle-IPRChar"/>
                        <w:rFonts w:eastAsiaTheme="minorHAnsi"/>
                      </w:rPr>
                      <w:fldChar w:fldCharType="end"/>
                    </w:r>
                  </w:sdtContent>
                </w:sdt>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63160" w:rsidP="00E03FB7" w14:paraId="5FC22817" w14:textId="77777777">
      <w:pPr>
        <w:spacing w:after="0" w:line="240" w:lineRule="auto"/>
      </w:pPr>
      <w:r>
        <w:separator/>
      </w:r>
    </w:p>
  </w:footnote>
  <w:footnote w:type="continuationSeparator" w:id="1">
    <w:p w:rsidR="00163160" w:rsidP="00E03FB7" w14:paraId="3B6F2642" w14:textId="77777777">
      <w:pPr>
        <w:spacing w:after="0" w:line="240" w:lineRule="auto"/>
      </w:pPr>
      <w:r>
        <w:continuationSeparator/>
      </w:r>
    </w:p>
  </w:footnote>
  <w:footnote w:type="continuationNotice" w:id="2">
    <w:p w:rsidR="00163160" w14:paraId="642355DE" w14:textId="77777777">
      <w:pPr>
        <w:spacing w:after="0" w:line="240" w:lineRule="auto"/>
      </w:pPr>
    </w:p>
  </w:footnote>
  <w:footnote w:id="3">
    <w:p w:rsidR="00666FA7" w14:paraId="26E150AF" w14:textId="2E55D2D9">
      <w:pPr>
        <w:pStyle w:val="FootnoteText"/>
      </w:pPr>
      <w:r>
        <w:rPr>
          <w:rStyle w:val="FootnoteReference"/>
        </w:rPr>
        <w:footnoteRef/>
      </w:r>
      <w:r>
        <w:t xml:space="preserve"> </w:t>
      </w:r>
      <w:r w:rsidRPr="005016C9">
        <w:t xml:space="preserve">Zhang, F.F., Liu, J., Rehm, C.D., Wilde, P., Mande, J.R., and Mozaffarian, D. (2018). Trends and disparities in diet quality among US adults by Supplemental Nutrition Assistance Program participation status. </w:t>
      </w:r>
      <w:r w:rsidRPr="005016C9">
        <w:rPr>
          <w:i/>
          <w:iCs/>
        </w:rPr>
        <w:t>JAMA Network Open</w:t>
      </w:r>
      <w:r w:rsidRPr="005016C9">
        <w:t>, 1(2), e180237.</w:t>
      </w:r>
      <w:r>
        <w:t xml:space="preserve"> </w:t>
      </w:r>
      <w:r w:rsidRPr="005016C9">
        <w:t>doi:10.1001/jamanetworkopen.2018.0237.</w:t>
      </w:r>
    </w:p>
  </w:footnote>
  <w:footnote w:id="4">
    <w:p w:rsidR="00666FA7" w14:paraId="56249E55" w14:textId="0443635C">
      <w:pPr>
        <w:pStyle w:val="FootnoteText"/>
      </w:pPr>
      <w:r>
        <w:rPr>
          <w:rStyle w:val="FootnoteReference"/>
        </w:rPr>
        <w:footnoteRef/>
      </w:r>
      <w:r>
        <w:t xml:space="preserve"> </w:t>
      </w:r>
      <w:r w:rsidRPr="005016C9">
        <w:t xml:space="preserve">Blumenthal, S.J., Hoffnagle, E.E., Leung, C.W., Lofink, H., Jensen, H.H., Foerster, S.B., Cheung, L.W., Nestle, N., and Willett, W.C. (2014). Strategies to improve the dietary quality of Supplemental Nutrition Assistance Program (SNAP) beneficiaries: An assessment of stakeholder opinions. </w:t>
      </w:r>
      <w:r w:rsidRPr="005016C9">
        <w:rPr>
          <w:i/>
          <w:iCs/>
        </w:rPr>
        <w:t xml:space="preserve">Public Health Nutrition, </w:t>
      </w:r>
      <w:r w:rsidRPr="005016C9">
        <w:t>17(12), 2824-2833.</w:t>
      </w:r>
    </w:p>
  </w:footnote>
  <w:footnote w:id="5">
    <w:p w:rsidR="00666FA7" w14:paraId="7A397B73" w14:textId="0391CE04">
      <w:pPr>
        <w:pStyle w:val="FootnoteText"/>
      </w:pPr>
      <w:r>
        <w:rPr>
          <w:rStyle w:val="FootnoteReference"/>
        </w:rPr>
        <w:footnoteRef/>
      </w:r>
      <w:r>
        <w:t xml:space="preserve"> </w:t>
      </w:r>
      <w:r w:rsidRPr="005016C9">
        <w:t>Gearing, M., Dixit-Joshi, S., and May, L. (2021). Barriers That Constrain the Adequacy of Supplemental Nutrition Assistance Program (SNAP) Allotments: Survey Findings. https://fns-prod.azureedge.us/sites/default/files/resource-files/SNAP-Barriers-SurveyFindings.pdf</w:t>
      </w:r>
    </w:p>
  </w:footnote>
  <w:footnote w:id="6">
    <w:p w:rsidR="00666FA7" w14:paraId="4135E22F" w14:textId="21353A60">
      <w:pPr>
        <w:pStyle w:val="FootnoteText"/>
      </w:pPr>
      <w:r>
        <w:rPr>
          <w:rStyle w:val="FootnoteReference"/>
        </w:rPr>
        <w:footnoteRef/>
      </w:r>
      <w:r>
        <w:t xml:space="preserve"> </w:t>
      </w:r>
      <w:r w:rsidRPr="004C4DDE">
        <w:t>Bartlett, S., Klerman, J., Olsho, L., Logan, C., Blocklin, M., Beauregard, M., and Enver, A. (2014). Evaluation of the Healthy Incentives Pilot (HIP): Final report.</w:t>
      </w:r>
      <w:r w:rsidRPr="004C4DDE">
        <w:br/>
      </w:r>
      <w:hyperlink r:id="rId1" w:history="1">
        <w:r w:rsidRPr="004C4DDE">
          <w:rPr>
            <w:rStyle w:val="Hyperlink"/>
          </w:rPr>
          <w:t>https://fns-prod.azureedge.us/sites/default/files/ops/HIP-Final.pdf</w:t>
        </w:r>
      </w:hyperlink>
      <w:r>
        <w:t>.</w:t>
      </w:r>
    </w:p>
  </w:footnote>
  <w:footnote w:id="7">
    <w:p w:rsidR="00666FA7" w:rsidRPr="004C4DDE" w14:paraId="2D358B63" w14:textId="639F7F27">
      <w:pPr>
        <w:pStyle w:val="FootnoteText"/>
      </w:pPr>
      <w:r>
        <w:rPr>
          <w:rStyle w:val="FootnoteReference"/>
        </w:rPr>
        <w:footnoteRef/>
      </w:r>
      <w:r>
        <w:t xml:space="preserve"> </w:t>
      </w:r>
      <w:r w:rsidRPr="004C4DDE">
        <w:t>Vericker, T., Dixit-Joshi, S., Taylor, J., May, L., Baier, K., and Williams, E.S. (2021a). Impact of food insecurity nutrition incentives (FINI) on household fruit and vegetable expenditures.</w:t>
      </w:r>
      <w:r w:rsidRPr="004C4DDE">
        <w:br/>
      </w:r>
      <w:r w:rsidRPr="004C4DDE">
        <w:rPr>
          <w:i/>
          <w:iCs/>
        </w:rPr>
        <w:t xml:space="preserve">Journal of Nutrition Education and Behavior, </w:t>
      </w:r>
      <w:r w:rsidRPr="004C4DDE">
        <w:t>53(5), 418-427.</w:t>
      </w:r>
    </w:p>
  </w:footnote>
  <w:footnote w:id="8">
    <w:p w:rsidR="00666FA7" w:rsidRPr="004C4DDE" w:rsidP="004C4DDE" w14:paraId="20749D8C" w14:textId="6A2B19E1">
      <w:pPr>
        <w:pStyle w:val="FootnoteText"/>
      </w:pPr>
      <w:r>
        <w:rPr>
          <w:rStyle w:val="FootnoteReference"/>
        </w:rPr>
        <w:footnoteRef/>
      </w:r>
      <w:r>
        <w:t xml:space="preserve"> </w:t>
      </w:r>
      <w:r w:rsidRPr="004C4DDE">
        <w:t xml:space="preserve">Vericker, T., Dixit-Joshi, S., Giesen, L., Gearing, M., Manglitz, C., Baier, K., Lee, H., and May, L. (2021b). </w:t>
      </w:r>
      <w:r w:rsidRPr="004C4DDE">
        <w:rPr>
          <w:i/>
          <w:iCs/>
        </w:rPr>
        <w:t>Evaluation of the implementation of food insecurity nutrition incentives (FINI): Final report.</w:t>
      </w:r>
      <w:r w:rsidRPr="004C4DDE">
        <w:br/>
      </w:r>
      <w:hyperlink r:id="rId2" w:history="1">
        <w:r w:rsidRPr="004C4DDE">
          <w:rPr>
            <w:rStyle w:val="Hyperlink"/>
          </w:rPr>
          <w:t>https://fns-prod.azureedge.us/sites/default/files/resource-files/FINIReport.pdf</w:t>
        </w:r>
      </w:hyperlink>
      <w:r>
        <w:t>.</w:t>
      </w:r>
    </w:p>
    <w:p w:rsidR="00666FA7" w14:paraId="07152D9E" w14:textId="24D19D47">
      <w:pPr>
        <w:pStyle w:val="FootnoteText"/>
      </w:pPr>
    </w:p>
  </w:footnote>
  <w:footnote w:id="9">
    <w:p w:rsidR="002A50C6" w:rsidP="002A50C6" w14:paraId="10C955D0" w14:textId="77777777">
      <w:pPr>
        <w:pStyle w:val="FootnoteText"/>
      </w:pPr>
      <w:r>
        <w:rPr>
          <w:rStyle w:val="FootnoteReference"/>
        </w:rPr>
        <w:footnoteRef/>
      </w:r>
      <w:r>
        <w:t xml:space="preserve"> For eHIP projects that are nascent/ongoing, the study team will examine their growth over time of incentives issued up to the current period and estimate their project size at a point of maturity discussed with and agreed upon by the FNS COR.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3DBB" w14:paraId="4100836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3E62AB"/>
    <w:multiLevelType w:val="hybridMultilevel"/>
    <w:tmpl w:val="ED0C7CAE"/>
    <w:lvl w:ilvl="0">
      <w:start w:val="1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8425466"/>
    <w:multiLevelType w:val="hybridMultilevel"/>
    <w:tmpl w:val="0A5E0106"/>
    <w:lvl w:ilvl="0">
      <w:start w:val="0"/>
      <w:numFmt w:val="bullet"/>
      <w:lvlText w:val="•"/>
      <w:lvlJc w:val="left"/>
      <w:pPr>
        <w:ind w:left="720" w:hanging="360"/>
      </w:pPr>
      <w:rPr>
        <w:rFonts w:ascii="Calibri" w:eastAsia="Calibri" w:hAnsi="Calibri" w:cs="Calibri"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992FBA"/>
    <w:multiLevelType w:val="hybridMultilevel"/>
    <w:tmpl w:val="791A4554"/>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D47562B"/>
    <w:multiLevelType w:val="hybridMultilevel"/>
    <w:tmpl w:val="324015B8"/>
    <w:lvl w:ilvl="0">
      <w:start w:val="1"/>
      <w:numFmt w:val="decimal"/>
      <w:lvlText w:val="%1."/>
      <w:lvlJc w:val="left"/>
      <w:pPr>
        <w:ind w:left="720" w:hanging="360"/>
      </w:pPr>
      <w:rPr>
        <w:rFonts w:ascii="Calibri" w:hAnsi="Calibri" w:hint="default"/>
        <w:b w:val="0"/>
        <w:i w:val="0"/>
        <w:color w:val="B12732"/>
        <w:sz w:val="22"/>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D905D61"/>
    <w:multiLevelType w:val="hybridMultilevel"/>
    <w:tmpl w:val="0E343F2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20701E"/>
    <w:multiLevelType w:val="hybridMultilevel"/>
    <w:tmpl w:val="82DEE3CE"/>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FF6889"/>
    <w:multiLevelType w:val="singleLevel"/>
    <w:tmpl w:val="0C3EF25E"/>
    <w:lvl w:ilvl="0">
      <w:start w:val="1"/>
      <w:numFmt w:val="bullet"/>
      <w:pStyle w:val="BulletsRed-IPR"/>
      <w:lvlText w:val="}"/>
      <w:lvlJc w:val="left"/>
      <w:pPr>
        <w:ind w:left="720" w:hanging="360"/>
      </w:pPr>
      <w:rPr>
        <w:rFonts w:ascii="Wingdings 3" w:hAnsi="Wingdings 3" w:hint="default"/>
        <w:color w:val="C0504D"/>
      </w:rPr>
    </w:lvl>
  </w:abstractNum>
  <w:abstractNum w:abstractNumId="8">
    <w:nsid w:val="26956133"/>
    <w:multiLevelType w:val="multilevel"/>
    <w:tmpl w:val="B21A0ADE"/>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9">
    <w:nsid w:val="2B1A4894"/>
    <w:multiLevelType w:val="hybridMultilevel"/>
    <w:tmpl w:val="1E82A6B8"/>
    <w:lvl w:ilvl="0">
      <w:start w:val="1"/>
      <w:numFmt w:val="bullet"/>
      <w:lvlText w:val=""/>
      <w:lvlJc w:val="left"/>
      <w:pPr>
        <w:ind w:left="720" w:hanging="360"/>
      </w:pPr>
      <w:rPr>
        <w:rFonts w:ascii="Wingdings 2" w:hAnsi="Wingdings 2" w:hint="default"/>
        <w:b w:val="0"/>
        <w:i w:val="0"/>
        <w:color w:val="B12732"/>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544E06"/>
    <w:multiLevelType w:val="hybridMultilevel"/>
    <w:tmpl w:val="5A9A420E"/>
    <w:lvl w:ilvl="0">
      <w:start w:val="1"/>
      <w:numFmt w:val="bullet"/>
      <w:lvlText w:val=""/>
      <w:lvlJc w:val="left"/>
      <w:pPr>
        <w:ind w:left="720" w:hanging="360"/>
      </w:pPr>
      <w:rPr>
        <w:rFonts w:ascii="Symbol" w:hAnsi="Symbol" w:hint="default"/>
        <w:b w:val="0"/>
        <w:i w:val="0"/>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0CFFE5B"/>
    <w:multiLevelType w:val="hybridMultilevel"/>
    <w:tmpl w:val="3C68E00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70508D9"/>
    <w:multiLevelType w:val="hybridMultilevel"/>
    <w:tmpl w:val="B6DC8516"/>
    <w:lvl w:ilvl="0">
      <w:start w:val="1"/>
      <w:numFmt w:val="bullet"/>
      <w:pStyle w:val="TableRedBullets-IPR"/>
      <w:lvlText w:val="¡"/>
      <w:lvlJc w:val="left"/>
      <w:pPr>
        <w:ind w:left="720" w:hanging="360"/>
      </w:pPr>
      <w:rPr>
        <w:rFonts w:ascii="Wingdings 2" w:hAnsi="Wingdings 2" w:hint="default"/>
        <w:b w:val="0"/>
        <w:i w:val="0"/>
        <w:color w:val="003C79"/>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D616C18"/>
    <w:multiLevelType w:val="hybridMultilevel"/>
    <w:tmpl w:val="0674EAC2"/>
    <w:lvl w:ilvl="0">
      <w:start w:val="1"/>
      <w:numFmt w:val="decimal"/>
      <w:lvlText w:val="%1."/>
      <w:lvlJc w:val="left"/>
      <w:pPr>
        <w:ind w:left="360" w:hanging="360"/>
      </w:pPr>
      <w:rPr>
        <w:rFonts w:hint="default"/>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D6474F6"/>
    <w:multiLevelType w:val="hybridMultilevel"/>
    <w:tmpl w:val="88DC0B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58659D4"/>
    <w:multiLevelType w:val="hybridMultilevel"/>
    <w:tmpl w:val="791A4554"/>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50231588"/>
    <w:multiLevelType w:val="hybridMultilevel"/>
    <w:tmpl w:val="5100F29E"/>
    <w:lvl w:ilvl="0">
      <w:start w:val="1"/>
      <w:numFmt w:val="decimal"/>
      <w:lvlText w:val="%1."/>
      <w:lvlJc w:val="left"/>
      <w:pPr>
        <w:ind w:left="720" w:hanging="360"/>
      </w:pPr>
      <w:rPr>
        <w:rFonts w:ascii="Calibri" w:hAnsi="Calibri" w:hint="default"/>
        <w:b w:val="0"/>
        <w:i w:val="0"/>
        <w:color w:val="B12732"/>
        <w:sz w:val="22"/>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1381BA9"/>
    <w:multiLevelType w:val="hybridMultilevel"/>
    <w:tmpl w:val="9EF6B39E"/>
    <w:lvl w:ilvl="0">
      <w:start w:val="1"/>
      <w:numFmt w:val="bullet"/>
      <w:lvlText w:val=""/>
      <w:lvlJc w:val="left"/>
      <w:pPr>
        <w:ind w:left="720" w:hanging="360"/>
      </w:pPr>
      <w:rPr>
        <w:rFonts w:ascii="Wingdings 2" w:hAnsi="Wingdings 2" w:hint="default"/>
        <w:b w:val="0"/>
        <w:i w:val="0"/>
        <w:color w:val="B12732"/>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3CD37B6"/>
    <w:multiLevelType w:val="hybridMultilevel"/>
    <w:tmpl w:val="325A195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BE9484E"/>
    <w:multiLevelType w:val="hybridMultilevel"/>
    <w:tmpl w:val="A2E235FC"/>
    <w:lvl w:ilvl="0">
      <w:start w:val="1"/>
      <w:numFmt w:val="decimal"/>
      <w:lvlText w:val="%1."/>
      <w:lvlJc w:val="left"/>
      <w:pPr>
        <w:ind w:left="360" w:hanging="360"/>
      </w:pPr>
      <w:rPr>
        <w:color w:val="B1273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6038152F"/>
    <w:multiLevelType w:val="hybridMultilevel"/>
    <w:tmpl w:val="9D1A9D3C"/>
    <w:lvl w:ilvl="0">
      <w:start w:val="1"/>
      <w:numFmt w:val="decimal"/>
      <w:lvlText w:val="%1."/>
      <w:lvlJc w:val="left"/>
      <w:pPr>
        <w:ind w:left="36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0CD60CF"/>
    <w:multiLevelType w:val="hybridMultilevel"/>
    <w:tmpl w:val="2D64B8EA"/>
    <w:lvl w:ilvl="0">
      <w:start w:val="1"/>
      <w:numFmt w:val="decimal"/>
      <w:lvlText w:val="%1."/>
      <w:lvlJc w:val="left"/>
      <w:pPr>
        <w:ind w:left="720" w:hanging="360"/>
      </w:pPr>
      <w:rPr>
        <w:rFonts w:ascii="Calibri" w:hAnsi="Calibri" w:hint="default"/>
        <w:b w:val="0"/>
        <w:i w:val="0"/>
        <w:color w:val="003C79"/>
        <w:sz w:val="22"/>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1C16921"/>
    <w:multiLevelType w:val="hybridMultilevel"/>
    <w:tmpl w:val="C568DFA6"/>
    <w:lvl w:ilvl="0">
      <w:start w:val="1"/>
      <w:numFmt w:val="decimal"/>
      <w:lvlText w:val="%1."/>
      <w:lvlJc w:val="left"/>
      <w:pPr>
        <w:ind w:left="36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7921EB7"/>
    <w:multiLevelType w:val="hybridMultilevel"/>
    <w:tmpl w:val="B71650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79A4D49"/>
    <w:multiLevelType w:val="multilevel"/>
    <w:tmpl w:val="B21A0ADE"/>
    <w:numStyleLink w:val="TableRedBulletsList-IPR"/>
  </w:abstractNum>
  <w:abstractNum w:abstractNumId="25">
    <w:nsid w:val="69AD5941"/>
    <w:multiLevelType w:val="hybridMultilevel"/>
    <w:tmpl w:val="6464E0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CB8167E"/>
    <w:multiLevelType w:val="hybridMultilevel"/>
    <w:tmpl w:val="08B2172E"/>
    <w:lvl w:ilvl="0">
      <w:start w:val="1"/>
      <w:numFmt w:val="bullet"/>
      <w:lvlText w:val=""/>
      <w:lvlJc w:val="left"/>
      <w:pPr>
        <w:ind w:left="720" w:hanging="360"/>
      </w:pPr>
      <w:rPr>
        <w:rFonts w:ascii="Symbol" w:hAnsi="Symbol" w:hint="default"/>
        <w:b w:val="0"/>
        <w:i w:val="0"/>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D1C606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72D41265"/>
    <w:multiLevelType w:val="multilevel"/>
    <w:tmpl w:val="76FABE98"/>
    <w:lvl w:ilvl="0">
      <w:start w:val="1"/>
      <w:numFmt w:val="decimal"/>
      <w:lvlText w:val="%1."/>
      <w:lvlJc w:val="left"/>
      <w:pPr>
        <w:ind w:left="3600" w:hanging="360"/>
      </w:pPr>
      <w:rPr>
        <w:rFonts w:ascii="Calibri" w:hAnsi="Calibri" w:hint="default"/>
        <w:b w:val="0"/>
        <w:i w:val="0"/>
        <w:color w:val="385623" w:themeColor="accent6" w:themeShade="80"/>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9">
    <w:nsid w:val="7FCD3DBA"/>
    <w:multiLevelType w:val="hybridMultilevel"/>
    <w:tmpl w:val="29A05E4C"/>
    <w:lvl w:ilvl="0">
      <w:start w:val="1"/>
      <w:numFmt w:val="bullet"/>
      <w:pStyle w:val="TextboxBullets"/>
      <w:lvlText w:val=""/>
      <w:lvlJc w:val="left"/>
      <w:pPr>
        <w:ind w:left="720" w:hanging="360"/>
      </w:pPr>
      <w:rPr>
        <w:rFonts w:ascii="Wingdings 2" w:hAnsi="Wingdings 2" w:hint="default"/>
        <w:b w:val="0"/>
        <w:i w:val="0"/>
        <w:color w:val="B12732"/>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68544728">
    <w:abstractNumId w:val="11"/>
  </w:num>
  <w:num w:numId="2" w16cid:durableId="1534466694">
    <w:abstractNumId w:val="8"/>
  </w:num>
  <w:num w:numId="3" w16cid:durableId="250159551">
    <w:abstractNumId w:val="19"/>
  </w:num>
  <w:num w:numId="4" w16cid:durableId="833643025">
    <w:abstractNumId w:val="5"/>
  </w:num>
  <w:num w:numId="5" w16cid:durableId="451703798">
    <w:abstractNumId w:val="2"/>
  </w:num>
  <w:num w:numId="6" w16cid:durableId="963002787">
    <w:abstractNumId w:val="13"/>
  </w:num>
  <w:num w:numId="7" w16cid:durableId="1613708445">
    <w:abstractNumId w:val="20"/>
  </w:num>
  <w:num w:numId="8" w16cid:durableId="1795711783">
    <w:abstractNumId w:val="22"/>
  </w:num>
  <w:num w:numId="9" w16cid:durableId="831405849">
    <w:abstractNumId w:val="15"/>
  </w:num>
  <w:num w:numId="10" w16cid:durableId="232398322">
    <w:abstractNumId w:val="23"/>
  </w:num>
  <w:num w:numId="11" w16cid:durableId="1887374326">
    <w:abstractNumId w:val="17"/>
  </w:num>
  <w:num w:numId="12" w16cid:durableId="946161783">
    <w:abstractNumId w:val="24"/>
    <w:lvlOverride w:ilvl="0">
      <w:lvl w:ilvl="0">
        <w:start w:val="1"/>
        <w:numFmt w:val="bullet"/>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13" w16cid:durableId="1924799276">
    <w:abstractNumId w:val="29"/>
  </w:num>
  <w:num w:numId="14" w16cid:durableId="128479130">
    <w:abstractNumId w:val="9"/>
  </w:num>
  <w:num w:numId="15" w16cid:durableId="319579762">
    <w:abstractNumId w:val="28"/>
  </w:num>
  <w:num w:numId="16" w16cid:durableId="1218130761">
    <w:abstractNumId w:val="7"/>
  </w:num>
  <w:num w:numId="17" w16cid:durableId="959923137">
    <w:abstractNumId w:val="7"/>
  </w:num>
  <w:num w:numId="18" w16cid:durableId="1402753601">
    <w:abstractNumId w:val="0"/>
  </w:num>
  <w:num w:numId="19" w16cid:durableId="672681712">
    <w:abstractNumId w:val="27"/>
  </w:num>
  <w:num w:numId="20" w16cid:durableId="907770309">
    <w:abstractNumId w:val="21"/>
  </w:num>
  <w:num w:numId="21" w16cid:durableId="570775420">
    <w:abstractNumId w:val="3"/>
  </w:num>
  <w:num w:numId="22" w16cid:durableId="1130561934">
    <w:abstractNumId w:val="12"/>
  </w:num>
  <w:num w:numId="23" w16cid:durableId="1352342099">
    <w:abstractNumId w:val="16"/>
  </w:num>
  <w:num w:numId="24" w16cid:durableId="469370994">
    <w:abstractNumId w:val="26"/>
  </w:num>
  <w:num w:numId="25" w16cid:durableId="538082211">
    <w:abstractNumId w:val="1"/>
  </w:num>
  <w:num w:numId="26" w16cid:durableId="510032148">
    <w:abstractNumId w:val="10"/>
  </w:num>
  <w:num w:numId="27" w16cid:durableId="2024670619">
    <w:abstractNumId w:val="6"/>
  </w:num>
  <w:num w:numId="28" w16cid:durableId="172955774">
    <w:abstractNumId w:val="25"/>
  </w:num>
  <w:num w:numId="29" w16cid:durableId="77529504">
    <w:abstractNumId w:val="14"/>
  </w:num>
  <w:num w:numId="30" w16cid:durableId="1152597579">
    <w:abstractNumId w:val="4"/>
  </w:num>
  <w:num w:numId="31" w16cid:durableId="511070314">
    <w:abstractNumId w:val="18"/>
  </w:num>
  <w:num w:numId="32" w16cid:durableId="2014601426">
    <w:abstractNumId w:val="12"/>
  </w:num>
  <w:num w:numId="33" w16cid:durableId="14988832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D9B694"/>
    <w:rsid w:val="00000ABC"/>
    <w:rsid w:val="00001BA6"/>
    <w:rsid w:val="00002419"/>
    <w:rsid w:val="00002EB3"/>
    <w:rsid w:val="00002EE8"/>
    <w:rsid w:val="00002F1D"/>
    <w:rsid w:val="00004562"/>
    <w:rsid w:val="00004CD1"/>
    <w:rsid w:val="00010E13"/>
    <w:rsid w:val="00013699"/>
    <w:rsid w:val="00014999"/>
    <w:rsid w:val="00015775"/>
    <w:rsid w:val="000164E6"/>
    <w:rsid w:val="00016DDB"/>
    <w:rsid w:val="00017187"/>
    <w:rsid w:val="000202A4"/>
    <w:rsid w:val="00020FC8"/>
    <w:rsid w:val="000238F4"/>
    <w:rsid w:val="0002724E"/>
    <w:rsid w:val="00027756"/>
    <w:rsid w:val="0002795B"/>
    <w:rsid w:val="0003064C"/>
    <w:rsid w:val="00033679"/>
    <w:rsid w:val="00034089"/>
    <w:rsid w:val="000353CA"/>
    <w:rsid w:val="0003577E"/>
    <w:rsid w:val="000363C7"/>
    <w:rsid w:val="000366E9"/>
    <w:rsid w:val="00036BBD"/>
    <w:rsid w:val="00037EA7"/>
    <w:rsid w:val="000402C8"/>
    <w:rsid w:val="00041B08"/>
    <w:rsid w:val="00045721"/>
    <w:rsid w:val="000474AE"/>
    <w:rsid w:val="000522F6"/>
    <w:rsid w:val="00053417"/>
    <w:rsid w:val="000535E6"/>
    <w:rsid w:val="00053D7B"/>
    <w:rsid w:val="00057B61"/>
    <w:rsid w:val="00060A03"/>
    <w:rsid w:val="00060D5D"/>
    <w:rsid w:val="00061A3E"/>
    <w:rsid w:val="00061E18"/>
    <w:rsid w:val="00061F34"/>
    <w:rsid w:val="00063A66"/>
    <w:rsid w:val="00065052"/>
    <w:rsid w:val="00065264"/>
    <w:rsid w:val="0006537E"/>
    <w:rsid w:val="00066102"/>
    <w:rsid w:val="00066303"/>
    <w:rsid w:val="00066759"/>
    <w:rsid w:val="000668C0"/>
    <w:rsid w:val="00073E00"/>
    <w:rsid w:val="00074639"/>
    <w:rsid w:val="00081BB5"/>
    <w:rsid w:val="0008254E"/>
    <w:rsid w:val="0008579A"/>
    <w:rsid w:val="00085A48"/>
    <w:rsid w:val="00086569"/>
    <w:rsid w:val="0008664F"/>
    <w:rsid w:val="0009181B"/>
    <w:rsid w:val="00091C72"/>
    <w:rsid w:val="00093128"/>
    <w:rsid w:val="00093307"/>
    <w:rsid w:val="000948CA"/>
    <w:rsid w:val="00095073"/>
    <w:rsid w:val="0009540E"/>
    <w:rsid w:val="00097055"/>
    <w:rsid w:val="000A03C7"/>
    <w:rsid w:val="000A383D"/>
    <w:rsid w:val="000A4DC3"/>
    <w:rsid w:val="000A4E3C"/>
    <w:rsid w:val="000A52E8"/>
    <w:rsid w:val="000A5E51"/>
    <w:rsid w:val="000A6E64"/>
    <w:rsid w:val="000A6F89"/>
    <w:rsid w:val="000A725E"/>
    <w:rsid w:val="000B005E"/>
    <w:rsid w:val="000B049B"/>
    <w:rsid w:val="000B136B"/>
    <w:rsid w:val="000B1DBE"/>
    <w:rsid w:val="000B4F78"/>
    <w:rsid w:val="000B6A34"/>
    <w:rsid w:val="000B6AAC"/>
    <w:rsid w:val="000C107A"/>
    <w:rsid w:val="000C1351"/>
    <w:rsid w:val="000C1A09"/>
    <w:rsid w:val="000C2AA9"/>
    <w:rsid w:val="000C5919"/>
    <w:rsid w:val="000C76D0"/>
    <w:rsid w:val="000D19D2"/>
    <w:rsid w:val="000D20AF"/>
    <w:rsid w:val="000D5772"/>
    <w:rsid w:val="000D70C3"/>
    <w:rsid w:val="000D7507"/>
    <w:rsid w:val="000D7580"/>
    <w:rsid w:val="000E1024"/>
    <w:rsid w:val="000E2A66"/>
    <w:rsid w:val="000E3A04"/>
    <w:rsid w:val="000E51E8"/>
    <w:rsid w:val="000E59FB"/>
    <w:rsid w:val="000E6C8E"/>
    <w:rsid w:val="000F1BBB"/>
    <w:rsid w:val="000F258F"/>
    <w:rsid w:val="000F4FEA"/>
    <w:rsid w:val="000F5E35"/>
    <w:rsid w:val="001027A5"/>
    <w:rsid w:val="00102F18"/>
    <w:rsid w:val="00104C26"/>
    <w:rsid w:val="001060E5"/>
    <w:rsid w:val="001071B6"/>
    <w:rsid w:val="00107BB2"/>
    <w:rsid w:val="00111EFF"/>
    <w:rsid w:val="00112759"/>
    <w:rsid w:val="0011275E"/>
    <w:rsid w:val="001144EB"/>
    <w:rsid w:val="00116E02"/>
    <w:rsid w:val="00116E62"/>
    <w:rsid w:val="00116FD4"/>
    <w:rsid w:val="00120465"/>
    <w:rsid w:val="00120A90"/>
    <w:rsid w:val="00120A9F"/>
    <w:rsid w:val="00120BAB"/>
    <w:rsid w:val="00123E98"/>
    <w:rsid w:val="00126469"/>
    <w:rsid w:val="00127554"/>
    <w:rsid w:val="0013131D"/>
    <w:rsid w:val="00133A59"/>
    <w:rsid w:val="001352AE"/>
    <w:rsid w:val="0013731A"/>
    <w:rsid w:val="00142C46"/>
    <w:rsid w:val="00142E18"/>
    <w:rsid w:val="00142E55"/>
    <w:rsid w:val="00146452"/>
    <w:rsid w:val="001500F9"/>
    <w:rsid w:val="0015046C"/>
    <w:rsid w:val="00151854"/>
    <w:rsid w:val="001542A0"/>
    <w:rsid w:val="0015671C"/>
    <w:rsid w:val="001575C4"/>
    <w:rsid w:val="0016060C"/>
    <w:rsid w:val="00160C33"/>
    <w:rsid w:val="0016178D"/>
    <w:rsid w:val="00163160"/>
    <w:rsid w:val="00163533"/>
    <w:rsid w:val="001640F9"/>
    <w:rsid w:val="0016440D"/>
    <w:rsid w:val="00165206"/>
    <w:rsid w:val="00165C45"/>
    <w:rsid w:val="00166332"/>
    <w:rsid w:val="00166872"/>
    <w:rsid w:val="0016740D"/>
    <w:rsid w:val="00170E24"/>
    <w:rsid w:val="00170FB2"/>
    <w:rsid w:val="00172B8D"/>
    <w:rsid w:val="00172DCD"/>
    <w:rsid w:val="0017332A"/>
    <w:rsid w:val="00176E94"/>
    <w:rsid w:val="00180424"/>
    <w:rsid w:val="00185522"/>
    <w:rsid w:val="00185892"/>
    <w:rsid w:val="001870D8"/>
    <w:rsid w:val="0018787D"/>
    <w:rsid w:val="00192454"/>
    <w:rsid w:val="001925AE"/>
    <w:rsid w:val="001937BE"/>
    <w:rsid w:val="00194C2C"/>
    <w:rsid w:val="00195435"/>
    <w:rsid w:val="001A10B7"/>
    <w:rsid w:val="001A4EF7"/>
    <w:rsid w:val="001A5CD8"/>
    <w:rsid w:val="001A5D46"/>
    <w:rsid w:val="001A5D67"/>
    <w:rsid w:val="001A7435"/>
    <w:rsid w:val="001A76C3"/>
    <w:rsid w:val="001A7F43"/>
    <w:rsid w:val="001B178F"/>
    <w:rsid w:val="001B1CD0"/>
    <w:rsid w:val="001B2440"/>
    <w:rsid w:val="001B31DC"/>
    <w:rsid w:val="001B458F"/>
    <w:rsid w:val="001B4FD3"/>
    <w:rsid w:val="001B64AE"/>
    <w:rsid w:val="001B6BF8"/>
    <w:rsid w:val="001B6D64"/>
    <w:rsid w:val="001B6EF9"/>
    <w:rsid w:val="001B717B"/>
    <w:rsid w:val="001C0842"/>
    <w:rsid w:val="001C1406"/>
    <w:rsid w:val="001C3055"/>
    <w:rsid w:val="001C6741"/>
    <w:rsid w:val="001D0588"/>
    <w:rsid w:val="001D1111"/>
    <w:rsid w:val="001D16F5"/>
    <w:rsid w:val="001D2867"/>
    <w:rsid w:val="001D2B0C"/>
    <w:rsid w:val="001D4AAD"/>
    <w:rsid w:val="001D61B9"/>
    <w:rsid w:val="001D7B30"/>
    <w:rsid w:val="001E05D3"/>
    <w:rsid w:val="001E2650"/>
    <w:rsid w:val="001E29BD"/>
    <w:rsid w:val="001E511B"/>
    <w:rsid w:val="001E5BB8"/>
    <w:rsid w:val="001E5D08"/>
    <w:rsid w:val="001F0F68"/>
    <w:rsid w:val="001F0FF3"/>
    <w:rsid w:val="001F5A81"/>
    <w:rsid w:val="001F649A"/>
    <w:rsid w:val="001F6597"/>
    <w:rsid w:val="001F7633"/>
    <w:rsid w:val="0020008B"/>
    <w:rsid w:val="002040EA"/>
    <w:rsid w:val="002050B2"/>
    <w:rsid w:val="00205CA4"/>
    <w:rsid w:val="00206646"/>
    <w:rsid w:val="00206BF4"/>
    <w:rsid w:val="002071D5"/>
    <w:rsid w:val="00213438"/>
    <w:rsid w:val="00213A59"/>
    <w:rsid w:val="00213C89"/>
    <w:rsid w:val="0021559D"/>
    <w:rsid w:val="00217A74"/>
    <w:rsid w:val="00221684"/>
    <w:rsid w:val="00222B73"/>
    <w:rsid w:val="002250D3"/>
    <w:rsid w:val="00225B28"/>
    <w:rsid w:val="00230618"/>
    <w:rsid w:val="002323B1"/>
    <w:rsid w:val="00232AAE"/>
    <w:rsid w:val="00234B41"/>
    <w:rsid w:val="00235DCF"/>
    <w:rsid w:val="00236048"/>
    <w:rsid w:val="002369FD"/>
    <w:rsid w:val="002414F5"/>
    <w:rsid w:val="00242301"/>
    <w:rsid w:val="00242D3E"/>
    <w:rsid w:val="00243C2C"/>
    <w:rsid w:val="002477E6"/>
    <w:rsid w:val="00247CE5"/>
    <w:rsid w:val="00251DB2"/>
    <w:rsid w:val="00252E5E"/>
    <w:rsid w:val="00252FFD"/>
    <w:rsid w:val="00253F78"/>
    <w:rsid w:val="00254128"/>
    <w:rsid w:val="00256913"/>
    <w:rsid w:val="00257FFC"/>
    <w:rsid w:val="00263F38"/>
    <w:rsid w:val="00265241"/>
    <w:rsid w:val="0026538B"/>
    <w:rsid w:val="002669CD"/>
    <w:rsid w:val="00267BFC"/>
    <w:rsid w:val="002734C1"/>
    <w:rsid w:val="002738FD"/>
    <w:rsid w:val="002741F3"/>
    <w:rsid w:val="00275C62"/>
    <w:rsid w:val="002777B5"/>
    <w:rsid w:val="00281BB1"/>
    <w:rsid w:val="00283CC5"/>
    <w:rsid w:val="0028541B"/>
    <w:rsid w:val="00285A6C"/>
    <w:rsid w:val="002862D1"/>
    <w:rsid w:val="0028660B"/>
    <w:rsid w:val="002873BB"/>
    <w:rsid w:val="002900C8"/>
    <w:rsid w:val="00290541"/>
    <w:rsid w:val="002913F6"/>
    <w:rsid w:val="00292C0A"/>
    <w:rsid w:val="0029314A"/>
    <w:rsid w:val="002938C0"/>
    <w:rsid w:val="00294F72"/>
    <w:rsid w:val="00295FA5"/>
    <w:rsid w:val="00295FBB"/>
    <w:rsid w:val="00295FBE"/>
    <w:rsid w:val="00297EE9"/>
    <w:rsid w:val="002A05A9"/>
    <w:rsid w:val="002A33F3"/>
    <w:rsid w:val="002A3C86"/>
    <w:rsid w:val="002A4238"/>
    <w:rsid w:val="002A50C6"/>
    <w:rsid w:val="002A5CCC"/>
    <w:rsid w:val="002A5D14"/>
    <w:rsid w:val="002A6087"/>
    <w:rsid w:val="002A674F"/>
    <w:rsid w:val="002A6E22"/>
    <w:rsid w:val="002B25FE"/>
    <w:rsid w:val="002B30BC"/>
    <w:rsid w:val="002B30D6"/>
    <w:rsid w:val="002B3C5E"/>
    <w:rsid w:val="002B453A"/>
    <w:rsid w:val="002B5303"/>
    <w:rsid w:val="002B64BA"/>
    <w:rsid w:val="002B7650"/>
    <w:rsid w:val="002B7ED0"/>
    <w:rsid w:val="002C0446"/>
    <w:rsid w:val="002C15AA"/>
    <w:rsid w:val="002C170C"/>
    <w:rsid w:val="002C219E"/>
    <w:rsid w:val="002C280D"/>
    <w:rsid w:val="002C2A42"/>
    <w:rsid w:val="002C2A83"/>
    <w:rsid w:val="002C2B68"/>
    <w:rsid w:val="002C35B3"/>
    <w:rsid w:val="002C5A5D"/>
    <w:rsid w:val="002D0C75"/>
    <w:rsid w:val="002D2534"/>
    <w:rsid w:val="002D35CC"/>
    <w:rsid w:val="002D4363"/>
    <w:rsid w:val="002D47D1"/>
    <w:rsid w:val="002D561B"/>
    <w:rsid w:val="002E0B26"/>
    <w:rsid w:val="002E23EA"/>
    <w:rsid w:val="002E2A68"/>
    <w:rsid w:val="002E672D"/>
    <w:rsid w:val="002E77FC"/>
    <w:rsid w:val="002F01BA"/>
    <w:rsid w:val="002F05DE"/>
    <w:rsid w:val="002F18F7"/>
    <w:rsid w:val="002F2390"/>
    <w:rsid w:val="002F25A8"/>
    <w:rsid w:val="002F4238"/>
    <w:rsid w:val="002F5A8F"/>
    <w:rsid w:val="002F7CDF"/>
    <w:rsid w:val="00300597"/>
    <w:rsid w:val="00301008"/>
    <w:rsid w:val="003022D3"/>
    <w:rsid w:val="00303EB5"/>
    <w:rsid w:val="00303FFA"/>
    <w:rsid w:val="00304385"/>
    <w:rsid w:val="00306763"/>
    <w:rsid w:val="00307FC3"/>
    <w:rsid w:val="0031101D"/>
    <w:rsid w:val="003122C7"/>
    <w:rsid w:val="003126CF"/>
    <w:rsid w:val="0031369B"/>
    <w:rsid w:val="00313930"/>
    <w:rsid w:val="00313BD0"/>
    <w:rsid w:val="00315952"/>
    <w:rsid w:val="003176A5"/>
    <w:rsid w:val="003178F7"/>
    <w:rsid w:val="003179FD"/>
    <w:rsid w:val="003210F7"/>
    <w:rsid w:val="00321E42"/>
    <w:rsid w:val="00322B5D"/>
    <w:rsid w:val="00322E8A"/>
    <w:rsid w:val="003250D5"/>
    <w:rsid w:val="00325987"/>
    <w:rsid w:val="003268C2"/>
    <w:rsid w:val="0032746D"/>
    <w:rsid w:val="0033009B"/>
    <w:rsid w:val="00334726"/>
    <w:rsid w:val="00334B9B"/>
    <w:rsid w:val="00335781"/>
    <w:rsid w:val="00335AA0"/>
    <w:rsid w:val="00336DAC"/>
    <w:rsid w:val="003408D0"/>
    <w:rsid w:val="00340FED"/>
    <w:rsid w:val="003425CC"/>
    <w:rsid w:val="003443C4"/>
    <w:rsid w:val="00344776"/>
    <w:rsid w:val="00345EB2"/>
    <w:rsid w:val="00345FF0"/>
    <w:rsid w:val="0034789D"/>
    <w:rsid w:val="00350BBA"/>
    <w:rsid w:val="00354034"/>
    <w:rsid w:val="003558BB"/>
    <w:rsid w:val="00356BCF"/>
    <w:rsid w:val="00357DFA"/>
    <w:rsid w:val="00360438"/>
    <w:rsid w:val="00361198"/>
    <w:rsid w:val="00361727"/>
    <w:rsid w:val="00364478"/>
    <w:rsid w:val="00364909"/>
    <w:rsid w:val="00365533"/>
    <w:rsid w:val="00370A50"/>
    <w:rsid w:val="0037119E"/>
    <w:rsid w:val="003718D2"/>
    <w:rsid w:val="003758E7"/>
    <w:rsid w:val="00375EB9"/>
    <w:rsid w:val="00377C31"/>
    <w:rsid w:val="00380247"/>
    <w:rsid w:val="0038162B"/>
    <w:rsid w:val="00381AB5"/>
    <w:rsid w:val="00383354"/>
    <w:rsid w:val="00384136"/>
    <w:rsid w:val="003841B3"/>
    <w:rsid w:val="003844FA"/>
    <w:rsid w:val="00384971"/>
    <w:rsid w:val="00386870"/>
    <w:rsid w:val="00390C29"/>
    <w:rsid w:val="00391548"/>
    <w:rsid w:val="003927FB"/>
    <w:rsid w:val="00392CE4"/>
    <w:rsid w:val="00393780"/>
    <w:rsid w:val="00393969"/>
    <w:rsid w:val="003939EA"/>
    <w:rsid w:val="003942CE"/>
    <w:rsid w:val="0039490C"/>
    <w:rsid w:val="00394CBC"/>
    <w:rsid w:val="00395343"/>
    <w:rsid w:val="0039579B"/>
    <w:rsid w:val="00397E53"/>
    <w:rsid w:val="003A308F"/>
    <w:rsid w:val="003A44C9"/>
    <w:rsid w:val="003A4D9D"/>
    <w:rsid w:val="003A4E10"/>
    <w:rsid w:val="003A4E3B"/>
    <w:rsid w:val="003A71A7"/>
    <w:rsid w:val="003B2A45"/>
    <w:rsid w:val="003B2D5B"/>
    <w:rsid w:val="003B2F37"/>
    <w:rsid w:val="003B436D"/>
    <w:rsid w:val="003B6944"/>
    <w:rsid w:val="003B69C9"/>
    <w:rsid w:val="003C17BE"/>
    <w:rsid w:val="003C3C77"/>
    <w:rsid w:val="003C5E61"/>
    <w:rsid w:val="003D2E07"/>
    <w:rsid w:val="003D3563"/>
    <w:rsid w:val="003D4296"/>
    <w:rsid w:val="003D675A"/>
    <w:rsid w:val="003D70CE"/>
    <w:rsid w:val="003D7892"/>
    <w:rsid w:val="003D78E9"/>
    <w:rsid w:val="003D7F6B"/>
    <w:rsid w:val="003E02E0"/>
    <w:rsid w:val="003E0E40"/>
    <w:rsid w:val="003E12F4"/>
    <w:rsid w:val="003E13A1"/>
    <w:rsid w:val="003E1B48"/>
    <w:rsid w:val="003E262F"/>
    <w:rsid w:val="003E2B01"/>
    <w:rsid w:val="003E45CD"/>
    <w:rsid w:val="003E5E17"/>
    <w:rsid w:val="003E6691"/>
    <w:rsid w:val="003E70BF"/>
    <w:rsid w:val="003F0435"/>
    <w:rsid w:val="003F0B0E"/>
    <w:rsid w:val="003F492F"/>
    <w:rsid w:val="003F7817"/>
    <w:rsid w:val="00401DE3"/>
    <w:rsid w:val="0040334B"/>
    <w:rsid w:val="0040355E"/>
    <w:rsid w:val="00403DA5"/>
    <w:rsid w:val="0040473F"/>
    <w:rsid w:val="004054F0"/>
    <w:rsid w:val="0040735F"/>
    <w:rsid w:val="00410B12"/>
    <w:rsid w:val="004113D5"/>
    <w:rsid w:val="004118E3"/>
    <w:rsid w:val="004133B2"/>
    <w:rsid w:val="004134B6"/>
    <w:rsid w:val="004138D4"/>
    <w:rsid w:val="00416AA6"/>
    <w:rsid w:val="00420496"/>
    <w:rsid w:val="00421936"/>
    <w:rsid w:val="00422BF9"/>
    <w:rsid w:val="00426A00"/>
    <w:rsid w:val="00426F05"/>
    <w:rsid w:val="004308DF"/>
    <w:rsid w:val="0043258A"/>
    <w:rsid w:val="00432DC8"/>
    <w:rsid w:val="004333B8"/>
    <w:rsid w:val="0043475C"/>
    <w:rsid w:val="00435DB9"/>
    <w:rsid w:val="004364B6"/>
    <w:rsid w:val="00436A5A"/>
    <w:rsid w:val="00436C2A"/>
    <w:rsid w:val="00441967"/>
    <w:rsid w:val="00442F13"/>
    <w:rsid w:val="00442FBF"/>
    <w:rsid w:val="004432D5"/>
    <w:rsid w:val="004445B2"/>
    <w:rsid w:val="004455E0"/>
    <w:rsid w:val="00445F41"/>
    <w:rsid w:val="004462FA"/>
    <w:rsid w:val="00447AE1"/>
    <w:rsid w:val="00447E25"/>
    <w:rsid w:val="00451DB1"/>
    <w:rsid w:val="00453D2F"/>
    <w:rsid w:val="00455118"/>
    <w:rsid w:val="00456359"/>
    <w:rsid w:val="004566D9"/>
    <w:rsid w:val="00456D3E"/>
    <w:rsid w:val="00457A70"/>
    <w:rsid w:val="00460E04"/>
    <w:rsid w:val="004620A0"/>
    <w:rsid w:val="00462917"/>
    <w:rsid w:val="004634F1"/>
    <w:rsid w:val="0046574B"/>
    <w:rsid w:val="0046577F"/>
    <w:rsid w:val="00465A47"/>
    <w:rsid w:val="00465FB1"/>
    <w:rsid w:val="0046664A"/>
    <w:rsid w:val="00466BE0"/>
    <w:rsid w:val="0047050C"/>
    <w:rsid w:val="004715D6"/>
    <w:rsid w:val="0047201A"/>
    <w:rsid w:val="00472230"/>
    <w:rsid w:val="00472F20"/>
    <w:rsid w:val="004733C5"/>
    <w:rsid w:val="004756FD"/>
    <w:rsid w:val="0047771B"/>
    <w:rsid w:val="00477D95"/>
    <w:rsid w:val="00480528"/>
    <w:rsid w:val="00480535"/>
    <w:rsid w:val="004822FC"/>
    <w:rsid w:val="00482B9C"/>
    <w:rsid w:val="00484053"/>
    <w:rsid w:val="004854BC"/>
    <w:rsid w:val="00486783"/>
    <w:rsid w:val="004900B7"/>
    <w:rsid w:val="00492062"/>
    <w:rsid w:val="00496B4D"/>
    <w:rsid w:val="00497112"/>
    <w:rsid w:val="004A0880"/>
    <w:rsid w:val="004A1447"/>
    <w:rsid w:val="004B0054"/>
    <w:rsid w:val="004B0534"/>
    <w:rsid w:val="004B0D01"/>
    <w:rsid w:val="004B32BF"/>
    <w:rsid w:val="004B3894"/>
    <w:rsid w:val="004B4360"/>
    <w:rsid w:val="004B4502"/>
    <w:rsid w:val="004B450B"/>
    <w:rsid w:val="004B5933"/>
    <w:rsid w:val="004B5AFF"/>
    <w:rsid w:val="004B63C7"/>
    <w:rsid w:val="004B649D"/>
    <w:rsid w:val="004B7A8B"/>
    <w:rsid w:val="004C001C"/>
    <w:rsid w:val="004C00C2"/>
    <w:rsid w:val="004C12B3"/>
    <w:rsid w:val="004C12F6"/>
    <w:rsid w:val="004C387B"/>
    <w:rsid w:val="004C4DDE"/>
    <w:rsid w:val="004C5640"/>
    <w:rsid w:val="004C5D44"/>
    <w:rsid w:val="004C5DA4"/>
    <w:rsid w:val="004C6823"/>
    <w:rsid w:val="004C70D3"/>
    <w:rsid w:val="004C7F7D"/>
    <w:rsid w:val="004D1B46"/>
    <w:rsid w:val="004D6EEB"/>
    <w:rsid w:val="004E0903"/>
    <w:rsid w:val="004E0CDE"/>
    <w:rsid w:val="004E186D"/>
    <w:rsid w:val="004E305C"/>
    <w:rsid w:val="004E4D6C"/>
    <w:rsid w:val="004E4EEE"/>
    <w:rsid w:val="004E6705"/>
    <w:rsid w:val="004F0701"/>
    <w:rsid w:val="004F1BA5"/>
    <w:rsid w:val="004F2F47"/>
    <w:rsid w:val="004F3565"/>
    <w:rsid w:val="004F424A"/>
    <w:rsid w:val="004F4968"/>
    <w:rsid w:val="004F4FBC"/>
    <w:rsid w:val="004F6C8D"/>
    <w:rsid w:val="004F7338"/>
    <w:rsid w:val="004F7E89"/>
    <w:rsid w:val="0050092A"/>
    <w:rsid w:val="005016C9"/>
    <w:rsid w:val="00501CD0"/>
    <w:rsid w:val="0050373D"/>
    <w:rsid w:val="00503F46"/>
    <w:rsid w:val="005046F7"/>
    <w:rsid w:val="00504DB0"/>
    <w:rsid w:val="00505446"/>
    <w:rsid w:val="00505955"/>
    <w:rsid w:val="00511179"/>
    <w:rsid w:val="005119EE"/>
    <w:rsid w:val="00514613"/>
    <w:rsid w:val="00514875"/>
    <w:rsid w:val="00515F5D"/>
    <w:rsid w:val="00517EAC"/>
    <w:rsid w:val="00520D07"/>
    <w:rsid w:val="00522389"/>
    <w:rsid w:val="00523178"/>
    <w:rsid w:val="00523518"/>
    <w:rsid w:val="00523BE2"/>
    <w:rsid w:val="00523DD2"/>
    <w:rsid w:val="0052462F"/>
    <w:rsid w:val="005246EA"/>
    <w:rsid w:val="0052477A"/>
    <w:rsid w:val="005265CD"/>
    <w:rsid w:val="00526FE7"/>
    <w:rsid w:val="00530268"/>
    <w:rsid w:val="00531E69"/>
    <w:rsid w:val="00531FD2"/>
    <w:rsid w:val="0053238D"/>
    <w:rsid w:val="0053288C"/>
    <w:rsid w:val="00533AC5"/>
    <w:rsid w:val="0053519D"/>
    <w:rsid w:val="005351F6"/>
    <w:rsid w:val="00535A2D"/>
    <w:rsid w:val="00535A5C"/>
    <w:rsid w:val="005365F4"/>
    <w:rsid w:val="00536753"/>
    <w:rsid w:val="00536852"/>
    <w:rsid w:val="00536BE2"/>
    <w:rsid w:val="0053771D"/>
    <w:rsid w:val="00540060"/>
    <w:rsid w:val="0054158C"/>
    <w:rsid w:val="00541B4E"/>
    <w:rsid w:val="00542DF5"/>
    <w:rsid w:val="00542FBD"/>
    <w:rsid w:val="0054306A"/>
    <w:rsid w:val="0054467A"/>
    <w:rsid w:val="00545AA8"/>
    <w:rsid w:val="0054768A"/>
    <w:rsid w:val="00550E88"/>
    <w:rsid w:val="00552935"/>
    <w:rsid w:val="00553430"/>
    <w:rsid w:val="0055353F"/>
    <w:rsid w:val="0055403A"/>
    <w:rsid w:val="00555389"/>
    <w:rsid w:val="00555C02"/>
    <w:rsid w:val="00557526"/>
    <w:rsid w:val="005578E7"/>
    <w:rsid w:val="0056024B"/>
    <w:rsid w:val="00560551"/>
    <w:rsid w:val="00561539"/>
    <w:rsid w:val="00562A52"/>
    <w:rsid w:val="00562B10"/>
    <w:rsid w:val="005639E3"/>
    <w:rsid w:val="00564008"/>
    <w:rsid w:val="00564304"/>
    <w:rsid w:val="005653F2"/>
    <w:rsid w:val="0056743E"/>
    <w:rsid w:val="00570714"/>
    <w:rsid w:val="005710B8"/>
    <w:rsid w:val="00571A8A"/>
    <w:rsid w:val="00572D2B"/>
    <w:rsid w:val="005732A0"/>
    <w:rsid w:val="00574E1D"/>
    <w:rsid w:val="00575BC5"/>
    <w:rsid w:val="00575DAE"/>
    <w:rsid w:val="00576F4A"/>
    <w:rsid w:val="00580370"/>
    <w:rsid w:val="00580F71"/>
    <w:rsid w:val="00581431"/>
    <w:rsid w:val="005830FD"/>
    <w:rsid w:val="0058407C"/>
    <w:rsid w:val="0058758E"/>
    <w:rsid w:val="00587660"/>
    <w:rsid w:val="00594A72"/>
    <w:rsid w:val="00596224"/>
    <w:rsid w:val="005973BC"/>
    <w:rsid w:val="005A1231"/>
    <w:rsid w:val="005A127E"/>
    <w:rsid w:val="005A2A2A"/>
    <w:rsid w:val="005A3B15"/>
    <w:rsid w:val="005A3E35"/>
    <w:rsid w:val="005A46BE"/>
    <w:rsid w:val="005B092E"/>
    <w:rsid w:val="005B1026"/>
    <w:rsid w:val="005B15D4"/>
    <w:rsid w:val="005B1E20"/>
    <w:rsid w:val="005B29D2"/>
    <w:rsid w:val="005B3406"/>
    <w:rsid w:val="005B6213"/>
    <w:rsid w:val="005B7301"/>
    <w:rsid w:val="005C0B81"/>
    <w:rsid w:val="005C0ED3"/>
    <w:rsid w:val="005C1180"/>
    <w:rsid w:val="005C3F13"/>
    <w:rsid w:val="005C4750"/>
    <w:rsid w:val="005C5128"/>
    <w:rsid w:val="005C6F62"/>
    <w:rsid w:val="005C7842"/>
    <w:rsid w:val="005D02D0"/>
    <w:rsid w:val="005D1563"/>
    <w:rsid w:val="005D19AC"/>
    <w:rsid w:val="005D226B"/>
    <w:rsid w:val="005D54BF"/>
    <w:rsid w:val="005D555A"/>
    <w:rsid w:val="005D61AE"/>
    <w:rsid w:val="005D7806"/>
    <w:rsid w:val="005D7AB7"/>
    <w:rsid w:val="005E0812"/>
    <w:rsid w:val="005E19CE"/>
    <w:rsid w:val="005E1B17"/>
    <w:rsid w:val="005E228A"/>
    <w:rsid w:val="005E325D"/>
    <w:rsid w:val="005E336B"/>
    <w:rsid w:val="005E3DB0"/>
    <w:rsid w:val="005E4832"/>
    <w:rsid w:val="005E55B7"/>
    <w:rsid w:val="005E5A7B"/>
    <w:rsid w:val="005E7C4C"/>
    <w:rsid w:val="005E7F6F"/>
    <w:rsid w:val="005F140E"/>
    <w:rsid w:val="005F1457"/>
    <w:rsid w:val="005F1595"/>
    <w:rsid w:val="005F1A72"/>
    <w:rsid w:val="005F22BC"/>
    <w:rsid w:val="005F499A"/>
    <w:rsid w:val="005F4CF1"/>
    <w:rsid w:val="005F528B"/>
    <w:rsid w:val="006004FD"/>
    <w:rsid w:val="006005E6"/>
    <w:rsid w:val="00600AF6"/>
    <w:rsid w:val="00601557"/>
    <w:rsid w:val="00601940"/>
    <w:rsid w:val="0060285E"/>
    <w:rsid w:val="00602A9D"/>
    <w:rsid w:val="00603681"/>
    <w:rsid w:val="00603B54"/>
    <w:rsid w:val="00605451"/>
    <w:rsid w:val="00606052"/>
    <w:rsid w:val="0060740C"/>
    <w:rsid w:val="00607D18"/>
    <w:rsid w:val="00610D95"/>
    <w:rsid w:val="00611566"/>
    <w:rsid w:val="0061190C"/>
    <w:rsid w:val="00611C66"/>
    <w:rsid w:val="0061207D"/>
    <w:rsid w:val="006130C5"/>
    <w:rsid w:val="006156BB"/>
    <w:rsid w:val="00615B00"/>
    <w:rsid w:val="0061636D"/>
    <w:rsid w:val="00620ED7"/>
    <w:rsid w:val="00621197"/>
    <w:rsid w:val="00623D72"/>
    <w:rsid w:val="0062430F"/>
    <w:rsid w:val="006256B8"/>
    <w:rsid w:val="006257E4"/>
    <w:rsid w:val="006259D0"/>
    <w:rsid w:val="00625A12"/>
    <w:rsid w:val="00627F25"/>
    <w:rsid w:val="00630CFF"/>
    <w:rsid w:val="00631586"/>
    <w:rsid w:val="00632F05"/>
    <w:rsid w:val="0063398C"/>
    <w:rsid w:val="00634E9E"/>
    <w:rsid w:val="00635364"/>
    <w:rsid w:val="006355E4"/>
    <w:rsid w:val="00635922"/>
    <w:rsid w:val="00635F57"/>
    <w:rsid w:val="00637CAD"/>
    <w:rsid w:val="00640E1E"/>
    <w:rsid w:val="00644158"/>
    <w:rsid w:val="00644577"/>
    <w:rsid w:val="0064514B"/>
    <w:rsid w:val="006472F8"/>
    <w:rsid w:val="006505B7"/>
    <w:rsid w:val="00652A7D"/>
    <w:rsid w:val="00652D17"/>
    <w:rsid w:val="00653850"/>
    <w:rsid w:val="00654FB1"/>
    <w:rsid w:val="006558FC"/>
    <w:rsid w:val="00657C59"/>
    <w:rsid w:val="00660226"/>
    <w:rsid w:val="006609E2"/>
    <w:rsid w:val="00666752"/>
    <w:rsid w:val="006668A5"/>
    <w:rsid w:val="00666FA7"/>
    <w:rsid w:val="006673D5"/>
    <w:rsid w:val="00667478"/>
    <w:rsid w:val="00670A1A"/>
    <w:rsid w:val="00670A67"/>
    <w:rsid w:val="00670A6A"/>
    <w:rsid w:val="00670E87"/>
    <w:rsid w:val="00670FF7"/>
    <w:rsid w:val="0067160D"/>
    <w:rsid w:val="006718DC"/>
    <w:rsid w:val="006720C0"/>
    <w:rsid w:val="00672EE8"/>
    <w:rsid w:val="00675782"/>
    <w:rsid w:val="006761C5"/>
    <w:rsid w:val="006779CE"/>
    <w:rsid w:val="00680352"/>
    <w:rsid w:val="00682DB3"/>
    <w:rsid w:val="00683154"/>
    <w:rsid w:val="0068335B"/>
    <w:rsid w:val="0068347C"/>
    <w:rsid w:val="00683688"/>
    <w:rsid w:val="006857B5"/>
    <w:rsid w:val="00685AFA"/>
    <w:rsid w:val="00686FB3"/>
    <w:rsid w:val="00687A77"/>
    <w:rsid w:val="006917FF"/>
    <w:rsid w:val="00692737"/>
    <w:rsid w:val="00692C3A"/>
    <w:rsid w:val="006936C9"/>
    <w:rsid w:val="00693D06"/>
    <w:rsid w:val="00694684"/>
    <w:rsid w:val="00695296"/>
    <w:rsid w:val="006A6540"/>
    <w:rsid w:val="006A7183"/>
    <w:rsid w:val="006A71FB"/>
    <w:rsid w:val="006A7C00"/>
    <w:rsid w:val="006B1010"/>
    <w:rsid w:val="006B2187"/>
    <w:rsid w:val="006B2846"/>
    <w:rsid w:val="006B2F10"/>
    <w:rsid w:val="006B696D"/>
    <w:rsid w:val="006C0933"/>
    <w:rsid w:val="006C0A8E"/>
    <w:rsid w:val="006C11FE"/>
    <w:rsid w:val="006C1F80"/>
    <w:rsid w:val="006C234E"/>
    <w:rsid w:val="006C28F4"/>
    <w:rsid w:val="006C3DBB"/>
    <w:rsid w:val="006C4007"/>
    <w:rsid w:val="006C582C"/>
    <w:rsid w:val="006D1039"/>
    <w:rsid w:val="006D11D6"/>
    <w:rsid w:val="006D33B9"/>
    <w:rsid w:val="006D4F3C"/>
    <w:rsid w:val="006D5370"/>
    <w:rsid w:val="006D5763"/>
    <w:rsid w:val="006D7E2B"/>
    <w:rsid w:val="006D7F45"/>
    <w:rsid w:val="006E087C"/>
    <w:rsid w:val="006E1300"/>
    <w:rsid w:val="006E29EC"/>
    <w:rsid w:val="006E42B8"/>
    <w:rsid w:val="006E4348"/>
    <w:rsid w:val="006E486D"/>
    <w:rsid w:val="006E4D64"/>
    <w:rsid w:val="006E5CC3"/>
    <w:rsid w:val="006E6137"/>
    <w:rsid w:val="006E6819"/>
    <w:rsid w:val="006F0E22"/>
    <w:rsid w:val="006F1F12"/>
    <w:rsid w:val="006F2A5F"/>
    <w:rsid w:val="006F2F03"/>
    <w:rsid w:val="006F3C3E"/>
    <w:rsid w:val="006F3CD7"/>
    <w:rsid w:val="006F3D1D"/>
    <w:rsid w:val="006F56F6"/>
    <w:rsid w:val="006F73D6"/>
    <w:rsid w:val="007007B5"/>
    <w:rsid w:val="007016FD"/>
    <w:rsid w:val="00701902"/>
    <w:rsid w:val="007047EA"/>
    <w:rsid w:val="00706F50"/>
    <w:rsid w:val="007070DF"/>
    <w:rsid w:val="00707CC7"/>
    <w:rsid w:val="00707E69"/>
    <w:rsid w:val="00707FB1"/>
    <w:rsid w:val="00711320"/>
    <w:rsid w:val="00712BC4"/>
    <w:rsid w:val="00712F8B"/>
    <w:rsid w:val="00714238"/>
    <w:rsid w:val="00714B2E"/>
    <w:rsid w:val="00714F9B"/>
    <w:rsid w:val="00715CAB"/>
    <w:rsid w:val="007221B8"/>
    <w:rsid w:val="00723385"/>
    <w:rsid w:val="007234A8"/>
    <w:rsid w:val="00723E28"/>
    <w:rsid w:val="00724087"/>
    <w:rsid w:val="007248BD"/>
    <w:rsid w:val="00724A03"/>
    <w:rsid w:val="00725625"/>
    <w:rsid w:val="00727DBF"/>
    <w:rsid w:val="0073089E"/>
    <w:rsid w:val="00732C88"/>
    <w:rsid w:val="007330ED"/>
    <w:rsid w:val="00733EB5"/>
    <w:rsid w:val="007340BA"/>
    <w:rsid w:val="00734F4F"/>
    <w:rsid w:val="00735F44"/>
    <w:rsid w:val="007377BD"/>
    <w:rsid w:val="00737A3C"/>
    <w:rsid w:val="00740804"/>
    <w:rsid w:val="00740E16"/>
    <w:rsid w:val="00745BF8"/>
    <w:rsid w:val="00746F46"/>
    <w:rsid w:val="0075352D"/>
    <w:rsid w:val="0075494C"/>
    <w:rsid w:val="00754BFF"/>
    <w:rsid w:val="00755EEA"/>
    <w:rsid w:val="007560CA"/>
    <w:rsid w:val="00756117"/>
    <w:rsid w:val="00756CF6"/>
    <w:rsid w:val="00760405"/>
    <w:rsid w:val="007604DF"/>
    <w:rsid w:val="0076072B"/>
    <w:rsid w:val="007608B8"/>
    <w:rsid w:val="00760ACC"/>
    <w:rsid w:val="00761D61"/>
    <w:rsid w:val="00761F22"/>
    <w:rsid w:val="00762BE8"/>
    <w:rsid w:val="00764072"/>
    <w:rsid w:val="0076464E"/>
    <w:rsid w:val="00765967"/>
    <w:rsid w:val="007663C0"/>
    <w:rsid w:val="007664AC"/>
    <w:rsid w:val="00766F86"/>
    <w:rsid w:val="00767C62"/>
    <w:rsid w:val="00770323"/>
    <w:rsid w:val="00771F6D"/>
    <w:rsid w:val="00772C64"/>
    <w:rsid w:val="007739BC"/>
    <w:rsid w:val="00774AF1"/>
    <w:rsid w:val="00774F8E"/>
    <w:rsid w:val="00776256"/>
    <w:rsid w:val="00777480"/>
    <w:rsid w:val="007802C4"/>
    <w:rsid w:val="0078161E"/>
    <w:rsid w:val="0078616E"/>
    <w:rsid w:val="00786991"/>
    <w:rsid w:val="0079153D"/>
    <w:rsid w:val="0079282F"/>
    <w:rsid w:val="00792E62"/>
    <w:rsid w:val="0079320A"/>
    <w:rsid w:val="007945AE"/>
    <w:rsid w:val="007949A7"/>
    <w:rsid w:val="00795C5D"/>
    <w:rsid w:val="00795E70"/>
    <w:rsid w:val="00796423"/>
    <w:rsid w:val="007964BE"/>
    <w:rsid w:val="007974C8"/>
    <w:rsid w:val="007A1848"/>
    <w:rsid w:val="007A3BED"/>
    <w:rsid w:val="007A5411"/>
    <w:rsid w:val="007A640F"/>
    <w:rsid w:val="007B1CE1"/>
    <w:rsid w:val="007B1E4E"/>
    <w:rsid w:val="007B2923"/>
    <w:rsid w:val="007B555A"/>
    <w:rsid w:val="007B71EF"/>
    <w:rsid w:val="007C0EEC"/>
    <w:rsid w:val="007C1C52"/>
    <w:rsid w:val="007C2026"/>
    <w:rsid w:val="007C3BB4"/>
    <w:rsid w:val="007C5333"/>
    <w:rsid w:val="007C60E8"/>
    <w:rsid w:val="007C64B0"/>
    <w:rsid w:val="007C6AB1"/>
    <w:rsid w:val="007C7F98"/>
    <w:rsid w:val="007D0085"/>
    <w:rsid w:val="007D00D6"/>
    <w:rsid w:val="007D498E"/>
    <w:rsid w:val="007D71AE"/>
    <w:rsid w:val="007D7430"/>
    <w:rsid w:val="007E1D10"/>
    <w:rsid w:val="007E2D48"/>
    <w:rsid w:val="007E4DCB"/>
    <w:rsid w:val="007E5F4F"/>
    <w:rsid w:val="007E6B38"/>
    <w:rsid w:val="007E78F6"/>
    <w:rsid w:val="007F02C7"/>
    <w:rsid w:val="007F040A"/>
    <w:rsid w:val="007F09CD"/>
    <w:rsid w:val="007F1246"/>
    <w:rsid w:val="007F1698"/>
    <w:rsid w:val="007F5B11"/>
    <w:rsid w:val="007F7B47"/>
    <w:rsid w:val="00800685"/>
    <w:rsid w:val="00800853"/>
    <w:rsid w:val="00800D4F"/>
    <w:rsid w:val="00803A02"/>
    <w:rsid w:val="00803C65"/>
    <w:rsid w:val="00804CD6"/>
    <w:rsid w:val="008052CD"/>
    <w:rsid w:val="00806BEC"/>
    <w:rsid w:val="00810F80"/>
    <w:rsid w:val="00811545"/>
    <w:rsid w:val="00812284"/>
    <w:rsid w:val="00812818"/>
    <w:rsid w:val="008128A6"/>
    <w:rsid w:val="008147C8"/>
    <w:rsid w:val="00815965"/>
    <w:rsid w:val="00816B65"/>
    <w:rsid w:val="00816FA2"/>
    <w:rsid w:val="008177E9"/>
    <w:rsid w:val="00821DD4"/>
    <w:rsid w:val="00821DED"/>
    <w:rsid w:val="00822CA7"/>
    <w:rsid w:val="00822F84"/>
    <w:rsid w:val="008233FD"/>
    <w:rsid w:val="00823EE8"/>
    <w:rsid w:val="00826293"/>
    <w:rsid w:val="0082659B"/>
    <w:rsid w:val="00827A25"/>
    <w:rsid w:val="00830076"/>
    <w:rsid w:val="0083360B"/>
    <w:rsid w:val="00833C33"/>
    <w:rsid w:val="00833EC5"/>
    <w:rsid w:val="00834C04"/>
    <w:rsid w:val="0084103D"/>
    <w:rsid w:val="00842391"/>
    <w:rsid w:val="008455C5"/>
    <w:rsid w:val="00847C72"/>
    <w:rsid w:val="008508E3"/>
    <w:rsid w:val="00850E31"/>
    <w:rsid w:val="008512AE"/>
    <w:rsid w:val="008518A2"/>
    <w:rsid w:val="00853B81"/>
    <w:rsid w:val="008548BD"/>
    <w:rsid w:val="0085637C"/>
    <w:rsid w:val="00860449"/>
    <w:rsid w:val="00860EF3"/>
    <w:rsid w:val="0086321F"/>
    <w:rsid w:val="008642AF"/>
    <w:rsid w:val="008643BB"/>
    <w:rsid w:val="0086511D"/>
    <w:rsid w:val="008704DD"/>
    <w:rsid w:val="00870E7A"/>
    <w:rsid w:val="00874252"/>
    <w:rsid w:val="00875113"/>
    <w:rsid w:val="00875782"/>
    <w:rsid w:val="00875B53"/>
    <w:rsid w:val="00875E59"/>
    <w:rsid w:val="0087606D"/>
    <w:rsid w:val="008761A2"/>
    <w:rsid w:val="00876C33"/>
    <w:rsid w:val="0087755F"/>
    <w:rsid w:val="0087788F"/>
    <w:rsid w:val="0088054E"/>
    <w:rsid w:val="008807B6"/>
    <w:rsid w:val="00881328"/>
    <w:rsid w:val="00881E9C"/>
    <w:rsid w:val="0088234E"/>
    <w:rsid w:val="0088369D"/>
    <w:rsid w:val="0088393E"/>
    <w:rsid w:val="008851FB"/>
    <w:rsid w:val="0089007C"/>
    <w:rsid w:val="008932FF"/>
    <w:rsid w:val="00893492"/>
    <w:rsid w:val="00893619"/>
    <w:rsid w:val="008940BD"/>
    <w:rsid w:val="00894133"/>
    <w:rsid w:val="008967DF"/>
    <w:rsid w:val="00896E99"/>
    <w:rsid w:val="008A0699"/>
    <w:rsid w:val="008A28E5"/>
    <w:rsid w:val="008A3320"/>
    <w:rsid w:val="008A62DB"/>
    <w:rsid w:val="008A6FE5"/>
    <w:rsid w:val="008A79D6"/>
    <w:rsid w:val="008B11B3"/>
    <w:rsid w:val="008B1D09"/>
    <w:rsid w:val="008B34B6"/>
    <w:rsid w:val="008B3D84"/>
    <w:rsid w:val="008B739E"/>
    <w:rsid w:val="008B751C"/>
    <w:rsid w:val="008C0043"/>
    <w:rsid w:val="008C0511"/>
    <w:rsid w:val="008C241F"/>
    <w:rsid w:val="008C27E6"/>
    <w:rsid w:val="008C3813"/>
    <w:rsid w:val="008C4197"/>
    <w:rsid w:val="008C5053"/>
    <w:rsid w:val="008D190A"/>
    <w:rsid w:val="008D3556"/>
    <w:rsid w:val="008D3E44"/>
    <w:rsid w:val="008D5210"/>
    <w:rsid w:val="008D525C"/>
    <w:rsid w:val="008D5EE3"/>
    <w:rsid w:val="008D7F64"/>
    <w:rsid w:val="008E1928"/>
    <w:rsid w:val="008E4168"/>
    <w:rsid w:val="008E6474"/>
    <w:rsid w:val="008E6DEE"/>
    <w:rsid w:val="008E7084"/>
    <w:rsid w:val="008F10B9"/>
    <w:rsid w:val="008F1667"/>
    <w:rsid w:val="008F22F8"/>
    <w:rsid w:val="008F2552"/>
    <w:rsid w:val="008F3326"/>
    <w:rsid w:val="008F4EA8"/>
    <w:rsid w:val="008F6B14"/>
    <w:rsid w:val="00900C09"/>
    <w:rsid w:val="009028AB"/>
    <w:rsid w:val="0090342B"/>
    <w:rsid w:val="00903921"/>
    <w:rsid w:val="00903F39"/>
    <w:rsid w:val="0090589F"/>
    <w:rsid w:val="00906DA0"/>
    <w:rsid w:val="00906DEC"/>
    <w:rsid w:val="009107BA"/>
    <w:rsid w:val="0091098F"/>
    <w:rsid w:val="00910A61"/>
    <w:rsid w:val="009111AB"/>
    <w:rsid w:val="00914150"/>
    <w:rsid w:val="00914CE1"/>
    <w:rsid w:val="0091529E"/>
    <w:rsid w:val="00915C16"/>
    <w:rsid w:val="009162B4"/>
    <w:rsid w:val="00916675"/>
    <w:rsid w:val="0092074D"/>
    <w:rsid w:val="00920CD3"/>
    <w:rsid w:val="00922492"/>
    <w:rsid w:val="009239B5"/>
    <w:rsid w:val="00923D7C"/>
    <w:rsid w:val="00923E38"/>
    <w:rsid w:val="00924740"/>
    <w:rsid w:val="0092493F"/>
    <w:rsid w:val="00925E96"/>
    <w:rsid w:val="009273FE"/>
    <w:rsid w:val="00927500"/>
    <w:rsid w:val="00927537"/>
    <w:rsid w:val="00927CD5"/>
    <w:rsid w:val="00930177"/>
    <w:rsid w:val="00930617"/>
    <w:rsid w:val="00931792"/>
    <w:rsid w:val="0093181F"/>
    <w:rsid w:val="00931905"/>
    <w:rsid w:val="00933C6C"/>
    <w:rsid w:val="00934679"/>
    <w:rsid w:val="00935E15"/>
    <w:rsid w:val="009361A4"/>
    <w:rsid w:val="009376EE"/>
    <w:rsid w:val="00942166"/>
    <w:rsid w:val="00942A25"/>
    <w:rsid w:val="009432B0"/>
    <w:rsid w:val="00947016"/>
    <w:rsid w:val="0094742C"/>
    <w:rsid w:val="00950230"/>
    <w:rsid w:val="00950C5E"/>
    <w:rsid w:val="00951378"/>
    <w:rsid w:val="00951543"/>
    <w:rsid w:val="00951B90"/>
    <w:rsid w:val="00952555"/>
    <w:rsid w:val="00952CDA"/>
    <w:rsid w:val="009533AA"/>
    <w:rsid w:val="00953C16"/>
    <w:rsid w:val="0095517D"/>
    <w:rsid w:val="00955B37"/>
    <w:rsid w:val="00957E9F"/>
    <w:rsid w:val="009600F2"/>
    <w:rsid w:val="00960E81"/>
    <w:rsid w:val="00961CB0"/>
    <w:rsid w:val="0096249B"/>
    <w:rsid w:val="009625AB"/>
    <w:rsid w:val="009630BB"/>
    <w:rsid w:val="00963CB8"/>
    <w:rsid w:val="00964B2B"/>
    <w:rsid w:val="0096519D"/>
    <w:rsid w:val="0096657C"/>
    <w:rsid w:val="00966BD2"/>
    <w:rsid w:val="009708CB"/>
    <w:rsid w:val="009720CE"/>
    <w:rsid w:val="009732AC"/>
    <w:rsid w:val="0097379A"/>
    <w:rsid w:val="00973CFD"/>
    <w:rsid w:val="00974D10"/>
    <w:rsid w:val="00975BB6"/>
    <w:rsid w:val="00980C44"/>
    <w:rsid w:val="00980EC2"/>
    <w:rsid w:val="009816D5"/>
    <w:rsid w:val="009829B7"/>
    <w:rsid w:val="009829F5"/>
    <w:rsid w:val="00983357"/>
    <w:rsid w:val="0098370C"/>
    <w:rsid w:val="00983803"/>
    <w:rsid w:val="0098486A"/>
    <w:rsid w:val="00985B8B"/>
    <w:rsid w:val="00986287"/>
    <w:rsid w:val="009902BB"/>
    <w:rsid w:val="0099195B"/>
    <w:rsid w:val="00993223"/>
    <w:rsid w:val="009947F3"/>
    <w:rsid w:val="00995588"/>
    <w:rsid w:val="00997CEC"/>
    <w:rsid w:val="009A125C"/>
    <w:rsid w:val="009A458C"/>
    <w:rsid w:val="009A4811"/>
    <w:rsid w:val="009A4BB2"/>
    <w:rsid w:val="009A5488"/>
    <w:rsid w:val="009B0209"/>
    <w:rsid w:val="009B0F69"/>
    <w:rsid w:val="009B17B3"/>
    <w:rsid w:val="009B245C"/>
    <w:rsid w:val="009B52CC"/>
    <w:rsid w:val="009B5C78"/>
    <w:rsid w:val="009B5F0B"/>
    <w:rsid w:val="009B6F46"/>
    <w:rsid w:val="009B73A7"/>
    <w:rsid w:val="009C09F7"/>
    <w:rsid w:val="009C1874"/>
    <w:rsid w:val="009C20CE"/>
    <w:rsid w:val="009C3146"/>
    <w:rsid w:val="009C4AEA"/>
    <w:rsid w:val="009C530A"/>
    <w:rsid w:val="009C5A4A"/>
    <w:rsid w:val="009C63EA"/>
    <w:rsid w:val="009C6CB9"/>
    <w:rsid w:val="009C6E3A"/>
    <w:rsid w:val="009C6EB5"/>
    <w:rsid w:val="009D1383"/>
    <w:rsid w:val="009D41C0"/>
    <w:rsid w:val="009D6C78"/>
    <w:rsid w:val="009E00C3"/>
    <w:rsid w:val="009E0D00"/>
    <w:rsid w:val="009E0E66"/>
    <w:rsid w:val="009E1674"/>
    <w:rsid w:val="009E232A"/>
    <w:rsid w:val="009E4CE8"/>
    <w:rsid w:val="009F0231"/>
    <w:rsid w:val="009F1333"/>
    <w:rsid w:val="009F20AA"/>
    <w:rsid w:val="009F22BF"/>
    <w:rsid w:val="009F2562"/>
    <w:rsid w:val="009F5B5E"/>
    <w:rsid w:val="009F654E"/>
    <w:rsid w:val="00A00347"/>
    <w:rsid w:val="00A01953"/>
    <w:rsid w:val="00A01A84"/>
    <w:rsid w:val="00A0268D"/>
    <w:rsid w:val="00A038B7"/>
    <w:rsid w:val="00A05C10"/>
    <w:rsid w:val="00A0610B"/>
    <w:rsid w:val="00A06349"/>
    <w:rsid w:val="00A06879"/>
    <w:rsid w:val="00A07124"/>
    <w:rsid w:val="00A073FA"/>
    <w:rsid w:val="00A07405"/>
    <w:rsid w:val="00A1475B"/>
    <w:rsid w:val="00A14AC0"/>
    <w:rsid w:val="00A160FD"/>
    <w:rsid w:val="00A16BC5"/>
    <w:rsid w:val="00A22F5E"/>
    <w:rsid w:val="00A24DFE"/>
    <w:rsid w:val="00A24EF4"/>
    <w:rsid w:val="00A25186"/>
    <w:rsid w:val="00A25939"/>
    <w:rsid w:val="00A27147"/>
    <w:rsid w:val="00A32918"/>
    <w:rsid w:val="00A34540"/>
    <w:rsid w:val="00A362A5"/>
    <w:rsid w:val="00A379AF"/>
    <w:rsid w:val="00A40733"/>
    <w:rsid w:val="00A40750"/>
    <w:rsid w:val="00A40E64"/>
    <w:rsid w:val="00A411FF"/>
    <w:rsid w:val="00A41EF9"/>
    <w:rsid w:val="00A42A3D"/>
    <w:rsid w:val="00A4329B"/>
    <w:rsid w:val="00A46DC2"/>
    <w:rsid w:val="00A5032D"/>
    <w:rsid w:val="00A50471"/>
    <w:rsid w:val="00A50FD2"/>
    <w:rsid w:val="00A531D2"/>
    <w:rsid w:val="00A53FDF"/>
    <w:rsid w:val="00A54C19"/>
    <w:rsid w:val="00A55734"/>
    <w:rsid w:val="00A5690E"/>
    <w:rsid w:val="00A60535"/>
    <w:rsid w:val="00A6291D"/>
    <w:rsid w:val="00A64908"/>
    <w:rsid w:val="00A64E39"/>
    <w:rsid w:val="00A67133"/>
    <w:rsid w:val="00A764B4"/>
    <w:rsid w:val="00A7750A"/>
    <w:rsid w:val="00A827AD"/>
    <w:rsid w:val="00A85564"/>
    <w:rsid w:val="00A8565E"/>
    <w:rsid w:val="00A85D09"/>
    <w:rsid w:val="00A85F1C"/>
    <w:rsid w:val="00A871C2"/>
    <w:rsid w:val="00A91469"/>
    <w:rsid w:val="00A919CA"/>
    <w:rsid w:val="00A91A3D"/>
    <w:rsid w:val="00A924F6"/>
    <w:rsid w:val="00A93C0D"/>
    <w:rsid w:val="00A93DC6"/>
    <w:rsid w:val="00A95485"/>
    <w:rsid w:val="00A954A0"/>
    <w:rsid w:val="00AA040E"/>
    <w:rsid w:val="00AA23CD"/>
    <w:rsid w:val="00AA33C1"/>
    <w:rsid w:val="00AA5BF6"/>
    <w:rsid w:val="00AA73A2"/>
    <w:rsid w:val="00AA7CB3"/>
    <w:rsid w:val="00AB31E9"/>
    <w:rsid w:val="00AB3A2D"/>
    <w:rsid w:val="00AB3BBC"/>
    <w:rsid w:val="00AB4451"/>
    <w:rsid w:val="00AB480E"/>
    <w:rsid w:val="00AB61A4"/>
    <w:rsid w:val="00AC2953"/>
    <w:rsid w:val="00AC31F0"/>
    <w:rsid w:val="00AC40D2"/>
    <w:rsid w:val="00AC6914"/>
    <w:rsid w:val="00AC6CAD"/>
    <w:rsid w:val="00AC7B29"/>
    <w:rsid w:val="00AC7D6B"/>
    <w:rsid w:val="00AD0084"/>
    <w:rsid w:val="00AD0453"/>
    <w:rsid w:val="00AD29C9"/>
    <w:rsid w:val="00AD3599"/>
    <w:rsid w:val="00AD4673"/>
    <w:rsid w:val="00AD46E4"/>
    <w:rsid w:val="00AD608A"/>
    <w:rsid w:val="00AD60B4"/>
    <w:rsid w:val="00AD6F0F"/>
    <w:rsid w:val="00AE13F5"/>
    <w:rsid w:val="00AE1B5B"/>
    <w:rsid w:val="00AE24A1"/>
    <w:rsid w:val="00AE288A"/>
    <w:rsid w:val="00AE374E"/>
    <w:rsid w:val="00AE4B39"/>
    <w:rsid w:val="00AE6888"/>
    <w:rsid w:val="00AE7BBA"/>
    <w:rsid w:val="00AF051D"/>
    <w:rsid w:val="00AF09BA"/>
    <w:rsid w:val="00AF0F42"/>
    <w:rsid w:val="00AF10C9"/>
    <w:rsid w:val="00AF1B06"/>
    <w:rsid w:val="00AF24D5"/>
    <w:rsid w:val="00AF3121"/>
    <w:rsid w:val="00AF3F13"/>
    <w:rsid w:val="00AF5D72"/>
    <w:rsid w:val="00AF7B8A"/>
    <w:rsid w:val="00B009F5"/>
    <w:rsid w:val="00B00F05"/>
    <w:rsid w:val="00B013ED"/>
    <w:rsid w:val="00B02865"/>
    <w:rsid w:val="00B037C4"/>
    <w:rsid w:val="00B055B1"/>
    <w:rsid w:val="00B0699C"/>
    <w:rsid w:val="00B10CAA"/>
    <w:rsid w:val="00B1322F"/>
    <w:rsid w:val="00B15426"/>
    <w:rsid w:val="00B15EDB"/>
    <w:rsid w:val="00B17EAB"/>
    <w:rsid w:val="00B22A17"/>
    <w:rsid w:val="00B22B68"/>
    <w:rsid w:val="00B236C5"/>
    <w:rsid w:val="00B25148"/>
    <w:rsid w:val="00B25895"/>
    <w:rsid w:val="00B258A2"/>
    <w:rsid w:val="00B2674C"/>
    <w:rsid w:val="00B26A61"/>
    <w:rsid w:val="00B303AF"/>
    <w:rsid w:val="00B352A5"/>
    <w:rsid w:val="00B3639F"/>
    <w:rsid w:val="00B36D14"/>
    <w:rsid w:val="00B41B84"/>
    <w:rsid w:val="00B45FEF"/>
    <w:rsid w:val="00B4631D"/>
    <w:rsid w:val="00B464AA"/>
    <w:rsid w:val="00B466CF"/>
    <w:rsid w:val="00B5225A"/>
    <w:rsid w:val="00B534E6"/>
    <w:rsid w:val="00B54E42"/>
    <w:rsid w:val="00B55CC1"/>
    <w:rsid w:val="00B55FAB"/>
    <w:rsid w:val="00B56131"/>
    <w:rsid w:val="00B608E1"/>
    <w:rsid w:val="00B60AC9"/>
    <w:rsid w:val="00B61D67"/>
    <w:rsid w:val="00B61E6A"/>
    <w:rsid w:val="00B62576"/>
    <w:rsid w:val="00B6360E"/>
    <w:rsid w:val="00B636EE"/>
    <w:rsid w:val="00B66625"/>
    <w:rsid w:val="00B66DE6"/>
    <w:rsid w:val="00B674DC"/>
    <w:rsid w:val="00B7039A"/>
    <w:rsid w:val="00B71076"/>
    <w:rsid w:val="00B71C9B"/>
    <w:rsid w:val="00B72094"/>
    <w:rsid w:val="00B72224"/>
    <w:rsid w:val="00B72DAB"/>
    <w:rsid w:val="00B73D70"/>
    <w:rsid w:val="00B73E45"/>
    <w:rsid w:val="00B748A8"/>
    <w:rsid w:val="00B74A52"/>
    <w:rsid w:val="00B74A6E"/>
    <w:rsid w:val="00B75433"/>
    <w:rsid w:val="00B75986"/>
    <w:rsid w:val="00B75AC0"/>
    <w:rsid w:val="00B76BFC"/>
    <w:rsid w:val="00B776B6"/>
    <w:rsid w:val="00B77802"/>
    <w:rsid w:val="00B77E97"/>
    <w:rsid w:val="00B801FA"/>
    <w:rsid w:val="00B822A4"/>
    <w:rsid w:val="00B83059"/>
    <w:rsid w:val="00B8461D"/>
    <w:rsid w:val="00B8471D"/>
    <w:rsid w:val="00B84A68"/>
    <w:rsid w:val="00B86896"/>
    <w:rsid w:val="00B87647"/>
    <w:rsid w:val="00B93E8A"/>
    <w:rsid w:val="00B940E3"/>
    <w:rsid w:val="00B94349"/>
    <w:rsid w:val="00B964C7"/>
    <w:rsid w:val="00B96A72"/>
    <w:rsid w:val="00B97B9E"/>
    <w:rsid w:val="00BA1066"/>
    <w:rsid w:val="00BA130F"/>
    <w:rsid w:val="00BA1DEE"/>
    <w:rsid w:val="00BA2083"/>
    <w:rsid w:val="00BA21B3"/>
    <w:rsid w:val="00BA29C6"/>
    <w:rsid w:val="00BA2DF4"/>
    <w:rsid w:val="00BA2E11"/>
    <w:rsid w:val="00BA448F"/>
    <w:rsid w:val="00BA4B5D"/>
    <w:rsid w:val="00BA4BAE"/>
    <w:rsid w:val="00BA5083"/>
    <w:rsid w:val="00BA5FEB"/>
    <w:rsid w:val="00BA6CD3"/>
    <w:rsid w:val="00BB1449"/>
    <w:rsid w:val="00BB1604"/>
    <w:rsid w:val="00BB1945"/>
    <w:rsid w:val="00BB19A1"/>
    <w:rsid w:val="00BB1FDA"/>
    <w:rsid w:val="00BB2A4E"/>
    <w:rsid w:val="00BB4591"/>
    <w:rsid w:val="00BC000F"/>
    <w:rsid w:val="00BC21AB"/>
    <w:rsid w:val="00BC228B"/>
    <w:rsid w:val="00BC2616"/>
    <w:rsid w:val="00BC2F84"/>
    <w:rsid w:val="00BC6BDF"/>
    <w:rsid w:val="00BD0A24"/>
    <w:rsid w:val="00BD0CCB"/>
    <w:rsid w:val="00BD19F3"/>
    <w:rsid w:val="00BD33DD"/>
    <w:rsid w:val="00BD46EF"/>
    <w:rsid w:val="00BD4DC0"/>
    <w:rsid w:val="00BD631F"/>
    <w:rsid w:val="00BE0BDF"/>
    <w:rsid w:val="00BE1E65"/>
    <w:rsid w:val="00BE2518"/>
    <w:rsid w:val="00BE377A"/>
    <w:rsid w:val="00BE701D"/>
    <w:rsid w:val="00BF247E"/>
    <w:rsid w:val="00BF257A"/>
    <w:rsid w:val="00BF2A0C"/>
    <w:rsid w:val="00BF368A"/>
    <w:rsid w:val="00BF7E2C"/>
    <w:rsid w:val="00C00CF6"/>
    <w:rsid w:val="00C018EF"/>
    <w:rsid w:val="00C02415"/>
    <w:rsid w:val="00C03AAF"/>
    <w:rsid w:val="00C0621F"/>
    <w:rsid w:val="00C07E72"/>
    <w:rsid w:val="00C10771"/>
    <w:rsid w:val="00C114FD"/>
    <w:rsid w:val="00C11B37"/>
    <w:rsid w:val="00C12E02"/>
    <w:rsid w:val="00C131ED"/>
    <w:rsid w:val="00C13374"/>
    <w:rsid w:val="00C1419F"/>
    <w:rsid w:val="00C14997"/>
    <w:rsid w:val="00C14D88"/>
    <w:rsid w:val="00C15458"/>
    <w:rsid w:val="00C16016"/>
    <w:rsid w:val="00C16116"/>
    <w:rsid w:val="00C17FEB"/>
    <w:rsid w:val="00C20968"/>
    <w:rsid w:val="00C2132B"/>
    <w:rsid w:val="00C22067"/>
    <w:rsid w:val="00C2258A"/>
    <w:rsid w:val="00C23E36"/>
    <w:rsid w:val="00C246DA"/>
    <w:rsid w:val="00C25E86"/>
    <w:rsid w:val="00C32262"/>
    <w:rsid w:val="00C32580"/>
    <w:rsid w:val="00C32765"/>
    <w:rsid w:val="00C32C2C"/>
    <w:rsid w:val="00C33C6E"/>
    <w:rsid w:val="00C34840"/>
    <w:rsid w:val="00C34CDD"/>
    <w:rsid w:val="00C356BE"/>
    <w:rsid w:val="00C35783"/>
    <w:rsid w:val="00C40908"/>
    <w:rsid w:val="00C41145"/>
    <w:rsid w:val="00C434C8"/>
    <w:rsid w:val="00C439E0"/>
    <w:rsid w:val="00C4497C"/>
    <w:rsid w:val="00C4665C"/>
    <w:rsid w:val="00C468D4"/>
    <w:rsid w:val="00C478EB"/>
    <w:rsid w:val="00C479F2"/>
    <w:rsid w:val="00C5428E"/>
    <w:rsid w:val="00C5518E"/>
    <w:rsid w:val="00C56141"/>
    <w:rsid w:val="00C60E9E"/>
    <w:rsid w:val="00C60FCB"/>
    <w:rsid w:val="00C615DD"/>
    <w:rsid w:val="00C617D3"/>
    <w:rsid w:val="00C622E2"/>
    <w:rsid w:val="00C62D19"/>
    <w:rsid w:val="00C62FAB"/>
    <w:rsid w:val="00C633B4"/>
    <w:rsid w:val="00C64558"/>
    <w:rsid w:val="00C65570"/>
    <w:rsid w:val="00C65908"/>
    <w:rsid w:val="00C66FC4"/>
    <w:rsid w:val="00C6738C"/>
    <w:rsid w:val="00C674C7"/>
    <w:rsid w:val="00C74F74"/>
    <w:rsid w:val="00C7583C"/>
    <w:rsid w:val="00C75D32"/>
    <w:rsid w:val="00C75EA6"/>
    <w:rsid w:val="00C77BD9"/>
    <w:rsid w:val="00C82CB0"/>
    <w:rsid w:val="00C84F1E"/>
    <w:rsid w:val="00C87248"/>
    <w:rsid w:val="00C87BBB"/>
    <w:rsid w:val="00C87EDD"/>
    <w:rsid w:val="00C9099F"/>
    <w:rsid w:val="00C91D77"/>
    <w:rsid w:val="00C91E31"/>
    <w:rsid w:val="00C92278"/>
    <w:rsid w:val="00C92DEF"/>
    <w:rsid w:val="00C944CB"/>
    <w:rsid w:val="00C945A6"/>
    <w:rsid w:val="00C95B31"/>
    <w:rsid w:val="00C95F2C"/>
    <w:rsid w:val="00C97F45"/>
    <w:rsid w:val="00CA0255"/>
    <w:rsid w:val="00CA0838"/>
    <w:rsid w:val="00CA09BE"/>
    <w:rsid w:val="00CA4000"/>
    <w:rsid w:val="00CA54F3"/>
    <w:rsid w:val="00CA6377"/>
    <w:rsid w:val="00CB0B7B"/>
    <w:rsid w:val="00CB26F6"/>
    <w:rsid w:val="00CB2EE1"/>
    <w:rsid w:val="00CB3400"/>
    <w:rsid w:val="00CB479E"/>
    <w:rsid w:val="00CB543A"/>
    <w:rsid w:val="00CB5CCF"/>
    <w:rsid w:val="00CB7896"/>
    <w:rsid w:val="00CC0051"/>
    <w:rsid w:val="00CC1757"/>
    <w:rsid w:val="00CC25C4"/>
    <w:rsid w:val="00CC418F"/>
    <w:rsid w:val="00CC52A6"/>
    <w:rsid w:val="00CC686A"/>
    <w:rsid w:val="00CD32B3"/>
    <w:rsid w:val="00CD3916"/>
    <w:rsid w:val="00CD3E3C"/>
    <w:rsid w:val="00CD49BE"/>
    <w:rsid w:val="00CD52EF"/>
    <w:rsid w:val="00CD5FB5"/>
    <w:rsid w:val="00CD6BDB"/>
    <w:rsid w:val="00CE093F"/>
    <w:rsid w:val="00CE0CE4"/>
    <w:rsid w:val="00CE1481"/>
    <w:rsid w:val="00CE3157"/>
    <w:rsid w:val="00CE7943"/>
    <w:rsid w:val="00CE7ADF"/>
    <w:rsid w:val="00CE7D78"/>
    <w:rsid w:val="00CF0338"/>
    <w:rsid w:val="00CF0CCD"/>
    <w:rsid w:val="00CF2106"/>
    <w:rsid w:val="00CF33CF"/>
    <w:rsid w:val="00CF3650"/>
    <w:rsid w:val="00CF49AA"/>
    <w:rsid w:val="00D0018B"/>
    <w:rsid w:val="00D01425"/>
    <w:rsid w:val="00D01D14"/>
    <w:rsid w:val="00D05C25"/>
    <w:rsid w:val="00D0639F"/>
    <w:rsid w:val="00D06446"/>
    <w:rsid w:val="00D06AFA"/>
    <w:rsid w:val="00D079E7"/>
    <w:rsid w:val="00D104C6"/>
    <w:rsid w:val="00D10994"/>
    <w:rsid w:val="00D11034"/>
    <w:rsid w:val="00D114A4"/>
    <w:rsid w:val="00D1257C"/>
    <w:rsid w:val="00D13F9B"/>
    <w:rsid w:val="00D178CA"/>
    <w:rsid w:val="00D21B3C"/>
    <w:rsid w:val="00D21D71"/>
    <w:rsid w:val="00D232F7"/>
    <w:rsid w:val="00D25B57"/>
    <w:rsid w:val="00D27A30"/>
    <w:rsid w:val="00D27AC5"/>
    <w:rsid w:val="00D3130E"/>
    <w:rsid w:val="00D31BF1"/>
    <w:rsid w:val="00D3396F"/>
    <w:rsid w:val="00D376A9"/>
    <w:rsid w:val="00D41188"/>
    <w:rsid w:val="00D4143A"/>
    <w:rsid w:val="00D41523"/>
    <w:rsid w:val="00D4171A"/>
    <w:rsid w:val="00D41C24"/>
    <w:rsid w:val="00D43420"/>
    <w:rsid w:val="00D43EA2"/>
    <w:rsid w:val="00D442D0"/>
    <w:rsid w:val="00D44A73"/>
    <w:rsid w:val="00D45F5C"/>
    <w:rsid w:val="00D46CF0"/>
    <w:rsid w:val="00D47426"/>
    <w:rsid w:val="00D47FB4"/>
    <w:rsid w:val="00D510F5"/>
    <w:rsid w:val="00D52456"/>
    <w:rsid w:val="00D526E8"/>
    <w:rsid w:val="00D54DA5"/>
    <w:rsid w:val="00D55E02"/>
    <w:rsid w:val="00D569CC"/>
    <w:rsid w:val="00D574AF"/>
    <w:rsid w:val="00D61006"/>
    <w:rsid w:val="00D61333"/>
    <w:rsid w:val="00D6138E"/>
    <w:rsid w:val="00D619AA"/>
    <w:rsid w:val="00D65092"/>
    <w:rsid w:val="00D65197"/>
    <w:rsid w:val="00D65618"/>
    <w:rsid w:val="00D671A8"/>
    <w:rsid w:val="00D6798F"/>
    <w:rsid w:val="00D70C8B"/>
    <w:rsid w:val="00D72440"/>
    <w:rsid w:val="00D72B78"/>
    <w:rsid w:val="00D74E6B"/>
    <w:rsid w:val="00D75B65"/>
    <w:rsid w:val="00D80B9D"/>
    <w:rsid w:val="00D80C74"/>
    <w:rsid w:val="00D8136A"/>
    <w:rsid w:val="00D83920"/>
    <w:rsid w:val="00D84220"/>
    <w:rsid w:val="00D842C9"/>
    <w:rsid w:val="00D8458D"/>
    <w:rsid w:val="00D84BD9"/>
    <w:rsid w:val="00D851E2"/>
    <w:rsid w:val="00D86833"/>
    <w:rsid w:val="00D86C26"/>
    <w:rsid w:val="00D9201E"/>
    <w:rsid w:val="00D93185"/>
    <w:rsid w:val="00D93383"/>
    <w:rsid w:val="00D937AE"/>
    <w:rsid w:val="00D943D0"/>
    <w:rsid w:val="00D946AB"/>
    <w:rsid w:val="00D95104"/>
    <w:rsid w:val="00D95951"/>
    <w:rsid w:val="00D95FC7"/>
    <w:rsid w:val="00DA036A"/>
    <w:rsid w:val="00DA2779"/>
    <w:rsid w:val="00DA7964"/>
    <w:rsid w:val="00DB488E"/>
    <w:rsid w:val="00DC0538"/>
    <w:rsid w:val="00DC0A41"/>
    <w:rsid w:val="00DC2102"/>
    <w:rsid w:val="00DC355A"/>
    <w:rsid w:val="00DC5D41"/>
    <w:rsid w:val="00DC6A35"/>
    <w:rsid w:val="00DC70F0"/>
    <w:rsid w:val="00DD0998"/>
    <w:rsid w:val="00DD0D7A"/>
    <w:rsid w:val="00DD21A2"/>
    <w:rsid w:val="00DD2365"/>
    <w:rsid w:val="00DD2E42"/>
    <w:rsid w:val="00DD457E"/>
    <w:rsid w:val="00DD5DF2"/>
    <w:rsid w:val="00DD6687"/>
    <w:rsid w:val="00DD6FF3"/>
    <w:rsid w:val="00DE081C"/>
    <w:rsid w:val="00DE1A57"/>
    <w:rsid w:val="00DE3752"/>
    <w:rsid w:val="00DE3905"/>
    <w:rsid w:val="00DE39A7"/>
    <w:rsid w:val="00DE5792"/>
    <w:rsid w:val="00DE6366"/>
    <w:rsid w:val="00DE7025"/>
    <w:rsid w:val="00DE77FF"/>
    <w:rsid w:val="00DE7979"/>
    <w:rsid w:val="00DF0679"/>
    <w:rsid w:val="00DF2130"/>
    <w:rsid w:val="00DF25F0"/>
    <w:rsid w:val="00DF3094"/>
    <w:rsid w:val="00DF348E"/>
    <w:rsid w:val="00DF3655"/>
    <w:rsid w:val="00DF47F4"/>
    <w:rsid w:val="00DF53BF"/>
    <w:rsid w:val="00DF7AAA"/>
    <w:rsid w:val="00DF7B8D"/>
    <w:rsid w:val="00E01671"/>
    <w:rsid w:val="00E01F29"/>
    <w:rsid w:val="00E02AC4"/>
    <w:rsid w:val="00E03D1B"/>
    <w:rsid w:val="00E03FB7"/>
    <w:rsid w:val="00E11A61"/>
    <w:rsid w:val="00E11D8C"/>
    <w:rsid w:val="00E11F97"/>
    <w:rsid w:val="00E14469"/>
    <w:rsid w:val="00E14533"/>
    <w:rsid w:val="00E156E5"/>
    <w:rsid w:val="00E2123A"/>
    <w:rsid w:val="00E225DB"/>
    <w:rsid w:val="00E25330"/>
    <w:rsid w:val="00E25687"/>
    <w:rsid w:val="00E264A3"/>
    <w:rsid w:val="00E26EB0"/>
    <w:rsid w:val="00E3095A"/>
    <w:rsid w:val="00E320FC"/>
    <w:rsid w:val="00E3245A"/>
    <w:rsid w:val="00E33A24"/>
    <w:rsid w:val="00E33EA7"/>
    <w:rsid w:val="00E34B02"/>
    <w:rsid w:val="00E35976"/>
    <w:rsid w:val="00E35E5E"/>
    <w:rsid w:val="00E36DE4"/>
    <w:rsid w:val="00E37210"/>
    <w:rsid w:val="00E373F2"/>
    <w:rsid w:val="00E37E21"/>
    <w:rsid w:val="00E40F84"/>
    <w:rsid w:val="00E40FB6"/>
    <w:rsid w:val="00E41903"/>
    <w:rsid w:val="00E42156"/>
    <w:rsid w:val="00E42EBF"/>
    <w:rsid w:val="00E431BC"/>
    <w:rsid w:val="00E43285"/>
    <w:rsid w:val="00E43C6E"/>
    <w:rsid w:val="00E46855"/>
    <w:rsid w:val="00E50073"/>
    <w:rsid w:val="00E5040E"/>
    <w:rsid w:val="00E50695"/>
    <w:rsid w:val="00E50A91"/>
    <w:rsid w:val="00E50BDB"/>
    <w:rsid w:val="00E51729"/>
    <w:rsid w:val="00E52249"/>
    <w:rsid w:val="00E523B6"/>
    <w:rsid w:val="00E53DCA"/>
    <w:rsid w:val="00E545CC"/>
    <w:rsid w:val="00E54B4B"/>
    <w:rsid w:val="00E6028F"/>
    <w:rsid w:val="00E602D4"/>
    <w:rsid w:val="00E605AB"/>
    <w:rsid w:val="00E620EC"/>
    <w:rsid w:val="00E63568"/>
    <w:rsid w:val="00E6387D"/>
    <w:rsid w:val="00E65687"/>
    <w:rsid w:val="00E65E18"/>
    <w:rsid w:val="00E66272"/>
    <w:rsid w:val="00E668EE"/>
    <w:rsid w:val="00E676D0"/>
    <w:rsid w:val="00E702B6"/>
    <w:rsid w:val="00E70FA3"/>
    <w:rsid w:val="00E737C4"/>
    <w:rsid w:val="00E7534B"/>
    <w:rsid w:val="00E76AE1"/>
    <w:rsid w:val="00E80262"/>
    <w:rsid w:val="00E8124D"/>
    <w:rsid w:val="00E8141E"/>
    <w:rsid w:val="00E81B9D"/>
    <w:rsid w:val="00E81BDD"/>
    <w:rsid w:val="00E824A3"/>
    <w:rsid w:val="00E82B68"/>
    <w:rsid w:val="00E831A3"/>
    <w:rsid w:val="00E83686"/>
    <w:rsid w:val="00E83C41"/>
    <w:rsid w:val="00E84BBC"/>
    <w:rsid w:val="00E84D8D"/>
    <w:rsid w:val="00E871A1"/>
    <w:rsid w:val="00E87346"/>
    <w:rsid w:val="00E87ACC"/>
    <w:rsid w:val="00E93BE9"/>
    <w:rsid w:val="00E93C68"/>
    <w:rsid w:val="00E9475A"/>
    <w:rsid w:val="00E94C8F"/>
    <w:rsid w:val="00E971F2"/>
    <w:rsid w:val="00E9773B"/>
    <w:rsid w:val="00E977F6"/>
    <w:rsid w:val="00EA04A2"/>
    <w:rsid w:val="00EA20AC"/>
    <w:rsid w:val="00EA43CA"/>
    <w:rsid w:val="00EA487D"/>
    <w:rsid w:val="00EA65E7"/>
    <w:rsid w:val="00EB0521"/>
    <w:rsid w:val="00EB20E3"/>
    <w:rsid w:val="00EB2EAE"/>
    <w:rsid w:val="00EB5008"/>
    <w:rsid w:val="00EB5043"/>
    <w:rsid w:val="00EB7793"/>
    <w:rsid w:val="00EC02AA"/>
    <w:rsid w:val="00EC0D8F"/>
    <w:rsid w:val="00EC117D"/>
    <w:rsid w:val="00EC27BA"/>
    <w:rsid w:val="00EC5448"/>
    <w:rsid w:val="00EC57A9"/>
    <w:rsid w:val="00EC69F2"/>
    <w:rsid w:val="00EC7F5C"/>
    <w:rsid w:val="00ED065C"/>
    <w:rsid w:val="00ED1B84"/>
    <w:rsid w:val="00ED33D3"/>
    <w:rsid w:val="00ED39CE"/>
    <w:rsid w:val="00ED45BF"/>
    <w:rsid w:val="00ED4A99"/>
    <w:rsid w:val="00EE0BEE"/>
    <w:rsid w:val="00EE226C"/>
    <w:rsid w:val="00EE328C"/>
    <w:rsid w:val="00EE357A"/>
    <w:rsid w:val="00EE5B5C"/>
    <w:rsid w:val="00EE6D49"/>
    <w:rsid w:val="00EE79EA"/>
    <w:rsid w:val="00EF027B"/>
    <w:rsid w:val="00EF432C"/>
    <w:rsid w:val="00EF4E3D"/>
    <w:rsid w:val="00EF514B"/>
    <w:rsid w:val="00EF5D4F"/>
    <w:rsid w:val="00EF5D73"/>
    <w:rsid w:val="00EF6435"/>
    <w:rsid w:val="00EF7EB3"/>
    <w:rsid w:val="00F00C69"/>
    <w:rsid w:val="00F012F2"/>
    <w:rsid w:val="00F013F7"/>
    <w:rsid w:val="00F016BD"/>
    <w:rsid w:val="00F01A2D"/>
    <w:rsid w:val="00F026F5"/>
    <w:rsid w:val="00F027EF"/>
    <w:rsid w:val="00F07FB2"/>
    <w:rsid w:val="00F12ECA"/>
    <w:rsid w:val="00F13F85"/>
    <w:rsid w:val="00F15033"/>
    <w:rsid w:val="00F160F7"/>
    <w:rsid w:val="00F16147"/>
    <w:rsid w:val="00F16334"/>
    <w:rsid w:val="00F202FA"/>
    <w:rsid w:val="00F24B71"/>
    <w:rsid w:val="00F2509F"/>
    <w:rsid w:val="00F2569A"/>
    <w:rsid w:val="00F25ABB"/>
    <w:rsid w:val="00F300A1"/>
    <w:rsid w:val="00F32A3A"/>
    <w:rsid w:val="00F33BD5"/>
    <w:rsid w:val="00F33CF2"/>
    <w:rsid w:val="00F35216"/>
    <w:rsid w:val="00F3541E"/>
    <w:rsid w:val="00F35E04"/>
    <w:rsid w:val="00F36F3D"/>
    <w:rsid w:val="00F44EA7"/>
    <w:rsid w:val="00F45B01"/>
    <w:rsid w:val="00F46D47"/>
    <w:rsid w:val="00F4766F"/>
    <w:rsid w:val="00F47E74"/>
    <w:rsid w:val="00F50730"/>
    <w:rsid w:val="00F50AEA"/>
    <w:rsid w:val="00F52C4B"/>
    <w:rsid w:val="00F53252"/>
    <w:rsid w:val="00F53D86"/>
    <w:rsid w:val="00F5424B"/>
    <w:rsid w:val="00F54E35"/>
    <w:rsid w:val="00F56037"/>
    <w:rsid w:val="00F575FE"/>
    <w:rsid w:val="00F57732"/>
    <w:rsid w:val="00F601EE"/>
    <w:rsid w:val="00F60553"/>
    <w:rsid w:val="00F60FDE"/>
    <w:rsid w:val="00F65BE4"/>
    <w:rsid w:val="00F66144"/>
    <w:rsid w:val="00F67A5F"/>
    <w:rsid w:val="00F71D93"/>
    <w:rsid w:val="00F7414D"/>
    <w:rsid w:val="00F749E6"/>
    <w:rsid w:val="00F74FF8"/>
    <w:rsid w:val="00F752B8"/>
    <w:rsid w:val="00F75E53"/>
    <w:rsid w:val="00F77109"/>
    <w:rsid w:val="00F80C8A"/>
    <w:rsid w:val="00F821F2"/>
    <w:rsid w:val="00F85814"/>
    <w:rsid w:val="00F8729A"/>
    <w:rsid w:val="00F878F3"/>
    <w:rsid w:val="00F87B5B"/>
    <w:rsid w:val="00F87BC4"/>
    <w:rsid w:val="00F87CE9"/>
    <w:rsid w:val="00F92528"/>
    <w:rsid w:val="00F93CD6"/>
    <w:rsid w:val="00F9522A"/>
    <w:rsid w:val="00F95502"/>
    <w:rsid w:val="00F9553B"/>
    <w:rsid w:val="00F95B4E"/>
    <w:rsid w:val="00F9675B"/>
    <w:rsid w:val="00F96CF5"/>
    <w:rsid w:val="00F96F35"/>
    <w:rsid w:val="00FA0A44"/>
    <w:rsid w:val="00FA1A22"/>
    <w:rsid w:val="00FA2066"/>
    <w:rsid w:val="00FA441E"/>
    <w:rsid w:val="00FA48DA"/>
    <w:rsid w:val="00FB06EA"/>
    <w:rsid w:val="00FB109B"/>
    <w:rsid w:val="00FB1B25"/>
    <w:rsid w:val="00FB3A1A"/>
    <w:rsid w:val="00FB3B38"/>
    <w:rsid w:val="00FB3CA2"/>
    <w:rsid w:val="00FB48E1"/>
    <w:rsid w:val="00FB73BB"/>
    <w:rsid w:val="00FC2BC7"/>
    <w:rsid w:val="00FC34B1"/>
    <w:rsid w:val="00FC3639"/>
    <w:rsid w:val="00FC5FFC"/>
    <w:rsid w:val="00FC66C6"/>
    <w:rsid w:val="00FD0A39"/>
    <w:rsid w:val="00FD0BD2"/>
    <w:rsid w:val="00FD16A1"/>
    <w:rsid w:val="00FD23D5"/>
    <w:rsid w:val="00FD2554"/>
    <w:rsid w:val="00FD2A93"/>
    <w:rsid w:val="00FD2E72"/>
    <w:rsid w:val="00FD4248"/>
    <w:rsid w:val="00FD5408"/>
    <w:rsid w:val="00FD753E"/>
    <w:rsid w:val="00FD7C8F"/>
    <w:rsid w:val="00FE0FE3"/>
    <w:rsid w:val="00FE141F"/>
    <w:rsid w:val="00FE1B6C"/>
    <w:rsid w:val="00FE1DEE"/>
    <w:rsid w:val="00FF04B2"/>
    <w:rsid w:val="00FF25D6"/>
    <w:rsid w:val="00FF2883"/>
    <w:rsid w:val="00FF5074"/>
    <w:rsid w:val="00FF6748"/>
    <w:rsid w:val="00FF6F74"/>
    <w:rsid w:val="00FF78BD"/>
    <w:rsid w:val="00FF7A89"/>
    <w:rsid w:val="01E2894E"/>
    <w:rsid w:val="0512B900"/>
    <w:rsid w:val="0DB7E0A7"/>
    <w:rsid w:val="13BA9BC3"/>
    <w:rsid w:val="17699706"/>
    <w:rsid w:val="183FF7FC"/>
    <w:rsid w:val="1893EF93"/>
    <w:rsid w:val="18D6BCEE"/>
    <w:rsid w:val="194C36B5"/>
    <w:rsid w:val="1974D9EC"/>
    <w:rsid w:val="1AAF5209"/>
    <w:rsid w:val="1B1F8744"/>
    <w:rsid w:val="1B2FA9B6"/>
    <w:rsid w:val="1BDB6AD2"/>
    <w:rsid w:val="1CBBCBB9"/>
    <w:rsid w:val="1E220188"/>
    <w:rsid w:val="206F6C4C"/>
    <w:rsid w:val="23A7D14D"/>
    <w:rsid w:val="23FF4B05"/>
    <w:rsid w:val="259E1EB5"/>
    <w:rsid w:val="2A7EF799"/>
    <w:rsid w:val="2BA9B365"/>
    <w:rsid w:val="2D6EA7F5"/>
    <w:rsid w:val="2D769385"/>
    <w:rsid w:val="2E2AD2E5"/>
    <w:rsid w:val="2E748B7E"/>
    <w:rsid w:val="2EB01DE8"/>
    <w:rsid w:val="2F9E9B9A"/>
    <w:rsid w:val="31347571"/>
    <w:rsid w:val="31D9B694"/>
    <w:rsid w:val="34EE9C56"/>
    <w:rsid w:val="35866BC2"/>
    <w:rsid w:val="36C9700F"/>
    <w:rsid w:val="3858E1B8"/>
    <w:rsid w:val="3967170C"/>
    <w:rsid w:val="3C53E9F9"/>
    <w:rsid w:val="44DC6781"/>
    <w:rsid w:val="45BCBA49"/>
    <w:rsid w:val="4775571A"/>
    <w:rsid w:val="47AE6FF8"/>
    <w:rsid w:val="48D29CB7"/>
    <w:rsid w:val="4D2780D1"/>
    <w:rsid w:val="4E03C87F"/>
    <w:rsid w:val="50C0BDFC"/>
    <w:rsid w:val="50E15872"/>
    <w:rsid w:val="5147E151"/>
    <w:rsid w:val="51E65927"/>
    <w:rsid w:val="5255858E"/>
    <w:rsid w:val="5378018F"/>
    <w:rsid w:val="5AD85FDE"/>
    <w:rsid w:val="5FC4D6AA"/>
    <w:rsid w:val="60EC4A82"/>
    <w:rsid w:val="61832799"/>
    <w:rsid w:val="642832D3"/>
    <w:rsid w:val="6AE6C184"/>
    <w:rsid w:val="6C5CDF05"/>
    <w:rsid w:val="6C65CAFE"/>
    <w:rsid w:val="6D81BC68"/>
    <w:rsid w:val="6D87F0E8"/>
    <w:rsid w:val="6F79476A"/>
    <w:rsid w:val="7155DE86"/>
    <w:rsid w:val="772835B5"/>
    <w:rsid w:val="7A2092EC"/>
    <w:rsid w:val="7ADC1B7F"/>
    <w:rsid w:val="7CB3C9B2"/>
    <w:rsid w:val="7E88E0F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1D9B694"/>
  <w15:chartTrackingRefBased/>
  <w15:docId w15:val="{54B58D40-FE88-44B8-960C-ADD923113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unhideWhenUsed/>
    <w:rsid w:val="000B6A34"/>
    <w:rPr>
      <w:sz w:val="16"/>
      <w:szCs w:val="16"/>
    </w:rPr>
  </w:style>
  <w:style w:type="paragraph" w:styleId="CommentText">
    <w:name w:val="annotation text"/>
    <w:basedOn w:val="Normal"/>
    <w:link w:val="CommentTextChar"/>
    <w:uiPriority w:val="99"/>
    <w:unhideWhenUsed/>
    <w:rsid w:val="000B6A34"/>
    <w:pPr>
      <w:spacing w:line="240" w:lineRule="auto"/>
    </w:pPr>
    <w:rPr>
      <w:sz w:val="20"/>
      <w:szCs w:val="20"/>
    </w:rPr>
  </w:style>
  <w:style w:type="character" w:customStyle="1" w:styleId="CommentTextChar">
    <w:name w:val="Comment Text Char"/>
    <w:basedOn w:val="DefaultParagraphFont"/>
    <w:link w:val="CommentText"/>
    <w:uiPriority w:val="99"/>
    <w:rsid w:val="000B6A34"/>
    <w:rPr>
      <w:sz w:val="20"/>
      <w:szCs w:val="20"/>
    </w:rPr>
  </w:style>
  <w:style w:type="paragraph" w:styleId="CommentSubject">
    <w:name w:val="annotation subject"/>
    <w:basedOn w:val="CommentText"/>
    <w:next w:val="CommentText"/>
    <w:link w:val="CommentSubjectChar"/>
    <w:uiPriority w:val="99"/>
    <w:semiHidden/>
    <w:unhideWhenUsed/>
    <w:rsid w:val="000B6A34"/>
    <w:rPr>
      <w:b/>
      <w:bCs/>
    </w:rPr>
  </w:style>
  <w:style w:type="character" w:customStyle="1" w:styleId="CommentSubjectChar">
    <w:name w:val="Comment Subject Char"/>
    <w:basedOn w:val="CommentTextChar"/>
    <w:link w:val="CommentSubject"/>
    <w:uiPriority w:val="99"/>
    <w:semiHidden/>
    <w:rsid w:val="000B6A34"/>
    <w:rPr>
      <w:b/>
      <w:bCs/>
      <w:sz w:val="20"/>
      <w:szCs w:val="20"/>
    </w:rPr>
  </w:style>
  <w:style w:type="paragraph" w:customStyle="1" w:styleId="BodyText-IPR">
    <w:name w:val="BodyText-IPR"/>
    <w:link w:val="BodyText-IPRChar"/>
    <w:qFormat/>
    <w:rsid w:val="00DE6366"/>
    <w:pPr>
      <w:spacing w:after="240" w:line="240" w:lineRule="auto"/>
    </w:pPr>
    <w:rPr>
      <w:rFonts w:ascii="Calibri" w:hAnsi="Calibri"/>
    </w:rPr>
  </w:style>
  <w:style w:type="character" w:customStyle="1" w:styleId="BodyText-IPRChar">
    <w:name w:val="BodyText-IPR Char"/>
    <w:basedOn w:val="DefaultParagraphFont"/>
    <w:link w:val="BodyText-IPR"/>
    <w:rsid w:val="00DE6366"/>
    <w:rPr>
      <w:rFonts w:ascii="Calibri" w:hAnsi="Calibri"/>
    </w:rPr>
  </w:style>
  <w:style w:type="paragraph" w:styleId="FootnoteText">
    <w:name w:val="footnote text"/>
    <w:aliases w:val="F,F1,Footnote Text Char Char,Footnote Text2"/>
    <w:basedOn w:val="Normal"/>
    <w:link w:val="FootnoteTextChar"/>
    <w:unhideWhenUsed/>
    <w:rsid w:val="00E03FB7"/>
    <w:pPr>
      <w:spacing w:after="0" w:line="240" w:lineRule="auto"/>
    </w:pPr>
    <w:rPr>
      <w:sz w:val="20"/>
      <w:szCs w:val="20"/>
    </w:rPr>
  </w:style>
  <w:style w:type="character" w:customStyle="1" w:styleId="FootnoteTextChar">
    <w:name w:val="Footnote Text Char"/>
    <w:aliases w:val="F Char,F1 Char,Footnote Text Char Char Char,Footnote Text2 Char"/>
    <w:basedOn w:val="DefaultParagraphFont"/>
    <w:link w:val="FootnoteText"/>
    <w:rsid w:val="00E03FB7"/>
    <w:rPr>
      <w:sz w:val="20"/>
      <w:szCs w:val="20"/>
    </w:rPr>
  </w:style>
  <w:style w:type="character" w:styleId="FootnoteReference">
    <w:name w:val="footnote reference"/>
    <w:aliases w:val="footnote reference,fr"/>
    <w:basedOn w:val="DefaultParagraphFont"/>
    <w:uiPriority w:val="99"/>
    <w:unhideWhenUsed/>
    <w:qFormat/>
    <w:rsid w:val="00E03FB7"/>
    <w:rPr>
      <w:vertAlign w:val="superscript"/>
    </w:rPr>
  </w:style>
  <w:style w:type="paragraph" w:customStyle="1" w:styleId="TableText-IPR">
    <w:name w:val="TableText-IPR"/>
    <w:link w:val="TableText-IPRChar"/>
    <w:qFormat/>
    <w:rsid w:val="004733C5"/>
    <w:pPr>
      <w:spacing w:after="0" w:line="240" w:lineRule="auto"/>
    </w:pPr>
    <w:rPr>
      <w:rFonts w:ascii="Calibri" w:hAnsi="Calibri" w:eastAsiaTheme="minorEastAsia" w:cs="Times New Roman"/>
      <w:sz w:val="20"/>
      <w:szCs w:val="20"/>
    </w:rPr>
  </w:style>
  <w:style w:type="character" w:customStyle="1" w:styleId="TableText-IPRChar">
    <w:name w:val="TableText-IPR Char"/>
    <w:basedOn w:val="DefaultParagraphFont"/>
    <w:link w:val="TableText-IPR"/>
    <w:rsid w:val="004733C5"/>
    <w:rPr>
      <w:rFonts w:ascii="Calibri" w:hAnsi="Calibri" w:eastAsiaTheme="minorEastAsia" w:cs="Times New Roman"/>
      <w:sz w:val="20"/>
      <w:szCs w:val="20"/>
    </w:rPr>
  </w:style>
  <w:style w:type="table" w:customStyle="1" w:styleId="InsightTable">
    <w:name w:val="Insight Table"/>
    <w:basedOn w:val="TableNormal"/>
    <w:uiPriority w:val="99"/>
    <w:rsid w:val="004733C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Corbel Light" w:hAnsi="Corbel Light"/>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4733C5"/>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4733C5"/>
    <w:rPr>
      <w:rFonts w:ascii="Lucida Sans" w:eastAsia="Times New Roman" w:hAnsi="Lucida Sans" w:cs="Lucida Sans Unicode"/>
      <w:b/>
      <w:sz w:val="18"/>
      <w:szCs w:val="24"/>
    </w:rPr>
  </w:style>
  <w:style w:type="paragraph" w:customStyle="1" w:styleId="TableRedBullets-IPR">
    <w:name w:val="TableRedBullets-IPR"/>
    <w:link w:val="TableRedBullets-IPRChar"/>
    <w:qFormat/>
    <w:rsid w:val="004733C5"/>
    <w:pPr>
      <w:numPr>
        <w:numId w:val="22"/>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4733C5"/>
    <w:rPr>
      <w:rFonts w:ascii="Calibri" w:hAnsi="Calibri" w:cstheme="minorHAnsi"/>
      <w:sz w:val="20"/>
      <w:szCs w:val="20"/>
    </w:rPr>
  </w:style>
  <w:style w:type="numbering" w:customStyle="1" w:styleId="TableRedBulletsList-IPR">
    <w:name w:val="TableRedBulletsList-IPR"/>
    <w:uiPriority w:val="99"/>
    <w:rsid w:val="004733C5"/>
    <w:pPr>
      <w:numPr>
        <w:numId w:val="2"/>
      </w:numPr>
    </w:pPr>
  </w:style>
  <w:style w:type="character" w:customStyle="1" w:styleId="Table-IPRChar">
    <w:name w:val="Table-IPR Char"/>
    <w:basedOn w:val="DefaultParagraphFont"/>
    <w:link w:val="Table-IPR"/>
    <w:locked/>
    <w:rsid w:val="004733C5"/>
    <w:rPr>
      <w:sz w:val="20"/>
    </w:rPr>
  </w:style>
  <w:style w:type="paragraph" w:customStyle="1" w:styleId="Table-IPR">
    <w:name w:val="Table-IPR"/>
    <w:basedOn w:val="Normal"/>
    <w:link w:val="Table-IPRChar"/>
    <w:qFormat/>
    <w:rsid w:val="004733C5"/>
    <w:pPr>
      <w:spacing w:after="0" w:line="240" w:lineRule="auto"/>
      <w:ind w:left="720" w:hanging="360"/>
      <w:contextualSpacing/>
    </w:pPr>
    <w:rPr>
      <w:sz w:val="20"/>
    </w:rPr>
  </w:style>
  <w:style w:type="paragraph" w:customStyle="1" w:styleId="TableTitle-IPR">
    <w:name w:val="TableTitle-IPR"/>
    <w:link w:val="TableTitle-IPRChar"/>
    <w:qFormat/>
    <w:rsid w:val="00492062"/>
    <w:pPr>
      <w:keepNext/>
      <w:spacing w:after="120" w:line="240" w:lineRule="auto"/>
    </w:pPr>
    <w:rPr>
      <w:rFonts w:ascii="Calibri" w:eastAsia="Times New Roman" w:hAnsi="Calibri" w:cs="Times New Roman"/>
      <w:b/>
      <w:i/>
      <w:szCs w:val="24"/>
    </w:rPr>
  </w:style>
  <w:style w:type="character" w:customStyle="1" w:styleId="TableTitle-IPRChar">
    <w:name w:val="TableTitle-IPR Char"/>
    <w:basedOn w:val="DefaultParagraphFont"/>
    <w:link w:val="TableTitle-IPR"/>
    <w:rsid w:val="00492062"/>
    <w:rPr>
      <w:rFonts w:ascii="Calibri" w:eastAsia="Times New Roman" w:hAnsi="Calibri" w:cs="Times New Roman"/>
      <w:b/>
      <w:i/>
      <w:szCs w:val="24"/>
    </w:rPr>
  </w:style>
  <w:style w:type="character" w:styleId="Hyperlink">
    <w:name w:val="Hyperlink"/>
    <w:basedOn w:val="DefaultParagraphFont"/>
    <w:uiPriority w:val="99"/>
    <w:unhideWhenUsed/>
    <w:rsid w:val="007C1C52"/>
    <w:rPr>
      <w:color w:val="B12732"/>
      <w:u w:val="single"/>
    </w:rPr>
  </w:style>
  <w:style w:type="character" w:customStyle="1" w:styleId="UnresolvedMention1">
    <w:name w:val="Unresolved Mention1"/>
    <w:basedOn w:val="DefaultParagraphFont"/>
    <w:uiPriority w:val="99"/>
    <w:semiHidden/>
    <w:unhideWhenUsed/>
    <w:rsid w:val="002C219E"/>
    <w:rPr>
      <w:color w:val="605E5C"/>
      <w:shd w:val="clear" w:color="auto" w:fill="E1DFDD"/>
    </w:rPr>
  </w:style>
  <w:style w:type="paragraph" w:styleId="Revision">
    <w:name w:val="Revision"/>
    <w:hidden/>
    <w:uiPriority w:val="99"/>
    <w:semiHidden/>
    <w:rsid w:val="00535A2D"/>
    <w:pPr>
      <w:spacing w:after="0" w:line="240" w:lineRule="auto"/>
    </w:pPr>
  </w:style>
  <w:style w:type="character" w:customStyle="1" w:styleId="InstructionsChar">
    <w:name w:val="Instructions Char"/>
    <w:basedOn w:val="DefaultParagraphFont"/>
    <w:link w:val="Instructions"/>
    <w:locked/>
    <w:rsid w:val="00535A2D"/>
    <w:rPr>
      <w:rFonts w:ascii="Candara" w:eastAsia="Times New Roman" w:hAnsi="Candara"/>
      <w:b/>
      <w:szCs w:val="24"/>
    </w:rPr>
  </w:style>
  <w:style w:type="paragraph" w:customStyle="1" w:styleId="Instructions">
    <w:name w:val="Instructions"/>
    <w:basedOn w:val="Normal"/>
    <w:link w:val="InstructionsChar"/>
    <w:qFormat/>
    <w:rsid w:val="00535A2D"/>
    <w:pPr>
      <w:keepNext/>
      <w:spacing w:after="240" w:line="480" w:lineRule="auto"/>
    </w:pPr>
    <w:rPr>
      <w:rFonts w:ascii="Candara" w:eastAsia="Times New Roman" w:hAnsi="Candara"/>
      <w:b/>
      <w:szCs w:val="24"/>
    </w:rPr>
  </w:style>
  <w:style w:type="paragraph" w:customStyle="1" w:styleId="FtnteTable-IPR">
    <w:name w:val="FtnteTable-IPR"/>
    <w:link w:val="FtnteTable-IPRChar"/>
    <w:qFormat/>
    <w:rsid w:val="00581431"/>
    <w:pPr>
      <w:spacing w:before="60" w:after="0" w:line="240" w:lineRule="auto"/>
      <w:contextualSpacing/>
    </w:pPr>
    <w:rPr>
      <w:rFonts w:ascii="Calibri" w:eastAsia="Calibri" w:hAnsi="Calibri" w:cs="Calibri"/>
      <w:sz w:val="18"/>
      <w:szCs w:val="20"/>
    </w:rPr>
  </w:style>
  <w:style w:type="character" w:customStyle="1" w:styleId="FtnteTable-IPRChar">
    <w:name w:val="FtnteTable-IPR Char"/>
    <w:basedOn w:val="DefaultParagraphFont"/>
    <w:link w:val="FtnteTable-IPR"/>
    <w:rsid w:val="00581431"/>
    <w:rPr>
      <w:rFonts w:ascii="Calibri" w:eastAsia="Calibri" w:hAnsi="Calibri" w:cs="Calibri"/>
      <w:sz w:val="18"/>
      <w:szCs w:val="20"/>
    </w:rPr>
  </w:style>
  <w:style w:type="character" w:customStyle="1" w:styleId="Body11ptCalibrDBi-IPRChar">
    <w:name w:val="Body11ptCalibrDBi-IPR Char"/>
    <w:basedOn w:val="DefaultParagraphFont"/>
    <w:link w:val="Body11ptCalibrDBi-IPR"/>
    <w:locked/>
    <w:rsid w:val="004C7F7D"/>
    <w:rPr>
      <w:rFonts w:ascii="Calibri" w:eastAsia="Times New Roman" w:hAnsi="Calibri" w:cs="Calibri"/>
      <w:szCs w:val="24"/>
    </w:rPr>
  </w:style>
  <w:style w:type="paragraph" w:customStyle="1" w:styleId="Body11ptCalibrDBi-IPR">
    <w:name w:val="Body11ptCalibrDBi-IPR"/>
    <w:link w:val="Body11ptCalibrDBi-IPRChar"/>
    <w:qFormat/>
    <w:rsid w:val="004C7F7D"/>
    <w:pPr>
      <w:spacing w:after="240" w:line="480" w:lineRule="auto"/>
    </w:pPr>
    <w:rPr>
      <w:rFonts w:ascii="Calibri" w:eastAsia="Times New Roman" w:hAnsi="Calibri" w:cs="Calibri"/>
      <w:szCs w:val="24"/>
    </w:rPr>
  </w:style>
  <w:style w:type="paragraph" w:customStyle="1" w:styleId="NumbersRed-IPR">
    <w:name w:val="NumbersRed-IPR"/>
    <w:link w:val="NumbersRed-IPRChar"/>
    <w:qFormat/>
    <w:rsid w:val="00CF0338"/>
    <w:pPr>
      <w:spacing w:after="120" w:line="240" w:lineRule="auto"/>
      <w:ind w:left="720" w:hanging="360"/>
    </w:pPr>
    <w:rPr>
      <w:rFonts w:ascii="Calibri" w:hAnsi="Calibri"/>
    </w:rPr>
  </w:style>
  <w:style w:type="character" w:customStyle="1" w:styleId="NumbersRed-IPRChar">
    <w:name w:val="NumbersRed-IPR Char"/>
    <w:basedOn w:val="DefaultParagraphFont"/>
    <w:link w:val="NumbersRed-IPR"/>
    <w:rsid w:val="00CF0338"/>
    <w:rPr>
      <w:rFonts w:ascii="Calibri" w:hAnsi="Calibri"/>
    </w:rPr>
  </w:style>
  <w:style w:type="paragraph" w:customStyle="1" w:styleId="TextBox2RedBold-IPR">
    <w:name w:val="TextBox2RedBold-IPR"/>
    <w:link w:val="TextBox2RedBold-IPRChar"/>
    <w:qFormat/>
    <w:rsid w:val="00CF0338"/>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character" w:customStyle="1" w:styleId="TextBox2RedBold-IPRChar">
    <w:name w:val="TextBox2RedBold-IPR Char"/>
    <w:basedOn w:val="DefaultParagraphFont"/>
    <w:link w:val="TextBox2RedBold-IPR"/>
    <w:rsid w:val="00CF0338"/>
    <w:rPr>
      <w:rFonts w:ascii="Century Gothic" w:hAnsi="Century Gothic" w:eastAsiaTheme="minorEastAsia" w:cs="Times New Roman"/>
      <w:color w:val="B12732"/>
      <w:sz w:val="20"/>
      <w:szCs w:val="20"/>
    </w:rPr>
  </w:style>
  <w:style w:type="paragraph" w:customStyle="1" w:styleId="FigureTitle-IPR">
    <w:name w:val="FigureTitle-IPR"/>
    <w:link w:val="FigureTitle-IPRChar"/>
    <w:qFormat/>
    <w:rsid w:val="00CF0338"/>
    <w:pPr>
      <w:spacing w:after="120" w:line="240" w:lineRule="auto"/>
    </w:pPr>
    <w:rPr>
      <w:rFonts w:ascii="Calibri" w:eastAsia="Times New Roman" w:hAnsi="Calibri" w:cs="Times New Roman"/>
      <w:b/>
      <w:i/>
      <w:szCs w:val="24"/>
    </w:rPr>
  </w:style>
  <w:style w:type="character" w:customStyle="1" w:styleId="FigureTitle-IPRChar">
    <w:name w:val="FigureTitle-IPR Char"/>
    <w:basedOn w:val="DefaultParagraphFont"/>
    <w:link w:val="FigureTitle-IPR"/>
    <w:rsid w:val="00CF0338"/>
    <w:rPr>
      <w:rFonts w:ascii="Calibri" w:eastAsia="Times New Roman" w:hAnsi="Calibri" w:cs="Times New Roman"/>
      <w:b/>
      <w:i/>
      <w:szCs w:val="24"/>
    </w:rPr>
  </w:style>
  <w:style w:type="paragraph" w:customStyle="1" w:styleId="Heading4-IPR">
    <w:name w:val="Heading4-IPR"/>
    <w:link w:val="Heading4-IPRChar"/>
    <w:qFormat/>
    <w:rsid w:val="00CF0338"/>
    <w:pPr>
      <w:keepNext/>
      <w:spacing w:after="240" w:line="240" w:lineRule="auto"/>
      <w:ind w:left="360" w:hanging="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CF0338"/>
    <w:rPr>
      <w:rFonts w:ascii="Candara" w:eastAsia="Times New Roman" w:hAnsi="Candara" w:cs="Tahoma"/>
      <w:b/>
      <w:i/>
      <w:color w:val="B12732"/>
      <w:szCs w:val="26"/>
    </w:rPr>
  </w:style>
  <w:style w:type="paragraph" w:customStyle="1" w:styleId="FtnteBody-IPR">
    <w:name w:val="FtnteBody-IPR"/>
    <w:link w:val="FtnteBody-IPRChar"/>
    <w:qFormat/>
    <w:rsid w:val="00CF0338"/>
    <w:pPr>
      <w:spacing w:after="0" w:line="240" w:lineRule="auto"/>
    </w:pPr>
    <w:rPr>
      <w:rFonts w:ascii="Calibri" w:hAnsi="Calibri"/>
      <w:sz w:val="16"/>
      <w:szCs w:val="20"/>
    </w:rPr>
  </w:style>
  <w:style w:type="character" w:customStyle="1" w:styleId="FtnteBody-IPRChar">
    <w:name w:val="FtnteBody-IPR Char"/>
    <w:basedOn w:val="FootnoteTextChar"/>
    <w:link w:val="FtnteBody-IPR"/>
    <w:rsid w:val="00CF0338"/>
    <w:rPr>
      <w:rFonts w:ascii="Calibri" w:hAnsi="Calibri"/>
      <w:sz w:val="16"/>
      <w:szCs w:val="20"/>
    </w:rPr>
  </w:style>
  <w:style w:type="paragraph" w:customStyle="1" w:styleId="TextboxBullets">
    <w:name w:val="TextboxBullets"/>
    <w:basedOn w:val="TableRedBullets-IPR"/>
    <w:link w:val="TextboxBulletsChar"/>
    <w:qFormat/>
    <w:rsid w:val="00CF0338"/>
    <w:pPr>
      <w:numPr>
        <w:numId w:val="13"/>
      </w:numPr>
      <w:tabs>
        <w:tab w:val="left" w:pos="180"/>
      </w:tabs>
      <w:ind w:left="576" w:hanging="288"/>
    </w:pPr>
  </w:style>
  <w:style w:type="character" w:customStyle="1" w:styleId="TextboxBulletsChar">
    <w:name w:val="TextboxBullets Char"/>
    <w:basedOn w:val="TableRedBullets-IPRChar"/>
    <w:link w:val="TextboxBullets"/>
    <w:rsid w:val="00CF0338"/>
    <w:rPr>
      <w:rFonts w:ascii="Calibri" w:hAnsi="Calibri" w:cstheme="minorHAnsi"/>
      <w:sz w:val="20"/>
      <w:szCs w:val="20"/>
    </w:rPr>
  </w:style>
  <w:style w:type="character" w:customStyle="1" w:styleId="Heading3WithoutNumebrsChar">
    <w:name w:val="Heading 3 Without Numebrs Char"/>
    <w:basedOn w:val="DefaultParagraphFont"/>
    <w:link w:val="Heading3WithoutNumebrs"/>
    <w:locked/>
    <w:rsid w:val="009B6F46"/>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qFormat/>
    <w:rsid w:val="009B6F46"/>
    <w:pPr>
      <w:keepNext/>
      <w:spacing w:after="240" w:line="240" w:lineRule="auto"/>
      <w:outlineLvl w:val="2"/>
    </w:pPr>
    <w:rPr>
      <w:rFonts w:ascii="Candara" w:eastAsia="Calibri" w:hAnsi="Candara" w:cs="Arial"/>
      <w:b/>
      <w:bCs/>
      <w:color w:val="B12732"/>
      <w:sz w:val="24"/>
      <w:szCs w:val="24"/>
    </w:rPr>
  </w:style>
  <w:style w:type="table" w:styleId="TableGrid">
    <w:name w:val="Table Grid"/>
    <w:basedOn w:val="TableNormal"/>
    <w:uiPriority w:val="59"/>
    <w:rsid w:val="006668A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Normal"/>
    <w:rsid w:val="00B15426"/>
    <w:pPr>
      <w:spacing w:after="0" w:line="240" w:lineRule="auto"/>
    </w:pPr>
    <w:rPr>
      <w:rFonts w:ascii="Calibri" w:hAnsi="Calibri" w:cs="Calibri"/>
    </w:rPr>
  </w:style>
  <w:style w:type="character" w:customStyle="1" w:styleId="xcontentpasted0">
    <w:name w:val="x_contentpasted0"/>
    <w:basedOn w:val="DefaultParagraphFont"/>
    <w:rsid w:val="00B15426"/>
  </w:style>
  <w:style w:type="character" w:customStyle="1" w:styleId="BulletsRed-IPRChar">
    <w:name w:val="BulletsRed-IPR Char"/>
    <w:basedOn w:val="DefaultParagraphFont"/>
    <w:link w:val="BulletsRed-IPR"/>
    <w:locked/>
    <w:rsid w:val="000202A4"/>
    <w:rPr>
      <w:rFonts w:ascii="Calibri" w:hAnsi="Calibri" w:cs="Calibri"/>
      <w:szCs w:val="24"/>
    </w:rPr>
  </w:style>
  <w:style w:type="paragraph" w:customStyle="1" w:styleId="BulletsRed-IPR">
    <w:name w:val="BulletsRed-IPR"/>
    <w:link w:val="BulletsRed-IPRChar"/>
    <w:qFormat/>
    <w:rsid w:val="000202A4"/>
    <w:pPr>
      <w:numPr>
        <w:numId w:val="17"/>
      </w:numPr>
      <w:spacing w:after="120" w:line="480" w:lineRule="auto"/>
    </w:pPr>
    <w:rPr>
      <w:rFonts w:ascii="Calibri" w:hAnsi="Calibri" w:cs="Calibri"/>
      <w:szCs w:val="24"/>
    </w:rPr>
  </w:style>
  <w:style w:type="paragraph" w:styleId="Header">
    <w:name w:val="header"/>
    <w:basedOn w:val="Normal"/>
    <w:link w:val="HeaderChar"/>
    <w:uiPriority w:val="99"/>
    <w:unhideWhenUsed/>
    <w:rsid w:val="00116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FD4"/>
  </w:style>
  <w:style w:type="paragraph" w:styleId="Footer">
    <w:name w:val="footer"/>
    <w:basedOn w:val="Normal"/>
    <w:link w:val="FooterChar"/>
    <w:uiPriority w:val="99"/>
    <w:unhideWhenUsed/>
    <w:rsid w:val="00116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FD4"/>
  </w:style>
  <w:style w:type="character" w:customStyle="1" w:styleId="Mention1">
    <w:name w:val="Mention1"/>
    <w:basedOn w:val="DefaultParagraphFont"/>
    <w:uiPriority w:val="99"/>
    <w:unhideWhenUsed/>
    <w:rsid w:val="00B02865"/>
    <w:rPr>
      <w:color w:val="2B579A"/>
      <w:shd w:val="clear" w:color="auto" w:fill="E1DFDD"/>
    </w:rPr>
  </w:style>
  <w:style w:type="character" w:styleId="FollowedHyperlink">
    <w:name w:val="FollowedHyperlink"/>
    <w:basedOn w:val="DefaultParagraphFont"/>
    <w:uiPriority w:val="99"/>
    <w:semiHidden/>
    <w:unhideWhenUsed/>
    <w:rsid w:val="00B02865"/>
    <w:rPr>
      <w:color w:val="954F72" w:themeColor="followedHyperlink"/>
      <w:u w:val="single"/>
    </w:rPr>
  </w:style>
  <w:style w:type="paragraph" w:customStyle="1" w:styleId="TableTextLeft">
    <w:name w:val="Table Text Left"/>
    <w:qFormat/>
    <w:rsid w:val="00B02865"/>
    <w:pPr>
      <w:spacing w:before="40" w:after="20" w:line="264" w:lineRule="auto"/>
    </w:pPr>
    <w:rPr>
      <w:rFonts w:asciiTheme="majorHAnsi" w:hAnsiTheme="majorHAnsi"/>
      <w:color w:val="000000" w:themeColor="text1"/>
      <w:sz w:val="18"/>
    </w:rPr>
  </w:style>
  <w:style w:type="paragraph" w:customStyle="1" w:styleId="TableHeaderCenter">
    <w:name w:val="Table Header Center"/>
    <w:basedOn w:val="TableTextLeft"/>
    <w:qFormat/>
    <w:rsid w:val="00B02865"/>
    <w:pPr>
      <w:keepNext/>
      <w:jc w:val="center"/>
    </w:pPr>
    <w:rPr>
      <w:color w:val="FFFFFF" w:themeColor="background1"/>
      <w:sz w:val="20"/>
    </w:rPr>
  </w:style>
  <w:style w:type="paragraph" w:customStyle="1" w:styleId="TableHeaderLeft">
    <w:name w:val="Table Header Left"/>
    <w:basedOn w:val="TableTextLeft"/>
    <w:qFormat/>
    <w:rsid w:val="00B02865"/>
    <w:pPr>
      <w:keepNext/>
    </w:pPr>
    <w:rPr>
      <w:color w:val="FFFFFF" w:themeColor="background1"/>
      <w:sz w:val="20"/>
    </w:rPr>
  </w:style>
  <w:style w:type="paragraph" w:customStyle="1" w:styleId="TableTitle">
    <w:name w:val="Table Title"/>
    <w:basedOn w:val="Normal"/>
    <w:qFormat/>
    <w:rsid w:val="00B02865"/>
    <w:pPr>
      <w:keepNext/>
      <w:keepLines/>
      <w:spacing w:before="40" w:after="40" w:line="264" w:lineRule="auto"/>
    </w:pPr>
    <w:rPr>
      <w:rFonts w:asciiTheme="majorHAnsi" w:hAnsiTheme="majorHAnsi"/>
      <w:b/>
      <w:color w:val="000000" w:themeColor="text1"/>
      <w:sz w:val="20"/>
    </w:rPr>
  </w:style>
  <w:style w:type="table" w:customStyle="1" w:styleId="MathUBaseTable">
    <w:name w:val="MathU Base Table"/>
    <w:basedOn w:val="TableNormal"/>
    <w:rsid w:val="00B02865"/>
    <w:pPr>
      <w:spacing w:before="40" w:after="20" w:line="240" w:lineRule="auto"/>
    </w:pPr>
    <w:rPr>
      <w:rFonts w:asciiTheme="majorHAnsi" w:hAnsiTheme="majorHAnsi"/>
      <w:sz w:val="18"/>
    </w:rPr>
    <w:tblPr>
      <w:tblInd w:w="0" w:type="dxa"/>
      <w:tblBorders>
        <w:bottom w:val="single" w:sz="4" w:space="0" w:color="44546A" w:themeColor="text2"/>
        <w:insideH w:val="single" w:sz="4" w:space="0" w:color="44546A" w:themeColor="text2"/>
      </w:tblBorders>
      <w:tblCellMar>
        <w:left w:w="58" w:type="dxa"/>
        <w:right w:w="58" w:type="dxa"/>
      </w:tblCellMar>
    </w:tblPr>
    <w:tcPr>
      <w:shd w:val="clear" w:color="auto" w:fill="FFFFFF" w:themeFill="background1"/>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44546A" w:themeFill="text2"/>
        <w:vAlign w:val="bottom"/>
      </w:tcPr>
    </w:tblStylePr>
    <w:tblStylePr w:type="lastRow">
      <w:rPr>
        <w:color w:val="FFFFFF" w:themeColor="background1"/>
      </w:rPr>
      <w:tblPr/>
      <w:tcPr>
        <w:tcBorders>
          <w:bottom w:val="single" w:sz="4" w:space="0" w:color="44546A" w:themeColor="text2"/>
        </w:tcBorders>
        <w:shd w:val="clear" w:color="auto" w:fill="FFFFFF" w:themeFill="background1"/>
      </w:tcPr>
    </w:tblStylePr>
    <w:tblStylePr w:type="firstCol">
      <w:tblPr/>
      <w:tcPr>
        <w:tcBorders>
          <w:right w:val="single" w:sz="4" w:space="0" w:color="44546A" w:themeColor="text2"/>
        </w:tcBorders>
        <w:shd w:val="clear" w:color="auto" w:fill="FFFFFF" w:themeFill="background1"/>
      </w:tcPr>
    </w:tblStylePr>
    <w:tblStylePr w:type="lastCol">
      <w:tblPr/>
      <w:tcPr>
        <w:tcBorders>
          <w:top w:val="nil"/>
          <w:left w:val="nil"/>
          <w:bottom w:val="nil"/>
          <w:right w:val="nil"/>
          <w:insideH w:val="single" w:sz="4" w:space="0" w:color="5B9BD5"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44546A" w:themeFill="text2"/>
      </w:tcPr>
    </w:tblStylePr>
  </w:style>
  <w:style w:type="character" w:customStyle="1" w:styleId="cf01">
    <w:name w:val="cf01"/>
    <w:basedOn w:val="DefaultParagraphFont"/>
    <w:rsid w:val="00B02865"/>
    <w:rPr>
      <w:rFonts w:ascii="Segoe UI" w:hAnsi="Segoe UI" w:cs="Segoe UI" w:hint="default"/>
      <w:sz w:val="18"/>
      <w:szCs w:val="18"/>
    </w:rPr>
  </w:style>
  <w:style w:type="character" w:customStyle="1" w:styleId="cf11">
    <w:name w:val="cf11"/>
    <w:basedOn w:val="DefaultParagraphFont"/>
    <w:rsid w:val="00B02865"/>
    <w:rPr>
      <w:rFonts w:ascii="Segoe UI" w:hAnsi="Segoe UI" w:cs="Segoe UI" w:hint="default"/>
      <w:color w:val="222222"/>
      <w:sz w:val="18"/>
      <w:szCs w:val="18"/>
      <w:shd w:val="clear" w:color="auto" w:fill="FFFFFF"/>
    </w:rPr>
  </w:style>
  <w:style w:type="paragraph" w:customStyle="1" w:styleId="msonormal">
    <w:name w:val="msonormal"/>
    <w:basedOn w:val="Normal"/>
    <w:rsid w:val="00B822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B822A4"/>
    <w:pPr>
      <w:spacing w:before="100" w:beforeAutospacing="1" w:after="100" w:afterAutospacing="1" w:line="240" w:lineRule="auto"/>
    </w:pPr>
    <w:rPr>
      <w:rFonts w:ascii="Calibri" w:eastAsia="Times New Roman" w:hAnsi="Calibri" w:cs="Calibri"/>
      <w:b/>
      <w:bCs/>
      <w:color w:val="000000"/>
      <w:sz w:val="20"/>
      <w:szCs w:val="20"/>
    </w:rPr>
  </w:style>
  <w:style w:type="paragraph" w:customStyle="1" w:styleId="font6">
    <w:name w:val="font6"/>
    <w:basedOn w:val="Normal"/>
    <w:rsid w:val="00B822A4"/>
    <w:pPr>
      <w:spacing w:before="100" w:beforeAutospacing="1" w:after="100" w:afterAutospacing="1" w:line="240" w:lineRule="auto"/>
    </w:pPr>
    <w:rPr>
      <w:rFonts w:ascii="Calibri" w:eastAsia="Times New Roman" w:hAnsi="Calibri" w:cs="Calibri"/>
      <w:color w:val="000000"/>
      <w:sz w:val="20"/>
      <w:szCs w:val="20"/>
    </w:rPr>
  </w:style>
  <w:style w:type="paragraph" w:customStyle="1" w:styleId="font7">
    <w:name w:val="font7"/>
    <w:basedOn w:val="Normal"/>
    <w:rsid w:val="00B822A4"/>
    <w:pPr>
      <w:spacing w:before="100" w:beforeAutospacing="1" w:after="100" w:afterAutospacing="1" w:line="240" w:lineRule="auto"/>
    </w:pPr>
    <w:rPr>
      <w:rFonts w:ascii="Calibri" w:eastAsia="Times New Roman" w:hAnsi="Calibri" w:cs="Calibri"/>
      <w:color w:val="000000"/>
      <w:sz w:val="20"/>
      <w:szCs w:val="20"/>
    </w:rPr>
  </w:style>
  <w:style w:type="paragraph" w:customStyle="1" w:styleId="xl63">
    <w:name w:val="xl63"/>
    <w:basedOn w:val="Normal"/>
    <w:rsid w:val="00B822A4"/>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4">
    <w:name w:val="xl64"/>
    <w:basedOn w:val="Normal"/>
    <w:rsid w:val="00B822A4"/>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5">
    <w:name w:val="xl65"/>
    <w:basedOn w:val="Normal"/>
    <w:rsid w:val="00B822A4"/>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6">
    <w:name w:val="xl66"/>
    <w:basedOn w:val="Normal"/>
    <w:rsid w:val="00B822A4"/>
    <w:pPr>
      <w:pBdr>
        <w:top w:val="single" w:sz="8" w:space="0" w:color="auto"/>
        <w:bottom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7">
    <w:name w:val="xl67"/>
    <w:basedOn w:val="Normal"/>
    <w:rsid w:val="00B82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Normal"/>
    <w:rsid w:val="00B822A4"/>
    <w:pPr>
      <w:pBdr>
        <w:top w:val="single" w:sz="8" w:space="0" w:color="auto"/>
        <w:left w:val="single" w:sz="8" w:space="0" w:color="auto"/>
        <w:bottom w:val="single" w:sz="4"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9">
    <w:name w:val="xl69"/>
    <w:basedOn w:val="Normal"/>
    <w:rsid w:val="00B822A4"/>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0">
    <w:name w:val="xl70"/>
    <w:basedOn w:val="Normal"/>
    <w:rsid w:val="00B822A4"/>
    <w:pPr>
      <w:pBdr>
        <w:top w:val="single" w:sz="4" w:space="0" w:color="auto"/>
        <w:left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Normal"/>
    <w:rsid w:val="00B822A4"/>
    <w:pPr>
      <w:pBdr>
        <w:top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2">
    <w:name w:val="xl72"/>
    <w:basedOn w:val="Normal"/>
    <w:rsid w:val="00B822A4"/>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Normal"/>
    <w:rsid w:val="00B822A4"/>
    <w:pPr>
      <w:pBdr>
        <w:top w:val="single" w:sz="4" w:space="0" w:color="auto"/>
        <w:left w:val="single" w:sz="4"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4">
    <w:name w:val="xl74"/>
    <w:basedOn w:val="Normal"/>
    <w:rsid w:val="00B822A4"/>
    <w:pPr>
      <w:pBdr>
        <w:top w:val="single" w:sz="4" w:space="0" w:color="auto"/>
        <w:lef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5">
    <w:name w:val="xl75"/>
    <w:basedOn w:val="Normal"/>
    <w:rsid w:val="00B822A4"/>
    <w:pPr>
      <w:pBdr>
        <w:top w:val="single" w:sz="4" w:space="0" w:color="auto"/>
        <w:left w:val="single" w:sz="8"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6">
    <w:name w:val="xl76"/>
    <w:basedOn w:val="Normal"/>
    <w:rsid w:val="00B82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7">
    <w:name w:val="xl77"/>
    <w:basedOn w:val="Normal"/>
    <w:rsid w:val="00B82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8">
    <w:name w:val="xl78"/>
    <w:basedOn w:val="Normal"/>
    <w:rsid w:val="00B82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79">
    <w:name w:val="xl79"/>
    <w:basedOn w:val="Normal"/>
    <w:rsid w:val="00B822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0">
    <w:name w:val="xl80"/>
    <w:basedOn w:val="Normal"/>
    <w:rsid w:val="00B822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Normal"/>
    <w:rsid w:val="00B82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Normal"/>
    <w:rsid w:val="00B822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3">
    <w:name w:val="xl83"/>
    <w:basedOn w:val="Normal"/>
    <w:rsid w:val="00B822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Normal"/>
    <w:rsid w:val="00B82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5">
    <w:name w:val="xl85"/>
    <w:basedOn w:val="Normal"/>
    <w:rsid w:val="00B82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6">
    <w:name w:val="xl86"/>
    <w:basedOn w:val="Normal"/>
    <w:rsid w:val="00B82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7">
    <w:name w:val="xl87"/>
    <w:basedOn w:val="Normal"/>
    <w:rsid w:val="00B82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8">
    <w:name w:val="xl88"/>
    <w:basedOn w:val="Normal"/>
    <w:rsid w:val="00B822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9">
    <w:name w:val="xl89"/>
    <w:basedOn w:val="Normal"/>
    <w:rsid w:val="00B822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0">
    <w:name w:val="xl90"/>
    <w:basedOn w:val="Normal"/>
    <w:rsid w:val="00B82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1">
    <w:name w:val="xl91"/>
    <w:basedOn w:val="Normal"/>
    <w:rsid w:val="00B82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2">
    <w:name w:val="xl92"/>
    <w:basedOn w:val="Normal"/>
    <w:rsid w:val="00B82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3">
    <w:name w:val="xl93"/>
    <w:basedOn w:val="Normal"/>
    <w:rsid w:val="00B822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4">
    <w:name w:val="xl94"/>
    <w:basedOn w:val="Normal"/>
    <w:rsid w:val="00B82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5">
    <w:name w:val="xl95"/>
    <w:basedOn w:val="Normal"/>
    <w:rsid w:val="00B822A4"/>
    <w:pP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96">
    <w:name w:val="xl96"/>
    <w:basedOn w:val="Normal"/>
    <w:rsid w:val="00B822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7">
    <w:name w:val="xl97"/>
    <w:basedOn w:val="Normal"/>
    <w:rsid w:val="00B822A4"/>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98">
    <w:name w:val="xl98"/>
    <w:basedOn w:val="Normal"/>
    <w:rsid w:val="00B822A4"/>
    <w:pPr>
      <w:pBdr>
        <w:top w:val="single" w:sz="4" w:space="0" w:color="auto"/>
        <w:left w:val="single" w:sz="4" w:space="0" w:color="auto"/>
        <w:right w:val="single" w:sz="4" w:space="0" w:color="auto"/>
      </w:pBdr>
      <w:shd w:val="clear" w:color="000000" w:fill="B8CCE4"/>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99">
    <w:name w:val="xl99"/>
    <w:basedOn w:val="Normal"/>
    <w:rsid w:val="00B822A4"/>
    <w:pPr>
      <w:pBdr>
        <w:top w:val="single" w:sz="8" w:space="0" w:color="auto"/>
        <w:left w:val="single" w:sz="8"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0">
    <w:name w:val="xl100"/>
    <w:basedOn w:val="Normal"/>
    <w:rsid w:val="00B82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Normal"/>
    <w:rsid w:val="00B822A4"/>
    <w:pPr>
      <w:pBdr>
        <w:top w:val="single" w:sz="4" w:space="0" w:color="auto"/>
        <w:left w:val="single" w:sz="8"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2">
    <w:name w:val="xl102"/>
    <w:basedOn w:val="Normal"/>
    <w:rsid w:val="00B82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3">
    <w:name w:val="xl103"/>
    <w:basedOn w:val="Normal"/>
    <w:rsid w:val="00B822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4">
    <w:name w:val="xl104"/>
    <w:basedOn w:val="Normal"/>
    <w:rsid w:val="00B82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5">
    <w:name w:val="xl105"/>
    <w:basedOn w:val="Normal"/>
    <w:rsid w:val="00B82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6">
    <w:name w:val="xl106"/>
    <w:basedOn w:val="Normal"/>
    <w:rsid w:val="00B822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7">
    <w:name w:val="xl107"/>
    <w:basedOn w:val="Normal"/>
    <w:rsid w:val="00B822A4"/>
    <w:pPr>
      <w:pBdr>
        <w:top w:val="single" w:sz="8" w:space="0" w:color="auto"/>
        <w:left w:val="single" w:sz="8" w:space="0" w:color="auto"/>
        <w:bottom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8">
    <w:name w:val="xl108"/>
    <w:basedOn w:val="Normal"/>
    <w:rsid w:val="00B822A4"/>
    <w:pPr>
      <w:pBdr>
        <w:top w:val="single" w:sz="8" w:space="0" w:color="auto"/>
        <w:bottom w:val="single" w:sz="4"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9">
    <w:name w:val="xl109"/>
    <w:basedOn w:val="Normal"/>
    <w:rsid w:val="00B822A4"/>
    <w:pPr>
      <w:pBdr>
        <w:top w:val="single" w:sz="8"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10">
    <w:name w:val="xl110"/>
    <w:basedOn w:val="Normal"/>
    <w:rsid w:val="00B822A4"/>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11">
    <w:name w:val="xl111"/>
    <w:basedOn w:val="Normal"/>
    <w:rsid w:val="00B822A4"/>
    <w:pPr>
      <w:pBdr>
        <w:top w:val="single" w:sz="8" w:space="0" w:color="auto"/>
        <w:left w:val="single" w:sz="4" w:space="0" w:color="auto"/>
        <w:bottom w:val="single" w:sz="4"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12">
    <w:name w:val="xl112"/>
    <w:basedOn w:val="Normal"/>
    <w:rsid w:val="00B822A4"/>
    <w:pPr>
      <w:pBdr>
        <w:top w:val="single" w:sz="8" w:space="0" w:color="auto"/>
        <w:left w:val="single" w:sz="4" w:space="0" w:color="auto"/>
        <w:bottom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13">
    <w:name w:val="xl113"/>
    <w:basedOn w:val="Normal"/>
    <w:rsid w:val="00B822A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4">
    <w:name w:val="xl114"/>
    <w:basedOn w:val="Normal"/>
    <w:rsid w:val="00B822A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5">
    <w:name w:val="xl115"/>
    <w:basedOn w:val="Normal"/>
    <w:rsid w:val="00B822A4"/>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6">
    <w:name w:val="xl116"/>
    <w:basedOn w:val="Normal"/>
    <w:rsid w:val="00B822A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7">
    <w:name w:val="xl117"/>
    <w:basedOn w:val="Normal"/>
    <w:rsid w:val="00B822A4"/>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8">
    <w:name w:val="xl118"/>
    <w:basedOn w:val="Normal"/>
    <w:rsid w:val="00B822A4"/>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9">
    <w:name w:val="xl119"/>
    <w:basedOn w:val="Normal"/>
    <w:rsid w:val="00B822A4"/>
    <w:pPr>
      <w:pBdr>
        <w:top w:val="single" w:sz="4" w:space="0" w:color="auto"/>
        <w:left w:val="single" w:sz="4" w:space="0" w:color="auto"/>
        <w:bottom w:val="single" w:sz="4" w:space="0" w:color="auto"/>
      </w:pBdr>
      <w:shd w:val="clear" w:color="000000" w:fill="B8CCE4"/>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0">
    <w:name w:val="xl120"/>
    <w:basedOn w:val="Normal"/>
    <w:rsid w:val="00B822A4"/>
    <w:pPr>
      <w:pBdr>
        <w:top w:val="single" w:sz="4" w:space="0" w:color="auto"/>
        <w:bottom w:val="single" w:sz="4" w:space="0" w:color="auto"/>
        <w:right w:val="single" w:sz="4" w:space="0" w:color="auto"/>
      </w:pBdr>
      <w:shd w:val="clear" w:color="000000" w:fill="B8CCE4"/>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Normal"/>
    <w:rsid w:val="00B822A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2">
    <w:name w:val="xl122"/>
    <w:basedOn w:val="Normal"/>
    <w:rsid w:val="00B822A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23">
    <w:name w:val="xl123"/>
    <w:basedOn w:val="Normal"/>
    <w:rsid w:val="00B822A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24">
    <w:name w:val="xl124"/>
    <w:basedOn w:val="Normal"/>
    <w:rsid w:val="00B822A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25">
    <w:name w:val="xl125"/>
    <w:basedOn w:val="Normal"/>
    <w:rsid w:val="00B822A4"/>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6">
    <w:name w:val="xl126"/>
    <w:basedOn w:val="Normal"/>
    <w:rsid w:val="00B822A4"/>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7">
    <w:name w:val="xl127"/>
    <w:basedOn w:val="Normal"/>
    <w:rsid w:val="00B822A4"/>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8">
    <w:name w:val="xl128"/>
    <w:basedOn w:val="Normal"/>
    <w:rsid w:val="00B822A4"/>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9">
    <w:name w:val="xl129"/>
    <w:basedOn w:val="Normal"/>
    <w:rsid w:val="00B822A4"/>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0">
    <w:name w:val="xl130"/>
    <w:basedOn w:val="Normal"/>
    <w:rsid w:val="00B822A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1">
    <w:name w:val="xl131"/>
    <w:basedOn w:val="Normal"/>
    <w:rsid w:val="00B822A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2">
    <w:name w:val="xl132"/>
    <w:basedOn w:val="Normal"/>
    <w:rsid w:val="00B822A4"/>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3">
    <w:name w:val="xl133"/>
    <w:basedOn w:val="Normal"/>
    <w:rsid w:val="00B822A4"/>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4">
    <w:name w:val="xl134"/>
    <w:basedOn w:val="Normal"/>
    <w:rsid w:val="00B822A4"/>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TableTextDecimal">
    <w:name w:val="Table Text Decimal"/>
    <w:basedOn w:val="TableTextLeft"/>
    <w:qFormat/>
    <w:rsid w:val="00E8124D"/>
    <w:pPr>
      <w:tabs>
        <w:tab w:val="decimal" w:pos="576"/>
      </w:tabs>
    </w:pPr>
  </w:style>
  <w:style w:type="paragraph" w:customStyle="1" w:styleId="Question">
    <w:name w:val="Question"/>
    <w:basedOn w:val="Normal"/>
    <w:link w:val="QuestionChar"/>
    <w:qFormat/>
    <w:rsid w:val="00E50BDB"/>
    <w:pPr>
      <w:spacing w:after="480" w:line="240" w:lineRule="auto"/>
    </w:pPr>
    <w:rPr>
      <w:rFonts w:ascii="Candara" w:eastAsia="Calibri" w:hAnsi="Candara" w:cs="Calibri"/>
      <w:b/>
      <w:bCs/>
      <w:sz w:val="24"/>
      <w:szCs w:val="24"/>
    </w:rPr>
  </w:style>
  <w:style w:type="character" w:customStyle="1" w:styleId="QuestionChar">
    <w:name w:val="Question Char"/>
    <w:basedOn w:val="DefaultParagraphFont"/>
    <w:link w:val="Question"/>
    <w:rsid w:val="00E50BDB"/>
    <w:rPr>
      <w:rFonts w:ascii="Candara" w:eastAsia="Calibri" w:hAnsi="Candara" w:cs="Calibri"/>
      <w:b/>
      <w:bCs/>
      <w:sz w:val="24"/>
      <w:szCs w:val="24"/>
    </w:rPr>
  </w:style>
  <w:style w:type="paragraph" w:customStyle="1" w:styleId="FooterRedInsight-IPR">
    <w:name w:val="FooterRedInsight-IPR"/>
    <w:link w:val="FooterRedInsight-IPRChar"/>
    <w:qFormat/>
    <w:rsid w:val="000668C0"/>
    <w:pPr>
      <w:pBdr>
        <w:top w:val="single" w:sz="8" w:space="1" w:color="B12732"/>
      </w:pBdr>
      <w:spacing w:after="0" w:line="240" w:lineRule="auto"/>
    </w:pPr>
    <w:rPr>
      <w:rFonts w:ascii="Calibri" w:hAnsi="Calibri"/>
      <w:i/>
      <w:color w:val="B12732"/>
      <w:sz w:val="20"/>
    </w:rPr>
  </w:style>
  <w:style w:type="character" w:customStyle="1" w:styleId="FooterRedInsight-IPRChar">
    <w:name w:val="FooterRedInsight-IPR Char"/>
    <w:basedOn w:val="DefaultParagraphFont"/>
    <w:link w:val="FooterRedInsight-IPR"/>
    <w:rsid w:val="000668C0"/>
    <w:rPr>
      <w:rFonts w:ascii="Calibri" w:hAnsi="Calibri"/>
      <w:i/>
      <w:color w:val="B12732"/>
      <w:sz w:val="20"/>
    </w:rPr>
  </w:style>
  <w:style w:type="paragraph" w:customStyle="1" w:styleId="FooterTitle-IPR">
    <w:name w:val="FooterTitle-IPR"/>
    <w:link w:val="FooterTitle-IPRChar"/>
    <w:qFormat/>
    <w:rsid w:val="000668C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0668C0"/>
    <w:rPr>
      <w:rFonts w:ascii="Calibri" w:eastAsia="Times New Roman" w:hAnsi="Calibri" w:cs="Arial"/>
      <w:i/>
      <w:sz w:val="20"/>
      <w:szCs w:val="18"/>
    </w:rPr>
  </w:style>
  <w:style w:type="paragraph" w:customStyle="1" w:styleId="DocTitle-IPR">
    <w:name w:val="DocTitle-IPR"/>
    <w:link w:val="DocTitle-IPRChar"/>
    <w:qFormat/>
    <w:rsid w:val="0021559D"/>
    <w:pPr>
      <w:spacing w:after="0" w:line="240" w:lineRule="auto"/>
      <w:jc w:val="center"/>
    </w:pPr>
    <w:rPr>
      <w:rFonts w:ascii="Calibri" w:eastAsia="Times New Roman" w:hAnsi="Calibri" w:cs="Calibri"/>
      <w:b/>
      <w:sz w:val="52"/>
      <w:szCs w:val="52"/>
    </w:rPr>
  </w:style>
  <w:style w:type="character" w:customStyle="1" w:styleId="DocTitle-IPRChar">
    <w:name w:val="DocTitle-IPR Char"/>
    <w:basedOn w:val="DefaultParagraphFont"/>
    <w:link w:val="DocTitle-IPR"/>
    <w:rsid w:val="0021559D"/>
    <w:rPr>
      <w:rFonts w:ascii="Calibri" w:eastAsia="Times New Roman" w:hAnsi="Calibri" w:cs="Calibri"/>
      <w:b/>
      <w:sz w:val="52"/>
      <w:szCs w:val="52"/>
    </w:rPr>
  </w:style>
  <w:style w:type="paragraph" w:styleId="BalloonText">
    <w:name w:val="Balloon Text"/>
    <w:basedOn w:val="Normal"/>
    <w:link w:val="BalloonTextChar"/>
    <w:uiPriority w:val="99"/>
    <w:semiHidden/>
    <w:unhideWhenUsed/>
    <w:rsid w:val="000A6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F89"/>
    <w:rPr>
      <w:rFonts w:ascii="Segoe UI" w:hAnsi="Segoe UI" w:cs="Segoe UI"/>
      <w:sz w:val="18"/>
      <w:szCs w:val="18"/>
    </w:rPr>
  </w:style>
  <w:style w:type="character" w:customStyle="1" w:styleId="Mention2">
    <w:name w:val="Mention2"/>
    <w:basedOn w:val="DefaultParagraphFont"/>
    <w:uiPriority w:val="99"/>
    <w:unhideWhenUsed/>
    <w:rsid w:val="00E977F6"/>
    <w:rPr>
      <w:color w:val="2B579A"/>
      <w:shd w:val="clear" w:color="auto" w:fill="E1DFDD"/>
    </w:rPr>
  </w:style>
  <w:style w:type="character" w:customStyle="1" w:styleId="UnresolvedMention2">
    <w:name w:val="Unresolved Mention2"/>
    <w:basedOn w:val="DefaultParagraphFont"/>
    <w:uiPriority w:val="99"/>
    <w:semiHidden/>
    <w:unhideWhenUsed/>
    <w:rsid w:val="003D7F6B"/>
    <w:rPr>
      <w:color w:val="605E5C"/>
      <w:shd w:val="clear" w:color="auto" w:fill="E1DFDD"/>
    </w:rPr>
  </w:style>
  <w:style w:type="character" w:customStyle="1" w:styleId="TOC1Char">
    <w:name w:val="TOC 1 Char"/>
    <w:basedOn w:val="DefaultParagraphFont"/>
    <w:link w:val="TOC1"/>
    <w:uiPriority w:val="39"/>
    <w:rsid w:val="0064514B"/>
    <w:rPr>
      <w:rFonts w:ascii="Calibri" w:eastAsia="Times New Roman" w:hAnsi="Calibri"/>
      <w:bCs/>
      <w:sz w:val="24"/>
      <w:szCs w:val="20"/>
    </w:rPr>
  </w:style>
  <w:style w:type="paragraph" w:styleId="TOC1">
    <w:name w:val="toc 1"/>
    <w:next w:val="Normal"/>
    <w:link w:val="TOC1Char"/>
    <w:uiPriority w:val="39"/>
    <w:unhideWhenUsed/>
    <w:rsid w:val="0064514B"/>
    <w:pPr>
      <w:spacing w:before="120" w:after="120" w:line="240" w:lineRule="auto"/>
      <w:ind w:left="360" w:hanging="360"/>
    </w:pPr>
    <w:rPr>
      <w:rFonts w:ascii="Calibri" w:eastAsia="Times New Roman" w:hAnsi="Calibri"/>
      <w:bCs/>
      <w:sz w:val="24"/>
      <w:szCs w:val="20"/>
    </w:rPr>
  </w:style>
  <w:style w:type="paragraph" w:customStyle="1" w:styleId="TOCListText-IPR">
    <w:name w:val="TOCListText-IPR"/>
    <w:link w:val="TOCListText-IPRChar"/>
    <w:qFormat/>
    <w:rsid w:val="0064514B"/>
    <w:pPr>
      <w:tabs>
        <w:tab w:val="right" w:leader="dot" w:pos="9360"/>
      </w:tabs>
      <w:spacing w:after="0" w:line="240" w:lineRule="auto"/>
      <w:ind w:left="1440" w:hanging="1440"/>
    </w:pPr>
    <w:rPr>
      <w:rFonts w:ascii="Calibri" w:eastAsia="Times New Roman" w:hAnsi="Calibri" w:cs="Times New Roman"/>
      <w:bCs/>
      <w:sz w:val="24"/>
      <w:szCs w:val="24"/>
    </w:rPr>
  </w:style>
  <w:style w:type="character" w:customStyle="1" w:styleId="TOCListText-IPRChar">
    <w:name w:val="TOCListText-IPR Char"/>
    <w:basedOn w:val="DefaultParagraphFont"/>
    <w:link w:val="TOCListText-IPR"/>
    <w:rsid w:val="0064514B"/>
    <w:rPr>
      <w:rFonts w:ascii="Calibri" w:eastAsia="Times New Roman" w:hAnsi="Calibri" w:cs="Times New Roman"/>
      <w:bCs/>
      <w:sz w:val="24"/>
      <w:szCs w:val="24"/>
    </w:rPr>
  </w:style>
  <w:style w:type="character" w:customStyle="1" w:styleId="TableofFiguresChar">
    <w:name w:val="Table of Figures Char"/>
    <w:basedOn w:val="DefaultParagraphFont"/>
    <w:link w:val="TableofFigures"/>
    <w:uiPriority w:val="99"/>
    <w:rsid w:val="0064514B"/>
    <w:rPr>
      <w:rFonts w:ascii="Calibri" w:eastAsia="Times New Roman" w:hAnsi="Calibri"/>
      <w:sz w:val="24"/>
      <w:szCs w:val="20"/>
    </w:rPr>
  </w:style>
  <w:style w:type="paragraph" w:styleId="TableofFigures">
    <w:name w:val="table of figures"/>
    <w:link w:val="TableofFiguresChar"/>
    <w:uiPriority w:val="99"/>
    <w:unhideWhenUsed/>
    <w:rsid w:val="0064514B"/>
    <w:pPr>
      <w:spacing w:after="0" w:line="240" w:lineRule="auto"/>
      <w:ind w:left="480" w:hanging="480"/>
    </w:pPr>
    <w:rPr>
      <w:rFonts w:ascii="Calibri" w:eastAsia="Times New Roman" w:hAnsi="Calibri"/>
      <w:sz w:val="24"/>
      <w:szCs w:val="20"/>
    </w:rPr>
  </w:style>
  <w:style w:type="paragraph" w:customStyle="1" w:styleId="BlankHeaderFooter-IPR">
    <w:name w:val="BlankHeaderFooter-IPR"/>
    <w:link w:val="BlankHeaderFooter-IPRChar"/>
    <w:qFormat/>
    <w:rsid w:val="0064514B"/>
    <w:pPr>
      <w:spacing w:after="0" w:line="240" w:lineRule="auto"/>
    </w:pPr>
    <w:rPr>
      <w:rFonts w:ascii="Arial" w:eastAsia="Times New Roman" w:hAnsi="Arial" w:cs="Arial"/>
      <w:sz w:val="18"/>
      <w:szCs w:val="18"/>
    </w:rPr>
  </w:style>
  <w:style w:type="character" w:customStyle="1" w:styleId="BlankHeaderFooter-IPRChar">
    <w:name w:val="BlankHeaderFooter-IPR Char"/>
    <w:basedOn w:val="DefaultParagraphFont"/>
    <w:link w:val="BlankHeaderFooter-IPR"/>
    <w:rsid w:val="0064514B"/>
    <w:rPr>
      <w:rFonts w:ascii="Arial" w:eastAsia="Times New Roman" w:hAnsi="Arial" w:cs="Arial"/>
      <w:sz w:val="18"/>
      <w:szCs w:val="18"/>
    </w:rPr>
  </w:style>
  <w:style w:type="character" w:customStyle="1" w:styleId="NewHeading1Char">
    <w:name w:val="NewHeading1 Char"/>
    <w:basedOn w:val="DefaultParagraphFont"/>
    <w:link w:val="NewHeading1"/>
    <w:locked/>
    <w:rsid w:val="0064514B"/>
    <w:rPr>
      <w:rFonts w:ascii="Candara" w:hAnsi="Candara" w:eastAsiaTheme="majorEastAsia" w:cstheme="majorBidi"/>
      <w:b/>
      <w:bCs/>
      <w:color w:val="003C79"/>
      <w:sz w:val="36"/>
      <w:szCs w:val="36"/>
    </w:rPr>
  </w:style>
  <w:style w:type="paragraph" w:customStyle="1" w:styleId="NewHeading1">
    <w:name w:val="NewHeading1"/>
    <w:basedOn w:val="Normal"/>
    <w:link w:val="NewHeading1Char"/>
    <w:qFormat/>
    <w:rsid w:val="0064514B"/>
    <w:pPr>
      <w:keepNext/>
      <w:keepLines/>
      <w:spacing w:after="240" w:line="240" w:lineRule="auto"/>
      <w:jc w:val="center"/>
    </w:pPr>
    <w:rPr>
      <w:rFonts w:ascii="Candara" w:hAnsi="Candara" w:eastAsiaTheme="majorEastAsia" w:cstheme="majorBidi"/>
      <w:b/>
      <w:bCs/>
      <w:color w:val="003C79"/>
      <w:sz w:val="36"/>
      <w:szCs w:val="36"/>
    </w:rPr>
  </w:style>
  <w:style w:type="paragraph" w:customStyle="1" w:styleId="Heading2-IPR">
    <w:name w:val="Heading2-IPR"/>
    <w:link w:val="Heading2-IPRChar"/>
    <w:qFormat/>
    <w:rsid w:val="0064514B"/>
    <w:pPr>
      <w:keepNext/>
      <w:numPr>
        <w:numId w:val="27"/>
      </w:numPr>
      <w:pBdr>
        <w:bottom w:val="dotted" w:sz="4" w:space="1" w:color="auto"/>
      </w:pBdr>
      <w:tabs>
        <w:tab w:val="left" w:pos="360"/>
      </w:tabs>
      <w:spacing w:after="240" w:line="240" w:lineRule="auto"/>
      <w:outlineLvl w:val="1"/>
    </w:pPr>
    <w:rPr>
      <w:rFonts w:ascii="Candara" w:hAnsi="Candara" w:eastAsiaTheme="majorEastAsia" w:cstheme="majorBidi"/>
      <w:b/>
      <w:bCs/>
      <w:color w:val="003C79"/>
      <w:sz w:val="28"/>
      <w:szCs w:val="26"/>
    </w:rPr>
  </w:style>
  <w:style w:type="character" w:customStyle="1" w:styleId="Heading2-IPRChar">
    <w:name w:val="Heading2-IPR Char"/>
    <w:basedOn w:val="DefaultParagraphFont"/>
    <w:link w:val="Heading2-IPR"/>
    <w:rsid w:val="0064514B"/>
    <w:rPr>
      <w:rFonts w:ascii="Candara" w:hAnsi="Candara" w:eastAsiaTheme="majorEastAsia" w:cstheme="majorBidi"/>
      <w:b/>
      <w:bCs/>
      <w:color w:val="003C79"/>
      <w:sz w:val="28"/>
      <w:szCs w:val="26"/>
    </w:rPr>
  </w:style>
  <w:style w:type="paragraph" w:customStyle="1" w:styleId="TOCHeading2">
    <w:name w:val="TOCHeading2"/>
    <w:basedOn w:val="Normal"/>
    <w:link w:val="TOCHeading2Char"/>
    <w:qFormat/>
    <w:rsid w:val="0064514B"/>
    <w:pPr>
      <w:pBdr>
        <w:bottom w:val="dotted" w:sz="4" w:space="1" w:color="auto"/>
      </w:pBdr>
      <w:tabs>
        <w:tab w:val="left" w:pos="720"/>
        <w:tab w:val="right" w:pos="9360"/>
      </w:tabs>
      <w:spacing w:before="360" w:after="120" w:line="240" w:lineRule="auto"/>
    </w:pPr>
    <w:rPr>
      <w:rFonts w:ascii="Candara" w:eastAsia="Times New Roman" w:hAnsi="Candara" w:cs="Arial"/>
      <w:b/>
      <w:color w:val="003C79"/>
      <w:sz w:val="28"/>
      <w:szCs w:val="28"/>
    </w:rPr>
  </w:style>
  <w:style w:type="character" w:customStyle="1" w:styleId="TOCHeading2Char">
    <w:name w:val="TOCHeading2 Char"/>
    <w:basedOn w:val="DefaultParagraphFont"/>
    <w:link w:val="TOCHeading2"/>
    <w:rsid w:val="0064514B"/>
    <w:rPr>
      <w:rFonts w:ascii="Candara" w:eastAsia="Times New Roman" w:hAnsi="Candara" w:cs="Arial"/>
      <w:b/>
      <w:color w:val="003C79"/>
      <w:sz w:val="28"/>
      <w:szCs w:val="28"/>
    </w:rPr>
  </w:style>
  <w:style w:type="paragraph" w:styleId="TOC2">
    <w:name w:val="toc 2"/>
    <w:basedOn w:val="Normal"/>
    <w:next w:val="Normal"/>
    <w:autoRedefine/>
    <w:uiPriority w:val="39"/>
    <w:unhideWhenUsed/>
    <w:rsid w:val="0064514B"/>
    <w:pPr>
      <w:tabs>
        <w:tab w:val="right" w:leader="dot" w:pos="9350"/>
      </w:tabs>
      <w:spacing w:after="100"/>
      <w:ind w:left="220"/>
    </w:pPr>
  </w:style>
  <w:style w:type="paragraph" w:customStyle="1" w:styleId="Heading1New">
    <w:name w:val="Heading1New"/>
    <w:basedOn w:val="Question"/>
    <w:link w:val="Heading1NewChar"/>
    <w:qFormat/>
    <w:rsid w:val="00C32C2C"/>
    <w:pPr>
      <w:outlineLvl w:val="0"/>
    </w:pPr>
  </w:style>
  <w:style w:type="character" w:customStyle="1" w:styleId="Heading1NewChar">
    <w:name w:val="Heading1New Char"/>
    <w:basedOn w:val="QuestionChar"/>
    <w:link w:val="Heading1New"/>
    <w:rsid w:val="00C32C2C"/>
    <w:rPr>
      <w:rFonts w:ascii="Candara" w:eastAsia="Calibri" w:hAnsi="Candara" w:cs="Calibri"/>
      <w:b/>
      <w:bCs/>
      <w:sz w:val="24"/>
      <w:szCs w:val="24"/>
    </w:rPr>
  </w:style>
  <w:style w:type="paragraph" w:customStyle="1" w:styleId="FrontMatter">
    <w:name w:val="FrontMatter"/>
    <w:basedOn w:val="NewHeading1"/>
    <w:link w:val="FrontMatterChar"/>
    <w:qFormat/>
    <w:rsid w:val="00C32C2C"/>
  </w:style>
  <w:style w:type="character" w:customStyle="1" w:styleId="FrontMatterChar">
    <w:name w:val="FrontMatter Char"/>
    <w:basedOn w:val="NewHeading1Char"/>
    <w:link w:val="FrontMatter"/>
    <w:rsid w:val="00C32C2C"/>
    <w:rPr>
      <w:rFonts w:ascii="Candara" w:hAnsi="Candara" w:eastAsiaTheme="majorEastAsia" w:cstheme="majorBidi"/>
      <w:b/>
      <w:bCs/>
      <w:color w:val="003C79"/>
      <w:sz w:val="36"/>
      <w:szCs w:val="36"/>
    </w:rPr>
  </w:style>
  <w:style w:type="paragraph" w:customStyle="1" w:styleId="TOC10">
    <w:name w:val="TOC1"/>
    <w:basedOn w:val="TOC1"/>
    <w:link w:val="TOC1Char0"/>
    <w:qFormat/>
    <w:rsid w:val="00B77E97"/>
    <w:pPr>
      <w:tabs>
        <w:tab w:val="right" w:leader="dot" w:pos="9350"/>
      </w:tabs>
      <w:ind w:left="0" w:firstLine="0"/>
    </w:pPr>
    <w:rPr>
      <w:noProof/>
    </w:rPr>
  </w:style>
  <w:style w:type="character" w:customStyle="1" w:styleId="TOC1Char0">
    <w:name w:val="TOC1 Char"/>
    <w:basedOn w:val="TOC1Char"/>
    <w:link w:val="TOC10"/>
    <w:rsid w:val="00B77E97"/>
    <w:rPr>
      <w:rFonts w:ascii="Calibri" w:eastAsia="Times New Roman" w:hAnsi="Calibri"/>
      <w:bCs/>
      <w:noProof/>
      <w:sz w:val="24"/>
      <w:szCs w:val="20"/>
    </w:rPr>
  </w:style>
  <w:style w:type="character" w:customStyle="1" w:styleId="Mention3">
    <w:name w:val="Mention3"/>
    <w:basedOn w:val="DefaultParagraphFont"/>
    <w:uiPriority w:val="99"/>
    <w:unhideWhenUsed/>
    <w:rsid w:val="003B2D5B"/>
    <w:rPr>
      <w:color w:val="2B579A"/>
      <w:shd w:val="clear" w:color="auto" w:fill="E1DFDD"/>
    </w:rPr>
  </w:style>
  <w:style w:type="paragraph" w:customStyle="1" w:styleId="Newheading3">
    <w:name w:val="New heading3"/>
    <w:basedOn w:val="Normal"/>
    <w:link w:val="Newheading3Char"/>
    <w:qFormat/>
    <w:rsid w:val="00AB3A2D"/>
    <w:pPr>
      <w:spacing w:after="240" w:line="480" w:lineRule="auto"/>
    </w:pPr>
    <w:rPr>
      <w:rFonts w:ascii="Candara" w:eastAsia="Times New Roman" w:hAnsi="Candara" w:cs="Times New Roman"/>
      <w:b/>
      <w:color w:val="B12732"/>
      <w:sz w:val="24"/>
      <w:szCs w:val="24"/>
    </w:rPr>
  </w:style>
  <w:style w:type="character" w:customStyle="1" w:styleId="Newheading3Char">
    <w:name w:val="New heading3 Char"/>
    <w:basedOn w:val="DefaultParagraphFont"/>
    <w:link w:val="Newheading3"/>
    <w:rsid w:val="00AB3A2D"/>
    <w:rPr>
      <w:rFonts w:ascii="Candara" w:eastAsia="Times New Roman" w:hAnsi="Candara" w:cs="Times New Roman"/>
      <w:b/>
      <w:color w:val="B12732"/>
      <w:sz w:val="24"/>
      <w:szCs w:val="24"/>
    </w:rPr>
  </w:style>
  <w:style w:type="character" w:customStyle="1" w:styleId="UnresolvedMention3">
    <w:name w:val="Unresolved Mention3"/>
    <w:basedOn w:val="DefaultParagraphFont"/>
    <w:uiPriority w:val="99"/>
    <w:semiHidden/>
    <w:unhideWhenUsed/>
    <w:rsid w:val="008D525C"/>
    <w:rPr>
      <w:color w:val="605E5C"/>
      <w:shd w:val="clear" w:color="auto" w:fill="E1DFDD"/>
    </w:rPr>
  </w:style>
  <w:style w:type="character" w:styleId="Mention">
    <w:name w:val="Mention"/>
    <w:basedOn w:val="DefaultParagraphFont"/>
    <w:uiPriority w:val="99"/>
    <w:unhideWhenUsed/>
    <w:rsid w:val="006C3DBB"/>
    <w:rPr>
      <w:color w:val="2B579A"/>
      <w:shd w:val="clear" w:color="auto" w:fill="E1DFDD"/>
    </w:rPr>
  </w:style>
  <w:style w:type="paragraph" w:customStyle="1" w:styleId="FtnteBodyText-IPR">
    <w:name w:val="FtnteBodyText-IPR"/>
    <w:link w:val="FtnteBodyText-IPRChar"/>
    <w:qFormat/>
    <w:rsid w:val="00447E25"/>
    <w:pPr>
      <w:spacing w:after="0" w:line="240" w:lineRule="auto"/>
    </w:pPr>
    <w:rPr>
      <w:rFonts w:ascii="Calibri" w:eastAsia="Calibri" w:hAnsi="Calibri" w:cs="Times New Roman"/>
      <w:sz w:val="16"/>
      <w:szCs w:val="16"/>
    </w:rPr>
  </w:style>
  <w:style w:type="character" w:customStyle="1" w:styleId="FtnteBodyText-IPRChar">
    <w:name w:val="FtnteBodyText-IPR Char"/>
    <w:basedOn w:val="DefaultParagraphFont"/>
    <w:link w:val="FtnteBodyText-IPR"/>
    <w:rsid w:val="00447E25"/>
    <w:rPr>
      <w:rFonts w:ascii="Calibri" w:eastAsia="Calibri" w:hAnsi="Calibri" w:cs="Times New Roman"/>
      <w:sz w:val="16"/>
      <w:szCs w:val="16"/>
    </w:rPr>
  </w:style>
  <w:style w:type="table" w:customStyle="1" w:styleId="InsightTable1">
    <w:name w:val="Insight Table1"/>
    <w:basedOn w:val="TableNormal"/>
    <w:uiPriority w:val="99"/>
    <w:rsid w:val="00447E2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58" w:type="dxa"/>
        <w:right w:w="58" w:type="dxa"/>
      </w:tblCellMar>
    </w:tblPr>
    <w:tcPr>
      <w:tcMar>
        <w:left w:w="58" w:type="dxa"/>
        <w:right w:w="58" w:type="dxa"/>
      </w:tcMar>
      <w:vAlign w:val="center"/>
    </w:tcPr>
    <w:tblStylePr w:type="firstRow">
      <w:pPr>
        <w:jc w:val="center"/>
      </w:pPr>
      <w:rPr>
        <w:rFonts w:ascii="Century Gothic" w:hAnsi="Century Gothic"/>
        <w:sz w:val="20"/>
      </w:rPr>
      <w:tblPr/>
      <w:tcPr>
        <w:tcBorders>
          <w:top w:val="single" w:sz="8" w:space="0" w:color="B12732"/>
          <w:left w:val="nil"/>
          <w:bottom w:val="single" w:sz="8" w:space="0" w:color="B12732"/>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www.fns.usda.gov/research-analysis" TargetMode="Externa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fns-prod.azureedge.us/sites/default/files/ops/HIP-Final.pdf" TargetMode="External" /><Relationship Id="rId2" Type="http://schemas.openxmlformats.org/officeDocument/2006/relationships/hyperlink" Target="https://fns-prod.azureedge.us/sites/default/files/resource-files/FINIReport.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59fd41-1f3b-406b-a6e6-039cfe34975a">
      <Terms xmlns="http://schemas.microsoft.com/office/infopath/2007/PartnerControls"/>
    </lcf76f155ced4ddcb4097134ff3c332f>
    <TaxCatchAll xmlns="73fb875a-8af9-4255-b008-0995492d31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3BD512B5FB7949ACC2D9636751D959" ma:contentTypeVersion="14" ma:contentTypeDescription="Create a new document." ma:contentTypeScope="" ma:versionID="b3f6f5acfd167faaa270635588e214da">
  <xsd:schema xmlns:xsd="http://www.w3.org/2001/XMLSchema" xmlns:xs="http://www.w3.org/2001/XMLSchema" xmlns:p="http://schemas.microsoft.com/office/2006/metadata/properties" xmlns:ns2="a359fd41-1f3b-406b-a6e6-039cfe34975a" xmlns:ns3="7af30975-90a3-4148-a901-fa13ab955e22" xmlns:ns4="73fb875a-8af9-4255-b008-0995492d31cd" targetNamespace="http://schemas.microsoft.com/office/2006/metadata/properties" ma:root="true" ma:fieldsID="6260a8ff79e9a0b51650b021e1fb65d3" ns2:_="" ns3:_="" ns4:_="">
    <xsd:import namespace="a359fd41-1f3b-406b-a6e6-039cfe34975a"/>
    <xsd:import namespace="7af30975-90a3-4148-a901-fa13ab955e22"/>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9fd41-1f3b-406b-a6e6-039cfe349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30975-90a3-4148-a901-fa13ab955e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ae74d8-beb8-4023-be0e-64633dbe256f}" ma:internalName="TaxCatchAll" ma:showField="CatchAllData" ma:web="7af30975-90a3-4148-a901-fa13ab955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915FB-1940-4456-9DF1-CB75930A7900}">
  <ds:schemaRefs>
    <ds:schemaRef ds:uri="http://schemas.microsoft.com/office/2006/metadata/properties"/>
    <ds:schemaRef ds:uri="http://schemas.microsoft.com/office/infopath/2007/PartnerControls"/>
    <ds:schemaRef ds:uri="a359fd41-1f3b-406b-a6e6-039cfe34975a"/>
    <ds:schemaRef ds:uri="73fb875a-8af9-4255-b008-0995492d31cd"/>
  </ds:schemaRefs>
</ds:datastoreItem>
</file>

<file path=customXml/itemProps2.xml><?xml version="1.0" encoding="utf-8"?>
<ds:datastoreItem xmlns:ds="http://schemas.openxmlformats.org/officeDocument/2006/customXml" ds:itemID="{8486B410-8B1D-4829-AA23-C29A7564D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9fd41-1f3b-406b-a6e6-039cfe34975a"/>
    <ds:schemaRef ds:uri="7af30975-90a3-4148-a901-fa13ab955e2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8E21C2-7D26-47F3-ABE2-E348C7E69DC0}">
  <ds:schemaRefs>
    <ds:schemaRef ds:uri="http://schemas.microsoft.com/sharepoint/v3/contenttype/forms"/>
  </ds:schemaRefs>
</ds:datastoreItem>
</file>

<file path=customXml/itemProps4.xml><?xml version="1.0" encoding="utf-8"?>
<ds:datastoreItem xmlns:ds="http://schemas.openxmlformats.org/officeDocument/2006/customXml" ds:itemID="{78CA2BD2-2F82-4B0E-A31D-47EF35ADD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7269</Words>
  <Characters>41439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Beckerman-Hsu</dc:creator>
  <cp:lastModifiedBy>Patton, Kathleen - FNS</cp:lastModifiedBy>
  <cp:revision>4</cp:revision>
  <cp:lastPrinted>2023-06-19T12:52:00Z</cp:lastPrinted>
  <dcterms:created xsi:type="dcterms:W3CDTF">2024-10-22T19:05:00Z</dcterms:created>
  <dcterms:modified xsi:type="dcterms:W3CDTF">2024-10-22T19:11:00Z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0x010100E450C655ECE2BF4293EF4165223094A8</vt:lpwstr>
  </property>
  <property fmtid="{D5CDD505-2E9C-101B-9397-08002B2CF9AE}" pid="3" name="GrammarlyDocumentId">
    <vt:lpwstr>60fb1fad59addcfb190d8b347c959680109ec278d41b1f91a773a29c9c633782</vt:lpwstr>
  </property>
  <property fmtid="{D5CDD505-2E9C-101B-9397-08002B2CF9AE}" pid="4" name="MediaServiceImageTags">
    <vt:lpwstr/>
  </property>
</Properties>
</file>