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B569344" w14:paraId="0571EF19" w14:textId="66E8BDD2">
      <w:pPr>
        <w:pStyle w:val="Heading2"/>
        <w:tabs>
          <w:tab w:val="left" w:pos="900"/>
        </w:tabs>
        <w:ind w:right="-180"/>
        <w:rPr>
          <w:sz w:val="28"/>
          <w:szCs w:val="28"/>
        </w:rPr>
      </w:pPr>
      <w:r w:rsidRPr="0B569344">
        <w:rPr>
          <w:sz w:val="28"/>
          <w:szCs w:val="28"/>
        </w:rPr>
        <w:t>Request for Approval under the “</w:t>
      </w:r>
      <w:r w:rsidRPr="0B569344" w:rsidR="00E54617">
        <w:rPr>
          <w:sz w:val="28"/>
          <w:szCs w:val="28"/>
        </w:rPr>
        <w:t xml:space="preserve">FNS </w:t>
      </w:r>
      <w:r w:rsidRPr="0B569344" w:rsidR="00C007DC">
        <w:rPr>
          <w:sz w:val="28"/>
          <w:szCs w:val="28"/>
        </w:rPr>
        <w:t>Fast Track</w:t>
      </w:r>
      <w:r w:rsidRPr="0B569344">
        <w:rPr>
          <w:sz w:val="28"/>
          <w:szCs w:val="28"/>
        </w:rPr>
        <w:t xml:space="preserve"> Clearance for the Collection of Routine Customer Feedback” (OMB Control Number: </w:t>
      </w:r>
      <w:r w:rsidRPr="0B569344" w:rsidR="00B35113">
        <w:rPr>
          <w:sz w:val="28"/>
          <w:szCs w:val="28"/>
        </w:rPr>
        <w:t>0584</w:t>
      </w:r>
      <w:r w:rsidRPr="0B569344">
        <w:rPr>
          <w:sz w:val="28"/>
          <w:szCs w:val="28"/>
        </w:rPr>
        <w:t>-</w:t>
      </w:r>
      <w:r w:rsidRPr="0B569344" w:rsidR="00E1059F">
        <w:rPr>
          <w:sz w:val="28"/>
          <w:szCs w:val="28"/>
        </w:rPr>
        <w:t>0611</w:t>
      </w:r>
      <w:r w:rsidRPr="0B569344">
        <w:rPr>
          <w:sz w:val="28"/>
          <w:szCs w:val="28"/>
        </w:rPr>
        <w:t>)</w:t>
      </w:r>
    </w:p>
    <w:p w:rsidR="00E50293" w:rsidRPr="009239AA" w:rsidP="00434E33" w14:paraId="7EEE47F4" w14:textId="4D94C85E">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5509F">
        <w:t>USDA CNPP MyPlate</w:t>
      </w:r>
      <w:r w:rsidR="00BB3E51">
        <w:t xml:space="preserve"> Focus Groups </w:t>
      </w:r>
    </w:p>
    <w:p w:rsidR="005E714A" w14:paraId="164B4C7C" w14:textId="77777777"/>
    <w:p w:rsidR="001B0AAA" w14:paraId="61C1F9CD" w14:textId="77777777">
      <w:r>
        <w:rPr>
          <w:b/>
        </w:rPr>
        <w:t>PURPOSE</w:t>
      </w:r>
      <w:r w:rsidRPr="009239AA">
        <w:rPr>
          <w:b/>
        </w:rPr>
        <w:t>:</w:t>
      </w:r>
      <w:r w:rsidRPr="009239AA" w:rsidR="00C14CC4">
        <w:rPr>
          <w:b/>
        </w:rPr>
        <w:t xml:space="preserve">  </w:t>
      </w:r>
    </w:p>
    <w:p w:rsidR="001B0AAA" w14:paraId="6999159F" w14:textId="77777777"/>
    <w:p w:rsidR="006C2049" w:rsidP="00BB3E51" w14:paraId="6D641FFA" w14:textId="3DB9D91A">
      <w:pPr>
        <w:autoSpaceDE w:val="0"/>
        <w:autoSpaceDN w:val="0"/>
        <w:adjustRightInd w:val="0"/>
      </w:pPr>
      <w:r>
        <w:t xml:space="preserve">The U.S. Department of Agriculture’s (USDA) </w:t>
      </w:r>
      <w:r w:rsidR="00F5509F">
        <w:t>Food and Nutrition Service</w:t>
      </w:r>
      <w:r w:rsidR="00BB6DFC">
        <w:t>’s</w:t>
      </w:r>
      <w:r w:rsidR="00F5509F">
        <w:t xml:space="preserve"> (FNS) </w:t>
      </w:r>
      <w:r>
        <w:t xml:space="preserve">mission </w:t>
      </w:r>
      <w:r w:rsidRPr="009225C9" w:rsidR="009225C9">
        <w:t>is to increase food security and reduce hunger in partnership with cooperating organizations by providing children and low-income people access to food, a healthy diet and nutrition education in a manner that supports American agriculture and inspires public confidence</w:t>
      </w:r>
      <w:r w:rsidR="0047028D">
        <w:t xml:space="preserve"> </w:t>
      </w:r>
      <w:r w:rsidR="00BB6DFC">
        <w:t xml:space="preserve">Furthermore, the Center for Nutrition Policy and Promotion’s (CNPP) </w:t>
      </w:r>
      <w:r w:rsidR="00897B08">
        <w:t xml:space="preserve">mission is to </w:t>
      </w:r>
      <w:r w:rsidRPr="0097782B" w:rsidR="00327FD8">
        <w:t>improve the health of Americans by developing and promoting dietary guidance that links scientific research to the nutrition needs of consumers</w:t>
      </w:r>
      <w:r w:rsidRPr="169A9313" w:rsidR="00327FD8">
        <w:rPr>
          <w:rFonts w:ascii="Helvetica" w:hAnsi="Helvetica"/>
          <w:color w:val="1B1B1B"/>
        </w:rPr>
        <w:t>.</w:t>
      </w:r>
      <w:r>
        <w:t xml:space="preserve"> </w:t>
      </w:r>
      <w:r w:rsidR="00E62FB4">
        <w:t>FNS</w:t>
      </w:r>
      <w:r w:rsidR="004A4B10">
        <w:t xml:space="preserve"> and CNPP are</w:t>
      </w:r>
      <w:r w:rsidR="00F5509F">
        <w:t xml:space="preserve"> continuing </w:t>
      </w:r>
      <w:r w:rsidR="004A4B10">
        <w:t xml:space="preserve">their </w:t>
      </w:r>
      <w:r w:rsidR="00F5509F">
        <w:t xml:space="preserve">efforts to disseminate important nutrition information and educate the American public </w:t>
      </w:r>
      <w:r w:rsidR="00E62FB4">
        <w:t xml:space="preserve">about nutrition </w:t>
      </w:r>
      <w:r w:rsidR="00F5509F">
        <w:t xml:space="preserve">through </w:t>
      </w:r>
      <w:r w:rsidR="00705946">
        <w:t>MyPlate</w:t>
      </w:r>
      <w:r w:rsidR="000455A9">
        <w:t>.gov</w:t>
      </w:r>
      <w:r w:rsidR="00705946">
        <w:t xml:space="preserve">, </w:t>
      </w:r>
      <w:r w:rsidR="000455A9">
        <w:t>whose logo and website</w:t>
      </w:r>
      <w:r w:rsidR="00705946">
        <w:t xml:space="preserve"> serve as guide</w:t>
      </w:r>
      <w:r w:rsidR="000455A9">
        <w:t>s</w:t>
      </w:r>
      <w:r w:rsidR="00705946">
        <w:t xml:space="preserve"> to nutrition recommendations based on the </w:t>
      </w:r>
      <w:r w:rsidRPr="6069B798" w:rsidR="00705946">
        <w:rPr>
          <w:i/>
          <w:iCs/>
        </w:rPr>
        <w:t>Dietary Guidelines for Americans</w:t>
      </w:r>
      <w:r w:rsidR="00705946">
        <w:t>.</w:t>
      </w:r>
      <w:r w:rsidR="004A4B10">
        <w:t xml:space="preserve">  This year, they are initiating a </w:t>
      </w:r>
      <w:r w:rsidR="44777442">
        <w:t>consumer communications MyPlate campaign</w:t>
      </w:r>
      <w:r w:rsidR="004A4B10">
        <w:t xml:space="preserve"> to increase Americans’ awareness and familiarity of MyPlate.gov and to encourage increased adoption of </w:t>
      </w:r>
      <w:r w:rsidR="004A4B10">
        <w:t>MyPlate.gov’s</w:t>
      </w:r>
      <w:r w:rsidR="004A4B10">
        <w:t xml:space="preserve"> nutrition recommendations.  This effort also includes a direct focus on Black Americans, Hispanic/Latino Americans (both English-speaking and Spanish-preferring), and low-income Americans.  </w:t>
      </w:r>
    </w:p>
    <w:p w:rsidR="00F5509F" w:rsidP="00BB3E51" w14:paraId="003BF6AA" w14:textId="77777777">
      <w:pPr>
        <w:autoSpaceDE w:val="0"/>
        <w:autoSpaceDN w:val="0"/>
        <w:adjustRightInd w:val="0"/>
      </w:pPr>
    </w:p>
    <w:p w:rsidR="000455A9" w:rsidP="006C2049" w14:paraId="65622E74" w14:textId="6533AEB4">
      <w:pPr>
        <w:autoSpaceDE w:val="0"/>
        <w:autoSpaceDN w:val="0"/>
        <w:adjustRightInd w:val="0"/>
      </w:pPr>
      <w:r>
        <w:t xml:space="preserve">In order to meet these important objectives, </w:t>
      </w:r>
      <w:r w:rsidR="00E62FB4">
        <w:t>FNS</w:t>
      </w:r>
      <w:r>
        <w:t xml:space="preserve"> </w:t>
      </w:r>
      <w:r>
        <w:t xml:space="preserve">and CNPP </w:t>
      </w:r>
      <w:r>
        <w:t xml:space="preserve">must understand the </w:t>
      </w:r>
      <w:r>
        <w:t xml:space="preserve">current </w:t>
      </w:r>
      <w:r w:rsidR="002B7038">
        <w:t xml:space="preserve">nutrition </w:t>
      </w:r>
      <w:r>
        <w:t xml:space="preserve">mindsets </w:t>
      </w:r>
      <w:r w:rsidR="002B7038">
        <w:t xml:space="preserve">and needs </w:t>
      </w:r>
      <w:r>
        <w:t xml:space="preserve">of </w:t>
      </w:r>
      <w:r w:rsidR="00705946">
        <w:t>the</w:t>
      </w:r>
      <w:r w:rsidR="004A4B10">
        <w:t>se audiences</w:t>
      </w:r>
      <w:r>
        <w:t>, especially as they relate to the decisions they make regarding healthy eating</w:t>
      </w:r>
      <w:r w:rsidR="00E62FB4">
        <w:t>.</w:t>
      </w:r>
      <w:r w:rsidR="00E76637">
        <w:t xml:space="preserve">  </w:t>
      </w:r>
      <w:r>
        <w:t>Historically, FNS and CNPP have conducted consumer research to inform strategy</w:t>
      </w:r>
      <w:r w:rsidR="004A4B10">
        <w:t>, creative development,</w:t>
      </w:r>
      <w:r>
        <w:t xml:space="preserve"> and outreach when communicating to its primary target audiences.  Such research has included message </w:t>
      </w:r>
      <w:r w:rsidR="004A4B10">
        <w:t xml:space="preserve">and creative </w:t>
      </w:r>
      <w:r>
        <w:t xml:space="preserve">testing to inform the release of each iteration of the </w:t>
      </w:r>
      <w:r w:rsidRPr="005D2BE9">
        <w:rPr>
          <w:i/>
          <w:iCs/>
        </w:rPr>
        <w:t>Dietary Guidelines for Americans</w:t>
      </w:r>
      <w:r>
        <w:t>, as well as studies to inform the development of online tools such as MyPlate</w:t>
      </w:r>
      <w:r w:rsidR="004A4B10">
        <w:t>’s Interactive Online Quiz</w:t>
      </w:r>
      <w:r>
        <w:t xml:space="preserve"> (created in the </w:t>
      </w:r>
      <w:r w:rsidR="004A4B10">
        <w:t xml:space="preserve">Fall </w:t>
      </w:r>
      <w:r>
        <w:t>of 2020).</w:t>
      </w:r>
      <w:r>
        <w:rPr>
          <w:rStyle w:val="FootnoteReference"/>
        </w:rPr>
        <w:footnoteReference w:id="3"/>
      </w:r>
      <w:r>
        <w:t xml:space="preserve">  </w:t>
      </w:r>
    </w:p>
    <w:p w:rsidR="000455A9" w:rsidP="006C2049" w14:paraId="7CBA5E89" w14:textId="77777777">
      <w:pPr>
        <w:autoSpaceDE w:val="0"/>
        <w:autoSpaceDN w:val="0"/>
        <w:adjustRightInd w:val="0"/>
      </w:pPr>
    </w:p>
    <w:p w:rsidR="00E76637" w:rsidP="006C2049" w14:paraId="0C9A451F" w14:textId="5286976B">
      <w:pPr>
        <w:autoSpaceDE w:val="0"/>
        <w:autoSpaceDN w:val="0"/>
        <w:adjustRightInd w:val="0"/>
      </w:pPr>
      <w:r>
        <w:t>Both FNS and CNPP understand the importance of consumer research</w:t>
      </w:r>
      <w:r w:rsidR="004F3533">
        <w:t xml:space="preserve"> to inform creative development</w:t>
      </w:r>
      <w:r>
        <w:t xml:space="preserve">, but it is even more important to these entities that research only be conducted when it informs new areas of inquiry.  To ensure this research effort </w:t>
      </w:r>
      <w:r w:rsidR="004A4B10">
        <w:t xml:space="preserve">augments what is known and focuses squarely on its unique research objectives, </w:t>
      </w:r>
      <w:r w:rsidR="002B7038">
        <w:t>F</w:t>
      </w:r>
      <w:r>
        <w:t xml:space="preserve">NS </w:t>
      </w:r>
      <w:r w:rsidR="004A4B10">
        <w:t xml:space="preserve">and CNPP have </w:t>
      </w:r>
      <w:r w:rsidR="004F3533">
        <w:t xml:space="preserve">taken several steps to review </w:t>
      </w:r>
      <w:r w:rsidR="004F3533">
        <w:t>previously-conducted</w:t>
      </w:r>
      <w:r w:rsidR="004F3533">
        <w:t xml:space="preserve"> studies on similar topics.  This review included reassessing the </w:t>
      </w:r>
      <w:r w:rsidR="004F3533">
        <w:t>aforementioned audience</w:t>
      </w:r>
      <w:r w:rsidR="004F3533">
        <w:t xml:space="preserve"> research, as well as examining </w:t>
      </w:r>
      <w:r w:rsidR="004A4B10">
        <w:t xml:space="preserve">existing </w:t>
      </w:r>
      <w:r w:rsidR="004F3533">
        <w:t xml:space="preserve">academic </w:t>
      </w:r>
      <w:r>
        <w:t>research examining MyPlate</w:t>
      </w:r>
      <w:r w:rsidR="004F3533">
        <w:t>, conducted</w:t>
      </w:r>
      <w:r>
        <w:t xml:space="preserve"> </w:t>
      </w:r>
      <w:r w:rsidR="002B7038">
        <w:t>from 2018-2023</w:t>
      </w:r>
      <w:r w:rsidR="004A4B10">
        <w:t xml:space="preserve">.  This exploration revealed </w:t>
      </w:r>
      <w:r w:rsidR="002B7038">
        <w:t xml:space="preserve">limited </w:t>
      </w:r>
      <w:r w:rsidR="004A4B10">
        <w:t xml:space="preserve">data on </w:t>
      </w:r>
      <w:r w:rsidR="002B7038">
        <w:t>familiarity with and perceptions of MyPlate</w:t>
      </w:r>
      <w:r w:rsidR="004A4B10">
        <w:t xml:space="preserve">, especially among underserved audiences (e.g., Black Americans, Hispanic/Latino Americans, and low-income Americans).  </w:t>
      </w:r>
      <w:r w:rsidR="002B7038">
        <w:t xml:space="preserve">Additionally, FNS </w:t>
      </w:r>
      <w:r w:rsidR="004A4B10">
        <w:t xml:space="preserve">and CNPP </w:t>
      </w:r>
      <w:r w:rsidR="004F3533">
        <w:t xml:space="preserve">conducted </w:t>
      </w:r>
      <w:r w:rsidR="002B7038">
        <w:t>an analysis of the current nutritional communications landscape</w:t>
      </w:r>
      <w:r w:rsidR="004F3533">
        <w:t xml:space="preserve"> by studying communications efforts among a set of peer organizations, brands, and campaign</w:t>
      </w:r>
      <w:r w:rsidR="005D2BE9">
        <w:t>s.</w:t>
      </w:r>
    </w:p>
    <w:p w:rsidR="00E76637" w:rsidP="006C2049" w14:paraId="47EAD117" w14:textId="77777777">
      <w:pPr>
        <w:autoSpaceDE w:val="0"/>
        <w:autoSpaceDN w:val="0"/>
        <w:adjustRightInd w:val="0"/>
      </w:pPr>
    </w:p>
    <w:p w:rsidR="00BB3E51" w:rsidRPr="000D208D" w:rsidP="006C2049" w14:paraId="7E3DC36B" w14:textId="2F67737F">
      <w:pPr>
        <w:autoSpaceDE w:val="0"/>
        <w:autoSpaceDN w:val="0"/>
        <w:adjustRightInd w:val="0"/>
        <w:rPr>
          <w:rFonts w:eastAsia="Calibri"/>
          <w:color w:val="000000"/>
        </w:rPr>
      </w:pPr>
      <w:r>
        <w:t>T</w:t>
      </w:r>
      <w:r w:rsidR="002B7038">
        <w:t xml:space="preserve">o better comprehend what </w:t>
      </w:r>
      <w:r>
        <w:t xml:space="preserve">creative and </w:t>
      </w:r>
      <w:r w:rsidR="002B7038">
        <w:t xml:space="preserve">messaging directions </w:t>
      </w:r>
      <w:r>
        <w:t xml:space="preserve">would be </w:t>
      </w:r>
      <w:r w:rsidR="002B7038">
        <w:t xml:space="preserve">most effective in </w:t>
      </w:r>
      <w:r w:rsidR="00A77C1D">
        <w:t>educating the American public through MyPlate</w:t>
      </w:r>
      <w:r w:rsidR="005D2BE9">
        <w:t xml:space="preserve"> – </w:t>
      </w:r>
      <w:r>
        <w:t xml:space="preserve">after the height of the </w:t>
      </w:r>
      <w:r w:rsidR="005D2BE9">
        <w:t>COVID-19 p</w:t>
      </w:r>
      <w:r>
        <w:t>andemic and given the current economic environment</w:t>
      </w:r>
      <w:r w:rsidR="005D2BE9">
        <w:t xml:space="preserve"> – </w:t>
      </w:r>
      <w:r w:rsidR="00E62FB4">
        <w:rPr>
          <w:rFonts w:eastAsia="Calibri"/>
          <w:color w:val="000000" w:themeColor="text1"/>
        </w:rPr>
        <w:t>FNS</w:t>
      </w:r>
      <w:r w:rsidRPr="644DB786">
        <w:rPr>
          <w:rFonts w:eastAsia="Calibri"/>
          <w:color w:val="000000" w:themeColor="text1"/>
        </w:rPr>
        <w:t xml:space="preserve"> intends to conduct a robust series of focus groups.  </w:t>
      </w:r>
      <w:r w:rsidRPr="644DB786" w:rsidR="006C2049">
        <w:rPr>
          <w:rFonts w:eastAsia="Calibri"/>
          <w:color w:val="000000" w:themeColor="text1"/>
        </w:rPr>
        <w:t>Specifically, t</w:t>
      </w:r>
      <w:r w:rsidRPr="644DB786">
        <w:rPr>
          <w:rFonts w:eastAsia="Calibri"/>
          <w:color w:val="000000" w:themeColor="text1"/>
        </w:rPr>
        <w:t xml:space="preserve">his qualitative research task includes </w:t>
      </w:r>
      <w:r w:rsidR="00E62FB4">
        <w:rPr>
          <w:rFonts w:eastAsia="Calibri"/>
          <w:color w:val="000000" w:themeColor="text1"/>
        </w:rPr>
        <w:t>18</w:t>
      </w:r>
      <w:r w:rsidRPr="644DB786" w:rsidR="006C2049">
        <w:rPr>
          <w:rFonts w:eastAsia="Calibri"/>
          <w:color w:val="000000" w:themeColor="text1"/>
        </w:rPr>
        <w:t xml:space="preserve"> </w:t>
      </w:r>
      <w:r w:rsidRPr="644DB786">
        <w:rPr>
          <w:rFonts w:eastAsia="Calibri"/>
          <w:color w:val="000000" w:themeColor="text1"/>
        </w:rPr>
        <w:t>virtual focus groups</w:t>
      </w:r>
      <w:r w:rsidR="00E62FB4">
        <w:rPr>
          <w:rFonts w:eastAsia="Calibri"/>
          <w:color w:val="000000" w:themeColor="text1"/>
        </w:rPr>
        <w:t xml:space="preserve"> among </w:t>
      </w:r>
      <w:r w:rsidR="002B7038">
        <w:rPr>
          <w:rFonts w:eastAsia="Calibri"/>
          <w:color w:val="000000" w:themeColor="text1"/>
        </w:rPr>
        <w:t>a diverse array of key audiences</w:t>
      </w:r>
      <w:r w:rsidRPr="644DB786" w:rsidR="006C2049">
        <w:rPr>
          <w:rFonts w:eastAsia="Calibri"/>
          <w:color w:val="000000" w:themeColor="text1"/>
        </w:rPr>
        <w:t xml:space="preserve">.  </w:t>
      </w:r>
      <w:r w:rsidR="00390087">
        <w:rPr>
          <w:rFonts w:eastAsia="Calibri"/>
          <w:color w:val="000000" w:themeColor="text1"/>
        </w:rPr>
        <w:t>All discussions will be 90 minutes in length.</w:t>
      </w:r>
      <w:r>
        <w:rPr>
          <w:rStyle w:val="FootnoteReference"/>
          <w:rFonts w:eastAsia="Calibri"/>
          <w:color w:val="000000" w:themeColor="text1"/>
        </w:rPr>
        <w:footnoteReference w:id="4"/>
      </w:r>
      <w:r w:rsidR="00390087">
        <w:rPr>
          <w:rFonts w:eastAsia="Calibri"/>
          <w:color w:val="000000" w:themeColor="text1"/>
        </w:rPr>
        <w:t xml:space="preserve">  </w:t>
      </w:r>
      <w:r w:rsidRPr="644DB786">
        <w:rPr>
          <w:rFonts w:eastAsia="Calibri"/>
          <w:color w:val="000000" w:themeColor="text1"/>
        </w:rPr>
        <w:t xml:space="preserve">These sessions </w:t>
      </w:r>
      <w:r w:rsidRPr="644DB786" w:rsidR="006C2049">
        <w:rPr>
          <w:rFonts w:eastAsia="Calibri"/>
          <w:color w:val="000000" w:themeColor="text1"/>
        </w:rPr>
        <w:t xml:space="preserve">will </w:t>
      </w:r>
      <w:r w:rsidRPr="644DB786">
        <w:rPr>
          <w:rFonts w:eastAsia="Calibri"/>
          <w:color w:val="000000" w:themeColor="text1"/>
        </w:rPr>
        <w:t xml:space="preserve">enable a comparative analysis of </w:t>
      </w:r>
      <w:r w:rsidRPr="644DB786" w:rsidR="00005939">
        <w:rPr>
          <w:rFonts w:eastAsia="Calibri"/>
          <w:color w:val="000000" w:themeColor="text1"/>
        </w:rPr>
        <w:t>these groups</w:t>
      </w:r>
      <w:r w:rsidRPr="644DB786">
        <w:rPr>
          <w:rFonts w:eastAsia="Calibri"/>
          <w:color w:val="000000" w:themeColor="text1"/>
        </w:rPr>
        <w:t xml:space="preserve">, across and within key audience segments.  In addition, </w:t>
      </w:r>
      <w:r w:rsidRPr="644DB786" w:rsidR="00005939">
        <w:rPr>
          <w:rFonts w:eastAsia="Calibri"/>
          <w:color w:val="000000" w:themeColor="text1"/>
        </w:rPr>
        <w:t>these focus groups</w:t>
      </w:r>
      <w:r w:rsidRPr="644DB786">
        <w:rPr>
          <w:rFonts w:eastAsia="Calibri"/>
          <w:color w:val="000000" w:themeColor="text1"/>
        </w:rPr>
        <w:t xml:space="preserve"> will serve as </w:t>
      </w:r>
      <w:r>
        <w:rPr>
          <w:rFonts w:eastAsia="Calibri"/>
          <w:color w:val="000000" w:themeColor="text1"/>
        </w:rPr>
        <w:t>the</w:t>
      </w:r>
      <w:r w:rsidRPr="644DB786">
        <w:rPr>
          <w:rFonts w:eastAsia="Calibri"/>
          <w:color w:val="000000" w:themeColor="text1"/>
        </w:rPr>
        <w:t xml:space="preserve"> </w:t>
      </w:r>
      <w:r w:rsidRPr="644DB786">
        <w:rPr>
          <w:rFonts w:eastAsia="Calibri"/>
          <w:color w:val="000000" w:themeColor="text1"/>
        </w:rPr>
        <w:t xml:space="preserve">primary data collection method to inform </w:t>
      </w:r>
      <w:r w:rsidR="00A8030E">
        <w:rPr>
          <w:rFonts w:eastAsia="Calibri"/>
          <w:color w:val="000000" w:themeColor="text1"/>
        </w:rPr>
        <w:t xml:space="preserve">the launch of </w:t>
      </w:r>
      <w:r w:rsidR="005D2BE9">
        <w:rPr>
          <w:rFonts w:eastAsia="Calibri"/>
          <w:color w:val="000000" w:themeColor="text1"/>
        </w:rPr>
        <w:t xml:space="preserve">the </w:t>
      </w:r>
      <w:r w:rsidR="00A8030E">
        <w:rPr>
          <w:rFonts w:eastAsia="Calibri"/>
          <w:color w:val="000000" w:themeColor="text1"/>
        </w:rPr>
        <w:t>updated</w:t>
      </w:r>
      <w:r w:rsidR="00E62FB4">
        <w:rPr>
          <w:rFonts w:eastAsia="Calibri"/>
          <w:color w:val="000000" w:themeColor="text1"/>
        </w:rPr>
        <w:t xml:space="preserve"> </w:t>
      </w:r>
      <w:r w:rsidRPr="644DB786">
        <w:rPr>
          <w:rFonts w:eastAsia="Calibri"/>
          <w:color w:val="000000" w:themeColor="text1"/>
        </w:rPr>
        <w:t xml:space="preserve">campaign </w:t>
      </w:r>
      <w:r w:rsidRPr="644DB786" w:rsidR="00F90608">
        <w:rPr>
          <w:rFonts w:eastAsia="Calibri"/>
          <w:color w:val="000000" w:themeColor="text1"/>
        </w:rPr>
        <w:t xml:space="preserve">branding </w:t>
      </w:r>
      <w:r w:rsidRPr="644DB786">
        <w:rPr>
          <w:rFonts w:eastAsia="Calibri"/>
          <w:color w:val="000000" w:themeColor="text1"/>
        </w:rPr>
        <w:t>approach</w:t>
      </w:r>
      <w:r>
        <w:rPr>
          <w:rFonts w:eastAsia="Calibri"/>
          <w:color w:val="000000" w:themeColor="text1"/>
        </w:rPr>
        <w:t xml:space="preserve"> and its corresponding</w:t>
      </w:r>
      <w:r w:rsidRPr="644DB786">
        <w:rPr>
          <w:rFonts w:eastAsia="Calibri"/>
          <w:color w:val="000000" w:themeColor="text1"/>
        </w:rPr>
        <w:t xml:space="preserve"> </w:t>
      </w:r>
      <w:r w:rsidRPr="644DB786">
        <w:rPr>
          <w:rFonts w:eastAsia="Calibri"/>
          <w:color w:val="000000" w:themeColor="text1"/>
        </w:rPr>
        <w:t>messaging and creative development</w:t>
      </w:r>
      <w:r w:rsidR="00E62FB4">
        <w:rPr>
          <w:rFonts w:eastAsia="Calibri"/>
          <w:color w:val="000000" w:themeColor="text1"/>
        </w:rPr>
        <w:t xml:space="preserve"> for MyPlate.</w:t>
      </w:r>
    </w:p>
    <w:p w:rsidR="00C8488C" w:rsidP="00434E33" w14:paraId="35745B27" w14:textId="77777777">
      <w:pPr>
        <w:pStyle w:val="Header"/>
        <w:tabs>
          <w:tab w:val="clear" w:pos="4320"/>
          <w:tab w:val="clear" w:pos="8640"/>
        </w:tabs>
        <w:rPr>
          <w:b/>
        </w:rPr>
      </w:pPr>
    </w:p>
    <w:p w:rsidR="00434E33" w:rsidP="00434E33" w14:paraId="4BD9BB03" w14:textId="0F8E30A2">
      <w:pPr>
        <w:pStyle w:val="Header"/>
        <w:tabs>
          <w:tab w:val="clear" w:pos="4320"/>
          <w:tab w:val="clear" w:pos="8640"/>
        </w:tabs>
      </w:pPr>
      <w:r w:rsidRPr="00434E33">
        <w:rPr>
          <w:b/>
        </w:rPr>
        <w:t>DESCRIPTION OF RESPONDENTS</w:t>
      </w:r>
      <w:r>
        <w:t xml:space="preserve">: </w:t>
      </w:r>
    </w:p>
    <w:p w:rsidR="000D208D" w:rsidRPr="00434E33" w:rsidP="00434E33" w14:paraId="5CEC6F92" w14:textId="77777777">
      <w:pPr>
        <w:pStyle w:val="Header"/>
        <w:tabs>
          <w:tab w:val="clear" w:pos="4320"/>
          <w:tab w:val="clear" w:pos="8640"/>
        </w:tabs>
        <w:rPr>
          <w:i/>
          <w:snapToGrid/>
        </w:rPr>
      </w:pPr>
    </w:p>
    <w:p w:rsidR="005E2E86" w:rsidP="008F700A" w14:paraId="0EB1335B" w14:textId="3B7D4331">
      <w:pPr>
        <w:pBdr>
          <w:top w:val="nil"/>
          <w:left w:val="nil"/>
          <w:bottom w:val="nil"/>
          <w:right w:val="nil"/>
          <w:between w:val="nil"/>
        </w:pBdr>
        <w:rPr>
          <w:rFonts w:eastAsia="Calibri"/>
          <w:color w:val="000000" w:themeColor="text1"/>
        </w:rPr>
      </w:pPr>
      <w:r w:rsidRPr="644DB786">
        <w:rPr>
          <w:rFonts w:eastAsia="Calibri"/>
          <w:color w:val="000000" w:themeColor="text1"/>
        </w:rPr>
        <w:t xml:space="preserve">In total, we intend to conduct </w:t>
      </w:r>
      <w:r w:rsidR="00E62FB4">
        <w:rPr>
          <w:rFonts w:eastAsia="Calibri"/>
          <w:color w:val="000000" w:themeColor="text1"/>
        </w:rPr>
        <w:t>18</w:t>
      </w:r>
      <w:r w:rsidRPr="644DB786">
        <w:rPr>
          <w:rFonts w:eastAsia="Calibri"/>
          <w:color w:val="000000" w:themeColor="text1"/>
        </w:rPr>
        <w:t xml:space="preserve"> focus groups.  </w:t>
      </w:r>
      <w:r>
        <w:rPr>
          <w:rFonts w:eastAsia="Calibri"/>
          <w:color w:val="000000" w:themeColor="text1"/>
        </w:rPr>
        <w:t xml:space="preserve">To ensure robust feedback across key demographics, we will </w:t>
      </w:r>
      <w:r w:rsidR="00676299">
        <w:rPr>
          <w:rFonts w:eastAsia="Calibri"/>
          <w:color w:val="000000" w:themeColor="text1"/>
        </w:rPr>
        <w:t xml:space="preserve">conduct a nationwide recruit, with </w:t>
      </w:r>
      <w:r>
        <w:rPr>
          <w:rFonts w:eastAsia="Calibri"/>
          <w:color w:val="000000" w:themeColor="text1"/>
        </w:rPr>
        <w:t>3 focus groups among Black/African American respondents, 3 English-language focus groups among Hispanic/Latino respondents, 3 Spanish-language focus groups among Hispanic</w:t>
      </w:r>
      <w:r w:rsidR="00E36583">
        <w:rPr>
          <w:rFonts w:eastAsia="Calibri"/>
          <w:color w:val="000000" w:themeColor="text1"/>
        </w:rPr>
        <w:t>/</w:t>
      </w:r>
      <w:r>
        <w:rPr>
          <w:rFonts w:eastAsia="Calibri"/>
          <w:color w:val="000000" w:themeColor="text1"/>
        </w:rPr>
        <w:t xml:space="preserve">Latino respondents, and 3 focus groups among White respondents.  These focus groups will be recruited among a mix of </w:t>
      </w:r>
      <w:r w:rsidR="00A8030E">
        <w:rPr>
          <w:rFonts w:eastAsia="Calibri"/>
          <w:color w:val="000000" w:themeColor="text1"/>
        </w:rPr>
        <w:t xml:space="preserve">overweight/obese respondents and </w:t>
      </w:r>
      <w:r w:rsidR="00E76637">
        <w:rPr>
          <w:rFonts w:eastAsia="Calibri"/>
          <w:color w:val="000000" w:themeColor="text1"/>
        </w:rPr>
        <w:t>“</w:t>
      </w:r>
      <w:r w:rsidR="00A8030E">
        <w:rPr>
          <w:rFonts w:eastAsia="Calibri"/>
          <w:color w:val="000000" w:themeColor="text1"/>
        </w:rPr>
        <w:t>healthy weight</w:t>
      </w:r>
      <w:r w:rsidR="00E76637">
        <w:rPr>
          <w:rFonts w:eastAsia="Calibri"/>
          <w:color w:val="000000" w:themeColor="text1"/>
        </w:rPr>
        <w:t>”</w:t>
      </w:r>
      <w:r w:rsidR="00A8030E">
        <w:rPr>
          <w:rFonts w:eastAsia="Calibri"/>
          <w:color w:val="000000" w:themeColor="text1"/>
        </w:rPr>
        <w:t xml:space="preserve"> respondents</w:t>
      </w:r>
      <w:r w:rsidR="00E76637">
        <w:rPr>
          <w:rFonts w:eastAsia="Calibri"/>
          <w:color w:val="000000" w:themeColor="text1"/>
        </w:rPr>
        <w:t xml:space="preserve"> (as calculated by </w:t>
      </w:r>
      <w:r w:rsidR="00E36583">
        <w:rPr>
          <w:rFonts w:eastAsia="Calibri"/>
          <w:color w:val="000000" w:themeColor="text1"/>
        </w:rPr>
        <w:t xml:space="preserve">self-reported heights and weights to measure </w:t>
      </w:r>
      <w:r w:rsidR="00E76637">
        <w:rPr>
          <w:rFonts w:eastAsia="Calibri"/>
          <w:color w:val="000000" w:themeColor="text1"/>
        </w:rPr>
        <w:t>BMI)</w:t>
      </w:r>
      <w:r>
        <w:rPr>
          <w:rStyle w:val="FootnoteReference"/>
          <w:rFonts w:eastAsia="Calibri"/>
          <w:color w:val="000000" w:themeColor="text1"/>
        </w:rPr>
        <w:footnoteReference w:id="5"/>
      </w:r>
      <w:r w:rsidR="00A8030E">
        <w:rPr>
          <w:rFonts w:eastAsia="Calibri"/>
          <w:color w:val="000000" w:themeColor="text1"/>
        </w:rPr>
        <w:t xml:space="preserve">; as well as by a mix of </w:t>
      </w:r>
      <w:r>
        <w:rPr>
          <w:rFonts w:eastAsia="Calibri"/>
          <w:color w:val="000000" w:themeColor="text1"/>
        </w:rPr>
        <w:t>low-income and middle-to-high income respondents.</w:t>
      </w:r>
      <w:r w:rsidR="00A8030E">
        <w:rPr>
          <w:rFonts w:eastAsia="Calibri"/>
          <w:color w:val="000000" w:themeColor="text1"/>
        </w:rPr>
        <w:t xml:space="preserve">  The Spanish-language focus groups will ensure that MyPlate branding, messaging, and creative materials </w:t>
      </w:r>
      <w:r w:rsidR="00E36583">
        <w:rPr>
          <w:rFonts w:eastAsia="Calibri"/>
          <w:color w:val="000000" w:themeColor="text1"/>
        </w:rPr>
        <w:t xml:space="preserve">resonate among </w:t>
      </w:r>
      <w:r w:rsidR="00A8030E">
        <w:rPr>
          <w:rFonts w:eastAsia="Calibri"/>
          <w:color w:val="000000" w:themeColor="text1"/>
        </w:rPr>
        <w:t>Spanish-speaking, as well as English-speaking, audiences.</w:t>
      </w:r>
    </w:p>
    <w:p w:rsidR="005E2E86" w:rsidP="008F700A" w14:paraId="460D9921" w14:textId="77777777">
      <w:pPr>
        <w:pBdr>
          <w:top w:val="nil"/>
          <w:left w:val="nil"/>
          <w:bottom w:val="nil"/>
          <w:right w:val="nil"/>
          <w:between w:val="nil"/>
        </w:pBdr>
        <w:rPr>
          <w:rFonts w:eastAsia="Calibri"/>
          <w:color w:val="000000" w:themeColor="text1"/>
        </w:rPr>
      </w:pPr>
    </w:p>
    <w:p w:rsidR="008F700A" w:rsidRPr="000D208D" w:rsidP="008F700A" w14:paraId="0A17B6F1" w14:textId="6D84463B">
      <w:pPr>
        <w:pBdr>
          <w:top w:val="nil"/>
          <w:left w:val="nil"/>
          <w:bottom w:val="nil"/>
          <w:right w:val="nil"/>
          <w:between w:val="nil"/>
        </w:pBdr>
        <w:rPr>
          <w:rFonts w:eastAsia="Calibri"/>
          <w:color w:val="000000" w:themeColor="text1"/>
        </w:rPr>
      </w:pPr>
      <w:r>
        <w:rPr>
          <w:rFonts w:eastAsia="Calibri"/>
          <w:color w:val="000000" w:themeColor="text1"/>
        </w:rPr>
        <w:t xml:space="preserve">To further inform our understanding of lower-income audiences, </w:t>
      </w:r>
      <w:r w:rsidR="005E2E86">
        <w:rPr>
          <w:rFonts w:eastAsia="Calibri"/>
          <w:color w:val="000000" w:themeColor="text1"/>
        </w:rPr>
        <w:t>we will conduct 6 focus groups</w:t>
      </w:r>
      <w:r w:rsidR="005D2BE9">
        <w:rPr>
          <w:rFonts w:eastAsia="Calibri"/>
          <w:color w:val="000000" w:themeColor="text1"/>
        </w:rPr>
        <w:t>,</w:t>
      </w:r>
      <w:r w:rsidR="005E2E86">
        <w:rPr>
          <w:rFonts w:eastAsia="Calibri"/>
          <w:color w:val="000000" w:themeColor="text1"/>
        </w:rPr>
        <w:t xml:space="preserve"> across a mix of race/ethnicity, among respondents who are participants in or eligible for the USDA’s Supplemental Nutrition Assistance Program (SNAP); these focus groups will be stratified by parents who have children under 18 years of age in their household, empty nesters/older adults, and 18-25-year-old respondents.  </w:t>
      </w:r>
      <w:r w:rsidRPr="644DB786">
        <w:rPr>
          <w:rFonts w:eastAsia="Calibri"/>
          <w:color w:val="000000" w:themeColor="text1"/>
        </w:rPr>
        <w:t xml:space="preserve">Table 1, below, illustrates </w:t>
      </w:r>
      <w:r>
        <w:rPr>
          <w:rFonts w:eastAsia="Calibri"/>
          <w:color w:val="000000" w:themeColor="text1"/>
        </w:rPr>
        <w:t>the focus group distribution</w:t>
      </w:r>
      <w:r w:rsidRPr="644DB786">
        <w:rPr>
          <w:rFonts w:eastAsia="Calibri"/>
          <w:color w:val="000000" w:themeColor="text1"/>
        </w:rPr>
        <w:t xml:space="preserve">.  </w:t>
      </w:r>
    </w:p>
    <w:p w:rsidR="00D5532A" w:rsidRPr="000D208D" w:rsidP="008F700A" w14:paraId="04DEC109" w14:textId="70A02E8A">
      <w:pPr>
        <w:pBdr>
          <w:top w:val="nil"/>
          <w:left w:val="nil"/>
          <w:bottom w:val="nil"/>
          <w:right w:val="nil"/>
          <w:between w:val="nil"/>
        </w:pBdr>
        <w:rPr>
          <w:rFonts w:eastAsia="Calibri"/>
          <w:color w:val="000000" w:themeColor="text1"/>
        </w:rPr>
      </w:pPr>
    </w:p>
    <w:p w:rsidR="00E87CAC" w:rsidRPr="00E87CAC" w:rsidP="00E87CAC" w14:paraId="4C177468" w14:textId="425F3B99">
      <w:pPr>
        <w:tabs>
          <w:tab w:val="left" w:pos="1080"/>
        </w:tabs>
        <w:rPr>
          <w:rFonts w:eastAsia="Calibri"/>
        </w:rPr>
      </w:pPr>
      <w:r w:rsidRPr="000D208D">
        <w:rPr>
          <w:rFonts w:eastAsia="Calibri"/>
        </w:rPr>
        <w:t xml:space="preserve">Respondents will be recruited to ensure a mix of </w:t>
      </w:r>
      <w:r w:rsidR="00A8030E">
        <w:rPr>
          <w:rFonts w:eastAsia="Calibri"/>
        </w:rPr>
        <w:t>geography and locality</w:t>
      </w:r>
      <w:r w:rsidR="00E36583">
        <w:rPr>
          <w:rFonts w:eastAsia="Calibri"/>
        </w:rPr>
        <w:t xml:space="preserve"> (</w:t>
      </w:r>
      <w:r w:rsidR="005D2BE9">
        <w:rPr>
          <w:rFonts w:eastAsia="Calibri"/>
        </w:rPr>
        <w:t xml:space="preserve">i.e., </w:t>
      </w:r>
      <w:r w:rsidR="00E36583">
        <w:rPr>
          <w:rFonts w:eastAsia="Calibri"/>
        </w:rPr>
        <w:t>urban, suburban, small town/rural)</w:t>
      </w:r>
      <w:r w:rsidR="00A8030E">
        <w:rPr>
          <w:rFonts w:eastAsia="Calibri"/>
        </w:rPr>
        <w:t>,</w:t>
      </w:r>
      <w:r w:rsidRPr="000D208D">
        <w:rPr>
          <w:rFonts w:eastAsia="Calibri"/>
        </w:rPr>
        <w:t xml:space="preserve"> </w:t>
      </w:r>
      <w:r w:rsidR="00A8030E">
        <w:rPr>
          <w:rFonts w:eastAsia="Calibri"/>
        </w:rPr>
        <w:t xml:space="preserve">familiarity with government programs (e.g., MyPlate and SNAP), </w:t>
      </w:r>
      <w:r w:rsidRPr="000D208D">
        <w:rPr>
          <w:rFonts w:eastAsia="Calibri"/>
        </w:rPr>
        <w:t xml:space="preserve">and </w:t>
      </w:r>
      <w:r w:rsidR="00E36583">
        <w:rPr>
          <w:rFonts w:eastAsia="Calibri"/>
        </w:rPr>
        <w:t xml:space="preserve">relevant </w:t>
      </w:r>
      <w:r w:rsidRPr="000D208D">
        <w:rPr>
          <w:rFonts w:eastAsia="Calibri"/>
        </w:rPr>
        <w:t xml:space="preserve">psychographics (e.g., </w:t>
      </w:r>
      <w:r w:rsidR="00A8030E">
        <w:rPr>
          <w:rFonts w:eastAsia="Calibri"/>
        </w:rPr>
        <w:t>concerns about nutrition</w:t>
      </w:r>
      <w:r w:rsidRPr="000D208D">
        <w:rPr>
          <w:rFonts w:eastAsia="Calibri"/>
        </w:rPr>
        <w:t xml:space="preserve">). </w:t>
      </w:r>
      <w:r w:rsidR="00A8030E">
        <w:rPr>
          <w:rFonts w:eastAsia="Calibri"/>
        </w:rPr>
        <w:t xml:space="preserve"> </w:t>
      </w:r>
      <w:r w:rsidRPr="00E87CAC">
        <w:rPr>
          <w:rFonts w:eastAsia="Calibri"/>
        </w:rPr>
        <w:t>Individuals will be recruited via our professional recruitment partners and all respondents will receive incentives for their time.</w:t>
      </w:r>
    </w:p>
    <w:p w:rsidR="00D5532A" w:rsidP="00E87CAC" w14:paraId="4C264DC8" w14:textId="1E61C488">
      <w:pPr>
        <w:tabs>
          <w:tab w:val="left" w:pos="1080"/>
        </w:tabs>
        <w:rPr>
          <w:rFonts w:ascii="Calibri" w:eastAsia="Calibri" w:hAnsi="Calibri" w:cs="Calibri"/>
          <w:color w:val="000000"/>
          <w:sz w:val="22"/>
          <w:szCs w:val="22"/>
        </w:rPr>
      </w:pPr>
    </w:p>
    <w:p w:rsidR="00E62FB4" w:rsidP="00E87CAC" w14:paraId="729ECD94" w14:textId="77777777">
      <w:pPr>
        <w:tabs>
          <w:tab w:val="left" w:pos="1080"/>
        </w:tabs>
        <w:rPr>
          <w:rFonts w:ascii="Calibri" w:eastAsia="Calibri" w:hAnsi="Calibri" w:cs="Calibri"/>
          <w:color w:val="000000"/>
          <w:sz w:val="22"/>
          <w:szCs w:val="22"/>
        </w:rPr>
      </w:pPr>
    </w:p>
    <w:p w:rsidR="008F700A" w:rsidP="008F700A" w14:paraId="4AD1E74F" w14:textId="77777777">
      <w:pPr>
        <w:rPr>
          <w:rFonts w:ascii="Calibri" w:eastAsia="Calibri" w:hAnsi="Calibri" w:cs="Calibri"/>
          <w:b/>
        </w:rPr>
      </w:pPr>
    </w:p>
    <w:p w:rsidR="00E62FB4" w:rsidP="00E62FB4" w14:paraId="2C93778C" w14:textId="5141A5D8">
      <w:pPr>
        <w:ind w:left="-630" w:firstLine="630"/>
        <w:rPr>
          <w:rFonts w:eastAsia="Calibri"/>
          <w:b/>
        </w:rPr>
      </w:pPr>
      <w:r w:rsidRPr="000D208D">
        <w:rPr>
          <w:rFonts w:eastAsia="Calibri"/>
          <w:b/>
        </w:rPr>
        <w:t xml:space="preserve">Table 1.  Focus Group Distribution </w:t>
      </w:r>
    </w:p>
    <w:p w:rsidR="00E62FB4" w:rsidP="008F700A" w14:paraId="228333AA" w14:textId="77777777">
      <w:pPr>
        <w:ind w:left="-630" w:firstLine="630"/>
        <w:rPr>
          <w:rFonts w:eastAsia="Calibri"/>
          <w:b/>
        </w:rPr>
      </w:pPr>
    </w:p>
    <w:tbl>
      <w:tblPr>
        <w:tblStyle w:val="GridTable1LightAccent1"/>
        <w:tblW w:w="9686" w:type="dxa"/>
        <w:tblLook w:val="04A0"/>
      </w:tblPr>
      <w:tblGrid>
        <w:gridCol w:w="1462"/>
        <w:gridCol w:w="2056"/>
        <w:gridCol w:w="2056"/>
        <w:gridCol w:w="2056"/>
        <w:gridCol w:w="2056"/>
      </w:tblGrid>
      <w:tr w14:paraId="411F0C47" w14:textId="77777777" w:rsidTr="00A8030E">
        <w:tblPrEx>
          <w:tblW w:w="9686" w:type="dxa"/>
          <w:tblLook w:val="04A0"/>
        </w:tblPrEx>
        <w:trPr>
          <w:trHeight w:val="328"/>
        </w:trPr>
        <w:tc>
          <w:tcPr>
            <w:tcW w:w="0" w:type="auto"/>
            <w:gridSpan w:val="5"/>
            <w:tcBorders>
              <w:top w:val="single" w:sz="8" w:space="0" w:color="4472C4" w:themeColor="accent1"/>
              <w:left w:val="single" w:sz="8" w:space="0" w:color="4472C4" w:themeColor="accent1"/>
              <w:right w:val="single" w:sz="8" w:space="0" w:color="4472C4" w:themeColor="accent1"/>
            </w:tcBorders>
            <w:hideMark/>
          </w:tcPr>
          <w:p w:rsidR="00E62FB4" w:rsidRPr="005E2E86" w14:paraId="7FFDA7E6" w14:textId="3EC5F9ED">
            <w:pPr>
              <w:rPr>
                <w:b w:val="0"/>
                <w:bCs w:val="0"/>
                <w:sz w:val="22"/>
                <w:szCs w:val="22"/>
              </w:rPr>
            </w:pPr>
            <w:r w:rsidRPr="005E2E86">
              <w:rPr>
                <w:b w:val="0"/>
                <w:bCs w:val="0"/>
                <w:sz w:val="22"/>
                <w:szCs w:val="22"/>
              </w:rPr>
              <w:t>18 Focus Groups Total</w:t>
            </w:r>
          </w:p>
        </w:tc>
      </w:tr>
      <w:tr w14:paraId="483A50BF" w14:textId="77777777" w:rsidTr="00A8030E">
        <w:tblPrEx>
          <w:tblW w:w="9686" w:type="dxa"/>
          <w:tblLook w:val="04A0"/>
        </w:tblPrEx>
        <w:trPr>
          <w:trHeight w:val="522"/>
        </w:trPr>
        <w:tc>
          <w:tcPr>
            <w:tcW w:w="0" w:type="auto"/>
            <w:tcBorders>
              <w:left w:val="single" w:sz="8" w:space="0" w:color="4472C4" w:themeColor="accent1"/>
            </w:tcBorders>
            <w:hideMark/>
          </w:tcPr>
          <w:p w:rsidR="00E62FB4" w:rsidRPr="005E2E86" w14:paraId="5F26E505" w14:textId="77777777">
            <w:pPr>
              <w:rPr>
                <w:b w:val="0"/>
                <w:bCs w:val="0"/>
                <w:sz w:val="22"/>
                <w:szCs w:val="22"/>
              </w:rPr>
            </w:pPr>
          </w:p>
        </w:tc>
        <w:tc>
          <w:tcPr>
            <w:tcW w:w="0" w:type="auto"/>
            <w:hideMark/>
          </w:tcPr>
          <w:p w:rsidR="00E62FB4" w:rsidRPr="005E2E86" w14:paraId="722CD9DD" w14:textId="61AB9C46">
            <w:pPr>
              <w:jc w:val="center"/>
              <w:rPr>
                <w:rFonts w:eastAsiaTheme="minorHAnsi"/>
                <w:sz w:val="22"/>
                <w:szCs w:val="22"/>
              </w:rPr>
            </w:pPr>
            <w:r w:rsidRPr="005E2E86">
              <w:rPr>
                <w:color w:val="000000"/>
                <w:sz w:val="22"/>
                <w:szCs w:val="22"/>
              </w:rPr>
              <w:t>Black Adults</w:t>
            </w:r>
          </w:p>
        </w:tc>
        <w:tc>
          <w:tcPr>
            <w:tcW w:w="0" w:type="auto"/>
            <w:hideMark/>
          </w:tcPr>
          <w:p w:rsidR="00E62FB4" w:rsidRPr="005E2E86" w14:paraId="3DAEE673" w14:textId="77777777">
            <w:pPr>
              <w:jc w:val="center"/>
              <w:rPr>
                <w:sz w:val="22"/>
                <w:szCs w:val="22"/>
              </w:rPr>
            </w:pPr>
            <w:r w:rsidRPr="005E2E86">
              <w:rPr>
                <w:color w:val="000000"/>
                <w:sz w:val="22"/>
                <w:szCs w:val="22"/>
              </w:rPr>
              <w:t>Hispanic Adults</w:t>
            </w:r>
          </w:p>
          <w:p w:rsidR="00E62FB4" w:rsidRPr="005E2E86" w14:paraId="79CBAAA8" w14:textId="727667CC">
            <w:pPr>
              <w:jc w:val="center"/>
              <w:rPr>
                <w:sz w:val="22"/>
                <w:szCs w:val="22"/>
              </w:rPr>
            </w:pPr>
            <w:r w:rsidRPr="005E2E86">
              <w:rPr>
                <w:color w:val="000000"/>
                <w:sz w:val="22"/>
                <w:szCs w:val="22"/>
              </w:rPr>
              <w:t>(Conducted in English)</w:t>
            </w:r>
          </w:p>
        </w:tc>
        <w:tc>
          <w:tcPr>
            <w:tcW w:w="0" w:type="auto"/>
            <w:hideMark/>
          </w:tcPr>
          <w:p w:rsidR="00E62FB4" w:rsidRPr="005E2E86" w14:paraId="155EE9EB" w14:textId="16D787E1">
            <w:pPr>
              <w:jc w:val="center"/>
              <w:rPr>
                <w:sz w:val="22"/>
                <w:szCs w:val="22"/>
              </w:rPr>
            </w:pPr>
            <w:r w:rsidRPr="005E2E86">
              <w:rPr>
                <w:color w:val="000000"/>
                <w:sz w:val="22"/>
                <w:szCs w:val="22"/>
              </w:rPr>
              <w:t>Hispanic Adults (Conducted in Spanish)</w:t>
            </w:r>
          </w:p>
        </w:tc>
        <w:tc>
          <w:tcPr>
            <w:tcW w:w="0" w:type="auto"/>
            <w:tcBorders>
              <w:right w:val="single" w:sz="8" w:space="0" w:color="4472C4" w:themeColor="accent1"/>
            </w:tcBorders>
            <w:hideMark/>
          </w:tcPr>
          <w:p w:rsidR="00E62FB4" w:rsidRPr="005E2E86" w14:paraId="75408BA6" w14:textId="77777777">
            <w:pPr>
              <w:jc w:val="center"/>
              <w:rPr>
                <w:sz w:val="22"/>
                <w:szCs w:val="22"/>
              </w:rPr>
            </w:pPr>
            <w:r w:rsidRPr="005E2E86">
              <w:rPr>
                <w:color w:val="000000"/>
                <w:sz w:val="22"/>
                <w:szCs w:val="22"/>
              </w:rPr>
              <w:t>White Adults</w:t>
            </w:r>
          </w:p>
        </w:tc>
      </w:tr>
      <w:tr w14:paraId="7AB78FA0" w14:textId="77777777" w:rsidTr="00A8030E">
        <w:tblPrEx>
          <w:tblW w:w="9686" w:type="dxa"/>
          <w:tblLook w:val="04A0"/>
        </w:tblPrEx>
        <w:trPr>
          <w:trHeight w:val="657"/>
        </w:trPr>
        <w:tc>
          <w:tcPr>
            <w:tcW w:w="0" w:type="auto"/>
            <w:tcBorders>
              <w:left w:val="single" w:sz="8" w:space="0" w:color="4472C4" w:themeColor="accent1"/>
              <w:bottom w:val="single" w:sz="4" w:space="0" w:color="B4C6E7" w:themeColor="accent1" w:themeTint="66"/>
            </w:tcBorders>
            <w:hideMark/>
          </w:tcPr>
          <w:p w:rsidR="00E62FB4" w:rsidRPr="005E2E86" w:rsidP="00E62FB4" w14:paraId="00388988" w14:textId="77777777">
            <w:pPr>
              <w:rPr>
                <w:b w:val="0"/>
                <w:bCs w:val="0"/>
                <w:sz w:val="22"/>
                <w:szCs w:val="22"/>
              </w:rPr>
            </w:pPr>
            <w:r w:rsidRPr="005E2E86">
              <w:rPr>
                <w:b w:val="0"/>
                <w:bCs w:val="0"/>
                <w:color w:val="000000"/>
                <w:sz w:val="22"/>
                <w:szCs w:val="22"/>
              </w:rPr>
              <w:t>Low Income</w:t>
            </w:r>
          </w:p>
        </w:tc>
        <w:tc>
          <w:tcPr>
            <w:tcW w:w="0" w:type="auto"/>
            <w:tcBorders>
              <w:bottom w:val="single" w:sz="4" w:space="0" w:color="B4C6E7" w:themeColor="accent1" w:themeTint="66"/>
            </w:tcBorders>
            <w:hideMark/>
          </w:tcPr>
          <w:p w:rsidR="00E62FB4" w:rsidRPr="005E2E86" w:rsidP="00E62FB4" w14:paraId="5B94B557" w14:textId="77777777">
            <w:pPr>
              <w:pStyle w:val="ListParagraph"/>
              <w:numPr>
                <w:ilvl w:val="0"/>
                <w:numId w:val="23"/>
              </w:numPr>
              <w:rPr>
                <w:sz w:val="22"/>
                <w:szCs w:val="22"/>
              </w:rPr>
            </w:pPr>
            <w:r w:rsidRPr="005E2E86">
              <w:rPr>
                <w:color w:val="000000"/>
                <w:sz w:val="22"/>
                <w:szCs w:val="22"/>
              </w:rPr>
              <w:t xml:space="preserve">1 group among Overweight/ Obese </w:t>
            </w:r>
          </w:p>
          <w:p w:rsidR="00E62FB4" w:rsidRPr="005E2E86" w:rsidP="00E62FB4" w14:paraId="7CE7C4F9" w14:textId="15EAB543">
            <w:pPr>
              <w:pStyle w:val="ListParagraph"/>
              <w:numPr>
                <w:ilvl w:val="0"/>
                <w:numId w:val="23"/>
              </w:numPr>
              <w:rPr>
                <w:sz w:val="22"/>
                <w:szCs w:val="22"/>
              </w:rPr>
            </w:pPr>
            <w:r w:rsidRPr="005E2E86">
              <w:rPr>
                <w:color w:val="000000"/>
                <w:sz w:val="22"/>
                <w:szCs w:val="22"/>
              </w:rPr>
              <w:t>1 group among Healthy Weight</w:t>
            </w:r>
          </w:p>
        </w:tc>
        <w:tc>
          <w:tcPr>
            <w:tcW w:w="0" w:type="auto"/>
            <w:tcBorders>
              <w:bottom w:val="single" w:sz="4" w:space="0" w:color="B4C6E7" w:themeColor="accent1" w:themeTint="66"/>
            </w:tcBorders>
            <w:hideMark/>
          </w:tcPr>
          <w:p w:rsidR="00E62FB4" w:rsidRPr="005E2E86" w:rsidP="00E62FB4" w14:paraId="3448991D" w14:textId="77777777">
            <w:pPr>
              <w:pStyle w:val="ListParagraph"/>
              <w:numPr>
                <w:ilvl w:val="0"/>
                <w:numId w:val="23"/>
              </w:numPr>
              <w:rPr>
                <w:sz w:val="22"/>
                <w:szCs w:val="22"/>
              </w:rPr>
            </w:pPr>
            <w:r w:rsidRPr="005E2E86">
              <w:rPr>
                <w:color w:val="000000"/>
                <w:sz w:val="22"/>
                <w:szCs w:val="22"/>
              </w:rPr>
              <w:t xml:space="preserve">1 group among Overweight/ Obese </w:t>
            </w:r>
          </w:p>
          <w:p w:rsidR="00E62FB4" w:rsidRPr="005E2E86" w:rsidP="00E62FB4" w14:paraId="5E9D39D2" w14:textId="2A73B738">
            <w:pPr>
              <w:pStyle w:val="ListParagraph"/>
              <w:numPr>
                <w:ilvl w:val="0"/>
                <w:numId w:val="23"/>
              </w:numPr>
              <w:rPr>
                <w:sz w:val="22"/>
                <w:szCs w:val="22"/>
              </w:rPr>
            </w:pPr>
            <w:r w:rsidRPr="005E2E86">
              <w:rPr>
                <w:color w:val="000000"/>
                <w:sz w:val="22"/>
                <w:szCs w:val="22"/>
              </w:rPr>
              <w:t>1 group among Healthy Weight</w:t>
            </w:r>
          </w:p>
        </w:tc>
        <w:tc>
          <w:tcPr>
            <w:tcW w:w="0" w:type="auto"/>
            <w:tcBorders>
              <w:bottom w:val="single" w:sz="4" w:space="0" w:color="B4C6E7" w:themeColor="accent1" w:themeTint="66"/>
            </w:tcBorders>
            <w:hideMark/>
          </w:tcPr>
          <w:p w:rsidR="00E62FB4" w:rsidRPr="005E2E86" w:rsidP="00E62FB4" w14:paraId="065FC176" w14:textId="77777777">
            <w:pPr>
              <w:pStyle w:val="ListParagraph"/>
              <w:numPr>
                <w:ilvl w:val="0"/>
                <w:numId w:val="23"/>
              </w:numPr>
              <w:rPr>
                <w:sz w:val="22"/>
                <w:szCs w:val="22"/>
              </w:rPr>
            </w:pPr>
            <w:r w:rsidRPr="005E2E86">
              <w:rPr>
                <w:color w:val="000000"/>
                <w:sz w:val="22"/>
                <w:szCs w:val="22"/>
              </w:rPr>
              <w:t xml:space="preserve">1 group among Overweight/ Obese </w:t>
            </w:r>
          </w:p>
          <w:p w:rsidR="00E62FB4" w:rsidRPr="005E2E86" w:rsidP="00E62FB4" w14:paraId="728DA6C5" w14:textId="239E2E37">
            <w:pPr>
              <w:pStyle w:val="ListParagraph"/>
              <w:numPr>
                <w:ilvl w:val="0"/>
                <w:numId w:val="23"/>
              </w:numPr>
              <w:rPr>
                <w:sz w:val="22"/>
                <w:szCs w:val="22"/>
              </w:rPr>
            </w:pPr>
            <w:r w:rsidRPr="005E2E86">
              <w:rPr>
                <w:color w:val="000000"/>
                <w:sz w:val="22"/>
                <w:szCs w:val="22"/>
              </w:rPr>
              <w:t>1 group among Healthy Weight</w:t>
            </w:r>
          </w:p>
        </w:tc>
        <w:tc>
          <w:tcPr>
            <w:tcW w:w="0" w:type="auto"/>
            <w:tcBorders>
              <w:bottom w:val="single" w:sz="4" w:space="0" w:color="B4C6E7" w:themeColor="accent1" w:themeTint="66"/>
              <w:right w:val="single" w:sz="8" w:space="0" w:color="4472C4" w:themeColor="accent1"/>
            </w:tcBorders>
            <w:hideMark/>
          </w:tcPr>
          <w:p w:rsidR="00E62FB4" w:rsidRPr="005E2E86" w:rsidP="00E62FB4" w14:paraId="5DA409B3" w14:textId="77777777">
            <w:pPr>
              <w:pStyle w:val="ListParagraph"/>
              <w:numPr>
                <w:ilvl w:val="0"/>
                <w:numId w:val="23"/>
              </w:numPr>
              <w:rPr>
                <w:sz w:val="22"/>
                <w:szCs w:val="22"/>
              </w:rPr>
            </w:pPr>
            <w:r w:rsidRPr="005E2E86">
              <w:rPr>
                <w:color w:val="000000"/>
                <w:sz w:val="22"/>
                <w:szCs w:val="22"/>
              </w:rPr>
              <w:t xml:space="preserve">1 group among Overweight/ Obese </w:t>
            </w:r>
          </w:p>
          <w:p w:rsidR="00E62FB4" w:rsidRPr="005E2E86" w:rsidP="00E62FB4" w14:paraId="70F178E3" w14:textId="74B84E62">
            <w:pPr>
              <w:pStyle w:val="ListParagraph"/>
              <w:numPr>
                <w:ilvl w:val="0"/>
                <w:numId w:val="23"/>
              </w:numPr>
              <w:rPr>
                <w:sz w:val="22"/>
                <w:szCs w:val="22"/>
              </w:rPr>
            </w:pPr>
            <w:r w:rsidRPr="005E2E86">
              <w:rPr>
                <w:color w:val="000000"/>
                <w:sz w:val="22"/>
                <w:szCs w:val="22"/>
              </w:rPr>
              <w:t>1 group among Healthy Weight</w:t>
            </w:r>
          </w:p>
        </w:tc>
      </w:tr>
      <w:tr w14:paraId="2A1C148D" w14:textId="77777777" w:rsidTr="00A8030E">
        <w:tblPrEx>
          <w:tblW w:w="9686" w:type="dxa"/>
          <w:tblLook w:val="04A0"/>
        </w:tblPrEx>
        <w:trPr>
          <w:trHeight w:val="993"/>
        </w:trPr>
        <w:tc>
          <w:tcPr>
            <w:tcW w:w="0" w:type="auto"/>
            <w:tcBorders>
              <w:left w:val="single" w:sz="8" w:space="0" w:color="4472C4" w:themeColor="accent1"/>
              <w:bottom w:val="single" w:sz="12" w:space="0" w:color="4472C4" w:themeColor="accent1"/>
            </w:tcBorders>
            <w:hideMark/>
          </w:tcPr>
          <w:p w:rsidR="005E2E86" w:rsidRPr="005E2E86" w:rsidP="005E2E86" w14:paraId="6F0DF45E" w14:textId="77777777">
            <w:pPr>
              <w:rPr>
                <w:b w:val="0"/>
                <w:bCs w:val="0"/>
                <w:sz w:val="22"/>
                <w:szCs w:val="22"/>
              </w:rPr>
            </w:pPr>
            <w:r w:rsidRPr="005E2E86">
              <w:rPr>
                <w:b w:val="0"/>
                <w:bCs w:val="0"/>
                <w:color w:val="000000"/>
                <w:sz w:val="22"/>
                <w:szCs w:val="22"/>
              </w:rPr>
              <w:t>Middle-to-High Income</w:t>
            </w:r>
          </w:p>
        </w:tc>
        <w:tc>
          <w:tcPr>
            <w:tcW w:w="0" w:type="auto"/>
            <w:tcBorders>
              <w:bottom w:val="single" w:sz="12" w:space="0" w:color="4472C4" w:themeColor="accent1"/>
            </w:tcBorders>
            <w:hideMark/>
          </w:tcPr>
          <w:p w:rsidR="005E2E86" w:rsidRPr="005E2E86" w:rsidP="005E2E86" w14:paraId="0564B51C" w14:textId="711B43C1">
            <w:pPr>
              <w:pStyle w:val="ListParagraph"/>
              <w:numPr>
                <w:ilvl w:val="0"/>
                <w:numId w:val="23"/>
              </w:numPr>
              <w:rPr>
                <w:sz w:val="22"/>
                <w:szCs w:val="22"/>
              </w:rPr>
            </w:pPr>
            <w:r w:rsidRPr="005E2E86">
              <w:rPr>
                <w:color w:val="000000"/>
                <w:sz w:val="22"/>
                <w:szCs w:val="22"/>
              </w:rPr>
              <w:t>1 group among a mix of BMI</w:t>
            </w:r>
          </w:p>
        </w:tc>
        <w:tc>
          <w:tcPr>
            <w:tcW w:w="0" w:type="auto"/>
            <w:tcBorders>
              <w:bottom w:val="single" w:sz="12" w:space="0" w:color="4472C4" w:themeColor="accent1"/>
            </w:tcBorders>
            <w:hideMark/>
          </w:tcPr>
          <w:p w:rsidR="005E2E86" w:rsidRPr="005E2E86" w:rsidP="005E2E86" w14:paraId="0384A980" w14:textId="1E068E81">
            <w:pPr>
              <w:pStyle w:val="ListParagraph"/>
              <w:numPr>
                <w:ilvl w:val="0"/>
                <w:numId w:val="23"/>
              </w:numPr>
              <w:rPr>
                <w:sz w:val="22"/>
                <w:szCs w:val="22"/>
              </w:rPr>
            </w:pPr>
            <w:r w:rsidRPr="005E2E86">
              <w:rPr>
                <w:color w:val="000000"/>
                <w:sz w:val="22"/>
                <w:szCs w:val="22"/>
              </w:rPr>
              <w:t>1 group among a mix of BMI</w:t>
            </w:r>
          </w:p>
        </w:tc>
        <w:tc>
          <w:tcPr>
            <w:tcW w:w="0" w:type="auto"/>
            <w:tcBorders>
              <w:bottom w:val="single" w:sz="12" w:space="0" w:color="4472C4" w:themeColor="accent1"/>
            </w:tcBorders>
            <w:hideMark/>
          </w:tcPr>
          <w:p w:rsidR="005E2E86" w:rsidRPr="005E2E86" w:rsidP="005E2E86" w14:paraId="13673B11" w14:textId="13809A6D">
            <w:pPr>
              <w:pStyle w:val="ListParagraph"/>
              <w:numPr>
                <w:ilvl w:val="0"/>
                <w:numId w:val="23"/>
              </w:numPr>
              <w:rPr>
                <w:sz w:val="22"/>
                <w:szCs w:val="22"/>
              </w:rPr>
            </w:pPr>
            <w:r w:rsidRPr="005E2E86">
              <w:rPr>
                <w:color w:val="000000"/>
                <w:sz w:val="22"/>
                <w:szCs w:val="22"/>
              </w:rPr>
              <w:t>1 group among a mix of BMI</w:t>
            </w:r>
          </w:p>
        </w:tc>
        <w:tc>
          <w:tcPr>
            <w:tcW w:w="0" w:type="auto"/>
            <w:tcBorders>
              <w:bottom w:val="single" w:sz="12" w:space="0" w:color="4472C4" w:themeColor="accent1"/>
              <w:right w:val="single" w:sz="8" w:space="0" w:color="4472C4" w:themeColor="accent1"/>
            </w:tcBorders>
            <w:hideMark/>
          </w:tcPr>
          <w:p w:rsidR="005E2E86" w:rsidRPr="005E2E86" w:rsidP="005E2E86" w14:paraId="7A51AB0D" w14:textId="6D51C5EA">
            <w:pPr>
              <w:pStyle w:val="ListParagraph"/>
              <w:numPr>
                <w:ilvl w:val="0"/>
                <w:numId w:val="23"/>
              </w:numPr>
              <w:rPr>
                <w:sz w:val="22"/>
                <w:szCs w:val="22"/>
              </w:rPr>
            </w:pPr>
            <w:r w:rsidRPr="005E2E86">
              <w:rPr>
                <w:color w:val="000000"/>
                <w:sz w:val="22"/>
                <w:szCs w:val="22"/>
              </w:rPr>
              <w:t>1 group among a mix of BMI</w:t>
            </w:r>
          </w:p>
        </w:tc>
      </w:tr>
      <w:tr w14:paraId="490D881B" w14:textId="77777777" w:rsidTr="00A8030E">
        <w:tblPrEx>
          <w:tblW w:w="9686" w:type="dxa"/>
          <w:tblLook w:val="04A0"/>
        </w:tblPrEx>
        <w:trPr>
          <w:trHeight w:val="297"/>
        </w:trPr>
        <w:tc>
          <w:tcPr>
            <w:tcW w:w="0" w:type="auto"/>
            <w:tcBorders>
              <w:top w:val="single" w:sz="12" w:space="0" w:color="4472C4" w:themeColor="accent1"/>
              <w:left w:val="single" w:sz="8" w:space="0" w:color="4472C4" w:themeColor="accent1"/>
            </w:tcBorders>
            <w:hideMark/>
          </w:tcPr>
          <w:p w:rsidR="00A8030E" w:rsidRPr="005E2E86" w:rsidP="00A8030E" w14:paraId="124D1E65" w14:textId="77777777">
            <w:pPr>
              <w:rPr>
                <w:b w:val="0"/>
                <w:bCs w:val="0"/>
                <w:sz w:val="22"/>
                <w:szCs w:val="22"/>
              </w:rPr>
            </w:pPr>
            <w:r w:rsidRPr="005E2E86">
              <w:rPr>
                <w:b w:val="0"/>
                <w:bCs w:val="0"/>
                <w:color w:val="000000"/>
                <w:sz w:val="22"/>
                <w:szCs w:val="22"/>
              </w:rPr>
              <w:t>Parents with Children &lt;18 in Household</w:t>
            </w:r>
          </w:p>
        </w:tc>
        <w:tc>
          <w:tcPr>
            <w:tcW w:w="0" w:type="auto"/>
            <w:gridSpan w:val="4"/>
            <w:tcBorders>
              <w:top w:val="single" w:sz="12" w:space="0" w:color="4472C4" w:themeColor="accent1"/>
              <w:right w:val="single" w:sz="8" w:space="0" w:color="4472C4" w:themeColor="accent1"/>
            </w:tcBorders>
            <w:hideMark/>
          </w:tcPr>
          <w:p w:rsidR="00A8030E" w:rsidRPr="00A8030E" w:rsidP="00A8030E" w14:paraId="3393D2DF" w14:textId="1ED75229">
            <w:pPr>
              <w:pStyle w:val="ListParagraph"/>
              <w:numPr>
                <w:ilvl w:val="0"/>
                <w:numId w:val="23"/>
              </w:numPr>
              <w:rPr>
                <w:sz w:val="22"/>
                <w:szCs w:val="22"/>
              </w:rPr>
            </w:pPr>
            <w:r w:rsidRPr="00F97A8E">
              <w:rPr>
                <w:color w:val="000000"/>
                <w:sz w:val="22"/>
                <w:szCs w:val="22"/>
              </w:rPr>
              <w:t>2 groups among mixed race/ethnicity: both groups among SNAP participants/SNAP-eligible/low-income</w:t>
            </w:r>
          </w:p>
        </w:tc>
      </w:tr>
      <w:tr w14:paraId="27E5239C" w14:textId="77777777" w:rsidTr="00A8030E">
        <w:tblPrEx>
          <w:tblW w:w="9686" w:type="dxa"/>
          <w:tblLook w:val="04A0"/>
        </w:tblPrEx>
        <w:trPr>
          <w:trHeight w:val="297"/>
        </w:trPr>
        <w:tc>
          <w:tcPr>
            <w:tcW w:w="0" w:type="auto"/>
            <w:tcBorders>
              <w:left w:val="single" w:sz="8" w:space="0" w:color="4472C4" w:themeColor="accent1"/>
            </w:tcBorders>
            <w:hideMark/>
          </w:tcPr>
          <w:p w:rsidR="00A8030E" w:rsidRPr="005E2E86" w:rsidP="00A8030E" w14:paraId="272B5E82" w14:textId="77777777">
            <w:pPr>
              <w:rPr>
                <w:b w:val="0"/>
                <w:bCs w:val="0"/>
                <w:sz w:val="22"/>
                <w:szCs w:val="22"/>
              </w:rPr>
            </w:pPr>
            <w:r w:rsidRPr="005E2E86">
              <w:rPr>
                <w:b w:val="0"/>
                <w:bCs w:val="0"/>
                <w:color w:val="000000"/>
                <w:sz w:val="22"/>
                <w:szCs w:val="22"/>
              </w:rPr>
              <w:t>Empty Nesters/Older Adults</w:t>
            </w:r>
          </w:p>
        </w:tc>
        <w:tc>
          <w:tcPr>
            <w:tcW w:w="0" w:type="auto"/>
            <w:gridSpan w:val="4"/>
            <w:tcBorders>
              <w:right w:val="single" w:sz="8" w:space="0" w:color="4472C4" w:themeColor="accent1"/>
            </w:tcBorders>
            <w:hideMark/>
          </w:tcPr>
          <w:p w:rsidR="00A8030E" w:rsidRPr="00A8030E" w:rsidP="00A8030E" w14:paraId="45D56DE1" w14:textId="1B7CF297">
            <w:pPr>
              <w:pStyle w:val="ListParagraph"/>
              <w:numPr>
                <w:ilvl w:val="0"/>
                <w:numId w:val="23"/>
              </w:numPr>
              <w:rPr>
                <w:sz w:val="22"/>
                <w:szCs w:val="22"/>
              </w:rPr>
            </w:pPr>
            <w:r w:rsidRPr="00F97A8E">
              <w:rPr>
                <w:color w:val="000000"/>
                <w:sz w:val="22"/>
                <w:szCs w:val="22"/>
              </w:rPr>
              <w:t>2 groups among mixed race/ethnicity: both groups among SNAP participants/SNAP-eligible/low-income</w:t>
            </w:r>
          </w:p>
        </w:tc>
      </w:tr>
      <w:tr w14:paraId="7C2D8DA1" w14:textId="77777777" w:rsidTr="00A8030E">
        <w:tblPrEx>
          <w:tblW w:w="9686" w:type="dxa"/>
          <w:tblLook w:val="04A0"/>
        </w:tblPrEx>
        <w:trPr>
          <w:trHeight w:val="297"/>
        </w:trPr>
        <w:tc>
          <w:tcPr>
            <w:tcW w:w="0" w:type="auto"/>
            <w:tcBorders>
              <w:left w:val="single" w:sz="8" w:space="0" w:color="4472C4" w:themeColor="accent1"/>
              <w:bottom w:val="single" w:sz="8" w:space="0" w:color="4472C4" w:themeColor="accent1"/>
            </w:tcBorders>
            <w:hideMark/>
          </w:tcPr>
          <w:p w:rsidR="00A8030E" w:rsidRPr="005E2E86" w:rsidP="00A8030E" w14:paraId="1C93ED78" w14:textId="77777777">
            <w:pPr>
              <w:rPr>
                <w:b w:val="0"/>
                <w:bCs w:val="0"/>
                <w:sz w:val="22"/>
                <w:szCs w:val="22"/>
              </w:rPr>
            </w:pPr>
            <w:r w:rsidRPr="005E2E86">
              <w:rPr>
                <w:b w:val="0"/>
                <w:bCs w:val="0"/>
                <w:color w:val="000000"/>
                <w:sz w:val="22"/>
                <w:szCs w:val="22"/>
              </w:rPr>
              <w:t>18-25 Years Old</w:t>
            </w:r>
          </w:p>
        </w:tc>
        <w:tc>
          <w:tcPr>
            <w:tcW w:w="0" w:type="auto"/>
            <w:gridSpan w:val="4"/>
            <w:tcBorders>
              <w:bottom w:val="single" w:sz="8" w:space="0" w:color="4472C4" w:themeColor="accent1"/>
              <w:right w:val="single" w:sz="8" w:space="0" w:color="4472C4" w:themeColor="accent1"/>
            </w:tcBorders>
            <w:hideMark/>
          </w:tcPr>
          <w:p w:rsidR="00A8030E" w:rsidRPr="00A8030E" w:rsidP="00A8030E" w14:paraId="7209C73E" w14:textId="1772F152">
            <w:pPr>
              <w:pStyle w:val="ListParagraph"/>
              <w:numPr>
                <w:ilvl w:val="0"/>
                <w:numId w:val="23"/>
              </w:numPr>
              <w:rPr>
                <w:sz w:val="22"/>
                <w:szCs w:val="22"/>
              </w:rPr>
            </w:pPr>
            <w:r w:rsidRPr="00F97A8E">
              <w:rPr>
                <w:color w:val="000000"/>
                <w:sz w:val="22"/>
                <w:szCs w:val="22"/>
              </w:rPr>
              <w:t>2 groups among mixed race/ethnicity: both groups among SNAP participants/SNAP-eligible/low-income</w:t>
            </w:r>
          </w:p>
        </w:tc>
      </w:tr>
    </w:tbl>
    <w:p w:rsidR="00E62FB4" w:rsidRPr="000D208D" w:rsidP="008F700A" w14:paraId="0C1E4304" w14:textId="77777777">
      <w:pPr>
        <w:ind w:left="-630" w:firstLine="630"/>
        <w:rPr>
          <w:rFonts w:eastAsia="Calibri"/>
          <w:b/>
        </w:rPr>
      </w:pPr>
    </w:p>
    <w:p w:rsidR="00434E33" w14:paraId="68C241AE" w14:textId="77777777"/>
    <w:p w:rsidR="00D5532A" w:rsidRPr="000D208D" w:rsidP="00D5532A" w14:paraId="0CA81171" w14:textId="77777777">
      <w:pPr>
        <w:rPr>
          <w:u w:val="single"/>
        </w:rPr>
      </w:pPr>
      <w:r w:rsidRPr="000D208D">
        <w:rPr>
          <w:u w:val="single"/>
        </w:rPr>
        <w:t>Recruitment</w:t>
      </w:r>
    </w:p>
    <w:p w:rsidR="00D5532A" w:rsidRPr="000D208D" w:rsidP="00D5532A" w14:paraId="26B1C2CA" w14:textId="2A6D0E68">
      <w:r w:rsidRPr="00E76637">
        <w:t xml:space="preserve">Individuals will be identified for potential participation utilizing a screener document (Attachments A-1, </w:t>
      </w:r>
      <w:r w:rsidRPr="00E76637" w:rsidR="003D5E82">
        <w:t>A-2, A-3, and A-4</w:t>
      </w:r>
      <w:r w:rsidRPr="00E76637">
        <w:t>) to identify the demographics</w:t>
      </w:r>
      <w:r w:rsidRPr="00E76637" w:rsidR="00D11701">
        <w:t xml:space="preserve"> and other key criteria</w:t>
      </w:r>
      <w:r w:rsidRPr="00E76637">
        <w:t xml:space="preserve"> of the potential participants.  Professional recruiters</w:t>
      </w:r>
      <w:r w:rsidRPr="000D208D">
        <w:t xml:space="preserve"> will be used to identify potential participants using a database and will then follow up with the screen</w:t>
      </w:r>
      <w:r w:rsidR="00D11701">
        <w:t>er</w:t>
      </w:r>
      <w:r w:rsidRPr="000D208D">
        <w:t xml:space="preserve"> online</w:t>
      </w:r>
      <w:r w:rsidR="005731B4">
        <w:t xml:space="preserve"> and </w:t>
      </w:r>
      <w:r w:rsidRPr="000D208D" w:rsidR="005731B4">
        <w:t>a short recruitment phone call</w:t>
      </w:r>
      <w:r w:rsidRPr="000D208D">
        <w:t xml:space="preserve">.  The use of the database does not impose additional burden on the respondents.  </w:t>
      </w:r>
    </w:p>
    <w:p w:rsidR="00D5532A" w:rsidRPr="000D208D" w:rsidP="00D5532A" w14:paraId="0C8A95B4" w14:textId="77777777"/>
    <w:p w:rsidR="00390087" w14:paraId="599D6B54" w14:textId="2B78F15F">
      <w:pPr>
        <w:rPr>
          <w:u w:val="single"/>
        </w:rPr>
      </w:pPr>
    </w:p>
    <w:p w:rsidR="00D5532A" w:rsidRPr="000D208D" w:rsidP="00D5532A" w14:paraId="3B9DD775" w14:textId="38100505">
      <w:pPr>
        <w:rPr>
          <w:u w:val="single"/>
        </w:rPr>
      </w:pPr>
      <w:r w:rsidRPr="000D208D">
        <w:rPr>
          <w:u w:val="single"/>
        </w:rPr>
        <w:t>Confirmation</w:t>
      </w:r>
    </w:p>
    <w:p w:rsidR="00D5532A" w:rsidRPr="000D208D" w:rsidP="00D5532A" w14:paraId="315F7EC5" w14:textId="410826FB">
      <w:r>
        <w:t xml:space="preserve">After completing the screener, participants who qualify will be sent a focus group confirmation </w:t>
      </w:r>
      <w:r w:rsidRPr="00A77C1D">
        <w:t xml:space="preserve">form (Attachments </w:t>
      </w:r>
      <w:r w:rsidRPr="00A77C1D" w:rsidR="003802D9">
        <w:t>B</w:t>
      </w:r>
      <w:r w:rsidRPr="00A77C1D" w:rsidR="00E62FB4">
        <w:t xml:space="preserve">-1 and </w:t>
      </w:r>
      <w:r w:rsidRPr="00A77C1D" w:rsidR="003802D9">
        <w:t>B</w:t>
      </w:r>
      <w:r w:rsidRPr="00A77C1D" w:rsidR="003D5E82">
        <w:t>-2</w:t>
      </w:r>
      <w:r w:rsidRPr="00A77C1D">
        <w:t xml:space="preserve">) that outlines the purpose of the research, the fact that it is voluntary research, </w:t>
      </w:r>
      <w:r w:rsidRPr="00A77C1D" w:rsidR="4B18892E">
        <w:t>P</w:t>
      </w:r>
      <w:r w:rsidRPr="00A77C1D">
        <w:t xml:space="preserve">rivacy </w:t>
      </w:r>
      <w:r w:rsidRPr="00A77C1D" w:rsidR="0A4B7230">
        <w:t>A</w:t>
      </w:r>
      <w:r w:rsidRPr="00A77C1D">
        <w:t>ct</w:t>
      </w:r>
      <w:r>
        <w:t xml:space="preserve"> information, a public burden statement, the date and time of the virtual focus group, incentive information, and log-in instructions.</w:t>
      </w:r>
    </w:p>
    <w:p w:rsidR="00E26329" w:rsidRPr="000D208D" w14:paraId="7F5E9D3A" w14:textId="77777777">
      <w:pPr>
        <w:rPr>
          <w:b/>
        </w:rPr>
      </w:pPr>
    </w:p>
    <w:p w:rsidR="00E26329" w14:paraId="6BC2C549" w14:textId="77777777">
      <w:pPr>
        <w:rPr>
          <w:b/>
        </w:rPr>
      </w:pPr>
    </w:p>
    <w:p w:rsidR="00D11701" w14:paraId="01DF2B23" w14:textId="6B1E801A">
      <w:pPr>
        <w:rPr>
          <w:b/>
        </w:rPr>
      </w:pPr>
    </w:p>
    <w:p w:rsidR="00F06866" w:rsidRPr="00F06866" w14:paraId="2A176E3E" w14:textId="7ECFB852">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64784642">
      <w:pPr>
        <w:pStyle w:val="BodyTextIndent"/>
        <w:tabs>
          <w:tab w:val="left" w:pos="360"/>
        </w:tabs>
        <w:ind w:left="0"/>
        <w:rPr>
          <w:bCs/>
          <w:sz w:val="24"/>
        </w:rPr>
      </w:pPr>
      <w:r>
        <w:rPr>
          <w:bCs/>
          <w:sz w:val="24"/>
        </w:rPr>
        <w:t>[</w:t>
      </w:r>
      <w:r w:rsidR="0019291A">
        <w:rPr>
          <w:bCs/>
          <w:sz w:val="24"/>
        </w:rPr>
        <w:t>X</w:t>
      </w:r>
      <w:r>
        <w:rPr>
          <w:bCs/>
          <w:sz w:val="24"/>
        </w:rPr>
        <w:t xml:space="preserve">] Focus </w:t>
      </w:r>
      <w:r>
        <w:rPr>
          <w:bCs/>
          <w:sz w:val="24"/>
        </w:rPr>
        <w:t xml:space="preserve">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BE5CCF8" w14:textId="77777777">
      <w:pPr>
        <w:pStyle w:val="Header"/>
        <w:tabs>
          <w:tab w:val="clear" w:pos="4320"/>
          <w:tab w:val="clear" w:pos="8640"/>
        </w:tabs>
      </w:pPr>
      <w:r>
        <w:t>[ ]</w:t>
      </w:r>
      <w:r>
        <w:t xml:space="preserve"> </w:t>
      </w:r>
      <w:r w:rsidRPr="00010FE5">
        <w:t>Quick census or surveys</w:t>
      </w:r>
    </w:p>
    <w:p w:rsidR="00010FE5" w14:paraId="79F51E0E" w14:textId="77777777">
      <w:pPr>
        <w:pStyle w:val="Header"/>
        <w:tabs>
          <w:tab w:val="clear" w:pos="4320"/>
          <w:tab w:val="clear" w:pos="8640"/>
        </w:tabs>
      </w:pPr>
    </w:p>
    <w:p w:rsidR="00010FE5" w14:paraId="4B8F08BB"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RPr="00A45F62" w:rsidP="5BD03ABE" w14:paraId="37FCE342" w14:textId="7225F79A">
      <w:r w:rsidRPr="00A45F62">
        <w:t>Name:_</w:t>
      </w:r>
      <w:r w:rsidRPr="00A45F62">
        <w:t>___</w:t>
      </w:r>
      <w:r w:rsidRPr="00A45F62" w:rsidR="55EC1608">
        <w:rPr>
          <w:u w:val="single"/>
        </w:rPr>
        <w:t>Jessica</w:t>
      </w:r>
      <w:r w:rsidRPr="00A45F62" w:rsidR="55EC1608">
        <w:rPr>
          <w:u w:val="single"/>
        </w:rPr>
        <w:t xml:space="preserve"> Larson, MS, RD</w:t>
      </w:r>
      <w:r w:rsidRPr="00A45F62">
        <w:t>____________________________________________</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C86E91" w:rsidP="00C86E91" w14:paraId="134EE0C6" w14:textId="0CBECC09">
      <w:pPr>
        <w:pStyle w:val="ListParagraph"/>
        <w:numPr>
          <w:ilvl w:val="0"/>
          <w:numId w:val="18"/>
        </w:numPr>
      </w:pPr>
      <w:r>
        <w:t>Is</w:t>
      </w:r>
      <w:r w:rsidR="00237B48">
        <w:t xml:space="preserve"> personally identifiable information (PII) collected</w:t>
      </w:r>
      <w:r>
        <w:t xml:space="preserve">?  </w:t>
      </w:r>
      <w:r w:rsidR="009239AA">
        <w:t>[</w:t>
      </w:r>
      <w:r w:rsidR="008F700A">
        <w:t>X</w:t>
      </w:r>
      <w:r w:rsidR="009239AA">
        <w:t xml:space="preserve">] </w:t>
      </w:r>
      <w:r w:rsidR="009239AA">
        <w:t>Yes  [</w:t>
      </w:r>
      <w:r w:rsidR="009239AA">
        <w:t xml:space="preserve"> ]  No </w:t>
      </w:r>
    </w:p>
    <w:p w:rsidR="00C86E91" w:rsidP="00C86E91" w14:paraId="5411C1BA" w14:textId="68C0E51A">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8F700A">
        <w:t>X</w:t>
      </w:r>
      <w:r w:rsidR="009239AA">
        <w:t>] No</w:t>
      </w:r>
      <w:r>
        <w:t xml:space="preserve">   </w:t>
      </w:r>
    </w:p>
    <w:p w:rsidR="00C86E91" w:rsidP="00C86E91" w14:paraId="4841E67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35EA7A7E">
      <w:pPr>
        <w:pStyle w:val="ListParagraph"/>
        <w:ind w:left="0" w:firstLine="360"/>
      </w:pPr>
      <w:r>
        <w:t>[</w:t>
      </w:r>
      <w:r w:rsidR="008F700A">
        <w:t>X</w:t>
      </w:r>
      <w:r>
        <w:t xml:space="preserve">] </w:t>
      </w:r>
      <w:r>
        <w:t>Yes  [</w:t>
      </w:r>
      <w:r>
        <w:t xml:space="preserve">  ] No</w:t>
      </w:r>
    </w:p>
    <w:p w:rsidR="00187BA6" w:rsidP="00B35113" w14:paraId="059E7E32" w14:textId="77777777">
      <w:pPr>
        <w:pStyle w:val="ListParagraph"/>
        <w:ind w:left="0"/>
      </w:pP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187BA6" w:rsidRPr="001F6D73" w:rsidP="00C86E91" w14:paraId="6D924BAE" w14:textId="670029E2">
      <w:pPr>
        <w:pStyle w:val="ListParagraph"/>
        <w:ind w:left="0"/>
        <w:rPr>
          <w:bCs/>
        </w:rPr>
      </w:pPr>
      <w:r w:rsidRPr="001A5BDF">
        <w:t xml:space="preserve">Individuals will be </w:t>
      </w:r>
      <w:r w:rsidRPr="00A77C1D">
        <w:t>identified for potential participation utilizing a screener document (</w:t>
      </w:r>
      <w:r w:rsidRPr="00A77C1D" w:rsidR="003D5E82">
        <w:t xml:space="preserve">Attachments A-1, A-2, </w:t>
      </w:r>
      <w:r w:rsidRPr="00A77C1D" w:rsidR="003802D9">
        <w:t>A-3, and A-4</w:t>
      </w:r>
      <w:r w:rsidRPr="00A77C1D">
        <w:t xml:space="preserve">) to identify the demographics of the potential participants. </w:t>
      </w:r>
      <w:r w:rsidRPr="00A77C1D">
        <w:rPr>
          <w:bCs/>
        </w:rPr>
        <w:t>Demographic information allows the research</w:t>
      </w:r>
      <w:r w:rsidRPr="001F6D73">
        <w:rPr>
          <w:bCs/>
        </w:rPr>
        <w:t xml:space="preserve"> to ensure that </w:t>
      </w:r>
      <w:r w:rsidR="00D11701">
        <w:rPr>
          <w:bCs/>
        </w:rPr>
        <w:t xml:space="preserve">it </w:t>
      </w:r>
      <w:r w:rsidRPr="001F6D73">
        <w:rPr>
          <w:bCs/>
        </w:rPr>
        <w:t xml:space="preserve">is reflective of the wide range of </w:t>
      </w:r>
      <w:r w:rsidR="00E62FB4">
        <w:rPr>
          <w:bCs/>
        </w:rPr>
        <w:t>key audiences</w:t>
      </w:r>
      <w:r>
        <w:rPr>
          <w:bCs/>
        </w:rPr>
        <w:t>.</w:t>
      </w:r>
      <w:r w:rsidRPr="001F6D73">
        <w:rPr>
          <w:bCs/>
        </w:rPr>
        <w:t xml:space="preserve"> </w:t>
      </w:r>
      <w:r w:rsidR="00D11701">
        <w:rPr>
          <w:bCs/>
        </w:rPr>
        <w:t>That being said, the</w:t>
      </w:r>
      <w:r w:rsidR="00D11701">
        <w:rPr>
          <w:bCs/>
        </w:rPr>
        <w:t xml:space="preserve"> demographic information is </w:t>
      </w:r>
      <w:r w:rsidRPr="001F6D73">
        <w:rPr>
          <w:bCs/>
        </w:rPr>
        <w:t xml:space="preserve">not calculated </w:t>
      </w:r>
      <w:r w:rsidR="00D11701">
        <w:rPr>
          <w:bCs/>
        </w:rPr>
        <w:t>n</w:t>
      </w:r>
      <w:r w:rsidRPr="001F6D73">
        <w:rPr>
          <w:bCs/>
        </w:rPr>
        <w:t>or held as a quota</w:t>
      </w:r>
      <w:r w:rsidR="00D11701">
        <w:rPr>
          <w:bCs/>
        </w:rPr>
        <w:t xml:space="preserve"> for participation</w:t>
      </w:r>
      <w:r w:rsidRPr="001F6D73">
        <w:rPr>
          <w:bCs/>
        </w:rPr>
        <w:t>.</w:t>
      </w:r>
    </w:p>
    <w:p w:rsidR="00187BA6" w:rsidP="00C86E91" w14:paraId="206E4E38" w14:textId="1720684F">
      <w:pPr>
        <w:pStyle w:val="ListParagraph"/>
        <w:ind w:left="0"/>
        <w:rPr>
          <w:b/>
        </w:rPr>
      </w:pPr>
    </w:p>
    <w:p w:rsidR="00246965" w:rsidRPr="002667DF" w:rsidP="00C86E91" w14:paraId="514E5000" w14:textId="65A82470">
      <w:pPr>
        <w:pStyle w:val="ListParagraph"/>
        <w:ind w:left="0"/>
        <w:rPr>
          <w:b/>
        </w:rPr>
      </w:pPr>
      <w:r>
        <w:rPr>
          <w:bCs/>
        </w:rPr>
        <w:t xml:space="preserve">In addition, PII </w:t>
      </w:r>
      <w:r w:rsidR="00072F4F">
        <w:rPr>
          <w:bCs/>
        </w:rPr>
        <w:t xml:space="preserve">(respondents’ contact information) </w:t>
      </w:r>
      <w:r>
        <w:rPr>
          <w:bCs/>
        </w:rPr>
        <w:t xml:space="preserve">will only be obtained by the recruiters in order to schedule the focus group discussions and contact participants to conduct technology checks and remind them of the research session. This information will not be shared with the government nor the research team conducting the data </w:t>
      </w:r>
      <w:r w:rsidR="00072F4F">
        <w:rPr>
          <w:bCs/>
        </w:rPr>
        <w:t xml:space="preserve">collection and </w:t>
      </w:r>
      <w:r>
        <w:rPr>
          <w:bCs/>
        </w:rPr>
        <w:t>analysis.</w:t>
      </w:r>
      <w:r w:rsidR="0046337D">
        <w:rPr>
          <w:bCs/>
        </w:rPr>
        <w:t xml:space="preserve">  Finally, all respondent information will be anonymous and confidential, and </w:t>
      </w:r>
      <w:r w:rsidRPr="0046337D" w:rsidR="0046337D">
        <w:rPr>
          <w:bCs/>
          <w:u w:val="single"/>
        </w:rPr>
        <w:t>no</w:t>
      </w:r>
      <w:r w:rsidR="0046337D">
        <w:rPr>
          <w:bCs/>
        </w:rPr>
        <w:t xml:space="preserve"> PII will be recorded or included in reporting.</w:t>
      </w:r>
    </w:p>
    <w:p w:rsidR="00246965" w:rsidP="00C86E91" w14:paraId="67C16296" w14:textId="589E180C">
      <w:pPr>
        <w:pStyle w:val="ListParagraph"/>
        <w:ind w:left="0"/>
        <w:rPr>
          <w:b/>
        </w:rPr>
      </w:pPr>
      <w:r>
        <w:rPr>
          <w:b/>
        </w:rPr>
        <w:t xml:space="preserve"> </w:t>
      </w:r>
    </w:p>
    <w:p w:rsidR="00187BA6" w:rsidP="00C86E91" w14:paraId="42BB857F" w14:textId="77777777">
      <w:pPr>
        <w:pStyle w:val="ListParagraph"/>
        <w:ind w:left="0"/>
        <w:rPr>
          <w:b/>
        </w:rPr>
      </w:pP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71AB6787">
      <w:r>
        <w:t>Is an incentive (e.g., money or reimbursement of expenses, token of appreciation) provided to participants?  [</w:t>
      </w:r>
      <w:r w:rsidR="008F700A">
        <w:t>X</w:t>
      </w:r>
      <w:r>
        <w:t xml:space="preserve">] Yes </w:t>
      </w:r>
      <w:r>
        <w:t>[  ]</w:t>
      </w:r>
      <w:r>
        <w:t xml:space="preserve"> No  </w:t>
      </w:r>
    </w:p>
    <w:p w:rsidR="004D6E14" w14:paraId="7FEB70C6" w14:textId="267AA9A8">
      <w:pPr>
        <w:rPr>
          <w:b/>
        </w:rPr>
      </w:pPr>
    </w:p>
    <w:p w:rsidR="00D5532A" w14:paraId="4ACB4774" w14:textId="73811A88">
      <w:pPr>
        <w:rPr>
          <w:b/>
        </w:rPr>
      </w:pPr>
    </w:p>
    <w:p w:rsidR="00D5532A" w:rsidRPr="000D208D" w:rsidP="00D5532A" w14:paraId="52594C7C" w14:textId="0A909DB1">
      <w:r>
        <w:t>FNS</w:t>
      </w:r>
      <w:r w:rsidRPr="000D208D">
        <w:t xml:space="preserve"> will provide an </w:t>
      </w:r>
      <w:r w:rsidRPr="0021266C">
        <w:t>incentive of a $</w:t>
      </w:r>
      <w:r w:rsidRPr="0021266C" w:rsidR="00773D15">
        <w:t xml:space="preserve">75 </w:t>
      </w:r>
      <w:r w:rsidRPr="0021266C">
        <w:t>gift card for</w:t>
      </w:r>
      <w:r w:rsidRPr="000D208D">
        <w:t xml:space="preserve"> participating in the focus groups.  </w:t>
      </w:r>
      <w:r w:rsidR="0046337D">
        <w:rPr>
          <w:bCs/>
        </w:rPr>
        <w:t xml:space="preserve">This is the incentive level we have utilized for previous OMB-approved qualitative research for FNS and CNPP efforts.  </w:t>
      </w:r>
      <w:r w:rsidRPr="000D208D">
        <w:t>Incentives have been considered a standard practice in conducting qualitative research (see, for instance, the CDC General Guidelines for Focus Groups), helping to maximize participation, manage recruitment hours, and reduce no-show rates. For 2-hour focus groups (including 30 minutes for logging into the virtual, online platform), the incentive can be used to offset any child-care cost for harder-to-reach groups</w:t>
      </w:r>
      <w:r w:rsidR="00773D15">
        <w:t>, even for groups that are conducted virtually.  In these sessions, recruiters ask potential participants to ensure they can participate in the discussions uninterrupted</w:t>
      </w:r>
      <w:r w:rsidRPr="000D208D">
        <w:t xml:space="preserve">.  Additionally, as participants will use either smartphones, tablets, or laptops to log in and participate in the focus groups, the incentive can be used to offset any expenses incurred by using these devices.  Finally, incentives are more likely to secure the </w:t>
      </w:r>
      <w:r w:rsidRPr="000D208D">
        <w:t>participation of individuals meeting the screening requirements</w:t>
      </w:r>
      <w:r w:rsidR="00773D15">
        <w:t>, especially given the more complex nature of this recruit</w:t>
      </w:r>
      <w:r w:rsidR="00072F4F">
        <w:t xml:space="preserve">.  </w:t>
      </w:r>
    </w:p>
    <w:p w:rsidR="00D5532A" w14:paraId="3AE3DB1A" w14:textId="28C00540">
      <w:pPr>
        <w:rPr>
          <w:b/>
        </w:rPr>
      </w:pPr>
    </w:p>
    <w:p w:rsidR="00773D15" w:rsidP="003802D9" w14:paraId="74E1D32F" w14:textId="005BA867">
      <w:r w:rsidRPr="00773D15">
        <w:t xml:space="preserve">More specifically, </w:t>
      </w:r>
      <w:r w:rsidR="003802D9">
        <w:t xml:space="preserve">14 of the 18 focus </w:t>
      </w:r>
      <w:r w:rsidRPr="00276FD0">
        <w:t>groups will include low</w:t>
      </w:r>
      <w:r w:rsidR="00072F4F">
        <w:t>-</w:t>
      </w:r>
      <w:r w:rsidRPr="00276FD0">
        <w:t xml:space="preserve">income participants.  In our experience, </w:t>
      </w:r>
      <w:r w:rsidR="00072F4F">
        <w:t xml:space="preserve">virtual focus groups among </w:t>
      </w:r>
      <w:r w:rsidRPr="00276FD0">
        <w:t>low</w:t>
      </w:r>
      <w:r w:rsidR="00072F4F">
        <w:t>-</w:t>
      </w:r>
      <w:r w:rsidRPr="00276FD0">
        <w:t xml:space="preserve">income participants </w:t>
      </w:r>
      <w:r w:rsidR="00072F4F">
        <w:t xml:space="preserve">have </w:t>
      </w:r>
      <w:r w:rsidRPr="00276FD0">
        <w:t>high</w:t>
      </w:r>
      <w:r w:rsidR="00072F4F">
        <w:t>er</w:t>
      </w:r>
      <w:r w:rsidRPr="00276FD0">
        <w:t xml:space="preserve"> no-show rates</w:t>
      </w:r>
      <w:r w:rsidR="00072F4F">
        <w:t xml:space="preserve"> than no-show rates with sessions among middle- or higher-income individuals</w:t>
      </w:r>
      <w:r w:rsidRPr="00276FD0">
        <w:t xml:space="preserve">.  Furthermore, the show rates among </w:t>
      </w:r>
      <w:r>
        <w:t>low</w:t>
      </w:r>
      <w:r w:rsidR="00072F4F">
        <w:t>-</w:t>
      </w:r>
      <w:r>
        <w:t xml:space="preserve">income participants may </w:t>
      </w:r>
      <w:r w:rsidR="00072F4F">
        <w:t xml:space="preserve">also </w:t>
      </w:r>
      <w:r>
        <w:t>be a</w:t>
      </w:r>
      <w:r w:rsidRPr="00276FD0">
        <w:t xml:space="preserve">ffected by available opportunities to earn additional income (e.g., extra hours at work or side jobs) that pay more than </w:t>
      </w:r>
      <w:r>
        <w:t xml:space="preserve">the </w:t>
      </w:r>
      <w:r w:rsidRPr="00276FD0">
        <w:t>incentive</w:t>
      </w:r>
      <w:r>
        <w:t>, which is</w:t>
      </w:r>
      <w:r w:rsidRPr="00276FD0">
        <w:t xml:space="preserve"> </w:t>
      </w:r>
      <w:r>
        <w:t xml:space="preserve">below the typical market rate. </w:t>
      </w:r>
    </w:p>
    <w:p w:rsidR="00773D15" w14:paraId="2BB27345" w14:textId="68F74BD6">
      <w:pPr>
        <w:rPr>
          <w:b/>
        </w:rPr>
      </w:pPr>
    </w:p>
    <w:p w:rsidR="00072F4F" w14:paraId="72253704" w14:textId="0B4CB8D2">
      <w:r>
        <w:t xml:space="preserve">As such, utilizing this incentive rate will </w:t>
      </w:r>
      <w:r w:rsidRPr="000D208D">
        <w:t>mak</w:t>
      </w:r>
      <w:r>
        <w:t>e</w:t>
      </w:r>
      <w:r w:rsidRPr="000D208D">
        <w:t xml:space="preserve"> recruitment more effective and thus sav</w:t>
      </w:r>
      <w:r>
        <w:t>e</w:t>
      </w:r>
      <w:r w:rsidRPr="000D208D">
        <w:t xml:space="preserve"> government money in </w:t>
      </w:r>
      <w:r>
        <w:t xml:space="preserve">overall research </w:t>
      </w:r>
      <w:r w:rsidRPr="000D208D">
        <w:t>recruitment costs.</w:t>
      </w:r>
    </w:p>
    <w:p w:rsidR="0033754A" w14:paraId="195B009F" w14:textId="07A7D3BF"/>
    <w:p w:rsidR="003802D9" w14:paraId="3160E512" w14:textId="418C76F2">
      <w:pPr>
        <w:rPr>
          <w:b/>
        </w:rPr>
      </w:pPr>
      <w:r w:rsidRPr="00072F4F">
        <w:t xml:space="preserve">Finally, it is important to address equity as well.  As noted in the </w:t>
      </w:r>
      <w:r>
        <w:t xml:space="preserve">January 20, </w:t>
      </w:r>
      <w:r w:rsidRPr="00072F4F" w:rsidR="005D2BE9">
        <w:t>2006,</w:t>
      </w:r>
      <w:r w:rsidRPr="00072F4F">
        <w:t xml:space="preserve"> </w:t>
      </w:r>
      <w:r>
        <w:t xml:space="preserve">Memorandum for the President’s Management Council, </w:t>
      </w:r>
      <w:r w:rsidRPr="00072F4F">
        <w:t>if incentives are used, these should apply to all participants in research. Therefore, the recommended incentives must be applied to all participant segments, regardless of the incidence.</w:t>
      </w:r>
      <w:r>
        <w:t xml:space="preserve">  As a result, all participants will receive the same incentive rate.</w:t>
      </w:r>
    </w:p>
    <w:p w:rsidR="003802D9" w14:paraId="64F38356" w14:textId="6D0257AD">
      <w:pPr>
        <w:rPr>
          <w:b/>
        </w:rPr>
      </w:pPr>
    </w:p>
    <w:p w:rsidR="003802D9" w14:paraId="0DEA7519" w14:textId="769AED43">
      <w:pPr>
        <w:rPr>
          <w:b/>
        </w:rPr>
      </w:pPr>
    </w:p>
    <w:p w:rsidR="003802D9" w14:paraId="308D117C" w14:textId="77777777">
      <w:pPr>
        <w:rPr>
          <w:b/>
        </w:rPr>
      </w:pPr>
    </w:p>
    <w:p w:rsidR="005E714A" w:rsidP="00C86E91" w14:paraId="4AD3DB39" w14:textId="77777777">
      <w:pPr>
        <w:rPr>
          <w:i/>
        </w:rPr>
      </w:pPr>
      <w:r>
        <w:rPr>
          <w:b/>
        </w:rPr>
        <w:t>BURDEN HOUR</w:t>
      </w:r>
      <w:r w:rsidR="00441434">
        <w:rPr>
          <w:b/>
        </w:rPr>
        <w:t>S</w:t>
      </w:r>
      <w:r>
        <w:t xml:space="preserve"> </w:t>
      </w:r>
    </w:p>
    <w:p w:rsidR="006832D9" w:rsidRPr="006832D9" w:rsidP="00F3170F" w14:paraId="3C8DFDD0" w14:textId="77777777">
      <w:pPr>
        <w:keepNext/>
        <w:keepLines/>
        <w:rPr>
          <w:b/>
        </w:rPr>
      </w:pPr>
    </w:p>
    <w:p w:rsidR="00F3170F" w:rsidP="00F3170F" w14:paraId="7EF0A6D0" w14:textId="68C318F6"/>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1710"/>
        <w:gridCol w:w="1800"/>
        <w:gridCol w:w="1447"/>
      </w:tblGrid>
      <w:tr w14:paraId="3E65F9FB" w14:textId="77777777" w:rsidTr="00413CF2">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P="00413CF2" w14:paraId="5E20E28D" w14:textId="77777777">
            <w:pPr>
              <w:rPr>
                <w:rFonts w:ascii="Courier New" w:hAnsi="Courier New" w:cs="Courier New"/>
                <w:b/>
                <w:sz w:val="20"/>
                <w:szCs w:val="20"/>
              </w:rPr>
            </w:pPr>
            <w:r w:rsidRPr="00046816">
              <w:rPr>
                <w:b/>
              </w:rPr>
              <w:t>Category of Respondent</w:t>
            </w:r>
            <w:r>
              <w:rPr>
                <w:rFonts w:ascii="Courier New" w:hAnsi="Courier New" w:cs="Courier New"/>
                <w:b/>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46816" w:rsidRPr="00046816" w:rsidP="00413CF2" w14:paraId="2EA016F0" w14:textId="77777777">
            <w:pPr>
              <w:rPr>
                <w:b/>
              </w:rPr>
            </w:pPr>
            <w:r w:rsidRPr="00046816">
              <w:rPr>
                <w:b/>
              </w:rPr>
              <w:t>No. of Respondents</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4E9CB540" w14:textId="77777777">
            <w:pPr>
              <w:rPr>
                <w:b/>
              </w:rPr>
            </w:pPr>
            <w:r w:rsidRPr="00046816">
              <w:rPr>
                <w:b/>
              </w:rPr>
              <w:t>Participation Time</w:t>
            </w:r>
          </w:p>
        </w:tc>
        <w:tc>
          <w:tcPr>
            <w:tcW w:w="1447" w:type="dxa"/>
            <w:tcBorders>
              <w:top w:val="single" w:sz="4" w:space="0" w:color="auto"/>
              <w:left w:val="single" w:sz="4" w:space="0" w:color="auto"/>
              <w:bottom w:val="single" w:sz="4" w:space="0" w:color="auto"/>
              <w:right w:val="single" w:sz="4" w:space="0" w:color="auto"/>
            </w:tcBorders>
            <w:hideMark/>
          </w:tcPr>
          <w:p w:rsidR="00046816" w:rsidRPr="00046816" w:rsidP="00413CF2" w14:paraId="6CE23DB3" w14:textId="77777777">
            <w:pPr>
              <w:rPr>
                <w:b/>
              </w:rPr>
            </w:pPr>
            <w:r w:rsidRPr="00046816">
              <w:rPr>
                <w:b/>
              </w:rPr>
              <w:t>Burden Hours</w:t>
            </w:r>
          </w:p>
        </w:tc>
      </w:tr>
      <w:tr w14:paraId="09E69D5A" w14:textId="77777777" w:rsidTr="00413CF2">
        <w:tblPrEx>
          <w:tblW w:w="9900" w:type="dxa"/>
          <w:tblLayout w:type="fixed"/>
          <w:tblLook w:val="01E0"/>
        </w:tblPrEx>
        <w:trPr>
          <w:trHeight w:val="314"/>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046816" w:rsidP="00413CF2" w14:paraId="6933F90F" w14:textId="38CF0335">
            <w:r>
              <w:t>Screener (Attachments A-1, A-2, A-3, A-4)</w:t>
            </w:r>
          </w:p>
        </w:tc>
      </w:tr>
      <w:tr w14:paraId="0D6F63A4"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6F2F448F" w14:textId="77777777">
            <w:r w:rsidRPr="00046816">
              <w:t xml:space="preserve">     Individuals (respondents)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3660B01" w14:textId="14E920A9">
            <w:pPr>
              <w:jc w:val="center"/>
            </w:pPr>
            <w:r>
              <w:t>144</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7CC0CBF3" w14:textId="77777777">
            <w:r w:rsidRPr="00046816">
              <w:t xml:space="preserve">.25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B5D1806" w14:textId="3789ACDC">
            <w:pPr>
              <w:jc w:val="right"/>
            </w:pPr>
            <w:r>
              <w:t xml:space="preserve">36.0 </w:t>
            </w:r>
            <w:r>
              <w:t>hrs</w:t>
            </w:r>
          </w:p>
        </w:tc>
      </w:tr>
      <w:tr w14:paraId="1570A716"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054E4CAB" w14:textId="77777777">
            <w:r w:rsidRPr="00046816">
              <w:t xml:space="preserve">     Individuals (non-respondents)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27DFF78B" w14:textId="7A43D5F2">
            <w:pPr>
              <w:jc w:val="center"/>
            </w:pPr>
            <w:r>
              <w:t>432</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5628448B" w14:textId="14D17D22">
            <w:r w:rsidRPr="00046816">
              <w:t>.</w:t>
            </w:r>
            <w:r w:rsidR="00C57CE6">
              <w:t>25</w:t>
            </w:r>
            <w:r w:rsidRPr="00046816" w:rsidR="00C57CE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61DA7969" w14:textId="7DAD5FB2">
            <w:pPr>
              <w:jc w:val="right"/>
            </w:pPr>
            <w:r>
              <w:t>108.0</w:t>
            </w:r>
            <w:r w:rsidR="003802D9">
              <w:t xml:space="preserve"> </w:t>
            </w:r>
            <w:r w:rsidR="003802D9">
              <w:t>hrs</w:t>
            </w:r>
          </w:p>
        </w:tc>
      </w:tr>
      <w:tr w14:paraId="68F6D5BB" w14:textId="77777777" w:rsidTr="00413CF2">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046816" w:rsidP="00413CF2" w14:paraId="1DC6A6B9" w14:textId="77777777">
            <w:r w:rsidRPr="00046816">
              <w:t>Focus Groups</w:t>
            </w:r>
          </w:p>
        </w:tc>
      </w:tr>
      <w:tr w14:paraId="2505A63E" w14:textId="77777777" w:rsidTr="00AA68B3">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shd w:val="clear" w:color="auto" w:fill="auto"/>
            <w:hideMark/>
          </w:tcPr>
          <w:p w:rsidR="00E571A1" w:rsidP="00413CF2" w14:paraId="015F680C" w14:textId="77777777">
            <w:r w:rsidRPr="00046816">
              <w:t xml:space="preserve">     Individuals (confirmations</w:t>
            </w:r>
            <w:r>
              <w:t xml:space="preserve"> – Attachments </w:t>
            </w:r>
          </w:p>
          <w:p w:rsidR="00046816" w:rsidRPr="00046816" w:rsidP="00413CF2" w14:paraId="60724E8F" w14:textId="41720945">
            <w:r>
              <w:t xml:space="preserve">     B-1, B-2</w:t>
            </w:r>
            <w:r w:rsidRPr="00046816">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16" w:rsidRPr="00046816" w:rsidP="00413CF2" w14:paraId="1C3CA5CF" w14:textId="4EA67847">
            <w:pPr>
              <w:jc w:val="center"/>
            </w:pPr>
            <w:r>
              <w:t>144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16" w:rsidRPr="00046816" w:rsidP="00AA68B3" w14:paraId="5DB1B237" w14:textId="4BDE0CD6">
            <w:r>
              <w:t>.0</w:t>
            </w:r>
            <w:r w:rsidR="00AA68B3">
              <w:t>5</w:t>
            </w:r>
            <w:r>
              <w:t xml:space="preserve"> </w:t>
            </w:r>
            <w:r>
              <w:t>hrs</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16" w:rsidRPr="00046816" w:rsidP="00413CF2" w14:paraId="050ED4C8" w14:textId="5A53D1CA">
            <w:pPr>
              <w:jc w:val="right"/>
            </w:pPr>
            <w:r>
              <w:t>7</w:t>
            </w:r>
            <w:r w:rsidR="003802D9">
              <w:t>.</w:t>
            </w:r>
            <w:r>
              <w:t xml:space="preserve">2 </w:t>
            </w:r>
            <w:r w:rsidR="003802D9">
              <w:t>hrs</w:t>
            </w:r>
          </w:p>
        </w:tc>
      </w:tr>
      <w:tr w14:paraId="33A7BD69" w14:textId="77777777" w:rsidTr="00AA68B3">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shd w:val="clear" w:color="auto" w:fill="auto"/>
          </w:tcPr>
          <w:p w:rsidR="00AA68B3" w:rsidRPr="00046816" w:rsidP="00413CF2" w14:paraId="31AD984D" w14:textId="73A478E6">
            <w:r w:rsidRPr="00046816">
              <w:t xml:space="preserve">     Individuals (</w:t>
            </w:r>
            <w:r>
              <w:t>consent – Attachments C-1, C-2)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A68B3" w:rsidP="00413CF2" w14:paraId="6BB880D6" w14:textId="7CA544F8">
            <w:pPr>
              <w:jc w:val="center"/>
            </w:pPr>
            <w:r>
              <w:t>144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A68B3" w:rsidRPr="00046816" w:rsidP="00AA68B3" w14:paraId="20337ACB" w14:textId="7BC54A4B">
            <w:r>
              <w:t xml:space="preserve">.05 </w:t>
            </w:r>
            <w:r>
              <w:t>hrs</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A68B3" w:rsidP="00413CF2" w14:paraId="71FA8AB2" w14:textId="2B17E827">
            <w:pPr>
              <w:jc w:val="right"/>
            </w:pPr>
            <w:r>
              <w:t xml:space="preserve">7.2 </w:t>
            </w:r>
            <w:r>
              <w:t>hrs</w:t>
            </w:r>
          </w:p>
        </w:tc>
      </w:tr>
      <w:tr w14:paraId="555A7CD4" w14:textId="77777777" w:rsidTr="00AA68B3">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shd w:val="clear" w:color="auto" w:fill="auto"/>
          </w:tcPr>
          <w:p w:rsidR="00E571A1" w:rsidP="00413CF2" w14:paraId="70EE8D01" w14:textId="77777777">
            <w:r w:rsidRPr="00046816">
              <w:t xml:space="preserve">     Individuals (respondents</w:t>
            </w:r>
            <w:r>
              <w:t xml:space="preserve"> – Attachments D-1, </w:t>
            </w:r>
          </w:p>
          <w:p w:rsidR="00046816" w:rsidRPr="00046816" w:rsidP="00413CF2" w14:paraId="64C76B18" w14:textId="2A4295D4">
            <w:r>
              <w:t xml:space="preserve">     D-2</w:t>
            </w:r>
            <w:r w:rsidRPr="00046816">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46816" w:rsidRPr="00046816" w:rsidP="00413CF2" w14:paraId="51645800" w14:textId="0FBD4D74">
            <w:pPr>
              <w:jc w:val="center"/>
            </w:pPr>
            <w:r>
              <w:t>108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46816" w:rsidRPr="00046816" w:rsidP="00AA68B3" w14:paraId="1190E181" w14:textId="0A939254">
            <w:r w:rsidRPr="00046816">
              <w:t xml:space="preserve">2.0 </w:t>
            </w:r>
            <w:r w:rsidRPr="00046816">
              <w:t>hrs</w:t>
            </w:r>
            <w:r w:rsidR="0046337D">
              <w:t>*</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046816" w:rsidRPr="00046816" w:rsidP="00413CF2" w14:paraId="7E27BBBF" w14:textId="04216633">
            <w:pPr>
              <w:jc w:val="right"/>
            </w:pPr>
            <w:r>
              <w:t xml:space="preserve">216.0 </w:t>
            </w:r>
            <w:r>
              <w:t>hrs</w:t>
            </w:r>
          </w:p>
        </w:tc>
      </w:tr>
      <w:tr w14:paraId="2B237895"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E571A1" w:rsidP="00413CF2" w14:paraId="0B73C755" w14:textId="77777777">
            <w:r w:rsidRPr="00046816">
              <w:t xml:space="preserve">     </w:t>
            </w:r>
            <w:r w:rsidRPr="00E571A1">
              <w:t>Individuals (non-respondents)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E571A1" w:rsidP="00413CF2" w14:paraId="73B2B415" w14:textId="30DF1ACB">
            <w:pPr>
              <w:jc w:val="center"/>
            </w:pPr>
            <w:r w:rsidRPr="00E571A1">
              <w:t>36</w:t>
            </w:r>
          </w:p>
        </w:tc>
        <w:tc>
          <w:tcPr>
            <w:tcW w:w="1800" w:type="dxa"/>
            <w:tcBorders>
              <w:top w:val="single" w:sz="4" w:space="0" w:color="auto"/>
              <w:left w:val="single" w:sz="4" w:space="0" w:color="auto"/>
              <w:bottom w:val="single" w:sz="4" w:space="0" w:color="auto"/>
              <w:right w:val="single" w:sz="4" w:space="0" w:color="auto"/>
            </w:tcBorders>
            <w:hideMark/>
          </w:tcPr>
          <w:p w:rsidR="00046816" w:rsidRPr="00E571A1" w:rsidP="00413CF2" w14:paraId="29B39047" w14:textId="77777777">
            <w:r w:rsidRPr="00E571A1">
              <w:t xml:space="preserve">.167 </w:t>
            </w:r>
            <w:r w:rsidRPr="00E571A1">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E571A1" w:rsidP="00413CF2" w14:paraId="68B2B700" w14:textId="19EDAA8C">
            <w:pPr>
              <w:jc w:val="right"/>
            </w:pPr>
            <w:r w:rsidRPr="00E571A1">
              <w:t xml:space="preserve">6.0 </w:t>
            </w:r>
            <w:r w:rsidRPr="00E571A1">
              <w:t>hrs</w:t>
            </w:r>
          </w:p>
        </w:tc>
      </w:tr>
      <w:tr w14:paraId="670C0E6B" w14:textId="77777777" w:rsidTr="00413CF2">
        <w:tblPrEx>
          <w:tblW w:w="9900" w:type="dxa"/>
          <w:tblLayout w:type="fixed"/>
          <w:tblLook w:val="01E0"/>
        </w:tblPrEx>
        <w:trPr>
          <w:trHeight w:val="217"/>
        </w:trPr>
        <w:tc>
          <w:tcPr>
            <w:tcW w:w="4943" w:type="dxa"/>
            <w:tcBorders>
              <w:top w:val="single" w:sz="4" w:space="0" w:color="auto"/>
              <w:left w:val="single" w:sz="4" w:space="0" w:color="auto"/>
              <w:bottom w:val="single" w:sz="4" w:space="0" w:color="auto"/>
              <w:right w:val="single" w:sz="4" w:space="0" w:color="auto"/>
            </w:tcBorders>
            <w:hideMark/>
          </w:tcPr>
          <w:p w:rsidR="00046816" w:rsidRPr="00E571A1" w:rsidP="00413CF2" w14:paraId="0AD5B018" w14:textId="77777777">
            <w:pPr>
              <w:rPr>
                <w:b/>
              </w:rPr>
            </w:pPr>
            <w:r w:rsidRPr="00E571A1">
              <w:rPr>
                <w:b/>
              </w:rPr>
              <w:t>Totals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E571A1" w:rsidP="00413CF2" w14:paraId="42D13287" w14:textId="5EA3F337">
            <w:pPr>
              <w:jc w:val="center"/>
              <w:rPr>
                <w:b/>
              </w:rPr>
            </w:pPr>
            <w:r w:rsidRPr="00E571A1">
              <w:rPr>
                <w:b/>
              </w:rPr>
              <w:t>576</w:t>
            </w:r>
          </w:p>
        </w:tc>
        <w:tc>
          <w:tcPr>
            <w:tcW w:w="1800" w:type="dxa"/>
            <w:tcBorders>
              <w:top w:val="single" w:sz="4" w:space="0" w:color="auto"/>
              <w:left w:val="single" w:sz="4" w:space="0" w:color="auto"/>
              <w:bottom w:val="single" w:sz="4" w:space="0" w:color="auto"/>
              <w:right w:val="single" w:sz="4" w:space="0" w:color="auto"/>
            </w:tcBorders>
          </w:tcPr>
          <w:p w:rsidR="00046816" w:rsidRPr="00E571A1" w:rsidP="00413CF2" w14:paraId="6E8C4C84" w14:textId="77777777">
            <w:pPr>
              <w:rPr>
                <w:b/>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E571A1" w:rsidP="00413CF2" w14:paraId="17605E3D" w14:textId="7BD3B4F0">
            <w:pPr>
              <w:jc w:val="right"/>
              <w:rPr>
                <w:b/>
              </w:rPr>
            </w:pPr>
            <w:r>
              <w:rPr>
                <w:b/>
              </w:rPr>
              <w:t>380.4</w:t>
            </w:r>
            <w:r w:rsidRPr="00E571A1" w:rsidR="003802D9">
              <w:rPr>
                <w:b/>
              </w:rPr>
              <w:t xml:space="preserve"> </w:t>
            </w:r>
            <w:r w:rsidRPr="00E571A1" w:rsidR="003802D9">
              <w:rPr>
                <w:b/>
              </w:rPr>
              <w:t>hrs</w:t>
            </w:r>
          </w:p>
        </w:tc>
      </w:tr>
    </w:tbl>
    <w:p w:rsidR="0046337D" w:rsidRPr="00E571A1" w:rsidP="00F3170F" w14:paraId="5BAB71B8" w14:textId="5088E967">
      <w:pPr>
        <w:rPr>
          <w:sz w:val="20"/>
          <w:szCs w:val="20"/>
        </w:rPr>
      </w:pPr>
      <w:r w:rsidRPr="00E571A1">
        <w:rPr>
          <w:sz w:val="20"/>
          <w:szCs w:val="20"/>
        </w:rPr>
        <w:t>*NOTE:  The data collection will take 90 minutes, but respondents will need an additional 30 minutes for the technology check and to ensure they can log into the online interface correctly.</w:t>
      </w:r>
    </w:p>
    <w:p w:rsidR="00E571A1" w:rsidRPr="00E571A1" w:rsidP="00F3170F" w14:paraId="2F6EE232" w14:textId="77777777">
      <w:pPr>
        <w:rPr>
          <w:sz w:val="20"/>
          <w:szCs w:val="20"/>
        </w:rPr>
      </w:pPr>
    </w:p>
    <w:p w:rsidR="00E571A1" w:rsidRPr="00E571A1" w:rsidP="00E571A1" w14:paraId="3C43FACC" w14:textId="2CDBB0A6">
      <w:pPr>
        <w:spacing w:before="100" w:beforeAutospacing="1" w:after="100" w:afterAutospacing="1"/>
      </w:pPr>
      <w:r w:rsidRPr="00E571A1">
        <w:t xml:space="preserve">A total of 576 individuals will be contacted in order to conduct research among 108 individuals. The 432 screener non-respondents are participants who choose not to complete the full screener or who do not qualify for the focus groups. The remaining 144 individuals will be confirmed for </w:t>
      </w:r>
      <w:r w:rsidR="00AA68B3">
        <w:t>(</w:t>
      </w:r>
      <w:r w:rsidRPr="00E571A1" w:rsidR="00AA68B3">
        <w:t>i.e., meet recruitment criteria)</w:t>
      </w:r>
      <w:r w:rsidR="00AA68B3">
        <w:t xml:space="preserve"> and complete consent forms for </w:t>
      </w:r>
      <w:r w:rsidRPr="00E571A1">
        <w:t xml:space="preserve">the focus groups. Of the 144 individuals confirmed for the focus groups, we will seat 6 per group for a total of 108 focus group respondents. </w:t>
      </w:r>
    </w:p>
    <w:p w:rsidR="00E571A1" w:rsidRPr="00E571A1" w:rsidP="00E571A1" w14:paraId="707FFF54" w14:textId="5358165B">
      <w:pPr>
        <w:spacing w:before="100" w:beforeAutospacing="1" w:after="100" w:afterAutospacing="1"/>
      </w:pPr>
      <w:bookmarkStart w:id="0" w:name="_Hlk130828477"/>
      <w:r w:rsidRPr="00E571A1">
        <w:t xml:space="preserve">The estimate of respondent cost is based on the burden estimates and utilizes the U.S. Department of Labor, Bureau of Labor Statistics, May 2021 National Occupational and Wage Statistics, All Occupations (00-0000) (http://www.bls.gov/oes/current/oes_nat.htm). The hourly mean wage for functions performed by respondents is estimated at $22.00 per hour. With a burden of </w:t>
      </w:r>
      <w:r w:rsidR="00AA68B3">
        <w:t>380.4</w:t>
      </w:r>
      <w:r w:rsidRPr="00E571A1">
        <w:t xml:space="preserve"> hours at $22.00 per hour, the base annual respondent cost is estimated at $</w:t>
      </w:r>
      <w:r w:rsidR="00AA68B3">
        <w:t>8,368.80</w:t>
      </w:r>
      <w:r w:rsidRPr="00E571A1">
        <w:t>. An additional 33% of the estimated base annual respondent cost must be added to represent fully loaded wages, equaling $2,</w:t>
      </w:r>
      <w:r w:rsidR="00A45F62">
        <w:t>761.70</w:t>
      </w:r>
      <w:r w:rsidRPr="00E571A1">
        <w:t xml:space="preserve">. </w:t>
      </w:r>
      <w:r w:rsidRPr="00E571A1">
        <w:t>Thus</w:t>
      </w:r>
      <w:r w:rsidRPr="00E571A1">
        <w:t xml:space="preserve"> the total annual respondent cost is $</w:t>
      </w:r>
      <w:r w:rsidR="00AA68B3">
        <w:t>11,130.50</w:t>
      </w:r>
      <w:r w:rsidRPr="00E571A1">
        <w:t>.</w:t>
      </w:r>
      <w:bookmarkEnd w:id="0"/>
    </w:p>
    <w:p w:rsidR="00E571A1" w:rsidRPr="00E571A1" w:rsidP="00E571A1" w14:paraId="797335F8" w14:textId="77777777"/>
    <w:p w:rsidR="00E571A1" w:rsidRPr="00E571A1" w:rsidP="00E571A1" w14:paraId="53EA600E" w14:textId="77777777">
      <w:pPr>
        <w:rPr>
          <w:b/>
          <w:bCs/>
        </w:rPr>
      </w:pPr>
      <w:r w:rsidRPr="00E571A1">
        <w:rPr>
          <w:b/>
          <w:bCs/>
        </w:rPr>
        <w:t xml:space="preserve">FEDERAL COST:  </w:t>
      </w:r>
    </w:p>
    <w:p w:rsidR="00E571A1" w:rsidRPr="00E571A1" w:rsidP="00E571A1" w14:paraId="6173E7C1" w14:textId="1A1F24AC">
      <w:r w:rsidRPr="00E571A1">
        <w:t xml:space="preserve">It is estimated that Federal employees will spend approximately 60 hours overseeing this collection in 2023 with an average of a GS-14, step 1 wage. Using the hourly wage rate of $63.43 for a GS-14, step 1, Federal employee from the 2023 Washington, DC, locality pay table, </w:t>
      </w:r>
      <w:r w:rsidR="00676299">
        <w:t>and including a</w:t>
      </w:r>
      <w:r w:rsidRPr="0046605F" w:rsidR="00676299">
        <w:t>n additional 33% of the estimated base cost</w:t>
      </w:r>
      <w:r w:rsidR="00676299">
        <w:t xml:space="preserve">, </w:t>
      </w:r>
      <w:r w:rsidRPr="00E571A1">
        <w:t>the estimated costs equal $</w:t>
      </w:r>
      <w:r w:rsidRPr="001C5A8F" w:rsidR="001C5A8F">
        <w:t>5,061.714</w:t>
      </w:r>
      <w:r w:rsidR="00676299">
        <w:t>.</w:t>
      </w:r>
    </w:p>
    <w:p w:rsidR="00E571A1" w:rsidRPr="00E571A1" w:rsidP="00E571A1" w14:paraId="368EBBD1" w14:textId="73E0D82B">
      <w:pPr>
        <w:spacing w:before="100" w:beforeAutospacing="1" w:after="100" w:afterAutospacing="1"/>
      </w:pPr>
      <w:r w:rsidRPr="00E571A1">
        <w:t xml:space="preserve">Contractor costs to the Federal Government will total $160,642.00 over the course of this collection based on fully loaded rates. When combining the Federal employee and contractor costs, the total annual cost to the Federal Government for this information collection is estimated at </w:t>
      </w:r>
      <w:r w:rsidRPr="00E571A1">
        <w:rPr>
          <w:b/>
          <w:bCs/>
          <w:u w:val="single"/>
        </w:rPr>
        <w:t>$</w:t>
      </w:r>
      <w:r w:rsidRPr="001C5A8F" w:rsidR="001C5A8F">
        <w:rPr>
          <w:b/>
          <w:bCs/>
          <w:u w:val="single"/>
        </w:rPr>
        <w:t>165,703.71</w:t>
      </w:r>
      <w:r w:rsidRPr="00E571A1">
        <w:t>.</w:t>
      </w:r>
    </w:p>
    <w:p w:rsidR="00ED6492" w14:paraId="3515C89C" w14:textId="77777777">
      <w:pPr>
        <w:rPr>
          <w:b/>
          <w:bCs/>
          <w:u w:val="single"/>
        </w:rPr>
      </w:pPr>
    </w:p>
    <w:p w:rsidR="0069403B" w:rsidP="00F06866" w14:paraId="1FBDE10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1087DA88">
      <w:pPr>
        <w:pStyle w:val="ListParagraph"/>
        <w:ind w:left="360"/>
      </w:pPr>
      <w:r>
        <w:t>[ ]</w:t>
      </w:r>
      <w:r>
        <w:t xml:space="preserve"> Yes</w:t>
      </w:r>
      <w:r>
        <w:tab/>
        <w:t>[</w:t>
      </w:r>
      <w:r w:rsidR="000D208D">
        <w:t>X</w:t>
      </w:r>
      <w:r>
        <w:t>]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0D208D" w:rsidP="00A403BB" w14:paraId="6CB0ACB0" w14:textId="77777777">
      <w:pPr>
        <w:pStyle w:val="ListParagraph"/>
      </w:pPr>
    </w:p>
    <w:p w:rsidR="00A403BB" w:rsidP="0033754A" w14:paraId="0BE01311" w14:textId="7C10BE9D">
      <w:pPr>
        <w:tabs>
          <w:tab w:val="left" w:pos="0"/>
        </w:tabs>
        <w:suppressAutoHyphens/>
      </w:pPr>
      <w:r w:rsidRPr="000D208D">
        <w:t xml:space="preserve">We will be working with professional recruiting partners who have proprietary “opt-in” databases of potential research participants. These databases contain general demographic information for </w:t>
      </w:r>
      <w:r w:rsidRPr="000D208D">
        <w:t>each individual</w:t>
      </w:r>
      <w:r w:rsidR="0046337D">
        <w:t xml:space="preserve"> in their database</w:t>
      </w:r>
      <w:r w:rsidRPr="000D208D">
        <w:t>. Only individuals whose demographic profiles fall within the project’s general parameters will receive</w:t>
      </w:r>
      <w:r w:rsidR="005731B4">
        <w:t xml:space="preserve"> an online screener and</w:t>
      </w:r>
      <w:r w:rsidRPr="000D208D">
        <w:t xml:space="preserve"> a short recruitment phone call to determine if </w:t>
      </w:r>
      <w:r w:rsidRPr="00A77C1D">
        <w:t xml:space="preserve">they meet all project criteria. All individuals must meet the criteria listed in the screening questionnaire </w:t>
      </w:r>
      <w:r w:rsidRPr="00A77C1D" w:rsidR="003D5E82">
        <w:t>(Attachments A-1, A-</w:t>
      </w:r>
      <w:r w:rsidRPr="00A77C1D" w:rsidR="00E62FB4">
        <w:t>2, A-3, and A-4</w:t>
      </w:r>
      <w:r w:rsidRPr="00A77C1D" w:rsidR="003D5E82">
        <w:t xml:space="preserve">) </w:t>
      </w:r>
      <w:r w:rsidRPr="00A77C1D">
        <w:t xml:space="preserve">and provide consent </w:t>
      </w:r>
      <w:r w:rsidRPr="00A77C1D" w:rsidR="003D5E82">
        <w:t>(Attachments C-1 and C-2)</w:t>
      </w:r>
      <w:r w:rsidRPr="00A77C1D" w:rsidR="004211BB">
        <w:t xml:space="preserve"> </w:t>
      </w:r>
      <w:r w:rsidRPr="00A77C1D">
        <w:t>to participate</w:t>
      </w:r>
      <w:r w:rsidRPr="000D208D">
        <w:t xml:space="preserve"> before any research can take place.</w:t>
      </w:r>
    </w:p>
    <w:p w:rsidR="004D6E14" w:rsidP="00A403BB" w14:paraId="2E4827DA" w14:textId="77777777">
      <w:pPr>
        <w:rPr>
          <w:b/>
        </w:rPr>
      </w:pPr>
    </w:p>
    <w:p w:rsidR="008341ED" w14:paraId="56429AA4" w14:textId="44BBFEFA">
      <w:pPr>
        <w:rPr>
          <w:b/>
        </w:rPr>
      </w:pPr>
    </w:p>
    <w:p w:rsidR="00A403BB" w:rsidP="00A403BB" w14:paraId="212DA446" w14:textId="21370189">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P="001B0AAA" w14:paraId="0032781C" w14:textId="039ED07B">
      <w:pPr>
        <w:ind w:left="720"/>
      </w:pPr>
      <w:r>
        <w:t>[</w:t>
      </w:r>
      <w:r w:rsidR="0046337D">
        <w:t>X</w:t>
      </w:r>
      <w:r>
        <w:t>] Web-based</w:t>
      </w:r>
      <w:r>
        <w:t xml:space="preserve"> or other forms of </w:t>
      </w:r>
      <w:r>
        <w:t>Social Media</w:t>
      </w:r>
      <w:r>
        <w:t xml:space="preserve"> </w:t>
      </w:r>
    </w:p>
    <w:p w:rsidR="001B0AAA" w:rsidP="001B0AAA" w14:paraId="2B3683F1" w14:textId="77777777">
      <w:pPr>
        <w:ind w:left="720"/>
      </w:pPr>
      <w:r>
        <w:t xml:space="preserve">[ </w:t>
      </w:r>
      <w:r>
        <w:t xml:space="preserve"> </w:t>
      </w:r>
      <w:r>
        <w:t>]</w:t>
      </w:r>
      <w:r>
        <w:t xml:space="preserve"> Telephone</w:t>
      </w:r>
      <w:r>
        <w:tab/>
      </w:r>
    </w:p>
    <w:p w:rsidR="001B0AAA" w:rsidP="001B0AAA" w14:paraId="6570901D" w14:textId="77777777">
      <w:pPr>
        <w:ind w:left="720"/>
      </w:pPr>
      <w:r>
        <w:t>[</w:t>
      </w:r>
      <w:r>
        <w:t xml:space="preserve"> </w:t>
      </w:r>
      <w:r>
        <w:t xml:space="preserve"> ]</w:t>
      </w:r>
      <w:r>
        <w:t xml:space="preserve"> In-person</w:t>
      </w:r>
      <w:r>
        <w:tab/>
      </w:r>
    </w:p>
    <w:p w:rsidR="001B0AAA" w:rsidP="001B0AAA" w14:paraId="2A558F6A" w14:textId="77777777">
      <w:pPr>
        <w:ind w:left="720"/>
      </w:pPr>
      <w:r>
        <w:t xml:space="preserve">[ </w:t>
      </w:r>
      <w:r>
        <w:t xml:space="preserve"> </w:t>
      </w:r>
      <w:r>
        <w:t>]</w:t>
      </w:r>
      <w:r>
        <w:t xml:space="preserve"> Mail</w:t>
      </w:r>
      <w:r>
        <w:t xml:space="preserve"> </w:t>
      </w:r>
    </w:p>
    <w:p w:rsidR="001B0AAA" w:rsidP="001B0AAA" w14:paraId="2F6B980C" w14:textId="77777777">
      <w:pPr>
        <w:ind w:left="720"/>
      </w:pPr>
      <w:r>
        <w:t xml:space="preserve">[ </w:t>
      </w:r>
      <w:r>
        <w:t xml:space="preserve"> </w:t>
      </w:r>
      <w:r>
        <w:t>]</w:t>
      </w:r>
      <w:r>
        <w:t xml:space="preserve"> Other, Explain</w:t>
      </w:r>
    </w:p>
    <w:p w:rsidR="00F24CFC" w:rsidP="00F24CFC" w14:paraId="4DB4C339" w14:textId="07A2EFE3">
      <w:pPr>
        <w:pStyle w:val="ListParagraph"/>
        <w:numPr>
          <w:ilvl w:val="0"/>
          <w:numId w:val="17"/>
        </w:numPr>
      </w:pPr>
      <w:r>
        <w:t xml:space="preserve">Will interviewers or facilitators be used?  [ </w:t>
      </w:r>
      <w:r w:rsidR="00D5532A">
        <w:t>X</w:t>
      </w:r>
      <w:r>
        <w:t xml:space="preserve">] Yes </w:t>
      </w:r>
      <w:r>
        <w:t>[  ]</w:t>
      </w:r>
      <w:r>
        <w:t xml:space="preserve"> No</w:t>
      </w:r>
    </w:p>
    <w:p w:rsidR="00D5532A" w:rsidP="00D5532A" w14:paraId="7EB2EB22" w14:textId="524B5408">
      <w:pPr>
        <w:rPr>
          <w:rFonts w:cs="Arial"/>
        </w:rPr>
      </w:pPr>
      <w:r>
        <w:rPr>
          <w:rFonts w:cs="Arial"/>
        </w:rPr>
        <w:t xml:space="preserve"> </w:t>
      </w:r>
    </w:p>
    <w:p w:rsidR="00D5532A" w:rsidRPr="00D5532A" w:rsidP="00D5532A" w14:paraId="18646937" w14:textId="3A04948F">
      <w:pPr>
        <w:rPr>
          <w:rFonts w:cs="Arial"/>
        </w:rPr>
      </w:pPr>
      <w:r>
        <w:rPr>
          <w:rFonts w:cs="Arial"/>
        </w:rPr>
        <w:t>T</w:t>
      </w:r>
      <w:r w:rsidRPr="00D5532A">
        <w:rPr>
          <w:rFonts w:cs="Arial"/>
        </w:rPr>
        <w:t xml:space="preserve">rained </w:t>
      </w:r>
      <w:r w:rsidRPr="00A77C1D">
        <w:rPr>
          <w:rFonts w:cs="Arial"/>
        </w:rPr>
        <w:t>moderator</w:t>
      </w:r>
      <w:r w:rsidRPr="00A77C1D">
        <w:rPr>
          <w:rFonts w:cs="Arial"/>
        </w:rPr>
        <w:t>s</w:t>
      </w:r>
      <w:r w:rsidRPr="00A77C1D">
        <w:rPr>
          <w:rFonts w:cs="Arial"/>
        </w:rPr>
        <w:t xml:space="preserve"> will facilitate the </w:t>
      </w:r>
      <w:r w:rsidRPr="00A77C1D" w:rsidR="003802D9">
        <w:rPr>
          <w:rFonts w:cs="Arial"/>
        </w:rPr>
        <w:t xml:space="preserve">online </w:t>
      </w:r>
      <w:r w:rsidRPr="00A77C1D">
        <w:rPr>
          <w:rFonts w:cs="Arial"/>
        </w:rPr>
        <w:t xml:space="preserve">discussions as described in the </w:t>
      </w:r>
      <w:r w:rsidR="00A0627B">
        <w:rPr>
          <w:rFonts w:cs="Arial"/>
        </w:rPr>
        <w:t>f</w:t>
      </w:r>
      <w:r w:rsidRPr="00A77C1D">
        <w:rPr>
          <w:rFonts w:cs="Arial"/>
        </w:rPr>
        <w:t xml:space="preserve">ocus </w:t>
      </w:r>
      <w:r w:rsidR="00A0627B">
        <w:rPr>
          <w:rFonts w:cs="Arial"/>
        </w:rPr>
        <w:t>g</w:t>
      </w:r>
      <w:r w:rsidRPr="00A77C1D">
        <w:rPr>
          <w:rFonts w:cs="Arial"/>
        </w:rPr>
        <w:t xml:space="preserve">roup </w:t>
      </w:r>
      <w:r w:rsidR="00A0627B">
        <w:rPr>
          <w:rFonts w:cs="Arial"/>
        </w:rPr>
        <w:t>Discussion</w:t>
      </w:r>
      <w:r w:rsidRPr="00A77C1D">
        <w:rPr>
          <w:rFonts w:cs="Arial"/>
        </w:rPr>
        <w:t xml:space="preserve"> Guide (Attachments </w:t>
      </w:r>
      <w:r w:rsidRPr="00A77C1D" w:rsidR="003D5E82">
        <w:rPr>
          <w:rFonts w:cs="Arial"/>
        </w:rPr>
        <w:t>D</w:t>
      </w:r>
      <w:r w:rsidRPr="00A77C1D">
        <w:rPr>
          <w:rFonts w:cs="Arial"/>
        </w:rPr>
        <w:t xml:space="preserve">-1 and </w:t>
      </w:r>
      <w:r w:rsidRPr="00A77C1D" w:rsidR="003D5E82">
        <w:rPr>
          <w:rFonts w:cs="Arial"/>
        </w:rPr>
        <w:t>D</w:t>
      </w:r>
      <w:r w:rsidRPr="00A77C1D">
        <w:rPr>
          <w:rFonts w:cs="Arial"/>
        </w:rPr>
        <w:t>-2</w:t>
      </w:r>
      <w:r w:rsidRPr="00A77C1D" w:rsidR="003D5E82">
        <w:rPr>
          <w:rFonts w:cs="Arial"/>
        </w:rPr>
        <w:t>).</w:t>
      </w:r>
      <w:r w:rsidR="000F4D09">
        <w:rPr>
          <w:rFonts w:cs="Arial"/>
        </w:rPr>
        <w:t xml:space="preserve">  Discussions will include exploration of participant reactions to various creative </w:t>
      </w:r>
      <w:r w:rsidR="00C11D16">
        <w:rPr>
          <w:rFonts w:cs="Arial"/>
        </w:rPr>
        <w:t>materials</w:t>
      </w:r>
      <w:r w:rsidR="000F4D09">
        <w:rPr>
          <w:rFonts w:cs="Arial"/>
        </w:rPr>
        <w:t xml:space="preserve"> (Attachments E-1, E-2, E-3, E-4, and E-5).</w:t>
      </w:r>
    </w:p>
    <w:p w:rsidR="00F24CFC" w:rsidP="003802D9" w14:paraId="2AB24AC2" w14:textId="1E2CE532"/>
    <w:p w:rsidR="00CC4606" w:rsidP="00CC4606" w14:paraId="603C32F0" w14:textId="77777777"/>
    <w:p w:rsidR="00CC4606" w:rsidP="00CC4606" w14:paraId="1866DEC6" w14:textId="77777777"/>
    <w:p w:rsidR="004146D3" w:rsidRPr="00A77C1D" w:rsidP="00CC4606" w14:paraId="19FFEF4F" w14:textId="069F52D5">
      <w:pPr>
        <w:rPr>
          <w:b/>
        </w:rPr>
      </w:pPr>
      <w:r w:rsidRPr="00A77C1D">
        <w:rPr>
          <w:b/>
        </w:rPr>
        <w:t>Attachments:</w:t>
      </w:r>
    </w:p>
    <w:p w:rsidR="00CC4606" w:rsidRPr="00A77C1D" w:rsidP="00CC4606" w14:paraId="293966C2" w14:textId="77777777">
      <w:pPr>
        <w:rPr>
          <w:b/>
        </w:rPr>
      </w:pPr>
    </w:p>
    <w:p w:rsidR="005E714A" w:rsidRPr="00A77C1D" w:rsidP="003D5E82" w14:paraId="48F295E9" w14:textId="5530554C">
      <w:pPr>
        <w:tabs>
          <w:tab w:val="left" w:pos="5670"/>
        </w:tabs>
        <w:suppressAutoHyphens/>
      </w:pPr>
      <w:bookmarkStart w:id="1" w:name="_Hlk131167580"/>
      <w:r w:rsidRPr="00A77C1D">
        <w:t>A-1 Screener</w:t>
      </w:r>
      <w:r w:rsidRPr="00A77C1D" w:rsidR="00A77C1D">
        <w:t xml:space="preserve"> by</w:t>
      </w:r>
      <w:r w:rsidRPr="00A77C1D" w:rsidR="00A8030E">
        <w:t xml:space="preserve"> Ethnicity</w:t>
      </w:r>
      <w:r w:rsidRPr="00A77C1D">
        <w:t xml:space="preserve"> (English)</w:t>
      </w:r>
    </w:p>
    <w:p w:rsidR="003D5E82" w:rsidRPr="00A77C1D" w:rsidP="003D5E82" w14:paraId="5B480F1C" w14:textId="3A452365">
      <w:pPr>
        <w:tabs>
          <w:tab w:val="left" w:pos="5670"/>
        </w:tabs>
        <w:suppressAutoHyphens/>
      </w:pPr>
      <w:r w:rsidRPr="00A77C1D">
        <w:t>A-2 Screener</w:t>
      </w:r>
      <w:r w:rsidRPr="00A77C1D" w:rsidR="00A8030E">
        <w:t xml:space="preserve">: Spanish-Preferring </w:t>
      </w:r>
      <w:r w:rsidRPr="00A77C1D">
        <w:t>(English)</w:t>
      </w:r>
    </w:p>
    <w:p w:rsidR="003D5E82" w:rsidRPr="00A77C1D" w:rsidP="003D5E82" w14:paraId="399A0744" w14:textId="096BAAEB">
      <w:pPr>
        <w:tabs>
          <w:tab w:val="left" w:pos="5670"/>
        </w:tabs>
        <w:suppressAutoHyphens/>
      </w:pPr>
      <w:r w:rsidRPr="00A77C1D">
        <w:t>A-</w:t>
      </w:r>
      <w:r w:rsidRPr="00A77C1D" w:rsidR="004211BB">
        <w:t>3</w:t>
      </w:r>
      <w:r w:rsidRPr="00A77C1D">
        <w:t xml:space="preserve"> Screener</w:t>
      </w:r>
      <w:r w:rsidRPr="00A77C1D" w:rsidR="00A8030E">
        <w:t xml:space="preserve">: Spanish-Preferring </w:t>
      </w:r>
      <w:r w:rsidRPr="00A77C1D">
        <w:t>(Spanish)</w:t>
      </w:r>
    </w:p>
    <w:p w:rsidR="003802D9" w:rsidRPr="00A77C1D" w:rsidP="003D5E82" w14:paraId="4299A5B7" w14:textId="32FCBB33">
      <w:pPr>
        <w:tabs>
          <w:tab w:val="left" w:pos="5670"/>
        </w:tabs>
        <w:suppressAutoHyphens/>
      </w:pPr>
      <w:r w:rsidRPr="00A77C1D">
        <w:t>A-</w:t>
      </w:r>
      <w:r w:rsidRPr="00A77C1D" w:rsidR="004211BB">
        <w:t>4</w:t>
      </w:r>
      <w:r w:rsidRPr="00A77C1D">
        <w:t xml:space="preserve"> Screener</w:t>
      </w:r>
      <w:r w:rsidRPr="00A77C1D" w:rsidR="00A77C1D">
        <w:t xml:space="preserve"> by </w:t>
      </w:r>
      <w:r w:rsidRPr="00A77C1D" w:rsidR="00A8030E">
        <w:t>Life Stage</w:t>
      </w:r>
      <w:r w:rsidRPr="00A77C1D">
        <w:t xml:space="preserve"> (</w:t>
      </w:r>
      <w:r w:rsidRPr="00A77C1D" w:rsidR="00A8030E">
        <w:t>English</w:t>
      </w:r>
      <w:r w:rsidRPr="00A77C1D">
        <w:t>)</w:t>
      </w:r>
    </w:p>
    <w:p w:rsidR="003D5E82" w:rsidRPr="00A77C1D" w:rsidP="003D5E82" w14:paraId="4CCC78EE" w14:textId="3E0B8AFF">
      <w:pPr>
        <w:tabs>
          <w:tab w:val="left" w:pos="5670"/>
        </w:tabs>
        <w:suppressAutoHyphens/>
      </w:pPr>
      <w:r w:rsidRPr="00A77C1D">
        <w:t>B-1 Confirmation Form (English)</w:t>
      </w:r>
    </w:p>
    <w:p w:rsidR="003802D9" w:rsidRPr="00A77C1D" w:rsidP="004211BB" w14:paraId="46AC20CF" w14:textId="54736F01">
      <w:pPr>
        <w:tabs>
          <w:tab w:val="left" w:pos="5670"/>
        </w:tabs>
        <w:suppressAutoHyphens/>
      </w:pPr>
      <w:r w:rsidRPr="00A77C1D">
        <w:t>B-2 Confirmation Form (Spanish)</w:t>
      </w:r>
    </w:p>
    <w:p w:rsidR="004211BB" w:rsidRPr="00A77C1D" w:rsidP="004211BB" w14:paraId="2A1D57BA" w14:textId="6691AB15">
      <w:pPr>
        <w:tabs>
          <w:tab w:val="left" w:pos="5670"/>
        </w:tabs>
        <w:suppressAutoHyphens/>
      </w:pPr>
      <w:r w:rsidRPr="00A77C1D">
        <w:t>C-1 Consent Form (English)</w:t>
      </w:r>
    </w:p>
    <w:p w:rsidR="003802D9" w:rsidRPr="00A77C1D" w:rsidP="004211BB" w14:paraId="37484856" w14:textId="5A783F5F">
      <w:pPr>
        <w:tabs>
          <w:tab w:val="left" w:pos="5670"/>
        </w:tabs>
        <w:suppressAutoHyphens/>
      </w:pPr>
      <w:r w:rsidRPr="00A77C1D">
        <w:t>C-2 Consent Form (Spanish)</w:t>
      </w:r>
    </w:p>
    <w:p w:rsidR="004211BB" w:rsidRPr="00A77C1D" w:rsidP="004211BB" w14:paraId="01161B3C" w14:textId="2C42302E">
      <w:pPr>
        <w:tabs>
          <w:tab w:val="left" w:pos="5670"/>
        </w:tabs>
        <w:suppressAutoHyphens/>
      </w:pPr>
      <w:bookmarkStart w:id="2" w:name="_Hlk131156441"/>
      <w:r w:rsidRPr="00A77C1D">
        <w:t xml:space="preserve">D-1 </w:t>
      </w:r>
      <w:r w:rsidRPr="00A77C1D" w:rsidR="003802D9">
        <w:t>Discussion</w:t>
      </w:r>
      <w:r w:rsidRPr="00A77C1D">
        <w:t xml:space="preserve"> Guide (English)</w:t>
      </w:r>
    </w:p>
    <w:bookmarkEnd w:id="2"/>
    <w:p w:rsidR="004211BB" w:rsidP="003D5E82" w14:paraId="5BE02D61" w14:textId="22EAE24C">
      <w:pPr>
        <w:tabs>
          <w:tab w:val="left" w:pos="5670"/>
        </w:tabs>
        <w:suppressAutoHyphens/>
      </w:pPr>
      <w:r w:rsidRPr="00A77C1D">
        <w:t xml:space="preserve">D-2 </w:t>
      </w:r>
      <w:r w:rsidRPr="00A77C1D" w:rsidR="003802D9">
        <w:t>Discussion</w:t>
      </w:r>
      <w:r w:rsidRPr="00A77C1D">
        <w:t xml:space="preserve"> Guide (</w:t>
      </w:r>
      <w:r w:rsidRPr="00A77C1D" w:rsidR="003802D9">
        <w:t>Spanish</w:t>
      </w:r>
      <w:r w:rsidRPr="00A77C1D">
        <w:t>)</w:t>
      </w:r>
    </w:p>
    <w:p w:rsidR="000F4D09" w:rsidP="003D5E82" w14:paraId="27F8368F" w14:textId="144981A1">
      <w:pPr>
        <w:tabs>
          <w:tab w:val="left" w:pos="5670"/>
        </w:tabs>
        <w:suppressAutoHyphens/>
      </w:pPr>
      <w:r w:rsidRPr="000F4D09">
        <w:t>E-1 Ad E (Why I’m Eating Better)</w:t>
      </w:r>
      <w:r>
        <w:t xml:space="preserve"> (English &amp; Spanish)</w:t>
      </w:r>
    </w:p>
    <w:p w:rsidR="000F4D09" w:rsidP="003D5E82" w14:paraId="2706A7D3" w14:textId="27B9FD17">
      <w:pPr>
        <w:tabs>
          <w:tab w:val="left" w:pos="5670"/>
        </w:tabs>
        <w:suppressAutoHyphens/>
      </w:pPr>
      <w:r w:rsidRPr="000F4D09">
        <w:t>E-2 Ad T (Honoring Family Traditions)</w:t>
      </w:r>
      <w:r>
        <w:t xml:space="preserve"> (English &amp; Spanish)</w:t>
      </w:r>
    </w:p>
    <w:p w:rsidR="000F4D09" w:rsidP="003D5E82" w14:paraId="22A6DF39" w14:textId="57F44E0F">
      <w:pPr>
        <w:tabs>
          <w:tab w:val="left" w:pos="5670"/>
        </w:tabs>
        <w:suppressAutoHyphens/>
      </w:pPr>
      <w:r w:rsidRPr="000F4D09">
        <w:t>E-3 Ad C (Honoring Your Commitments)</w:t>
      </w:r>
      <w:r>
        <w:t xml:space="preserve"> (English &amp; Spanish)</w:t>
      </w:r>
    </w:p>
    <w:p w:rsidR="000F4D09" w:rsidP="003D5E82" w14:paraId="4B185989" w14:textId="5D2B3F71">
      <w:pPr>
        <w:tabs>
          <w:tab w:val="left" w:pos="5670"/>
        </w:tabs>
        <w:suppressAutoHyphens/>
      </w:pPr>
      <w:r w:rsidRPr="000F4D09">
        <w:t>E-4 Ad M (Budget Friendly)</w:t>
      </w:r>
      <w:r>
        <w:t xml:space="preserve"> (English &amp; Spanish)</w:t>
      </w:r>
    </w:p>
    <w:p w:rsidR="000F4D09" w:rsidP="003D5E82" w14:paraId="2B3D0CA9" w14:textId="2CCCDA2A">
      <w:pPr>
        <w:tabs>
          <w:tab w:val="left" w:pos="5670"/>
        </w:tabs>
        <w:suppressAutoHyphens/>
      </w:pPr>
      <w:r w:rsidRPr="000F4D09">
        <w:t>E-5 Fact Sheet</w:t>
      </w:r>
      <w:r>
        <w:t xml:space="preserve"> (English &amp; Spanish)</w:t>
      </w:r>
      <w:bookmarkEnd w:id="1"/>
    </w:p>
    <w:p w:rsidR="00880D0A" w:rsidP="003D5E82" w14:paraId="49DA47A9" w14:textId="13DD5B8A">
      <w:pPr>
        <w:tabs>
          <w:tab w:val="left" w:pos="5670"/>
        </w:tabs>
        <w:suppressAutoHyphens/>
      </w:pPr>
      <w:r>
        <w:t>Memo to OCIO</w:t>
      </w:r>
      <w:r w:rsidR="006006F1">
        <w:t xml:space="preserve"> –</w:t>
      </w:r>
      <w:r w:rsidR="00FC3733">
        <w:t xml:space="preserve"> CNPP</w:t>
      </w:r>
      <w:r w:rsidR="006006F1">
        <w:t xml:space="preserve"> </w:t>
      </w:r>
      <w:r w:rsidR="00EB77F5">
        <w:t>Consumer Research</w:t>
      </w: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56BD" w14:paraId="4F49A4F1" w14:textId="77777777">
      <w:r>
        <w:separator/>
      </w:r>
    </w:p>
  </w:footnote>
  <w:footnote w:type="continuationSeparator" w:id="1">
    <w:p w:rsidR="009656BD" w14:paraId="3E078F63" w14:textId="77777777">
      <w:r>
        <w:continuationSeparator/>
      </w:r>
    </w:p>
  </w:footnote>
  <w:footnote w:type="continuationNotice" w:id="2">
    <w:p w:rsidR="009656BD" w14:paraId="0632D2FE" w14:textId="77777777"/>
  </w:footnote>
  <w:footnote w:id="3">
    <w:p w:rsidR="000455A9" w14:paraId="73737314" w14:textId="7CCCA4A8">
      <w:pPr>
        <w:pStyle w:val="FootnoteText"/>
      </w:pPr>
      <w:r>
        <w:rPr>
          <w:rStyle w:val="FootnoteReference"/>
        </w:rPr>
        <w:footnoteRef/>
      </w:r>
      <w:r>
        <w:t xml:space="preserve"> The reports submitted for these research events can be submitted upon request.</w:t>
      </w:r>
    </w:p>
  </w:footnote>
  <w:footnote w:id="4">
    <w:p w:rsidR="00390087" w14:paraId="690CCBF9" w14:textId="48E05901">
      <w:pPr>
        <w:pStyle w:val="FootnoteText"/>
      </w:pPr>
      <w:r>
        <w:rPr>
          <w:rStyle w:val="FootnoteReference"/>
        </w:rPr>
        <w:footnoteRef/>
      </w:r>
      <w:r>
        <w:t xml:space="preserve"> The 90 minutes does not include time for set-up and login, as explained later in this cover memo.</w:t>
      </w:r>
    </w:p>
  </w:footnote>
  <w:footnote w:id="5">
    <w:p w:rsidR="00D265E5" w14:paraId="78C84E22" w14:textId="640EB2A4">
      <w:pPr>
        <w:pStyle w:val="FootnoteText"/>
      </w:pPr>
      <w:r>
        <w:rPr>
          <w:rStyle w:val="FootnoteReference"/>
        </w:rPr>
        <w:footnoteRef/>
      </w:r>
      <w:r>
        <w:t xml:space="preserve"> No morbidly obese respondents will be included in this research, per USDA 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AA26D3"/>
    <w:multiLevelType w:val="hybridMultilevel"/>
    <w:tmpl w:val="31644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28D7DBA"/>
    <w:multiLevelType w:val="hybridMultilevel"/>
    <w:tmpl w:val="8806C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36330A"/>
    <w:multiLevelType w:val="hybridMultilevel"/>
    <w:tmpl w:val="93546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0A073E"/>
    <w:multiLevelType w:val="hybridMultilevel"/>
    <w:tmpl w:val="FCA60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602336">
    <w:abstractNumId w:val="15"/>
  </w:num>
  <w:num w:numId="2" w16cid:durableId="655182478">
    <w:abstractNumId w:val="23"/>
  </w:num>
  <w:num w:numId="3" w16cid:durableId="580215205">
    <w:abstractNumId w:val="21"/>
  </w:num>
  <w:num w:numId="4" w16cid:durableId="629020045">
    <w:abstractNumId w:val="24"/>
  </w:num>
  <w:num w:numId="5" w16cid:durableId="8722407">
    <w:abstractNumId w:val="3"/>
  </w:num>
  <w:num w:numId="6" w16cid:durableId="339477685">
    <w:abstractNumId w:val="1"/>
  </w:num>
  <w:num w:numId="7" w16cid:durableId="1688482335">
    <w:abstractNumId w:val="12"/>
  </w:num>
  <w:num w:numId="8" w16cid:durableId="578179530">
    <w:abstractNumId w:val="19"/>
  </w:num>
  <w:num w:numId="9" w16cid:durableId="1583177084">
    <w:abstractNumId w:val="14"/>
  </w:num>
  <w:num w:numId="10" w16cid:durableId="1015183633">
    <w:abstractNumId w:val="2"/>
  </w:num>
  <w:num w:numId="11" w16cid:durableId="434786801">
    <w:abstractNumId w:val="8"/>
  </w:num>
  <w:num w:numId="12" w16cid:durableId="882519992">
    <w:abstractNumId w:val="9"/>
  </w:num>
  <w:num w:numId="13" w16cid:durableId="441269651">
    <w:abstractNumId w:val="0"/>
  </w:num>
  <w:num w:numId="14" w16cid:durableId="1883595587">
    <w:abstractNumId w:val="20"/>
  </w:num>
  <w:num w:numId="15" w16cid:durableId="1404991080">
    <w:abstractNumId w:val="17"/>
  </w:num>
  <w:num w:numId="16" w16cid:durableId="2097902680">
    <w:abstractNumId w:val="16"/>
  </w:num>
  <w:num w:numId="17" w16cid:durableId="875049204">
    <w:abstractNumId w:val="4"/>
  </w:num>
  <w:num w:numId="18" w16cid:durableId="1707221328">
    <w:abstractNumId w:val="6"/>
  </w:num>
  <w:num w:numId="19" w16cid:durableId="266740028">
    <w:abstractNumId w:val="11"/>
  </w:num>
  <w:num w:numId="20" w16cid:durableId="2129346851">
    <w:abstractNumId w:val="7"/>
  </w:num>
  <w:num w:numId="21" w16cid:durableId="280847152">
    <w:abstractNumId w:val="13"/>
  </w:num>
  <w:num w:numId="22" w16cid:durableId="894508796">
    <w:abstractNumId w:val="10"/>
  </w:num>
  <w:num w:numId="23" w16cid:durableId="677004739">
    <w:abstractNumId w:val="22"/>
  </w:num>
  <w:num w:numId="24" w16cid:durableId="978077653">
    <w:abstractNumId w:val="18"/>
  </w:num>
  <w:num w:numId="25" w16cid:durableId="216286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939"/>
    <w:rsid w:val="0001027E"/>
    <w:rsid w:val="00010FE5"/>
    <w:rsid w:val="00023A57"/>
    <w:rsid w:val="00040F6F"/>
    <w:rsid w:val="000455A9"/>
    <w:rsid w:val="00046816"/>
    <w:rsid w:val="000470C9"/>
    <w:rsid w:val="0004758E"/>
    <w:rsid w:val="00047A64"/>
    <w:rsid w:val="00064657"/>
    <w:rsid w:val="00067329"/>
    <w:rsid w:val="00072F4F"/>
    <w:rsid w:val="000738CC"/>
    <w:rsid w:val="000A6DAA"/>
    <w:rsid w:val="000B2838"/>
    <w:rsid w:val="000D208D"/>
    <w:rsid w:val="000D2BE9"/>
    <w:rsid w:val="000D44CA"/>
    <w:rsid w:val="000E200B"/>
    <w:rsid w:val="000F4D09"/>
    <w:rsid w:val="000F68BE"/>
    <w:rsid w:val="001011F9"/>
    <w:rsid w:val="00111D1A"/>
    <w:rsid w:val="001237C1"/>
    <w:rsid w:val="00130779"/>
    <w:rsid w:val="001340A5"/>
    <w:rsid w:val="001375DB"/>
    <w:rsid w:val="00187BA6"/>
    <w:rsid w:val="001927A4"/>
    <w:rsid w:val="0019291A"/>
    <w:rsid w:val="00193A8B"/>
    <w:rsid w:val="00194AC6"/>
    <w:rsid w:val="0019590D"/>
    <w:rsid w:val="001A23B0"/>
    <w:rsid w:val="001A25CC"/>
    <w:rsid w:val="001A5BDF"/>
    <w:rsid w:val="001B0AAA"/>
    <w:rsid w:val="001B12ED"/>
    <w:rsid w:val="001C39F7"/>
    <w:rsid w:val="001C5A8F"/>
    <w:rsid w:val="001D7506"/>
    <w:rsid w:val="001E1846"/>
    <w:rsid w:val="001E7464"/>
    <w:rsid w:val="001F6D73"/>
    <w:rsid w:val="0021266C"/>
    <w:rsid w:val="0023447B"/>
    <w:rsid w:val="0023520F"/>
    <w:rsid w:val="00237B48"/>
    <w:rsid w:val="0024521E"/>
    <w:rsid w:val="00246965"/>
    <w:rsid w:val="00263C3D"/>
    <w:rsid w:val="00265806"/>
    <w:rsid w:val="002667DF"/>
    <w:rsid w:val="00274D0B"/>
    <w:rsid w:val="00276FD0"/>
    <w:rsid w:val="002919C3"/>
    <w:rsid w:val="002B052D"/>
    <w:rsid w:val="002B34CD"/>
    <w:rsid w:val="002B3C95"/>
    <w:rsid w:val="002B7038"/>
    <w:rsid w:val="002D0B92"/>
    <w:rsid w:val="002D1719"/>
    <w:rsid w:val="002D25F9"/>
    <w:rsid w:val="002E6DA2"/>
    <w:rsid w:val="00324782"/>
    <w:rsid w:val="00327FD8"/>
    <w:rsid w:val="00330C15"/>
    <w:rsid w:val="00335914"/>
    <w:rsid w:val="00336B5A"/>
    <w:rsid w:val="0033754A"/>
    <w:rsid w:val="003408BB"/>
    <w:rsid w:val="003444C1"/>
    <w:rsid w:val="00377F9C"/>
    <w:rsid w:val="003802D9"/>
    <w:rsid w:val="00383F5A"/>
    <w:rsid w:val="00390087"/>
    <w:rsid w:val="0039498B"/>
    <w:rsid w:val="003D5BBE"/>
    <w:rsid w:val="003D5E82"/>
    <w:rsid w:val="003D6487"/>
    <w:rsid w:val="003D6828"/>
    <w:rsid w:val="003E2D9C"/>
    <w:rsid w:val="003E3BAB"/>
    <w:rsid w:val="003E3C61"/>
    <w:rsid w:val="003E5503"/>
    <w:rsid w:val="003F1C5B"/>
    <w:rsid w:val="00413CF2"/>
    <w:rsid w:val="004146D3"/>
    <w:rsid w:val="0041781B"/>
    <w:rsid w:val="004211BB"/>
    <w:rsid w:val="00434E33"/>
    <w:rsid w:val="00436030"/>
    <w:rsid w:val="00441434"/>
    <w:rsid w:val="00451228"/>
    <w:rsid w:val="0045264C"/>
    <w:rsid w:val="0046337D"/>
    <w:rsid w:val="00465274"/>
    <w:rsid w:val="0046605F"/>
    <w:rsid w:val="0047028D"/>
    <w:rsid w:val="00484BC0"/>
    <w:rsid w:val="00486B6A"/>
    <w:rsid w:val="004876EC"/>
    <w:rsid w:val="004A4B10"/>
    <w:rsid w:val="004D6E14"/>
    <w:rsid w:val="004E4F9F"/>
    <w:rsid w:val="004F3533"/>
    <w:rsid w:val="005009B0"/>
    <w:rsid w:val="0050125B"/>
    <w:rsid w:val="00530CA1"/>
    <w:rsid w:val="005469F8"/>
    <w:rsid w:val="005562A5"/>
    <w:rsid w:val="0056164B"/>
    <w:rsid w:val="005731B4"/>
    <w:rsid w:val="005A1006"/>
    <w:rsid w:val="005A2332"/>
    <w:rsid w:val="005A61E9"/>
    <w:rsid w:val="005C41D0"/>
    <w:rsid w:val="005D2BE9"/>
    <w:rsid w:val="005D616E"/>
    <w:rsid w:val="005E2E86"/>
    <w:rsid w:val="005E57B8"/>
    <w:rsid w:val="005E714A"/>
    <w:rsid w:val="005F693D"/>
    <w:rsid w:val="006006F1"/>
    <w:rsid w:val="0060196F"/>
    <w:rsid w:val="006140A0"/>
    <w:rsid w:val="00620D10"/>
    <w:rsid w:val="00636621"/>
    <w:rsid w:val="00642B49"/>
    <w:rsid w:val="00650916"/>
    <w:rsid w:val="00676299"/>
    <w:rsid w:val="006832D9"/>
    <w:rsid w:val="006930E1"/>
    <w:rsid w:val="0069403B"/>
    <w:rsid w:val="006C2049"/>
    <w:rsid w:val="006F3DDE"/>
    <w:rsid w:val="006F52C0"/>
    <w:rsid w:val="006F632C"/>
    <w:rsid w:val="00704678"/>
    <w:rsid w:val="00705946"/>
    <w:rsid w:val="0073577F"/>
    <w:rsid w:val="007425E7"/>
    <w:rsid w:val="00744F24"/>
    <w:rsid w:val="00773D15"/>
    <w:rsid w:val="00781558"/>
    <w:rsid w:val="00792651"/>
    <w:rsid w:val="007B2399"/>
    <w:rsid w:val="007D039A"/>
    <w:rsid w:val="007D05C9"/>
    <w:rsid w:val="007D5BAD"/>
    <w:rsid w:val="007F7080"/>
    <w:rsid w:val="00802607"/>
    <w:rsid w:val="008101A5"/>
    <w:rsid w:val="00812435"/>
    <w:rsid w:val="0081708A"/>
    <w:rsid w:val="00822664"/>
    <w:rsid w:val="008341ED"/>
    <w:rsid w:val="00843796"/>
    <w:rsid w:val="008448C2"/>
    <w:rsid w:val="0087716B"/>
    <w:rsid w:val="00880D0A"/>
    <w:rsid w:val="00887610"/>
    <w:rsid w:val="00895229"/>
    <w:rsid w:val="00897B08"/>
    <w:rsid w:val="008B2EB3"/>
    <w:rsid w:val="008C01BE"/>
    <w:rsid w:val="008C120F"/>
    <w:rsid w:val="008D1C41"/>
    <w:rsid w:val="008F0203"/>
    <w:rsid w:val="008F50D4"/>
    <w:rsid w:val="008F700A"/>
    <w:rsid w:val="00900488"/>
    <w:rsid w:val="009225C9"/>
    <w:rsid w:val="009239AA"/>
    <w:rsid w:val="00927103"/>
    <w:rsid w:val="009351E2"/>
    <w:rsid w:val="00935ADA"/>
    <w:rsid w:val="00941426"/>
    <w:rsid w:val="00946B6C"/>
    <w:rsid w:val="00955A71"/>
    <w:rsid w:val="0096108F"/>
    <w:rsid w:val="009656BD"/>
    <w:rsid w:val="0097782B"/>
    <w:rsid w:val="009873DE"/>
    <w:rsid w:val="009B5AFF"/>
    <w:rsid w:val="009C13B9"/>
    <w:rsid w:val="009D01A2"/>
    <w:rsid w:val="009D631B"/>
    <w:rsid w:val="009F5923"/>
    <w:rsid w:val="00A0627B"/>
    <w:rsid w:val="00A13E5A"/>
    <w:rsid w:val="00A403BB"/>
    <w:rsid w:val="00A41889"/>
    <w:rsid w:val="00A45F62"/>
    <w:rsid w:val="00A6093A"/>
    <w:rsid w:val="00A674DF"/>
    <w:rsid w:val="00A77C1D"/>
    <w:rsid w:val="00A8030E"/>
    <w:rsid w:val="00A83AA6"/>
    <w:rsid w:val="00A934D6"/>
    <w:rsid w:val="00A95601"/>
    <w:rsid w:val="00AA68B3"/>
    <w:rsid w:val="00AD3DF8"/>
    <w:rsid w:val="00AE1809"/>
    <w:rsid w:val="00B124D0"/>
    <w:rsid w:val="00B35113"/>
    <w:rsid w:val="00B46D38"/>
    <w:rsid w:val="00B51622"/>
    <w:rsid w:val="00B80D76"/>
    <w:rsid w:val="00B94225"/>
    <w:rsid w:val="00B96C82"/>
    <w:rsid w:val="00BA2105"/>
    <w:rsid w:val="00BA7E06"/>
    <w:rsid w:val="00BB3222"/>
    <w:rsid w:val="00BB3E51"/>
    <w:rsid w:val="00BB43B5"/>
    <w:rsid w:val="00BB5D13"/>
    <w:rsid w:val="00BB6219"/>
    <w:rsid w:val="00BB6DFC"/>
    <w:rsid w:val="00BC6183"/>
    <w:rsid w:val="00BD290F"/>
    <w:rsid w:val="00BE7677"/>
    <w:rsid w:val="00C007DC"/>
    <w:rsid w:val="00C11D16"/>
    <w:rsid w:val="00C14CC4"/>
    <w:rsid w:val="00C33C52"/>
    <w:rsid w:val="00C40D8B"/>
    <w:rsid w:val="00C42F93"/>
    <w:rsid w:val="00C55A8F"/>
    <w:rsid w:val="00C57CE6"/>
    <w:rsid w:val="00C8407A"/>
    <w:rsid w:val="00C845F8"/>
    <w:rsid w:val="00C8488C"/>
    <w:rsid w:val="00C86E91"/>
    <w:rsid w:val="00C87AD9"/>
    <w:rsid w:val="00C92E71"/>
    <w:rsid w:val="00CA2650"/>
    <w:rsid w:val="00CA4A44"/>
    <w:rsid w:val="00CB1078"/>
    <w:rsid w:val="00CB51DC"/>
    <w:rsid w:val="00CC3E8D"/>
    <w:rsid w:val="00CC4606"/>
    <w:rsid w:val="00CC6FAF"/>
    <w:rsid w:val="00CC79EB"/>
    <w:rsid w:val="00CD45B7"/>
    <w:rsid w:val="00CF27E5"/>
    <w:rsid w:val="00CF6542"/>
    <w:rsid w:val="00D058E9"/>
    <w:rsid w:val="00D11701"/>
    <w:rsid w:val="00D165FA"/>
    <w:rsid w:val="00D17626"/>
    <w:rsid w:val="00D24698"/>
    <w:rsid w:val="00D265E5"/>
    <w:rsid w:val="00D5532A"/>
    <w:rsid w:val="00D6383F"/>
    <w:rsid w:val="00D72C31"/>
    <w:rsid w:val="00D81008"/>
    <w:rsid w:val="00D817A0"/>
    <w:rsid w:val="00D87FE6"/>
    <w:rsid w:val="00D91E46"/>
    <w:rsid w:val="00DA0B48"/>
    <w:rsid w:val="00DA55C0"/>
    <w:rsid w:val="00DB59D0"/>
    <w:rsid w:val="00DC33D3"/>
    <w:rsid w:val="00DE00FC"/>
    <w:rsid w:val="00E1059F"/>
    <w:rsid w:val="00E10C74"/>
    <w:rsid w:val="00E22B4E"/>
    <w:rsid w:val="00E26329"/>
    <w:rsid w:val="00E35BA1"/>
    <w:rsid w:val="00E36583"/>
    <w:rsid w:val="00E40B50"/>
    <w:rsid w:val="00E50293"/>
    <w:rsid w:val="00E54617"/>
    <w:rsid w:val="00E571A1"/>
    <w:rsid w:val="00E62FB4"/>
    <w:rsid w:val="00E65FFC"/>
    <w:rsid w:val="00E744EA"/>
    <w:rsid w:val="00E76637"/>
    <w:rsid w:val="00E80951"/>
    <w:rsid w:val="00E854FE"/>
    <w:rsid w:val="00E86CC6"/>
    <w:rsid w:val="00E87CAC"/>
    <w:rsid w:val="00E91667"/>
    <w:rsid w:val="00EB56B3"/>
    <w:rsid w:val="00EB77F5"/>
    <w:rsid w:val="00EC07F3"/>
    <w:rsid w:val="00EC3A88"/>
    <w:rsid w:val="00EC742D"/>
    <w:rsid w:val="00ED6492"/>
    <w:rsid w:val="00EF2095"/>
    <w:rsid w:val="00EF4DD4"/>
    <w:rsid w:val="00F06866"/>
    <w:rsid w:val="00F15956"/>
    <w:rsid w:val="00F22C5F"/>
    <w:rsid w:val="00F24CFC"/>
    <w:rsid w:val="00F3170F"/>
    <w:rsid w:val="00F5509F"/>
    <w:rsid w:val="00F90608"/>
    <w:rsid w:val="00F94B91"/>
    <w:rsid w:val="00F976B0"/>
    <w:rsid w:val="00F97A8E"/>
    <w:rsid w:val="00FA6DE7"/>
    <w:rsid w:val="00FB3387"/>
    <w:rsid w:val="00FC0A8E"/>
    <w:rsid w:val="00FC3733"/>
    <w:rsid w:val="00FE2FA6"/>
    <w:rsid w:val="00FE3DF2"/>
    <w:rsid w:val="0A4B7230"/>
    <w:rsid w:val="0B569344"/>
    <w:rsid w:val="0BB0361F"/>
    <w:rsid w:val="15B9A4C6"/>
    <w:rsid w:val="169A9313"/>
    <w:rsid w:val="1FEADBAC"/>
    <w:rsid w:val="224741BE"/>
    <w:rsid w:val="2A408C3B"/>
    <w:rsid w:val="3241B3FC"/>
    <w:rsid w:val="332F9545"/>
    <w:rsid w:val="3813F7F3"/>
    <w:rsid w:val="39189605"/>
    <w:rsid w:val="39621AB4"/>
    <w:rsid w:val="3BDFBF12"/>
    <w:rsid w:val="3C4A30B6"/>
    <w:rsid w:val="3D1340DB"/>
    <w:rsid w:val="3FC8B118"/>
    <w:rsid w:val="420B271D"/>
    <w:rsid w:val="44777442"/>
    <w:rsid w:val="44C84F6B"/>
    <w:rsid w:val="4B18892E"/>
    <w:rsid w:val="4DA42092"/>
    <w:rsid w:val="4E87E2A1"/>
    <w:rsid w:val="519D66E7"/>
    <w:rsid w:val="5243E720"/>
    <w:rsid w:val="540C3469"/>
    <w:rsid w:val="5513AF11"/>
    <w:rsid w:val="55EC1608"/>
    <w:rsid w:val="5A4BA514"/>
    <w:rsid w:val="5B23C21F"/>
    <w:rsid w:val="5BD03ABE"/>
    <w:rsid w:val="5D705ADF"/>
    <w:rsid w:val="5E56FA98"/>
    <w:rsid w:val="5FADB459"/>
    <w:rsid w:val="6069B798"/>
    <w:rsid w:val="608A1401"/>
    <w:rsid w:val="6414B2E3"/>
    <w:rsid w:val="644DB786"/>
    <w:rsid w:val="68D04C99"/>
    <w:rsid w:val="690614A1"/>
    <w:rsid w:val="6E5B1A3D"/>
    <w:rsid w:val="6EFB66A2"/>
    <w:rsid w:val="6F03F8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DC0014BC-8364-4709-AD6C-26CFF278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68B3"/>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 w:type="table" w:styleId="GridTable1LightAccent1">
    <w:name w:val="Grid Table 1 Light Accent 1"/>
    <w:basedOn w:val="TableNormal"/>
    <w:uiPriority w:val="46"/>
    <w:rsid w:val="005E2E8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0F6BF65B6DB48A363BA22350D22B4" ma:contentTypeVersion="14" ma:contentTypeDescription="Create a new document." ma:contentTypeScope="" ma:versionID="02829ae98ea8e54200f7719d1aa66572">
  <xsd:schema xmlns:xsd="http://www.w3.org/2001/XMLSchema" xmlns:xs="http://www.w3.org/2001/XMLSchema" xmlns:p="http://schemas.microsoft.com/office/2006/metadata/properties" xmlns:ns2="64745553-f969-4920-9488-0ab2ddc9844f" xmlns:ns3="21a80060-cdd1-48a5-97b7-3affbf92c623" xmlns:ns4="73fb875a-8af9-4255-b008-0995492d31cd" targetNamespace="http://schemas.microsoft.com/office/2006/metadata/properties" ma:root="true" ma:fieldsID="efd11a34fbd69e9f5ee7e78cf7f1ded9" ns2:_="" ns3:_="" ns4:_="">
    <xsd:import namespace="64745553-f969-4920-9488-0ab2ddc9844f"/>
    <xsd:import namespace="21a80060-cdd1-48a5-97b7-3affbf92c623"/>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45553-f969-4920-9488-0ab2ddc98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a80060-cdd1-48a5-97b7-3affbf92c6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5a69779-fd9b-4f0e-ae54-71e0b9e584a2}" ma:internalName="TaxCatchAll" ma:showField="CatchAllData" ma:web="21a80060-cdd1-48a5-97b7-3affbf92c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64745553-f969-4920-9488-0ab2ddc984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67621E-DCC9-4B83-910A-7B533987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45553-f969-4920-9488-0ab2ddc9844f"/>
    <ds:schemaRef ds:uri="21a80060-cdd1-48a5-97b7-3affbf92c623"/>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711A0-FEBC-4B38-BE1D-C84FD2CC72B6}">
  <ds:schemaRefs>
    <ds:schemaRef ds:uri="http://schemas.microsoft.com/sharepoint/v3/contenttype/forms"/>
  </ds:schemaRefs>
</ds:datastoreItem>
</file>

<file path=customXml/itemProps3.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customXml/itemProps4.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73fb875a-8af9-4255-b008-0995492d31cd"/>
    <ds:schemaRef ds:uri="64745553-f969-4920-9488-0ab2ddc9844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2537</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Franklin, Jamia - FNS</cp:lastModifiedBy>
  <cp:revision>6</cp:revision>
  <cp:lastPrinted>2010-10-04T12:59:00Z</cp:lastPrinted>
  <dcterms:created xsi:type="dcterms:W3CDTF">2023-04-05T19:04:00Z</dcterms:created>
  <dcterms:modified xsi:type="dcterms:W3CDTF">2023-04-06T00:16:00Z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0x0101004EE0F6BF65B6DB48A363BA22350D22B4</vt:lpwstr>
  </property>
  <property fmtid="{D5CDD505-2E9C-101B-9397-08002B2CF9AE}" pid="3" name="MediaServiceImageTags">
    <vt:lpwstr/>
  </property>
  <property fmtid="{D5CDD505-2E9C-101B-9397-08002B2CF9AE}" pid="4" name="_NewReviewCycle">
    <vt:lpwstr/>
  </property>
</Properties>
</file>