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1E6E0184" w14:textId="77777777">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D3CE696"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B3E51">
        <w:t xml:space="preserve">WIC Outreach Campaign </w:t>
      </w:r>
      <w:r w:rsidR="00175C71">
        <w:t>– Campaign Logo and Platform Concept Focus Groups</w:t>
      </w:r>
    </w:p>
    <w:p w:rsidR="005E714A" w14:paraId="24670D31" w14:textId="77777777"/>
    <w:p w:rsidR="001B0AAA" w14:paraId="2071DEA7" w14:textId="77777777">
      <w:r>
        <w:rPr>
          <w:b/>
        </w:rPr>
        <w:t>PURPOSE</w:t>
      </w:r>
      <w:r w:rsidRPr="009239AA">
        <w:rPr>
          <w:b/>
        </w:rPr>
        <w:t>:</w:t>
      </w:r>
      <w:r w:rsidRPr="009239AA" w:rsidR="00C14CC4">
        <w:rPr>
          <w:b/>
        </w:rPr>
        <w:t xml:space="preserve">  </w:t>
      </w:r>
    </w:p>
    <w:p w:rsidR="001B0AAA" w14:paraId="4B777BF1" w14:textId="77777777"/>
    <w:p w:rsidR="00BB3E51" w:rsidP="00BB3E51" w14:paraId="41DAAD22" w14:textId="77777777">
      <w:pPr>
        <w:autoSpaceDE w:val="0"/>
        <w:autoSpaceDN w:val="0"/>
        <w:adjustRightInd w:val="0"/>
      </w:pPr>
      <w:r>
        <w:t>The U.S. Department of Agriculture’s (USDA) Food and Nutrition Service</w:t>
      </w:r>
      <w:r w:rsidR="00166397">
        <w:t xml:space="preserve"> (FNS)</w:t>
      </w:r>
      <w:r>
        <w:t xml:space="preserve"> mission is to increase food security and reduce hunger by providing children and low-income people access to food, a healthful diet and nutrition education in a way that supports American agriculture and</w:t>
      </w:r>
      <w:r>
        <w:br/>
        <w:t xml:space="preserve">inspires public confidence. </w:t>
      </w:r>
      <w:r w:rsidR="00B73147">
        <w:t xml:space="preserve"> </w:t>
      </w:r>
      <w:r>
        <w:t xml:space="preserve">To this end, the FNS </w:t>
      </w:r>
      <w:bookmarkStart w:id="0" w:name="_Hlk82702139"/>
      <w:r>
        <w:t xml:space="preserve">is developing a Special Supplemental Nutrition Program for Women, Infants, and Children (WIC) Outreach Campaign </w:t>
      </w:r>
      <w:r w:rsidR="006C2049">
        <w:t xml:space="preserve">to </w:t>
      </w:r>
      <w:r>
        <w:t>increase awareness of the health and nutrition benefits associated with participating in WIC, with the primary goal of increasing enroll</w:t>
      </w:r>
      <w:r>
        <w:t xml:space="preserve">ment and participant </w:t>
      </w:r>
      <w:r w:rsidR="009C4228">
        <w:t xml:space="preserve">/client </w:t>
      </w:r>
      <w:r>
        <w:t xml:space="preserve">retention, while reducing disparities in program access and delivery. </w:t>
      </w:r>
      <w:bookmarkEnd w:id="0"/>
    </w:p>
    <w:p w:rsidR="006C2049" w:rsidP="00BB3E51" w14:paraId="7D30D05B" w14:textId="77777777">
      <w:pPr>
        <w:autoSpaceDE w:val="0"/>
        <w:autoSpaceDN w:val="0"/>
        <w:adjustRightInd w:val="0"/>
      </w:pPr>
    </w:p>
    <w:p w:rsidR="00175C71" w:rsidP="006C2049" w14:paraId="54B63F8C" w14:textId="77777777">
      <w:pPr>
        <w:autoSpaceDE w:val="0"/>
        <w:autoSpaceDN w:val="0"/>
        <w:adjustRightInd w:val="0"/>
      </w:pPr>
      <w:r>
        <w:t>T</w:t>
      </w:r>
      <w:r w:rsidR="006C2049">
        <w:t xml:space="preserve">o meet these important objectives, FNS </w:t>
      </w:r>
      <w:r>
        <w:t xml:space="preserve">conducted OMB-approved, formative qualitative research to </w:t>
      </w:r>
      <w:r w:rsidR="006C2049">
        <w:t>understand the needs and mindsets of current WIC participants</w:t>
      </w:r>
      <w:r w:rsidR="00AE686E">
        <w:t>/clients</w:t>
      </w:r>
      <w:r w:rsidR="006C2049">
        <w:t xml:space="preserve">, as well as those </w:t>
      </w:r>
      <w:r w:rsidR="00AE686E">
        <w:t xml:space="preserve">potential clients </w:t>
      </w:r>
      <w:r w:rsidR="006C2049">
        <w:t xml:space="preserve">who are eligible for WIC (or whose children are eligible for the program) but do not participate (referred to as “WIC </w:t>
      </w:r>
      <w:r w:rsidR="3813F7F3">
        <w:t>e</w:t>
      </w:r>
      <w:r w:rsidR="006C2049">
        <w:t>ligibles.”</w:t>
      </w:r>
      <w:r>
        <w:t>)</w:t>
      </w:r>
      <w:r w:rsidR="00B73147">
        <w:t xml:space="preserve">.  </w:t>
      </w:r>
      <w:r>
        <w:t>The Campaign has utilized the findings from these research efforts to develop the following creative concepts:</w:t>
      </w:r>
    </w:p>
    <w:p w:rsidR="00175C71" w:rsidRPr="00175C71" w:rsidP="00175C71" w14:paraId="6EB0CDE0" w14:textId="77777777">
      <w:pPr>
        <w:pStyle w:val="ListParagraph"/>
        <w:numPr>
          <w:ilvl w:val="0"/>
          <w:numId w:val="23"/>
        </w:numPr>
        <w:autoSpaceDE w:val="0"/>
        <w:autoSpaceDN w:val="0"/>
        <w:adjustRightInd w:val="0"/>
        <w:rPr>
          <w:rFonts w:eastAsia="Calibri"/>
          <w:color w:val="000000"/>
        </w:rPr>
      </w:pPr>
      <w:r>
        <w:t xml:space="preserve">Options for the Updated </w:t>
      </w:r>
      <w:r w:rsidR="007535BF">
        <w:t>Brand and Visual Identity</w:t>
      </w:r>
      <w:r w:rsidR="007707B7">
        <w:t xml:space="preserve"> (i.e., Campaign logos)</w:t>
      </w:r>
    </w:p>
    <w:p w:rsidR="00175C71" w:rsidRPr="00175C71" w:rsidP="00175C71" w14:paraId="0FD6F96C" w14:textId="77777777">
      <w:pPr>
        <w:pStyle w:val="ListParagraph"/>
        <w:numPr>
          <w:ilvl w:val="0"/>
          <w:numId w:val="23"/>
        </w:numPr>
        <w:autoSpaceDE w:val="0"/>
        <w:autoSpaceDN w:val="0"/>
        <w:adjustRightInd w:val="0"/>
        <w:rPr>
          <w:rFonts w:eastAsia="Calibri"/>
          <w:color w:val="000000"/>
        </w:rPr>
      </w:pPr>
      <w:r>
        <w:t xml:space="preserve">Campaign </w:t>
      </w:r>
      <w:r w:rsidRPr="000442BA">
        <w:t xml:space="preserve">Platforms </w:t>
      </w:r>
      <w:r w:rsidR="007707B7">
        <w:t>and Names</w:t>
      </w:r>
      <w:r w:rsidRPr="000442BA">
        <w:t>–</w:t>
      </w:r>
      <w:r w:rsidR="00915677">
        <w:t xml:space="preserve"> </w:t>
      </w:r>
      <w:r w:rsidRPr="000442BA" w:rsidR="00FC43E5">
        <w:t>Platforms are potential campaign directions that shape the direction of other creative materials (e</w:t>
      </w:r>
      <w:r w:rsidRPr="00915677" w:rsidR="009C4228">
        <w:t>.</w:t>
      </w:r>
      <w:r w:rsidRPr="000442BA" w:rsidR="00FC43E5">
        <w:t>g</w:t>
      </w:r>
      <w:r w:rsidRPr="00915677" w:rsidR="009C4228">
        <w:t>.</w:t>
      </w:r>
      <w:r w:rsidRPr="000442BA" w:rsidR="00FC43E5">
        <w:t xml:space="preserve"> ads, posters)</w:t>
      </w:r>
    </w:p>
    <w:p w:rsidR="00175C71" w:rsidP="00175C71" w14:paraId="452B5F34" w14:textId="77777777">
      <w:pPr>
        <w:autoSpaceDE w:val="0"/>
        <w:autoSpaceDN w:val="0"/>
        <w:adjustRightInd w:val="0"/>
      </w:pPr>
    </w:p>
    <w:p w:rsidR="00BB3E51" w:rsidRPr="00175C71" w:rsidP="00175C71" w14:paraId="2BF025DC" w14:textId="77777777">
      <w:pPr>
        <w:autoSpaceDE w:val="0"/>
        <w:autoSpaceDN w:val="0"/>
        <w:adjustRightInd w:val="0"/>
        <w:rPr>
          <w:rFonts w:eastAsia="Calibri"/>
          <w:color w:val="000000"/>
        </w:rPr>
      </w:pPr>
      <w:r>
        <w:t xml:space="preserve">To ensure the </w:t>
      </w:r>
      <w:r w:rsidR="00DD5910">
        <w:t>Campaign will</w:t>
      </w:r>
      <w:r>
        <w:t xml:space="preserve"> resonate </w:t>
      </w:r>
      <w:r w:rsidR="006C2049">
        <w:t xml:space="preserve">across the diverse array of </w:t>
      </w:r>
      <w:r>
        <w:t>WIC participants</w:t>
      </w:r>
      <w:r w:rsidR="009C4228">
        <w:t xml:space="preserve">/clients </w:t>
      </w:r>
      <w:r>
        <w:t>and</w:t>
      </w:r>
      <w:r w:rsidRPr="00AF3D9D" w:rsidR="00AF3D9D">
        <w:rPr>
          <w:rFonts w:eastAsia="Calibri"/>
        </w:rPr>
        <w:t xml:space="preserve"> </w:t>
      </w:r>
      <w:r w:rsidRPr="00E87CAC" w:rsidR="00AF3D9D">
        <w:rPr>
          <w:rFonts w:eastAsia="Calibri"/>
        </w:rPr>
        <w:t>eligible non-participants</w:t>
      </w:r>
      <w:r w:rsidR="00915677">
        <w:rPr>
          <w:rFonts w:eastAsia="Calibri"/>
        </w:rPr>
        <w:t>/potential clients</w:t>
      </w:r>
      <w:r>
        <w:t xml:space="preserve">, </w:t>
      </w:r>
      <w:r w:rsidRPr="00175C71">
        <w:rPr>
          <w:rFonts w:eastAsia="Calibri"/>
          <w:color w:val="000000" w:themeColor="text1"/>
        </w:rPr>
        <w:t xml:space="preserve">FNS intends to conduct a series of </w:t>
      </w:r>
      <w:r>
        <w:rPr>
          <w:rFonts w:eastAsia="Calibri"/>
          <w:color w:val="000000" w:themeColor="text1"/>
        </w:rPr>
        <w:t xml:space="preserve">concept testing </w:t>
      </w:r>
      <w:r w:rsidRPr="00175C71">
        <w:rPr>
          <w:rFonts w:eastAsia="Calibri"/>
          <w:color w:val="000000" w:themeColor="text1"/>
        </w:rPr>
        <w:t xml:space="preserve">focus groups.  </w:t>
      </w:r>
      <w:r w:rsidRPr="00175C71" w:rsidR="006C2049">
        <w:rPr>
          <w:rFonts w:eastAsia="Calibri"/>
          <w:color w:val="000000" w:themeColor="text1"/>
        </w:rPr>
        <w:t>Specifically, t</w:t>
      </w:r>
      <w:r w:rsidRPr="00175C71">
        <w:rPr>
          <w:rFonts w:eastAsia="Calibri"/>
          <w:color w:val="000000" w:themeColor="text1"/>
        </w:rPr>
        <w:t xml:space="preserve">his qualitative research task includes </w:t>
      </w:r>
      <w:r w:rsidR="00C25755">
        <w:rPr>
          <w:rFonts w:eastAsia="Calibri"/>
          <w:color w:val="000000" w:themeColor="text1"/>
        </w:rPr>
        <w:t>9</w:t>
      </w:r>
      <w:r w:rsidRPr="00175C71" w:rsidR="006C2049">
        <w:rPr>
          <w:rFonts w:eastAsia="Calibri"/>
          <w:color w:val="000000" w:themeColor="text1"/>
        </w:rPr>
        <w:t xml:space="preserve"> </w:t>
      </w:r>
      <w:r w:rsidRPr="00175C71">
        <w:rPr>
          <w:rFonts w:eastAsia="Calibri"/>
          <w:color w:val="000000" w:themeColor="text1"/>
        </w:rPr>
        <w:t>virtual focus groups</w:t>
      </w:r>
      <w:r w:rsidRPr="00175C71" w:rsidR="006C2049">
        <w:rPr>
          <w:rFonts w:eastAsia="Calibri"/>
          <w:color w:val="000000" w:themeColor="text1"/>
        </w:rPr>
        <w:t xml:space="preserve">, split between </w:t>
      </w:r>
      <w:r w:rsidR="00AE686E">
        <w:rPr>
          <w:rFonts w:eastAsia="Calibri"/>
          <w:color w:val="000000" w:themeColor="text1"/>
        </w:rPr>
        <w:t>these audience groups</w:t>
      </w:r>
      <w:r w:rsidRPr="00175C71" w:rsidR="006C2049">
        <w:rPr>
          <w:rFonts w:eastAsia="Calibri"/>
          <w:color w:val="000000" w:themeColor="text1"/>
        </w:rPr>
        <w:t xml:space="preserve">.  </w:t>
      </w:r>
      <w:r w:rsidRPr="00175C71" w:rsidR="00390087">
        <w:rPr>
          <w:rFonts w:eastAsia="Calibri"/>
          <w:color w:val="000000" w:themeColor="text1"/>
        </w:rPr>
        <w:t>All discussions will be 90 minutes in length.</w:t>
      </w:r>
      <w:r>
        <w:rPr>
          <w:rStyle w:val="FootnoteReference"/>
          <w:rFonts w:eastAsia="Calibri"/>
          <w:color w:val="000000" w:themeColor="text1"/>
        </w:rPr>
        <w:footnoteReference w:id="3"/>
      </w:r>
      <w:r w:rsidRPr="00175C71" w:rsidR="00390087">
        <w:rPr>
          <w:rFonts w:eastAsia="Calibri"/>
          <w:color w:val="000000" w:themeColor="text1"/>
        </w:rPr>
        <w:t xml:space="preserve">  </w:t>
      </w:r>
      <w:r w:rsidRPr="00175C71">
        <w:rPr>
          <w:rFonts w:eastAsia="Calibri"/>
          <w:color w:val="000000" w:themeColor="text1"/>
        </w:rPr>
        <w:t xml:space="preserve">These sessions </w:t>
      </w:r>
      <w:r w:rsidRPr="00175C71" w:rsidR="006C2049">
        <w:rPr>
          <w:rFonts w:eastAsia="Calibri"/>
          <w:color w:val="000000" w:themeColor="text1"/>
        </w:rPr>
        <w:t xml:space="preserve">will </w:t>
      </w:r>
      <w:r w:rsidRPr="00175C71">
        <w:rPr>
          <w:rFonts w:eastAsia="Calibri"/>
          <w:color w:val="000000" w:themeColor="text1"/>
        </w:rPr>
        <w:t xml:space="preserve">enable a comparative analysis of </w:t>
      </w:r>
      <w:r w:rsidRPr="00175C71" w:rsidR="00005939">
        <w:rPr>
          <w:rFonts w:eastAsia="Calibri"/>
          <w:color w:val="000000" w:themeColor="text1"/>
        </w:rPr>
        <w:t>these groups</w:t>
      </w:r>
      <w:r w:rsidRPr="00175C71">
        <w:rPr>
          <w:rFonts w:eastAsia="Calibri"/>
          <w:color w:val="000000" w:themeColor="text1"/>
        </w:rPr>
        <w:t xml:space="preserve">, across and within key audience segments.  </w:t>
      </w:r>
    </w:p>
    <w:p w:rsidR="00C8488C" w14:paraId="36E925D7" w14:textId="77777777"/>
    <w:p w:rsidR="00C25755" w14:paraId="295D766F" w14:textId="77777777">
      <w:r>
        <w:t xml:space="preserve">This focus group research represents the first creative exploration for the </w:t>
      </w:r>
      <w:r w:rsidR="00B4087F">
        <w:t xml:space="preserve">WIC </w:t>
      </w:r>
      <w:r>
        <w:t xml:space="preserve">Outreach Campaign, informing both logo development and the ultimate determination of the overarching creative platform.  As such, this research covers important, new territory for the Campaign, but its methodology and recruitment will reflect the approaches utilized in the OMB-approved formative research focus groups conducted </w:t>
      </w:r>
      <w:r w:rsidR="002E1340">
        <w:t xml:space="preserve">last </w:t>
      </w:r>
      <w:r>
        <w:t xml:space="preserve">year.  </w:t>
      </w:r>
    </w:p>
    <w:p w:rsidR="00C25755" w14:paraId="01954530" w14:textId="77777777"/>
    <w:p w:rsidR="00434E33" w:rsidP="00434E33" w14:paraId="568BF324" w14:textId="77777777">
      <w:pPr>
        <w:pStyle w:val="Header"/>
        <w:tabs>
          <w:tab w:val="clear" w:pos="4320"/>
          <w:tab w:val="clear" w:pos="8640"/>
        </w:tabs>
      </w:pPr>
      <w:r w:rsidRPr="00434E33">
        <w:rPr>
          <w:b/>
        </w:rPr>
        <w:t>DESCRIPTION OF RESPONDENTS</w:t>
      </w:r>
      <w:r>
        <w:t xml:space="preserve">: </w:t>
      </w:r>
    </w:p>
    <w:p w:rsidR="000D208D" w:rsidRPr="00434E33" w:rsidP="00434E33" w14:paraId="51FB8877" w14:textId="77777777">
      <w:pPr>
        <w:pStyle w:val="Header"/>
        <w:tabs>
          <w:tab w:val="clear" w:pos="4320"/>
          <w:tab w:val="clear" w:pos="8640"/>
        </w:tabs>
        <w:rPr>
          <w:i/>
          <w:snapToGrid/>
        </w:rPr>
      </w:pPr>
    </w:p>
    <w:p w:rsidR="008F700A" w:rsidRPr="000D208D" w:rsidP="008F700A" w14:paraId="39AF211C" w14:textId="77777777">
      <w:pPr>
        <w:pBdr>
          <w:top w:val="nil"/>
          <w:left w:val="nil"/>
          <w:bottom w:val="nil"/>
          <w:right w:val="nil"/>
          <w:between w:val="nil"/>
        </w:pBdr>
        <w:rPr>
          <w:rFonts w:eastAsia="Calibri"/>
          <w:color w:val="000000" w:themeColor="text1"/>
        </w:rPr>
      </w:pPr>
      <w:r w:rsidRPr="644DB786">
        <w:rPr>
          <w:rFonts w:eastAsia="Calibri"/>
          <w:color w:val="000000" w:themeColor="text1"/>
        </w:rPr>
        <w:t xml:space="preserve">In total, we intend to conduct </w:t>
      </w:r>
      <w:r w:rsidR="00C25755">
        <w:rPr>
          <w:rFonts w:eastAsia="Calibri"/>
          <w:color w:val="000000" w:themeColor="text1"/>
        </w:rPr>
        <w:t>9</w:t>
      </w:r>
      <w:r w:rsidRPr="644DB786">
        <w:rPr>
          <w:rFonts w:eastAsia="Calibri"/>
          <w:color w:val="000000" w:themeColor="text1"/>
        </w:rPr>
        <w:t xml:space="preserve"> focus groups.  </w:t>
      </w:r>
      <w:r w:rsidRPr="644DB786" w:rsidR="00E87CAC">
        <w:rPr>
          <w:rFonts w:eastAsia="Calibri"/>
          <w:color w:val="000000" w:themeColor="text1"/>
        </w:rPr>
        <w:t>Approximately h</w:t>
      </w:r>
      <w:r w:rsidRPr="644DB786">
        <w:rPr>
          <w:rFonts w:eastAsia="Calibri"/>
          <w:color w:val="000000" w:themeColor="text1"/>
        </w:rPr>
        <w:t>alf of the groups (</w:t>
      </w:r>
      <w:r w:rsidR="00C25755">
        <w:rPr>
          <w:rFonts w:eastAsia="Calibri"/>
          <w:color w:val="000000" w:themeColor="text1"/>
        </w:rPr>
        <w:t>4</w:t>
      </w:r>
      <w:r w:rsidRPr="644DB786">
        <w:rPr>
          <w:rFonts w:eastAsia="Calibri"/>
          <w:color w:val="000000" w:themeColor="text1"/>
        </w:rPr>
        <w:t>) will be conducted among WIC participant</w:t>
      </w:r>
      <w:r w:rsidR="00FC43E5">
        <w:rPr>
          <w:rFonts w:eastAsia="Calibri"/>
          <w:color w:val="000000" w:themeColor="text1"/>
        </w:rPr>
        <w:t>s</w:t>
      </w:r>
      <w:r w:rsidR="00915677">
        <w:rPr>
          <w:rFonts w:eastAsia="Calibri"/>
          <w:color w:val="000000" w:themeColor="text1"/>
        </w:rPr>
        <w:t>/clients</w:t>
      </w:r>
      <w:r w:rsidRPr="644DB786">
        <w:rPr>
          <w:rFonts w:eastAsia="Calibri"/>
          <w:color w:val="000000" w:themeColor="text1"/>
        </w:rPr>
        <w:t xml:space="preserve">, and </w:t>
      </w:r>
      <w:r w:rsidRPr="644DB786" w:rsidR="00E87CAC">
        <w:rPr>
          <w:rFonts w:eastAsia="Calibri"/>
          <w:color w:val="000000" w:themeColor="text1"/>
        </w:rPr>
        <w:t xml:space="preserve">the </w:t>
      </w:r>
      <w:r w:rsidR="007722D0">
        <w:rPr>
          <w:rFonts w:eastAsia="Calibri"/>
          <w:color w:val="000000" w:themeColor="text1"/>
        </w:rPr>
        <w:t>remaining</w:t>
      </w:r>
      <w:r w:rsidRPr="644DB786" w:rsidR="007722D0">
        <w:rPr>
          <w:rFonts w:eastAsia="Calibri"/>
          <w:color w:val="000000" w:themeColor="text1"/>
        </w:rPr>
        <w:t xml:space="preserve"> </w:t>
      </w:r>
      <w:r w:rsidRPr="644DB786" w:rsidR="00E87CAC">
        <w:rPr>
          <w:rFonts w:eastAsia="Calibri"/>
          <w:color w:val="000000" w:themeColor="text1"/>
        </w:rPr>
        <w:t xml:space="preserve">groups </w:t>
      </w:r>
      <w:r w:rsidRPr="644DB786">
        <w:rPr>
          <w:rFonts w:eastAsia="Calibri"/>
          <w:color w:val="000000" w:themeColor="text1"/>
        </w:rPr>
        <w:t>(</w:t>
      </w:r>
      <w:r w:rsidR="00C25755">
        <w:rPr>
          <w:rFonts w:eastAsia="Calibri"/>
          <w:color w:val="000000" w:themeColor="text1"/>
        </w:rPr>
        <w:t>5</w:t>
      </w:r>
      <w:r w:rsidRPr="644DB786">
        <w:rPr>
          <w:rFonts w:eastAsia="Calibri"/>
          <w:color w:val="000000" w:themeColor="text1"/>
        </w:rPr>
        <w:t xml:space="preserve">) will be conducted among WIC-eligible </w:t>
      </w:r>
      <w:r w:rsidRPr="644DB786">
        <w:rPr>
          <w:rFonts w:eastAsia="Calibri"/>
          <w:color w:val="000000" w:themeColor="text1"/>
        </w:rPr>
        <w:t>non-participants</w:t>
      </w:r>
      <w:r w:rsidR="00915677">
        <w:rPr>
          <w:rFonts w:eastAsia="Calibri"/>
          <w:color w:val="000000" w:themeColor="text1"/>
        </w:rPr>
        <w:t>/potential clients</w:t>
      </w:r>
      <w:r w:rsidRPr="644DB786">
        <w:rPr>
          <w:rFonts w:eastAsia="Calibri"/>
          <w:color w:val="000000" w:themeColor="text1"/>
        </w:rPr>
        <w:t xml:space="preserve">. Table 1, below, illustrates our distribution of these groups across audiences.  </w:t>
      </w:r>
    </w:p>
    <w:p w:rsidR="00D5532A" w:rsidRPr="000D208D" w:rsidP="008F700A" w14:paraId="0E960DE2" w14:textId="77777777">
      <w:pPr>
        <w:pBdr>
          <w:top w:val="nil"/>
          <w:left w:val="nil"/>
          <w:bottom w:val="nil"/>
          <w:right w:val="nil"/>
          <w:between w:val="nil"/>
        </w:pBdr>
        <w:rPr>
          <w:rFonts w:eastAsia="Calibri"/>
          <w:color w:val="000000" w:themeColor="text1"/>
        </w:rPr>
      </w:pPr>
    </w:p>
    <w:p w:rsidR="00E87CAC" w:rsidRPr="00E87CAC" w:rsidP="00E87CAC" w14:paraId="2D9F615B" w14:textId="77777777">
      <w:pPr>
        <w:tabs>
          <w:tab w:val="left" w:pos="1080"/>
        </w:tabs>
        <w:rPr>
          <w:rFonts w:eastAsia="Calibri"/>
        </w:rPr>
      </w:pPr>
      <w:r w:rsidRPr="000D208D">
        <w:rPr>
          <w:rFonts w:eastAsia="Calibri"/>
        </w:rPr>
        <w:t>Respondents will be recruited to ensure a mix of key demographics (e.g., number of children in household, geography) and psychographics (e.g., awareness of WIC</w:t>
      </w:r>
      <w:r w:rsidR="00072F4F">
        <w:rPr>
          <w:rFonts w:eastAsia="Calibri"/>
        </w:rPr>
        <w:t xml:space="preserve"> and other </w:t>
      </w:r>
      <w:r w:rsidRPr="000D208D">
        <w:rPr>
          <w:rFonts w:eastAsia="Calibri"/>
        </w:rPr>
        <w:t xml:space="preserve">government </w:t>
      </w:r>
      <w:r w:rsidRPr="000D208D">
        <w:rPr>
          <w:rFonts w:eastAsia="Calibri"/>
        </w:rPr>
        <w:t>programs) and within the core age range of 18-34 years.</w:t>
      </w:r>
      <w:r>
        <w:rPr>
          <w:rStyle w:val="FootnoteReference"/>
          <w:rFonts w:eastAsia="Calibri"/>
        </w:rPr>
        <w:footnoteReference w:id="4"/>
      </w:r>
      <w:r w:rsidRPr="000D208D">
        <w:rPr>
          <w:rFonts w:eastAsia="Calibri"/>
        </w:rPr>
        <w:t xml:space="preserve"> </w:t>
      </w:r>
      <w:r w:rsidRPr="00E87CAC">
        <w:rPr>
          <w:rFonts w:eastAsia="Calibri"/>
        </w:rPr>
        <w:t xml:space="preserve">Additionally, for the groups among </w:t>
      </w:r>
      <w:r w:rsidRPr="00E87CAC" w:rsidR="39621AB4">
        <w:rPr>
          <w:rFonts w:eastAsia="Calibri"/>
        </w:rPr>
        <w:t>e</w:t>
      </w:r>
      <w:r w:rsidRPr="00E87CAC">
        <w:rPr>
          <w:rFonts w:eastAsia="Calibri"/>
        </w:rPr>
        <w:t xml:space="preserve">ligible </w:t>
      </w:r>
      <w:r w:rsidRPr="00E87CAC" w:rsidR="3FC8B118">
        <w:rPr>
          <w:rFonts w:eastAsia="Calibri"/>
        </w:rPr>
        <w:t>n</w:t>
      </w:r>
      <w:r w:rsidRPr="00E87CAC">
        <w:rPr>
          <w:rFonts w:eastAsia="Calibri"/>
        </w:rPr>
        <w:t>on-</w:t>
      </w:r>
      <w:r w:rsidRPr="00E87CAC" w:rsidR="39189605">
        <w:rPr>
          <w:rFonts w:eastAsia="Calibri"/>
        </w:rPr>
        <w:t>p</w:t>
      </w:r>
      <w:r w:rsidRPr="00E87CAC">
        <w:rPr>
          <w:rFonts w:eastAsia="Calibri"/>
        </w:rPr>
        <w:t>articipants</w:t>
      </w:r>
      <w:r w:rsidR="00915677">
        <w:rPr>
          <w:rFonts w:eastAsia="Calibri"/>
        </w:rPr>
        <w:t>/potential clients</w:t>
      </w:r>
      <w:r w:rsidRPr="00E87CAC">
        <w:rPr>
          <w:rFonts w:eastAsia="Calibri"/>
        </w:rPr>
        <w:t xml:space="preserve">, we will recruit </w:t>
      </w:r>
      <w:r w:rsidR="00FC43E5">
        <w:rPr>
          <w:rFonts w:eastAsia="Calibri"/>
        </w:rPr>
        <w:t xml:space="preserve">some </w:t>
      </w:r>
      <w:r w:rsidRPr="00E87CAC">
        <w:rPr>
          <w:rFonts w:eastAsia="Calibri"/>
        </w:rPr>
        <w:t xml:space="preserve">individuals who are adjunctively or automatically </w:t>
      </w:r>
      <w:r w:rsidRPr="644DB786" w:rsidR="00CC3E8D">
        <w:rPr>
          <w:rFonts w:eastAsia="Calibri"/>
        </w:rPr>
        <w:t xml:space="preserve">income </w:t>
      </w:r>
      <w:r w:rsidRPr="00E87CAC">
        <w:rPr>
          <w:rFonts w:eastAsia="Calibri"/>
        </w:rPr>
        <w:t xml:space="preserve">eligible (via Medicaid, SNAP, etc.), to the extent possible.  Individuals will be recruited via our professional recruitment partners and all respondents will receive </w:t>
      </w:r>
      <w:r w:rsidR="00FC43E5">
        <w:rPr>
          <w:rFonts w:eastAsia="Calibri"/>
        </w:rPr>
        <w:t xml:space="preserve">$75 </w:t>
      </w:r>
      <w:r w:rsidRPr="00E87CAC">
        <w:rPr>
          <w:rFonts w:eastAsia="Calibri"/>
        </w:rPr>
        <w:t>incentives for their time.</w:t>
      </w:r>
      <w:r w:rsidR="00BE2257">
        <w:rPr>
          <w:rFonts w:eastAsia="Calibri"/>
        </w:rPr>
        <w:t xml:space="preserve"> Respondents</w:t>
      </w:r>
      <w:r w:rsidR="002F6E87">
        <w:rPr>
          <w:rFonts w:eastAsia="Calibri"/>
        </w:rPr>
        <w:t xml:space="preserve"> will be recruited </w:t>
      </w:r>
      <w:r w:rsidR="00C25755">
        <w:rPr>
          <w:rFonts w:eastAsia="Calibri"/>
        </w:rPr>
        <w:t xml:space="preserve">to represent a mix of </w:t>
      </w:r>
      <w:r w:rsidR="002F6E87">
        <w:rPr>
          <w:rFonts w:eastAsia="Calibri"/>
        </w:rPr>
        <w:t xml:space="preserve">the 50 states, </w:t>
      </w:r>
      <w:r w:rsidR="0066190B">
        <w:rPr>
          <w:rFonts w:eastAsia="Calibri"/>
        </w:rPr>
        <w:t xml:space="preserve">the District of Columbia, </w:t>
      </w:r>
      <w:r w:rsidR="002F6E87">
        <w:rPr>
          <w:rFonts w:eastAsia="Calibri"/>
        </w:rPr>
        <w:t xml:space="preserve">33 Indian Tribal Organizations, </w:t>
      </w:r>
      <w:r w:rsidR="0066190B">
        <w:rPr>
          <w:rFonts w:eastAsia="Calibri"/>
        </w:rPr>
        <w:t xml:space="preserve">and </w:t>
      </w:r>
      <w:r w:rsidR="002F6E87">
        <w:rPr>
          <w:rFonts w:eastAsia="Calibri"/>
        </w:rPr>
        <w:t>5 territories</w:t>
      </w:r>
      <w:r w:rsidR="0066190B">
        <w:rPr>
          <w:rFonts w:eastAsia="Calibri"/>
        </w:rPr>
        <w:t xml:space="preserve"> </w:t>
      </w:r>
      <w:r w:rsidR="009C3850">
        <w:rPr>
          <w:rFonts w:eastAsia="Calibri"/>
        </w:rPr>
        <w:t>that are served by WIC State Agencies</w:t>
      </w:r>
      <w:r w:rsidR="00C25755">
        <w:rPr>
          <w:rFonts w:eastAsia="Calibri"/>
        </w:rPr>
        <w:t>, to the extent possible</w:t>
      </w:r>
      <w:r w:rsidR="009C3850">
        <w:rPr>
          <w:rFonts w:eastAsia="Calibri"/>
        </w:rPr>
        <w:t xml:space="preserve">. </w:t>
      </w:r>
    </w:p>
    <w:p w:rsidR="00D5532A" w:rsidP="00E87CAC" w14:paraId="5666BA1F" w14:textId="77777777">
      <w:pPr>
        <w:tabs>
          <w:tab w:val="left" w:pos="1080"/>
        </w:tabs>
        <w:rPr>
          <w:rFonts w:ascii="Calibri" w:eastAsia="Calibri" w:hAnsi="Calibri" w:cs="Calibri"/>
          <w:color w:val="000000"/>
          <w:sz w:val="22"/>
          <w:szCs w:val="22"/>
        </w:rPr>
      </w:pPr>
    </w:p>
    <w:p w:rsidR="008F700A" w:rsidP="008F700A" w14:paraId="3DFF1DD7" w14:textId="77777777">
      <w:pPr>
        <w:rPr>
          <w:rFonts w:ascii="Calibri" w:eastAsia="Calibri" w:hAnsi="Calibri" w:cs="Calibri"/>
          <w:b/>
        </w:rPr>
      </w:pPr>
    </w:p>
    <w:p w:rsidR="008F700A" w:rsidRPr="000D208D" w:rsidP="008F700A" w14:paraId="7F288E21" w14:textId="77777777">
      <w:pPr>
        <w:ind w:left="-630" w:firstLine="630"/>
        <w:rPr>
          <w:rFonts w:eastAsia="Calibri"/>
          <w:b/>
        </w:rPr>
      </w:pPr>
      <w:r w:rsidRPr="000D208D">
        <w:rPr>
          <w:rFonts w:eastAsia="Calibri"/>
          <w:b/>
        </w:rPr>
        <w:t xml:space="preserve">Table 1.  Focus Group Distribution </w:t>
      </w:r>
    </w:p>
    <w:tbl>
      <w:tblPr>
        <w:tblW w:w="1043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1975"/>
        <w:gridCol w:w="3870"/>
        <w:gridCol w:w="4590"/>
      </w:tblGrid>
      <w:tr w14:paraId="3C2D46D6" w14:textId="77777777" w:rsidTr="00AE686E">
        <w:tblPrEx>
          <w:tblW w:w="1043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Ex>
        <w:trPr>
          <w:trHeight w:val="257"/>
          <w:jc w:val="center"/>
        </w:trPr>
        <w:tc>
          <w:tcPr>
            <w:tcW w:w="1975" w:type="dxa"/>
          </w:tcPr>
          <w:p w:rsidR="008F700A" w:rsidRPr="000D208D" w:rsidP="00413CF2" w14:paraId="51E17DB3" w14:textId="77777777">
            <w:pPr>
              <w:rPr>
                <w:rFonts w:eastAsia="Calibri"/>
                <w:sz w:val="22"/>
                <w:szCs w:val="22"/>
              </w:rPr>
            </w:pPr>
          </w:p>
        </w:tc>
        <w:tc>
          <w:tcPr>
            <w:tcW w:w="3870" w:type="dxa"/>
          </w:tcPr>
          <w:p w:rsidR="008F700A" w:rsidRPr="000D208D" w:rsidP="00413CF2" w14:paraId="52A023A7" w14:textId="77777777">
            <w:pPr>
              <w:jc w:val="center"/>
              <w:rPr>
                <w:rFonts w:eastAsia="Calibri"/>
                <w:sz w:val="22"/>
                <w:szCs w:val="22"/>
              </w:rPr>
            </w:pPr>
            <w:r w:rsidRPr="000D208D">
              <w:rPr>
                <w:rFonts w:eastAsia="Calibri"/>
                <w:sz w:val="22"/>
                <w:szCs w:val="22"/>
              </w:rPr>
              <w:t>WIC Participants</w:t>
            </w:r>
            <w:r w:rsidR="00AE686E">
              <w:rPr>
                <w:rFonts w:eastAsia="Calibri"/>
                <w:sz w:val="22"/>
                <w:szCs w:val="22"/>
              </w:rPr>
              <w:t>/Clients</w:t>
            </w:r>
          </w:p>
          <w:p w:rsidR="008F700A" w:rsidRPr="000D208D" w:rsidP="00413CF2" w14:paraId="64849F86" w14:textId="77777777">
            <w:pPr>
              <w:jc w:val="center"/>
              <w:rPr>
                <w:rFonts w:eastAsia="Calibri"/>
                <w:sz w:val="22"/>
                <w:szCs w:val="22"/>
              </w:rPr>
            </w:pPr>
            <w:r>
              <w:rPr>
                <w:rFonts w:eastAsia="Calibri"/>
                <w:sz w:val="22"/>
                <w:szCs w:val="22"/>
              </w:rPr>
              <w:t>4</w:t>
            </w:r>
            <w:r w:rsidRPr="000D208D">
              <w:rPr>
                <w:rFonts w:eastAsia="Calibri"/>
                <w:sz w:val="22"/>
                <w:szCs w:val="22"/>
              </w:rPr>
              <w:t xml:space="preserve"> Focus Groups</w:t>
            </w:r>
          </w:p>
        </w:tc>
        <w:tc>
          <w:tcPr>
            <w:tcW w:w="4590" w:type="dxa"/>
          </w:tcPr>
          <w:p w:rsidR="008F700A" w:rsidRPr="000D208D" w:rsidP="00413CF2" w14:paraId="4EE8BA0F" w14:textId="77777777">
            <w:pPr>
              <w:jc w:val="center"/>
              <w:rPr>
                <w:rFonts w:eastAsia="Calibri"/>
                <w:sz w:val="22"/>
                <w:szCs w:val="22"/>
              </w:rPr>
            </w:pPr>
            <w:r w:rsidRPr="000D208D">
              <w:rPr>
                <w:rFonts w:eastAsia="Calibri"/>
                <w:sz w:val="22"/>
                <w:szCs w:val="22"/>
              </w:rPr>
              <w:t>WIC Eligible Non-Participants</w:t>
            </w:r>
            <w:r w:rsidR="00AE686E">
              <w:rPr>
                <w:rFonts w:eastAsia="Calibri"/>
                <w:sz w:val="22"/>
                <w:szCs w:val="22"/>
              </w:rPr>
              <w:t>/Potential Clients</w:t>
            </w:r>
          </w:p>
          <w:p w:rsidR="008F700A" w:rsidRPr="000D208D" w:rsidP="00413CF2" w14:paraId="5136BE3F" w14:textId="77777777">
            <w:pPr>
              <w:jc w:val="center"/>
              <w:rPr>
                <w:rFonts w:eastAsia="Calibri"/>
                <w:sz w:val="22"/>
                <w:szCs w:val="22"/>
              </w:rPr>
            </w:pPr>
            <w:r>
              <w:rPr>
                <w:rFonts w:eastAsia="Calibri"/>
                <w:sz w:val="22"/>
                <w:szCs w:val="22"/>
              </w:rPr>
              <w:t>5</w:t>
            </w:r>
            <w:r w:rsidRPr="000D208D">
              <w:rPr>
                <w:rFonts w:eastAsia="Calibri"/>
                <w:sz w:val="22"/>
                <w:szCs w:val="22"/>
              </w:rPr>
              <w:t xml:space="preserve"> Focus Groups</w:t>
            </w:r>
          </w:p>
        </w:tc>
      </w:tr>
      <w:tr w14:paraId="1E49C9A1" w14:textId="77777777" w:rsidTr="00AE686E">
        <w:tblPrEx>
          <w:tblW w:w="10435" w:type="dxa"/>
          <w:jc w:val="center"/>
          <w:tblLayout w:type="fixed"/>
          <w:tblLook w:val="04A0"/>
        </w:tblPrEx>
        <w:trPr>
          <w:trHeight w:val="1115"/>
          <w:jc w:val="center"/>
        </w:trPr>
        <w:tc>
          <w:tcPr>
            <w:tcW w:w="1975" w:type="dxa"/>
          </w:tcPr>
          <w:p w:rsidR="008F700A" w:rsidRPr="000D208D" w:rsidP="00413CF2" w14:paraId="30035251" w14:textId="77777777">
            <w:pPr>
              <w:rPr>
                <w:rFonts w:eastAsia="Calibri"/>
                <w:sz w:val="22"/>
                <w:szCs w:val="22"/>
              </w:rPr>
            </w:pPr>
            <w:r>
              <w:rPr>
                <w:rFonts w:eastAsia="Calibri"/>
                <w:sz w:val="22"/>
                <w:szCs w:val="22"/>
              </w:rPr>
              <w:t>Pregnant women/moms</w:t>
            </w:r>
          </w:p>
          <w:p w:rsidR="008F700A" w:rsidRPr="000D208D" w:rsidP="00413CF2" w14:paraId="0A79A759" w14:textId="77777777">
            <w:pPr>
              <w:rPr>
                <w:rFonts w:eastAsia="Calibri"/>
                <w:sz w:val="22"/>
                <w:szCs w:val="22"/>
              </w:rPr>
            </w:pPr>
            <w:r w:rsidRPr="000D208D">
              <w:rPr>
                <w:rFonts w:eastAsia="Calibri"/>
                <w:sz w:val="22"/>
                <w:szCs w:val="22"/>
              </w:rPr>
              <w:t>(</w:t>
            </w:r>
            <w:r w:rsidR="00D259C9">
              <w:rPr>
                <w:rFonts w:eastAsia="Calibri"/>
                <w:sz w:val="22"/>
                <w:szCs w:val="22"/>
              </w:rPr>
              <w:t>2</w:t>
            </w:r>
            <w:r w:rsidRPr="000D208D">
              <w:rPr>
                <w:rFonts w:eastAsia="Calibri"/>
                <w:sz w:val="22"/>
                <w:szCs w:val="22"/>
              </w:rPr>
              <w:t xml:space="preserve"> groups)</w:t>
            </w:r>
          </w:p>
        </w:tc>
        <w:tc>
          <w:tcPr>
            <w:tcW w:w="3870" w:type="dxa"/>
          </w:tcPr>
          <w:p w:rsidR="008F700A" w:rsidRPr="00D259C9" w:rsidP="00D259C9" w14:paraId="7815C477"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sidR="00D259C9">
              <w:rPr>
                <w:rFonts w:eastAsia="Calibri"/>
                <w:color w:val="000000"/>
                <w:sz w:val="22"/>
                <w:szCs w:val="22"/>
              </w:rPr>
              <w:t>among a mix of races and ethnicities</w:t>
            </w:r>
            <w:r w:rsidR="00AE686E">
              <w:rPr>
                <w:rFonts w:eastAsia="Calibri"/>
                <w:color w:val="000000"/>
                <w:sz w:val="22"/>
                <w:szCs w:val="22"/>
              </w:rPr>
              <w:t>, localities,</w:t>
            </w:r>
            <w:r w:rsidR="00D259C9">
              <w:rPr>
                <w:rFonts w:eastAsia="Calibri"/>
                <w:color w:val="000000"/>
                <w:sz w:val="22"/>
                <w:szCs w:val="22"/>
              </w:rPr>
              <w:t xml:space="preserve"> and a mix of number of children in the household (</w:t>
            </w:r>
            <w:r w:rsidRPr="00D259C9" w:rsidR="00D259C9">
              <w:rPr>
                <w:rFonts w:eastAsia="Calibri"/>
                <w:i/>
                <w:iCs/>
                <w:color w:val="000000"/>
                <w:sz w:val="22"/>
                <w:szCs w:val="22"/>
              </w:rPr>
              <w:t>all must be currently pregnant</w:t>
            </w:r>
            <w:r w:rsidR="00D259C9">
              <w:rPr>
                <w:rFonts w:eastAsia="Calibri"/>
                <w:color w:val="000000"/>
                <w:sz w:val="22"/>
                <w:szCs w:val="22"/>
              </w:rPr>
              <w:t>)</w:t>
            </w:r>
          </w:p>
        </w:tc>
        <w:tc>
          <w:tcPr>
            <w:tcW w:w="4590" w:type="dxa"/>
          </w:tcPr>
          <w:p w:rsidR="008F700A" w:rsidRPr="00D259C9" w:rsidP="00D259C9" w14:paraId="761EFFD7"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Pr>
                <w:rFonts w:eastAsia="Calibri"/>
                <w:color w:val="000000"/>
                <w:sz w:val="22"/>
                <w:szCs w:val="22"/>
              </w:rPr>
              <w:t xml:space="preserve">among a mix of races and </w:t>
            </w:r>
            <w:r>
              <w:rPr>
                <w:rFonts w:eastAsia="Calibri"/>
                <w:color w:val="000000"/>
                <w:sz w:val="22"/>
                <w:szCs w:val="22"/>
              </w:rPr>
              <w:t>ethnicities</w:t>
            </w:r>
            <w:r w:rsidR="00AE686E">
              <w:rPr>
                <w:rFonts w:eastAsia="Calibri"/>
                <w:color w:val="000000"/>
                <w:sz w:val="22"/>
                <w:szCs w:val="22"/>
              </w:rPr>
              <w:t>, localities,</w:t>
            </w:r>
            <w:r>
              <w:rPr>
                <w:rFonts w:eastAsia="Calibri"/>
                <w:color w:val="000000"/>
                <w:sz w:val="22"/>
                <w:szCs w:val="22"/>
              </w:rPr>
              <w:t xml:space="preserve"> and a mix of number of children in the household (</w:t>
            </w:r>
            <w:r w:rsidRPr="00D259C9">
              <w:rPr>
                <w:rFonts w:eastAsia="Calibri"/>
                <w:i/>
                <w:iCs/>
                <w:color w:val="000000"/>
                <w:sz w:val="22"/>
                <w:szCs w:val="22"/>
              </w:rPr>
              <w:t>all must be currently pregnant</w:t>
            </w:r>
            <w:r>
              <w:rPr>
                <w:rFonts w:eastAsia="Calibri"/>
                <w:color w:val="000000"/>
                <w:sz w:val="22"/>
                <w:szCs w:val="22"/>
              </w:rPr>
              <w:t>)</w:t>
            </w:r>
          </w:p>
        </w:tc>
      </w:tr>
      <w:tr w14:paraId="0BD72A98" w14:textId="77777777" w:rsidTr="00AE686E">
        <w:tblPrEx>
          <w:tblW w:w="10435" w:type="dxa"/>
          <w:jc w:val="center"/>
          <w:tblLayout w:type="fixed"/>
          <w:tblLook w:val="04A0"/>
        </w:tblPrEx>
        <w:trPr>
          <w:trHeight w:val="1160"/>
          <w:jc w:val="center"/>
        </w:trPr>
        <w:tc>
          <w:tcPr>
            <w:tcW w:w="1975" w:type="dxa"/>
          </w:tcPr>
          <w:p w:rsidR="00D259C9" w:rsidP="00D259C9" w14:paraId="0FC8D5F8" w14:textId="77777777">
            <w:pPr>
              <w:rPr>
                <w:rFonts w:eastAsia="Calibri"/>
                <w:sz w:val="22"/>
                <w:szCs w:val="22"/>
              </w:rPr>
            </w:pPr>
            <w:r>
              <w:rPr>
                <w:rFonts w:eastAsia="Calibri"/>
                <w:sz w:val="22"/>
                <w:szCs w:val="22"/>
              </w:rPr>
              <w:t>Moms of children up to 4 years old (i.e., under 5)</w:t>
            </w:r>
          </w:p>
          <w:p w:rsidR="00052BC6" w:rsidRPr="000D208D" w:rsidP="00D259C9" w14:paraId="26C55294" w14:textId="77777777">
            <w:pPr>
              <w:rPr>
                <w:rFonts w:eastAsia="Calibri"/>
                <w:sz w:val="22"/>
                <w:szCs w:val="22"/>
              </w:rPr>
            </w:pPr>
            <w:r w:rsidRPr="000D208D">
              <w:rPr>
                <w:rFonts w:eastAsia="Calibri"/>
                <w:sz w:val="22"/>
                <w:szCs w:val="22"/>
              </w:rPr>
              <w:t>(</w:t>
            </w:r>
            <w:r>
              <w:rPr>
                <w:rFonts w:eastAsia="Calibri"/>
                <w:sz w:val="22"/>
                <w:szCs w:val="22"/>
              </w:rPr>
              <w:t>2</w:t>
            </w:r>
            <w:r w:rsidRPr="000D208D">
              <w:rPr>
                <w:rFonts w:eastAsia="Calibri"/>
                <w:sz w:val="22"/>
                <w:szCs w:val="22"/>
              </w:rPr>
              <w:t xml:space="preserve"> groups)</w:t>
            </w:r>
          </w:p>
        </w:tc>
        <w:tc>
          <w:tcPr>
            <w:tcW w:w="3870" w:type="dxa"/>
          </w:tcPr>
          <w:p w:rsidR="00D259C9" w:rsidRPr="000D208D" w:rsidP="00D259C9" w14:paraId="7AFDB62D"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Pr>
                <w:rFonts w:eastAsia="Calibri"/>
                <w:color w:val="000000"/>
                <w:sz w:val="22"/>
                <w:szCs w:val="22"/>
              </w:rPr>
              <w:t>among a mix of races and ethnicities</w:t>
            </w:r>
            <w:r w:rsidR="00AE686E">
              <w:rPr>
                <w:rFonts w:eastAsia="Calibri"/>
                <w:color w:val="000000"/>
                <w:sz w:val="22"/>
                <w:szCs w:val="22"/>
              </w:rPr>
              <w:t>, localities,</w:t>
            </w:r>
            <w:r>
              <w:rPr>
                <w:rFonts w:eastAsia="Calibri"/>
                <w:color w:val="000000"/>
                <w:sz w:val="22"/>
                <w:szCs w:val="22"/>
              </w:rPr>
              <w:t xml:space="preserve"> and a mix of number of children in the household (</w:t>
            </w:r>
            <w:r>
              <w:rPr>
                <w:rFonts w:eastAsia="Calibri"/>
                <w:i/>
                <w:iCs/>
                <w:color w:val="000000"/>
                <w:sz w:val="22"/>
                <w:szCs w:val="22"/>
              </w:rPr>
              <w:t xml:space="preserve">no respondents </w:t>
            </w:r>
            <w:r w:rsidRPr="00D259C9">
              <w:rPr>
                <w:rFonts w:eastAsia="Calibri"/>
                <w:i/>
                <w:iCs/>
                <w:color w:val="000000"/>
                <w:sz w:val="22"/>
                <w:szCs w:val="22"/>
              </w:rPr>
              <w:t>currently pregnant</w:t>
            </w:r>
            <w:r>
              <w:rPr>
                <w:rFonts w:eastAsia="Calibri"/>
                <w:color w:val="000000"/>
                <w:sz w:val="22"/>
                <w:szCs w:val="22"/>
              </w:rPr>
              <w:t>)</w:t>
            </w:r>
          </w:p>
        </w:tc>
        <w:tc>
          <w:tcPr>
            <w:tcW w:w="4590" w:type="dxa"/>
          </w:tcPr>
          <w:p w:rsidR="00D259C9" w:rsidRPr="000D208D" w:rsidP="00D259C9" w14:paraId="7242E850"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Pr>
                <w:rFonts w:eastAsia="Calibri"/>
                <w:color w:val="000000"/>
                <w:sz w:val="22"/>
                <w:szCs w:val="22"/>
              </w:rPr>
              <w:t>among a mix of races and ethnicities</w:t>
            </w:r>
            <w:r w:rsidR="00AE686E">
              <w:rPr>
                <w:rFonts w:eastAsia="Calibri"/>
                <w:color w:val="000000"/>
                <w:sz w:val="22"/>
                <w:szCs w:val="22"/>
              </w:rPr>
              <w:t>, localities,</w:t>
            </w:r>
            <w:r>
              <w:rPr>
                <w:rFonts w:eastAsia="Calibri"/>
                <w:color w:val="000000"/>
                <w:sz w:val="22"/>
                <w:szCs w:val="22"/>
              </w:rPr>
              <w:t xml:space="preserve"> and a mix of number of children in the household (</w:t>
            </w:r>
            <w:r>
              <w:rPr>
                <w:rFonts w:eastAsia="Calibri"/>
                <w:i/>
                <w:iCs/>
                <w:color w:val="000000"/>
                <w:sz w:val="22"/>
                <w:szCs w:val="22"/>
              </w:rPr>
              <w:t xml:space="preserve">no respondents </w:t>
            </w:r>
            <w:r w:rsidRPr="00D259C9">
              <w:rPr>
                <w:rFonts w:eastAsia="Calibri"/>
                <w:i/>
                <w:iCs/>
                <w:color w:val="000000"/>
                <w:sz w:val="22"/>
                <w:szCs w:val="22"/>
              </w:rPr>
              <w:t>currently pregnant</w:t>
            </w:r>
            <w:r>
              <w:rPr>
                <w:rFonts w:eastAsia="Calibri"/>
                <w:color w:val="000000"/>
                <w:sz w:val="22"/>
                <w:szCs w:val="22"/>
              </w:rPr>
              <w:t>)</w:t>
            </w:r>
          </w:p>
        </w:tc>
      </w:tr>
      <w:tr w14:paraId="1B28D1A3" w14:textId="77777777" w:rsidTr="00AE686E">
        <w:tblPrEx>
          <w:tblW w:w="10435" w:type="dxa"/>
          <w:jc w:val="center"/>
          <w:tblLayout w:type="fixed"/>
          <w:tblLook w:val="04A0"/>
        </w:tblPrEx>
        <w:trPr>
          <w:trHeight w:val="863"/>
          <w:jc w:val="center"/>
        </w:trPr>
        <w:tc>
          <w:tcPr>
            <w:tcW w:w="1975" w:type="dxa"/>
          </w:tcPr>
          <w:p w:rsidR="00D259C9" w:rsidRPr="000D208D" w:rsidP="00D259C9" w14:paraId="5889C17D" w14:textId="77777777">
            <w:pPr>
              <w:rPr>
                <w:rFonts w:eastAsia="Calibri"/>
                <w:sz w:val="22"/>
                <w:szCs w:val="22"/>
              </w:rPr>
            </w:pPr>
            <w:r w:rsidRPr="000D208D">
              <w:rPr>
                <w:rFonts w:eastAsia="Calibri"/>
                <w:sz w:val="22"/>
                <w:szCs w:val="22"/>
              </w:rPr>
              <w:t xml:space="preserve">Black adults </w:t>
            </w:r>
          </w:p>
          <w:p w:rsidR="00D259C9" w:rsidRPr="000D208D" w:rsidP="00D259C9" w14:paraId="37D0C20F" w14:textId="77777777">
            <w:pPr>
              <w:rPr>
                <w:rFonts w:eastAsia="Calibri"/>
                <w:sz w:val="22"/>
                <w:szCs w:val="22"/>
              </w:rPr>
            </w:pPr>
            <w:r w:rsidRPr="000D208D">
              <w:rPr>
                <w:rFonts w:eastAsia="Calibri"/>
                <w:sz w:val="22"/>
                <w:szCs w:val="22"/>
              </w:rPr>
              <w:t>(</w:t>
            </w:r>
            <w:r>
              <w:rPr>
                <w:rFonts w:eastAsia="Calibri"/>
                <w:sz w:val="22"/>
                <w:szCs w:val="22"/>
              </w:rPr>
              <w:t>2</w:t>
            </w:r>
            <w:r w:rsidRPr="000D208D">
              <w:rPr>
                <w:rFonts w:eastAsia="Calibri"/>
                <w:sz w:val="22"/>
                <w:szCs w:val="22"/>
              </w:rPr>
              <w:t xml:space="preserve"> groups)</w:t>
            </w:r>
          </w:p>
        </w:tc>
        <w:tc>
          <w:tcPr>
            <w:tcW w:w="3870" w:type="dxa"/>
          </w:tcPr>
          <w:p w:rsidR="00D259C9" w:rsidRPr="000D208D" w:rsidP="00D259C9" w14:paraId="5EB197A2"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among </w:t>
            </w:r>
            <w:r>
              <w:rPr>
                <w:rFonts w:eastAsia="Calibri"/>
                <w:color w:val="000000"/>
                <w:sz w:val="22"/>
                <w:szCs w:val="22"/>
              </w:rPr>
              <w:t xml:space="preserve">a mix of </w:t>
            </w:r>
            <w:r w:rsidRPr="000D208D">
              <w:rPr>
                <w:rFonts w:eastAsia="Calibri"/>
                <w:color w:val="000000"/>
                <w:sz w:val="22"/>
                <w:szCs w:val="22"/>
              </w:rPr>
              <w:t xml:space="preserve">pregnant women/moms </w:t>
            </w:r>
            <w:r>
              <w:rPr>
                <w:rFonts w:eastAsia="Calibri"/>
                <w:color w:val="000000"/>
                <w:sz w:val="22"/>
                <w:szCs w:val="22"/>
              </w:rPr>
              <w:t>and those with children up to 4 years of age (i.e., under 5)</w:t>
            </w:r>
          </w:p>
        </w:tc>
        <w:tc>
          <w:tcPr>
            <w:tcW w:w="4590" w:type="dxa"/>
          </w:tcPr>
          <w:p w:rsidR="00D259C9" w:rsidRPr="000D208D" w:rsidP="00D259C9" w14:paraId="5E13080D"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among </w:t>
            </w:r>
            <w:r>
              <w:rPr>
                <w:rFonts w:eastAsia="Calibri"/>
                <w:color w:val="000000"/>
                <w:sz w:val="22"/>
                <w:szCs w:val="22"/>
              </w:rPr>
              <w:t xml:space="preserve">a mix of </w:t>
            </w:r>
            <w:r w:rsidRPr="000D208D">
              <w:rPr>
                <w:rFonts w:eastAsia="Calibri"/>
                <w:color w:val="000000"/>
                <w:sz w:val="22"/>
                <w:szCs w:val="22"/>
              </w:rPr>
              <w:t xml:space="preserve">pregnant women/moms </w:t>
            </w:r>
            <w:r>
              <w:rPr>
                <w:rFonts w:eastAsia="Calibri"/>
                <w:color w:val="000000"/>
                <w:sz w:val="22"/>
                <w:szCs w:val="22"/>
              </w:rPr>
              <w:t>and those with children up to 4 years of age (i.e., under 5)</w:t>
            </w:r>
          </w:p>
        </w:tc>
      </w:tr>
      <w:tr w14:paraId="12FC136F" w14:textId="77777777" w:rsidTr="00AE686E">
        <w:tblPrEx>
          <w:tblW w:w="10435" w:type="dxa"/>
          <w:jc w:val="center"/>
          <w:tblLayout w:type="fixed"/>
          <w:tblLook w:val="04A0"/>
        </w:tblPrEx>
        <w:trPr>
          <w:trHeight w:val="1088"/>
          <w:jc w:val="center"/>
        </w:trPr>
        <w:tc>
          <w:tcPr>
            <w:tcW w:w="1975" w:type="dxa"/>
          </w:tcPr>
          <w:p w:rsidR="00D259C9" w:rsidP="00413CF2" w14:paraId="07FF17CF" w14:textId="77777777">
            <w:pPr>
              <w:rPr>
                <w:sz w:val="22"/>
                <w:szCs w:val="22"/>
              </w:rPr>
            </w:pPr>
            <w:r>
              <w:rPr>
                <w:sz w:val="22"/>
                <w:szCs w:val="22"/>
              </w:rPr>
              <w:t xml:space="preserve">Hispanic/Latina adults (2 </w:t>
            </w:r>
            <w:r>
              <w:rPr>
                <w:sz w:val="22"/>
                <w:szCs w:val="22"/>
              </w:rPr>
              <w:t>groups)</w:t>
            </w:r>
          </w:p>
        </w:tc>
        <w:tc>
          <w:tcPr>
            <w:tcW w:w="3870" w:type="dxa"/>
          </w:tcPr>
          <w:p w:rsidR="00D259C9" w:rsidRPr="000D208D" w:rsidP="008F700A" w14:paraId="60411F83"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among </w:t>
            </w:r>
            <w:r>
              <w:rPr>
                <w:rFonts w:eastAsia="Calibri"/>
                <w:color w:val="000000"/>
                <w:sz w:val="22"/>
                <w:szCs w:val="22"/>
              </w:rPr>
              <w:t xml:space="preserve">a mix of </w:t>
            </w:r>
            <w:r w:rsidRPr="000D208D">
              <w:rPr>
                <w:rFonts w:eastAsia="Calibri"/>
                <w:color w:val="000000"/>
                <w:sz w:val="22"/>
                <w:szCs w:val="22"/>
              </w:rPr>
              <w:t xml:space="preserve">pregnant women/moms </w:t>
            </w:r>
            <w:r>
              <w:rPr>
                <w:rFonts w:eastAsia="Calibri"/>
                <w:color w:val="000000"/>
                <w:sz w:val="22"/>
                <w:szCs w:val="22"/>
              </w:rPr>
              <w:t>and those with children up to 4 years of age (i.e., under 5) – English-preferring</w:t>
            </w:r>
          </w:p>
        </w:tc>
        <w:tc>
          <w:tcPr>
            <w:tcW w:w="4590" w:type="dxa"/>
          </w:tcPr>
          <w:p w:rsidR="00D259C9" w:rsidRPr="000D208D" w:rsidP="008F700A" w14:paraId="3D62D116"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among </w:t>
            </w:r>
            <w:r>
              <w:rPr>
                <w:rFonts w:eastAsia="Calibri"/>
                <w:color w:val="000000"/>
                <w:sz w:val="22"/>
                <w:szCs w:val="22"/>
              </w:rPr>
              <w:t xml:space="preserve">a mix of </w:t>
            </w:r>
            <w:r w:rsidRPr="000D208D">
              <w:rPr>
                <w:rFonts w:eastAsia="Calibri"/>
                <w:color w:val="000000"/>
                <w:sz w:val="22"/>
                <w:szCs w:val="22"/>
              </w:rPr>
              <w:t xml:space="preserve">pregnant women/moms </w:t>
            </w:r>
            <w:r>
              <w:rPr>
                <w:rFonts w:eastAsia="Calibri"/>
                <w:color w:val="000000"/>
                <w:sz w:val="22"/>
                <w:szCs w:val="22"/>
              </w:rPr>
              <w:t>and those with children up to 4 years of age (i.e., under 5) – Spanish-preferring</w:t>
            </w:r>
          </w:p>
        </w:tc>
      </w:tr>
      <w:tr w14:paraId="21CF3136" w14:textId="77777777" w:rsidTr="00AE686E">
        <w:tblPrEx>
          <w:tblW w:w="10435" w:type="dxa"/>
          <w:jc w:val="center"/>
          <w:tblLayout w:type="fixed"/>
          <w:tblLook w:val="04A0"/>
        </w:tblPrEx>
        <w:trPr>
          <w:trHeight w:val="782"/>
          <w:jc w:val="center"/>
        </w:trPr>
        <w:tc>
          <w:tcPr>
            <w:tcW w:w="1975" w:type="dxa"/>
          </w:tcPr>
          <w:p w:rsidR="008F700A" w:rsidRPr="000D208D" w:rsidP="00413CF2" w14:paraId="6B824604" w14:textId="77777777">
            <w:pPr>
              <w:rPr>
                <w:rFonts w:eastAsia="Calibri"/>
                <w:sz w:val="22"/>
                <w:szCs w:val="22"/>
              </w:rPr>
            </w:pPr>
            <w:r w:rsidRPr="000D208D">
              <w:rPr>
                <w:rFonts w:eastAsia="Calibri"/>
                <w:sz w:val="22"/>
                <w:szCs w:val="22"/>
              </w:rPr>
              <w:t>Rural, white adults</w:t>
            </w:r>
          </w:p>
          <w:p w:rsidR="008F700A" w:rsidRPr="000D208D" w:rsidP="00413CF2" w14:paraId="7FC4E63C" w14:textId="77777777">
            <w:pPr>
              <w:rPr>
                <w:rFonts w:eastAsia="Calibri"/>
                <w:sz w:val="22"/>
                <w:szCs w:val="22"/>
              </w:rPr>
            </w:pPr>
            <w:r w:rsidRPr="000D208D">
              <w:rPr>
                <w:rFonts w:eastAsia="Calibri"/>
                <w:sz w:val="22"/>
                <w:szCs w:val="22"/>
              </w:rPr>
              <w:t>(</w:t>
            </w:r>
            <w:r w:rsidR="00D259C9">
              <w:rPr>
                <w:rFonts w:eastAsia="Calibri"/>
                <w:sz w:val="22"/>
                <w:szCs w:val="22"/>
              </w:rPr>
              <w:t>1</w:t>
            </w:r>
            <w:r w:rsidRPr="000D208D">
              <w:rPr>
                <w:rFonts w:eastAsia="Calibri"/>
                <w:sz w:val="22"/>
                <w:szCs w:val="22"/>
              </w:rPr>
              <w:t xml:space="preserve"> groups)</w:t>
            </w:r>
          </w:p>
        </w:tc>
        <w:tc>
          <w:tcPr>
            <w:tcW w:w="3870" w:type="dxa"/>
          </w:tcPr>
          <w:p w:rsidR="008F700A" w:rsidRPr="000D208D" w:rsidP="00D259C9" w14:paraId="3FC18375" w14:textId="77777777">
            <w:pPr>
              <w:pBdr>
                <w:top w:val="nil"/>
                <w:left w:val="nil"/>
                <w:bottom w:val="nil"/>
                <w:right w:val="nil"/>
                <w:between w:val="nil"/>
              </w:pBdr>
              <w:ind w:left="288"/>
              <w:rPr>
                <w:rFonts w:eastAsia="Calibri"/>
                <w:color w:val="000000"/>
                <w:sz w:val="22"/>
                <w:szCs w:val="22"/>
              </w:rPr>
            </w:pPr>
          </w:p>
        </w:tc>
        <w:tc>
          <w:tcPr>
            <w:tcW w:w="4590" w:type="dxa"/>
          </w:tcPr>
          <w:p w:rsidR="008F700A" w:rsidRPr="000D208D" w:rsidP="008F700A" w14:paraId="7DDCFC7D" w14:textId="7777777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among </w:t>
            </w:r>
            <w:r>
              <w:rPr>
                <w:rFonts w:eastAsia="Calibri"/>
                <w:color w:val="000000"/>
                <w:sz w:val="22"/>
                <w:szCs w:val="22"/>
              </w:rPr>
              <w:t xml:space="preserve">a mix of </w:t>
            </w:r>
            <w:r w:rsidRPr="000D208D">
              <w:rPr>
                <w:rFonts w:eastAsia="Calibri"/>
                <w:color w:val="000000"/>
                <w:sz w:val="22"/>
                <w:szCs w:val="22"/>
              </w:rPr>
              <w:t xml:space="preserve">pregnant women/moms </w:t>
            </w:r>
            <w:r>
              <w:rPr>
                <w:rFonts w:eastAsia="Calibri"/>
                <w:color w:val="000000"/>
                <w:sz w:val="22"/>
                <w:szCs w:val="22"/>
              </w:rPr>
              <w:t>and those with children up to 4 years of age (i.e., under 5)</w:t>
            </w:r>
          </w:p>
        </w:tc>
      </w:tr>
    </w:tbl>
    <w:p w:rsidR="00434E33" w14:paraId="249FAA61" w14:textId="77777777"/>
    <w:p w:rsidR="00D5532A" w:rsidRPr="000D208D" w:rsidP="00D5532A" w14:paraId="1C5802D6" w14:textId="77777777">
      <w:pPr>
        <w:rPr>
          <w:u w:val="single"/>
        </w:rPr>
      </w:pPr>
      <w:r w:rsidRPr="000D208D">
        <w:rPr>
          <w:u w:val="single"/>
        </w:rPr>
        <w:t>Recruitment</w:t>
      </w:r>
    </w:p>
    <w:p w:rsidR="00D5532A" w:rsidP="00D5532A" w14:paraId="77719D09" w14:textId="77777777">
      <w:r w:rsidRPr="000D208D">
        <w:t>Individuals will be identified for potential participation utilizing a screener document (</w:t>
      </w:r>
      <w:r w:rsidRPr="003D5E82">
        <w:t xml:space="preserve">Attachments A-1, </w:t>
      </w:r>
      <w:r w:rsidRPr="003D5E82" w:rsidR="003D5E82">
        <w:t xml:space="preserve">A-2, A-3, </w:t>
      </w:r>
      <w:r w:rsidR="003D5E82">
        <w:t xml:space="preserve">and </w:t>
      </w:r>
      <w:r w:rsidRPr="003D5E82" w:rsidR="003D5E82">
        <w:t>A-4</w:t>
      </w:r>
      <w:r w:rsidRPr="000D208D">
        <w:t>) to identify the demographics</w:t>
      </w:r>
      <w:r w:rsidR="00D11701">
        <w:t xml:space="preserve"> and other key criteria</w:t>
      </w:r>
      <w:r w:rsidRPr="000D208D">
        <w:t xml:space="preserve"> of the potential </w:t>
      </w:r>
      <w:r w:rsidR="00915677">
        <w:t xml:space="preserve">research </w:t>
      </w:r>
      <w:r w:rsidRPr="000D208D">
        <w:t xml:space="preserve">participants.  Professional recruiters will be used to identify potential </w:t>
      </w:r>
      <w:r w:rsidR="00915677">
        <w:t xml:space="preserve">research </w:t>
      </w:r>
      <w:r w:rsidRPr="000D208D">
        <w:t>participants using a database and will then follow up with the screen</w:t>
      </w:r>
      <w:r w:rsidR="00D11701">
        <w:t>er</w:t>
      </w:r>
      <w:r w:rsidRPr="000D208D">
        <w:t xml:space="preserve"> online</w:t>
      </w:r>
      <w:r w:rsidR="005731B4">
        <w:t xml:space="preserve"> and </w:t>
      </w:r>
      <w:r w:rsidRPr="000D208D" w:rsidR="005731B4">
        <w:t>a short recruitment phone call</w:t>
      </w:r>
      <w:r w:rsidRPr="000D208D">
        <w:t xml:space="preserve">.  The use of the database does not impose additional burden on the respondents.  </w:t>
      </w:r>
    </w:p>
    <w:p w:rsidR="00D259C9" w:rsidP="00D5532A" w14:paraId="5CA2658B" w14:textId="77777777"/>
    <w:p w:rsidR="00D5532A" w:rsidRPr="000D208D" w:rsidP="00D5532A" w14:paraId="5D1E6853" w14:textId="77777777">
      <w:pPr>
        <w:rPr>
          <w:u w:val="single"/>
        </w:rPr>
      </w:pPr>
      <w:r w:rsidRPr="000D208D">
        <w:rPr>
          <w:u w:val="single"/>
        </w:rPr>
        <w:t>Confirmation</w:t>
      </w:r>
    </w:p>
    <w:p w:rsidR="00D5532A" w:rsidRPr="000D208D" w:rsidP="00D5532A" w14:paraId="72952864" w14:textId="77777777">
      <w:r>
        <w:t xml:space="preserve">After completing the screener, </w:t>
      </w:r>
      <w:r w:rsidR="00915677">
        <w:t xml:space="preserve">research </w:t>
      </w:r>
      <w:r>
        <w:t xml:space="preserve">participants who qualify will be sent a focus group confirmation form (Attachments </w:t>
      </w:r>
      <w:r w:rsidR="003D5E82">
        <w:t>B-1 and B-2</w:t>
      </w:r>
      <w:r>
        <w:t xml:space="preserve">) that outlines the purpose of the research, the fact that it is voluntary research, </w:t>
      </w:r>
      <w:r w:rsidR="4B18892E">
        <w:t>P</w:t>
      </w:r>
      <w:r>
        <w:t xml:space="preserve">rivacy </w:t>
      </w:r>
      <w:r w:rsidR="0A4B7230">
        <w:t>A</w:t>
      </w:r>
      <w:r>
        <w:t>ct information, a public burden statement, the date and time of the virtual focus group, incentive information, and log-in instructions.</w:t>
      </w:r>
    </w:p>
    <w:p w:rsidR="00E26329" w14:paraId="5F3B8846" w14:textId="77777777">
      <w:pPr>
        <w:rPr>
          <w:b/>
        </w:rPr>
      </w:pPr>
    </w:p>
    <w:p w:rsidR="00D11701" w14:paraId="09E7E0B1" w14:textId="77777777">
      <w:pPr>
        <w:rPr>
          <w:b/>
        </w:rPr>
      </w:pPr>
    </w:p>
    <w:p w:rsidR="00AE686E" w14:paraId="1FA39210" w14:textId="77777777">
      <w:pPr>
        <w:rPr>
          <w:b/>
        </w:rPr>
      </w:pPr>
      <w:r>
        <w:rPr>
          <w:b/>
        </w:rPr>
        <w:br w:type="page"/>
      </w:r>
    </w:p>
    <w:p w:rsidR="00F06866" w:rsidRPr="00F06866" w14:paraId="61272649" w14:textId="77777777">
      <w:pPr>
        <w:rPr>
          <w:b/>
        </w:rPr>
      </w:pPr>
      <w:r>
        <w:rPr>
          <w:b/>
        </w:rPr>
        <w:t>TYPE OF COLLECTION:</w:t>
      </w:r>
      <w:r w:rsidRPr="00F06866">
        <w:t xml:space="preserve"> (Check one)</w:t>
      </w:r>
    </w:p>
    <w:p w:rsidR="00441434" w:rsidRPr="00434E33" w:rsidP="0096108F" w14:paraId="35F49A62" w14:textId="77777777">
      <w:pPr>
        <w:pStyle w:val="BodyTextIndent"/>
        <w:tabs>
          <w:tab w:val="left" w:pos="360"/>
        </w:tabs>
        <w:ind w:left="0"/>
        <w:rPr>
          <w:bCs/>
          <w:sz w:val="16"/>
          <w:szCs w:val="16"/>
        </w:rPr>
      </w:pPr>
    </w:p>
    <w:p w:rsidR="00F06866" w:rsidRPr="00F06866" w:rsidP="0096108F" w14:paraId="03D36F9B"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r w:rsidRPr="00F06866" w:rsidR="00CA2650">
        <w:rPr>
          <w:bCs/>
          <w:sz w:val="24"/>
        </w:rPr>
        <w:t xml:space="preserve">  </w:t>
      </w:r>
      <w:r w:rsidRPr="00F06866">
        <w:rPr>
          <w:bCs/>
          <w:sz w:val="24"/>
        </w:rPr>
        <w:t xml:space="preserve"> </w:t>
      </w:r>
    </w:p>
    <w:p w:rsidR="0096108F" w:rsidP="0096108F" w14:paraId="616D442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37DC8ADF" w14:textId="77777777">
      <w:pPr>
        <w:pStyle w:val="BodyTextIndent"/>
        <w:tabs>
          <w:tab w:val="left" w:pos="360"/>
        </w:tabs>
        <w:ind w:left="0"/>
        <w:rPr>
          <w:bCs/>
          <w:sz w:val="24"/>
        </w:rPr>
      </w:pPr>
      <w:r>
        <w:rPr>
          <w:bCs/>
          <w:sz w:val="24"/>
        </w:rPr>
        <w:t>[</w:t>
      </w:r>
      <w:r w:rsidR="0019291A">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22C86CC6" w14:textId="77777777">
      <w:pPr>
        <w:pStyle w:val="Header"/>
        <w:tabs>
          <w:tab w:val="clear" w:pos="4320"/>
          <w:tab w:val="clear" w:pos="8640"/>
        </w:tabs>
      </w:pPr>
      <w:r>
        <w:t xml:space="preserve">[ ] </w:t>
      </w:r>
      <w:r w:rsidRPr="00010FE5">
        <w:t>Quick census or surveys</w:t>
      </w:r>
    </w:p>
    <w:p w:rsidR="00010FE5" w14:paraId="7E01A0A6" w14:textId="77777777">
      <w:pPr>
        <w:pStyle w:val="Header"/>
        <w:tabs>
          <w:tab w:val="clear" w:pos="4320"/>
          <w:tab w:val="clear" w:pos="8640"/>
        </w:tabs>
      </w:pPr>
    </w:p>
    <w:p w:rsidR="00010FE5" w14:paraId="1F7CED67" w14:textId="77777777">
      <w:pPr>
        <w:pStyle w:val="Header"/>
        <w:tabs>
          <w:tab w:val="clear" w:pos="4320"/>
          <w:tab w:val="clear" w:pos="8640"/>
        </w:tabs>
      </w:pPr>
    </w:p>
    <w:p w:rsidR="00CA2650" w14:paraId="16AC4DE1" w14:textId="77777777">
      <w:pPr>
        <w:rPr>
          <w:b/>
        </w:rPr>
      </w:pPr>
      <w:r>
        <w:rPr>
          <w:b/>
        </w:rPr>
        <w:t>C</w:t>
      </w:r>
      <w:r w:rsidR="009C13B9">
        <w:rPr>
          <w:b/>
        </w:rPr>
        <w:t>ERTIFICATION:</w:t>
      </w:r>
    </w:p>
    <w:p w:rsidR="00441434" w14:paraId="6B3472D3" w14:textId="77777777">
      <w:pPr>
        <w:rPr>
          <w:sz w:val="16"/>
          <w:szCs w:val="16"/>
        </w:rPr>
      </w:pPr>
    </w:p>
    <w:p w:rsidR="008101A5" w:rsidRPr="009C13B9" w:rsidP="008101A5" w14:paraId="5625EA6F" w14:textId="77777777">
      <w:r>
        <w:t xml:space="preserve">I certify the following to be true: </w:t>
      </w:r>
    </w:p>
    <w:p w:rsidR="008101A5" w:rsidP="008101A5" w14:paraId="079F7FD1" w14:textId="77777777">
      <w:pPr>
        <w:pStyle w:val="ListParagraph"/>
        <w:numPr>
          <w:ilvl w:val="0"/>
          <w:numId w:val="14"/>
        </w:numPr>
      </w:pPr>
      <w:r>
        <w:t>The collection is voluntary.</w:t>
      </w:r>
      <w:r w:rsidRPr="00C14CC4">
        <w:t xml:space="preserve"> </w:t>
      </w:r>
    </w:p>
    <w:p w:rsidR="008101A5" w:rsidP="008101A5" w14:paraId="0CF7201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F96B77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40866E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15FB74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3006199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50FD186" w14:textId="77777777"/>
    <w:p w:rsidR="009C13B9" w:rsidP="009C13B9" w14:paraId="7AE5F990" w14:textId="77777777">
      <w:r>
        <w:t>Name:___________________</w:t>
      </w:r>
      <w:r w:rsidR="00426D81">
        <w:t>Lisa Southworth</w:t>
      </w:r>
      <w:r>
        <w:t>_____________________________</w:t>
      </w:r>
    </w:p>
    <w:p w:rsidR="009C13B9" w:rsidP="009C13B9" w14:paraId="63A3FB20" w14:textId="77777777">
      <w:pPr>
        <w:pStyle w:val="ListParagraph"/>
        <w:ind w:left="360"/>
      </w:pPr>
    </w:p>
    <w:p w:rsidR="009C13B9" w:rsidP="009C13B9" w14:paraId="24E5F788" w14:textId="77777777">
      <w:r>
        <w:t>To assist review, please provide answers to the following question:</w:t>
      </w:r>
    </w:p>
    <w:p w:rsidR="009C13B9" w:rsidP="009C13B9" w14:paraId="2555EE61" w14:textId="77777777">
      <w:pPr>
        <w:pStyle w:val="ListParagraph"/>
        <w:ind w:left="360"/>
      </w:pPr>
    </w:p>
    <w:p w:rsidR="009C13B9" w:rsidRPr="00C86E91" w:rsidP="00C86E91" w14:paraId="6CA6CE23" w14:textId="77777777">
      <w:pPr>
        <w:rPr>
          <w:b/>
        </w:rPr>
      </w:pPr>
      <w:r w:rsidRPr="00C86E91">
        <w:rPr>
          <w:b/>
        </w:rPr>
        <w:t>Personally Identifiable Information:</w:t>
      </w:r>
    </w:p>
    <w:p w:rsidR="00C86E91" w:rsidP="00C86E91" w14:paraId="563EF8D1" w14:textId="77777777">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Yes  [ ]  No </w:t>
      </w:r>
    </w:p>
    <w:p w:rsidR="00C86E91" w:rsidP="00C86E91" w14:paraId="48DC5D8A"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8F700A">
        <w:t>X</w:t>
      </w:r>
      <w:r w:rsidR="009239AA">
        <w:t>] No</w:t>
      </w:r>
      <w:r>
        <w:t xml:space="preserve">   </w:t>
      </w:r>
    </w:p>
    <w:p w:rsidR="00C86E91" w:rsidP="00C86E91" w14:paraId="48FD5B63"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3AA7C027" w14:textId="77777777">
      <w:pPr>
        <w:pStyle w:val="ListParagraph"/>
        <w:ind w:left="0"/>
        <w:rPr>
          <w:b/>
        </w:rPr>
      </w:pPr>
    </w:p>
    <w:p w:rsidR="00B35113" w:rsidP="00B35113" w14:paraId="5083742E" w14:textId="77777777">
      <w:pPr>
        <w:pStyle w:val="ListParagraph"/>
        <w:ind w:left="0"/>
        <w:rPr>
          <w:b/>
        </w:rPr>
      </w:pPr>
      <w:r>
        <w:rPr>
          <w:b/>
        </w:rPr>
        <w:t>Sensitive Information:</w:t>
      </w:r>
    </w:p>
    <w:p w:rsidR="00B35113" w:rsidP="00187BA6" w14:paraId="5E0CE4A5" w14:textId="77777777">
      <w:pPr>
        <w:pStyle w:val="ListParagraph"/>
        <w:numPr>
          <w:ilvl w:val="0"/>
          <w:numId w:val="19"/>
        </w:numPr>
      </w:pPr>
      <w:r>
        <w:t xml:space="preserve">Will sensitive information, such as </w:t>
      </w:r>
      <w:r>
        <w:t>demographic characteristics, be collected from respondents?</w:t>
      </w:r>
    </w:p>
    <w:p w:rsidR="00187BA6" w:rsidP="00187BA6" w14:paraId="2FAC8946" w14:textId="77777777">
      <w:pPr>
        <w:pStyle w:val="ListParagraph"/>
        <w:ind w:left="0" w:firstLine="360"/>
      </w:pPr>
      <w:r>
        <w:t>[</w:t>
      </w:r>
      <w:r w:rsidR="008F700A">
        <w:t>X</w:t>
      </w:r>
      <w:r>
        <w:t>] Yes  [  ] No</w:t>
      </w:r>
    </w:p>
    <w:p w:rsidR="00187BA6" w:rsidP="00B35113" w14:paraId="091B1B86" w14:textId="77777777">
      <w:pPr>
        <w:pStyle w:val="ListParagraph"/>
        <w:ind w:left="0"/>
      </w:pPr>
    </w:p>
    <w:p w:rsidR="00B35113" w:rsidP="00B35113" w14:paraId="6FFB9607" w14:textId="77777777">
      <w:pPr>
        <w:pStyle w:val="ListParagraph"/>
        <w:ind w:left="0"/>
      </w:pPr>
    </w:p>
    <w:p w:rsidR="00B35113" w:rsidRPr="00C86E91" w:rsidP="00187BA6" w14:paraId="21B78D25" w14:textId="77777777">
      <w:pPr>
        <w:pStyle w:val="ListParagraph"/>
        <w:numPr>
          <w:ilvl w:val="0"/>
          <w:numId w:val="19"/>
        </w:numPr>
        <w:rPr>
          <w:b/>
        </w:rPr>
      </w:pPr>
      <w:r>
        <w:t>If yes, explain the necessity of such information to the programmatic objective(s)?</w:t>
      </w:r>
    </w:p>
    <w:p w:rsidR="00B35113" w:rsidP="00C86E91" w14:paraId="19AE8EFF" w14:textId="77777777">
      <w:pPr>
        <w:pStyle w:val="ListParagraph"/>
        <w:ind w:left="0"/>
        <w:rPr>
          <w:b/>
        </w:rPr>
      </w:pPr>
    </w:p>
    <w:p w:rsidR="00187BA6" w:rsidRPr="001F6D73" w:rsidP="00C86E91" w14:paraId="58B09C36" w14:textId="77777777">
      <w:pPr>
        <w:pStyle w:val="ListParagraph"/>
        <w:ind w:left="0"/>
        <w:rPr>
          <w:bCs/>
        </w:rPr>
      </w:pPr>
      <w:r w:rsidRPr="001A5BDF">
        <w:t>Individuals will be identified for potential participation utilizing a screener document (</w:t>
      </w:r>
      <w:r w:rsidRPr="003D5E82" w:rsidR="003D5E82">
        <w:t xml:space="preserve">Attachments A-1, A-2, A-3, </w:t>
      </w:r>
      <w:r w:rsidR="003D5E82">
        <w:t xml:space="preserve">and </w:t>
      </w:r>
      <w:r w:rsidRPr="003D5E82" w:rsidR="003D5E82">
        <w:t>A-4</w:t>
      </w:r>
      <w:r w:rsidRPr="001A5BDF">
        <w:t>) to identify the demographics of the potential</w:t>
      </w:r>
      <w:r w:rsidR="00CA2BD3">
        <w:t xml:space="preserve"> research</w:t>
      </w:r>
      <w:r w:rsidRPr="001A5BDF">
        <w:t xml:space="preserve"> participants</w:t>
      </w:r>
      <w:r>
        <w:t xml:space="preserve">. </w:t>
      </w:r>
      <w:r w:rsidR="00B73147">
        <w:t xml:space="preserve"> </w:t>
      </w:r>
      <w:r w:rsidRPr="001F6D73">
        <w:rPr>
          <w:bCs/>
        </w:rPr>
        <w:t xml:space="preserve">Demographic information allows the research to ensure that </w:t>
      </w:r>
      <w:r w:rsidR="00D11701">
        <w:rPr>
          <w:bCs/>
        </w:rPr>
        <w:t xml:space="preserve">it </w:t>
      </w:r>
      <w:r w:rsidRPr="001F6D73">
        <w:rPr>
          <w:bCs/>
        </w:rPr>
        <w:t xml:space="preserve">is reflective of the wide range of </w:t>
      </w:r>
      <w:r>
        <w:rPr>
          <w:bCs/>
        </w:rPr>
        <w:t xml:space="preserve">WIC </w:t>
      </w:r>
      <w:r w:rsidRPr="001F6D73">
        <w:rPr>
          <w:bCs/>
        </w:rPr>
        <w:t>participants</w:t>
      </w:r>
      <w:r w:rsidR="00915677">
        <w:rPr>
          <w:bCs/>
        </w:rPr>
        <w:t xml:space="preserve">/clients </w:t>
      </w:r>
      <w:r w:rsidR="00D11701">
        <w:rPr>
          <w:bCs/>
        </w:rPr>
        <w:t>and WIC-eligible individuals</w:t>
      </w:r>
      <w:r w:rsidR="00915677">
        <w:rPr>
          <w:bCs/>
        </w:rPr>
        <w:t>/potential clients</w:t>
      </w:r>
      <w:r>
        <w:rPr>
          <w:bCs/>
        </w:rPr>
        <w:t>.</w:t>
      </w:r>
      <w:r w:rsidRPr="001F6D73">
        <w:rPr>
          <w:bCs/>
        </w:rPr>
        <w:t xml:space="preserve"> </w:t>
      </w:r>
      <w:r w:rsidR="00D11701">
        <w:rPr>
          <w:bCs/>
        </w:rPr>
        <w:t xml:space="preserve">That being said, the demographic information is </w:t>
      </w:r>
      <w:r w:rsidRPr="001F6D73">
        <w:rPr>
          <w:bCs/>
        </w:rPr>
        <w:t xml:space="preserve">not calculated </w:t>
      </w:r>
      <w:r w:rsidR="00D11701">
        <w:rPr>
          <w:bCs/>
        </w:rPr>
        <w:t>n</w:t>
      </w:r>
      <w:r w:rsidRPr="001F6D73">
        <w:rPr>
          <w:bCs/>
        </w:rPr>
        <w:t>or held as a quota</w:t>
      </w:r>
      <w:r w:rsidR="00D11701">
        <w:rPr>
          <w:bCs/>
        </w:rPr>
        <w:t xml:space="preserve"> for participation</w:t>
      </w:r>
      <w:r w:rsidRPr="001F6D73">
        <w:rPr>
          <w:bCs/>
        </w:rPr>
        <w:t>.</w:t>
      </w:r>
    </w:p>
    <w:p w:rsidR="00187BA6" w:rsidP="00C86E91" w14:paraId="0A6599B7" w14:textId="77777777">
      <w:pPr>
        <w:pStyle w:val="ListParagraph"/>
        <w:ind w:left="0"/>
        <w:rPr>
          <w:b/>
        </w:rPr>
      </w:pPr>
    </w:p>
    <w:p w:rsidR="00246965" w:rsidP="00C86E91" w14:paraId="76C6A9A4" w14:textId="77777777">
      <w:pPr>
        <w:pStyle w:val="ListParagraph"/>
        <w:ind w:left="0"/>
        <w:rPr>
          <w:bCs/>
        </w:rPr>
      </w:pPr>
      <w:r>
        <w:rPr>
          <w:bCs/>
        </w:rPr>
        <w:t xml:space="preserve">In addition, PII </w:t>
      </w:r>
      <w:r w:rsidR="00072F4F">
        <w:rPr>
          <w:bCs/>
        </w:rPr>
        <w:t xml:space="preserve">(respondents’ contact information) </w:t>
      </w:r>
      <w:r>
        <w:rPr>
          <w:bCs/>
        </w:rPr>
        <w:t xml:space="preserve">will only be obtained by the recruiters in order to schedule the focus group discussions and contact </w:t>
      </w:r>
      <w:r w:rsidR="00CA2BD3">
        <w:rPr>
          <w:bCs/>
        </w:rPr>
        <w:t xml:space="preserve">research </w:t>
      </w:r>
      <w:r>
        <w:rPr>
          <w:bCs/>
        </w:rPr>
        <w:t xml:space="preserve">participants to conduct technology checks and remind them of the research session. This information will not be shared with the government nor the research team conducting the data </w:t>
      </w:r>
      <w:r w:rsidR="00072F4F">
        <w:rPr>
          <w:bCs/>
        </w:rPr>
        <w:t xml:space="preserve">collection and </w:t>
      </w:r>
      <w:r>
        <w:rPr>
          <w:bCs/>
        </w:rPr>
        <w:t>analysis.</w:t>
      </w:r>
      <w:r w:rsidR="0046337D">
        <w:rPr>
          <w:bCs/>
        </w:rPr>
        <w:t xml:space="preserve">  Finally, </w:t>
      </w:r>
      <w:r w:rsidR="0046337D">
        <w:rPr>
          <w:bCs/>
        </w:rPr>
        <w:t xml:space="preserve">all respondent information will be anonymous and confidential, and </w:t>
      </w:r>
      <w:r w:rsidRPr="0046337D" w:rsidR="0046337D">
        <w:rPr>
          <w:bCs/>
          <w:u w:val="single"/>
        </w:rPr>
        <w:t>no</w:t>
      </w:r>
      <w:r w:rsidR="0046337D">
        <w:rPr>
          <w:bCs/>
        </w:rPr>
        <w:t xml:space="preserve"> PII will be recorded or included in reporting.</w:t>
      </w:r>
    </w:p>
    <w:p w:rsidR="0024580A" w:rsidP="00C86E91" w14:paraId="3E66E034" w14:textId="77777777">
      <w:pPr>
        <w:pStyle w:val="ListParagraph"/>
        <w:ind w:left="0"/>
        <w:rPr>
          <w:bCs/>
        </w:rPr>
      </w:pPr>
    </w:p>
    <w:p w:rsidR="0024580A" w:rsidRPr="0079178E" w:rsidP="00C86E91" w14:paraId="0BB40CD3" w14:textId="77777777">
      <w:pPr>
        <w:pStyle w:val="ListParagraph"/>
        <w:ind w:left="0"/>
        <w:rPr>
          <w:bCs/>
        </w:rPr>
      </w:pPr>
      <w:r>
        <w:rPr>
          <w:bCs/>
        </w:rPr>
        <w:t xml:space="preserve">This project does not meet </w:t>
      </w:r>
      <w:r w:rsidR="0079178E">
        <w:rPr>
          <w:bCs/>
        </w:rPr>
        <w:t xml:space="preserve">the regulatory definition of research as </w:t>
      </w:r>
      <w:r w:rsidR="0079178E">
        <w:t xml:space="preserve">defined </w:t>
      </w:r>
      <w:r w:rsidRPr="0079178E" w:rsidR="0079178E">
        <w:rPr>
          <w:bCs/>
        </w:rPr>
        <w:t>under the Department of Health and Human Services Code of Federal Regulations [45 CFR part 46.102(d)(f)]</w:t>
      </w:r>
      <w:r w:rsidR="0059153D">
        <w:rPr>
          <w:bCs/>
        </w:rPr>
        <w:t xml:space="preserve">. </w:t>
      </w:r>
      <w:r w:rsidRPr="0059153D" w:rsidR="0059153D">
        <w:rPr>
          <w:bCs/>
        </w:rPr>
        <w:t>Given th</w:t>
      </w:r>
      <w:r w:rsidR="0059153D">
        <w:rPr>
          <w:bCs/>
        </w:rPr>
        <w:t>e</w:t>
      </w:r>
      <w:r w:rsidRPr="0059153D" w:rsidR="0059153D">
        <w:rPr>
          <w:bCs/>
        </w:rPr>
        <w:t xml:space="preserve"> determination, further </w:t>
      </w:r>
      <w:r w:rsidR="0059153D">
        <w:rPr>
          <w:bCs/>
        </w:rPr>
        <w:t xml:space="preserve">IRB </w:t>
      </w:r>
      <w:r w:rsidRPr="0059153D" w:rsidR="0059153D">
        <w:rPr>
          <w:bCs/>
        </w:rPr>
        <w:t>review and approval of this project is not required</w:t>
      </w:r>
      <w:r w:rsidR="0079178E">
        <w:rPr>
          <w:bCs/>
        </w:rPr>
        <w:t xml:space="preserve"> (Attachment E-1).</w:t>
      </w:r>
    </w:p>
    <w:p w:rsidR="00187BA6" w:rsidP="00C86E91" w14:paraId="155CBDA4" w14:textId="77777777">
      <w:pPr>
        <w:pStyle w:val="ListParagraph"/>
        <w:ind w:left="0"/>
        <w:rPr>
          <w:b/>
        </w:rPr>
      </w:pPr>
      <w:r>
        <w:rPr>
          <w:b/>
        </w:rPr>
        <w:t xml:space="preserve"> </w:t>
      </w:r>
    </w:p>
    <w:p w:rsidR="00C86E91" w:rsidRPr="00C86E91" w:rsidP="00C86E91" w14:paraId="21E3FEE4" w14:textId="77777777">
      <w:pPr>
        <w:pStyle w:val="ListParagraph"/>
        <w:ind w:left="0"/>
        <w:rPr>
          <w:b/>
        </w:rPr>
      </w:pPr>
      <w:r>
        <w:rPr>
          <w:b/>
        </w:rPr>
        <w:t>Gifts or Payments:</w:t>
      </w:r>
    </w:p>
    <w:p w:rsidR="00C86E91" w:rsidP="00C86E91" w14:paraId="42B64127" w14:textId="77777777">
      <w:r>
        <w:t xml:space="preserve">Is an incentive (e.g., money or reimbursement of expenses, token of appreciation) provided to </w:t>
      </w:r>
      <w:r w:rsidR="00CA2BD3">
        <w:t xml:space="preserve">research </w:t>
      </w:r>
      <w:r>
        <w:t>participants?  [</w:t>
      </w:r>
      <w:r w:rsidR="008F700A">
        <w:t>X</w:t>
      </w:r>
      <w:r>
        <w:t xml:space="preserve">] Yes [  ] No  </w:t>
      </w:r>
    </w:p>
    <w:p w:rsidR="00D5532A" w14:paraId="64EE4437" w14:textId="77777777">
      <w:pPr>
        <w:rPr>
          <w:b/>
        </w:rPr>
      </w:pPr>
    </w:p>
    <w:p w:rsidR="00D5532A" w:rsidRPr="000D208D" w:rsidP="00D5532A" w14:paraId="23BBE406" w14:textId="77777777">
      <w:r w:rsidRPr="000D208D">
        <w:t xml:space="preserve">FNS will provide an </w:t>
      </w:r>
      <w:r w:rsidRPr="0021266C">
        <w:t>incentive of a $</w:t>
      </w:r>
      <w:r w:rsidRPr="0021266C" w:rsidR="00773D15">
        <w:t xml:space="preserve">75 </w:t>
      </w:r>
      <w:r w:rsidRPr="0021266C">
        <w:t>gift card for</w:t>
      </w:r>
      <w:r w:rsidRPr="000D208D">
        <w:t xml:space="preserve"> participating in the focus groups.  </w:t>
      </w:r>
      <w:r w:rsidR="0046337D">
        <w:rPr>
          <w:bCs/>
        </w:rPr>
        <w:t xml:space="preserve">This is the incentive level we have utilized for previous OMB-approved qualitative research for FNS and </w:t>
      </w:r>
      <w:r w:rsidR="00390087">
        <w:rPr>
          <w:bCs/>
        </w:rPr>
        <w:t>USDA’s Center for Nutrition Policy and Promotion (</w:t>
      </w:r>
      <w:r w:rsidR="0046337D">
        <w:rPr>
          <w:bCs/>
        </w:rPr>
        <w:t>CNPP</w:t>
      </w:r>
      <w:r w:rsidR="00390087">
        <w:rPr>
          <w:bCs/>
        </w:rPr>
        <w:t>)</w:t>
      </w:r>
      <w:r w:rsidR="0046337D">
        <w:rPr>
          <w:bCs/>
        </w:rPr>
        <w:t xml:space="preserve"> efforts</w:t>
      </w:r>
      <w:r w:rsidR="00D259C9">
        <w:rPr>
          <w:bCs/>
        </w:rPr>
        <w:t xml:space="preserve">, including the </w:t>
      </w:r>
      <w:r w:rsidR="00052BC6">
        <w:rPr>
          <w:bCs/>
        </w:rPr>
        <w:t xml:space="preserve">WIC </w:t>
      </w:r>
      <w:r w:rsidR="00D259C9">
        <w:rPr>
          <w:bCs/>
        </w:rPr>
        <w:t xml:space="preserve">formative focus group research conducted </w:t>
      </w:r>
      <w:r w:rsidR="00897148">
        <w:rPr>
          <w:bCs/>
        </w:rPr>
        <w:t xml:space="preserve">last </w:t>
      </w:r>
      <w:r w:rsidR="00D259C9">
        <w:rPr>
          <w:bCs/>
        </w:rPr>
        <w:t>year</w:t>
      </w:r>
      <w:r w:rsidR="0046337D">
        <w:rPr>
          <w:bCs/>
        </w:rPr>
        <w:t xml:space="preserve">.  </w:t>
      </w:r>
      <w:r w:rsidRPr="000D208D">
        <w:t>Incentives have been considered a standard practice in conducting qualitative research (see, for instance, the CDC General Guidelines for Focus Groups), helping to maximize participation, manage recruitm</w:t>
      </w:r>
      <w:r w:rsidRPr="000D208D">
        <w:t xml:space="preserve">ent hours, and reduce no-show rates. </w:t>
      </w:r>
      <w:r w:rsidR="00B73147">
        <w:t xml:space="preserve"> </w:t>
      </w:r>
      <w:r w:rsidRPr="000D208D">
        <w:t>For 2-hour focus groups (including 30 minutes for logging into the virtual, online platform), the incentive can be used to offset any child-care cost for harder-to-reach groups</w:t>
      </w:r>
      <w:r w:rsidR="00773D15">
        <w:t>, even for groups that are conducted virtually.  In these sessions, recruiters ask potential</w:t>
      </w:r>
      <w:r w:rsidR="00CA2BD3">
        <w:t xml:space="preserve"> research</w:t>
      </w:r>
      <w:r w:rsidR="00773D15">
        <w:t xml:space="preserve"> participants to ensure they can participate in the discussions uninterrupted</w:t>
      </w:r>
      <w:r w:rsidRPr="000D208D">
        <w:t xml:space="preserve">.  Additionally, as </w:t>
      </w:r>
      <w:r w:rsidR="00CA2BD3">
        <w:t xml:space="preserve">research </w:t>
      </w:r>
      <w:r w:rsidRPr="000D208D">
        <w:t>participants will use either smartphones, tablets, or laptops to log in and participate in the focus groups, the incentive can be used to offset any expenses incurred by using these devices.  Finally, incentives are more likely to secure the participation of individuals meeting the screening requirements</w:t>
      </w:r>
      <w:r w:rsidR="00773D15">
        <w:t>, especially given the more complex nature of this recruit</w:t>
      </w:r>
      <w:r w:rsidR="00072F4F">
        <w:t xml:space="preserve">.  </w:t>
      </w:r>
    </w:p>
    <w:p w:rsidR="00D5532A" w14:paraId="7A277F2F" w14:textId="77777777">
      <w:pPr>
        <w:rPr>
          <w:b/>
        </w:rPr>
      </w:pPr>
    </w:p>
    <w:p w:rsidR="00773D15" w:rsidRPr="00773D15" w14:paraId="58473971" w14:textId="77777777">
      <w:r w:rsidRPr="00773D15">
        <w:t xml:space="preserve">More specifically, </w:t>
      </w:r>
    </w:p>
    <w:p w:rsidR="00773D15" w:rsidP="00773D15" w14:paraId="3F737832" w14:textId="77777777">
      <w:pPr>
        <w:pStyle w:val="ListParagraph"/>
        <w:numPr>
          <w:ilvl w:val="0"/>
          <w:numId w:val="21"/>
        </w:numPr>
      </w:pPr>
      <w:r>
        <w:t xml:space="preserve">The study employs highly restrictive criteria for </w:t>
      </w:r>
      <w:r w:rsidRPr="00072F4F">
        <w:t xml:space="preserve">participation:  </w:t>
      </w:r>
      <w:r w:rsidRPr="00072F4F" w:rsidR="00072F4F">
        <w:t>All groups</w:t>
      </w:r>
      <w:r w:rsidR="00072F4F">
        <w:t xml:space="preserve"> focus on individuals who are pregnant and/or have children under 5 years of age, with most sessions being conducted among specific races and ethnicities, as well as among adults under 34 years of age.  </w:t>
      </w:r>
    </w:p>
    <w:p w:rsidR="00773D15" w:rsidP="00773D15" w14:paraId="4BD6EF54" w14:textId="77777777">
      <w:pPr>
        <w:pStyle w:val="ListParagraph"/>
      </w:pPr>
    </w:p>
    <w:p w:rsidR="00773D15" w:rsidP="00773D15" w14:paraId="0FA84934" w14:textId="77777777">
      <w:pPr>
        <w:pStyle w:val="ListParagraph"/>
        <w:numPr>
          <w:ilvl w:val="0"/>
          <w:numId w:val="21"/>
        </w:numPr>
      </w:pPr>
      <w:r>
        <w:t>In addition, all</w:t>
      </w:r>
      <w:r w:rsidRPr="00276FD0">
        <w:t xml:space="preserve"> groups will include low</w:t>
      </w:r>
      <w:r>
        <w:t>-</w:t>
      </w:r>
      <w:r w:rsidRPr="00276FD0">
        <w:t xml:space="preserve">income </w:t>
      </w:r>
      <w:r w:rsidR="00CA2BD3">
        <w:t xml:space="preserve">research </w:t>
      </w:r>
      <w:r w:rsidRPr="00276FD0">
        <w:t xml:space="preserve">participants.  In our experience, </w:t>
      </w:r>
      <w:r>
        <w:t xml:space="preserve">virtual focus groups among </w:t>
      </w:r>
      <w:r w:rsidRPr="00276FD0">
        <w:t>low</w:t>
      </w:r>
      <w:r>
        <w:t>-</w:t>
      </w:r>
      <w:r w:rsidRPr="00276FD0">
        <w:t xml:space="preserve">income </w:t>
      </w:r>
      <w:r w:rsidR="00CA2BD3">
        <w:t xml:space="preserve">research </w:t>
      </w:r>
      <w:r w:rsidRPr="00276FD0">
        <w:t xml:space="preserve">participants </w:t>
      </w:r>
      <w:r>
        <w:t xml:space="preserve">have </w:t>
      </w:r>
      <w:r w:rsidRPr="00276FD0">
        <w:t>high</w:t>
      </w:r>
      <w:r>
        <w:t>er</w:t>
      </w:r>
      <w:r w:rsidRPr="00276FD0">
        <w:t xml:space="preserve"> no-show rates</w:t>
      </w:r>
      <w:r>
        <w:t xml:space="preserve"> than no-show rates with sessions among middle- or higher-income individuals</w:t>
      </w:r>
      <w:r w:rsidRPr="00276FD0">
        <w:t xml:space="preserve">.  Furthermore, the show rates among </w:t>
      </w:r>
      <w:r>
        <w:t xml:space="preserve">low-income </w:t>
      </w:r>
      <w:r w:rsidR="00CA2BD3">
        <w:t xml:space="preserve">research </w:t>
      </w:r>
      <w:r>
        <w:t>participants may also be a</w:t>
      </w:r>
      <w:r w:rsidRPr="00276FD0">
        <w:t xml:space="preserve">ffected by available opportunities to earn additional income (e.g., extra hours at work or side jobs) that pay more than </w:t>
      </w:r>
      <w:r>
        <w:t xml:space="preserve">the </w:t>
      </w:r>
      <w:r w:rsidRPr="00276FD0">
        <w:t>incentive</w:t>
      </w:r>
      <w:r>
        <w:t xml:space="preserve">. </w:t>
      </w:r>
    </w:p>
    <w:p w:rsidR="00773D15" w14:paraId="460D01A5" w14:textId="77777777">
      <w:pPr>
        <w:rPr>
          <w:b/>
        </w:rPr>
      </w:pPr>
    </w:p>
    <w:p w:rsidR="00072F4F" w14:paraId="7C04E1CB" w14:textId="77777777">
      <w:pPr>
        <w:rPr>
          <w:b/>
        </w:rPr>
      </w:pPr>
      <w:r>
        <w:t xml:space="preserve">As such, utilizing this incentive rate will </w:t>
      </w:r>
      <w:r w:rsidRPr="000D208D">
        <w:t>mak</w:t>
      </w:r>
      <w:r>
        <w:t>e</w:t>
      </w:r>
      <w:r w:rsidRPr="000D208D">
        <w:t xml:space="preserve"> recruitment more effective and thus sav</w:t>
      </w:r>
      <w:r>
        <w:t>e</w:t>
      </w:r>
      <w:r w:rsidRPr="000D208D">
        <w:t xml:space="preserve"> government money in </w:t>
      </w:r>
      <w:r>
        <w:t xml:space="preserve">overall research </w:t>
      </w:r>
      <w:r w:rsidRPr="000D208D">
        <w:t>recruitment costs.</w:t>
      </w:r>
    </w:p>
    <w:p w:rsidR="00773D15" w14:paraId="62571431" w14:textId="77777777">
      <w:pPr>
        <w:rPr>
          <w:b/>
        </w:rPr>
      </w:pPr>
    </w:p>
    <w:p w:rsidR="004E4F9F" w:rsidRPr="00072F4F" w:rsidP="00072F4F" w14:paraId="41AE87EC" w14:textId="77777777">
      <w:r w:rsidRPr="00072F4F">
        <w:t xml:space="preserve">Finally, it is important to address equity as well.  As noted in the </w:t>
      </w:r>
      <w:r w:rsidR="008341ED">
        <w:t xml:space="preserve">January 20, </w:t>
      </w:r>
      <w:r w:rsidRPr="00072F4F">
        <w:t>2006</w:t>
      </w:r>
      <w:r w:rsidR="00677246">
        <w:t>,</w:t>
      </w:r>
      <w:r w:rsidRPr="00072F4F">
        <w:t xml:space="preserve"> </w:t>
      </w:r>
      <w:r w:rsidR="008341ED">
        <w:t xml:space="preserve">Memorandum for the President’s Management Council, </w:t>
      </w:r>
      <w:r w:rsidRPr="00072F4F">
        <w:t xml:space="preserve">if incentives are used, these should apply to all </w:t>
      </w:r>
      <w:r w:rsidR="006B32F0">
        <w:t xml:space="preserve">research </w:t>
      </w:r>
      <w:r w:rsidRPr="00072F4F">
        <w:t xml:space="preserve">participants. Therefore, the recommended incentives must be applied to all </w:t>
      </w:r>
      <w:r w:rsidR="006B32F0">
        <w:t xml:space="preserve">research </w:t>
      </w:r>
      <w:r w:rsidRPr="00072F4F">
        <w:t>participant segments, regardless of the incidence and research location. This rule also applies to both WIC program participants</w:t>
      </w:r>
      <w:r w:rsidR="00915677">
        <w:t>/clients</w:t>
      </w:r>
      <w:r w:rsidRPr="00072F4F">
        <w:t xml:space="preserve"> and </w:t>
      </w:r>
      <w:r w:rsidR="006B32F0">
        <w:t xml:space="preserve">eligible </w:t>
      </w:r>
      <w:r w:rsidRPr="00072F4F">
        <w:t>non-progra</w:t>
      </w:r>
      <w:r w:rsidR="006B32F0">
        <w:t>m</w:t>
      </w:r>
      <w:r w:rsidRPr="00072F4F">
        <w:t xml:space="preserve"> participants</w:t>
      </w:r>
      <w:r w:rsidR="00915677">
        <w:t>/potential clients</w:t>
      </w:r>
      <w:r w:rsidRPr="00072F4F">
        <w:t>.  Specifically, if WIC participants</w:t>
      </w:r>
      <w:r w:rsidR="00915677">
        <w:t>/clients</w:t>
      </w:r>
      <w:r w:rsidRPr="00072F4F">
        <w:t xml:space="preserve"> feel more compelled to participate in this </w:t>
      </w:r>
      <w:r w:rsidRPr="00072F4F">
        <w:t xml:space="preserve">research because of their connection to the program, they should not be unfairly penalized from an incentives perspective and receive less than their eligible, yet non-participating counterparts.  As a result, all </w:t>
      </w:r>
      <w:r w:rsidR="006E21B9">
        <w:t xml:space="preserve">research </w:t>
      </w:r>
      <w:r w:rsidRPr="00072F4F">
        <w:t>participants will receive the same incentive rate.</w:t>
      </w:r>
    </w:p>
    <w:p w:rsidR="00C86E91" w14:paraId="5FA146B1" w14:textId="77777777">
      <w:pPr>
        <w:rPr>
          <w:b/>
        </w:rPr>
      </w:pPr>
    </w:p>
    <w:p w:rsidR="005E714A" w:rsidP="00C86E91" w14:paraId="4921EBF6" w14:textId="77777777">
      <w:pPr>
        <w:rPr>
          <w:i/>
        </w:rPr>
      </w:pPr>
      <w:r>
        <w:rPr>
          <w:b/>
        </w:rPr>
        <w:t>BURDEN HOUR</w:t>
      </w:r>
      <w:r w:rsidR="00441434">
        <w:rPr>
          <w:b/>
        </w:rPr>
        <w:t>S</w:t>
      </w:r>
      <w:r>
        <w:t xml:space="preserve"> </w:t>
      </w:r>
    </w:p>
    <w:p w:rsidR="006832D9" w:rsidRPr="006832D9" w:rsidP="00F3170F" w14:paraId="35661947" w14:textId="77777777">
      <w:pPr>
        <w:keepNext/>
        <w:keepLines/>
        <w:rPr>
          <w: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6A94273C" w14:textId="77777777" w:rsidTr="00413CF2">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P="00413CF2" w14:paraId="28E49BA0" w14:textId="77777777">
            <w:pPr>
              <w:rPr>
                <w:rFonts w:ascii="Courier New" w:hAnsi="Courier New" w:cs="Courier New"/>
                <w:b/>
                <w:sz w:val="20"/>
                <w:szCs w:val="20"/>
              </w:rPr>
            </w:pPr>
            <w:r w:rsidRPr="00046816">
              <w:rPr>
                <w:b/>
              </w:rPr>
              <w:t>Category of Respondent</w:t>
            </w:r>
            <w:r>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46816" w:rsidRPr="00046816" w:rsidP="00413CF2" w14:paraId="65331301" w14:textId="77777777">
            <w:pP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736CEAF2" w14:textId="77777777">
            <w:pP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413CF2" w14:paraId="347E4119" w14:textId="77777777">
            <w:pPr>
              <w:rPr>
                <w:b/>
              </w:rPr>
            </w:pPr>
            <w:r w:rsidRPr="00046816">
              <w:rPr>
                <w:b/>
              </w:rPr>
              <w:t>Burden Hours</w:t>
            </w:r>
          </w:p>
        </w:tc>
      </w:tr>
      <w:tr w14:paraId="592D0C99" w14:textId="77777777" w:rsidTr="00413CF2">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50B209C1" w14:textId="77777777">
            <w:r>
              <w:t>Screener (Attachments A-1, A-2, A-3)</w:t>
            </w:r>
          </w:p>
        </w:tc>
      </w:tr>
      <w:tr w14:paraId="1EBC08D7"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30494178" w14:textId="77777777">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561640D" w14:textId="77777777">
            <w:pPr>
              <w:jc w:val="center"/>
            </w:pPr>
            <w:r>
              <w:t>9</w:t>
            </w:r>
            <w:r w:rsidRPr="00046816">
              <w:t>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0447F6D5" w14:textId="77777777">
            <w:r w:rsidRPr="00046816">
              <w:t>.25 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57D4EE05" w14:textId="77777777">
            <w:pPr>
              <w:jc w:val="right"/>
            </w:pPr>
            <w:r>
              <w:t>22</w:t>
            </w:r>
            <w:r w:rsidRPr="00046816">
              <w:t>.</w:t>
            </w:r>
            <w:r>
              <w:t>5</w:t>
            </w:r>
            <w:r w:rsidRPr="00046816">
              <w:t xml:space="preserve"> hrs</w:t>
            </w:r>
          </w:p>
        </w:tc>
      </w:tr>
      <w:tr w14:paraId="7CCC0B0C"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2EABDD79" w14:textId="77777777">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125C3BBC" w14:textId="77777777">
            <w:pPr>
              <w:jc w:val="center"/>
            </w:pPr>
            <w:r>
              <w:t>27</w:t>
            </w:r>
            <w:r w:rsidRPr="00046816">
              <w:t>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776C476D" w14:textId="77777777">
            <w:r w:rsidRPr="00046816">
              <w:t>.167 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FFD2047" w14:textId="77777777">
            <w:pPr>
              <w:jc w:val="right"/>
            </w:pPr>
            <w:r>
              <w:t>45</w:t>
            </w:r>
            <w:r w:rsidRPr="00046816">
              <w:t>.</w:t>
            </w:r>
            <w:r>
              <w:t>09</w:t>
            </w:r>
            <w:r w:rsidRPr="00046816">
              <w:t xml:space="preserve"> hrs</w:t>
            </w:r>
          </w:p>
        </w:tc>
      </w:tr>
      <w:tr w14:paraId="759FD655" w14:textId="77777777" w:rsidTr="00413CF2">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3AD0C199" w14:textId="77777777">
            <w:r w:rsidRPr="00046816">
              <w:t>Focus Groups</w:t>
            </w:r>
          </w:p>
        </w:tc>
      </w:tr>
      <w:tr w14:paraId="37093B0F" w14:textId="77777777" w:rsidTr="00052BC6">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FEE6D39" w14:textId="77777777">
            <w:r w:rsidRPr="00046816">
              <w:t xml:space="preserve">     Individuals (confirmations)</w:t>
            </w:r>
            <w:r w:rsidR="00147026">
              <w:t xml:space="preserve"> </w:t>
            </w:r>
            <w:r w:rsidR="00D23E25">
              <w:t>(Attachments B-1, B-2)</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052BC6" w14:paraId="48E0DE60" w14:textId="77777777">
            <w:pPr>
              <w:jc w:val="center"/>
            </w:pPr>
            <w:r>
              <w:t>9</w:t>
            </w:r>
            <w:r w:rsidRPr="00046816">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046816" w:rsidRPr="00046816" w:rsidP="00052BC6" w14:paraId="75BFEB54" w14:textId="77777777">
            <w:r w:rsidRPr="00046816">
              <w:t>.</w:t>
            </w:r>
            <w:r w:rsidR="00846319">
              <w:t>05</w:t>
            </w:r>
            <w:r w:rsidRPr="00046816" w:rsidR="00846319">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052BC6" w14:paraId="5EB3E947" w14:textId="77777777">
            <w:pPr>
              <w:jc w:val="right"/>
            </w:pPr>
            <w:r>
              <w:t>4.5</w:t>
            </w:r>
            <w:r w:rsidRPr="00046816">
              <w:t xml:space="preserve"> hrs</w:t>
            </w:r>
          </w:p>
        </w:tc>
      </w:tr>
      <w:tr w14:paraId="52DB9A5F" w14:textId="77777777" w:rsidTr="003E5759">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46319" w:rsidRPr="00046816" w:rsidP="00846319" w14:paraId="782B885C" w14:textId="77777777">
            <w:r w:rsidRPr="00046816">
              <w:t xml:space="preserve">     Individuals (</w:t>
            </w:r>
            <w:r>
              <w:t>consent</w:t>
            </w:r>
            <w:r w:rsidRPr="00046816">
              <w:t>)</w:t>
            </w:r>
            <w:r>
              <w:t xml:space="preserve"> (Attachments C-1, C-2)</w:t>
            </w:r>
          </w:p>
        </w:tc>
        <w:tc>
          <w:tcPr>
            <w:tcW w:w="1710"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391B306D" w14:textId="77777777">
            <w:pPr>
              <w:jc w:val="center"/>
            </w:pPr>
            <w:r>
              <w:t>90</w:t>
            </w:r>
          </w:p>
        </w:tc>
        <w:tc>
          <w:tcPr>
            <w:tcW w:w="1800"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631D9AF0" w14:textId="77777777">
            <w:r w:rsidRPr="00046816">
              <w:t>.</w:t>
            </w:r>
            <w:r>
              <w:t>05</w:t>
            </w:r>
            <w:r w:rsidRPr="00046816">
              <w:t xml:space="preserve"> hrs</w:t>
            </w:r>
          </w:p>
        </w:tc>
        <w:tc>
          <w:tcPr>
            <w:tcW w:w="1447"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01CDE51F" w14:textId="77777777">
            <w:pPr>
              <w:jc w:val="right"/>
            </w:pPr>
            <w:r>
              <w:t>4.5</w:t>
            </w:r>
            <w:r w:rsidRPr="00046816">
              <w:t xml:space="preserve"> hrs</w:t>
            </w:r>
          </w:p>
        </w:tc>
      </w:tr>
      <w:tr w14:paraId="24697875" w14:textId="77777777" w:rsidTr="00052BC6">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046816" w:rsidRPr="00046816" w:rsidP="00413CF2" w14:paraId="4DBE0CA0" w14:textId="77777777">
            <w:r w:rsidRPr="00046816">
              <w:t xml:space="preserve">     Individuals (</w:t>
            </w:r>
            <w:r w:rsidR="007E5F57">
              <w:t xml:space="preserve">focus group </w:t>
            </w:r>
            <w:r w:rsidRPr="00046816">
              <w:t>respondents)</w:t>
            </w:r>
            <w:r w:rsidR="00147026">
              <w:t xml:space="preserve"> </w:t>
            </w:r>
            <w:r w:rsidR="00D23E25">
              <w:t>(Attachments D-1, D-2)</w:t>
            </w:r>
          </w:p>
        </w:tc>
        <w:tc>
          <w:tcPr>
            <w:tcW w:w="1710" w:type="dxa"/>
            <w:tcBorders>
              <w:top w:val="single" w:sz="4" w:space="0" w:color="auto"/>
              <w:left w:val="single" w:sz="4" w:space="0" w:color="auto"/>
              <w:bottom w:val="single" w:sz="4" w:space="0" w:color="auto"/>
              <w:right w:val="single" w:sz="4" w:space="0" w:color="auto"/>
            </w:tcBorders>
            <w:vAlign w:val="center"/>
          </w:tcPr>
          <w:p w:rsidR="00046816" w:rsidRPr="00046816" w:rsidP="00413CF2" w14:paraId="0EF72600" w14:textId="77777777">
            <w:pPr>
              <w:jc w:val="center"/>
            </w:pPr>
            <w:r>
              <w:t>54</w:t>
            </w:r>
          </w:p>
        </w:tc>
        <w:tc>
          <w:tcPr>
            <w:tcW w:w="1800" w:type="dxa"/>
            <w:tcBorders>
              <w:top w:val="single" w:sz="4" w:space="0" w:color="auto"/>
              <w:left w:val="single" w:sz="4" w:space="0" w:color="auto"/>
              <w:bottom w:val="single" w:sz="4" w:space="0" w:color="auto"/>
              <w:right w:val="single" w:sz="4" w:space="0" w:color="auto"/>
            </w:tcBorders>
            <w:vAlign w:val="center"/>
          </w:tcPr>
          <w:p w:rsidR="00046816" w:rsidRPr="00046816" w:rsidP="00052BC6" w14:paraId="3A79999A" w14:textId="77777777">
            <w:r w:rsidRPr="00046816">
              <w:t>2.0 hrs</w:t>
            </w:r>
            <w:r w:rsidR="0046337D">
              <w:t>*</w:t>
            </w:r>
          </w:p>
        </w:tc>
        <w:tc>
          <w:tcPr>
            <w:tcW w:w="1447" w:type="dxa"/>
            <w:tcBorders>
              <w:top w:val="single" w:sz="4" w:space="0" w:color="auto"/>
              <w:left w:val="single" w:sz="4" w:space="0" w:color="auto"/>
              <w:bottom w:val="single" w:sz="4" w:space="0" w:color="auto"/>
              <w:right w:val="single" w:sz="4" w:space="0" w:color="auto"/>
            </w:tcBorders>
            <w:vAlign w:val="center"/>
          </w:tcPr>
          <w:p w:rsidR="00046816" w:rsidRPr="00046816" w:rsidP="00413CF2" w14:paraId="66068D59" w14:textId="77777777">
            <w:pPr>
              <w:jc w:val="right"/>
            </w:pPr>
            <w:r>
              <w:t>108</w:t>
            </w:r>
            <w:r w:rsidRPr="00046816">
              <w:t>.0 hrs</w:t>
            </w:r>
          </w:p>
        </w:tc>
      </w:tr>
      <w:tr w14:paraId="43DD3D6A"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7D3EF445" w14:textId="77777777">
            <w:r w:rsidRPr="00046816">
              <w:t xml:space="preserve">     Individuals (non-respondents)</w:t>
            </w:r>
            <w:r w:rsidR="00476EA2">
              <w:t xml:space="preserv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732DFE1D" w14:textId="77777777">
            <w:pPr>
              <w:jc w:val="center"/>
            </w:pPr>
            <w:r>
              <w:t>36</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467A92E6" w14:textId="77777777">
            <w:r w:rsidRPr="00046816">
              <w:t>.</w:t>
            </w:r>
            <w:r w:rsidR="00846319">
              <w:t>05</w:t>
            </w:r>
            <w:r w:rsidRPr="00046816" w:rsidR="00846319">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67625ED7" w14:textId="77777777">
            <w:pPr>
              <w:jc w:val="right"/>
            </w:pPr>
            <w:r>
              <w:t>1.8</w:t>
            </w:r>
            <w:r w:rsidRPr="00046816">
              <w:t xml:space="preserve"> hrs</w:t>
            </w:r>
          </w:p>
        </w:tc>
      </w:tr>
      <w:tr w14:paraId="43E38C37" w14:textId="77777777" w:rsidTr="00413CF2">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1989E726" w14:textId="77777777">
            <w:pPr>
              <w:rPr>
                <w:b/>
              </w:rPr>
            </w:pPr>
            <w:r w:rsidRPr="00046816">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5A7555E6" w14:textId="77777777">
            <w:pPr>
              <w:jc w:val="center"/>
              <w:rPr>
                <w:b/>
              </w:rPr>
            </w:pPr>
            <w:r>
              <w:rPr>
                <w:b/>
              </w:rPr>
              <w:t>36</w:t>
            </w:r>
            <w:r w:rsidRPr="00046816">
              <w:rPr>
                <w:b/>
              </w:rPr>
              <w:t>0</w:t>
            </w:r>
          </w:p>
        </w:tc>
        <w:tc>
          <w:tcPr>
            <w:tcW w:w="1800" w:type="dxa"/>
            <w:tcBorders>
              <w:top w:val="single" w:sz="4" w:space="0" w:color="auto"/>
              <w:left w:val="single" w:sz="4" w:space="0" w:color="auto"/>
              <w:bottom w:val="single" w:sz="4" w:space="0" w:color="auto"/>
              <w:right w:val="single" w:sz="4" w:space="0" w:color="auto"/>
            </w:tcBorders>
          </w:tcPr>
          <w:p w:rsidR="00046816" w:rsidRPr="00046816" w:rsidP="00413CF2" w14:paraId="626D4220" w14:textId="77777777">
            <w:pPr>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148EC335" w14:textId="77777777">
            <w:pPr>
              <w:jc w:val="right"/>
              <w:rPr>
                <w:b/>
              </w:rPr>
            </w:pPr>
            <w:r>
              <w:rPr>
                <w:b/>
              </w:rPr>
              <w:t>186.39</w:t>
            </w:r>
            <w:r w:rsidRPr="00046816">
              <w:rPr>
                <w:b/>
              </w:rPr>
              <w:t xml:space="preserve"> hrs</w:t>
            </w:r>
          </w:p>
        </w:tc>
      </w:tr>
    </w:tbl>
    <w:p w:rsidR="00046816" w:rsidRPr="0046337D" w:rsidP="00F3170F" w14:paraId="0B86EA28" w14:textId="77777777">
      <w:pPr>
        <w:rPr>
          <w:sz w:val="20"/>
          <w:szCs w:val="20"/>
        </w:rPr>
      </w:pPr>
      <w:r w:rsidRPr="0046337D">
        <w:rPr>
          <w:sz w:val="20"/>
          <w:szCs w:val="20"/>
        </w:rPr>
        <w:t xml:space="preserve">*NOTE:  The data collection will take 90 minutes, but respondents will need an additional 30 </w:t>
      </w:r>
      <w:r w:rsidRPr="0046337D">
        <w:rPr>
          <w:sz w:val="20"/>
          <w:szCs w:val="20"/>
        </w:rPr>
        <w:t>minutes for the technology check and to ensure they can log into the online interface correctly.</w:t>
      </w:r>
    </w:p>
    <w:p w:rsidR="0046337D" w:rsidP="00F3170F" w14:paraId="51D1C1A5" w14:textId="77777777"/>
    <w:p w:rsidR="00D23E25" w:rsidP="00D23E25" w14:paraId="76FEAADC" w14:textId="77777777">
      <w:pPr>
        <w:spacing w:before="100" w:beforeAutospacing="1" w:after="100" w:afterAutospacing="1"/>
      </w:pPr>
      <w:r>
        <w:t xml:space="preserve">A total of </w:t>
      </w:r>
      <w:r w:rsidR="00052BC6">
        <w:t>36</w:t>
      </w:r>
      <w:r>
        <w:t xml:space="preserve">0 individuals will be contacted in order to conduct research among </w:t>
      </w:r>
      <w:r w:rsidR="00052BC6">
        <w:t>54</w:t>
      </w:r>
      <w:r>
        <w:t xml:space="preserve"> individuals. The </w:t>
      </w:r>
      <w:r w:rsidR="00052BC6">
        <w:t>270</w:t>
      </w:r>
      <w:r>
        <w:t xml:space="preserve"> screener non-respondents are </w:t>
      </w:r>
      <w:r w:rsidR="00915677">
        <w:t xml:space="preserve">research </w:t>
      </w:r>
      <w:r>
        <w:t xml:space="preserve">participants who choose not to complete the full screener or who do not qualify for the focus groups. The remaining </w:t>
      </w:r>
      <w:r w:rsidR="00052BC6">
        <w:t>9</w:t>
      </w:r>
      <w:r>
        <w:t xml:space="preserve">0 individuals will be confirmed for the focus groups (i.e., meet recruitment criteria). Of the </w:t>
      </w:r>
      <w:r w:rsidR="00052BC6">
        <w:t>9</w:t>
      </w:r>
      <w:r>
        <w:t xml:space="preserve">0 individuals confirmed for the focus groups, we will seat 6 per group for a total of </w:t>
      </w:r>
      <w:r w:rsidR="00EF15D2">
        <w:t>54</w:t>
      </w:r>
      <w:r>
        <w:t xml:space="preserve"> focus group respondents. </w:t>
      </w:r>
    </w:p>
    <w:p w:rsidR="0046337D" w:rsidP="006248FC" w14:paraId="22EDA48C" w14:textId="77777777">
      <w:pPr>
        <w:spacing w:before="100" w:beforeAutospacing="1" w:after="100" w:afterAutospacing="1"/>
      </w:pPr>
      <w:bookmarkStart w:id="1" w:name="_Hlk130828477"/>
      <w:r>
        <w:t>The estimate of respondent cost is based on the burden estimates and utilizes the U.S. Department of Labor, Bureau of Labor Statistics, May 2021 National Occupational and Wage Statistics, All Occupations (00-0000) (http://www.bls.gov/oes/current/oes_nat.htm). The hourly mean wage for functions performed by respondents is estimated at $2</w:t>
      </w:r>
      <w:r w:rsidR="00677246">
        <w:t>9.76</w:t>
      </w:r>
      <w:r>
        <w:t xml:space="preserve"> per hour. With a burden of </w:t>
      </w:r>
      <w:r w:rsidR="00EF15D2">
        <w:t>186</w:t>
      </w:r>
      <w:r w:rsidR="009C56ED">
        <w:t>.</w:t>
      </w:r>
      <w:r w:rsidR="00EF15D2">
        <w:t>39</w:t>
      </w:r>
      <w:r>
        <w:t xml:space="preserve"> hours at $2</w:t>
      </w:r>
      <w:r w:rsidR="00677246">
        <w:t>9.76</w:t>
      </w:r>
      <w:r>
        <w:t>per hour, the base annual respondent cost is estimated at $</w:t>
      </w:r>
      <w:r w:rsidR="00677246">
        <w:t>5,546.96</w:t>
      </w:r>
      <w:r>
        <w:t>. An additional 33% of the estimated base annual respondent cost must be added to represent fully loaded wages, equaling $</w:t>
      </w:r>
      <w:r w:rsidR="00677246">
        <w:t>1,830.49</w:t>
      </w:r>
      <w:r>
        <w:t>. Thus</w:t>
      </w:r>
      <w:r w:rsidR="00EF15D2">
        <w:t>,</w:t>
      </w:r>
      <w:r>
        <w:t xml:space="preserve"> the total annual respondent cost is $</w:t>
      </w:r>
      <w:r w:rsidR="00677246">
        <w:t>7,377.45</w:t>
      </w:r>
      <w:r>
        <w:t>.</w:t>
      </w:r>
      <w:bookmarkEnd w:id="1"/>
    </w:p>
    <w:p w:rsidR="0066642B" w:rsidP="0066642B" w14:paraId="11CE549F" w14:textId="77777777">
      <w:pPr>
        <w:rPr>
          <w:b/>
          <w:bCs/>
        </w:rPr>
      </w:pPr>
      <w:r w:rsidRPr="5243E720">
        <w:rPr>
          <w:b/>
          <w:bCs/>
        </w:rPr>
        <w:t xml:space="preserve">FEDERAL </w:t>
      </w:r>
      <w:r w:rsidRPr="5243E720" w:rsidR="009F5923">
        <w:rPr>
          <w:b/>
          <w:bCs/>
        </w:rPr>
        <w:t>COST</w:t>
      </w:r>
      <w:r w:rsidRPr="5243E720" w:rsidR="00F06866">
        <w:rPr>
          <w:b/>
          <w:bCs/>
        </w:rPr>
        <w:t>:</w:t>
      </w:r>
      <w:r w:rsidRPr="5243E720" w:rsidR="00895229">
        <w:rPr>
          <w:b/>
          <w:bCs/>
        </w:rPr>
        <w:t xml:space="preserve"> </w:t>
      </w:r>
      <w:r w:rsidRPr="5243E720" w:rsidR="00C86E91">
        <w:rPr>
          <w:b/>
          <w:bCs/>
        </w:rPr>
        <w:t xml:space="preserve"> </w:t>
      </w:r>
    </w:p>
    <w:p w:rsidR="0066642B" w:rsidRPr="00206328" w:rsidP="0066642B" w14:paraId="33910F5C" w14:textId="77777777">
      <w:r>
        <w:t xml:space="preserve">It is estimated that </w:t>
      </w:r>
      <w:r w:rsidR="00E30C17">
        <w:t>F</w:t>
      </w:r>
      <w:r>
        <w:t xml:space="preserve">ederal employees will spend approximately </w:t>
      </w:r>
      <w:r w:rsidR="008A5CAB">
        <w:t>42</w:t>
      </w:r>
      <w:r>
        <w:t xml:space="preserve"> hours overseeing this </w:t>
      </w:r>
      <w:r w:rsidR="002B004B">
        <w:t>collection</w:t>
      </w:r>
      <w:r>
        <w:t xml:space="preserve"> in 202</w:t>
      </w:r>
      <w:r w:rsidR="002B004B">
        <w:t>3</w:t>
      </w:r>
      <w:r w:rsidRPr="00D60F24" w:rsidR="00D60F24">
        <w:t xml:space="preserve"> </w:t>
      </w:r>
      <w:r w:rsidR="00D60F24">
        <w:t>with an average of a GS-</w:t>
      </w:r>
      <w:r w:rsidR="00093A48">
        <w:t>14</w:t>
      </w:r>
      <w:r w:rsidR="00D60F24">
        <w:t xml:space="preserve">, step </w:t>
      </w:r>
      <w:r w:rsidR="00093A48">
        <w:t>1</w:t>
      </w:r>
      <w:r w:rsidR="00D60F24">
        <w:t xml:space="preserve"> wage</w:t>
      </w:r>
      <w:r>
        <w:t>. Using the hourly wage rate of $</w:t>
      </w:r>
      <w:r w:rsidR="009E52AD">
        <w:t>63.43</w:t>
      </w:r>
      <w:r>
        <w:t xml:space="preserve"> for a GS-1</w:t>
      </w:r>
      <w:r w:rsidR="00093A48">
        <w:t>4</w:t>
      </w:r>
      <w:r>
        <w:t xml:space="preserve">, step </w:t>
      </w:r>
      <w:r w:rsidR="00093A48">
        <w:t>1</w:t>
      </w:r>
      <w:r>
        <w:t>, Federal employee from the 202</w:t>
      </w:r>
      <w:r w:rsidR="005E7F4A">
        <w:t>3</w:t>
      </w:r>
      <w:r>
        <w:t xml:space="preserve"> Washington, DC, locality pay table, the estimated costs equal $</w:t>
      </w:r>
      <w:r w:rsidR="005C410E">
        <w:t>2,66</w:t>
      </w:r>
      <w:r w:rsidR="003B4968">
        <w:t>4.</w:t>
      </w:r>
      <w:r w:rsidR="005C410E">
        <w:t>06</w:t>
      </w:r>
      <w:r w:rsidR="00AD1C65">
        <w:t xml:space="preserve"> </w:t>
      </w:r>
      <w:r w:rsidR="006616A1">
        <w:t>plus $</w:t>
      </w:r>
      <w:r w:rsidR="009459B0">
        <w:t>879</w:t>
      </w:r>
      <w:r w:rsidR="00A72D6C">
        <w:t>.</w:t>
      </w:r>
      <w:r w:rsidR="009459B0">
        <w:t>14</w:t>
      </w:r>
      <w:r w:rsidR="00AD1C65">
        <w:t xml:space="preserve"> </w:t>
      </w:r>
      <w:r w:rsidR="007226A2">
        <w:t>in fringe benefits for a total of $</w:t>
      </w:r>
      <w:r w:rsidR="009459B0">
        <w:t>3</w:t>
      </w:r>
      <w:r w:rsidR="00A72D6C">
        <w:t>,</w:t>
      </w:r>
      <w:r w:rsidR="009459B0">
        <w:t>543</w:t>
      </w:r>
      <w:r w:rsidR="00A72D6C">
        <w:t>.</w:t>
      </w:r>
      <w:r w:rsidR="009459B0">
        <w:t>20</w:t>
      </w:r>
      <w:r>
        <w:t xml:space="preserve">. </w:t>
      </w:r>
    </w:p>
    <w:p w:rsidR="00574B9C" w:rsidP="00206328" w14:paraId="5F070DB8" w14:textId="77777777">
      <w:pPr>
        <w:spacing w:before="100" w:beforeAutospacing="1" w:after="100" w:afterAutospacing="1"/>
      </w:pPr>
      <w:r w:rsidRPr="005C26AF">
        <w:t xml:space="preserve">Contractor costs to the Federal Government will total </w:t>
      </w:r>
      <w:r w:rsidR="00EB3162">
        <w:t>$</w:t>
      </w:r>
      <w:r w:rsidR="00AD1C65">
        <w:t xml:space="preserve">100,150.00 </w:t>
      </w:r>
      <w:r w:rsidRPr="005C26AF">
        <w:t xml:space="preserve">over the course of this </w:t>
      </w:r>
      <w:r w:rsidR="005C26AF">
        <w:t>collection</w:t>
      </w:r>
      <w:r w:rsidR="00880433">
        <w:t xml:space="preserve"> based on fully loaded rates</w:t>
      </w:r>
      <w:r w:rsidRPr="005C26AF">
        <w:t>. When combining the Federal employee and contractor costs, the total a</w:t>
      </w:r>
      <w:r w:rsidRPr="00AD1C65">
        <w:t xml:space="preserve">nnual cost to the Federal Government for this information collection is estimated at </w:t>
      </w:r>
      <w:r w:rsidRPr="00AD1C65" w:rsidR="00307E76">
        <w:t>$</w:t>
      </w:r>
      <w:r w:rsidRPr="00AD1C65" w:rsidR="00AD1C65">
        <w:t>10</w:t>
      </w:r>
      <w:r w:rsidR="00451917">
        <w:t>3</w:t>
      </w:r>
      <w:r w:rsidRPr="00AD1C65" w:rsidR="00AD1C65">
        <w:t>,</w:t>
      </w:r>
      <w:r w:rsidR="00451917">
        <w:t>693</w:t>
      </w:r>
      <w:r w:rsidRPr="00AD1C65" w:rsidR="00AD1C65">
        <w:t>.</w:t>
      </w:r>
      <w:r w:rsidR="00451917">
        <w:t>20</w:t>
      </w:r>
      <w:r w:rsidRPr="00AD1C65">
        <w:t>.</w:t>
      </w:r>
      <w:r w:rsidRPr="00CA2BD3">
        <w:rPr>
          <w:highlight w:val="yellow"/>
        </w:rPr>
        <w:t xml:space="preserve"> </w:t>
      </w:r>
    </w:p>
    <w:p w:rsidR="0069403B" w:rsidP="00F06866" w14:paraId="2CA628C2" w14:textId="77777777">
      <w:pPr>
        <w:rPr>
          <w:b/>
        </w:rPr>
      </w:pPr>
      <w:r>
        <w:rPr>
          <w:b/>
          <w:bCs/>
          <w:u w:val="single"/>
        </w:rPr>
        <w:t>If you are conducting a focus group, survey, or plan to employ statistical methods, please  provide answers to the following questions:</w:t>
      </w:r>
    </w:p>
    <w:p w:rsidR="0069403B" w:rsidP="00F06866" w14:paraId="7D7656F1" w14:textId="77777777">
      <w:pPr>
        <w:rPr>
          <w:b/>
        </w:rPr>
      </w:pPr>
    </w:p>
    <w:p w:rsidR="00F06866" w:rsidP="00F06866" w14:paraId="3FF24BCB" w14:textId="77777777">
      <w:pPr>
        <w:rPr>
          <w:b/>
        </w:rPr>
      </w:pPr>
      <w:r>
        <w:rPr>
          <w:b/>
        </w:rPr>
        <w:t>The</w:t>
      </w:r>
      <w:r w:rsidR="0069403B">
        <w:rPr>
          <w:b/>
        </w:rPr>
        <w:t xml:space="preserve"> select</w:t>
      </w:r>
      <w:r>
        <w:rPr>
          <w:b/>
        </w:rPr>
        <w:t>ion of your targeted respondents</w:t>
      </w:r>
    </w:p>
    <w:p w:rsidR="00187BA6" w:rsidP="0069403B" w14:paraId="4D52887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724AB970" w14:textId="77777777">
      <w:pPr>
        <w:pStyle w:val="ListParagraph"/>
        <w:ind w:left="360"/>
      </w:pPr>
      <w:r>
        <w:t>[ ] Yes</w:t>
      </w:r>
      <w:r>
        <w:tab/>
        <w:t>[</w:t>
      </w:r>
      <w:r w:rsidR="000D208D">
        <w:t>X</w:t>
      </w:r>
      <w:r>
        <w:t>] No</w:t>
      </w:r>
    </w:p>
    <w:p w:rsidR="00636621" w:rsidP="00636621" w14:paraId="37B8E6F6" w14:textId="77777777">
      <w:pPr>
        <w:pStyle w:val="ListParagraph"/>
      </w:pPr>
    </w:p>
    <w:p w:rsidR="00636621" w:rsidP="00187BA6" w14:paraId="4B814D26"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 xml:space="preserve">If the answer is no, please provide a description of how you plan to </w:t>
      </w:r>
      <w:r>
        <w:t>identify your potential group of respondents</w:t>
      </w:r>
      <w:r w:rsidR="001B0AAA">
        <w:t xml:space="preserve"> and how you will select them</w:t>
      </w:r>
      <w:r>
        <w:t>?</w:t>
      </w:r>
    </w:p>
    <w:p w:rsidR="00A403BB" w:rsidRPr="000D208D" w:rsidP="00A403BB" w14:paraId="3A798638" w14:textId="77777777">
      <w:pPr>
        <w:pStyle w:val="ListParagraph"/>
      </w:pPr>
    </w:p>
    <w:p w:rsidR="008F700A" w:rsidRPr="000D208D" w:rsidP="008F700A" w14:paraId="631EDCE5" w14:textId="77777777">
      <w:pPr>
        <w:tabs>
          <w:tab w:val="left" w:pos="0"/>
        </w:tabs>
        <w:suppressAutoHyphens/>
      </w:pPr>
      <w:r w:rsidRPr="000D208D">
        <w:t>We will be working with professional recruiting partners who have proprietary “opt-in” databases of potential research participants. These databases contain general demographic information for each individual</w:t>
      </w:r>
      <w:r w:rsidR="0046337D">
        <w:t xml:space="preserve"> in their database</w:t>
      </w:r>
      <w:r w:rsidRPr="000D208D">
        <w:t>. Only individuals whose demographic profiles fall within the project’s general parameters will receive</w:t>
      </w:r>
      <w:r w:rsidR="005731B4">
        <w:t xml:space="preserve"> an online screener and</w:t>
      </w:r>
      <w:r w:rsidRPr="000D208D">
        <w:t xml:space="preserve"> a short recruitment phone call to determine if they meet all project criteria. All individuals must meet the criteria listed in the screening questionnaire </w:t>
      </w:r>
      <w:r w:rsidR="003D5E82">
        <w:t>(</w:t>
      </w:r>
      <w:r w:rsidRPr="003D5E82" w:rsidR="003D5E82">
        <w:t xml:space="preserve">Attachments A-1, A-2, A-3, </w:t>
      </w:r>
      <w:r w:rsidR="003D5E82">
        <w:t xml:space="preserve">and </w:t>
      </w:r>
      <w:r w:rsidRPr="003D5E82" w:rsidR="003D5E82">
        <w:t>A-4</w:t>
      </w:r>
      <w:r w:rsidR="003D5E82">
        <w:t xml:space="preserve">) </w:t>
      </w:r>
      <w:r w:rsidRPr="000D208D">
        <w:t xml:space="preserve">and provide consent </w:t>
      </w:r>
      <w:r w:rsidRPr="000D208D" w:rsidR="003D5E82">
        <w:t>(</w:t>
      </w:r>
      <w:r w:rsidRPr="003D5E82" w:rsidR="003D5E82">
        <w:t xml:space="preserve">Attachments </w:t>
      </w:r>
      <w:r w:rsidR="003D5E82">
        <w:t>C-1 and C-2</w:t>
      </w:r>
      <w:r w:rsidRPr="000D208D" w:rsidR="003D5E82">
        <w:t>)</w:t>
      </w:r>
      <w:r w:rsidR="004211BB">
        <w:t xml:space="preserve"> </w:t>
      </w:r>
      <w:r w:rsidRPr="000D208D">
        <w:t>to participate before any research can take place.</w:t>
      </w:r>
    </w:p>
    <w:p w:rsidR="004D6E14" w:rsidP="00A403BB" w14:paraId="320D3321" w14:textId="77777777">
      <w:pPr>
        <w:rPr>
          <w:b/>
        </w:rPr>
      </w:pPr>
    </w:p>
    <w:p w:rsidR="00A403BB" w:rsidP="00A403BB" w14:paraId="3F6F4F15" w14:textId="77777777">
      <w:pPr>
        <w:rPr>
          <w:b/>
        </w:rPr>
      </w:pPr>
      <w:r>
        <w:rPr>
          <w:b/>
        </w:rPr>
        <w:t>Administration of the Instrument</w:t>
      </w:r>
    </w:p>
    <w:p w:rsidR="00A403BB" w:rsidP="00A403BB" w14:paraId="2C39A728" w14:textId="77777777">
      <w:pPr>
        <w:pStyle w:val="ListParagraph"/>
        <w:numPr>
          <w:ilvl w:val="0"/>
          <w:numId w:val="17"/>
        </w:numPr>
      </w:pPr>
      <w:r>
        <w:t>How will you collect the information? (Check all that apply)</w:t>
      </w:r>
    </w:p>
    <w:p w:rsidR="001B0AAA" w:rsidP="001B0AAA" w14:paraId="3ACE6ACB" w14:textId="77777777">
      <w:pPr>
        <w:ind w:left="720"/>
      </w:pPr>
      <w:r>
        <w:t>[</w:t>
      </w:r>
      <w:r w:rsidR="0046337D">
        <w:t>X</w:t>
      </w:r>
      <w:r>
        <w:t xml:space="preserve">] Web-based or other forms of Social Media </w:t>
      </w:r>
    </w:p>
    <w:p w:rsidR="001B0AAA" w:rsidP="001B0AAA" w14:paraId="1BE3CF9B" w14:textId="77777777">
      <w:pPr>
        <w:ind w:left="720"/>
      </w:pPr>
      <w:r>
        <w:t>[  ] Telephone</w:t>
      </w:r>
      <w:r>
        <w:tab/>
      </w:r>
    </w:p>
    <w:p w:rsidR="001B0AAA" w:rsidP="001B0AAA" w14:paraId="0DA02954" w14:textId="77777777">
      <w:pPr>
        <w:ind w:left="720"/>
      </w:pPr>
      <w:r>
        <w:t>[  ] In-person</w:t>
      </w:r>
      <w:r>
        <w:tab/>
      </w:r>
    </w:p>
    <w:p w:rsidR="001B0AAA" w:rsidP="001B0AAA" w14:paraId="545E41F3" w14:textId="77777777">
      <w:pPr>
        <w:ind w:left="720"/>
      </w:pPr>
      <w:r>
        <w:t xml:space="preserve">[  ] Mail </w:t>
      </w:r>
    </w:p>
    <w:p w:rsidR="001B0AAA" w:rsidP="001B0AAA" w14:paraId="3F14D73A" w14:textId="77777777">
      <w:pPr>
        <w:ind w:left="720"/>
      </w:pPr>
      <w:r>
        <w:t>[  ] Other, Explain</w:t>
      </w:r>
    </w:p>
    <w:p w:rsidR="006248FC" w:rsidP="001B0AAA" w14:paraId="1D919EA5" w14:textId="77777777">
      <w:pPr>
        <w:ind w:left="720"/>
      </w:pPr>
    </w:p>
    <w:p w:rsidR="00F24CFC" w:rsidP="00F24CFC" w14:paraId="767FD9DC" w14:textId="77777777">
      <w:pPr>
        <w:pStyle w:val="ListParagraph"/>
        <w:numPr>
          <w:ilvl w:val="0"/>
          <w:numId w:val="17"/>
        </w:numPr>
      </w:pPr>
      <w:r>
        <w:t xml:space="preserve">Will interviewers or facilitators be used?  [ </w:t>
      </w:r>
      <w:r w:rsidR="00D5532A">
        <w:t>X</w:t>
      </w:r>
      <w:r>
        <w:t>] Yes [  ] No</w:t>
      </w:r>
    </w:p>
    <w:p w:rsidR="00D5532A" w:rsidP="00D5532A" w14:paraId="21D5B66C" w14:textId="77777777">
      <w:pPr>
        <w:rPr>
          <w:rFonts w:cs="Arial"/>
        </w:rPr>
      </w:pPr>
    </w:p>
    <w:p w:rsidR="00D5532A" w:rsidRPr="00D5532A" w:rsidP="00D5532A" w14:paraId="1EC41D7C" w14:textId="77777777">
      <w:pPr>
        <w:rPr>
          <w:rFonts w:cs="Arial"/>
        </w:rPr>
      </w:pPr>
      <w:r>
        <w:rPr>
          <w:rFonts w:cs="Arial"/>
        </w:rPr>
        <w:t>T</w:t>
      </w:r>
      <w:r w:rsidRPr="00D5532A">
        <w:rPr>
          <w:rFonts w:cs="Arial"/>
        </w:rPr>
        <w:t>rained moderator</w:t>
      </w:r>
      <w:r>
        <w:rPr>
          <w:rFonts w:cs="Arial"/>
        </w:rPr>
        <w:t>s</w:t>
      </w:r>
      <w:r w:rsidRPr="00D5532A">
        <w:rPr>
          <w:rFonts w:cs="Arial"/>
        </w:rPr>
        <w:t xml:space="preserve"> will facilitate the discussions as described in </w:t>
      </w:r>
      <w:r w:rsidRPr="003D5E82">
        <w:rPr>
          <w:rFonts w:cs="Arial"/>
        </w:rPr>
        <w:t>the Focus Group Moderator's Guide</w:t>
      </w:r>
      <w:r w:rsidR="003D5E82">
        <w:rPr>
          <w:rFonts w:cs="Arial"/>
        </w:rPr>
        <w:t>s</w:t>
      </w:r>
      <w:r w:rsidRPr="003D5E82">
        <w:rPr>
          <w:rFonts w:cs="Arial"/>
        </w:rPr>
        <w:t xml:space="preserve"> (Attachments </w:t>
      </w:r>
      <w:r w:rsidR="003D5E82">
        <w:rPr>
          <w:rFonts w:cs="Arial"/>
        </w:rPr>
        <w:t>D</w:t>
      </w:r>
      <w:r w:rsidRPr="003D5E82">
        <w:rPr>
          <w:rFonts w:cs="Arial"/>
        </w:rPr>
        <w:t>-1</w:t>
      </w:r>
      <w:r w:rsidR="00731652">
        <w:rPr>
          <w:rFonts w:cs="Arial"/>
        </w:rPr>
        <w:t>, D-2</w:t>
      </w:r>
      <w:r w:rsidR="003D5E82">
        <w:rPr>
          <w:rFonts w:cs="Arial"/>
        </w:rPr>
        <w:t>).</w:t>
      </w:r>
      <w:r w:rsidRPr="00D5532A">
        <w:rPr>
          <w:rFonts w:cs="Arial"/>
        </w:rPr>
        <w:t xml:space="preserve"> </w:t>
      </w:r>
      <w:r w:rsidR="00F948B0">
        <w:rPr>
          <w:rFonts w:cs="Arial"/>
        </w:rPr>
        <w:t xml:space="preserve"> The order in which logos or platform concepts are presented, as well as specific creative stimuli, will be rotated across focus group discussions.</w:t>
      </w:r>
    </w:p>
    <w:p w:rsidR="00D5532A" w:rsidP="00D5532A" w14:paraId="64ABE620" w14:textId="77777777"/>
    <w:p w:rsidR="004146D3" w:rsidP="00CC4606" w14:paraId="31A84FCA" w14:textId="77777777">
      <w:pPr>
        <w:rPr>
          <w:b/>
        </w:rPr>
      </w:pPr>
      <w:r w:rsidRPr="00CC4606">
        <w:rPr>
          <w:b/>
        </w:rPr>
        <w:t>Attachment</w:t>
      </w:r>
      <w:r>
        <w:rPr>
          <w:b/>
        </w:rPr>
        <w:t>s:</w:t>
      </w:r>
    </w:p>
    <w:p w:rsidR="00CC4606" w:rsidRPr="00CC4606" w:rsidP="00CC4606" w14:paraId="2109BD05" w14:textId="77777777">
      <w:pPr>
        <w:rPr>
          <w:b/>
        </w:rPr>
      </w:pPr>
    </w:p>
    <w:p w:rsidR="003D5E82" w:rsidP="003D5E82" w14:paraId="0DA52AFB" w14:textId="77777777">
      <w:pPr>
        <w:tabs>
          <w:tab w:val="left" w:pos="5670"/>
        </w:tabs>
        <w:suppressAutoHyphens/>
      </w:pPr>
      <w:r>
        <w:t xml:space="preserve">A-1 </w:t>
      </w:r>
      <w:r w:rsidRPr="003D5E82">
        <w:t>WIC Screener (English)</w:t>
      </w:r>
    </w:p>
    <w:p w:rsidR="00657E8B" w:rsidP="003D5E82" w14:paraId="146EA193" w14:textId="77777777">
      <w:pPr>
        <w:tabs>
          <w:tab w:val="left" w:pos="5670"/>
        </w:tabs>
        <w:suppressAutoHyphens/>
      </w:pPr>
      <w:r>
        <w:t>A-2 WIC Eligible Screener (English)</w:t>
      </w:r>
    </w:p>
    <w:p w:rsidR="00F77DAC" w:rsidP="003D5E82" w14:paraId="73393554" w14:textId="77777777">
      <w:pPr>
        <w:tabs>
          <w:tab w:val="left" w:pos="5670"/>
        </w:tabs>
        <w:suppressAutoHyphens/>
      </w:pPr>
      <w:r>
        <w:t>A-3 WIC Screener (Spanish)</w:t>
      </w:r>
    </w:p>
    <w:p w:rsidR="00657E8B" w:rsidP="003D5E82" w14:paraId="74BFC8CE" w14:textId="77777777">
      <w:pPr>
        <w:tabs>
          <w:tab w:val="left" w:pos="5670"/>
        </w:tabs>
        <w:suppressAutoHyphens/>
      </w:pPr>
      <w:r>
        <w:t xml:space="preserve">A-4 </w:t>
      </w:r>
      <w:r w:rsidR="00F77DAC">
        <w:t>WIC Eligible Screener (Spanish)</w:t>
      </w:r>
    </w:p>
    <w:p w:rsidR="003D5E82" w:rsidP="003D5E82" w14:paraId="7C877940" w14:textId="77777777">
      <w:pPr>
        <w:tabs>
          <w:tab w:val="left" w:pos="5670"/>
        </w:tabs>
        <w:suppressAutoHyphens/>
      </w:pPr>
      <w:r>
        <w:t>B-1 Confirmation Form (English)</w:t>
      </w:r>
    </w:p>
    <w:p w:rsidR="004211BB" w:rsidP="004211BB" w14:paraId="7443742C" w14:textId="77777777">
      <w:pPr>
        <w:tabs>
          <w:tab w:val="left" w:pos="5670"/>
        </w:tabs>
        <w:suppressAutoHyphens/>
      </w:pPr>
      <w:r>
        <w:t>B-2 Confirmation Form (Spanish)</w:t>
      </w:r>
    </w:p>
    <w:p w:rsidR="004211BB" w:rsidP="004211BB" w14:paraId="5ACCB9CA" w14:textId="77777777">
      <w:pPr>
        <w:tabs>
          <w:tab w:val="left" w:pos="5670"/>
        </w:tabs>
        <w:suppressAutoHyphens/>
      </w:pPr>
      <w:r>
        <w:t>C-1 Consent Form (English)</w:t>
      </w:r>
    </w:p>
    <w:p w:rsidR="004211BB" w:rsidP="004211BB" w14:paraId="7B005352" w14:textId="77777777">
      <w:pPr>
        <w:tabs>
          <w:tab w:val="left" w:pos="5670"/>
        </w:tabs>
        <w:suppressAutoHyphens/>
      </w:pPr>
      <w:r>
        <w:t xml:space="preserve">C-2 Consent Form </w:t>
      </w:r>
      <w:r>
        <w:t>(Spanish)</w:t>
      </w:r>
    </w:p>
    <w:p w:rsidR="004211BB" w:rsidP="004211BB" w14:paraId="568961EE" w14:textId="77777777">
      <w:pPr>
        <w:tabs>
          <w:tab w:val="left" w:pos="5670"/>
        </w:tabs>
        <w:suppressAutoHyphens/>
      </w:pPr>
      <w:r>
        <w:t xml:space="preserve">D-1 </w:t>
      </w:r>
      <w:r w:rsidRPr="003D5E82">
        <w:t xml:space="preserve">WIC </w:t>
      </w:r>
      <w:r>
        <w:t>Focus Group Guide</w:t>
      </w:r>
      <w:r w:rsidRPr="003D5E82">
        <w:t xml:space="preserve"> (English)</w:t>
      </w:r>
    </w:p>
    <w:p w:rsidR="00BD0BE4" w:rsidP="004211BB" w14:paraId="6F7ECC16" w14:textId="77777777">
      <w:pPr>
        <w:tabs>
          <w:tab w:val="left" w:pos="5670"/>
        </w:tabs>
        <w:suppressAutoHyphens/>
      </w:pPr>
      <w:r>
        <w:t>D-</w:t>
      </w:r>
      <w:r w:rsidR="005435C3">
        <w:t>2</w:t>
      </w:r>
      <w:r>
        <w:t xml:space="preserve"> </w:t>
      </w:r>
      <w:r w:rsidRPr="003D5E82">
        <w:t xml:space="preserve">WIC </w:t>
      </w:r>
      <w:r w:rsidR="009533C5">
        <w:t>Focus Group Guide (Spanish)</w:t>
      </w:r>
    </w:p>
    <w:p w:rsidR="00283090" w:rsidP="004211BB" w14:paraId="6E686605" w14:textId="77777777">
      <w:pPr>
        <w:tabs>
          <w:tab w:val="left" w:pos="5670"/>
        </w:tabs>
        <w:suppressAutoHyphens/>
      </w:pPr>
      <w:r>
        <w:t>E-1 IRB Determination Notice</w:t>
      </w:r>
    </w:p>
    <w:p w:rsidR="004211BB" w:rsidP="003D5E82" w14:paraId="361EBBBD" w14:textId="77777777">
      <w:pPr>
        <w:tabs>
          <w:tab w:val="left" w:pos="5670"/>
        </w:tabs>
        <w:suppressAutoHyphens/>
      </w:pPr>
      <w:r>
        <w:t>F-1 Stimuli for Focus Groups</w:t>
      </w:r>
      <w:r w:rsidR="001949BB">
        <w:t xml:space="preserve"> (NOTE:  The logos to be tested are included in this attachment.  The platforms/names are included in </w:t>
      </w:r>
      <w:r w:rsidR="00816F81">
        <w:t>Attachment D-1.)</w:t>
      </w:r>
    </w:p>
    <w:sectPr w:rsidSect="00541402">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0AC0B7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1402" w14:paraId="217D8DF3" w14:textId="77777777">
      <w:r>
        <w:separator/>
      </w:r>
    </w:p>
  </w:footnote>
  <w:footnote w:type="continuationSeparator" w:id="1">
    <w:p w:rsidR="00541402" w14:paraId="797153F3" w14:textId="77777777">
      <w:r>
        <w:continuationSeparator/>
      </w:r>
    </w:p>
  </w:footnote>
  <w:footnote w:type="continuationNotice" w:id="2">
    <w:p w:rsidR="00541402" w14:paraId="428033E6" w14:textId="77777777"/>
  </w:footnote>
  <w:footnote w:id="3">
    <w:p w:rsidR="00390087" w14:paraId="137A6B38" w14:textId="77777777">
      <w:pPr>
        <w:pStyle w:val="FootnoteText"/>
      </w:pPr>
      <w:r>
        <w:rPr>
          <w:rStyle w:val="FootnoteReference"/>
        </w:rPr>
        <w:footnoteRef/>
      </w:r>
      <w:r>
        <w:t xml:space="preserve"> The 90 minutes does not include time for set-up and login, as explained later in this cover memo.</w:t>
      </w:r>
    </w:p>
  </w:footnote>
  <w:footnote w:id="4">
    <w:p w:rsidR="00D11701" w14:paraId="5A6FFC5D" w14:textId="77777777">
      <w:pPr>
        <w:pStyle w:val="FootnoteText"/>
      </w:pPr>
      <w:r>
        <w:rPr>
          <w:rStyle w:val="FootnoteReference"/>
        </w:rPr>
        <w:footnoteRef/>
      </w:r>
      <w:r>
        <w:t xml:space="preserve"> As identified by the Landscape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2C5538"/>
    <w:multiLevelType w:val="hybridMultilevel"/>
    <w:tmpl w:val="0F1A93E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4"/>
  </w:num>
  <w:num w:numId="2" w16cid:durableId="655182478">
    <w:abstractNumId w:val="21"/>
  </w:num>
  <w:num w:numId="3" w16cid:durableId="580215205">
    <w:abstractNumId w:val="20"/>
  </w:num>
  <w:num w:numId="4" w16cid:durableId="629020045">
    <w:abstractNumId w:val="22"/>
  </w:num>
  <w:num w:numId="5" w16cid:durableId="8722407">
    <w:abstractNumId w:val="3"/>
  </w:num>
  <w:num w:numId="6" w16cid:durableId="339477685">
    <w:abstractNumId w:val="1"/>
  </w:num>
  <w:num w:numId="7" w16cid:durableId="1688482335">
    <w:abstractNumId w:val="11"/>
  </w:num>
  <w:num w:numId="8" w16cid:durableId="578179530">
    <w:abstractNumId w:val="18"/>
  </w:num>
  <w:num w:numId="9" w16cid:durableId="1583177084">
    <w:abstractNumId w:val="13"/>
  </w:num>
  <w:num w:numId="10" w16cid:durableId="1015183633">
    <w:abstractNumId w:val="2"/>
  </w:num>
  <w:num w:numId="11" w16cid:durableId="434786801">
    <w:abstractNumId w:val="7"/>
  </w:num>
  <w:num w:numId="12" w16cid:durableId="882519992">
    <w:abstractNumId w:val="8"/>
  </w:num>
  <w:num w:numId="13" w16cid:durableId="441269651">
    <w:abstractNumId w:val="0"/>
  </w:num>
  <w:num w:numId="14" w16cid:durableId="1883595587">
    <w:abstractNumId w:val="19"/>
  </w:num>
  <w:num w:numId="15" w16cid:durableId="1404991080">
    <w:abstractNumId w:val="17"/>
  </w:num>
  <w:num w:numId="16" w16cid:durableId="2097902680">
    <w:abstractNumId w:val="15"/>
  </w:num>
  <w:num w:numId="17" w16cid:durableId="875049204">
    <w:abstractNumId w:val="4"/>
  </w:num>
  <w:num w:numId="18" w16cid:durableId="1707221328">
    <w:abstractNumId w:val="5"/>
  </w:num>
  <w:num w:numId="19" w16cid:durableId="266740028">
    <w:abstractNumId w:val="10"/>
  </w:num>
  <w:num w:numId="20" w16cid:durableId="2129346851">
    <w:abstractNumId w:val="6"/>
  </w:num>
  <w:num w:numId="21" w16cid:durableId="280847152">
    <w:abstractNumId w:val="12"/>
  </w:num>
  <w:num w:numId="22" w16cid:durableId="894508796">
    <w:abstractNumId w:val="9"/>
  </w:num>
  <w:num w:numId="23" w16cid:durableId="178668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12815"/>
    <w:rsid w:val="00023A57"/>
    <w:rsid w:val="000442BA"/>
    <w:rsid w:val="00046816"/>
    <w:rsid w:val="000470C9"/>
    <w:rsid w:val="0004758E"/>
    <w:rsid w:val="00047A64"/>
    <w:rsid w:val="00052497"/>
    <w:rsid w:val="00052BC6"/>
    <w:rsid w:val="00055D76"/>
    <w:rsid w:val="00060C0C"/>
    <w:rsid w:val="00063C04"/>
    <w:rsid w:val="00064657"/>
    <w:rsid w:val="00066846"/>
    <w:rsid w:val="00067329"/>
    <w:rsid w:val="00072102"/>
    <w:rsid w:val="00072F4F"/>
    <w:rsid w:val="000738CC"/>
    <w:rsid w:val="00083FA6"/>
    <w:rsid w:val="00093A48"/>
    <w:rsid w:val="000A009B"/>
    <w:rsid w:val="000A6DAA"/>
    <w:rsid w:val="000B2838"/>
    <w:rsid w:val="000B666B"/>
    <w:rsid w:val="000C42C6"/>
    <w:rsid w:val="000D208D"/>
    <w:rsid w:val="000D44CA"/>
    <w:rsid w:val="000D600F"/>
    <w:rsid w:val="000E200B"/>
    <w:rsid w:val="000E4C4E"/>
    <w:rsid w:val="000F68BE"/>
    <w:rsid w:val="0010346F"/>
    <w:rsid w:val="00111D1A"/>
    <w:rsid w:val="00130779"/>
    <w:rsid w:val="00136E1A"/>
    <w:rsid w:val="001375DB"/>
    <w:rsid w:val="00147026"/>
    <w:rsid w:val="0015733B"/>
    <w:rsid w:val="00164081"/>
    <w:rsid w:val="00166397"/>
    <w:rsid w:val="00170CE6"/>
    <w:rsid w:val="001733B5"/>
    <w:rsid w:val="00175C71"/>
    <w:rsid w:val="00187BA6"/>
    <w:rsid w:val="001927A4"/>
    <w:rsid w:val="0019291A"/>
    <w:rsid w:val="00193A8B"/>
    <w:rsid w:val="001949BB"/>
    <w:rsid w:val="00194AC6"/>
    <w:rsid w:val="0019590D"/>
    <w:rsid w:val="001A23B0"/>
    <w:rsid w:val="001A25CC"/>
    <w:rsid w:val="001A5BDF"/>
    <w:rsid w:val="001B0AAA"/>
    <w:rsid w:val="001B12ED"/>
    <w:rsid w:val="001C39F7"/>
    <w:rsid w:val="001D7506"/>
    <w:rsid w:val="001E7464"/>
    <w:rsid w:val="001F6D73"/>
    <w:rsid w:val="00206328"/>
    <w:rsid w:val="0021266C"/>
    <w:rsid w:val="0023291C"/>
    <w:rsid w:val="0023447B"/>
    <w:rsid w:val="0023520F"/>
    <w:rsid w:val="00237B48"/>
    <w:rsid w:val="0024521E"/>
    <w:rsid w:val="0024580A"/>
    <w:rsid w:val="00246965"/>
    <w:rsid w:val="00260754"/>
    <w:rsid w:val="00263C3D"/>
    <w:rsid w:val="00265806"/>
    <w:rsid w:val="002667DF"/>
    <w:rsid w:val="002747EE"/>
    <w:rsid w:val="00274D0B"/>
    <w:rsid w:val="00276A19"/>
    <w:rsid w:val="00276FD0"/>
    <w:rsid w:val="0028024E"/>
    <w:rsid w:val="00283090"/>
    <w:rsid w:val="00287530"/>
    <w:rsid w:val="002919C3"/>
    <w:rsid w:val="002930C6"/>
    <w:rsid w:val="002A1DAF"/>
    <w:rsid w:val="002B004B"/>
    <w:rsid w:val="002B052D"/>
    <w:rsid w:val="002B34CD"/>
    <w:rsid w:val="002B3C95"/>
    <w:rsid w:val="002C2792"/>
    <w:rsid w:val="002D0B92"/>
    <w:rsid w:val="002D10F4"/>
    <w:rsid w:val="002D25F9"/>
    <w:rsid w:val="002E1340"/>
    <w:rsid w:val="002E31A4"/>
    <w:rsid w:val="002E6DA2"/>
    <w:rsid w:val="002E7A1C"/>
    <w:rsid w:val="002F6E87"/>
    <w:rsid w:val="00304407"/>
    <w:rsid w:val="00305217"/>
    <w:rsid w:val="00307446"/>
    <w:rsid w:val="00307E76"/>
    <w:rsid w:val="00321639"/>
    <w:rsid w:val="00335914"/>
    <w:rsid w:val="00336B5A"/>
    <w:rsid w:val="003408BB"/>
    <w:rsid w:val="003444C1"/>
    <w:rsid w:val="00374D51"/>
    <w:rsid w:val="003856CA"/>
    <w:rsid w:val="00390087"/>
    <w:rsid w:val="00392428"/>
    <w:rsid w:val="0039498B"/>
    <w:rsid w:val="003A08E5"/>
    <w:rsid w:val="003A55D7"/>
    <w:rsid w:val="003B4968"/>
    <w:rsid w:val="003D5BBE"/>
    <w:rsid w:val="003D5E82"/>
    <w:rsid w:val="003D6828"/>
    <w:rsid w:val="003E3BAB"/>
    <w:rsid w:val="003E3C61"/>
    <w:rsid w:val="003E5759"/>
    <w:rsid w:val="003F17B2"/>
    <w:rsid w:val="003F1C5B"/>
    <w:rsid w:val="003F4D72"/>
    <w:rsid w:val="00410890"/>
    <w:rsid w:val="00413CF2"/>
    <w:rsid w:val="004146D3"/>
    <w:rsid w:val="0041781B"/>
    <w:rsid w:val="004211BB"/>
    <w:rsid w:val="0042135A"/>
    <w:rsid w:val="004218A4"/>
    <w:rsid w:val="00426D81"/>
    <w:rsid w:val="00427479"/>
    <w:rsid w:val="00427A5D"/>
    <w:rsid w:val="004302E0"/>
    <w:rsid w:val="00434E33"/>
    <w:rsid w:val="00434E75"/>
    <w:rsid w:val="00436030"/>
    <w:rsid w:val="00441434"/>
    <w:rsid w:val="00451917"/>
    <w:rsid w:val="0045264C"/>
    <w:rsid w:val="00455775"/>
    <w:rsid w:val="004602A1"/>
    <w:rsid w:val="0046337D"/>
    <w:rsid w:val="00465274"/>
    <w:rsid w:val="00476EA2"/>
    <w:rsid w:val="00477501"/>
    <w:rsid w:val="004848F8"/>
    <w:rsid w:val="004876EC"/>
    <w:rsid w:val="00497923"/>
    <w:rsid w:val="004B0326"/>
    <w:rsid w:val="004D6E14"/>
    <w:rsid w:val="004E09B9"/>
    <w:rsid w:val="004E4F9F"/>
    <w:rsid w:val="004F24B0"/>
    <w:rsid w:val="004F353D"/>
    <w:rsid w:val="005009B0"/>
    <w:rsid w:val="0050125B"/>
    <w:rsid w:val="00512CDD"/>
    <w:rsid w:val="00515C69"/>
    <w:rsid w:val="00525A26"/>
    <w:rsid w:val="00530CA1"/>
    <w:rsid w:val="00541402"/>
    <w:rsid w:val="005435C3"/>
    <w:rsid w:val="0056164B"/>
    <w:rsid w:val="005731B4"/>
    <w:rsid w:val="00574B9C"/>
    <w:rsid w:val="00580BBA"/>
    <w:rsid w:val="0059153D"/>
    <w:rsid w:val="005A0362"/>
    <w:rsid w:val="005A1006"/>
    <w:rsid w:val="005A2332"/>
    <w:rsid w:val="005A61E9"/>
    <w:rsid w:val="005C2682"/>
    <w:rsid w:val="005C26AF"/>
    <w:rsid w:val="005C410E"/>
    <w:rsid w:val="005C41D0"/>
    <w:rsid w:val="005D2AFD"/>
    <w:rsid w:val="005D616E"/>
    <w:rsid w:val="005E714A"/>
    <w:rsid w:val="005E7F4A"/>
    <w:rsid w:val="005F3E4C"/>
    <w:rsid w:val="005F5F2F"/>
    <w:rsid w:val="005F693D"/>
    <w:rsid w:val="006140A0"/>
    <w:rsid w:val="00620D10"/>
    <w:rsid w:val="006248FC"/>
    <w:rsid w:val="00635854"/>
    <w:rsid w:val="00636621"/>
    <w:rsid w:val="0064050F"/>
    <w:rsid w:val="00642B49"/>
    <w:rsid w:val="00650916"/>
    <w:rsid w:val="00657E8B"/>
    <w:rsid w:val="006614DC"/>
    <w:rsid w:val="006616A1"/>
    <w:rsid w:val="0066190B"/>
    <w:rsid w:val="00662894"/>
    <w:rsid w:val="0066642B"/>
    <w:rsid w:val="00677246"/>
    <w:rsid w:val="006832D9"/>
    <w:rsid w:val="00690BA1"/>
    <w:rsid w:val="0069403B"/>
    <w:rsid w:val="006A5EBF"/>
    <w:rsid w:val="006B32F0"/>
    <w:rsid w:val="006B5949"/>
    <w:rsid w:val="006C1E51"/>
    <w:rsid w:val="006C2049"/>
    <w:rsid w:val="006E21B9"/>
    <w:rsid w:val="006F3DDE"/>
    <w:rsid w:val="006F3EB8"/>
    <w:rsid w:val="006F52C0"/>
    <w:rsid w:val="006F632C"/>
    <w:rsid w:val="00701FEE"/>
    <w:rsid w:val="00704678"/>
    <w:rsid w:val="00707CEA"/>
    <w:rsid w:val="00715557"/>
    <w:rsid w:val="00716BA5"/>
    <w:rsid w:val="00722037"/>
    <w:rsid w:val="007226A2"/>
    <w:rsid w:val="00731652"/>
    <w:rsid w:val="0073577F"/>
    <w:rsid w:val="00735BDB"/>
    <w:rsid w:val="00741884"/>
    <w:rsid w:val="007425E7"/>
    <w:rsid w:val="00744F24"/>
    <w:rsid w:val="007535BF"/>
    <w:rsid w:val="007707B7"/>
    <w:rsid w:val="007722D0"/>
    <w:rsid w:val="00773D15"/>
    <w:rsid w:val="00777A51"/>
    <w:rsid w:val="00781558"/>
    <w:rsid w:val="00790272"/>
    <w:rsid w:val="0079178E"/>
    <w:rsid w:val="007C6507"/>
    <w:rsid w:val="007D05C9"/>
    <w:rsid w:val="007D2FBD"/>
    <w:rsid w:val="007D5BAD"/>
    <w:rsid w:val="007E403E"/>
    <w:rsid w:val="007E5F57"/>
    <w:rsid w:val="007F6540"/>
    <w:rsid w:val="007F7080"/>
    <w:rsid w:val="00802607"/>
    <w:rsid w:val="008101A5"/>
    <w:rsid w:val="00810C0C"/>
    <w:rsid w:val="00816F81"/>
    <w:rsid w:val="0081708A"/>
    <w:rsid w:val="00822664"/>
    <w:rsid w:val="00827773"/>
    <w:rsid w:val="008341ED"/>
    <w:rsid w:val="00843796"/>
    <w:rsid w:val="008448C2"/>
    <w:rsid w:val="00846319"/>
    <w:rsid w:val="00880433"/>
    <w:rsid w:val="00887D61"/>
    <w:rsid w:val="00890364"/>
    <w:rsid w:val="00895229"/>
    <w:rsid w:val="00897148"/>
    <w:rsid w:val="008A5CAB"/>
    <w:rsid w:val="008B2EB3"/>
    <w:rsid w:val="008B62A9"/>
    <w:rsid w:val="008C01BE"/>
    <w:rsid w:val="008C120F"/>
    <w:rsid w:val="008C1E29"/>
    <w:rsid w:val="008D1C41"/>
    <w:rsid w:val="008D5070"/>
    <w:rsid w:val="008F0203"/>
    <w:rsid w:val="008F50D4"/>
    <w:rsid w:val="008F700A"/>
    <w:rsid w:val="00900488"/>
    <w:rsid w:val="009031F5"/>
    <w:rsid w:val="009147C6"/>
    <w:rsid w:val="00915677"/>
    <w:rsid w:val="009239AA"/>
    <w:rsid w:val="00924985"/>
    <w:rsid w:val="00927103"/>
    <w:rsid w:val="00927FF2"/>
    <w:rsid w:val="009351E2"/>
    <w:rsid w:val="00935ADA"/>
    <w:rsid w:val="00941426"/>
    <w:rsid w:val="009459B0"/>
    <w:rsid w:val="00946B6C"/>
    <w:rsid w:val="00950681"/>
    <w:rsid w:val="009533C5"/>
    <w:rsid w:val="00955A71"/>
    <w:rsid w:val="0096108F"/>
    <w:rsid w:val="00981072"/>
    <w:rsid w:val="00985683"/>
    <w:rsid w:val="009873DE"/>
    <w:rsid w:val="00992E15"/>
    <w:rsid w:val="009B5AFF"/>
    <w:rsid w:val="009C13B9"/>
    <w:rsid w:val="009C3850"/>
    <w:rsid w:val="009C4228"/>
    <w:rsid w:val="009C56ED"/>
    <w:rsid w:val="009D01A2"/>
    <w:rsid w:val="009D633A"/>
    <w:rsid w:val="009D6CEA"/>
    <w:rsid w:val="009E5227"/>
    <w:rsid w:val="009E52AD"/>
    <w:rsid w:val="009F5923"/>
    <w:rsid w:val="00A01675"/>
    <w:rsid w:val="00A06D34"/>
    <w:rsid w:val="00A13E5A"/>
    <w:rsid w:val="00A36746"/>
    <w:rsid w:val="00A403BB"/>
    <w:rsid w:val="00A47523"/>
    <w:rsid w:val="00A6356E"/>
    <w:rsid w:val="00A674DF"/>
    <w:rsid w:val="00A72D6C"/>
    <w:rsid w:val="00A83AA6"/>
    <w:rsid w:val="00A934D6"/>
    <w:rsid w:val="00A94594"/>
    <w:rsid w:val="00AA0E8D"/>
    <w:rsid w:val="00AA5359"/>
    <w:rsid w:val="00AB3921"/>
    <w:rsid w:val="00AC6868"/>
    <w:rsid w:val="00AD1C65"/>
    <w:rsid w:val="00AD3DF8"/>
    <w:rsid w:val="00AE1809"/>
    <w:rsid w:val="00AE1B5D"/>
    <w:rsid w:val="00AE431C"/>
    <w:rsid w:val="00AE686E"/>
    <w:rsid w:val="00AF3D9D"/>
    <w:rsid w:val="00B07C49"/>
    <w:rsid w:val="00B35113"/>
    <w:rsid w:val="00B36132"/>
    <w:rsid w:val="00B4087F"/>
    <w:rsid w:val="00B45AF9"/>
    <w:rsid w:val="00B46D38"/>
    <w:rsid w:val="00B50BFC"/>
    <w:rsid w:val="00B55772"/>
    <w:rsid w:val="00B73147"/>
    <w:rsid w:val="00B80D76"/>
    <w:rsid w:val="00BA2105"/>
    <w:rsid w:val="00BA7E06"/>
    <w:rsid w:val="00BB3E51"/>
    <w:rsid w:val="00BB43B5"/>
    <w:rsid w:val="00BB4D5C"/>
    <w:rsid w:val="00BB5D13"/>
    <w:rsid w:val="00BB6219"/>
    <w:rsid w:val="00BC6183"/>
    <w:rsid w:val="00BD0BE4"/>
    <w:rsid w:val="00BD290F"/>
    <w:rsid w:val="00BD6A37"/>
    <w:rsid w:val="00BE2257"/>
    <w:rsid w:val="00BE7677"/>
    <w:rsid w:val="00C007DC"/>
    <w:rsid w:val="00C06A18"/>
    <w:rsid w:val="00C14CC4"/>
    <w:rsid w:val="00C237AC"/>
    <w:rsid w:val="00C25755"/>
    <w:rsid w:val="00C33C52"/>
    <w:rsid w:val="00C40D8B"/>
    <w:rsid w:val="00C42F93"/>
    <w:rsid w:val="00C53CC3"/>
    <w:rsid w:val="00C763E1"/>
    <w:rsid w:val="00C8355D"/>
    <w:rsid w:val="00C8407A"/>
    <w:rsid w:val="00C8488C"/>
    <w:rsid w:val="00C86E91"/>
    <w:rsid w:val="00C87AD9"/>
    <w:rsid w:val="00C928DE"/>
    <w:rsid w:val="00C92E71"/>
    <w:rsid w:val="00CA2650"/>
    <w:rsid w:val="00CA2BD3"/>
    <w:rsid w:val="00CA4A44"/>
    <w:rsid w:val="00CB1078"/>
    <w:rsid w:val="00CB51DC"/>
    <w:rsid w:val="00CC3E8D"/>
    <w:rsid w:val="00CC4606"/>
    <w:rsid w:val="00CC6FAF"/>
    <w:rsid w:val="00CD1D3D"/>
    <w:rsid w:val="00CD45B7"/>
    <w:rsid w:val="00CF0394"/>
    <w:rsid w:val="00CF552C"/>
    <w:rsid w:val="00CF6542"/>
    <w:rsid w:val="00D058E9"/>
    <w:rsid w:val="00D111C7"/>
    <w:rsid w:val="00D11701"/>
    <w:rsid w:val="00D123A5"/>
    <w:rsid w:val="00D17626"/>
    <w:rsid w:val="00D23E25"/>
    <w:rsid w:val="00D24698"/>
    <w:rsid w:val="00D259C9"/>
    <w:rsid w:val="00D34035"/>
    <w:rsid w:val="00D5532A"/>
    <w:rsid w:val="00D60F24"/>
    <w:rsid w:val="00D631CF"/>
    <w:rsid w:val="00D6383F"/>
    <w:rsid w:val="00D66B31"/>
    <w:rsid w:val="00D72278"/>
    <w:rsid w:val="00D82EE5"/>
    <w:rsid w:val="00D87FE6"/>
    <w:rsid w:val="00D91E46"/>
    <w:rsid w:val="00D93DA4"/>
    <w:rsid w:val="00DA55C0"/>
    <w:rsid w:val="00DB59D0"/>
    <w:rsid w:val="00DC33D3"/>
    <w:rsid w:val="00DD5910"/>
    <w:rsid w:val="00E039C4"/>
    <w:rsid w:val="00E1059F"/>
    <w:rsid w:val="00E10C74"/>
    <w:rsid w:val="00E22B4E"/>
    <w:rsid w:val="00E24941"/>
    <w:rsid w:val="00E24D99"/>
    <w:rsid w:val="00E26329"/>
    <w:rsid w:val="00E26A9A"/>
    <w:rsid w:val="00E30C17"/>
    <w:rsid w:val="00E352CE"/>
    <w:rsid w:val="00E37034"/>
    <w:rsid w:val="00E40B50"/>
    <w:rsid w:val="00E42285"/>
    <w:rsid w:val="00E437F3"/>
    <w:rsid w:val="00E50293"/>
    <w:rsid w:val="00E54617"/>
    <w:rsid w:val="00E64060"/>
    <w:rsid w:val="00E65FFC"/>
    <w:rsid w:val="00E744EA"/>
    <w:rsid w:val="00E80951"/>
    <w:rsid w:val="00E854FE"/>
    <w:rsid w:val="00E86CC6"/>
    <w:rsid w:val="00E87CAC"/>
    <w:rsid w:val="00E91667"/>
    <w:rsid w:val="00E97A0A"/>
    <w:rsid w:val="00EA0CA2"/>
    <w:rsid w:val="00EA5AC2"/>
    <w:rsid w:val="00EA64D5"/>
    <w:rsid w:val="00EB3162"/>
    <w:rsid w:val="00EB4841"/>
    <w:rsid w:val="00EB56B3"/>
    <w:rsid w:val="00EB6112"/>
    <w:rsid w:val="00EC07F3"/>
    <w:rsid w:val="00EC0F57"/>
    <w:rsid w:val="00EC3A88"/>
    <w:rsid w:val="00ED6492"/>
    <w:rsid w:val="00EE4CA8"/>
    <w:rsid w:val="00EF15D2"/>
    <w:rsid w:val="00EF2095"/>
    <w:rsid w:val="00EF490F"/>
    <w:rsid w:val="00F032A7"/>
    <w:rsid w:val="00F04C64"/>
    <w:rsid w:val="00F06866"/>
    <w:rsid w:val="00F15956"/>
    <w:rsid w:val="00F210E8"/>
    <w:rsid w:val="00F22C5F"/>
    <w:rsid w:val="00F23E81"/>
    <w:rsid w:val="00F24CFC"/>
    <w:rsid w:val="00F3170F"/>
    <w:rsid w:val="00F548E0"/>
    <w:rsid w:val="00F56147"/>
    <w:rsid w:val="00F65C3E"/>
    <w:rsid w:val="00F77DAC"/>
    <w:rsid w:val="00F90608"/>
    <w:rsid w:val="00F948B0"/>
    <w:rsid w:val="00F94B91"/>
    <w:rsid w:val="00F976B0"/>
    <w:rsid w:val="00FA6DE7"/>
    <w:rsid w:val="00FB2CB6"/>
    <w:rsid w:val="00FB3387"/>
    <w:rsid w:val="00FB400D"/>
    <w:rsid w:val="00FB5422"/>
    <w:rsid w:val="00FB60AE"/>
    <w:rsid w:val="00FC0A8E"/>
    <w:rsid w:val="00FC43E5"/>
    <w:rsid w:val="00FE2FA6"/>
    <w:rsid w:val="00FE3DF2"/>
    <w:rsid w:val="00FF0D12"/>
    <w:rsid w:val="0A4B7230"/>
    <w:rsid w:val="0B569344"/>
    <w:rsid w:val="0BB0361F"/>
    <w:rsid w:val="15B9A4C6"/>
    <w:rsid w:val="3241B3FC"/>
    <w:rsid w:val="3813F7F3"/>
    <w:rsid w:val="39189605"/>
    <w:rsid w:val="39621AB4"/>
    <w:rsid w:val="3FC8B118"/>
    <w:rsid w:val="420B271D"/>
    <w:rsid w:val="44C84F6B"/>
    <w:rsid w:val="4B18892E"/>
    <w:rsid w:val="5243E720"/>
    <w:rsid w:val="540C3469"/>
    <w:rsid w:val="644DB786"/>
    <w:rsid w:val="690614A1"/>
    <w:rsid w:val="6EFB66A2"/>
    <w:rsid w:val="6F03F8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E564CB5"/>
  <w15:chartTrackingRefBased/>
  <w15:docId w15:val="{6174A1AC-238F-46A3-AF27-996517C9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character" w:styleId="Hyperlink">
    <w:name w:val="Hyperlink"/>
    <w:basedOn w:val="DefaultParagraphFont"/>
    <w:rsid w:val="00B73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7009b-604b-4b3b-a32f-3541099a0f50">
      <Terms xmlns="http://schemas.microsoft.com/office/infopath/2007/PartnerControls"/>
    </lcf76f155ced4ddcb4097134ff3c332f>
    <TaxCatchAll xmlns="153315ae-5810-4bf4-956e-23fac90843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2.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3.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57d7009b-604b-4b3b-a32f-3541099a0f50"/>
    <ds:schemaRef ds:uri="153315ae-5810-4bf4-956e-23fac90843b2"/>
  </ds:schemaRefs>
</ds:datastoreItem>
</file>

<file path=customXml/itemProps4.xml><?xml version="1.0" encoding="utf-8"?>
<ds:datastoreItem xmlns:ds="http://schemas.openxmlformats.org/officeDocument/2006/customXml" ds:itemID="{9DAC6709-34E0-43C5-AD81-009750D9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Duncan-Hughes, Dionne - FNS</cp:lastModifiedBy>
  <cp:revision>2</cp:revision>
  <cp:lastPrinted>2010-10-04T12:59:00Z</cp:lastPrinted>
  <dcterms:created xsi:type="dcterms:W3CDTF">2024-05-07T15:44:00Z</dcterms:created>
  <dcterms:modified xsi:type="dcterms:W3CDTF">2024-05-07T15:44:00Z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y fmtid="{D5CDD505-2E9C-101B-9397-08002B2CF9AE}" pid="5" name="_NewReviewCycle">
    <vt:lpwstr/>
  </property>
</Properties>
</file>