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1CC4A725" w14:paraId="7EEE47F4" w14:textId="60EABE05">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1CC4A725" w:rsidR="005E714A">
        <w:rPr>
          <w:b/>
          <w:bCs/>
        </w:rPr>
        <w:t>TITLE OF INFORMATION COLLECTION:</w:t>
      </w:r>
      <w:r w:rsidR="005E714A">
        <w:t xml:space="preserve">  </w:t>
      </w:r>
      <w:r w:rsidR="00BB3E51">
        <w:t xml:space="preserve">WIC National Outreach Campaign </w:t>
      </w:r>
      <w:r w:rsidR="00F845E3">
        <w:t>– In-depth Interviews (IDIs) a</w:t>
      </w:r>
      <w:r w:rsidR="5FAB3196">
        <w:t xml:space="preserve">mong </w:t>
      </w:r>
      <w:r w:rsidR="00F75775">
        <w:t xml:space="preserve">Employees of Food </w:t>
      </w:r>
      <w:r w:rsidR="5FAB3196">
        <w:t>Shopping Vendor</w:t>
      </w:r>
      <w:r w:rsidR="00F75775">
        <w:t>s</w:t>
      </w:r>
      <w:r w:rsidR="1840D3F0">
        <w:t xml:space="preserve"> </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BB3E51" w:rsidP="00BB3E51" w14:paraId="56BDFE6A" w14:textId="2B1E2D93">
      <w:pPr>
        <w:autoSpaceDE w:val="0"/>
        <w:autoSpaceDN w:val="0"/>
        <w:adjustRightInd w:val="0"/>
      </w:pPr>
      <w:r>
        <w:t>The U.S. Department of Agriculture’s (USDA) Food and Nutrition Service</w:t>
      </w:r>
      <w:r w:rsidR="00F75775">
        <w:t>’s</w:t>
      </w:r>
      <w:r>
        <w:t xml:space="preserve"> mission is to increase food security and reduce hunger by providing children and low-income people access to food, a healthful diet and nutrition education in a way that supports American agriculture and</w:t>
      </w:r>
      <w:r>
        <w:br/>
        <w:t xml:space="preserve">inspires public confidence. To this end, the Food and Nutrition Service (FNS) </w:t>
      </w:r>
      <w:bookmarkStart w:id="0" w:name="_Hlk82702139"/>
      <w:r>
        <w:t xml:space="preserve">is developing the Special Supplemental Nutrition Program for Women, Infants, and Children (WIC) National Outreach Campaign to increase awareness of the health and nutrition benefits associated with WIC participation, with the primary goal of increasing enrollment and </w:t>
      </w:r>
      <w:r w:rsidR="00AB3ABA">
        <w:t>client/</w:t>
      </w:r>
      <w:r>
        <w:t xml:space="preserve">participant retention, while reducing disparities in program access and delivery. </w:t>
      </w:r>
      <w:bookmarkEnd w:id="0"/>
    </w:p>
    <w:p w:rsidR="006C2049" w:rsidP="00BB3E51" w14:paraId="6D641FFA" w14:textId="352BBCDF">
      <w:pPr>
        <w:autoSpaceDE w:val="0"/>
        <w:autoSpaceDN w:val="0"/>
        <w:adjustRightInd w:val="0"/>
      </w:pPr>
    </w:p>
    <w:p w:rsidR="00F845E3" w:rsidP="1CC4A725" w14:paraId="676914B7" w14:textId="05AE29A1">
      <w:pPr>
        <w:autoSpaceDE w:val="0"/>
        <w:autoSpaceDN w:val="0"/>
        <w:adjustRightInd w:val="0"/>
        <w:rPr>
          <w:rStyle w:val="normaltextrun"/>
          <w:color w:val="000000" w:themeColor="text1"/>
        </w:rPr>
      </w:pPr>
      <w:r>
        <w:t>To meet these important objectives, FNS must understand the impact of the shopping experience on the mindsets of current WIC clients/participants and identify potential avenues to improve this audience’s shopping experiences.  To help answer this question, t</w:t>
      </w:r>
      <w:r>
        <w:t>he OMB-approved</w:t>
      </w:r>
      <w:r w:rsidR="00073A04">
        <w:t xml:space="preserve"> WIC shopper diaries </w:t>
      </w:r>
      <w:r>
        <w:t xml:space="preserve">conducted </w:t>
      </w:r>
      <w:r w:rsidR="00073A04">
        <w:t xml:space="preserve">in late 2023 </w:t>
      </w:r>
      <w:r w:rsidR="009238C3">
        <w:t xml:space="preserve">provided </w:t>
      </w:r>
      <w:r w:rsidR="00C169D8">
        <w:t xml:space="preserve">invaluable information about issues WIC participants </w:t>
      </w:r>
      <w:r w:rsidR="00E636E6">
        <w:t>face when</w:t>
      </w:r>
      <w:r w:rsidR="00BF202E">
        <w:t xml:space="preserve"> redeeming WIC</w:t>
      </w:r>
      <w:r w:rsidR="006A4C2C">
        <w:t xml:space="preserve"> food </w:t>
      </w:r>
      <w:r w:rsidR="00BF202E">
        <w:t>benefits.</w:t>
      </w:r>
      <w:r w:rsidR="00E636E6">
        <w:t xml:space="preserve"> This research also </w:t>
      </w:r>
      <w:r>
        <w:t xml:space="preserve">revealed that </w:t>
      </w:r>
      <w:r w:rsidR="00073A04">
        <w:t>shopping vendors</w:t>
      </w:r>
      <w:r>
        <w:t xml:space="preserve"> </w:t>
      </w:r>
      <w:r w:rsidR="00A75F28">
        <w:t>(</w:t>
      </w:r>
      <w:r w:rsidR="009C3E19">
        <w:t>i.e., individuals who work at grocery stores, independent stores, bodegas)</w:t>
      </w:r>
      <w:r w:rsidR="00A75F28">
        <w:t xml:space="preserve"> </w:t>
      </w:r>
      <w:r>
        <w:t>play a significant role in</w:t>
      </w:r>
      <w:r w:rsidR="00073A04">
        <w:t xml:space="preserve"> shaping WIC participant</w:t>
      </w:r>
      <w:r w:rsidR="35D14A21">
        <w:t>s’</w:t>
      </w:r>
      <w:r w:rsidR="00AC045D">
        <w:t xml:space="preserve"> food benefit redemption (e.g</w:t>
      </w:r>
      <w:r w:rsidR="00464D41">
        <w:t>.,</w:t>
      </w:r>
      <w:r w:rsidR="00073A04">
        <w:t xml:space="preserve"> shopping</w:t>
      </w:r>
      <w:r w:rsidR="00AC045D">
        <w:t>)</w:t>
      </w:r>
      <w:r w:rsidR="00073A04">
        <w:t xml:space="preserve"> experiences</w:t>
      </w:r>
      <w:r>
        <w:t xml:space="preserve">. </w:t>
      </w:r>
      <w:r w:rsidR="00841E96">
        <w:t xml:space="preserve">For </w:t>
      </w:r>
      <w:r w:rsidR="00073A04">
        <w:t>e</w:t>
      </w:r>
      <w:r w:rsidRPr="1CC4A725" w:rsidR="00073A04">
        <w:t>xample</w:t>
      </w:r>
      <w:r w:rsidRPr="1CC4A725" w:rsidR="7A7F2940">
        <w:t xml:space="preserve">, </w:t>
      </w:r>
      <w:r w:rsidRPr="1CC4A725" w:rsidR="00073A04">
        <w:t>some vendors do not clearly label WIC approved items on store shelves.</w:t>
      </w:r>
      <w:r w:rsidR="00D128D1">
        <w:t xml:space="preserve">  In addition, WIC participants can face challenges at checkout if the vendor’s computer system contradicts </w:t>
      </w:r>
      <w:r w:rsidR="00AC14C5">
        <w:t>a WIC participant’s benefits package</w:t>
      </w:r>
      <w:r w:rsidR="00D636B5">
        <w:t xml:space="preserve"> or if an employee does not understand the WIC program</w:t>
      </w:r>
      <w:r w:rsidR="00AC14C5">
        <w:t>.</w:t>
      </w:r>
      <w:r w:rsidRPr="1CC4A725" w:rsidR="00073A04">
        <w:t xml:space="preserve">  </w:t>
      </w:r>
      <w:r w:rsidRPr="1CC4A725" w:rsidR="6964BB0C">
        <w:t>C</w:t>
      </w:r>
      <w:r w:rsidRPr="1CC4A725" w:rsidR="00073A04">
        <w:t xml:space="preserve">ircumstances like </w:t>
      </w:r>
      <w:r w:rsidR="00AC14C5">
        <w:t>these</w:t>
      </w:r>
      <w:r w:rsidRPr="1CC4A725" w:rsidR="00AC14C5">
        <w:t xml:space="preserve"> </w:t>
      </w:r>
      <w:r w:rsidRPr="1CC4A725" w:rsidR="00073A04">
        <w:t>can make the WIC participant’s shopping trip both cumbersome and frustrating.</w:t>
      </w:r>
      <w:r w:rsidR="00524E0E">
        <w:t xml:space="preserve">  These experiences may negatively impact a WIC participant’s likelihood to re-enroll in the program.  Also, as our OMB-approved survey revealed word-of-mouth as a key driver for WIC applications, such in-store shopping frustrations could be </w:t>
      </w:r>
      <w:r w:rsidR="00BB2E5B">
        <w:t>reported to potential participants, discouraging future enrollment.</w:t>
      </w:r>
      <w:r w:rsidRPr="1CC4A725" w:rsidR="00073A04">
        <w:t xml:space="preserve"> </w:t>
      </w:r>
      <w:r w:rsidR="00B84B3A">
        <w:t xml:space="preserve">Hence, to truly understand the WIC shopping journey, </w:t>
      </w:r>
      <w:r w:rsidR="00B84B3A">
        <w:rPr>
          <w:rStyle w:val="normaltextrun"/>
          <w:color w:val="000000"/>
          <w:shd w:val="clear" w:color="auto" w:fill="FFFFFF"/>
        </w:rPr>
        <w:t xml:space="preserve">it is vital to capture an </w:t>
      </w:r>
      <w:r w:rsidRPr="1CC4A725" w:rsidR="00AB708F">
        <w:rPr>
          <w:rStyle w:val="normaltextrun"/>
          <w:color w:val="000000"/>
          <w:shd w:val="clear" w:color="auto" w:fill="FFFFFF"/>
        </w:rPr>
        <w:t>important, additional perspective—vendors. </w:t>
      </w:r>
    </w:p>
    <w:p w:rsidR="00841E96" w:rsidP="1CC4A725" w14:paraId="671CAC13" w14:textId="77777777">
      <w:pPr>
        <w:autoSpaceDE w:val="0"/>
        <w:autoSpaceDN w:val="0"/>
        <w:adjustRightInd w:val="0"/>
      </w:pPr>
    </w:p>
    <w:p w:rsidR="00F64373" w:rsidP="1CC4A725" w14:paraId="7392E201" w14:textId="5762CF7B">
      <w:pPr>
        <w:autoSpaceDE w:val="0"/>
        <w:autoSpaceDN w:val="0"/>
        <w:adjustRightInd w:val="0"/>
      </w:pPr>
      <w:r>
        <w:t xml:space="preserve">In addition, </w:t>
      </w:r>
      <w:r w:rsidR="00493F2C">
        <w:t xml:space="preserve">WIC has not conducted </w:t>
      </w:r>
      <w:r>
        <w:t xml:space="preserve">recent </w:t>
      </w:r>
      <w:r w:rsidR="00493F2C">
        <w:t xml:space="preserve">research among </w:t>
      </w:r>
      <w:r w:rsidR="00073A04">
        <w:t>shopping vendors</w:t>
      </w:r>
      <w:r w:rsidR="00F23393">
        <w:t xml:space="preserve">, focusing on </w:t>
      </w:r>
      <w:r w:rsidR="00493F2C">
        <w:t xml:space="preserve">what they know about the program, </w:t>
      </w:r>
      <w:r w:rsidR="00073A04">
        <w:t xml:space="preserve">how they implement the </w:t>
      </w:r>
      <w:r w:rsidR="782E85F1">
        <w:t xml:space="preserve">WIC </w:t>
      </w:r>
      <w:r w:rsidR="00073A04">
        <w:t xml:space="preserve">program in their store, </w:t>
      </w:r>
      <w:r w:rsidR="009B7B7D">
        <w:t xml:space="preserve">how they </w:t>
      </w:r>
      <w:r w:rsidR="00073A04">
        <w:t>train store employees about WIC</w:t>
      </w:r>
      <w:r w:rsidR="009B7B7D">
        <w:t>,</w:t>
      </w:r>
      <w:r w:rsidR="00073A04">
        <w:t xml:space="preserve"> or </w:t>
      </w:r>
      <w:r w:rsidR="009B7B7D">
        <w:t xml:space="preserve">how they address WIC-related issues that may occur at checkout.  </w:t>
      </w:r>
      <w:r w:rsidR="00073A04">
        <w:t xml:space="preserve"> </w:t>
      </w:r>
      <w:r>
        <w:t xml:space="preserve"> </w:t>
      </w:r>
    </w:p>
    <w:p w:rsidR="00F64373" w:rsidP="1CC4A725" w14:paraId="30DA3F7E" w14:textId="77777777">
      <w:pPr>
        <w:autoSpaceDE w:val="0"/>
        <w:autoSpaceDN w:val="0"/>
        <w:adjustRightInd w:val="0"/>
      </w:pPr>
    </w:p>
    <w:p w:rsidR="00841E96" w:rsidP="006C2049" w14:paraId="3A015299" w14:textId="218AB273">
      <w:pPr>
        <w:autoSpaceDE w:val="0"/>
        <w:autoSpaceDN w:val="0"/>
        <w:adjustRightInd w:val="0"/>
      </w:pPr>
      <w:r>
        <w:t xml:space="preserve">It is also important to </w:t>
      </w:r>
      <w:r w:rsidR="00073A04">
        <w:t xml:space="preserve">know how shopping vendors would </w:t>
      </w:r>
      <w:r>
        <w:t>prefer to receive information from WIC</w:t>
      </w:r>
      <w:r w:rsidR="00073A04">
        <w:t xml:space="preserve"> State or </w:t>
      </w:r>
      <w:r w:rsidR="00B027A4">
        <w:t>l</w:t>
      </w:r>
      <w:r w:rsidR="00073A04">
        <w:t xml:space="preserve">ocal agencies, </w:t>
      </w:r>
      <w:r>
        <w:t>and what m</w:t>
      </w:r>
      <w:r w:rsidR="00073A04">
        <w:t xml:space="preserve">aterials </w:t>
      </w:r>
      <w:r>
        <w:t xml:space="preserve">would be most useful to </w:t>
      </w:r>
      <w:r w:rsidR="00073A04">
        <w:t xml:space="preserve">enhance employee training about WIC and make the </w:t>
      </w:r>
      <w:r w:rsidR="00F5ECFB">
        <w:t>participant's</w:t>
      </w:r>
      <w:r w:rsidR="00073A04">
        <w:t xml:space="preserve"> shopping experience</w:t>
      </w:r>
      <w:r w:rsidR="006A4808">
        <w:t>s</w:t>
      </w:r>
      <w:r w:rsidR="00073A04">
        <w:t xml:space="preserve"> as </w:t>
      </w:r>
      <w:r w:rsidR="006A4808">
        <w:t xml:space="preserve">efficient </w:t>
      </w:r>
      <w:r w:rsidR="00073A04">
        <w:t xml:space="preserve">as possible.  </w:t>
      </w:r>
      <w:r>
        <w:t xml:space="preserve"> </w:t>
      </w:r>
    </w:p>
    <w:p w:rsidR="003563A9" w:rsidP="006C2049" w14:paraId="3CF2BADF" w14:textId="77777777">
      <w:pPr>
        <w:autoSpaceDE w:val="0"/>
        <w:autoSpaceDN w:val="0"/>
        <w:adjustRightInd w:val="0"/>
      </w:pPr>
    </w:p>
    <w:p w:rsidR="00EB231C" w:rsidP="006C2049" w14:paraId="1507C4EA" w14:textId="33A0E0D4">
      <w:pPr>
        <w:autoSpaceDE w:val="0"/>
        <w:autoSpaceDN w:val="0"/>
        <w:adjustRightInd w:val="0"/>
        <w:rPr>
          <w:rFonts w:eastAsia="Calibri"/>
          <w:color w:val="000000" w:themeColor="text1"/>
        </w:rPr>
      </w:pPr>
      <w:r>
        <w:t xml:space="preserve">To meet these research needs, </w:t>
      </w:r>
      <w:r w:rsidRPr="4ADF80F2">
        <w:rPr>
          <w:rFonts w:eastAsia="Calibri"/>
          <w:color w:val="000000" w:themeColor="text1"/>
        </w:rPr>
        <w:t xml:space="preserve">FNS intends to conduct a series of virtual in-depth interviews (IDIs) with various </w:t>
      </w:r>
      <w:r w:rsidRPr="4ADF80F2" w:rsidR="00073A04">
        <w:rPr>
          <w:rFonts w:eastAsia="Calibri"/>
          <w:color w:val="000000" w:themeColor="text1"/>
        </w:rPr>
        <w:t>shopping vendor employees</w:t>
      </w:r>
      <w:r w:rsidRPr="4ADF80F2" w:rsidR="3493FE50">
        <w:rPr>
          <w:rFonts w:eastAsia="Calibri"/>
          <w:color w:val="000000" w:themeColor="text1"/>
        </w:rPr>
        <w:t xml:space="preserve"> </w:t>
      </w:r>
      <w:r w:rsidRPr="4ADF80F2" w:rsidR="57FECB89">
        <w:rPr>
          <w:rFonts w:eastAsia="Calibri"/>
          <w:color w:val="000000" w:themeColor="text1"/>
        </w:rPr>
        <w:t>who work at stores that accept WIC</w:t>
      </w:r>
      <w:r w:rsidRPr="4ADF80F2">
        <w:rPr>
          <w:rFonts w:eastAsia="Calibri"/>
          <w:color w:val="000000" w:themeColor="text1"/>
        </w:rPr>
        <w:t xml:space="preserve">. Specifically, this qualitative research task includes </w:t>
      </w:r>
      <w:r w:rsidRPr="4ADF80F2" w:rsidR="4D0868DE">
        <w:rPr>
          <w:rFonts w:eastAsia="Calibri"/>
          <w:color w:val="000000" w:themeColor="text1"/>
        </w:rPr>
        <w:t>36</w:t>
      </w:r>
      <w:r w:rsidRPr="4ADF80F2">
        <w:rPr>
          <w:rFonts w:eastAsia="Calibri"/>
          <w:color w:val="000000" w:themeColor="text1"/>
        </w:rPr>
        <w:t xml:space="preserve"> IDIs, split across the following </w:t>
      </w:r>
      <w:r w:rsidRPr="4ADF80F2" w:rsidR="007523AF">
        <w:rPr>
          <w:rFonts w:eastAsia="Calibri"/>
          <w:color w:val="000000" w:themeColor="text1"/>
        </w:rPr>
        <w:t xml:space="preserve">vendor </w:t>
      </w:r>
      <w:r w:rsidRPr="4ADF80F2">
        <w:rPr>
          <w:rFonts w:eastAsia="Calibri"/>
          <w:color w:val="000000" w:themeColor="text1"/>
        </w:rPr>
        <w:t>audiences:</w:t>
      </w:r>
    </w:p>
    <w:p w:rsidR="00EB231C" w:rsidRPr="005D169B" w:rsidP="00EB231C" w14:paraId="2E21807F" w14:textId="4C97F7CB">
      <w:pPr>
        <w:pStyle w:val="ListParagraph"/>
        <w:numPr>
          <w:ilvl w:val="0"/>
          <w:numId w:val="24"/>
        </w:numPr>
        <w:tabs>
          <w:tab w:val="left" w:pos="5040"/>
        </w:tabs>
        <w:ind w:left="720"/>
        <w:rPr>
          <w:rFonts w:eastAsia="Calibri"/>
          <w:color w:val="000000" w:themeColor="text1"/>
        </w:rPr>
      </w:pPr>
      <w:bookmarkStart w:id="1" w:name="_Hlk143175430"/>
      <w:r w:rsidRPr="005D169B">
        <w:rPr>
          <w:rFonts w:eastAsia="Calibri"/>
          <w:color w:val="000000" w:themeColor="text1"/>
        </w:rPr>
        <w:t>1</w:t>
      </w:r>
      <w:r w:rsidRPr="005D169B" w:rsidR="1EA2B862">
        <w:rPr>
          <w:rFonts w:eastAsia="Calibri"/>
          <w:color w:val="000000" w:themeColor="text1"/>
        </w:rPr>
        <w:t>8</w:t>
      </w:r>
      <w:r w:rsidRPr="005D169B">
        <w:rPr>
          <w:rFonts w:eastAsia="Calibri"/>
          <w:color w:val="000000" w:themeColor="text1"/>
        </w:rPr>
        <w:t xml:space="preserve"> – </w:t>
      </w:r>
      <w:r w:rsidRPr="005D169B">
        <w:rPr>
          <w:rFonts w:eastAsia="Calibri"/>
          <w:color w:val="000000" w:themeColor="text1"/>
        </w:rPr>
        <w:t>Store Managers</w:t>
      </w:r>
    </w:p>
    <w:p w:rsidR="00EB231C" w:rsidRPr="005D169B" w:rsidP="007523AF" w14:paraId="564B5ED4" w14:textId="31976743">
      <w:pPr>
        <w:pStyle w:val="ListParagraph"/>
        <w:numPr>
          <w:ilvl w:val="0"/>
          <w:numId w:val="24"/>
        </w:numPr>
        <w:tabs>
          <w:tab w:val="left" w:pos="5040"/>
        </w:tabs>
        <w:ind w:left="720"/>
        <w:rPr>
          <w:rFonts w:eastAsia="Calibri"/>
          <w:color w:val="000000" w:themeColor="text1"/>
        </w:rPr>
      </w:pPr>
      <w:r w:rsidRPr="005D169B">
        <w:rPr>
          <w:rFonts w:eastAsia="Calibri"/>
          <w:color w:val="000000" w:themeColor="text1"/>
        </w:rPr>
        <w:t>18</w:t>
      </w:r>
      <w:r w:rsidRPr="005D169B">
        <w:rPr>
          <w:rFonts w:eastAsia="Calibri"/>
          <w:color w:val="000000" w:themeColor="text1"/>
        </w:rPr>
        <w:t xml:space="preserve"> – </w:t>
      </w:r>
      <w:r w:rsidRPr="005D169B" w:rsidR="007523AF">
        <w:rPr>
          <w:rFonts w:eastAsia="Calibri"/>
          <w:color w:val="000000" w:themeColor="text1"/>
        </w:rPr>
        <w:t>Cashiers</w:t>
      </w:r>
      <w:r w:rsidRPr="005D169B" w:rsidR="00036E9B">
        <w:rPr>
          <w:rFonts w:eastAsia="Calibri"/>
          <w:color w:val="000000" w:themeColor="text1"/>
        </w:rPr>
        <w:t xml:space="preserve"> and Customer Service staff</w:t>
      </w:r>
      <w:r w:rsidRPr="005D169B" w:rsidR="007523AF">
        <w:rPr>
          <w:rFonts w:eastAsia="Calibri"/>
          <w:color w:val="000000" w:themeColor="text1"/>
        </w:rPr>
        <w:t xml:space="preserve"> </w:t>
      </w:r>
    </w:p>
    <w:bookmarkEnd w:id="1"/>
    <w:p w:rsidR="00EB231C" w:rsidP="006C2049" w14:paraId="75E48A9B" w14:textId="77777777">
      <w:pPr>
        <w:autoSpaceDE w:val="0"/>
        <w:autoSpaceDN w:val="0"/>
        <w:adjustRightInd w:val="0"/>
        <w:rPr>
          <w:rFonts w:eastAsia="Calibri"/>
          <w:color w:val="000000" w:themeColor="text1"/>
        </w:rPr>
      </w:pPr>
    </w:p>
    <w:p w:rsidR="00BB3E51" w:rsidRPr="00F845E3" w:rsidP="6CCE6BDF" w14:paraId="7E3DC36B" w14:textId="7F231E83">
      <w:pPr>
        <w:autoSpaceDE w:val="0"/>
        <w:autoSpaceDN w:val="0"/>
        <w:adjustRightInd w:val="0"/>
        <w:rPr>
          <w:rFonts w:eastAsia="Calibri"/>
          <w:color w:val="000000" w:themeColor="text1"/>
        </w:rPr>
      </w:pPr>
      <w:r>
        <w:rPr>
          <w:rFonts w:eastAsia="Calibri"/>
          <w:color w:val="000000" w:themeColor="text1"/>
        </w:rPr>
        <w:t xml:space="preserve">All </w:t>
      </w:r>
      <w:r w:rsidR="00EB231C">
        <w:rPr>
          <w:rFonts w:eastAsia="Calibri"/>
          <w:color w:val="000000" w:themeColor="text1"/>
        </w:rPr>
        <w:t xml:space="preserve">interviews </w:t>
      </w:r>
      <w:r>
        <w:rPr>
          <w:rFonts w:eastAsia="Calibri"/>
          <w:color w:val="000000" w:themeColor="text1"/>
        </w:rPr>
        <w:t xml:space="preserve">will be </w:t>
      </w:r>
      <w:r w:rsidR="00D3D9C2">
        <w:rPr>
          <w:rFonts w:eastAsia="Calibri"/>
          <w:color w:val="000000" w:themeColor="text1"/>
        </w:rPr>
        <w:t>45</w:t>
      </w:r>
      <w:r>
        <w:rPr>
          <w:rFonts w:eastAsia="Calibri"/>
          <w:color w:val="000000" w:themeColor="text1"/>
        </w:rPr>
        <w:t xml:space="preserve"> minutes in length.</w:t>
      </w:r>
      <w:r>
        <w:rPr>
          <w:rStyle w:val="FootnoteReference"/>
          <w:rFonts w:eastAsia="Calibri"/>
          <w:color w:val="000000" w:themeColor="text1"/>
        </w:rPr>
        <w:footnoteReference w:id="3"/>
      </w:r>
      <w:r>
        <w:rPr>
          <w:rFonts w:eastAsia="Calibri"/>
          <w:color w:val="000000" w:themeColor="text1"/>
        </w:rPr>
        <w:t xml:space="preserve">  </w:t>
      </w:r>
      <w:r w:rsidRPr="644DB786">
        <w:rPr>
          <w:rFonts w:eastAsia="Calibri"/>
          <w:color w:val="000000" w:themeColor="text1"/>
        </w:rPr>
        <w:t xml:space="preserve">These sessions </w:t>
      </w:r>
      <w:r w:rsidR="00EB231C">
        <w:rPr>
          <w:rFonts w:eastAsia="Calibri"/>
          <w:color w:val="000000" w:themeColor="text1"/>
        </w:rPr>
        <w:t xml:space="preserve">allow for gleaning perspectives from a variety of </w:t>
      </w:r>
      <w:r w:rsidR="007523AF">
        <w:rPr>
          <w:rFonts w:eastAsia="Calibri"/>
          <w:color w:val="000000" w:themeColor="text1"/>
        </w:rPr>
        <w:t xml:space="preserve">shopping vendor employees </w:t>
      </w:r>
      <w:r w:rsidR="00495ADB">
        <w:rPr>
          <w:rFonts w:eastAsia="Calibri"/>
          <w:color w:val="000000" w:themeColor="text1"/>
        </w:rPr>
        <w:t>who interact with WIC participants.</w:t>
      </w:r>
      <w:r w:rsidRPr="644DB786">
        <w:rPr>
          <w:rFonts w:eastAsia="Calibri"/>
          <w:color w:val="000000" w:themeColor="text1"/>
        </w:rPr>
        <w:t xml:space="preserve"> In addition, </w:t>
      </w:r>
      <w:r w:rsidRPr="644DB786" w:rsidR="00005939">
        <w:rPr>
          <w:rFonts w:eastAsia="Calibri"/>
          <w:color w:val="000000" w:themeColor="text1"/>
        </w:rPr>
        <w:t xml:space="preserve">these </w:t>
      </w:r>
      <w:r w:rsidR="00495ADB">
        <w:rPr>
          <w:rFonts w:eastAsia="Calibri"/>
          <w:color w:val="000000" w:themeColor="text1"/>
        </w:rPr>
        <w:t>IDIs</w:t>
      </w:r>
      <w:r w:rsidRPr="644DB786">
        <w:rPr>
          <w:rFonts w:eastAsia="Calibri"/>
          <w:color w:val="000000" w:themeColor="text1"/>
        </w:rPr>
        <w:t xml:space="preserve"> will serve as </w:t>
      </w:r>
      <w:r w:rsidRPr="644DB786" w:rsidR="00005939">
        <w:rPr>
          <w:rFonts w:eastAsia="Calibri"/>
          <w:color w:val="000000" w:themeColor="text1"/>
        </w:rPr>
        <w:t xml:space="preserve">a </w:t>
      </w:r>
      <w:r w:rsidRPr="644DB786">
        <w:rPr>
          <w:rFonts w:eastAsia="Calibri"/>
          <w:color w:val="000000" w:themeColor="text1"/>
        </w:rPr>
        <w:t xml:space="preserve">primary data collection method to inform </w:t>
      </w:r>
      <w:r w:rsidR="00FF4A16">
        <w:rPr>
          <w:rFonts w:eastAsia="Calibri"/>
          <w:color w:val="000000" w:themeColor="text1"/>
        </w:rPr>
        <w:t xml:space="preserve">what steps FNS can take to </w:t>
      </w:r>
      <w:r w:rsidR="00091017">
        <w:rPr>
          <w:rFonts w:eastAsia="Calibri"/>
          <w:color w:val="000000" w:themeColor="text1"/>
        </w:rPr>
        <w:t>streamline processes with vendors and reduce shopping-related issues</w:t>
      </w:r>
      <w:r w:rsidRPr="644DB786">
        <w:rPr>
          <w:rFonts w:eastAsia="Calibri"/>
          <w:color w:val="000000" w:themeColor="text1"/>
        </w:rPr>
        <w:t>. </w:t>
      </w:r>
    </w:p>
    <w:p w:rsidR="00C8488C" w14:paraId="049A5BCF" w14:textId="77777777"/>
    <w:p w:rsidR="00AF06E4" w:rsidP="3CD530E8" w14:paraId="6B9C01DD" w14:textId="276062BA">
      <w:pPr>
        <w:pStyle w:val="Header"/>
        <w:tabs>
          <w:tab w:val="clear" w:pos="4320"/>
          <w:tab w:val="clear" w:pos="8640"/>
        </w:tabs>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E87CAC" w:rsidRPr="00E87CAC" w:rsidP="4ADF80F2" w14:paraId="4C177468" w14:textId="03183E7B">
      <w:pPr>
        <w:pBdr>
          <w:top w:val="nil"/>
          <w:left w:val="nil"/>
          <w:bottom w:val="nil"/>
          <w:right w:val="nil"/>
          <w:between w:val="nil"/>
        </w:pBdr>
      </w:pPr>
      <w:r w:rsidRPr="4ADF80F2">
        <w:rPr>
          <w:rFonts w:eastAsia="Calibri"/>
          <w:color w:val="000000" w:themeColor="text1"/>
        </w:rPr>
        <w:t>I</w:t>
      </w:r>
      <w:r w:rsidRPr="4ADF80F2">
        <w:rPr>
          <w:color w:val="000000" w:themeColor="text1"/>
        </w:rPr>
        <w:t xml:space="preserve">n total, we intend to conduct </w:t>
      </w:r>
      <w:r w:rsidRPr="4ADF80F2" w:rsidR="6CB348BC">
        <w:rPr>
          <w:color w:val="000000" w:themeColor="text1"/>
        </w:rPr>
        <w:t>36</w:t>
      </w:r>
      <w:r w:rsidRPr="4ADF80F2">
        <w:rPr>
          <w:color w:val="000000" w:themeColor="text1"/>
        </w:rPr>
        <w:t xml:space="preserve"> IDIs. In addition to the previously-noted mix of types of </w:t>
      </w:r>
      <w:r w:rsidRPr="4ADF80F2" w:rsidR="00AB708F">
        <w:rPr>
          <w:color w:val="000000" w:themeColor="text1"/>
        </w:rPr>
        <w:t>shopping vendor employees</w:t>
      </w:r>
      <w:r w:rsidRPr="4ADF80F2">
        <w:rPr>
          <w:color w:val="000000" w:themeColor="text1"/>
        </w:rPr>
        <w:t xml:space="preserve">, </w:t>
      </w:r>
      <w:r>
        <w:t>respondents will be recruited to ensure a mix of geography, locality (e.g., urban, rural/small town), an</w:t>
      </w:r>
      <w:r w:rsidR="429D9B33">
        <w:t xml:space="preserve">d </w:t>
      </w:r>
      <w:r w:rsidR="119BB81D">
        <w:t>store size</w:t>
      </w:r>
      <w:r w:rsidR="429D9B33">
        <w:t xml:space="preserve"> (e.g., big-box chain</w:t>
      </w:r>
      <w:r w:rsidR="5AA26612">
        <w:t xml:space="preserve"> stores, independent stores, </w:t>
      </w:r>
      <w:r w:rsidRPr="4ADF80F2" w:rsidR="5AA26612">
        <w:rPr>
          <w:color w:val="000000" w:themeColor="text1"/>
        </w:rPr>
        <w:t>neighborhood bodegas)</w:t>
      </w:r>
      <w:r w:rsidR="00D24AB6">
        <w:rPr>
          <w:color w:val="000000" w:themeColor="text1"/>
        </w:rPr>
        <w:t xml:space="preserve"> to the extent possible</w:t>
      </w:r>
      <w:r>
        <w:t xml:space="preserve">. Individuals will be recruited via our professional recruitment partners, and all respondents will receive incentives for their time. </w:t>
      </w:r>
    </w:p>
    <w:p w:rsidR="00434E33" w:rsidP="1CC4A725" w14:paraId="68C241AE" w14:textId="77777777"/>
    <w:p w:rsidR="00D5532A" w:rsidRPr="000D208D" w:rsidP="1CC4A725" w14:paraId="0CA81171" w14:textId="77777777">
      <w:pPr>
        <w:rPr>
          <w:u w:val="single"/>
        </w:rPr>
      </w:pPr>
      <w:r w:rsidRPr="1CC4A725">
        <w:rPr>
          <w:u w:val="single"/>
        </w:rPr>
        <w:t>Recruitment</w:t>
      </w:r>
    </w:p>
    <w:p w:rsidR="00D5532A" w:rsidRPr="00E621CF" w:rsidP="00D5532A" w14:paraId="26B1C2CA" w14:textId="22DEFFA0">
      <w:r w:rsidRPr="1CC4A725">
        <w:t>Individuals will be identifi</w:t>
      </w:r>
      <w:r>
        <w:t xml:space="preserve">ed for potential participation utilizing a screener document (Attachment A-1) to identify the demographics and other key criteria of the potential participants. Professional recruiters will be used to identify potential participants using a database and will then follow up with the screener online and a short recruitment phone call. The use of the database does not impose an additional burden on the respondents.  </w:t>
      </w:r>
    </w:p>
    <w:p w:rsidR="00390087" w:rsidRPr="00E621CF" w14:paraId="599D6B54" w14:textId="39EAAD79">
      <w:pPr>
        <w:rPr>
          <w:u w:val="single"/>
        </w:rPr>
      </w:pPr>
    </w:p>
    <w:p w:rsidR="00D5532A" w:rsidRPr="00E621CF" w:rsidP="00D5532A" w14:paraId="3B9DD775" w14:textId="38100505">
      <w:pPr>
        <w:rPr>
          <w:u w:val="single"/>
        </w:rPr>
      </w:pPr>
      <w:r w:rsidRPr="1CC4A725">
        <w:rPr>
          <w:u w:val="single"/>
        </w:rPr>
        <w:t>Confirmation</w:t>
      </w:r>
    </w:p>
    <w:p w:rsidR="00D5532A" w:rsidRPr="000D208D" w:rsidP="00D5532A" w14:paraId="315F7EC5" w14:textId="5F9AB4C6">
      <w:r>
        <w:t>After completing the screener, participants who qualify will be sent a</w:t>
      </w:r>
      <w:r w:rsidR="00F34ACD">
        <w:t xml:space="preserve">n interview </w:t>
      </w:r>
      <w:r>
        <w:t xml:space="preserve">confirmation form (Attachment </w:t>
      </w:r>
      <w:r w:rsidR="003D5E82">
        <w:t>B-1</w:t>
      </w:r>
      <w:r w:rsidR="470D10B7">
        <w:t xml:space="preserve"> or Attachment B-2</w:t>
      </w:r>
      <w:r>
        <w:t xml:space="preserve">) that outlines the purpose of the research, the fact that it is voluntary research, </w:t>
      </w:r>
      <w:r w:rsidR="4B18892E">
        <w:t>P</w:t>
      </w:r>
      <w:r>
        <w:t xml:space="preserve">rivacy </w:t>
      </w:r>
      <w:r w:rsidR="0A4B7230">
        <w:t>A</w:t>
      </w:r>
      <w:r>
        <w:t xml:space="preserve">ct information, a public burden statement, the date and time of the virtual </w:t>
      </w:r>
      <w:r w:rsidR="00F34ACD">
        <w:t>in-depth interview</w:t>
      </w:r>
      <w:r>
        <w:t>, incentive information, and log-in instructions.</w:t>
      </w:r>
    </w:p>
    <w:p w:rsidR="00D11701" w:rsidP="2BE845FE" w14:paraId="01DF2B23" w14:textId="3F9C4702">
      <w:pPr>
        <w:rPr>
          <w:b/>
          <w:bCs/>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5245764A">
      <w:pPr>
        <w:pStyle w:val="BodyTextIndent"/>
        <w:tabs>
          <w:tab w:val="left" w:pos="360"/>
        </w:tabs>
        <w:ind w:left="0"/>
        <w:rPr>
          <w:bCs/>
          <w:sz w:val="24"/>
        </w:rPr>
      </w:pPr>
      <w:r>
        <w:rPr>
          <w:bCs/>
          <w:sz w:val="24"/>
        </w:rPr>
        <w:t>[</w:t>
      </w:r>
      <w:r w:rsidR="00F34AC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34ACD">
        <w:rPr>
          <w:bCs/>
          <w:sz w:val="24"/>
        </w:rPr>
        <w:t>X</w:t>
      </w:r>
      <w:r w:rsidRPr="00F06866">
        <w:rPr>
          <w:bCs/>
          <w:sz w:val="24"/>
        </w:rPr>
        <w:t>]</w:t>
      </w:r>
      <w:r>
        <w:rPr>
          <w:bCs/>
          <w:sz w:val="24"/>
        </w:rPr>
        <w:t xml:space="preserve"> Other:</w:t>
      </w:r>
      <w:r w:rsidRPr="00F06866">
        <w:rPr>
          <w:bCs/>
          <w:sz w:val="24"/>
          <w:u w:val="single"/>
        </w:rPr>
        <w:t xml:space="preserve"> </w:t>
      </w:r>
      <w:r w:rsidR="00F34ACD">
        <w:rPr>
          <w:bCs/>
          <w:sz w:val="24"/>
          <w:u w:val="single"/>
        </w:rPr>
        <w:t>In-depth Interview (IDI)</w:t>
      </w:r>
    </w:p>
    <w:p w:rsidR="00434E33" w14:paraId="3BE5CCF8" w14:textId="77777777">
      <w:pPr>
        <w:pStyle w:val="Header"/>
        <w:tabs>
          <w:tab w:val="clear" w:pos="4320"/>
          <w:tab w:val="clear" w:pos="8640"/>
        </w:tabs>
      </w:pPr>
      <w:r>
        <w:t>[ ] Quick census or surveys</w:t>
      </w:r>
    </w:p>
    <w:p w:rsidR="2BE845FE" w:rsidP="2BE845FE" w14:paraId="40A7C659" w14:textId="37AFBAE0">
      <w:pPr>
        <w:rPr>
          <w:b/>
          <w:bCs/>
        </w:rPr>
      </w:pPr>
    </w:p>
    <w:p w:rsidR="00CA2650" w:rsidP="2BE845FE" w14:paraId="494EBB56" w14:textId="0AD88590">
      <w:pPr>
        <w:rPr>
          <w:b/>
          <w:bCs/>
        </w:rPr>
      </w:pPr>
      <w:r w:rsidRPr="2BE845FE">
        <w:rPr>
          <w:b/>
          <w:bCs/>
        </w:rPr>
        <w:t>C</w:t>
      </w:r>
      <w:r w:rsidRPr="2BE845FE" w:rsidR="009C13B9">
        <w:rPr>
          <w:b/>
          <w:bCs/>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RPr="00DB5A5E" w:rsidP="009C13B9" w14:paraId="37FCE342" w14:textId="3CF5D327">
      <w:pPr>
        <w:rPr>
          <w:u w:val="single"/>
        </w:rPr>
      </w:pPr>
      <w:r>
        <w:t>Name:</w:t>
      </w:r>
      <w:r w:rsidR="00DB5A5E">
        <w:t xml:space="preserve"> </w:t>
      </w:r>
      <w:r w:rsidRPr="74BE00DB" w:rsidR="00DB5A5E">
        <w:rPr>
          <w:u w:val="single"/>
        </w:rPr>
        <w:t xml:space="preserve"> </w:t>
      </w:r>
      <w:r w:rsidRPr="74BE00DB" w:rsidR="00E0119D">
        <w:rPr>
          <w:u w:val="single"/>
        </w:rPr>
        <w:t>Ebony James</w:t>
      </w:r>
      <w:r w:rsidRPr="74BE00DB" w:rsidR="00DB5A5E">
        <w:rPr>
          <w:u w:val="single"/>
        </w:rPr>
        <w:t xml:space="preserve">    </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0CBECC09">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Yes  [ ]  No </w:t>
      </w:r>
    </w:p>
    <w:p w:rsidR="00C86E91" w:rsidP="00C86E91" w14:paraId="5411C1BA" w14:textId="68C0E51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8F700A">
        <w:t>X</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5EA7A7E">
      <w:pPr>
        <w:pStyle w:val="ListParagraph"/>
        <w:ind w:left="0" w:firstLine="360"/>
      </w:pPr>
      <w:r>
        <w:t>[X] Yes  [  ] No</w:t>
      </w: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RPr="001F6D73" w:rsidP="6CCE6BDF" w14:paraId="6D924BAE" w14:textId="20850AC1">
      <w:pPr>
        <w:pStyle w:val="ListParagraph"/>
        <w:ind w:left="0"/>
      </w:pPr>
      <w:r w:rsidRPr="00E621CF">
        <w:t>Individuals will be identified for potential participation utilizing a screener document (Attachment A-1) to identify the demographics of the potential participants. Demographic information allows the research to</w:t>
      </w:r>
      <w:r>
        <w:t xml:space="preserve"> ensure that it is reflective of a wide range of </w:t>
      </w:r>
      <w:r w:rsidR="00AB708F">
        <w:t>vendor employees</w:t>
      </w:r>
      <w:r>
        <w:t>. That being said, the demographic information is not calculated nor held as a quota for participation.</w:t>
      </w:r>
    </w:p>
    <w:p w:rsidR="00187BA6" w:rsidP="00C86E91" w14:paraId="206E4E38" w14:textId="1720684F">
      <w:pPr>
        <w:pStyle w:val="ListParagraph"/>
        <w:ind w:left="0"/>
        <w:rPr>
          <w:b/>
        </w:rPr>
      </w:pPr>
    </w:p>
    <w:p w:rsidR="00246965" w:rsidP="00C86E91" w14:paraId="514E5000" w14:textId="4E035977">
      <w:pPr>
        <w:pStyle w:val="ListParagraph"/>
        <w:ind w:left="0"/>
      </w:pPr>
      <w:r>
        <w:t xml:space="preserve">In addition, PII (respondents’ contact information) will only be obtained by the recruiters in order to schedule the IDIs and contact participants to remind them of the research session. This information will not be shared with the government nor the research team conducting the data collection and analysis. Finally, all respondent information will be anonymous and confidential, and </w:t>
      </w:r>
      <w:r w:rsidRPr="6CCE6BDF">
        <w:rPr>
          <w:u w:val="single"/>
        </w:rPr>
        <w:t>no</w:t>
      </w:r>
      <w:r>
        <w:t xml:space="preserve"> PII will be recorded or included in reporting.</w:t>
      </w:r>
    </w:p>
    <w:p w:rsidR="0024580A" w:rsidP="00C86E91" w14:paraId="3F6CB66A" w14:textId="77777777">
      <w:pPr>
        <w:pStyle w:val="ListParagraph"/>
        <w:ind w:left="0"/>
        <w:rPr>
          <w:bCs/>
        </w:rPr>
      </w:pPr>
    </w:p>
    <w:p w:rsidR="0024580A" w:rsidRPr="0079178E" w:rsidP="00C86E91" w14:paraId="495CE222" w14:textId="5CEC906B">
      <w:pPr>
        <w:pStyle w:val="ListParagraph"/>
        <w:ind w:left="0"/>
        <w:rPr>
          <w:bCs/>
        </w:rPr>
      </w:pPr>
      <w:r>
        <w:rPr>
          <w:bCs/>
        </w:rPr>
        <w:t xml:space="preserve">This project does not meet </w:t>
      </w:r>
      <w:r w:rsidR="0079178E">
        <w:rPr>
          <w:bCs/>
        </w:rPr>
        <w:t xml:space="preserve">the regulatory definition of research as </w:t>
      </w:r>
      <w:r w:rsidR="0079178E">
        <w:t xml:space="preserve">defined </w:t>
      </w:r>
      <w:r w:rsidRPr="0079178E" w:rsidR="0079178E">
        <w:rPr>
          <w:bCs/>
        </w:rPr>
        <w:t>under the Department of Health and Human Services Code of Federal Regulations [45 CFR part 46.102(d)(f)]</w:t>
      </w:r>
      <w:r w:rsidR="0059153D">
        <w:rPr>
          <w:bCs/>
        </w:rPr>
        <w:t xml:space="preserve">. </w:t>
      </w:r>
      <w:r w:rsidRPr="0059153D" w:rsidR="0059153D">
        <w:rPr>
          <w:bCs/>
        </w:rPr>
        <w:t>Given th</w:t>
      </w:r>
      <w:r w:rsidR="0059153D">
        <w:rPr>
          <w:bCs/>
        </w:rPr>
        <w:t>e</w:t>
      </w:r>
      <w:r w:rsidRPr="0059153D" w:rsidR="0059153D">
        <w:rPr>
          <w:bCs/>
        </w:rPr>
        <w:t xml:space="preserve"> determination, further </w:t>
      </w:r>
      <w:r w:rsidR="0059153D">
        <w:rPr>
          <w:bCs/>
        </w:rPr>
        <w:t xml:space="preserve">IRB </w:t>
      </w:r>
      <w:r w:rsidRPr="0059153D" w:rsidR="0059153D">
        <w:rPr>
          <w:bCs/>
        </w:rPr>
        <w:t>review and approval of this project is not required</w:t>
      </w:r>
      <w:r w:rsidR="0079178E">
        <w:rPr>
          <w:bCs/>
        </w:rPr>
        <w:t xml:space="preserve"> (Attachment E-1).</w:t>
      </w:r>
    </w:p>
    <w:p w:rsidR="00246965" w:rsidP="00C86E91" w14:paraId="67C16296" w14:textId="589E180C">
      <w:pPr>
        <w:pStyle w:val="ListParagraph"/>
        <w:ind w:left="0"/>
        <w:rPr>
          <w:b/>
        </w:rPr>
      </w:pPr>
      <w:r>
        <w:rPr>
          <w:b/>
        </w:rPr>
        <w:t xml:space="preserve"> </w:t>
      </w: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71AB6787">
      <w:r>
        <w:t>Is an incentive (e.g., money or reimbursement of expenses, token of appreciation) provided to participants?  [</w:t>
      </w:r>
      <w:r w:rsidR="008F700A">
        <w:t>X</w:t>
      </w:r>
      <w:r>
        <w:t xml:space="preserve">] Yes [  ] No  </w:t>
      </w:r>
    </w:p>
    <w:p w:rsidR="004D6E14" w14:paraId="7FEB70C6" w14:textId="267AA9A8">
      <w:pPr>
        <w:rPr>
          <w:b/>
        </w:rPr>
      </w:pPr>
    </w:p>
    <w:p w:rsidR="000C7ABD" w:rsidP="6CCE6BDF" w14:paraId="3F167B3C" w14:textId="24EBF684">
      <w:r>
        <w:t xml:space="preserve">FNS will provide an incentive of a </w:t>
      </w:r>
      <w:r w:rsidR="13F9D51E">
        <w:t>$</w:t>
      </w:r>
      <w:r w:rsidR="3ADE2B6B">
        <w:t>75</w:t>
      </w:r>
      <w:r w:rsidR="72E66055">
        <w:t xml:space="preserve"> gift card for store managers and a </w:t>
      </w:r>
      <w:r>
        <w:t>$</w:t>
      </w:r>
      <w:r w:rsidR="1964736E">
        <w:t>75</w:t>
      </w:r>
      <w:r w:rsidR="00A8499A">
        <w:t xml:space="preserve"> </w:t>
      </w:r>
      <w:r>
        <w:t>gift card for</w:t>
      </w:r>
      <w:r w:rsidR="7AF7FA63">
        <w:t xml:space="preserve"> cashiers</w:t>
      </w:r>
      <w:r w:rsidR="45598FA8">
        <w:t xml:space="preserve"> </w:t>
      </w:r>
      <w:r>
        <w:t xml:space="preserve">to participate in the in-depth interviews. Incentives have been considered a standard practice in conducting qualitative research (see, for instance, the CDC General Guidelines), helping to maximize participation, manage recruitment hours, and reduce no-show rates. Note, this incentive is for 1 hour of the respondent’s time, including 15 minutes for logging into the virtual, online platform. For these interviews, recruiters ask potential participants to ensure they </w:t>
      </w:r>
      <w:r>
        <w:t xml:space="preserve">can participate in the discussions uninterrupted. Additionally, as participants will use either smartphones, tablets, or laptops to log in and participate, the incentive can be used to offset any expenses incurred by using these devices. </w:t>
      </w:r>
    </w:p>
    <w:p w:rsidR="000C7ABD" w:rsidP="6CCE6BDF" w14:paraId="665F7A77" w14:textId="77777777"/>
    <w:p w:rsidR="00072F4F" w:rsidP="6CCE6BDF" w14:paraId="72253704" w14:textId="636CA365">
      <w:r>
        <w:t xml:space="preserve">Finally, </w:t>
      </w:r>
      <w:r w:rsidR="00921263">
        <w:t xml:space="preserve">and most notably for these audiences, </w:t>
      </w:r>
      <w:r>
        <w:t xml:space="preserve">incentives are more likely to secure the participation of </w:t>
      </w:r>
      <w:r w:rsidR="00921263">
        <w:t>working professionals who meet</w:t>
      </w:r>
      <w:r>
        <w:t xml:space="preserve"> the screening requirements, especially given the more complex nature of this recruit. The study employs highly restrictive criteria for participation: </w:t>
      </w:r>
      <w:r w:rsidR="00921263">
        <w:t xml:space="preserve">First, all participants are current </w:t>
      </w:r>
      <w:r w:rsidR="000C7ABD">
        <w:t>employees in these very specific roles</w:t>
      </w:r>
      <w:r w:rsidR="008854AF">
        <w:t xml:space="preserve">, </w:t>
      </w:r>
      <w:r w:rsidR="00A70867">
        <w:t xml:space="preserve">a much more selective </w:t>
      </w:r>
      <w:r w:rsidR="0066134E">
        <w:t xml:space="preserve">subset </w:t>
      </w:r>
      <w:r w:rsidR="00A70867">
        <w:t>than</w:t>
      </w:r>
      <w:r w:rsidR="0066134E">
        <w:t xml:space="preserve"> a “general population” audience</w:t>
      </w:r>
      <w:r w:rsidR="00921263">
        <w:t>.</w:t>
      </w:r>
      <w:r w:rsidR="005A7B5E">
        <w:t xml:space="preserve">  </w:t>
      </w:r>
      <w:r w:rsidR="004E4DE5">
        <w:t xml:space="preserve">Also, their store must currently accept the WIC program and the participant must have some interaction with the WIC program during their job. </w:t>
      </w:r>
      <w:r w:rsidR="0066134E">
        <w:t>T</w:t>
      </w:r>
      <w:r w:rsidR="005A7B5E">
        <w:t>he more limited pool of current store managers requires a higher incentive</w:t>
      </w:r>
      <w:r w:rsidR="0066134E">
        <w:t xml:space="preserve"> than the cashiers or customer service staff</w:t>
      </w:r>
      <w:r w:rsidR="005A7B5E">
        <w:t xml:space="preserve">.  </w:t>
      </w:r>
      <w:r>
        <w:t xml:space="preserve">Additionally, the research encourages respondents with a mix of demographics to augment learning from the interviews. </w:t>
      </w:r>
      <w:r w:rsidR="0066134E">
        <w:t>U</w:t>
      </w:r>
      <w:r>
        <w:t xml:space="preserve">tilizing </w:t>
      </w:r>
      <w:r w:rsidR="0066134E">
        <w:t xml:space="preserve">these </w:t>
      </w:r>
      <w:r>
        <w:t>incentive rate</w:t>
      </w:r>
      <w:r w:rsidR="0066134E">
        <w:t>s</w:t>
      </w:r>
      <w:r>
        <w:t xml:space="preserve"> will make recruitment more effective and thus save government money </w:t>
      </w:r>
      <w:r w:rsidR="0C4D05AD">
        <w:t>on</w:t>
      </w:r>
      <w:r>
        <w:t xml:space="preserve"> overall research recruitment costs.</w:t>
      </w:r>
      <w:r w:rsidR="00321F29">
        <w:t xml:space="preserve">  Lower incentive rates would </w:t>
      </w:r>
      <w:r w:rsidR="00AB70D6">
        <w:t xml:space="preserve">foster fewer recruited participants and lower show rates, jeopardizing FNS’ ability to conduct research among these important audiences.  </w:t>
      </w:r>
    </w:p>
    <w:p w:rsidR="00C86E91" w:rsidP="3CD530E8" w14:paraId="1E7D6EEE" w14:textId="3078F183"/>
    <w:p w:rsidR="2BE845FE" w14:paraId="64D47307" w14:textId="6B9F8ECC">
      <w:r>
        <w:br w:type="page"/>
      </w:r>
    </w:p>
    <w:p w:rsidR="005E714A" w:rsidP="62E600DF" w14:paraId="4AD3DB39" w14:textId="77777777">
      <w:pPr>
        <w:rPr>
          <w:i/>
          <w:iCs/>
        </w:rPr>
      </w:pPr>
      <w:r w:rsidRPr="62E600DF">
        <w:rPr>
          <w:b/>
          <w:bCs/>
        </w:rPr>
        <w:t>BURDEN HOUR</w:t>
      </w:r>
      <w:r w:rsidRPr="62E600DF" w:rsidR="3A527ECE">
        <w:rPr>
          <w:b/>
          <w:bCs/>
        </w:rPr>
        <w:t>S</w:t>
      </w:r>
      <w:r>
        <w:t xml:space="preserve"> </w:t>
      </w:r>
    </w:p>
    <w:p w:rsidR="006832D9" w:rsidRPr="006832D9" w:rsidP="1CC4A725" w14:paraId="3C8DFDD0" w14:textId="77777777">
      <w:pPr>
        <w:keepNext/>
        <w:keepLines/>
        <w:rPr>
          <w:b/>
          <w:bCs/>
        </w:rPr>
      </w:pPr>
    </w:p>
    <w:p w:rsidR="00F3170F" w:rsidRPr="00651C08" w:rsidP="00F3170F" w14:paraId="7EF0A6D0" w14:textId="34B91D9B">
      <w:pPr>
        <w:rPr>
          <w:b/>
          <w:bCs/>
        </w:rPr>
      </w:pPr>
      <w:r w:rsidRPr="1CC4A725">
        <w:rPr>
          <w:b/>
          <w:bCs/>
        </w:rPr>
        <w:t>Table 1. Burden Hours Calculations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3E65F9FB" w14:textId="77777777" w:rsidTr="2BE845FE">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E621CF" w:rsidP="00413CF2" w14:paraId="5E20E28D" w14:textId="77777777">
            <w:pPr>
              <w:rPr>
                <w:rFonts w:ascii="Courier New" w:hAnsi="Courier New" w:cs="Courier New"/>
                <w:b/>
                <w:sz w:val="20"/>
                <w:szCs w:val="20"/>
              </w:rPr>
            </w:pPr>
            <w:r w:rsidRPr="00E621CF">
              <w:rPr>
                <w:b/>
              </w:rPr>
              <w:t>Category of Respondent</w:t>
            </w:r>
            <w:r w:rsidRPr="00E621CF">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46816" w:rsidRPr="00046816" w:rsidP="00FB149C" w14:paraId="2EA016F0" w14:textId="77777777">
            <w:pPr>
              <w:jc w:val="cente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FB149C" w14:paraId="4E9CB540" w14:textId="77777777">
            <w:pPr>
              <w:jc w:val="cente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FB149C" w14:paraId="6CE23DB3" w14:textId="77777777">
            <w:pPr>
              <w:jc w:val="center"/>
              <w:rPr>
                <w:b/>
              </w:rPr>
            </w:pPr>
            <w:r w:rsidRPr="00046816">
              <w:rPr>
                <w:b/>
              </w:rPr>
              <w:t>Burden Hours</w:t>
            </w:r>
          </w:p>
        </w:tc>
      </w:tr>
      <w:tr w14:paraId="09E69D5A" w14:textId="77777777" w:rsidTr="2BE845FE">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E621CF" w:rsidP="00413CF2" w14:paraId="6933F90F" w14:textId="672A84B8">
            <w:r w:rsidRPr="00E621CF">
              <w:t>Screener (Attachment A-1)</w:t>
            </w:r>
          </w:p>
        </w:tc>
      </w:tr>
      <w:tr w14:paraId="0D6F63A4"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E621CF" w:rsidP="00413CF2" w14:paraId="6F2F448F" w14:textId="4C572511">
            <w:r>
              <w:t xml:space="preserve">     </w:t>
            </w:r>
            <w:r w:rsidR="04B86B9F">
              <w:t xml:space="preserve">Shopping </w:t>
            </w:r>
            <w:r w:rsidR="2409C470">
              <w:t>Vendor</w:t>
            </w:r>
            <w:r w:rsidR="0357C3C2">
              <w:t xml:space="preserve"> </w:t>
            </w:r>
            <w:r w:rsidR="5E3CC311">
              <w:t xml:space="preserve">Employees </w:t>
            </w:r>
            <w:r w:rsidR="5425C5A1">
              <w:t>(respondents)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3660B01" w14:textId="6693EE7B">
            <w:pPr>
              <w:jc w:val="center"/>
            </w:pPr>
            <w:r>
              <w:t>72</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369472EE" w14:paraId="7CC0CBF3" w14:textId="35DA4C79">
            <w:pPr>
              <w:jc w:val="right"/>
            </w:pPr>
            <w:r>
              <w:t>.</w:t>
            </w:r>
            <w:r w:rsidR="693ABCD8">
              <w:t>167</w:t>
            </w:r>
            <w:r>
              <w:t xml:space="preserve"> </w:t>
            </w:r>
            <w:r>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B5D1806" w14:textId="79A8177D">
            <w:pPr>
              <w:jc w:val="right"/>
            </w:pPr>
            <w:r>
              <w:t>12.0</w:t>
            </w:r>
            <w:r w:rsidR="5FDC09C4">
              <w:t xml:space="preserve"> </w:t>
            </w:r>
            <w:r w:rsidR="5FDC09C4">
              <w:t>hrs</w:t>
            </w:r>
          </w:p>
        </w:tc>
      </w:tr>
      <w:tr w14:paraId="1570A716"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2C36AE" w:rsidRPr="00E621CF" w:rsidP="002C36AE" w14:paraId="054E4CAB" w14:textId="51F29E36">
            <w:r>
              <w:t xml:space="preserve">     Shopping Vendor Employees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27DFF78B" w14:textId="7DC98F4F">
            <w:pPr>
              <w:jc w:val="center"/>
            </w:pPr>
            <w:r>
              <w:t>1368</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5628448B" w14:textId="014EB15B">
            <w:pPr>
              <w:spacing w:line="259" w:lineRule="auto"/>
            </w:pPr>
            <w:r>
              <w:t xml:space="preserve">            .083 </w:t>
            </w:r>
            <w:r>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61DA7969" w14:textId="614AC695">
            <w:pPr>
              <w:spacing w:line="259" w:lineRule="auto"/>
              <w:jc w:val="right"/>
            </w:pPr>
            <w:r>
              <w:t xml:space="preserve">114.0 </w:t>
            </w:r>
            <w:r>
              <w:t>hrs</w:t>
            </w:r>
          </w:p>
        </w:tc>
      </w:tr>
      <w:tr w14:paraId="68F6D5BB" w14:textId="77777777" w:rsidTr="2BE845FE">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2C36AE" w:rsidRPr="00E621CF" w:rsidP="002C36AE" w14:paraId="1DC6A6B9" w14:textId="02307872">
            <w:r w:rsidRPr="00E621CF">
              <w:t>In-depth Interviews</w:t>
            </w:r>
          </w:p>
        </w:tc>
      </w:tr>
      <w:tr w14:paraId="2505A63E"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2C36AE" w:rsidRPr="00E621CF" w:rsidP="002C36AE" w14:paraId="60724E8F" w14:textId="199444F5">
            <w:r>
              <w:t xml:space="preserve">     Shopping Vendor Employees (confirmations) (Attachments B-1, B-2)</w:t>
            </w:r>
          </w:p>
        </w:tc>
        <w:tc>
          <w:tcPr>
            <w:tcW w:w="171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1C3CA5CF" w14:textId="348B2B02">
            <w:pPr>
              <w:jc w:val="center"/>
            </w:pPr>
            <w:r>
              <w:t>36</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5DB1B237" w14:textId="6B13700A">
            <w:pPr>
              <w:jc w:val="right"/>
            </w:pPr>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050ED4C8" w14:textId="72E0975E">
            <w:pPr>
              <w:jc w:val="right"/>
            </w:pPr>
            <w:r>
              <w:t xml:space="preserve">1.8 </w:t>
            </w:r>
            <w:r>
              <w:t>hrs</w:t>
            </w:r>
          </w:p>
        </w:tc>
      </w:tr>
      <w:tr w14:paraId="3497EA3F"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2C36AE" w:rsidRPr="00E621CF" w:rsidP="002C36AE" w14:paraId="1EB9A444" w14:textId="66C4827D">
            <w:r>
              <w:t xml:space="preserve">     Shopping Vendor Employees (consent)     </w:t>
            </w:r>
          </w:p>
          <w:p w:rsidR="002C36AE" w:rsidRPr="00E621CF" w:rsidP="002C36AE" w14:paraId="279A8538" w14:textId="37AE703A">
            <w:r>
              <w:t>(Attachment C-1</w:t>
            </w:r>
            <w:r w:rsidR="00C077F1">
              <w:t>, C-2</w:t>
            </w:r>
            <w:r>
              <w:t>)</w:t>
            </w:r>
          </w:p>
        </w:tc>
        <w:tc>
          <w:tcPr>
            <w:tcW w:w="1710"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6DF58763" w14:textId="25E8B722">
            <w:pPr>
              <w:jc w:val="center"/>
            </w:pPr>
            <w:r>
              <w:t>36</w:t>
            </w:r>
          </w:p>
        </w:tc>
        <w:tc>
          <w:tcPr>
            <w:tcW w:w="1800"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7F57DD31" w14:textId="456BFCA8">
            <w:pPr>
              <w:jc w:val="right"/>
            </w:pPr>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68CDA74B" w14:textId="5062694B">
            <w:pPr>
              <w:jc w:val="right"/>
            </w:pPr>
            <w:r>
              <w:t xml:space="preserve">1.8 </w:t>
            </w:r>
            <w:r>
              <w:t>hrs</w:t>
            </w:r>
          </w:p>
        </w:tc>
      </w:tr>
      <w:tr w14:paraId="555A7CD4"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2C36AE" w:rsidRPr="00E621CF" w:rsidP="002C36AE" w14:paraId="64C76B18" w14:textId="24484AA0">
            <w:r>
              <w:t xml:space="preserve">     Shopping Vendor Employees (interview respondents) (Attachment D-1)</w:t>
            </w:r>
          </w:p>
        </w:tc>
        <w:tc>
          <w:tcPr>
            <w:tcW w:w="1710"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51645800" w14:textId="1395B01E">
            <w:pPr>
              <w:jc w:val="center"/>
            </w:pPr>
            <w:r>
              <w:t>36</w:t>
            </w:r>
          </w:p>
        </w:tc>
        <w:tc>
          <w:tcPr>
            <w:tcW w:w="1800"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1190E181" w14:textId="70A8BC87">
            <w:pPr>
              <w:jc w:val="right"/>
            </w:pPr>
            <w:r>
              <w:t>1</w:t>
            </w:r>
            <w:r w:rsidRPr="00046816">
              <w:t xml:space="preserve">.0 </w:t>
            </w:r>
            <w:r w:rsidRPr="00046816">
              <w:t>hr</w:t>
            </w:r>
            <w:r>
              <w:t>*</w:t>
            </w:r>
          </w:p>
        </w:tc>
        <w:tc>
          <w:tcPr>
            <w:tcW w:w="1447" w:type="dxa"/>
            <w:tcBorders>
              <w:top w:val="single" w:sz="4" w:space="0" w:color="auto"/>
              <w:left w:val="single" w:sz="4" w:space="0" w:color="auto"/>
              <w:bottom w:val="single" w:sz="4" w:space="0" w:color="auto"/>
              <w:right w:val="single" w:sz="4" w:space="0" w:color="auto"/>
            </w:tcBorders>
            <w:vAlign w:val="center"/>
          </w:tcPr>
          <w:p w:rsidR="002C36AE" w:rsidRPr="00046816" w:rsidP="002C36AE" w14:paraId="7E27BBBF" w14:textId="4ACC098F">
            <w:pPr>
              <w:jc w:val="right"/>
            </w:pPr>
            <w:r>
              <w:t xml:space="preserve">36.0 </w:t>
            </w:r>
            <w:r>
              <w:t>hrs</w:t>
            </w:r>
          </w:p>
        </w:tc>
      </w:tr>
      <w:tr w14:paraId="2B237895" w14:textId="77777777" w:rsidTr="2BE845FE">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2C36AE" w:rsidRPr="00046816" w:rsidP="002C36AE" w14:paraId="0B73C755" w14:textId="7BA0AA46">
            <w:r>
              <w:t xml:space="preserve">     Individuals (non-respondents)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73B2B415" w14:textId="3F927ACD">
            <w:pPr>
              <w:jc w:val="center"/>
            </w:pPr>
            <w:r>
              <w:t>36</w:t>
            </w:r>
          </w:p>
        </w:tc>
        <w:tc>
          <w:tcPr>
            <w:tcW w:w="1800" w:type="dxa"/>
            <w:tcBorders>
              <w:top w:val="single" w:sz="4" w:space="0" w:color="auto"/>
              <w:left w:val="single" w:sz="4" w:space="0" w:color="auto"/>
              <w:bottom w:val="single" w:sz="4" w:space="0" w:color="auto"/>
              <w:right w:val="single" w:sz="4" w:space="0" w:color="auto"/>
            </w:tcBorders>
            <w:hideMark/>
          </w:tcPr>
          <w:p w:rsidR="002C36AE" w:rsidRPr="00046816" w:rsidP="002C36AE" w14:paraId="29B39047" w14:textId="76C94648">
            <w:pPr>
              <w:jc w:val="right"/>
            </w:pPr>
            <w:r>
              <w:t xml:space="preserve">.05 </w:t>
            </w:r>
            <w:r>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68B2B700" w14:textId="47AA6735">
            <w:pPr>
              <w:jc w:val="right"/>
            </w:pPr>
            <w:r>
              <w:t xml:space="preserve">1.8 </w:t>
            </w:r>
            <w:r>
              <w:t>hrs</w:t>
            </w:r>
          </w:p>
        </w:tc>
      </w:tr>
      <w:tr w14:paraId="670C0E6B" w14:textId="77777777" w:rsidTr="2BE845FE">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2C36AE" w:rsidRPr="00046816" w:rsidP="002C36AE" w14:paraId="0AD5B018" w14:textId="77777777">
            <w:pPr>
              <w:rPr>
                <w:b/>
              </w:rPr>
            </w:pPr>
            <w:r w:rsidRPr="00046816">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42D13287" w14:textId="62C19126">
            <w:pPr>
              <w:jc w:val="center"/>
              <w:rPr>
                <w:b/>
                <w:bCs/>
              </w:rPr>
            </w:pPr>
            <w:r w:rsidRPr="62E600DF">
              <w:rPr>
                <w:b/>
                <w:bCs/>
              </w:rPr>
              <w:t>1440</w:t>
            </w:r>
          </w:p>
        </w:tc>
        <w:tc>
          <w:tcPr>
            <w:tcW w:w="1800" w:type="dxa"/>
            <w:tcBorders>
              <w:top w:val="single" w:sz="4" w:space="0" w:color="auto"/>
              <w:left w:val="single" w:sz="4" w:space="0" w:color="auto"/>
              <w:bottom w:val="single" w:sz="4" w:space="0" w:color="auto"/>
              <w:right w:val="single" w:sz="4" w:space="0" w:color="auto"/>
            </w:tcBorders>
          </w:tcPr>
          <w:p w:rsidR="002C36AE" w:rsidRPr="00046816" w:rsidP="002C36AE" w14:paraId="6E8C4C84" w14:textId="77777777">
            <w:pPr>
              <w:jc w:val="right"/>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2C36AE" w:rsidRPr="00046816" w:rsidP="002C36AE" w14:paraId="17605E3D" w14:textId="11A125B7">
            <w:pPr>
              <w:jc w:val="right"/>
              <w:rPr>
                <w:b/>
                <w:bCs/>
              </w:rPr>
            </w:pPr>
            <w:r w:rsidRPr="62E600DF">
              <w:rPr>
                <w:b/>
                <w:bCs/>
              </w:rPr>
              <w:t xml:space="preserve">167.4 </w:t>
            </w:r>
            <w:r w:rsidRPr="62E600DF">
              <w:rPr>
                <w:b/>
                <w:bCs/>
              </w:rPr>
              <w:t>hrs</w:t>
            </w:r>
          </w:p>
        </w:tc>
      </w:tr>
    </w:tbl>
    <w:p w:rsidR="00046816" w:rsidRPr="0046337D" w:rsidP="00F3170F" w14:paraId="1FA171E8" w14:textId="7B0FAA85">
      <w:pPr>
        <w:rPr>
          <w:sz w:val="20"/>
          <w:szCs w:val="20"/>
        </w:rPr>
      </w:pPr>
      <w:r w:rsidRPr="0046337D">
        <w:rPr>
          <w:sz w:val="20"/>
          <w:szCs w:val="20"/>
        </w:rPr>
        <w:t xml:space="preserve">*NOTE:  The data collection will take </w:t>
      </w:r>
      <w:r w:rsidR="00240DA4">
        <w:rPr>
          <w:sz w:val="20"/>
          <w:szCs w:val="20"/>
        </w:rPr>
        <w:t>45</w:t>
      </w:r>
      <w:r w:rsidRPr="0046337D">
        <w:rPr>
          <w:sz w:val="20"/>
          <w:szCs w:val="20"/>
        </w:rPr>
        <w:t xml:space="preserve"> minutes, but respondents will need an additional </w:t>
      </w:r>
      <w:r w:rsidR="00240DA4">
        <w:rPr>
          <w:sz w:val="20"/>
          <w:szCs w:val="20"/>
        </w:rPr>
        <w:t>15</w:t>
      </w:r>
      <w:r w:rsidRPr="0046337D">
        <w:rPr>
          <w:sz w:val="20"/>
          <w:szCs w:val="20"/>
        </w:rPr>
        <w:t xml:space="preserve"> minutes for the technology check and to ensure they can log into the online interface correctly.</w:t>
      </w:r>
    </w:p>
    <w:p w:rsidR="0046337D" w:rsidP="00F3170F" w14:paraId="4DAD18C7" w14:textId="66A4DF6A"/>
    <w:p w:rsidR="00D23E25" w:rsidP="62E600DF" w14:paraId="714A9320" w14:textId="3696C61B">
      <w:pPr>
        <w:spacing w:before="100" w:beforeAutospacing="1" w:after="100" w:afterAutospacing="1"/>
      </w:pPr>
      <w:r>
        <w:t xml:space="preserve">A total of </w:t>
      </w:r>
      <w:r w:rsidR="23980DC8">
        <w:t>1440</w:t>
      </w:r>
      <w:r w:rsidR="13783BB1">
        <w:t xml:space="preserve"> </w:t>
      </w:r>
      <w:r>
        <w:t xml:space="preserve">individuals will be contacted in order to conduct research among </w:t>
      </w:r>
      <w:r w:rsidR="4BCC3973">
        <w:t>36</w:t>
      </w:r>
      <w:r>
        <w:t xml:space="preserve"> </w:t>
      </w:r>
      <w:r w:rsidR="1CAB0747">
        <w:t xml:space="preserve">shopping vendor </w:t>
      </w:r>
      <w:r w:rsidR="435B3AD4">
        <w:t>employees</w:t>
      </w:r>
      <w:r>
        <w:t xml:space="preserve">. The </w:t>
      </w:r>
      <w:r w:rsidR="7541A06A">
        <w:t>1368</w:t>
      </w:r>
      <w:r>
        <w:t xml:space="preserve"> screener non-respondents are </w:t>
      </w:r>
      <w:r w:rsidR="06C120FE">
        <w:t>vendor employees</w:t>
      </w:r>
      <w:r>
        <w:t xml:space="preserve"> who choose not to complete the full screener or who do not qualify for the interviews. The remaining </w:t>
      </w:r>
      <w:r w:rsidR="44161D89">
        <w:t>72</w:t>
      </w:r>
      <w:r>
        <w:t xml:space="preserve"> individuals will be confirmed for the interviews (i.e., meet recruitment criteria). Of the </w:t>
      </w:r>
      <w:r w:rsidR="33088BD9">
        <w:t>72</w:t>
      </w:r>
      <w:r>
        <w:t xml:space="preserve"> individuals confirmed for the interviews, we anticipate </w:t>
      </w:r>
      <w:r w:rsidR="6C6C765D">
        <w:t>36</w:t>
      </w:r>
      <w:r w:rsidR="52BC2AEF">
        <w:t xml:space="preserve"> </w:t>
      </w:r>
      <w:r>
        <w:t xml:space="preserve">will be unable to participate. We will conduct the interviews among the remaining </w:t>
      </w:r>
      <w:r w:rsidR="59B9D215">
        <w:t>36</w:t>
      </w:r>
      <w:r w:rsidR="4B51C05E">
        <w:t xml:space="preserve"> shopping vendor</w:t>
      </w:r>
      <w:r w:rsidR="31B32907">
        <w:t xml:space="preserve"> employees</w:t>
      </w:r>
      <w:r>
        <w:t xml:space="preserve">. </w:t>
      </w:r>
    </w:p>
    <w:p w:rsidR="00EB78E0" w:rsidP="74BE00DB" w14:paraId="398A65FB" w14:textId="58805153">
      <w:pPr>
        <w:spacing w:before="100" w:beforeAutospacing="1" w:after="100" w:afterAutospacing="1"/>
      </w:pPr>
      <w:bookmarkStart w:id="2" w:name="_Hlk130828477"/>
      <w:r>
        <w:t>The estimate of respondent cost is based on the burden estimates and utilizes the U.S. Department of Labor, Bureau of Labor Statistics, May 202</w:t>
      </w:r>
      <w:r w:rsidR="00780771">
        <w:t>3</w:t>
      </w:r>
      <w:r>
        <w:t xml:space="preserve"> National Occupational and Wage Statistics, All Occupations (00-0000) (</w:t>
      </w:r>
      <w:bookmarkStart w:id="3" w:name="_Hlk143175477"/>
      <w:r>
        <w:t>http://www.bls.gov/oes/current/oes_nat.htm</w:t>
      </w:r>
      <w:bookmarkEnd w:id="3"/>
      <w:r>
        <w:t xml:space="preserve">). The hourly mean wage for functions performed by respondents across </w:t>
      </w:r>
      <w:r w:rsidR="005D1320">
        <w:t xml:space="preserve">these </w:t>
      </w:r>
      <w:r>
        <w:t>professional categories is listed in Table 2, with a weighted average (based on the number of interviews to be conducted among each category) calculated to be $</w:t>
      </w:r>
      <w:r w:rsidR="1ED5E711">
        <w:t>38.48</w:t>
      </w:r>
      <w:r>
        <w:t xml:space="preserve">/hour. </w:t>
      </w:r>
    </w:p>
    <w:p w:rsidR="00EB78E0" w:rsidRPr="00651C08" w:rsidP="1CC4A725" w14:paraId="1DA75A2A" w14:textId="11E3AE8C">
      <w:pPr>
        <w:rPr>
          <w:b/>
          <w:bCs/>
        </w:rPr>
      </w:pPr>
      <w:r w:rsidRPr="1CC4A725">
        <w:rPr>
          <w:b/>
          <w:bCs/>
        </w:rPr>
        <w:t>Table 2. Mean Hourly Wage by Category</w:t>
      </w:r>
    </w:p>
    <w:tbl>
      <w:tblPr>
        <w:tblStyle w:val="TableGrid"/>
        <w:tblW w:w="0" w:type="auto"/>
        <w:tblLook w:val="04A0"/>
      </w:tblPr>
      <w:tblGrid>
        <w:gridCol w:w="4585"/>
        <w:gridCol w:w="1620"/>
        <w:gridCol w:w="1620"/>
      </w:tblGrid>
      <w:tr w14:paraId="579F8CB3" w14:textId="77777777" w:rsidTr="62E600DF">
        <w:tblPrEx>
          <w:tblW w:w="0" w:type="auto"/>
          <w:tblLook w:val="04A0"/>
        </w:tblPrEx>
        <w:tc>
          <w:tcPr>
            <w:tcW w:w="4585" w:type="dxa"/>
          </w:tcPr>
          <w:p w:rsidR="00EB78E0" w:rsidRPr="00EB78E0" w:rsidP="1CC4A725" w14:paraId="64BD39B8" w14:textId="2AFA716E">
            <w:pPr>
              <w:spacing w:before="100" w:beforeAutospacing="1" w:after="100" w:afterAutospacing="1"/>
              <w:jc w:val="center"/>
              <w:rPr>
                <w:b/>
                <w:bCs/>
              </w:rPr>
            </w:pPr>
            <w:r w:rsidRPr="1CC4A725">
              <w:rPr>
                <w:b/>
                <w:bCs/>
              </w:rPr>
              <w:t>Professional Category</w:t>
            </w:r>
          </w:p>
        </w:tc>
        <w:tc>
          <w:tcPr>
            <w:tcW w:w="1620" w:type="dxa"/>
          </w:tcPr>
          <w:p w:rsidR="00EB78E0" w:rsidRPr="00EB78E0" w:rsidP="1CC4A725" w14:paraId="36BB5EC3" w14:textId="3C773B1C">
            <w:pPr>
              <w:spacing w:before="100" w:beforeAutospacing="1" w:after="100" w:afterAutospacing="1"/>
              <w:jc w:val="center"/>
              <w:rPr>
                <w:b/>
                <w:bCs/>
              </w:rPr>
            </w:pPr>
            <w:r w:rsidRPr="1CC4A725">
              <w:rPr>
                <w:b/>
                <w:bCs/>
              </w:rPr>
              <w:t># of Interviews</w:t>
            </w:r>
          </w:p>
        </w:tc>
        <w:tc>
          <w:tcPr>
            <w:tcW w:w="1620" w:type="dxa"/>
          </w:tcPr>
          <w:p w:rsidR="00EB78E0" w:rsidRPr="00EB78E0" w:rsidP="1CC4A725" w14:paraId="4A5C3996" w14:textId="4730B207">
            <w:pPr>
              <w:spacing w:before="100" w:beforeAutospacing="1" w:after="100" w:afterAutospacing="1"/>
              <w:jc w:val="center"/>
              <w:rPr>
                <w:b/>
                <w:bCs/>
              </w:rPr>
            </w:pPr>
            <w:r w:rsidRPr="1CC4A725">
              <w:rPr>
                <w:b/>
                <w:bCs/>
              </w:rPr>
              <w:t>Mean Hourly Wage</w:t>
            </w:r>
            <w:r>
              <w:rPr>
                <w:rStyle w:val="FootnoteReference"/>
                <w:b/>
                <w:bCs/>
              </w:rPr>
              <w:footnoteReference w:id="4"/>
            </w:r>
          </w:p>
        </w:tc>
      </w:tr>
      <w:tr w14:paraId="6FE3EE82" w14:textId="77777777" w:rsidTr="62E600DF">
        <w:tblPrEx>
          <w:tblW w:w="0" w:type="auto"/>
          <w:tblLook w:val="04A0"/>
        </w:tblPrEx>
        <w:tc>
          <w:tcPr>
            <w:tcW w:w="4585" w:type="dxa"/>
          </w:tcPr>
          <w:p w:rsidR="00EB78E0" w:rsidP="1CC4A725" w14:paraId="2B1A4209" w14:textId="3B80D651">
            <w:pPr>
              <w:spacing w:before="100" w:beforeAutospacing="1" w:after="100" w:afterAutospacing="1"/>
            </w:pPr>
            <w:r>
              <w:t>Store Managers</w:t>
            </w:r>
          </w:p>
        </w:tc>
        <w:tc>
          <w:tcPr>
            <w:tcW w:w="1620" w:type="dxa"/>
            <w:vAlign w:val="center"/>
          </w:tcPr>
          <w:p w:rsidR="00EB78E0" w:rsidP="62E600DF" w14:paraId="24626221" w14:textId="13C78DB4">
            <w:pPr>
              <w:spacing w:before="100" w:beforeAutospacing="1" w:after="100" w:afterAutospacing="1"/>
              <w:jc w:val="center"/>
            </w:pPr>
            <w:r>
              <w:t>1</w:t>
            </w:r>
            <w:r w:rsidR="7BC05538">
              <w:t>8</w:t>
            </w:r>
          </w:p>
        </w:tc>
        <w:tc>
          <w:tcPr>
            <w:tcW w:w="1620" w:type="dxa"/>
            <w:vAlign w:val="center"/>
          </w:tcPr>
          <w:p w:rsidR="00EB78E0" w:rsidP="1CC4A725" w14:paraId="29641BE0" w14:textId="6DE6C333">
            <w:pPr>
              <w:spacing w:before="100" w:beforeAutospacing="1" w:after="100" w:afterAutospacing="1"/>
              <w:jc w:val="center"/>
            </w:pPr>
            <w:r>
              <w:t>$</w:t>
            </w:r>
            <w:r w:rsidR="50BBD894">
              <w:t>62.18</w:t>
            </w:r>
          </w:p>
        </w:tc>
      </w:tr>
      <w:tr w14:paraId="539D4683" w14:textId="77777777" w:rsidTr="62E600DF">
        <w:tblPrEx>
          <w:tblW w:w="0" w:type="auto"/>
          <w:tblLook w:val="04A0"/>
        </w:tblPrEx>
        <w:tc>
          <w:tcPr>
            <w:tcW w:w="4585" w:type="dxa"/>
          </w:tcPr>
          <w:p w:rsidR="00EB78E0" w:rsidP="369472EE" w14:paraId="68616819" w14:textId="3BC71F84">
            <w:pPr>
              <w:spacing w:beforeAutospacing="1" w:afterAutospacing="1" w:line="259" w:lineRule="auto"/>
            </w:pPr>
            <w:r>
              <w:t xml:space="preserve">Cashiers </w:t>
            </w:r>
          </w:p>
        </w:tc>
        <w:tc>
          <w:tcPr>
            <w:tcW w:w="1620" w:type="dxa"/>
            <w:vAlign w:val="center"/>
          </w:tcPr>
          <w:p w:rsidR="00EB78E0" w:rsidP="62E600DF" w14:paraId="65F10C9A" w14:textId="04925DEA">
            <w:pPr>
              <w:spacing w:before="100" w:beforeAutospacing="1" w:after="100" w:afterAutospacing="1"/>
              <w:jc w:val="center"/>
            </w:pPr>
            <w:r>
              <w:t>1</w:t>
            </w:r>
            <w:r w:rsidR="3CF0267B">
              <w:t>8</w:t>
            </w:r>
          </w:p>
        </w:tc>
        <w:tc>
          <w:tcPr>
            <w:tcW w:w="1620" w:type="dxa"/>
            <w:vAlign w:val="center"/>
          </w:tcPr>
          <w:p w:rsidR="00EB78E0" w:rsidP="1CC4A725" w14:paraId="7BE37AFE" w14:textId="2E297861">
            <w:pPr>
              <w:spacing w:before="100" w:beforeAutospacing="1" w:after="100" w:afterAutospacing="1"/>
              <w:jc w:val="center"/>
            </w:pPr>
            <w:r>
              <w:t>$</w:t>
            </w:r>
            <w:r w:rsidR="23C55087">
              <w:t>14.77</w:t>
            </w:r>
          </w:p>
        </w:tc>
      </w:tr>
      <w:tr w14:paraId="60079DAD" w14:textId="77777777" w:rsidTr="62E600DF">
        <w:tblPrEx>
          <w:tblW w:w="0" w:type="auto"/>
          <w:tblLook w:val="04A0"/>
        </w:tblPrEx>
        <w:tc>
          <w:tcPr>
            <w:tcW w:w="4585" w:type="dxa"/>
          </w:tcPr>
          <w:p w:rsidR="00EB78E0" w:rsidP="1CC4A725" w14:paraId="0C4FBACE" w14:textId="4572FE1E">
            <w:pPr>
              <w:spacing w:before="100" w:beforeAutospacing="1" w:after="100" w:afterAutospacing="1"/>
            </w:pPr>
          </w:p>
        </w:tc>
        <w:tc>
          <w:tcPr>
            <w:tcW w:w="1620" w:type="dxa"/>
            <w:vAlign w:val="center"/>
          </w:tcPr>
          <w:p w:rsidR="00EB78E0" w:rsidP="1CC4A725" w14:paraId="40EBF109" w14:textId="58221B80">
            <w:pPr>
              <w:spacing w:before="100" w:beforeAutospacing="1" w:after="100" w:afterAutospacing="1"/>
              <w:jc w:val="center"/>
            </w:pPr>
          </w:p>
        </w:tc>
        <w:tc>
          <w:tcPr>
            <w:tcW w:w="1620" w:type="dxa"/>
            <w:vAlign w:val="center"/>
          </w:tcPr>
          <w:p w:rsidR="00EB78E0" w:rsidP="1CC4A725" w14:paraId="69BE1732" w14:textId="6B1BB301">
            <w:pPr>
              <w:spacing w:before="100" w:beforeAutospacing="1" w:after="100" w:afterAutospacing="1"/>
              <w:jc w:val="center"/>
            </w:pPr>
          </w:p>
        </w:tc>
      </w:tr>
      <w:tr w14:paraId="49ECBEF0" w14:textId="77777777" w:rsidTr="62E600DF">
        <w:tblPrEx>
          <w:tblW w:w="0" w:type="auto"/>
          <w:tblLook w:val="04A0"/>
        </w:tblPrEx>
        <w:tc>
          <w:tcPr>
            <w:tcW w:w="7825" w:type="dxa"/>
            <w:gridSpan w:val="3"/>
          </w:tcPr>
          <w:p w:rsidR="00651C08" w:rsidP="1CC4A725" w14:paraId="76898639" w14:textId="549C412C">
            <w:pPr>
              <w:spacing w:before="100" w:beforeAutospacing="1" w:after="100" w:afterAutospacing="1"/>
            </w:pPr>
          </w:p>
        </w:tc>
      </w:tr>
      <w:tr w14:paraId="39A73BB7" w14:textId="77777777" w:rsidTr="62E600DF">
        <w:tblPrEx>
          <w:tblW w:w="0" w:type="auto"/>
          <w:tblLook w:val="04A0"/>
        </w:tblPrEx>
        <w:tc>
          <w:tcPr>
            <w:tcW w:w="6205" w:type="dxa"/>
            <w:gridSpan w:val="2"/>
          </w:tcPr>
          <w:p w:rsidR="00651C08" w:rsidP="1CC4A725" w14:paraId="7285CEC7" w14:textId="40130E25">
            <w:pPr>
              <w:spacing w:before="100" w:beforeAutospacing="1" w:after="100" w:afterAutospacing="1"/>
              <w:jc w:val="center"/>
              <w:rPr>
                <w:b/>
                <w:bCs/>
              </w:rPr>
            </w:pPr>
            <w:r w:rsidRPr="1CC4A725">
              <w:rPr>
                <w:b/>
                <w:bCs/>
              </w:rPr>
              <w:t>Mean Hourly Wage – Weighted Average</w:t>
            </w:r>
          </w:p>
        </w:tc>
        <w:tc>
          <w:tcPr>
            <w:tcW w:w="1620" w:type="dxa"/>
          </w:tcPr>
          <w:p w:rsidR="00651C08" w:rsidP="1CC4A725" w14:paraId="4420CEB8" w14:textId="6868943D">
            <w:pPr>
              <w:spacing w:before="100" w:beforeAutospacing="1" w:after="100" w:afterAutospacing="1"/>
              <w:jc w:val="center"/>
            </w:pPr>
            <w:r>
              <w:t>$</w:t>
            </w:r>
            <w:r w:rsidR="27F2B312">
              <w:t>38.48</w:t>
            </w:r>
          </w:p>
        </w:tc>
      </w:tr>
    </w:tbl>
    <w:p w:rsidR="00D23E25" w:rsidP="7A8BD38D" w14:paraId="54FB2125" w14:textId="737E37DB">
      <w:pPr>
        <w:spacing w:before="100" w:beforeAutospacing="1" w:after="100" w:afterAutospacing="1"/>
      </w:pPr>
      <w:r>
        <w:t xml:space="preserve">With a burden of </w:t>
      </w:r>
      <w:r w:rsidR="4B2E08DB">
        <w:t>1</w:t>
      </w:r>
      <w:r w:rsidR="204EC839">
        <w:t>67.4</w:t>
      </w:r>
      <w:r>
        <w:t xml:space="preserve"> hours at $</w:t>
      </w:r>
      <w:r w:rsidR="752D940A">
        <w:t>38.48</w:t>
      </w:r>
      <w:r>
        <w:t xml:space="preserve"> per hour, the base annual respondent cost is estimated at $</w:t>
      </w:r>
      <w:r w:rsidR="33BE31B3">
        <w:t>6,441</w:t>
      </w:r>
      <w:r>
        <w:t>.</w:t>
      </w:r>
      <w:r w:rsidR="53765294">
        <w:t>55</w:t>
      </w:r>
      <w:r>
        <w:t xml:space="preserve"> An additional 33% of the estimated base annual respondent cost must be added to represent fully loaded wages, equaling $</w:t>
      </w:r>
      <w:r w:rsidR="2ADEDC83">
        <w:t>2,125.71</w:t>
      </w:r>
      <w:r>
        <w:t>. Thus, the total respondent cost is $</w:t>
      </w:r>
      <w:r w:rsidR="6C44A2A9">
        <w:t>8,567.26</w:t>
      </w:r>
      <w:r>
        <w:t>.</w:t>
      </w:r>
    </w:p>
    <w:bookmarkEnd w:id="2"/>
    <w:p w:rsidR="0046337D" w:rsidP="00F3170F" w14:paraId="5BAB71B8" w14:textId="77777777"/>
    <w:p w:rsidR="0066642B" w:rsidP="0066642B" w14:paraId="50228D1D" w14:textId="77777777">
      <w:pPr>
        <w:rPr>
          <w:b/>
          <w:bCs/>
        </w:rPr>
      </w:pPr>
      <w:r w:rsidRPr="74BE00DB">
        <w:rPr>
          <w:b/>
          <w:bCs/>
        </w:rPr>
        <w:t xml:space="preserve">FEDERAL </w:t>
      </w:r>
      <w:r w:rsidRPr="74BE00DB" w:rsidR="009F5923">
        <w:rPr>
          <w:b/>
          <w:bCs/>
        </w:rPr>
        <w:t>COST</w:t>
      </w:r>
      <w:r w:rsidRPr="74BE00DB" w:rsidR="00F06866">
        <w:rPr>
          <w:b/>
          <w:bCs/>
        </w:rPr>
        <w:t>:</w:t>
      </w:r>
      <w:r w:rsidRPr="74BE00DB" w:rsidR="00895229">
        <w:rPr>
          <w:b/>
          <w:bCs/>
        </w:rPr>
        <w:t xml:space="preserve"> </w:t>
      </w:r>
      <w:r w:rsidRPr="74BE00DB" w:rsidR="00C86E91">
        <w:rPr>
          <w:b/>
          <w:bCs/>
        </w:rPr>
        <w:t xml:space="preserve"> </w:t>
      </w:r>
    </w:p>
    <w:p w:rsidR="6CCE6BDF" w:rsidRPr="00184D48" w:rsidP="300EAA88" w14:paraId="00189B08" w14:textId="05A97E3A">
      <w:pPr>
        <w:spacing w:line="259" w:lineRule="auto"/>
      </w:pPr>
      <w:r>
        <w:t>It is estimated that Federal employees will spend approximately 48 hours overseeing this collection in 202</w:t>
      </w:r>
      <w:r w:rsidR="6AA8C801">
        <w:t>4</w:t>
      </w:r>
      <w:r>
        <w:t xml:space="preserve"> with an average of a GS-14, step 1 wage. Using the hourly wage rate of $6</w:t>
      </w:r>
      <w:r w:rsidR="5D6FC67E">
        <w:t>6.79</w:t>
      </w:r>
      <w:r>
        <w:t xml:space="preserve"> for a GS-14, step 1, Federal employee from the 202</w:t>
      </w:r>
      <w:r w:rsidR="1413BC93">
        <w:t>4</w:t>
      </w:r>
      <w:r>
        <w:t xml:space="preserve"> Washington, DC, locality pay table, the estimated costs equal $3,</w:t>
      </w:r>
      <w:r w:rsidR="575315EF">
        <w:t>205.92</w:t>
      </w:r>
      <w:r>
        <w:t xml:space="preserve"> plus $1,0</w:t>
      </w:r>
      <w:r w:rsidR="701F5788">
        <w:t>57.95</w:t>
      </w:r>
      <w:r>
        <w:t xml:space="preserve"> in fringe benefits for a total of $4,</w:t>
      </w:r>
      <w:r w:rsidR="58EEE650">
        <w:t>263.87</w:t>
      </w:r>
      <w:r>
        <w:t>.</w:t>
      </w:r>
    </w:p>
    <w:p w:rsidR="00574B9C" w:rsidP="300EAA88" w14:paraId="0D9C3EFE" w14:textId="5237EFC4">
      <w:pPr>
        <w:spacing w:before="100" w:beforeAutospacing="1" w:after="100" w:afterAutospacing="1"/>
      </w:pPr>
      <w:bookmarkStart w:id="4" w:name="_Hlk143176217"/>
      <w:r>
        <w:t xml:space="preserve">Contractor costs to the Federal Government will total </w:t>
      </w:r>
      <w:r w:rsidR="00EB3162">
        <w:t>$</w:t>
      </w:r>
      <w:r w:rsidR="00AD2354">
        <w:t>104</w:t>
      </w:r>
      <w:r w:rsidR="00921263">
        <w:t>,</w:t>
      </w:r>
      <w:r w:rsidR="00AD2354">
        <w:t>200</w:t>
      </w:r>
      <w:r w:rsidR="006F3EB8">
        <w:t>.00</w:t>
      </w:r>
      <w:r w:rsidR="00810C0C">
        <w:t xml:space="preserve"> </w:t>
      </w:r>
      <w:r>
        <w:t xml:space="preserve">over the course of this </w:t>
      </w:r>
      <w:r w:rsidR="005C26AF">
        <w:t>collection</w:t>
      </w:r>
      <w:r w:rsidR="00880433">
        <w:t xml:space="preserve"> based on fully loaded rates</w:t>
      </w:r>
      <w:r>
        <w:t xml:space="preserve">. When combining the Federal employee and contractor costs, the total annual cost to the Federal Government for this information collection is estimated at </w:t>
      </w:r>
      <w:r w:rsidR="00307E76">
        <w:t>$</w:t>
      </w:r>
      <w:r w:rsidR="00CB79F3">
        <w:t>108</w:t>
      </w:r>
      <w:r w:rsidR="00921263">
        <w:t>,</w:t>
      </w:r>
      <w:r w:rsidR="00CB79F3">
        <w:t>463</w:t>
      </w:r>
      <w:r w:rsidR="00921263">
        <w:t>.</w:t>
      </w:r>
      <w:r w:rsidR="00CB79F3">
        <w:t>8</w:t>
      </w:r>
      <w:r w:rsidR="00921263">
        <w:t>7</w:t>
      </w:r>
      <w:r w:rsidR="00B42380">
        <w:t>.</w:t>
      </w:r>
      <w:r>
        <w:t xml:space="preserve"> </w:t>
      </w:r>
    </w:p>
    <w:bookmarkEnd w:id="4"/>
    <w:p w:rsidR="00ED6492" w14:paraId="3515C89C" w14:textId="77777777">
      <w:pPr>
        <w:rPr>
          <w:b/>
          <w:bCs/>
          <w:u w:val="single"/>
        </w:rPr>
      </w:pPr>
    </w:p>
    <w:p w:rsidR="0069403B" w:rsidP="6CCE6BDF" w14:paraId="1FBDE104" w14:textId="69C90A77">
      <w:pPr>
        <w:rPr>
          <w:b/>
          <w:bCs/>
        </w:rPr>
      </w:pPr>
      <w:r w:rsidRPr="6CCE6BDF">
        <w:rPr>
          <w:b/>
          <w:bCs/>
          <w:u w:val="single"/>
        </w:rPr>
        <w:t>If you are conducting a focus group, survey, or plan to employ statistical methods, please provide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1FEE805">
      <w:pPr>
        <w:pStyle w:val="ListParagraph"/>
        <w:numPr>
          <w:ilvl w:val="0"/>
          <w:numId w:val="15"/>
        </w:numPr>
      </w:pPr>
      <w:r>
        <w:t>Do you have a customer list or something similar that defines the universe of potential respondents, and do you have a sampling plan for selecting from this universe?</w:t>
      </w:r>
      <w:r w:rsidR="0069403B">
        <w:tab/>
      </w:r>
      <w:r w:rsidR="0069403B">
        <w:tab/>
      </w:r>
    </w:p>
    <w:p w:rsidR="0069403B" w:rsidP="00187BA6" w14:paraId="45CC1D44" w14:textId="1087DA88">
      <w:pPr>
        <w:pStyle w:val="ListParagraph"/>
        <w:ind w:left="360"/>
      </w:pPr>
      <w:r>
        <w:t>[ ] Yes</w:t>
      </w:r>
      <w:r>
        <w:tab/>
        <w:t>[</w:t>
      </w:r>
      <w:r w:rsidR="000D208D">
        <w:t>X</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8F700A" w:rsidRPr="00E621CF" w:rsidP="369472EE" w14:paraId="7ED5E152" w14:textId="61F60C46">
      <w:pPr>
        <w:suppressAutoHyphens/>
      </w:pPr>
      <w:r>
        <w:t xml:space="preserve">We will be working with professional recruiting partners who have proprietary “opt-in” databases of potential research participants. These databases contain general </w:t>
      </w:r>
      <w:r w:rsidR="00240DA4">
        <w:t xml:space="preserve">professional </w:t>
      </w:r>
      <w:r>
        <w:t>information for each individual</w:t>
      </w:r>
      <w:r w:rsidR="0046337D">
        <w:t xml:space="preserve"> in their database</w:t>
      </w:r>
      <w:r>
        <w:t xml:space="preserve">. Only individuals whose </w:t>
      </w:r>
      <w:r w:rsidR="00240DA4">
        <w:t xml:space="preserve">professional </w:t>
      </w:r>
      <w:r>
        <w:t>profiles fall within the project’s general parameters will receive</w:t>
      </w:r>
      <w:r w:rsidR="005731B4">
        <w:t xml:space="preserve"> an online screener and</w:t>
      </w:r>
      <w:r>
        <w:t xml:space="preserve"> a short recruitment phone call to determine if they meet all project criteria. All individuals must meet the criteria listed in the screening questionnaire </w:t>
      </w:r>
      <w:r w:rsidR="003D5E82">
        <w:t xml:space="preserve">(Attachment A-1) </w:t>
      </w:r>
      <w:r>
        <w:t xml:space="preserve">and provide consent </w:t>
      </w:r>
      <w:r w:rsidR="003D5E82">
        <w:t>(Attachment C-1</w:t>
      </w:r>
      <w:r w:rsidR="00654A90">
        <w:t>, C-2</w:t>
      </w:r>
      <w:r w:rsidR="003D5E82">
        <w:t>)</w:t>
      </w:r>
      <w:r w:rsidR="004211BB">
        <w:t xml:space="preserve"> </w:t>
      </w:r>
      <w:r>
        <w:t>to participate before any research can take place.</w:t>
      </w:r>
    </w:p>
    <w:p w:rsidR="004D6E14" w:rsidRPr="00E621CF" w:rsidP="00A403BB" w14:paraId="2E4827DA" w14:textId="77777777">
      <w:pPr>
        <w:rPr>
          <w:b/>
        </w:rPr>
      </w:pPr>
    </w:p>
    <w:p w:rsidR="00A403BB" w:rsidRPr="00E621CF" w:rsidP="00A403BB" w14:paraId="212DA446" w14:textId="21370189">
      <w:pPr>
        <w:rPr>
          <w:b/>
        </w:rPr>
      </w:pPr>
      <w:r w:rsidRPr="00E621CF">
        <w:rPr>
          <w:b/>
        </w:rPr>
        <w:t>Administration of the Instrument</w:t>
      </w:r>
    </w:p>
    <w:p w:rsidR="00A403BB" w:rsidRPr="00E621CF" w:rsidP="00A403BB" w14:paraId="6F03CF3E" w14:textId="77777777">
      <w:pPr>
        <w:pStyle w:val="ListParagraph"/>
        <w:numPr>
          <w:ilvl w:val="0"/>
          <w:numId w:val="17"/>
        </w:numPr>
      </w:pPr>
      <w:r w:rsidRPr="00E621CF">
        <w:t>H</w:t>
      </w:r>
      <w:r w:rsidRPr="00E621CF">
        <w:t>ow will you collect the information? (Check all that apply)</w:t>
      </w:r>
    </w:p>
    <w:p w:rsidR="001B0AAA" w:rsidRPr="00E621CF" w:rsidP="001B0AAA" w14:paraId="0032781C" w14:textId="039ED07B">
      <w:pPr>
        <w:ind w:left="720"/>
      </w:pPr>
      <w:r w:rsidRPr="00E621CF">
        <w:t>[</w:t>
      </w:r>
      <w:r w:rsidRPr="00E621CF" w:rsidR="0046337D">
        <w:t>X</w:t>
      </w:r>
      <w:r w:rsidRPr="00E621CF">
        <w:t>] Web-based</w:t>
      </w:r>
      <w:r w:rsidRPr="00E621CF">
        <w:t xml:space="preserve"> or other forms of Social Media </w:t>
      </w:r>
    </w:p>
    <w:p w:rsidR="001B0AAA" w:rsidRPr="00E621CF" w:rsidP="001B0AAA" w14:paraId="2B3683F1" w14:textId="77777777">
      <w:pPr>
        <w:ind w:left="720"/>
      </w:pPr>
      <w:r w:rsidRPr="00E621CF">
        <w:t xml:space="preserve">[ </w:t>
      </w:r>
      <w:r w:rsidRPr="00E621CF">
        <w:t xml:space="preserve"> </w:t>
      </w:r>
      <w:r w:rsidRPr="00E621CF">
        <w:t>] Telephone</w:t>
      </w:r>
      <w:r w:rsidRPr="00E621CF">
        <w:tab/>
      </w:r>
    </w:p>
    <w:p w:rsidR="001B0AAA" w:rsidRPr="00E621CF" w:rsidP="001B0AAA" w14:paraId="6570901D" w14:textId="77777777">
      <w:pPr>
        <w:ind w:left="720"/>
      </w:pPr>
      <w:r w:rsidRPr="00E621CF">
        <w:t>[</w:t>
      </w:r>
      <w:r w:rsidRPr="00E621CF">
        <w:t xml:space="preserve"> </w:t>
      </w:r>
      <w:r w:rsidRPr="00E621CF">
        <w:t xml:space="preserve"> ] In-person</w:t>
      </w:r>
      <w:r w:rsidRPr="00E621CF">
        <w:tab/>
      </w:r>
    </w:p>
    <w:p w:rsidR="001B0AAA" w:rsidRPr="00E621CF" w:rsidP="001B0AAA" w14:paraId="2A558F6A" w14:textId="77777777">
      <w:pPr>
        <w:ind w:left="720"/>
      </w:pPr>
      <w:r w:rsidRPr="00E621CF">
        <w:t xml:space="preserve">[ </w:t>
      </w:r>
      <w:r w:rsidRPr="00E621CF">
        <w:t xml:space="preserve"> </w:t>
      </w:r>
      <w:r w:rsidRPr="00E621CF">
        <w:t>] Mail</w:t>
      </w:r>
      <w:r w:rsidRPr="00E621CF">
        <w:t xml:space="preserve"> </w:t>
      </w:r>
    </w:p>
    <w:p w:rsidR="001B0AAA" w:rsidRPr="00E621CF" w:rsidP="001B0AAA" w14:paraId="2F6B980C" w14:textId="77777777">
      <w:pPr>
        <w:ind w:left="720"/>
      </w:pPr>
      <w:r w:rsidRPr="00E621CF">
        <w:t xml:space="preserve">[ </w:t>
      </w:r>
      <w:r w:rsidRPr="00E621CF">
        <w:t xml:space="preserve"> </w:t>
      </w:r>
      <w:r w:rsidRPr="00E621CF">
        <w:t>] Other, Explain</w:t>
      </w:r>
    </w:p>
    <w:p w:rsidR="00F24CFC" w:rsidRPr="00E621CF" w:rsidP="00F24CFC" w14:paraId="4DB4C339" w14:textId="07A2EFE3">
      <w:pPr>
        <w:pStyle w:val="ListParagraph"/>
        <w:numPr>
          <w:ilvl w:val="0"/>
          <w:numId w:val="17"/>
        </w:numPr>
      </w:pPr>
      <w:r w:rsidRPr="00E621CF">
        <w:t xml:space="preserve">Will interviewers or facilitators be used?  [ </w:t>
      </w:r>
      <w:r w:rsidRPr="00E621CF" w:rsidR="00D5532A">
        <w:t>X</w:t>
      </w:r>
      <w:r w:rsidRPr="00E621CF">
        <w:t>] Yes [  ] No</w:t>
      </w:r>
    </w:p>
    <w:p w:rsidR="00D5532A" w:rsidRPr="00E621CF" w:rsidP="00D5532A" w14:paraId="7EB2EB22" w14:textId="77777777">
      <w:pPr>
        <w:rPr>
          <w:rFonts w:cs="Arial"/>
        </w:rPr>
      </w:pPr>
    </w:p>
    <w:p w:rsidR="00D5532A" w:rsidRPr="00E621CF" w:rsidP="00D5532A" w14:paraId="18646937" w14:textId="1EC1E33F">
      <w:pPr>
        <w:rPr>
          <w:rFonts w:cs="Arial"/>
        </w:rPr>
      </w:pPr>
      <w:r w:rsidRPr="1CC4A725">
        <w:rPr>
          <w:rFonts w:cs="Arial"/>
        </w:rPr>
        <w:t>T</w:t>
      </w:r>
      <w:r w:rsidRPr="1CC4A725">
        <w:rPr>
          <w:rFonts w:cs="Arial"/>
        </w:rPr>
        <w:t xml:space="preserve">rained </w:t>
      </w:r>
      <w:r w:rsidRPr="1CC4A725" w:rsidR="00240DA4">
        <w:rPr>
          <w:rFonts w:cs="Arial"/>
        </w:rPr>
        <w:t>interviewers</w:t>
      </w:r>
      <w:r w:rsidRPr="1CC4A725">
        <w:rPr>
          <w:rFonts w:cs="Arial"/>
        </w:rPr>
        <w:t xml:space="preserve"> will facilitate the discussions as described in the </w:t>
      </w:r>
      <w:r w:rsidRPr="1CC4A725" w:rsidR="00240DA4">
        <w:rPr>
          <w:rFonts w:cs="Arial"/>
        </w:rPr>
        <w:t xml:space="preserve">In-Depth Interview </w:t>
      </w:r>
      <w:r w:rsidRPr="1CC4A725">
        <w:rPr>
          <w:rFonts w:cs="Arial"/>
        </w:rPr>
        <w:t>Guide (Attachment</w:t>
      </w:r>
      <w:r w:rsidRPr="1CC4A725" w:rsidR="0788D9C7">
        <w:rPr>
          <w:rFonts w:cs="Arial"/>
        </w:rPr>
        <w:t>s</w:t>
      </w:r>
      <w:r w:rsidRPr="1CC4A725">
        <w:rPr>
          <w:rFonts w:cs="Arial"/>
        </w:rPr>
        <w:t xml:space="preserve"> </w:t>
      </w:r>
      <w:r w:rsidRPr="1CC4A725" w:rsidR="003D5E82">
        <w:rPr>
          <w:rFonts w:cs="Arial"/>
        </w:rPr>
        <w:t>D</w:t>
      </w:r>
      <w:r w:rsidRPr="1CC4A725">
        <w:rPr>
          <w:rFonts w:cs="Arial"/>
        </w:rPr>
        <w:t>-1</w:t>
      </w:r>
      <w:r w:rsidRPr="1CC4A725" w:rsidR="673A672E">
        <w:rPr>
          <w:rFonts w:cs="Arial"/>
        </w:rPr>
        <w:t>, D-2</w:t>
      </w:r>
      <w:r w:rsidRPr="1CC4A725" w:rsidR="003D5E82">
        <w:rPr>
          <w:rFonts w:cs="Arial"/>
        </w:rPr>
        <w:t>).</w:t>
      </w:r>
      <w:r w:rsidRPr="1CC4A725">
        <w:rPr>
          <w:rFonts w:cs="Arial"/>
        </w:rPr>
        <w:t xml:space="preserve"> </w:t>
      </w:r>
    </w:p>
    <w:p w:rsidR="00D5532A" w:rsidRPr="00E621CF" w:rsidP="00D5532A" w14:paraId="3CE119E2" w14:textId="77777777"/>
    <w:p w:rsidR="004146D3" w:rsidRPr="00E621CF" w:rsidP="74BE00DB" w14:paraId="19FFEF4F" w14:textId="069F52D5">
      <w:pPr>
        <w:rPr>
          <w:b/>
          <w:bCs/>
        </w:rPr>
      </w:pPr>
      <w:r w:rsidRPr="74BE00DB">
        <w:rPr>
          <w:b/>
          <w:bCs/>
        </w:rPr>
        <w:t>Attachments:</w:t>
      </w:r>
    </w:p>
    <w:p w:rsidR="00CC4606" w:rsidRPr="00E621CF" w:rsidP="00CC4606" w14:paraId="293966C2" w14:textId="77777777">
      <w:pPr>
        <w:rPr>
          <w:b/>
        </w:rPr>
      </w:pPr>
    </w:p>
    <w:p w:rsidR="005E714A" w:rsidRPr="00184D48" w:rsidP="1CC4A725" w14:paraId="48F295E9" w14:textId="26427E29">
      <w:pPr>
        <w:tabs>
          <w:tab w:val="left" w:pos="5670"/>
        </w:tabs>
        <w:suppressAutoHyphens/>
      </w:pPr>
      <w:r>
        <w:t xml:space="preserve">A-1 </w:t>
      </w:r>
      <w:r w:rsidR="1014E03A">
        <w:t xml:space="preserve">Screener - </w:t>
      </w:r>
      <w:r w:rsidR="341348E4">
        <w:t>Store Manager / Cashier</w:t>
      </w:r>
      <w:r w:rsidR="003B35EB">
        <w:t xml:space="preserve"> or Customer Service staff</w:t>
      </w:r>
      <w:r w:rsidR="00F12A0A">
        <w:t xml:space="preserve"> </w:t>
      </w:r>
      <w:r w:rsidR="1ECFA04B">
        <w:t>IDIs</w:t>
      </w:r>
    </w:p>
    <w:p w:rsidR="003D5E82" w:rsidRPr="00184D48" w:rsidP="1CC4A725" w14:paraId="4CCC78EE" w14:textId="49A19E66">
      <w:pPr>
        <w:tabs>
          <w:tab w:val="left" w:pos="5670"/>
        </w:tabs>
        <w:suppressAutoHyphens/>
      </w:pPr>
      <w:r>
        <w:t>B-1 Confirmation Form</w:t>
      </w:r>
      <w:r w:rsidR="6C029D03">
        <w:t xml:space="preserve"> </w:t>
      </w:r>
      <w:r w:rsidR="00C90122">
        <w:t>–</w:t>
      </w:r>
      <w:r w:rsidR="6C029D03">
        <w:t xml:space="preserve"> Store Managers</w:t>
      </w:r>
    </w:p>
    <w:p w:rsidR="2F59CA3C" w:rsidP="1CC4A725" w14:paraId="4974D701" w14:textId="78B5184E">
      <w:pPr>
        <w:tabs>
          <w:tab w:val="left" w:pos="5670"/>
        </w:tabs>
      </w:pPr>
      <w:r>
        <w:t>B</w:t>
      </w:r>
      <w:r w:rsidR="00FA310A">
        <w:t>-</w:t>
      </w:r>
      <w:r>
        <w:t>2 Confirmation Form</w:t>
      </w:r>
      <w:r w:rsidR="494959B0">
        <w:t xml:space="preserve"> </w:t>
      </w:r>
      <w:r w:rsidR="0035465E">
        <w:t>–</w:t>
      </w:r>
      <w:r w:rsidR="494959B0">
        <w:t xml:space="preserve"> Cashiers</w:t>
      </w:r>
      <w:r w:rsidR="0035465E">
        <w:t>/Customer Service</w:t>
      </w:r>
    </w:p>
    <w:p w:rsidR="004211BB" w:rsidP="1CC4A725" w14:paraId="2A1D57BA" w14:textId="0A1D0E97">
      <w:pPr>
        <w:tabs>
          <w:tab w:val="left" w:pos="5670"/>
        </w:tabs>
        <w:suppressAutoHyphens/>
      </w:pPr>
      <w:r>
        <w:t xml:space="preserve">C-1 Consent Form </w:t>
      </w:r>
      <w:r w:rsidR="00C90122">
        <w:t>– Store Managers</w:t>
      </w:r>
    </w:p>
    <w:p w:rsidR="00C90122" w:rsidP="00C90122" w14:paraId="1262C613" w14:textId="1AE4E5F5">
      <w:pPr>
        <w:tabs>
          <w:tab w:val="left" w:pos="5670"/>
        </w:tabs>
        <w:suppressAutoHyphens/>
      </w:pPr>
      <w:r>
        <w:t>C-2 Consent Form – Cashiers/Customer Service</w:t>
      </w:r>
    </w:p>
    <w:p w:rsidR="004211BB" w:rsidRPr="00184D48" w:rsidP="1CC4A725" w14:paraId="01161B3C" w14:textId="25180E2D">
      <w:pPr>
        <w:tabs>
          <w:tab w:val="left" w:pos="5670"/>
        </w:tabs>
        <w:suppressAutoHyphens/>
      </w:pPr>
      <w:r>
        <w:t xml:space="preserve">D-1 </w:t>
      </w:r>
      <w:r w:rsidR="2D536E9C">
        <w:t>Store Manager</w:t>
      </w:r>
      <w:r w:rsidR="00F12A0A">
        <w:t xml:space="preserve"> IDI </w:t>
      </w:r>
      <w:r>
        <w:t>Guide</w:t>
      </w:r>
    </w:p>
    <w:p w:rsidR="1C5CF27E" w:rsidP="1CC4A725" w14:paraId="697F6D14" w14:textId="6E6B0B81">
      <w:pPr>
        <w:tabs>
          <w:tab w:val="left" w:pos="5670"/>
        </w:tabs>
      </w:pPr>
      <w:r>
        <w:t>D</w:t>
      </w:r>
      <w:r w:rsidR="00C92981">
        <w:t>-</w:t>
      </w:r>
      <w:r>
        <w:t>2 Cashier</w:t>
      </w:r>
      <w:r w:rsidR="003B35EB">
        <w:t>/Customer Service staff</w:t>
      </w:r>
      <w:r>
        <w:t xml:space="preserve"> IDI Guide</w:t>
      </w:r>
    </w:p>
    <w:p w:rsidR="00283090" w:rsidP="543B73D6" w14:paraId="1C73874E" w14:textId="36CA054A">
      <w:pPr>
        <w:tabs>
          <w:tab w:val="left" w:pos="5670"/>
        </w:tabs>
        <w:suppressAutoHyphens/>
      </w:pPr>
      <w:r>
        <w:t xml:space="preserve">E-1 </w:t>
      </w:r>
      <w:r w:rsidR="00651924">
        <w:t>IRB Determination Notice</w:t>
      </w:r>
      <w:r w:rsidR="00C92981">
        <w:t xml:space="preserve"> </w:t>
      </w:r>
      <w:r w:rsidR="71C49B4C">
        <w:t>– Shopping Vendors</w:t>
      </w:r>
    </w:p>
    <w:p w:rsidR="004211BB" w:rsidP="003D5E82" w14:paraId="5BE02D61" w14:textId="77777777">
      <w:pPr>
        <w:tabs>
          <w:tab w:val="left" w:pos="5670"/>
        </w:tabs>
        <w:suppressAutoHyphens/>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1FF1" w14:paraId="158D5A69" w14:textId="77777777">
      <w:r>
        <w:separator/>
      </w:r>
    </w:p>
  </w:footnote>
  <w:footnote w:type="continuationSeparator" w:id="1">
    <w:p w:rsidR="00E81FF1" w14:paraId="1DA51CCD" w14:textId="77777777">
      <w:r>
        <w:continuationSeparator/>
      </w:r>
    </w:p>
  </w:footnote>
  <w:footnote w:type="continuationNotice" w:id="2">
    <w:p w:rsidR="00E81FF1" w14:paraId="005B2696" w14:textId="77777777"/>
  </w:footnote>
  <w:footnote w:id="3">
    <w:p w:rsidR="00390087" w14:paraId="690CCBF9" w14:textId="1DC548E4">
      <w:pPr>
        <w:pStyle w:val="FootnoteText"/>
      </w:pPr>
      <w:r>
        <w:rPr>
          <w:rStyle w:val="FootnoteReference"/>
        </w:rPr>
        <w:footnoteRef/>
      </w:r>
      <w:r>
        <w:t xml:space="preserve"> The </w:t>
      </w:r>
      <w:r w:rsidR="00EB231C">
        <w:t>45</w:t>
      </w:r>
      <w:r>
        <w:t xml:space="preserve"> minutes does not include time for set-up and login, as explained later in this cover memo.</w:t>
      </w:r>
    </w:p>
  </w:footnote>
  <w:footnote w:id="4">
    <w:p w:rsidR="00EB78E0" w14:paraId="322A7F39" w14:textId="348AF535">
      <w:pPr>
        <w:pStyle w:val="FootnoteText"/>
      </w:pPr>
      <w:r>
        <w:rPr>
          <w:rStyle w:val="FootnoteReference"/>
        </w:rPr>
        <w:footnoteRef/>
      </w:r>
      <w:r>
        <w:t xml:space="preserve"> http://www.bls.gov/oes/current/oes_nat.htm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7B0652" w14:textId="77777777" w:rsidTr="000C0867">
      <w:tblPrEx>
        <w:tblW w:w="0" w:type="auto"/>
        <w:tblLayout w:type="fixed"/>
        <w:tblLook w:val="06A0"/>
      </w:tblPrEx>
      <w:trPr>
        <w:trHeight w:val="300"/>
      </w:trPr>
      <w:tc>
        <w:tcPr>
          <w:tcW w:w="3120" w:type="dxa"/>
        </w:tcPr>
        <w:p w:rsidR="5EEF3EF7" w:rsidP="000C0867" w14:paraId="6BA759C3" w14:textId="5E1D5B23">
          <w:pPr>
            <w:pStyle w:val="Header"/>
            <w:ind w:left="-115"/>
          </w:pPr>
        </w:p>
      </w:tc>
      <w:tc>
        <w:tcPr>
          <w:tcW w:w="3120" w:type="dxa"/>
        </w:tcPr>
        <w:p w:rsidR="5EEF3EF7" w:rsidP="000C0867" w14:paraId="0C51102B" w14:textId="0B3DD081">
          <w:pPr>
            <w:pStyle w:val="Header"/>
            <w:jc w:val="center"/>
          </w:pPr>
        </w:p>
      </w:tc>
      <w:tc>
        <w:tcPr>
          <w:tcW w:w="3120" w:type="dxa"/>
        </w:tcPr>
        <w:p w:rsidR="5EEF3EF7" w:rsidP="000C0867" w14:paraId="41ADD3BA" w14:textId="70D4CF4E">
          <w:pPr>
            <w:pStyle w:val="Header"/>
            <w:ind w:right="-115"/>
            <w:jc w:val="right"/>
          </w:pPr>
        </w:p>
      </w:tc>
    </w:tr>
  </w:tbl>
  <w:p w:rsidR="5EEF3EF7" w:rsidP="000C0867" w14:paraId="5569F8DE" w14:textId="63DA9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D84F0E"/>
    <w:multiLevelType w:val="hybridMultilevel"/>
    <w:tmpl w:val="2280F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AC3754"/>
    <w:multiLevelType w:val="hybridMultilevel"/>
    <w:tmpl w:val="82A80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6"/>
  </w:num>
  <w:num w:numId="2" w16cid:durableId="655182478">
    <w:abstractNumId w:val="22"/>
  </w:num>
  <w:num w:numId="3" w16cid:durableId="580215205">
    <w:abstractNumId w:val="21"/>
  </w:num>
  <w:num w:numId="4" w16cid:durableId="629020045">
    <w:abstractNumId w:val="23"/>
  </w:num>
  <w:num w:numId="5" w16cid:durableId="8722407">
    <w:abstractNumId w:val="5"/>
  </w:num>
  <w:num w:numId="6" w16cid:durableId="339477685">
    <w:abstractNumId w:val="2"/>
  </w:num>
  <w:num w:numId="7" w16cid:durableId="1688482335">
    <w:abstractNumId w:val="13"/>
  </w:num>
  <w:num w:numId="8" w16cid:durableId="578179530">
    <w:abstractNumId w:val="19"/>
  </w:num>
  <w:num w:numId="9" w16cid:durableId="1583177084">
    <w:abstractNumId w:val="15"/>
  </w:num>
  <w:num w:numId="10" w16cid:durableId="1015183633">
    <w:abstractNumId w:val="3"/>
  </w:num>
  <w:num w:numId="11" w16cid:durableId="434786801">
    <w:abstractNumId w:val="9"/>
  </w:num>
  <w:num w:numId="12" w16cid:durableId="882519992">
    <w:abstractNumId w:val="10"/>
  </w:num>
  <w:num w:numId="13" w16cid:durableId="441269651">
    <w:abstractNumId w:val="0"/>
  </w:num>
  <w:num w:numId="14" w16cid:durableId="1883595587">
    <w:abstractNumId w:val="20"/>
  </w:num>
  <w:num w:numId="15" w16cid:durableId="1404991080">
    <w:abstractNumId w:val="18"/>
  </w:num>
  <w:num w:numId="16" w16cid:durableId="2097902680">
    <w:abstractNumId w:val="17"/>
  </w:num>
  <w:num w:numId="17" w16cid:durableId="875049204">
    <w:abstractNumId w:val="6"/>
  </w:num>
  <w:num w:numId="18" w16cid:durableId="1707221328">
    <w:abstractNumId w:val="7"/>
  </w:num>
  <w:num w:numId="19" w16cid:durableId="266740028">
    <w:abstractNumId w:val="12"/>
  </w:num>
  <w:num w:numId="20" w16cid:durableId="2129346851">
    <w:abstractNumId w:val="8"/>
  </w:num>
  <w:num w:numId="21" w16cid:durableId="280847152">
    <w:abstractNumId w:val="14"/>
  </w:num>
  <w:num w:numId="22" w16cid:durableId="894508796">
    <w:abstractNumId w:val="11"/>
  </w:num>
  <w:num w:numId="23" w16cid:durableId="285045840">
    <w:abstractNumId w:val="1"/>
  </w:num>
  <w:num w:numId="24" w16cid:durableId="511647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23A57"/>
    <w:rsid w:val="00024BEC"/>
    <w:rsid w:val="00036E9B"/>
    <w:rsid w:val="00041101"/>
    <w:rsid w:val="00043BB9"/>
    <w:rsid w:val="00046816"/>
    <w:rsid w:val="000470C9"/>
    <w:rsid w:val="0004758E"/>
    <w:rsid w:val="00047A64"/>
    <w:rsid w:val="00055D76"/>
    <w:rsid w:val="00055EE1"/>
    <w:rsid w:val="0006151B"/>
    <w:rsid w:val="00064657"/>
    <w:rsid w:val="00066846"/>
    <w:rsid w:val="00067329"/>
    <w:rsid w:val="00072102"/>
    <w:rsid w:val="00072F4F"/>
    <w:rsid w:val="000738CC"/>
    <w:rsid w:val="00073A04"/>
    <w:rsid w:val="00090D76"/>
    <w:rsid w:val="00091017"/>
    <w:rsid w:val="00093A48"/>
    <w:rsid w:val="000A009B"/>
    <w:rsid w:val="000A18BF"/>
    <w:rsid w:val="000A6DAA"/>
    <w:rsid w:val="000B2838"/>
    <w:rsid w:val="000C0867"/>
    <w:rsid w:val="000C42C6"/>
    <w:rsid w:val="000C7ABD"/>
    <w:rsid w:val="000D208D"/>
    <w:rsid w:val="000D44CA"/>
    <w:rsid w:val="000D600F"/>
    <w:rsid w:val="000E200B"/>
    <w:rsid w:val="000E382A"/>
    <w:rsid w:val="000E3FE3"/>
    <w:rsid w:val="000E4C4E"/>
    <w:rsid w:val="000F677F"/>
    <w:rsid w:val="000F68BE"/>
    <w:rsid w:val="000F781E"/>
    <w:rsid w:val="0010346F"/>
    <w:rsid w:val="00111D1A"/>
    <w:rsid w:val="00111F0A"/>
    <w:rsid w:val="00117498"/>
    <w:rsid w:val="001305BF"/>
    <w:rsid w:val="00130779"/>
    <w:rsid w:val="001375DB"/>
    <w:rsid w:val="00147026"/>
    <w:rsid w:val="0015733B"/>
    <w:rsid w:val="00163D32"/>
    <w:rsid w:val="00167B53"/>
    <w:rsid w:val="00170CE6"/>
    <w:rsid w:val="0018182C"/>
    <w:rsid w:val="001846EC"/>
    <w:rsid w:val="00184D48"/>
    <w:rsid w:val="00187BA6"/>
    <w:rsid w:val="001927A4"/>
    <w:rsid w:val="0019291A"/>
    <w:rsid w:val="00193A8B"/>
    <w:rsid w:val="00194AC6"/>
    <w:rsid w:val="0019590D"/>
    <w:rsid w:val="001A23B0"/>
    <w:rsid w:val="001A25CC"/>
    <w:rsid w:val="001B0AAA"/>
    <w:rsid w:val="001B12ED"/>
    <w:rsid w:val="001C39F7"/>
    <w:rsid w:val="001C4FBD"/>
    <w:rsid w:val="001C76B6"/>
    <w:rsid w:val="001D74B9"/>
    <w:rsid w:val="001D7506"/>
    <w:rsid w:val="001E7464"/>
    <w:rsid w:val="001F6D73"/>
    <w:rsid w:val="00201544"/>
    <w:rsid w:val="00206328"/>
    <w:rsid w:val="0021266C"/>
    <w:rsid w:val="00216015"/>
    <w:rsid w:val="0023291C"/>
    <w:rsid w:val="0023447B"/>
    <w:rsid w:val="0023520F"/>
    <w:rsid w:val="00237B48"/>
    <w:rsid w:val="00240B3F"/>
    <w:rsid w:val="00240DA4"/>
    <w:rsid w:val="0024521E"/>
    <w:rsid w:val="0024580A"/>
    <w:rsid w:val="00246965"/>
    <w:rsid w:val="00260754"/>
    <w:rsid w:val="00263C3D"/>
    <w:rsid w:val="00265806"/>
    <w:rsid w:val="002667DF"/>
    <w:rsid w:val="00271AA1"/>
    <w:rsid w:val="002747EE"/>
    <w:rsid w:val="00274D0B"/>
    <w:rsid w:val="00276A19"/>
    <w:rsid w:val="0028024E"/>
    <w:rsid w:val="00283090"/>
    <w:rsid w:val="00287530"/>
    <w:rsid w:val="002919C3"/>
    <w:rsid w:val="002930C6"/>
    <w:rsid w:val="002A1DAF"/>
    <w:rsid w:val="002B004B"/>
    <w:rsid w:val="002B052D"/>
    <w:rsid w:val="002B1F28"/>
    <w:rsid w:val="002B34CD"/>
    <w:rsid w:val="002B3C95"/>
    <w:rsid w:val="002C2792"/>
    <w:rsid w:val="002C36AE"/>
    <w:rsid w:val="002D0B92"/>
    <w:rsid w:val="002D10F4"/>
    <w:rsid w:val="002D25F9"/>
    <w:rsid w:val="002E6DA2"/>
    <w:rsid w:val="002E7A1C"/>
    <w:rsid w:val="002F6E87"/>
    <w:rsid w:val="00304407"/>
    <w:rsid w:val="003050A8"/>
    <w:rsid w:val="00305217"/>
    <w:rsid w:val="00307E76"/>
    <w:rsid w:val="00321F29"/>
    <w:rsid w:val="00325997"/>
    <w:rsid w:val="00335914"/>
    <w:rsid w:val="00336B5A"/>
    <w:rsid w:val="003408BB"/>
    <w:rsid w:val="00343F7D"/>
    <w:rsid w:val="003444C1"/>
    <w:rsid w:val="0035465E"/>
    <w:rsid w:val="003563A9"/>
    <w:rsid w:val="00380D1C"/>
    <w:rsid w:val="00387FBC"/>
    <w:rsid w:val="00390087"/>
    <w:rsid w:val="00392428"/>
    <w:rsid w:val="00393CAC"/>
    <w:rsid w:val="0039498B"/>
    <w:rsid w:val="003A08E5"/>
    <w:rsid w:val="003B1AEB"/>
    <w:rsid w:val="003B35EB"/>
    <w:rsid w:val="003B7240"/>
    <w:rsid w:val="003C1C67"/>
    <w:rsid w:val="003D46AE"/>
    <w:rsid w:val="003D5BBE"/>
    <w:rsid w:val="003D5E82"/>
    <w:rsid w:val="003D6828"/>
    <w:rsid w:val="003E3999"/>
    <w:rsid w:val="003E3BAB"/>
    <w:rsid w:val="003E3C61"/>
    <w:rsid w:val="003E5759"/>
    <w:rsid w:val="003F17B2"/>
    <w:rsid w:val="003F1C5B"/>
    <w:rsid w:val="003F4D72"/>
    <w:rsid w:val="00410890"/>
    <w:rsid w:val="00412608"/>
    <w:rsid w:val="00413CF2"/>
    <w:rsid w:val="004146D3"/>
    <w:rsid w:val="0041781B"/>
    <w:rsid w:val="004211BB"/>
    <w:rsid w:val="0042135A"/>
    <w:rsid w:val="00426D81"/>
    <w:rsid w:val="00427A5D"/>
    <w:rsid w:val="00434E33"/>
    <w:rsid w:val="00434E75"/>
    <w:rsid w:val="00436030"/>
    <w:rsid w:val="00441434"/>
    <w:rsid w:val="00445E1E"/>
    <w:rsid w:val="00446465"/>
    <w:rsid w:val="0045264C"/>
    <w:rsid w:val="0046337D"/>
    <w:rsid w:val="00464D41"/>
    <w:rsid w:val="00465274"/>
    <w:rsid w:val="00465569"/>
    <w:rsid w:val="00476EA2"/>
    <w:rsid w:val="00477501"/>
    <w:rsid w:val="004848F8"/>
    <w:rsid w:val="004876EC"/>
    <w:rsid w:val="00493F2C"/>
    <w:rsid w:val="00495ADB"/>
    <w:rsid w:val="00497923"/>
    <w:rsid w:val="004B0326"/>
    <w:rsid w:val="004C06D4"/>
    <w:rsid w:val="004C2F72"/>
    <w:rsid w:val="004D5319"/>
    <w:rsid w:val="004D6E14"/>
    <w:rsid w:val="004E09B9"/>
    <w:rsid w:val="004E4DE5"/>
    <w:rsid w:val="004E4F9F"/>
    <w:rsid w:val="004F24B0"/>
    <w:rsid w:val="004F353D"/>
    <w:rsid w:val="004F5BF6"/>
    <w:rsid w:val="005009B0"/>
    <w:rsid w:val="0050125B"/>
    <w:rsid w:val="00504998"/>
    <w:rsid w:val="00512CDD"/>
    <w:rsid w:val="00515C69"/>
    <w:rsid w:val="00516456"/>
    <w:rsid w:val="00524E0E"/>
    <w:rsid w:val="00525A26"/>
    <w:rsid w:val="00530CA1"/>
    <w:rsid w:val="00543E89"/>
    <w:rsid w:val="0056164B"/>
    <w:rsid w:val="005731B4"/>
    <w:rsid w:val="00574B9C"/>
    <w:rsid w:val="00585996"/>
    <w:rsid w:val="0059153D"/>
    <w:rsid w:val="005A1006"/>
    <w:rsid w:val="005A2332"/>
    <w:rsid w:val="005A61E9"/>
    <w:rsid w:val="005A7B5E"/>
    <w:rsid w:val="005B5E55"/>
    <w:rsid w:val="005C2682"/>
    <w:rsid w:val="005C26AF"/>
    <w:rsid w:val="005C41D0"/>
    <w:rsid w:val="005D1320"/>
    <w:rsid w:val="005D169B"/>
    <w:rsid w:val="005D616E"/>
    <w:rsid w:val="005E714A"/>
    <w:rsid w:val="005E7F4A"/>
    <w:rsid w:val="005F3E4C"/>
    <w:rsid w:val="005F693D"/>
    <w:rsid w:val="005F6CD7"/>
    <w:rsid w:val="006140A0"/>
    <w:rsid w:val="00616410"/>
    <w:rsid w:val="00620D10"/>
    <w:rsid w:val="00635854"/>
    <w:rsid w:val="00636621"/>
    <w:rsid w:val="0064050F"/>
    <w:rsid w:val="00642B49"/>
    <w:rsid w:val="00650916"/>
    <w:rsid w:val="00651924"/>
    <w:rsid w:val="00651C08"/>
    <w:rsid w:val="00654A90"/>
    <w:rsid w:val="0066134E"/>
    <w:rsid w:val="006614DC"/>
    <w:rsid w:val="006616A1"/>
    <w:rsid w:val="0066190B"/>
    <w:rsid w:val="0066642B"/>
    <w:rsid w:val="00672054"/>
    <w:rsid w:val="00673E43"/>
    <w:rsid w:val="006832D9"/>
    <w:rsid w:val="0069403B"/>
    <w:rsid w:val="006A4808"/>
    <w:rsid w:val="006A4C2C"/>
    <w:rsid w:val="006A5EBF"/>
    <w:rsid w:val="006B3419"/>
    <w:rsid w:val="006C2049"/>
    <w:rsid w:val="006D0763"/>
    <w:rsid w:val="006E6B3F"/>
    <w:rsid w:val="006F35D1"/>
    <w:rsid w:val="006F3DDE"/>
    <w:rsid w:val="006F3EB8"/>
    <w:rsid w:val="006F52C0"/>
    <w:rsid w:val="006F632C"/>
    <w:rsid w:val="00704678"/>
    <w:rsid w:val="00706570"/>
    <w:rsid w:val="00715557"/>
    <w:rsid w:val="007161ED"/>
    <w:rsid w:val="0072180D"/>
    <w:rsid w:val="007226A2"/>
    <w:rsid w:val="00726C68"/>
    <w:rsid w:val="00731652"/>
    <w:rsid w:val="00731D32"/>
    <w:rsid w:val="00734931"/>
    <w:rsid w:val="0073505A"/>
    <w:rsid w:val="0073577F"/>
    <w:rsid w:val="00735BDB"/>
    <w:rsid w:val="00736858"/>
    <w:rsid w:val="007425E7"/>
    <w:rsid w:val="00744F24"/>
    <w:rsid w:val="00745F6F"/>
    <w:rsid w:val="0074F1AF"/>
    <w:rsid w:val="00750473"/>
    <w:rsid w:val="007523AF"/>
    <w:rsid w:val="007722D0"/>
    <w:rsid w:val="00773D15"/>
    <w:rsid w:val="00776D3F"/>
    <w:rsid w:val="0077776E"/>
    <w:rsid w:val="00777A51"/>
    <w:rsid w:val="00780771"/>
    <w:rsid w:val="00781558"/>
    <w:rsid w:val="0079178E"/>
    <w:rsid w:val="007C6507"/>
    <w:rsid w:val="007D05C9"/>
    <w:rsid w:val="007D5BAD"/>
    <w:rsid w:val="007E1026"/>
    <w:rsid w:val="007E5F57"/>
    <w:rsid w:val="007F6540"/>
    <w:rsid w:val="007F7080"/>
    <w:rsid w:val="00802607"/>
    <w:rsid w:val="008101A5"/>
    <w:rsid w:val="00810C0C"/>
    <w:rsid w:val="00813C68"/>
    <w:rsid w:val="00816BF4"/>
    <w:rsid w:val="0081708A"/>
    <w:rsid w:val="00822664"/>
    <w:rsid w:val="00827773"/>
    <w:rsid w:val="008341ED"/>
    <w:rsid w:val="00836DDC"/>
    <w:rsid w:val="00841E96"/>
    <w:rsid w:val="00843796"/>
    <w:rsid w:val="008448C2"/>
    <w:rsid w:val="00846319"/>
    <w:rsid w:val="00846A13"/>
    <w:rsid w:val="00856A17"/>
    <w:rsid w:val="008746B9"/>
    <w:rsid w:val="00880433"/>
    <w:rsid w:val="00880CCF"/>
    <w:rsid w:val="008854AF"/>
    <w:rsid w:val="00885F40"/>
    <w:rsid w:val="008871FC"/>
    <w:rsid w:val="00890364"/>
    <w:rsid w:val="008943DA"/>
    <w:rsid w:val="00895229"/>
    <w:rsid w:val="008B2EB3"/>
    <w:rsid w:val="008C01BE"/>
    <w:rsid w:val="008C120F"/>
    <w:rsid w:val="008C1E29"/>
    <w:rsid w:val="008D1C41"/>
    <w:rsid w:val="008D5070"/>
    <w:rsid w:val="008E40D5"/>
    <w:rsid w:val="008E692E"/>
    <w:rsid w:val="008F0203"/>
    <w:rsid w:val="008F1483"/>
    <w:rsid w:val="008F50D4"/>
    <w:rsid w:val="008F700A"/>
    <w:rsid w:val="00900488"/>
    <w:rsid w:val="009019DA"/>
    <w:rsid w:val="009031F5"/>
    <w:rsid w:val="009147C6"/>
    <w:rsid w:val="00921263"/>
    <w:rsid w:val="009238C3"/>
    <w:rsid w:val="009239AA"/>
    <w:rsid w:val="00924985"/>
    <w:rsid w:val="00927103"/>
    <w:rsid w:val="00927FF2"/>
    <w:rsid w:val="009305D9"/>
    <w:rsid w:val="009351E2"/>
    <w:rsid w:val="00935ADA"/>
    <w:rsid w:val="0094065A"/>
    <w:rsid w:val="00941426"/>
    <w:rsid w:val="00946B6C"/>
    <w:rsid w:val="00947444"/>
    <w:rsid w:val="00950681"/>
    <w:rsid w:val="00955A71"/>
    <w:rsid w:val="0096108F"/>
    <w:rsid w:val="00963F42"/>
    <w:rsid w:val="00981072"/>
    <w:rsid w:val="009873DE"/>
    <w:rsid w:val="00992E15"/>
    <w:rsid w:val="009B5AFF"/>
    <w:rsid w:val="009B7B7D"/>
    <w:rsid w:val="009C13B9"/>
    <w:rsid w:val="009C1435"/>
    <w:rsid w:val="009C3850"/>
    <w:rsid w:val="009C3E19"/>
    <w:rsid w:val="009C4360"/>
    <w:rsid w:val="009C56ED"/>
    <w:rsid w:val="009C6870"/>
    <w:rsid w:val="009D01A2"/>
    <w:rsid w:val="009D460A"/>
    <w:rsid w:val="009D633A"/>
    <w:rsid w:val="009D6CEA"/>
    <w:rsid w:val="009E5227"/>
    <w:rsid w:val="009E52AD"/>
    <w:rsid w:val="009F5923"/>
    <w:rsid w:val="00A01675"/>
    <w:rsid w:val="00A021D5"/>
    <w:rsid w:val="00A06D34"/>
    <w:rsid w:val="00A125B1"/>
    <w:rsid w:val="00A13E5A"/>
    <w:rsid w:val="00A22BD7"/>
    <w:rsid w:val="00A36746"/>
    <w:rsid w:val="00A37789"/>
    <w:rsid w:val="00A403BB"/>
    <w:rsid w:val="00A42A51"/>
    <w:rsid w:val="00A50652"/>
    <w:rsid w:val="00A512A1"/>
    <w:rsid w:val="00A6356E"/>
    <w:rsid w:val="00A67220"/>
    <w:rsid w:val="00A674DF"/>
    <w:rsid w:val="00A70867"/>
    <w:rsid w:val="00A75F28"/>
    <w:rsid w:val="00A83AA6"/>
    <w:rsid w:val="00A8499A"/>
    <w:rsid w:val="00A934D6"/>
    <w:rsid w:val="00A95356"/>
    <w:rsid w:val="00A96CE8"/>
    <w:rsid w:val="00AA0E6C"/>
    <w:rsid w:val="00AA0E8D"/>
    <w:rsid w:val="00AA5359"/>
    <w:rsid w:val="00AB3921"/>
    <w:rsid w:val="00AB3ABA"/>
    <w:rsid w:val="00AB45BD"/>
    <w:rsid w:val="00AB655C"/>
    <w:rsid w:val="00AB708F"/>
    <w:rsid w:val="00AB70D6"/>
    <w:rsid w:val="00AC045D"/>
    <w:rsid w:val="00AC04DB"/>
    <w:rsid w:val="00AC14C5"/>
    <w:rsid w:val="00AC6868"/>
    <w:rsid w:val="00AD2354"/>
    <w:rsid w:val="00AD3DF8"/>
    <w:rsid w:val="00AE1809"/>
    <w:rsid w:val="00AE1B5D"/>
    <w:rsid w:val="00AE431C"/>
    <w:rsid w:val="00AF06E4"/>
    <w:rsid w:val="00B027A4"/>
    <w:rsid w:val="00B052BE"/>
    <w:rsid w:val="00B35113"/>
    <w:rsid w:val="00B42380"/>
    <w:rsid w:val="00B45AF9"/>
    <w:rsid w:val="00B461D7"/>
    <w:rsid w:val="00B46D38"/>
    <w:rsid w:val="00B50BFC"/>
    <w:rsid w:val="00B54E70"/>
    <w:rsid w:val="00B72342"/>
    <w:rsid w:val="00B742C6"/>
    <w:rsid w:val="00B80D76"/>
    <w:rsid w:val="00B84B3A"/>
    <w:rsid w:val="00BA2105"/>
    <w:rsid w:val="00BA7E06"/>
    <w:rsid w:val="00BB0F9D"/>
    <w:rsid w:val="00BB2E5B"/>
    <w:rsid w:val="00BB3E51"/>
    <w:rsid w:val="00BB43B5"/>
    <w:rsid w:val="00BB5D13"/>
    <w:rsid w:val="00BB6219"/>
    <w:rsid w:val="00BC2858"/>
    <w:rsid w:val="00BC6183"/>
    <w:rsid w:val="00BD1C66"/>
    <w:rsid w:val="00BD290F"/>
    <w:rsid w:val="00BD6A37"/>
    <w:rsid w:val="00BE2257"/>
    <w:rsid w:val="00BE7677"/>
    <w:rsid w:val="00BF202E"/>
    <w:rsid w:val="00C007DC"/>
    <w:rsid w:val="00C077F1"/>
    <w:rsid w:val="00C14CC4"/>
    <w:rsid w:val="00C169D8"/>
    <w:rsid w:val="00C237AC"/>
    <w:rsid w:val="00C33C52"/>
    <w:rsid w:val="00C406AB"/>
    <w:rsid w:val="00C40D8B"/>
    <w:rsid w:val="00C42F93"/>
    <w:rsid w:val="00C43802"/>
    <w:rsid w:val="00C53CC3"/>
    <w:rsid w:val="00C7B713"/>
    <w:rsid w:val="00C8407A"/>
    <w:rsid w:val="00C8488C"/>
    <w:rsid w:val="00C86E91"/>
    <w:rsid w:val="00C8783E"/>
    <w:rsid w:val="00C87AD9"/>
    <w:rsid w:val="00C90122"/>
    <w:rsid w:val="00C928DE"/>
    <w:rsid w:val="00C92981"/>
    <w:rsid w:val="00C92E71"/>
    <w:rsid w:val="00CA2650"/>
    <w:rsid w:val="00CA4A44"/>
    <w:rsid w:val="00CA6230"/>
    <w:rsid w:val="00CB1078"/>
    <w:rsid w:val="00CB38C1"/>
    <w:rsid w:val="00CB51DC"/>
    <w:rsid w:val="00CB79F3"/>
    <w:rsid w:val="00CC3E8D"/>
    <w:rsid w:val="00CC4606"/>
    <w:rsid w:val="00CC6FAF"/>
    <w:rsid w:val="00CD1D3D"/>
    <w:rsid w:val="00CD45B7"/>
    <w:rsid w:val="00CF0394"/>
    <w:rsid w:val="00CF552C"/>
    <w:rsid w:val="00CF6542"/>
    <w:rsid w:val="00D04B75"/>
    <w:rsid w:val="00D058E9"/>
    <w:rsid w:val="00D1107B"/>
    <w:rsid w:val="00D111C7"/>
    <w:rsid w:val="00D11701"/>
    <w:rsid w:val="00D128D1"/>
    <w:rsid w:val="00D17626"/>
    <w:rsid w:val="00D23E25"/>
    <w:rsid w:val="00D24698"/>
    <w:rsid w:val="00D24AB6"/>
    <w:rsid w:val="00D3D9C2"/>
    <w:rsid w:val="00D449DA"/>
    <w:rsid w:val="00D501AD"/>
    <w:rsid w:val="00D5532A"/>
    <w:rsid w:val="00D560E8"/>
    <w:rsid w:val="00D60F24"/>
    <w:rsid w:val="00D636B5"/>
    <w:rsid w:val="00D6383F"/>
    <w:rsid w:val="00D66B31"/>
    <w:rsid w:val="00D72278"/>
    <w:rsid w:val="00D72F0D"/>
    <w:rsid w:val="00D738D0"/>
    <w:rsid w:val="00D82EE5"/>
    <w:rsid w:val="00D87FE6"/>
    <w:rsid w:val="00D91E46"/>
    <w:rsid w:val="00DA55C0"/>
    <w:rsid w:val="00DB212D"/>
    <w:rsid w:val="00DB2DE5"/>
    <w:rsid w:val="00DB3ECE"/>
    <w:rsid w:val="00DB4B81"/>
    <w:rsid w:val="00DB59D0"/>
    <w:rsid w:val="00DB5A5E"/>
    <w:rsid w:val="00DC33D3"/>
    <w:rsid w:val="00DD2AF6"/>
    <w:rsid w:val="00DE1F08"/>
    <w:rsid w:val="00DE305B"/>
    <w:rsid w:val="00E006F1"/>
    <w:rsid w:val="00E0119D"/>
    <w:rsid w:val="00E039C4"/>
    <w:rsid w:val="00E1059F"/>
    <w:rsid w:val="00E10C74"/>
    <w:rsid w:val="00E22B4E"/>
    <w:rsid w:val="00E24941"/>
    <w:rsid w:val="00E24D99"/>
    <w:rsid w:val="00E26329"/>
    <w:rsid w:val="00E30C17"/>
    <w:rsid w:val="00E352CE"/>
    <w:rsid w:val="00E37034"/>
    <w:rsid w:val="00E40B50"/>
    <w:rsid w:val="00E41680"/>
    <w:rsid w:val="00E437F3"/>
    <w:rsid w:val="00E46544"/>
    <w:rsid w:val="00E50293"/>
    <w:rsid w:val="00E54617"/>
    <w:rsid w:val="00E57914"/>
    <w:rsid w:val="00E621CF"/>
    <w:rsid w:val="00E636E6"/>
    <w:rsid w:val="00E64060"/>
    <w:rsid w:val="00E65FFC"/>
    <w:rsid w:val="00E744EA"/>
    <w:rsid w:val="00E80951"/>
    <w:rsid w:val="00E81FF1"/>
    <w:rsid w:val="00E8379C"/>
    <w:rsid w:val="00E854FE"/>
    <w:rsid w:val="00E86CC6"/>
    <w:rsid w:val="00E87CAC"/>
    <w:rsid w:val="00E91667"/>
    <w:rsid w:val="00EA0CA2"/>
    <w:rsid w:val="00EA15B4"/>
    <w:rsid w:val="00EA5AC2"/>
    <w:rsid w:val="00EA64D5"/>
    <w:rsid w:val="00EB040F"/>
    <w:rsid w:val="00EB231C"/>
    <w:rsid w:val="00EB3162"/>
    <w:rsid w:val="00EB56B3"/>
    <w:rsid w:val="00EB78E0"/>
    <w:rsid w:val="00EC07F3"/>
    <w:rsid w:val="00EC0F57"/>
    <w:rsid w:val="00EC3A88"/>
    <w:rsid w:val="00EC709C"/>
    <w:rsid w:val="00EC7BC6"/>
    <w:rsid w:val="00ED3541"/>
    <w:rsid w:val="00ED6492"/>
    <w:rsid w:val="00ED7DB1"/>
    <w:rsid w:val="00EE1E39"/>
    <w:rsid w:val="00EE4CA8"/>
    <w:rsid w:val="00EF2095"/>
    <w:rsid w:val="00F032A7"/>
    <w:rsid w:val="00F04C64"/>
    <w:rsid w:val="00F06866"/>
    <w:rsid w:val="00F11454"/>
    <w:rsid w:val="00F12A0A"/>
    <w:rsid w:val="00F15956"/>
    <w:rsid w:val="00F210E8"/>
    <w:rsid w:val="00F222AB"/>
    <w:rsid w:val="00F22C5F"/>
    <w:rsid w:val="00F23393"/>
    <w:rsid w:val="00F23E81"/>
    <w:rsid w:val="00F24CFC"/>
    <w:rsid w:val="00F26275"/>
    <w:rsid w:val="00F264AB"/>
    <w:rsid w:val="00F3170F"/>
    <w:rsid w:val="00F34ACD"/>
    <w:rsid w:val="00F36DDA"/>
    <w:rsid w:val="00F548E0"/>
    <w:rsid w:val="00F56147"/>
    <w:rsid w:val="00F5ECFB"/>
    <w:rsid w:val="00F64373"/>
    <w:rsid w:val="00F65C3E"/>
    <w:rsid w:val="00F75775"/>
    <w:rsid w:val="00F845E3"/>
    <w:rsid w:val="00F90608"/>
    <w:rsid w:val="00F94B91"/>
    <w:rsid w:val="00F976B0"/>
    <w:rsid w:val="00FA310A"/>
    <w:rsid w:val="00FA6DE7"/>
    <w:rsid w:val="00FB149C"/>
    <w:rsid w:val="00FB3387"/>
    <w:rsid w:val="00FB400D"/>
    <w:rsid w:val="00FB5422"/>
    <w:rsid w:val="00FB60AE"/>
    <w:rsid w:val="00FC0A8E"/>
    <w:rsid w:val="00FD0083"/>
    <w:rsid w:val="00FD083F"/>
    <w:rsid w:val="00FD6A2C"/>
    <w:rsid w:val="00FE2FA6"/>
    <w:rsid w:val="00FE3DF2"/>
    <w:rsid w:val="00FF0D12"/>
    <w:rsid w:val="00FF4A16"/>
    <w:rsid w:val="0129AF6E"/>
    <w:rsid w:val="013D7C3B"/>
    <w:rsid w:val="0257562E"/>
    <w:rsid w:val="02FEFE15"/>
    <w:rsid w:val="030C62A2"/>
    <w:rsid w:val="0357C3C2"/>
    <w:rsid w:val="0370F366"/>
    <w:rsid w:val="0380B5CE"/>
    <w:rsid w:val="03A8CFCE"/>
    <w:rsid w:val="049B8CBC"/>
    <w:rsid w:val="04B86B9F"/>
    <w:rsid w:val="04BAE522"/>
    <w:rsid w:val="050CC3C7"/>
    <w:rsid w:val="06062571"/>
    <w:rsid w:val="06C0DA0F"/>
    <w:rsid w:val="06C120FE"/>
    <w:rsid w:val="06ED487F"/>
    <w:rsid w:val="0733FC75"/>
    <w:rsid w:val="0788D9C7"/>
    <w:rsid w:val="07F285E4"/>
    <w:rsid w:val="08656A43"/>
    <w:rsid w:val="086AFE0D"/>
    <w:rsid w:val="0877A90A"/>
    <w:rsid w:val="088396FF"/>
    <w:rsid w:val="09A83A18"/>
    <w:rsid w:val="09F4528C"/>
    <w:rsid w:val="0A4B7230"/>
    <w:rsid w:val="0A738ABD"/>
    <w:rsid w:val="0A786FFC"/>
    <w:rsid w:val="0A80758D"/>
    <w:rsid w:val="0ADF1A6F"/>
    <w:rsid w:val="0B569344"/>
    <w:rsid w:val="0BB0361F"/>
    <w:rsid w:val="0BDD0B3D"/>
    <w:rsid w:val="0C4D05AD"/>
    <w:rsid w:val="0D2EDEBE"/>
    <w:rsid w:val="0DC92871"/>
    <w:rsid w:val="0E52BB5E"/>
    <w:rsid w:val="0ECAAF79"/>
    <w:rsid w:val="0ECD283D"/>
    <w:rsid w:val="0F76D36C"/>
    <w:rsid w:val="1014E03A"/>
    <w:rsid w:val="11111889"/>
    <w:rsid w:val="112600B6"/>
    <w:rsid w:val="119BB81D"/>
    <w:rsid w:val="11E1BBC8"/>
    <w:rsid w:val="11F95C2E"/>
    <w:rsid w:val="1223F3D2"/>
    <w:rsid w:val="124820B8"/>
    <w:rsid w:val="1255FDBE"/>
    <w:rsid w:val="12880B2F"/>
    <w:rsid w:val="1329F8FB"/>
    <w:rsid w:val="1356B1EB"/>
    <w:rsid w:val="13783BB1"/>
    <w:rsid w:val="138B7B1E"/>
    <w:rsid w:val="13F9D51E"/>
    <w:rsid w:val="140D3A11"/>
    <w:rsid w:val="1413BC93"/>
    <w:rsid w:val="147ADA23"/>
    <w:rsid w:val="14A53146"/>
    <w:rsid w:val="14BBF1C1"/>
    <w:rsid w:val="15B9A4C6"/>
    <w:rsid w:val="15E1B714"/>
    <w:rsid w:val="164AE2A7"/>
    <w:rsid w:val="164B4057"/>
    <w:rsid w:val="16AB7397"/>
    <w:rsid w:val="16CFDCE1"/>
    <w:rsid w:val="1819C557"/>
    <w:rsid w:val="1840D3F0"/>
    <w:rsid w:val="1844A1C8"/>
    <w:rsid w:val="1857F4D6"/>
    <w:rsid w:val="186AA9B9"/>
    <w:rsid w:val="18C0ED02"/>
    <w:rsid w:val="18FFB8E2"/>
    <w:rsid w:val="19179DD2"/>
    <w:rsid w:val="1964736E"/>
    <w:rsid w:val="1A89AE87"/>
    <w:rsid w:val="1B0C5C82"/>
    <w:rsid w:val="1B8D9009"/>
    <w:rsid w:val="1C2F9C77"/>
    <w:rsid w:val="1C5CF27E"/>
    <w:rsid w:val="1C950649"/>
    <w:rsid w:val="1CAB0747"/>
    <w:rsid w:val="1CC4A725"/>
    <w:rsid w:val="1D30773E"/>
    <w:rsid w:val="1D68F126"/>
    <w:rsid w:val="1DC4F398"/>
    <w:rsid w:val="1DD1C6F8"/>
    <w:rsid w:val="1EA2B862"/>
    <w:rsid w:val="1ECFA04B"/>
    <w:rsid w:val="1ED5E711"/>
    <w:rsid w:val="1FA7A63F"/>
    <w:rsid w:val="1FD89C90"/>
    <w:rsid w:val="204EC839"/>
    <w:rsid w:val="2072A11F"/>
    <w:rsid w:val="209E951E"/>
    <w:rsid w:val="20A9B6AD"/>
    <w:rsid w:val="20E8504B"/>
    <w:rsid w:val="20FA06F8"/>
    <w:rsid w:val="218DA8E6"/>
    <w:rsid w:val="219A013B"/>
    <w:rsid w:val="21A72E6F"/>
    <w:rsid w:val="21EE8C91"/>
    <w:rsid w:val="22BEA036"/>
    <w:rsid w:val="23980DC8"/>
    <w:rsid w:val="23C55087"/>
    <w:rsid w:val="2409C470"/>
    <w:rsid w:val="252378F8"/>
    <w:rsid w:val="25BCA058"/>
    <w:rsid w:val="269B8212"/>
    <w:rsid w:val="271564CF"/>
    <w:rsid w:val="2720FD34"/>
    <w:rsid w:val="27C00375"/>
    <w:rsid w:val="27F2B312"/>
    <w:rsid w:val="27FD38C9"/>
    <w:rsid w:val="2836575B"/>
    <w:rsid w:val="288B0100"/>
    <w:rsid w:val="28CAA24A"/>
    <w:rsid w:val="28D77168"/>
    <w:rsid w:val="29AE73F1"/>
    <w:rsid w:val="2A70D745"/>
    <w:rsid w:val="2ADEDC83"/>
    <w:rsid w:val="2BC7AFD0"/>
    <w:rsid w:val="2BCF738D"/>
    <w:rsid w:val="2BE845FE"/>
    <w:rsid w:val="2C01A4D9"/>
    <w:rsid w:val="2C83E7D0"/>
    <w:rsid w:val="2D4D4961"/>
    <w:rsid w:val="2D536E9C"/>
    <w:rsid w:val="2D940FE1"/>
    <w:rsid w:val="2DA6E8C1"/>
    <w:rsid w:val="2EBFF6C5"/>
    <w:rsid w:val="2EF3E45C"/>
    <w:rsid w:val="2F3696BB"/>
    <w:rsid w:val="2F59CA3C"/>
    <w:rsid w:val="2F62089D"/>
    <w:rsid w:val="2F912619"/>
    <w:rsid w:val="300EAA88"/>
    <w:rsid w:val="30240E7D"/>
    <w:rsid w:val="3130476E"/>
    <w:rsid w:val="31B32907"/>
    <w:rsid w:val="31EA1A3B"/>
    <w:rsid w:val="3241B3FC"/>
    <w:rsid w:val="32E54AAC"/>
    <w:rsid w:val="32E5D5D8"/>
    <w:rsid w:val="33088BD9"/>
    <w:rsid w:val="33416C0D"/>
    <w:rsid w:val="33BE31B3"/>
    <w:rsid w:val="341348E4"/>
    <w:rsid w:val="34510272"/>
    <w:rsid w:val="3493FE50"/>
    <w:rsid w:val="352CE420"/>
    <w:rsid w:val="353440D5"/>
    <w:rsid w:val="35A58089"/>
    <w:rsid w:val="35D14A21"/>
    <w:rsid w:val="36200CE0"/>
    <w:rsid w:val="369472EE"/>
    <w:rsid w:val="3717C652"/>
    <w:rsid w:val="3813F7F3"/>
    <w:rsid w:val="386EC594"/>
    <w:rsid w:val="387F62C2"/>
    <w:rsid w:val="38B997E3"/>
    <w:rsid w:val="391496E6"/>
    <w:rsid w:val="39189605"/>
    <w:rsid w:val="39621AB4"/>
    <w:rsid w:val="39932A45"/>
    <w:rsid w:val="3A458197"/>
    <w:rsid w:val="3A527ECE"/>
    <w:rsid w:val="3AB714FF"/>
    <w:rsid w:val="3ADE2B6B"/>
    <w:rsid w:val="3B0EE3B7"/>
    <w:rsid w:val="3B5F15CC"/>
    <w:rsid w:val="3B80CCCB"/>
    <w:rsid w:val="3BDB1746"/>
    <w:rsid w:val="3BE0866D"/>
    <w:rsid w:val="3C2A6230"/>
    <w:rsid w:val="3CD530E8"/>
    <w:rsid w:val="3CF0267B"/>
    <w:rsid w:val="3EB53054"/>
    <w:rsid w:val="3EF80EF3"/>
    <w:rsid w:val="3F4680E4"/>
    <w:rsid w:val="3F46EC29"/>
    <w:rsid w:val="3F9D6BAD"/>
    <w:rsid w:val="3FA2CC09"/>
    <w:rsid w:val="3FC8B118"/>
    <w:rsid w:val="4047E1E3"/>
    <w:rsid w:val="4075AAD6"/>
    <w:rsid w:val="40A27490"/>
    <w:rsid w:val="40CDA926"/>
    <w:rsid w:val="40F25068"/>
    <w:rsid w:val="410438E2"/>
    <w:rsid w:val="4107547D"/>
    <w:rsid w:val="41E9DA57"/>
    <w:rsid w:val="420B271D"/>
    <w:rsid w:val="429D9B33"/>
    <w:rsid w:val="42C4F3EC"/>
    <w:rsid w:val="42DA6CCB"/>
    <w:rsid w:val="4342BA87"/>
    <w:rsid w:val="435B3AD4"/>
    <w:rsid w:val="439335A7"/>
    <w:rsid w:val="44161D89"/>
    <w:rsid w:val="44343B95"/>
    <w:rsid w:val="44A87191"/>
    <w:rsid w:val="44C84F6B"/>
    <w:rsid w:val="44DEE51B"/>
    <w:rsid w:val="44E167F2"/>
    <w:rsid w:val="453C8AB5"/>
    <w:rsid w:val="45598FA8"/>
    <w:rsid w:val="45C151EE"/>
    <w:rsid w:val="4666731F"/>
    <w:rsid w:val="469FECA2"/>
    <w:rsid w:val="470A2784"/>
    <w:rsid w:val="470D10B7"/>
    <w:rsid w:val="4847D3E5"/>
    <w:rsid w:val="48AC30B8"/>
    <w:rsid w:val="494959B0"/>
    <w:rsid w:val="4A3A9822"/>
    <w:rsid w:val="4ADF80F2"/>
    <w:rsid w:val="4AE5BFC1"/>
    <w:rsid w:val="4B18892E"/>
    <w:rsid w:val="4B2E08DB"/>
    <w:rsid w:val="4B51C05E"/>
    <w:rsid w:val="4B53D86B"/>
    <w:rsid w:val="4B7A23F3"/>
    <w:rsid w:val="4BCC3973"/>
    <w:rsid w:val="4C2A1EE7"/>
    <w:rsid w:val="4C68A689"/>
    <w:rsid w:val="4C828FE3"/>
    <w:rsid w:val="4C87746F"/>
    <w:rsid w:val="4D0868DE"/>
    <w:rsid w:val="4D905A2D"/>
    <w:rsid w:val="4E620A8B"/>
    <w:rsid w:val="4EA00F64"/>
    <w:rsid w:val="4EB81928"/>
    <w:rsid w:val="4F15010F"/>
    <w:rsid w:val="4F71CA21"/>
    <w:rsid w:val="4F727291"/>
    <w:rsid w:val="4FBFAE69"/>
    <w:rsid w:val="5008B384"/>
    <w:rsid w:val="50BBD894"/>
    <w:rsid w:val="51BCC8DE"/>
    <w:rsid w:val="5243E720"/>
    <w:rsid w:val="5243FD2F"/>
    <w:rsid w:val="52BC2AEF"/>
    <w:rsid w:val="52C1362E"/>
    <w:rsid w:val="52CE8BAA"/>
    <w:rsid w:val="52FDB4F2"/>
    <w:rsid w:val="53765294"/>
    <w:rsid w:val="540C3469"/>
    <w:rsid w:val="5425C5A1"/>
    <w:rsid w:val="543530CC"/>
    <w:rsid w:val="543B73D6"/>
    <w:rsid w:val="54F8D5AD"/>
    <w:rsid w:val="566E79FB"/>
    <w:rsid w:val="56C86865"/>
    <w:rsid w:val="575315EF"/>
    <w:rsid w:val="57FECB89"/>
    <w:rsid w:val="585AD44F"/>
    <w:rsid w:val="58D93F07"/>
    <w:rsid w:val="58EEE650"/>
    <w:rsid w:val="58F4090A"/>
    <w:rsid w:val="59B9D215"/>
    <w:rsid w:val="59C5C487"/>
    <w:rsid w:val="59E26462"/>
    <w:rsid w:val="5A0DCAB4"/>
    <w:rsid w:val="5A64B343"/>
    <w:rsid w:val="5AA26612"/>
    <w:rsid w:val="5B0B68AB"/>
    <w:rsid w:val="5D6FC67E"/>
    <w:rsid w:val="5DF6F58B"/>
    <w:rsid w:val="5E3CC311"/>
    <w:rsid w:val="5EA010E5"/>
    <w:rsid w:val="5EC9F47A"/>
    <w:rsid w:val="5EEF3EF7"/>
    <w:rsid w:val="5FAB3196"/>
    <w:rsid w:val="5FB303F7"/>
    <w:rsid w:val="5FDC09C4"/>
    <w:rsid w:val="6048F758"/>
    <w:rsid w:val="6093607D"/>
    <w:rsid w:val="60CC4F12"/>
    <w:rsid w:val="60E8E995"/>
    <w:rsid w:val="619BC208"/>
    <w:rsid w:val="61EA1EBC"/>
    <w:rsid w:val="62DA242C"/>
    <w:rsid w:val="62E600DF"/>
    <w:rsid w:val="638768B2"/>
    <w:rsid w:val="638A1ECB"/>
    <w:rsid w:val="644DB786"/>
    <w:rsid w:val="65206B55"/>
    <w:rsid w:val="65450F11"/>
    <w:rsid w:val="65D18219"/>
    <w:rsid w:val="66979843"/>
    <w:rsid w:val="66BF571F"/>
    <w:rsid w:val="673A672E"/>
    <w:rsid w:val="6776094F"/>
    <w:rsid w:val="68135670"/>
    <w:rsid w:val="68A4C7ED"/>
    <w:rsid w:val="68B40328"/>
    <w:rsid w:val="690614A1"/>
    <w:rsid w:val="693ABCD8"/>
    <w:rsid w:val="694255F7"/>
    <w:rsid w:val="69625EC6"/>
    <w:rsid w:val="6964BB0C"/>
    <w:rsid w:val="6A15E36B"/>
    <w:rsid w:val="6A20EEAA"/>
    <w:rsid w:val="6A23447B"/>
    <w:rsid w:val="6AA8C801"/>
    <w:rsid w:val="6B008B6D"/>
    <w:rsid w:val="6B29D9FF"/>
    <w:rsid w:val="6B91CC05"/>
    <w:rsid w:val="6C029D03"/>
    <w:rsid w:val="6C44A2A9"/>
    <w:rsid w:val="6C6C765D"/>
    <w:rsid w:val="6CB348BC"/>
    <w:rsid w:val="6CCE6BDF"/>
    <w:rsid w:val="6D30E62E"/>
    <w:rsid w:val="6D39297E"/>
    <w:rsid w:val="6DC906C0"/>
    <w:rsid w:val="6EAE896A"/>
    <w:rsid w:val="6EEDD5ED"/>
    <w:rsid w:val="6EFB66A2"/>
    <w:rsid w:val="6F03F8A0"/>
    <w:rsid w:val="6FA6B092"/>
    <w:rsid w:val="6FDBEA16"/>
    <w:rsid w:val="701F5788"/>
    <w:rsid w:val="709DA771"/>
    <w:rsid w:val="71C49B4C"/>
    <w:rsid w:val="720DBED0"/>
    <w:rsid w:val="7255ECA4"/>
    <w:rsid w:val="72638FE4"/>
    <w:rsid w:val="72639125"/>
    <w:rsid w:val="72C07EA4"/>
    <w:rsid w:val="72E1D196"/>
    <w:rsid w:val="72E66055"/>
    <w:rsid w:val="73138AD8"/>
    <w:rsid w:val="745E6C6E"/>
    <w:rsid w:val="74B3BDA2"/>
    <w:rsid w:val="74BE00DB"/>
    <w:rsid w:val="7529AFFF"/>
    <w:rsid w:val="752D940A"/>
    <w:rsid w:val="7541A06A"/>
    <w:rsid w:val="7700A923"/>
    <w:rsid w:val="7758A117"/>
    <w:rsid w:val="77A94DE3"/>
    <w:rsid w:val="782E85F1"/>
    <w:rsid w:val="7871D5EC"/>
    <w:rsid w:val="78846F87"/>
    <w:rsid w:val="789849DF"/>
    <w:rsid w:val="79361E11"/>
    <w:rsid w:val="79F9D0FF"/>
    <w:rsid w:val="7A7F2940"/>
    <w:rsid w:val="7A8BD38D"/>
    <w:rsid w:val="7ACE12CA"/>
    <w:rsid w:val="7AF7FA63"/>
    <w:rsid w:val="7B8C366B"/>
    <w:rsid w:val="7BBC1049"/>
    <w:rsid w:val="7BC05538"/>
    <w:rsid w:val="7C6FF807"/>
    <w:rsid w:val="7C900C42"/>
    <w:rsid w:val="7D2A7F39"/>
    <w:rsid w:val="7D355EDD"/>
    <w:rsid w:val="7D58BD2A"/>
    <w:rsid w:val="7DCFA6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AE8920F6-0AE3-4BA5-B567-067BEC9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EB231C"/>
    <w:rPr>
      <w:sz w:val="24"/>
      <w:szCs w:val="24"/>
    </w:rPr>
  </w:style>
  <w:style w:type="character" w:customStyle="1" w:styleId="normaltextrun">
    <w:name w:val="normaltextrun"/>
    <w:basedOn w:val="DefaultParagraphFont"/>
    <w:rsid w:val="00AB708F"/>
  </w:style>
  <w:style w:type="character" w:styleId="Hyperlink">
    <w:name w:val="Hyperlink"/>
    <w:basedOn w:val="DefaultParagraphFont"/>
    <w:rsid w:val="00780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d7009b-604b-4b3b-a32f-3541099a0f50">
      <Terms xmlns="http://schemas.microsoft.com/office/infopath/2007/PartnerControls"/>
    </lcf76f155ced4ddcb4097134ff3c332f>
    <TaxCatchAll xmlns="153315ae-5810-4bf4-956e-23fac90843b2" xsi:nil="true"/>
    <SharedWithUsers xmlns="153315ae-5810-4bf4-956e-23fac90843b2">
      <UserInfo>
        <DisplayName>Adam Burns</DisplayName>
        <AccountId>21</AccountId>
        <AccountType/>
      </UserInfo>
      <UserInfo>
        <DisplayName>Kimberly Maxwell</DisplayName>
        <AccountId>917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8818E-F1E8-4192-A34C-A97A9883B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57d7009b-604b-4b3b-a32f-3541099a0f50"/>
    <ds:schemaRef ds:uri="153315ae-5810-4bf4-956e-23fac90843b2"/>
  </ds:schemaRefs>
</ds:datastoreItem>
</file>

<file path=customXml/itemProps3.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4.xml><?xml version="1.0" encoding="utf-8"?>
<ds:datastoreItem xmlns:ds="http://schemas.openxmlformats.org/officeDocument/2006/customXml" ds:itemID="{8CC711A0-FEBC-4B38-BE1D-C84FD2CC7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12666</Characters>
  <Application>Microsoft Office Word</Application>
  <DocSecurity>0</DocSecurity>
  <Lines>105</Lines>
  <Paragraphs>29</Paragraphs>
  <ScaleCrop>false</ScaleCrop>
  <Company>ssa</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Kimberly Maxwell</cp:lastModifiedBy>
  <cp:revision>6</cp:revision>
  <cp:lastPrinted>2010-10-04T12:59:00Z</cp:lastPrinted>
  <dcterms:created xsi:type="dcterms:W3CDTF">2024-07-25T15:28:00Z</dcterms:created>
  <dcterms:modified xsi:type="dcterms:W3CDTF">2024-08-01T22:00:00Z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y fmtid="{D5CDD505-2E9C-101B-9397-08002B2CF9AE}" pid="5" name="_NewReviewCycle">
    <vt:lpwstr/>
  </property>
</Properties>
</file>