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0571EF19" w14:textId="66E8BDD2">
      <w:pPr>
        <w:pStyle w:val="Heading2"/>
        <w:tabs>
          <w:tab w:val="left" w:pos="900"/>
        </w:tabs>
        <w:ind w:right="-180"/>
      </w:pPr>
      <w:r w:rsidRPr="1D213022">
        <w:rPr>
          <w:sz w:val="28"/>
          <w:szCs w:val="28"/>
        </w:rPr>
        <w:t>Request for Approval under the “</w:t>
      </w:r>
      <w:r w:rsidRPr="1D213022" w:rsidR="00E54617">
        <w:rPr>
          <w:sz w:val="28"/>
          <w:szCs w:val="28"/>
        </w:rPr>
        <w:t xml:space="preserve">FNS </w:t>
      </w:r>
      <w:r w:rsidRPr="1D213022" w:rsidR="00C007DC">
        <w:rPr>
          <w:sz w:val="28"/>
          <w:szCs w:val="28"/>
        </w:rPr>
        <w:t>Fast Track</w:t>
      </w:r>
      <w:r w:rsidRPr="1D213022">
        <w:rPr>
          <w:sz w:val="28"/>
          <w:szCs w:val="28"/>
        </w:rPr>
        <w:t xml:space="preserve"> Clearance for the Collection of Routine Customer Feedback” (OMB Control Number: </w:t>
      </w:r>
      <w:r w:rsidRPr="1D213022" w:rsidR="00B35113">
        <w:rPr>
          <w:sz w:val="28"/>
          <w:szCs w:val="28"/>
        </w:rPr>
        <w:t>0584</w:t>
      </w:r>
      <w:r w:rsidRPr="1D213022">
        <w:rPr>
          <w:sz w:val="28"/>
          <w:szCs w:val="28"/>
        </w:rPr>
        <w:t>-</w:t>
      </w:r>
      <w:r w:rsidRPr="1D213022" w:rsidR="00E1059F">
        <w:rPr>
          <w:sz w:val="28"/>
          <w:szCs w:val="28"/>
        </w:rPr>
        <w:t>0611</w:t>
      </w:r>
      <w:r w:rsidRPr="1D213022">
        <w:rPr>
          <w:sz w:val="28"/>
          <w:szCs w:val="28"/>
        </w:rPr>
        <w:t>)</w:t>
      </w:r>
    </w:p>
    <w:p w:rsidR="1D213022" w:rsidP="1D213022" w14:paraId="2445C2F0" w14:textId="5FF72E13">
      <w:pPr>
        <w:tabs>
          <w:tab w:val="left" w:pos="900"/>
        </w:tabs>
      </w:pPr>
    </w:p>
    <w:p w:rsidR="00D04E58" w:rsidP="00D04E58" w14:paraId="0C48A021" w14:textId="77777777">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p>
    <w:p w:rsidR="009735A9" w:rsidP="00D04E58" w14:paraId="4219F0AB" w14:textId="77777777"/>
    <w:p w:rsidR="00E50293" w:rsidRPr="00D04E58" w:rsidP="00D04E58" w14:paraId="7EEE47F4" w14:textId="69D27DF7">
      <w:r>
        <w:t>Supplemental Nutrition Assistance Program Employment &amp; Training (SNAP E&amp;T) Program Marketing/Outreach Support</w:t>
      </w:r>
      <w:r w:rsidR="009735A9">
        <w:t>:</w:t>
      </w:r>
      <w:r w:rsidRPr="00C463D1" w:rsidR="00C463D1">
        <w:t xml:space="preserve"> Participant &amp; Prospective Participant Discussions</w:t>
      </w:r>
    </w:p>
    <w:p w:rsidR="005E714A" w14:paraId="164B4C7C" w14:textId="77777777"/>
    <w:p w:rsidR="001B0AAA" w14:paraId="61C1F9CD" w14:textId="77777777">
      <w:r>
        <w:rPr>
          <w:b/>
        </w:rPr>
        <w:t>PURPOSE</w:t>
      </w:r>
      <w:r w:rsidRPr="009239AA">
        <w:rPr>
          <w:b/>
        </w:rPr>
        <w:t>:</w:t>
      </w:r>
      <w:r w:rsidRPr="009239AA" w:rsidR="00C14CC4">
        <w:rPr>
          <w:b/>
        </w:rPr>
        <w:t xml:space="preserve">  </w:t>
      </w:r>
    </w:p>
    <w:p w:rsidR="001B0AAA" w14:paraId="6999159F" w14:textId="77777777"/>
    <w:p w:rsidR="00C8488C" w:rsidRPr="000B5766" w:rsidP="000B5766" w14:paraId="28D58011" w14:textId="456C8F5C">
      <w:r>
        <w:t>USDA/FNS places a priority on supporting the economic self-sufficiency of SNAP participants by connecting work-ready individuals to good jobs</w:t>
      </w:r>
      <w:r w:rsidR="7D448B83">
        <w:t>. The SNAP Employment and Training (SNAP E&amp;T) program, operated by all State SNAP agencies</w:t>
      </w:r>
      <w:r w:rsidR="2E697EFE">
        <w:t xml:space="preserve">, helps participants gain skills and experience that will increase their ability to </w:t>
      </w:r>
      <w:r w:rsidR="30054F5F">
        <w:t>obtain employment.</w:t>
      </w:r>
      <w:r w:rsidR="2A7BE76B">
        <w:t xml:space="preserve"> Sinc</w:t>
      </w:r>
      <w:r w:rsidR="00F7474E">
        <w:t xml:space="preserve">e 2014, </w:t>
      </w:r>
      <w:r w:rsidR="2A7BE76B">
        <w:t>FNS has worked extensively with State SNAP agencies to expand their SNAP E&amp;T programs</w:t>
      </w:r>
      <w:r w:rsidR="57BF3B0C">
        <w:t xml:space="preserve">, offer services closely tied to labor market needs, and improve their communications with SNAP clients. The goal of these efforts </w:t>
      </w:r>
      <w:r w:rsidR="00364B5B">
        <w:t>is</w:t>
      </w:r>
      <w:r w:rsidR="57BF3B0C">
        <w:t xml:space="preserve"> to reach SNAP participants </w:t>
      </w:r>
      <w:r w:rsidR="00364B5B">
        <w:t xml:space="preserve">through </w:t>
      </w:r>
      <w:r w:rsidR="57BF3B0C">
        <w:t>E&amp;T services</w:t>
      </w:r>
      <w:r w:rsidR="57C4B550">
        <w:t xml:space="preserve"> </w:t>
      </w:r>
      <w:r w:rsidR="00364B5B">
        <w:t xml:space="preserve">to </w:t>
      </w:r>
      <w:r w:rsidR="57BF3B0C">
        <w:t>improve their employment outcomes</w:t>
      </w:r>
      <w:r w:rsidR="330C475D">
        <w:t>.</w:t>
      </w:r>
    </w:p>
    <w:p w:rsidR="62B3DC12" w:rsidP="62B3DC12" w14:paraId="4ED59A39" w14:textId="155CA23C"/>
    <w:p w:rsidR="00B65EBC" w:rsidRPr="000D208D" w:rsidP="00B65EBC" w14:paraId="374733DC" w14:textId="65F0E45A">
      <w:pPr>
        <w:autoSpaceDE w:val="0"/>
        <w:autoSpaceDN w:val="0"/>
        <w:adjustRightInd w:val="0"/>
        <w:rPr>
          <w:rFonts w:eastAsia="Calibri"/>
          <w:color w:val="000000"/>
        </w:rPr>
      </w:pPr>
      <w:r>
        <w:t>In order to</w:t>
      </w:r>
      <w:r>
        <w:t xml:space="preserve"> meet these important objectives, FNS must understand how best to meet the needs of current SNAP E&amp;T participants, as well as those individuals who are </w:t>
      </w:r>
      <w:r w:rsidR="00364B5B">
        <w:t xml:space="preserve">receiving SNAP and </w:t>
      </w:r>
      <w:r>
        <w:t>eligible for SNAP E&amp;T but do not participate (referred to as “</w:t>
      </w:r>
      <w:r w:rsidR="00364B5B">
        <w:t>prospective E&amp;T participants</w:t>
      </w:r>
      <w:r>
        <w:t>”</w:t>
      </w:r>
      <w:r w:rsidR="00364B5B">
        <w:t xml:space="preserve"> or “SNAP-eligible non-participants”</w:t>
      </w:r>
      <w:r>
        <w:t xml:space="preserve">). </w:t>
      </w:r>
      <w:r w:rsidR="2FD1DF9E">
        <w:t xml:space="preserve">To improve the E&amp;T program’s </w:t>
      </w:r>
      <w:r w:rsidR="0708BA1C">
        <w:t>ability to effectively reach customers</w:t>
      </w:r>
      <w:r w:rsidR="2FD1DF9E">
        <w:t xml:space="preserve">, </w:t>
      </w:r>
      <w:r w:rsidR="2A7BE76B">
        <w:t xml:space="preserve">FNS proposes to </w:t>
      </w:r>
      <w:r w:rsidR="0050396F">
        <w:t xml:space="preserve">conduct </w:t>
      </w:r>
      <w:r>
        <w:t xml:space="preserve">a </w:t>
      </w:r>
      <w:r w:rsidR="00364B5B">
        <w:t xml:space="preserve">series of </w:t>
      </w:r>
      <w:r>
        <w:t xml:space="preserve">robust </w:t>
      </w:r>
      <w:r w:rsidR="0050396F">
        <w:t>discussion sessions</w:t>
      </w:r>
      <w:r w:rsidR="0F1F22D6">
        <w:t xml:space="preserve"> with SNAP E&amp;T participants</w:t>
      </w:r>
      <w:r w:rsidR="006407C9">
        <w:t>, as well as SNAP E&amp;T prospective participants</w:t>
      </w:r>
      <w:r w:rsidR="0F1F22D6">
        <w:t xml:space="preserve">. </w:t>
      </w:r>
      <w:r w:rsidR="008E1B5A">
        <w:t xml:space="preserve">A total of </w:t>
      </w:r>
      <w:r>
        <w:t>4 discussion sessions will be held</w:t>
      </w:r>
      <w:r w:rsidR="00784E61">
        <w:t xml:space="preserve"> virtually</w:t>
      </w:r>
      <w:r>
        <w:t xml:space="preserve">, including </w:t>
      </w:r>
      <w:r w:rsidR="008E1B5A">
        <w:t xml:space="preserve">6 participants </w:t>
      </w:r>
      <w:r w:rsidR="00B71EA5">
        <w:t xml:space="preserve">in </w:t>
      </w:r>
      <w:r w:rsidR="008E1B5A">
        <w:t>each session, and each session will last 60 minutes.</w:t>
      </w:r>
      <w:r>
        <w:rPr>
          <w:rFonts w:eastAsia="Calibri"/>
          <w:color w:val="000000" w:themeColor="text1"/>
        </w:rPr>
        <w:t xml:space="preserve"> T</w:t>
      </w:r>
      <w:r w:rsidRPr="644DB786">
        <w:rPr>
          <w:rFonts w:eastAsia="Calibri"/>
          <w:color w:val="000000" w:themeColor="text1"/>
        </w:rPr>
        <w:t xml:space="preserve">hese focus groups will serve as a primary data collection method to inform the campaign branding approach, messaging, and creative development.  </w:t>
      </w:r>
    </w:p>
    <w:p w:rsidR="00B65EBC" w:rsidP="00B65EBC" w14:paraId="419D4AD3" w14:textId="77777777"/>
    <w:p w:rsidR="00784E61" w:rsidRPr="000B5766" w:rsidP="00784E61" w14:paraId="5117BAB2" w14:textId="3ABCD69E">
      <w:r>
        <w:t xml:space="preserve">These discussion sessions will help </w:t>
      </w:r>
      <w:r w:rsidR="005B1E0F">
        <w:t>FNS</w:t>
      </w:r>
      <w:r>
        <w:t xml:space="preserve"> understand the perceptions of the SNAP E&amp;T program and its national leadership; </w:t>
      </w:r>
      <w:r w:rsidR="00B71EA5">
        <w:t>the value of the S</w:t>
      </w:r>
      <w:r>
        <w:t>tate SNAP E&amp;T progr</w:t>
      </w:r>
      <w:r w:rsidR="00B71EA5">
        <w:t>ams; the perceived benefits to S</w:t>
      </w:r>
      <w:r>
        <w:t xml:space="preserve">tates and SNAP E&amp;T participants; and the effectiveness of current communications efforts to enhance the perception of the program and value to potential participants. The insights gathered will guide the communications and marketing strategy for SNAP E&amp;T to State SNAP agencies and participants. </w:t>
      </w:r>
    </w:p>
    <w:p w:rsidR="00B65EBC" w:rsidRPr="005F7600" w:rsidP="00784E61" w14:paraId="58E62CB9" w14:textId="77777777">
      <w:pPr>
        <w:pStyle w:val="Header"/>
        <w:tabs>
          <w:tab w:val="clear" w:pos="4320"/>
          <w:tab w:val="clear" w:pos="8640"/>
        </w:tabs>
        <w:rPr>
          <w:snapToGrid/>
        </w:rPr>
      </w:pPr>
    </w:p>
    <w:p w:rsidR="006407C9" w:rsidP="00434E33" w14:paraId="5ED70349" w14:textId="77777777">
      <w:pPr>
        <w:pStyle w:val="Header"/>
        <w:tabs>
          <w:tab w:val="clear" w:pos="4320"/>
          <w:tab w:val="clear" w:pos="8640"/>
        </w:tabs>
      </w:pPr>
    </w:p>
    <w:p w:rsidR="00434E33" w:rsidRPr="00434E33" w:rsidP="00434E33" w14:paraId="4BD9BB03" w14:textId="77777777">
      <w:pPr>
        <w:pStyle w:val="Header"/>
        <w:tabs>
          <w:tab w:val="clear" w:pos="4320"/>
          <w:tab w:val="clear" w:pos="8640"/>
        </w:tabs>
        <w:rPr>
          <w:i/>
          <w:snapToGrid/>
        </w:rPr>
      </w:pPr>
      <w:r w:rsidRPr="00434E33">
        <w:rPr>
          <w:b/>
        </w:rPr>
        <w:t>DESCRIPTION OF RESPONDENTS</w:t>
      </w:r>
      <w:r>
        <w:t xml:space="preserve">: </w:t>
      </w:r>
    </w:p>
    <w:p w:rsidR="00F15956" w14:paraId="7AE845BE" w14:textId="77777777"/>
    <w:p w:rsidR="00057D0F" w14:paraId="78F3818E" w14:textId="4C94F50F">
      <w:r>
        <w:t>In total, we intend to conduct 4 focus groups</w:t>
      </w:r>
      <w:r w:rsidR="00F73174">
        <w:t xml:space="preserve"> with 6 individuals in each</w:t>
      </w:r>
      <w:r>
        <w:t xml:space="preserve">. </w:t>
      </w:r>
      <w:r w:rsidR="00F73174">
        <w:t xml:space="preserve">Individuals will either qualify for the SNAP E&amp;T Participants </w:t>
      </w:r>
      <w:r w:rsidR="004B79D7">
        <w:t>focus groups</w:t>
      </w:r>
      <w:r w:rsidR="00F73174">
        <w:t xml:space="preserve">, </w:t>
      </w:r>
      <w:r w:rsidR="004B79D7">
        <w:t xml:space="preserve">conducted among </w:t>
      </w:r>
      <w:r w:rsidR="00CB01C8">
        <w:t xml:space="preserve">current </w:t>
      </w:r>
      <w:r w:rsidR="004B79D7">
        <w:t xml:space="preserve">SNAP E&amp;T participants, </w:t>
      </w:r>
      <w:r w:rsidR="00F73174">
        <w:t>or the Prospective SNAP E&amp;T Participants focus group,</w:t>
      </w:r>
      <w:r w:rsidR="004B79D7">
        <w:t xml:space="preserve"> conducted among </w:t>
      </w:r>
      <w:r>
        <w:t>SNAP recipients that are</w:t>
      </w:r>
      <w:r w:rsidR="00410BE1">
        <w:t xml:space="preserve"> </w:t>
      </w:r>
      <w:r w:rsidR="004B79D7">
        <w:t>SNAP E&amp;T-</w:t>
      </w:r>
      <w:r w:rsidR="00410BE1">
        <w:t>eligible</w:t>
      </w:r>
      <w:r w:rsidR="007831C1">
        <w:t xml:space="preserve"> </w:t>
      </w:r>
      <w:r w:rsidR="004B79D7">
        <w:t>non-participants</w:t>
      </w:r>
      <w:r w:rsidR="007831C1">
        <w:t>.</w:t>
      </w:r>
    </w:p>
    <w:p w:rsidR="00057D0F" w14:paraId="0B3138B7" w14:textId="211048DA"/>
    <w:p w:rsidR="004B79D7" w:rsidRPr="00E87CAC" w:rsidP="004B79D7" w14:paraId="35774CF7" w14:textId="098A2ED2">
      <w:pPr>
        <w:tabs>
          <w:tab w:val="left" w:pos="1080"/>
        </w:tabs>
        <w:rPr>
          <w:rFonts w:eastAsia="Calibri"/>
        </w:rPr>
      </w:pPr>
      <w:r>
        <w:rPr>
          <w:rFonts w:eastAsia="Calibri"/>
        </w:rPr>
        <w:t>All i</w:t>
      </w:r>
      <w:r w:rsidRPr="00E87CAC">
        <w:rPr>
          <w:rFonts w:eastAsia="Calibri"/>
        </w:rPr>
        <w:t>ndi</w:t>
      </w:r>
      <w:r>
        <w:rPr>
          <w:rFonts w:eastAsia="Calibri"/>
        </w:rPr>
        <w:t>viduals will be recruited via a marketing list provider</w:t>
      </w:r>
      <w:r w:rsidRPr="00E87CAC">
        <w:rPr>
          <w:rFonts w:eastAsia="Calibri"/>
        </w:rPr>
        <w:t xml:space="preserve"> and all respondents will receive incentives for their time.</w:t>
      </w:r>
      <w:r>
        <w:rPr>
          <w:rFonts w:eastAsia="Calibri"/>
        </w:rPr>
        <w:t xml:space="preserve"> Respondents will be recruited from the 50 states, the District of Columbia, and 2 territories that are served by SNAP E&amp;T State Agencies. </w:t>
      </w:r>
    </w:p>
    <w:p w:rsidR="004B79D7" w14:paraId="08C79151" w14:textId="2C521972"/>
    <w:p w:rsidR="00CB01C8" w14:paraId="64A6F929" w14:textId="0ECB5FE5"/>
    <w:p w:rsidR="00CB01C8" w14:paraId="2B2A9B26" w14:textId="252D32B9"/>
    <w:p w:rsidR="00CB01C8" w14:paraId="51FFB733" w14:textId="0A874EC0"/>
    <w:p w:rsidR="00CB01C8" w14:paraId="03E4D573" w14:textId="163F3BE1"/>
    <w:p w:rsidR="00CB01C8" w14:paraId="12E8DECA" w14:textId="58039A98"/>
    <w:p w:rsidR="00CB01C8" w14:paraId="1D4E9695" w14:textId="77777777"/>
    <w:p w:rsidR="00CB01C8" w:rsidRPr="000D208D" w:rsidP="00CB01C8" w14:paraId="5430A1E1" w14:textId="77777777">
      <w:pPr>
        <w:ind w:left="-630" w:firstLine="630"/>
        <w:rPr>
          <w:rFonts w:eastAsia="Calibri"/>
          <w:b/>
        </w:rPr>
      </w:pPr>
      <w:r w:rsidRPr="000D208D">
        <w:rPr>
          <w:rFonts w:eastAsia="Calibri"/>
          <w:b/>
        </w:rPr>
        <w:t xml:space="preserve">Table 1.  Focus Group Distribution </w:t>
      </w:r>
    </w:p>
    <w:tbl>
      <w:tblPr>
        <w:tblW w:w="9715" w:type="dxa"/>
        <w:jc w:val="cente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tblPr>
      <w:tblGrid>
        <w:gridCol w:w="2170"/>
        <w:gridCol w:w="3855"/>
        <w:gridCol w:w="3690"/>
      </w:tblGrid>
      <w:tr w14:paraId="0787299F" w14:textId="77777777" w:rsidTr="00754177">
        <w:tblPrEx>
          <w:tblW w:w="9715" w:type="dxa"/>
          <w:jc w:val="cente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tblPrEx>
        <w:trPr>
          <w:trHeight w:val="257"/>
          <w:jc w:val="center"/>
        </w:trPr>
        <w:tc>
          <w:tcPr>
            <w:tcW w:w="2170" w:type="dxa"/>
          </w:tcPr>
          <w:p w:rsidR="00CB01C8" w:rsidRPr="000D208D" w:rsidP="00754177" w14:paraId="68BF1133" w14:textId="77777777">
            <w:pPr>
              <w:rPr>
                <w:rFonts w:eastAsia="Calibri"/>
                <w:sz w:val="22"/>
                <w:szCs w:val="22"/>
              </w:rPr>
            </w:pPr>
          </w:p>
        </w:tc>
        <w:tc>
          <w:tcPr>
            <w:tcW w:w="3855" w:type="dxa"/>
          </w:tcPr>
          <w:p w:rsidR="00CB01C8" w:rsidRPr="000D208D" w:rsidP="00754177" w14:paraId="0503B0EA" w14:textId="303962AB">
            <w:pPr>
              <w:jc w:val="center"/>
              <w:rPr>
                <w:rFonts w:eastAsia="Calibri"/>
                <w:sz w:val="22"/>
                <w:szCs w:val="22"/>
              </w:rPr>
            </w:pPr>
            <w:r>
              <w:rPr>
                <w:rFonts w:eastAsia="Calibri"/>
                <w:sz w:val="22"/>
                <w:szCs w:val="22"/>
              </w:rPr>
              <w:t>SNAP E&amp;T</w:t>
            </w:r>
            <w:r w:rsidRPr="000D208D">
              <w:rPr>
                <w:rFonts w:eastAsia="Calibri"/>
                <w:sz w:val="22"/>
                <w:szCs w:val="22"/>
              </w:rPr>
              <w:t xml:space="preserve"> Participants</w:t>
            </w:r>
          </w:p>
          <w:p w:rsidR="00CB01C8" w:rsidRPr="000D208D" w:rsidP="00754177" w14:paraId="79A6BD3F" w14:textId="067DCC24">
            <w:pPr>
              <w:jc w:val="center"/>
              <w:rPr>
                <w:rFonts w:eastAsia="Calibri"/>
                <w:sz w:val="22"/>
                <w:szCs w:val="22"/>
              </w:rPr>
            </w:pPr>
            <w:r>
              <w:rPr>
                <w:rFonts w:eastAsia="Calibri"/>
                <w:sz w:val="22"/>
                <w:szCs w:val="22"/>
              </w:rPr>
              <w:t xml:space="preserve">At least </w:t>
            </w:r>
            <w:r>
              <w:rPr>
                <w:rFonts w:eastAsia="Calibri"/>
                <w:sz w:val="22"/>
                <w:szCs w:val="22"/>
              </w:rPr>
              <w:t xml:space="preserve">2 </w:t>
            </w:r>
            <w:r w:rsidRPr="000D208D">
              <w:rPr>
                <w:rFonts w:eastAsia="Calibri"/>
                <w:sz w:val="22"/>
                <w:szCs w:val="22"/>
              </w:rPr>
              <w:t>Focus Groups</w:t>
            </w:r>
          </w:p>
        </w:tc>
        <w:tc>
          <w:tcPr>
            <w:tcW w:w="3690" w:type="dxa"/>
          </w:tcPr>
          <w:p w:rsidR="00CB01C8" w:rsidP="00754177" w14:paraId="0CB71B97" w14:textId="226547FA">
            <w:pPr>
              <w:jc w:val="center"/>
              <w:rPr>
                <w:rFonts w:eastAsia="Calibri"/>
                <w:sz w:val="22"/>
                <w:szCs w:val="22"/>
              </w:rPr>
            </w:pPr>
            <w:r>
              <w:rPr>
                <w:rFonts w:eastAsia="Calibri"/>
                <w:sz w:val="22"/>
                <w:szCs w:val="22"/>
              </w:rPr>
              <w:t>SNAP E&amp;T</w:t>
            </w:r>
            <w:r w:rsidRPr="000D208D">
              <w:rPr>
                <w:rFonts w:eastAsia="Calibri"/>
                <w:sz w:val="22"/>
                <w:szCs w:val="22"/>
              </w:rPr>
              <w:t xml:space="preserve"> Eligible Non-Participants</w:t>
            </w:r>
          </w:p>
          <w:p w:rsidR="00CB01C8" w:rsidRPr="000D208D" w:rsidP="00754177" w14:paraId="2286F66C" w14:textId="7B06870A">
            <w:pPr>
              <w:jc w:val="center"/>
              <w:rPr>
                <w:rFonts w:eastAsia="Calibri"/>
                <w:sz w:val="22"/>
                <w:szCs w:val="22"/>
              </w:rPr>
            </w:pPr>
            <w:r>
              <w:rPr>
                <w:rFonts w:eastAsia="Calibri"/>
                <w:sz w:val="22"/>
                <w:szCs w:val="22"/>
              </w:rPr>
              <w:t>(Prospective)</w:t>
            </w:r>
          </w:p>
          <w:p w:rsidR="00CB01C8" w:rsidRPr="000D208D" w:rsidP="00754177" w14:paraId="67AA3383" w14:textId="73BF39F4">
            <w:pPr>
              <w:jc w:val="center"/>
              <w:rPr>
                <w:rFonts w:eastAsia="Calibri"/>
                <w:sz w:val="22"/>
                <w:szCs w:val="22"/>
              </w:rPr>
            </w:pPr>
            <w:r>
              <w:rPr>
                <w:rFonts w:eastAsia="Calibri"/>
                <w:sz w:val="22"/>
                <w:szCs w:val="22"/>
              </w:rPr>
              <w:t>Remaining</w:t>
            </w:r>
            <w:r w:rsidRPr="000D208D">
              <w:rPr>
                <w:rFonts w:eastAsia="Calibri"/>
                <w:sz w:val="22"/>
                <w:szCs w:val="22"/>
              </w:rPr>
              <w:t xml:space="preserve"> Focus Groups</w:t>
            </w:r>
          </w:p>
        </w:tc>
      </w:tr>
      <w:tr w14:paraId="4FCC7928" w14:textId="77777777" w:rsidTr="00754177">
        <w:tblPrEx>
          <w:tblW w:w="9715" w:type="dxa"/>
          <w:jc w:val="center"/>
          <w:tblLayout w:type="fixed"/>
          <w:tblLook w:val="04A0"/>
        </w:tblPrEx>
        <w:trPr>
          <w:trHeight w:val="1285"/>
          <w:jc w:val="center"/>
        </w:trPr>
        <w:tc>
          <w:tcPr>
            <w:tcW w:w="2170" w:type="dxa"/>
          </w:tcPr>
          <w:p w:rsidR="00CB01C8" w:rsidRPr="000D208D" w:rsidP="00754177" w14:paraId="2B8D000F" w14:textId="4BDF5B6A">
            <w:pPr>
              <w:rPr>
                <w:rFonts w:eastAsia="Calibri"/>
                <w:sz w:val="22"/>
                <w:szCs w:val="22"/>
              </w:rPr>
            </w:pPr>
            <w:r>
              <w:rPr>
                <w:rFonts w:eastAsia="Calibri"/>
                <w:sz w:val="22"/>
                <w:szCs w:val="22"/>
              </w:rPr>
              <w:t>Criteria for participation</w:t>
            </w:r>
          </w:p>
        </w:tc>
        <w:tc>
          <w:tcPr>
            <w:tcW w:w="3855" w:type="dxa"/>
          </w:tcPr>
          <w:p w:rsidR="0082653D" w:rsidP="00CB01C8" w14:paraId="701979D8" w14:textId="77777777">
            <w:pPr>
              <w:numPr>
                <w:ilvl w:val="0"/>
                <w:numId w:val="23"/>
              </w:numPr>
              <w:pBdr>
                <w:top w:val="nil"/>
                <w:left w:val="nil"/>
                <w:bottom w:val="nil"/>
                <w:right w:val="nil"/>
                <w:between w:val="nil"/>
              </w:pBdr>
              <w:rPr>
                <w:rFonts w:eastAsia="Calibri"/>
                <w:color w:val="000000"/>
                <w:sz w:val="22"/>
                <w:szCs w:val="22"/>
              </w:rPr>
            </w:pPr>
            <w:r>
              <w:rPr>
                <w:rFonts w:eastAsia="Calibri"/>
                <w:color w:val="000000"/>
                <w:sz w:val="22"/>
                <w:szCs w:val="22"/>
              </w:rPr>
              <w:t xml:space="preserve"> </w:t>
            </w:r>
            <w:r w:rsidR="00784E61">
              <w:rPr>
                <w:rFonts w:eastAsia="Calibri"/>
                <w:color w:val="000000"/>
                <w:sz w:val="22"/>
                <w:szCs w:val="22"/>
              </w:rPr>
              <w:t xml:space="preserve">Currently </w:t>
            </w:r>
            <w:r>
              <w:rPr>
                <w:rFonts w:eastAsia="Calibri"/>
                <w:color w:val="000000"/>
                <w:sz w:val="22"/>
                <w:szCs w:val="22"/>
              </w:rPr>
              <w:t>receiving SNAP</w:t>
            </w:r>
          </w:p>
          <w:p w:rsidR="00CB01C8" w:rsidRPr="000D208D" w:rsidP="00CB01C8" w14:paraId="76DF8A7C" w14:textId="13C414D6">
            <w:pPr>
              <w:numPr>
                <w:ilvl w:val="0"/>
                <w:numId w:val="23"/>
              </w:numPr>
              <w:pBdr>
                <w:top w:val="nil"/>
                <w:left w:val="nil"/>
                <w:bottom w:val="nil"/>
                <w:right w:val="nil"/>
                <w:between w:val="nil"/>
              </w:pBdr>
              <w:rPr>
                <w:rFonts w:eastAsia="Calibri"/>
                <w:color w:val="000000"/>
                <w:sz w:val="22"/>
                <w:szCs w:val="22"/>
              </w:rPr>
            </w:pPr>
            <w:r>
              <w:rPr>
                <w:rFonts w:eastAsia="Calibri"/>
                <w:color w:val="000000"/>
                <w:sz w:val="22"/>
                <w:szCs w:val="22"/>
              </w:rPr>
              <w:t xml:space="preserve">Currently </w:t>
            </w:r>
            <w:r w:rsidR="00784E61">
              <w:rPr>
                <w:rFonts w:eastAsia="Calibri"/>
                <w:color w:val="000000"/>
                <w:sz w:val="22"/>
                <w:szCs w:val="22"/>
              </w:rPr>
              <w:t>participating in a job training/ development program as part of SNAP.</w:t>
            </w:r>
          </w:p>
        </w:tc>
        <w:tc>
          <w:tcPr>
            <w:tcW w:w="3690" w:type="dxa"/>
          </w:tcPr>
          <w:p w:rsidR="00CB01C8" w:rsidP="00CB01C8" w14:paraId="01296FBC" w14:textId="4C3EE32F">
            <w:pPr>
              <w:numPr>
                <w:ilvl w:val="0"/>
                <w:numId w:val="23"/>
              </w:numPr>
              <w:pBdr>
                <w:top w:val="nil"/>
                <w:left w:val="nil"/>
                <w:bottom w:val="nil"/>
                <w:right w:val="nil"/>
                <w:between w:val="nil"/>
              </w:pBdr>
              <w:rPr>
                <w:rFonts w:eastAsia="Calibri"/>
                <w:color w:val="000000"/>
                <w:sz w:val="22"/>
                <w:szCs w:val="22"/>
              </w:rPr>
            </w:pPr>
            <w:r>
              <w:rPr>
                <w:rFonts w:eastAsia="Calibri"/>
                <w:color w:val="000000"/>
                <w:sz w:val="22"/>
                <w:szCs w:val="22"/>
              </w:rPr>
              <w:t xml:space="preserve"> Currently receiving SNAP.</w:t>
            </w:r>
          </w:p>
          <w:p w:rsidR="00784E61" w:rsidP="00CB01C8" w14:paraId="78E008AE" w14:textId="543027D6">
            <w:pPr>
              <w:numPr>
                <w:ilvl w:val="0"/>
                <w:numId w:val="23"/>
              </w:numPr>
              <w:pBdr>
                <w:top w:val="nil"/>
                <w:left w:val="nil"/>
                <w:bottom w:val="nil"/>
                <w:right w:val="nil"/>
                <w:between w:val="nil"/>
              </w:pBdr>
              <w:rPr>
                <w:rFonts w:eastAsia="Calibri"/>
                <w:color w:val="000000"/>
                <w:sz w:val="22"/>
                <w:szCs w:val="22"/>
              </w:rPr>
            </w:pPr>
            <w:r>
              <w:rPr>
                <w:rFonts w:eastAsia="Calibri"/>
                <w:color w:val="000000"/>
                <w:sz w:val="22"/>
                <w:szCs w:val="22"/>
              </w:rPr>
              <w:t xml:space="preserve"> Not currently participating in the TANF cash assistance program.</w:t>
            </w:r>
          </w:p>
          <w:p w:rsidR="00784E61" w:rsidRPr="000D208D" w:rsidP="00CB01C8" w14:paraId="788635D7" w14:textId="0533D680">
            <w:pPr>
              <w:numPr>
                <w:ilvl w:val="0"/>
                <w:numId w:val="23"/>
              </w:numPr>
              <w:pBdr>
                <w:top w:val="nil"/>
                <w:left w:val="nil"/>
                <w:bottom w:val="nil"/>
                <w:right w:val="nil"/>
                <w:between w:val="nil"/>
              </w:pBdr>
              <w:rPr>
                <w:rFonts w:eastAsia="Calibri"/>
                <w:color w:val="000000"/>
                <w:sz w:val="22"/>
                <w:szCs w:val="22"/>
              </w:rPr>
            </w:pPr>
            <w:r>
              <w:rPr>
                <w:rFonts w:eastAsia="Calibri"/>
                <w:color w:val="000000"/>
                <w:sz w:val="22"/>
                <w:szCs w:val="22"/>
              </w:rPr>
              <w:t xml:space="preserve"> Currently eligible to be in a work program.</w:t>
            </w:r>
          </w:p>
        </w:tc>
      </w:tr>
    </w:tbl>
    <w:p w:rsidR="00CB01C8" w14:paraId="1AF60E2C" w14:textId="77777777"/>
    <w:p w:rsidR="004B79D7" w:rsidRPr="005F7600" w14:paraId="62FDE9EF" w14:textId="77777777">
      <w:pPr>
        <w:rPr>
          <w:u w:val="single"/>
        </w:rPr>
      </w:pPr>
      <w:r w:rsidRPr="005F7600">
        <w:rPr>
          <w:u w:val="single"/>
        </w:rPr>
        <w:t>Recruitment</w:t>
      </w:r>
    </w:p>
    <w:p w:rsidR="00335316" w:rsidRPr="005F7600" w14:paraId="416D3C89" w14:textId="1532F71F">
      <w:pPr>
        <w:rPr>
          <w:bCs/>
        </w:rPr>
      </w:pPr>
      <w:r>
        <w:t>Individuals will be identified for potential participation utilizing a marketing list provided</w:t>
      </w:r>
      <w:r w:rsidRPr="00284E59">
        <w:t xml:space="preserve"> by a sample provider</w:t>
      </w:r>
      <w:r>
        <w:t>, Marketing Systems Group, which includes individuals who are lower income levels across the United States</w:t>
      </w:r>
      <w:r w:rsidRPr="00284E59">
        <w:t xml:space="preserve">. </w:t>
      </w:r>
      <w:r>
        <w:t>A random sample of individuals on the list</w:t>
      </w:r>
      <w:r w:rsidRPr="00284E59">
        <w:t xml:space="preserve"> will receive invitations to participate in the </w:t>
      </w:r>
      <w:r w:rsidR="00784E61">
        <w:t>virtual discussions</w:t>
      </w:r>
      <w:r w:rsidRPr="00284E59">
        <w:t xml:space="preserve"> through email/text messages</w:t>
      </w:r>
      <w:r>
        <w:t>/calls</w:t>
      </w:r>
      <w:r w:rsidR="00CB01C8">
        <w:t xml:space="preserve"> (Attachment </w:t>
      </w:r>
      <w:r w:rsidR="00784E61">
        <w:t>A)</w:t>
      </w:r>
      <w:r w:rsidRPr="00284E59">
        <w:t xml:space="preserve">. </w:t>
      </w:r>
    </w:p>
    <w:p w:rsidR="00335316" w14:paraId="033C25D1" w14:textId="77777777"/>
    <w:p w:rsidR="00D27027" w14:paraId="6873C6A5" w14:textId="0A17F513">
      <w:r w:rsidRPr="00284E59">
        <w:t>Those who are interested</w:t>
      </w:r>
      <w:r w:rsidR="00784E61">
        <w:t xml:space="preserve"> in joining a focus group</w:t>
      </w:r>
      <w:r w:rsidRPr="00284E59">
        <w:t xml:space="preserve"> will complete a digital survey with screening questions </w:t>
      </w:r>
      <w:r w:rsidR="00CB01C8">
        <w:t>(Attachment B).</w:t>
      </w:r>
      <w:r>
        <w:t xml:space="preserve"> </w:t>
      </w:r>
      <w:r w:rsidRPr="005F7600" w:rsidR="00335316">
        <w:t>A group of communications, marketing, and social and behavior change specialists developed the s</w:t>
      </w:r>
      <w:r w:rsidR="00CB01C8">
        <w:t>creening q</w:t>
      </w:r>
      <w:r>
        <w:t>uestions</w:t>
      </w:r>
      <w:r w:rsidR="00335316">
        <w:t xml:space="preserve"> to</w:t>
      </w:r>
      <w:r>
        <w:t xml:space="preserve"> determine whether the</w:t>
      </w:r>
      <w:r w:rsidR="00B71EA5">
        <w:t xml:space="preserve"> respondents</w:t>
      </w:r>
      <w:r>
        <w:t xml:space="preserve"> are current SNAP E&amp;T participants</w:t>
      </w:r>
      <w:r w:rsidR="00784E61">
        <w:t xml:space="preserve"> or prospective SNAP E&amp;T participants</w:t>
      </w:r>
      <w:r w:rsidR="00B71EA5">
        <w:t xml:space="preserve"> and </w:t>
      </w:r>
      <w:r w:rsidRPr="00284E59" w:rsidR="00B71EA5">
        <w:t xml:space="preserve">ensure they meet the criteria for inclusion in the </w:t>
      </w:r>
      <w:r w:rsidR="00B71EA5">
        <w:t>sessions</w:t>
      </w:r>
      <w:r w:rsidR="00784E61">
        <w:t xml:space="preserve">.  </w:t>
      </w:r>
      <w:r w:rsidRPr="00044C60">
        <w:t xml:space="preserve"> </w:t>
      </w:r>
    </w:p>
    <w:p w:rsidR="00CB01C8" w14:paraId="09622BAF" w14:textId="77777777"/>
    <w:p w:rsidR="000A7869" w14:paraId="1FA71BAC" w14:textId="62B1D74A">
      <w:r>
        <w:t xml:space="preserve">Individuals qualify </w:t>
      </w:r>
      <w:r w:rsidR="00D760A7">
        <w:t xml:space="preserve">for the </w:t>
      </w:r>
      <w:r w:rsidR="00784E61">
        <w:t>SNAP E&amp;T P</w:t>
      </w:r>
      <w:r w:rsidR="00D760A7">
        <w:t>articipant</w:t>
      </w:r>
      <w:r w:rsidR="00784E61">
        <w:t>s</w:t>
      </w:r>
      <w:r w:rsidR="00D760A7">
        <w:t xml:space="preserve"> </w:t>
      </w:r>
      <w:r w:rsidR="00784E61">
        <w:t>d</w:t>
      </w:r>
      <w:r w:rsidR="00D760A7">
        <w:t>iscussions if they</w:t>
      </w:r>
      <w:r>
        <w:t xml:space="preserve"> </w:t>
      </w:r>
      <w:r w:rsidR="00061168">
        <w:t>are eligible for or are</w:t>
      </w:r>
      <w:r>
        <w:t xml:space="preserve"> currently participating </w:t>
      </w:r>
      <w:r w:rsidR="001276D2">
        <w:t>in a job training/</w:t>
      </w:r>
      <w:r w:rsidR="00D760A7">
        <w:t xml:space="preserve"> </w:t>
      </w:r>
      <w:r w:rsidR="001276D2">
        <w:t>development program as part of food benefits support</w:t>
      </w:r>
      <w:r w:rsidR="00284094">
        <w:t xml:space="preserve"> </w:t>
      </w:r>
      <w:r w:rsidR="00EC28F5">
        <w:t>(</w:t>
      </w:r>
      <w:r w:rsidR="0082653D">
        <w:t>SNAP E&amp;T P</w:t>
      </w:r>
      <w:r w:rsidR="00EC28F5">
        <w:t>articipants)</w:t>
      </w:r>
      <w:r w:rsidR="00D760A7">
        <w:t xml:space="preserve">. </w:t>
      </w:r>
    </w:p>
    <w:p w:rsidR="000A7869" w14:paraId="0E589F1E" w14:textId="77777777"/>
    <w:p w:rsidR="00E26329" w14:paraId="7F5E9D3A" w14:textId="26F141AD">
      <w:r>
        <w:t xml:space="preserve">Individuals qualify for </w:t>
      </w:r>
      <w:r w:rsidR="000A7869">
        <w:t xml:space="preserve">the </w:t>
      </w:r>
      <w:r w:rsidR="00B71EA5">
        <w:t>P</w:t>
      </w:r>
      <w:r w:rsidR="000A7869">
        <w:t xml:space="preserve">rospective </w:t>
      </w:r>
      <w:r w:rsidR="00784E61">
        <w:t xml:space="preserve">SNAP E&amp;T </w:t>
      </w:r>
      <w:r w:rsidR="000A7869">
        <w:t xml:space="preserve">participant discussions if they indicate they </w:t>
      </w:r>
      <w:r w:rsidR="00CB1AD6">
        <w:t>currently participate in a Supplemental Nutrition Assistance Program (SNAP)</w:t>
      </w:r>
      <w:r w:rsidR="00642206">
        <w:t>;</w:t>
      </w:r>
      <w:r w:rsidR="000A7869">
        <w:t xml:space="preserve"> </w:t>
      </w:r>
      <w:r w:rsidR="00B71EA5">
        <w:t>do not</w:t>
      </w:r>
      <w:r w:rsidR="00642206">
        <w:t xml:space="preserve"> </w:t>
      </w:r>
      <w:r w:rsidR="0040415F">
        <w:t>currently participate in the Temporary Aid for Needy Families (TANF) cash assistance program</w:t>
      </w:r>
      <w:r w:rsidR="00642206">
        <w:t xml:space="preserve">; and </w:t>
      </w:r>
      <w:r w:rsidR="0073575F">
        <w:t>answer questions to indicate they</w:t>
      </w:r>
      <w:r w:rsidR="00B1091B">
        <w:t xml:space="preserve"> are currently</w:t>
      </w:r>
      <w:r w:rsidR="0073575F">
        <w:t xml:space="preserve"> </w:t>
      </w:r>
      <w:r w:rsidR="00061168">
        <w:t>eligible to be in a work program.</w:t>
      </w:r>
    </w:p>
    <w:p w:rsidR="00935B25" w:rsidP="00D27027" w14:paraId="03CAAFE0" w14:textId="77777777">
      <w:pPr>
        <w:rPr>
          <w:bCs/>
        </w:rPr>
      </w:pPr>
    </w:p>
    <w:p w:rsidR="00935B25" w14:paraId="20F4E916" w14:textId="50401F3C">
      <w:r>
        <w:rPr>
          <w:bCs/>
        </w:rPr>
        <w:t xml:space="preserve">To ensure we have an inclusive and diverse sample of individuals to participate in the discussions, we plan to collect demographic information such as race, ethnicity, age, gender, and income. </w:t>
      </w:r>
    </w:p>
    <w:p w:rsidR="00D27027" w:rsidP="00D27027" w14:paraId="5086A89F" w14:textId="77777777"/>
    <w:p w:rsidR="00784E61" w:rsidRPr="000D208D" w:rsidP="00784E61" w14:paraId="7329101B" w14:textId="77777777">
      <w:pPr>
        <w:rPr>
          <w:u w:val="single"/>
        </w:rPr>
      </w:pPr>
      <w:r w:rsidRPr="000D208D">
        <w:rPr>
          <w:u w:val="single"/>
        </w:rPr>
        <w:t>Confirmation</w:t>
      </w:r>
    </w:p>
    <w:p w:rsidR="00784E61" w:rsidRPr="000D208D" w:rsidP="00784E61" w14:paraId="095BC77C" w14:textId="48FE3EAF">
      <w:r>
        <w:t>After completing the screener, particip</w:t>
      </w:r>
      <w:r w:rsidR="005B1E0F">
        <w:t>ants who qualify will be sent confirmation that outlines the purpose of the research, the fact that it is voluntary research, a consent form (Attachment C), the date and time of the virtual focus group, and log-in instructions.</w:t>
      </w:r>
    </w:p>
    <w:p w:rsidR="00D27027" w:rsidP="00D27027" w14:paraId="6722ACE1" w14:textId="77777777">
      <w:pPr>
        <w:pStyle w:val="Header"/>
        <w:tabs>
          <w:tab w:val="clear" w:pos="4320"/>
          <w:tab w:val="clear" w:pos="8640"/>
        </w:tabs>
        <w:rPr>
          <w:b/>
        </w:rPr>
      </w:pPr>
    </w:p>
    <w:p w:rsidR="005B1E0F" w:rsidRPr="000D208D" w:rsidP="005B1E0F" w14:paraId="0AACA33D" w14:textId="77777777">
      <w:r w:rsidRPr="000D208D">
        <w:t>Profession</w:t>
      </w:r>
      <w:r>
        <w:t>al recruiters will be used to confirm and schedule the focus groups</w:t>
      </w:r>
      <w:r w:rsidRPr="000D208D">
        <w:t xml:space="preserve"> using a </w:t>
      </w:r>
      <w:r>
        <w:t>secured site</w:t>
      </w:r>
      <w:r w:rsidRPr="000D208D">
        <w:t xml:space="preserve"> and will follow up with the</w:t>
      </w:r>
      <w:r>
        <w:t xml:space="preserve"> interested</w:t>
      </w:r>
      <w:r w:rsidRPr="000D208D">
        <w:t xml:space="preserve"> </w:t>
      </w:r>
      <w:r>
        <w:t>individual via text, email, or phone</w:t>
      </w:r>
      <w:r w:rsidRPr="000D208D">
        <w:t xml:space="preserve">.  The use of the </w:t>
      </w:r>
      <w:r>
        <w:t>secure site</w:t>
      </w:r>
      <w:r w:rsidRPr="000D208D">
        <w:t xml:space="preserve"> does not impose additional burden on the respondents.  </w:t>
      </w:r>
    </w:p>
    <w:p w:rsidR="005B1E0F" w:rsidP="005B1E0F" w14:paraId="1BFF0DE4" w14:textId="77777777"/>
    <w:p w:rsidR="005B1E0F" w:rsidP="005B1E0F" w14:paraId="22C4962F" w14:textId="77777777">
      <w:r>
        <w:t>All focus group will use the discussion guide (Attachment D) which will help FNS understand the perceptions of the SNAP E&amp;T program, the perceived benefits to SNAP E&amp;T participants, and the effectiveness of current communications efforts to enhance the perception of the program and value to potential participants.</w:t>
      </w:r>
    </w:p>
    <w:p w:rsidR="00D27027" w:rsidRPr="0073575F" w14:paraId="49CCF0F5" w14:textId="77777777"/>
    <w:p w:rsidR="00E26329" w14:paraId="6BC2C549" w14:textId="77777777">
      <w:pPr>
        <w:rPr>
          <w:b/>
        </w:rPr>
      </w:pPr>
    </w:p>
    <w:p w:rsidR="00F06866" w:rsidRPr="00F06866" w14:paraId="2A176E3E" w14:textId="77777777">
      <w:pPr>
        <w:rPr>
          <w:b/>
        </w:rPr>
      </w:pPr>
      <w:r>
        <w:rPr>
          <w:b/>
        </w:rPr>
        <w:t>TYPE OF COLLECTION:</w:t>
      </w:r>
      <w:r w:rsidRPr="00F06866">
        <w:t xml:space="preserve"> (Check one)</w:t>
      </w:r>
    </w:p>
    <w:p w:rsidR="00441434" w:rsidRPr="00434E33" w:rsidP="0096108F" w14:paraId="5FED0994" w14:textId="77777777">
      <w:pPr>
        <w:pStyle w:val="BodyTextIndent"/>
        <w:tabs>
          <w:tab w:val="left" w:pos="360"/>
        </w:tabs>
        <w:ind w:left="0"/>
        <w:rPr>
          <w:bCs/>
          <w:sz w:val="16"/>
          <w:szCs w:val="16"/>
        </w:rPr>
      </w:pPr>
    </w:p>
    <w:p w:rsidR="00F06866" w:rsidRPr="00F06866" w:rsidP="0096108F" w14:paraId="2395506E" w14:textId="7777777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323B4163"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B35113">
        <w:rPr>
          <w:bCs/>
          <w:sz w:val="24"/>
        </w:rPr>
        <w:t>)</w:t>
      </w:r>
      <w:r w:rsidR="00F06866">
        <w:rPr>
          <w:bCs/>
          <w:sz w:val="24"/>
        </w:rPr>
        <w:tab/>
        <w:t>[ ] Small Discussion Group</w:t>
      </w:r>
    </w:p>
    <w:p w:rsidR="00F06866" w:rsidRPr="00F06866" w:rsidP="0096108F" w14:paraId="26483A00" w14:textId="171CA015">
      <w:pPr>
        <w:pStyle w:val="BodyTextIndent"/>
        <w:tabs>
          <w:tab w:val="left" w:pos="360"/>
        </w:tabs>
        <w:ind w:left="0"/>
        <w:rPr>
          <w:bCs/>
          <w:sz w:val="24"/>
        </w:rPr>
      </w:pPr>
      <w:r>
        <w:rPr>
          <w:bCs/>
          <w:sz w:val="24"/>
        </w:rPr>
        <w:t>[</w:t>
      </w:r>
      <w:r w:rsidR="00CF6542">
        <w:rPr>
          <w:bCs/>
          <w:sz w:val="24"/>
        </w:rPr>
        <w:t xml:space="preserve"> </w:t>
      </w:r>
      <w:r w:rsidR="00F83705">
        <w:rPr>
          <w:bCs/>
          <w:sz w:val="24"/>
        </w:rPr>
        <w:t>X</w:t>
      </w:r>
      <w:r>
        <w:rPr>
          <w:bCs/>
          <w:sz w:val="24"/>
        </w:rPr>
        <w:t xml:space="preserve">] Focus </w:t>
      </w:r>
      <w:r>
        <w:rPr>
          <w:bCs/>
          <w:sz w:val="24"/>
        </w:rPr>
        <w:t xml:space="preserve">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p>
    <w:p w:rsidR="00434E33" w14:paraId="3BE5CCF8" w14:textId="77777777">
      <w:pPr>
        <w:pStyle w:val="Header"/>
        <w:tabs>
          <w:tab w:val="clear" w:pos="4320"/>
          <w:tab w:val="clear" w:pos="8640"/>
        </w:tabs>
      </w:pPr>
      <w:r>
        <w:t>[ ]</w:t>
      </w:r>
      <w:r>
        <w:t xml:space="preserve"> </w:t>
      </w:r>
      <w:r w:rsidRPr="00010FE5">
        <w:t>Quick census or surveys</w:t>
      </w:r>
    </w:p>
    <w:p w:rsidR="00010FE5" w14:paraId="79F51E0E" w14:textId="77777777">
      <w:pPr>
        <w:pStyle w:val="Header"/>
        <w:tabs>
          <w:tab w:val="clear" w:pos="4320"/>
          <w:tab w:val="clear" w:pos="8640"/>
        </w:tabs>
      </w:pPr>
    </w:p>
    <w:p w:rsidR="00010FE5" w14:paraId="4B8F08BB" w14:textId="77777777">
      <w:pPr>
        <w:pStyle w:val="Header"/>
        <w:tabs>
          <w:tab w:val="clear" w:pos="4320"/>
          <w:tab w:val="clear" w:pos="8640"/>
        </w:tabs>
      </w:pPr>
    </w:p>
    <w:p w:rsidR="00CA2650" w14:paraId="494EBB56" w14:textId="77777777">
      <w:pPr>
        <w:rPr>
          <w:b/>
        </w:rPr>
      </w:pPr>
      <w:r>
        <w:rPr>
          <w:b/>
        </w:rPr>
        <w:t>C</w:t>
      </w:r>
      <w:r w:rsidR="009C13B9">
        <w:rPr>
          <w:b/>
        </w:rPr>
        <w:t>ERTIFICATION:</w:t>
      </w:r>
    </w:p>
    <w:p w:rsidR="00441434" w14:paraId="6C759E11" w14:textId="77777777">
      <w:pPr>
        <w:rPr>
          <w:sz w:val="16"/>
          <w:szCs w:val="16"/>
        </w:rPr>
      </w:pPr>
    </w:p>
    <w:p w:rsidR="008101A5" w:rsidRPr="009C13B9" w:rsidP="008101A5" w14:paraId="773DEB7B" w14:textId="77777777">
      <w:r>
        <w:t xml:space="preserve">I certify the following to be true: </w:t>
      </w:r>
    </w:p>
    <w:p w:rsidR="008101A5" w:rsidP="008101A5" w14:paraId="1D7FD0E3" w14:textId="77777777">
      <w:pPr>
        <w:pStyle w:val="ListParagraph"/>
        <w:numPr>
          <w:ilvl w:val="0"/>
          <w:numId w:val="14"/>
        </w:numPr>
      </w:pPr>
      <w:r>
        <w:t>The collection is voluntary.</w:t>
      </w:r>
      <w:r w:rsidRPr="00C14CC4">
        <w:t xml:space="preserve"> </w:t>
      </w:r>
    </w:p>
    <w:p w:rsidR="008101A5" w:rsidP="008101A5" w14:paraId="4B7D4A0A"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208E369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0AD18B0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23CFB0FD"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71C58FC8"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4329DC80" w14:textId="77777777"/>
    <w:p w:rsidR="009C13B9" w:rsidP="009C13B9" w14:paraId="37FCE342" w14:textId="0B6F953A">
      <w:r>
        <w:t>Name:_</w:t>
      </w:r>
      <w:r>
        <w:t>______</w:t>
      </w:r>
      <w:r w:rsidR="00B93DE4">
        <w:t>Marcie</w:t>
      </w:r>
      <w:r w:rsidR="00B93DE4">
        <w:t xml:space="preserve"> Foster</w:t>
      </w:r>
      <w:r>
        <w:t>_________________________________________</w:t>
      </w:r>
    </w:p>
    <w:p w:rsidR="009C13B9" w:rsidP="009C13B9" w14:paraId="7BA71CC3" w14:textId="77777777">
      <w:pPr>
        <w:pStyle w:val="ListParagraph"/>
        <w:ind w:left="360"/>
      </w:pPr>
    </w:p>
    <w:p w:rsidR="009C13B9" w:rsidP="009C13B9" w14:paraId="5507511C" w14:textId="77777777">
      <w:r>
        <w:t>To assist review, please provide answers to the following question:</w:t>
      </w:r>
    </w:p>
    <w:p w:rsidR="009C13B9" w:rsidP="009C13B9" w14:paraId="14BF8B26" w14:textId="77777777">
      <w:pPr>
        <w:pStyle w:val="ListParagraph"/>
        <w:ind w:left="360"/>
      </w:pPr>
    </w:p>
    <w:p w:rsidR="009C13B9" w:rsidRPr="00C86E91" w:rsidP="00C86E91" w14:paraId="1349DA78" w14:textId="77777777">
      <w:pPr>
        <w:rPr>
          <w:b/>
        </w:rPr>
      </w:pPr>
      <w:r w:rsidRPr="00C86E91">
        <w:rPr>
          <w:b/>
        </w:rPr>
        <w:t>Personally Identifiable Information:</w:t>
      </w:r>
    </w:p>
    <w:p w:rsidR="009E323E" w:rsidP="009E323E" w14:paraId="2D89F445" w14:textId="29C6236B">
      <w:pPr>
        <w:pStyle w:val="ListParagraph"/>
        <w:numPr>
          <w:ilvl w:val="0"/>
          <w:numId w:val="18"/>
        </w:numPr>
      </w:pPr>
      <w:r>
        <w:t>Is</w:t>
      </w:r>
      <w:r w:rsidR="00237B48">
        <w:t xml:space="preserve"> personally identifiable information (PII) collected</w:t>
      </w:r>
      <w:r>
        <w:t xml:space="preserve">?  </w:t>
      </w:r>
      <w:r w:rsidR="009239AA">
        <w:t xml:space="preserve">[ </w:t>
      </w:r>
      <w:r w:rsidR="0036703D">
        <w:t>X</w:t>
      </w:r>
      <w:r w:rsidR="009239AA">
        <w:t xml:space="preserve"> ]</w:t>
      </w:r>
      <w:r w:rsidR="009239AA">
        <w:t xml:space="preserve"> Yes  [ ]  No</w:t>
      </w:r>
    </w:p>
    <w:p w:rsidR="00D70271" w:rsidP="009E323E" w14:paraId="04D658F7" w14:textId="77777777"/>
    <w:p w:rsidR="008E1B5A" w:rsidP="008E1B5A" w14:paraId="1445275C" w14:textId="20A3485C">
      <w:r>
        <w:t xml:space="preserve">USDA will be collecting the following information from participants to schedule them for the sessions: </w:t>
      </w:r>
    </w:p>
    <w:p w:rsidR="008E1B5A" w:rsidP="008E1B5A" w14:paraId="2A0E9B27" w14:textId="77777777"/>
    <w:p w:rsidR="008E1B5A" w:rsidP="008E1B5A" w14:paraId="3C03A247" w14:textId="77777777">
      <w:r>
        <w:t>First and Last Name</w:t>
      </w:r>
    </w:p>
    <w:p w:rsidR="008E1B5A" w:rsidP="008E1B5A" w14:paraId="72755DEC" w14:textId="77777777">
      <w:r>
        <w:t>State</w:t>
      </w:r>
    </w:p>
    <w:p w:rsidR="008E1B5A" w:rsidP="008E1B5A" w14:paraId="1BA128AA" w14:textId="77777777">
      <w:r>
        <w:t>Phone</w:t>
      </w:r>
    </w:p>
    <w:p w:rsidR="008E1B5A" w:rsidP="008E1B5A" w14:paraId="10A1B40A" w14:textId="77777777">
      <w:r>
        <w:t>Email</w:t>
      </w:r>
    </w:p>
    <w:p w:rsidR="008E1B5A" w:rsidP="008E1B5A" w14:paraId="2684928A" w14:textId="77777777"/>
    <w:p w:rsidR="008E1B5A" w:rsidP="008E1B5A" w14:paraId="46F686BC" w14:textId="5EB5E217">
      <w:r>
        <w:t xml:space="preserve">This information will be collected and used to confirm and schedule the focus groups. Some participants prefer to communicate via phone, text or email and we will use their preferred communication. </w:t>
      </w:r>
      <w:r w:rsidR="0010201E">
        <w:t xml:space="preserve">Any </w:t>
      </w:r>
      <w:r>
        <w:t>PII will be stored on a secure site and securely destroyed upon conclusion of the discussion groups.</w:t>
      </w:r>
    </w:p>
    <w:p w:rsidR="009E323E" w:rsidP="009E323E" w14:paraId="4E732EC8" w14:textId="5806314F"/>
    <w:p w:rsidR="009E323E" w:rsidP="00C902A5" w14:paraId="009E8E2D" w14:textId="77777777"/>
    <w:p w:rsidR="00C86E91" w:rsidP="00C86E91" w14:paraId="5411C1BA" w14:textId="7AAA8D7A">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w:t>
      </w:r>
      <w:r w:rsidR="0036703D">
        <w:t>X</w:t>
      </w:r>
      <w:r w:rsidR="009239AA">
        <w:t xml:space="preserve"> ] No</w:t>
      </w:r>
      <w:r>
        <w:t xml:space="preserve">   </w:t>
      </w:r>
      <w:r w:rsidR="001A3662">
        <w:t xml:space="preserve">All PII is </w:t>
      </w:r>
      <w:r w:rsidR="000658AA">
        <w:t xml:space="preserve">securely </w:t>
      </w:r>
      <w:r w:rsidR="001A3662">
        <w:t>destroyed after the research is completed.</w:t>
      </w:r>
    </w:p>
    <w:p w:rsidR="000658AA" w:rsidP="000658AA" w14:paraId="4A4783F5" w14:textId="77777777">
      <w:pPr>
        <w:pStyle w:val="ListParagraph"/>
        <w:ind w:left="360"/>
      </w:pPr>
    </w:p>
    <w:p w:rsidR="00C86E91" w:rsidP="00C86E91" w14:paraId="4841E672" w14:textId="7969D830">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w:t>
      </w:r>
      <w:r w:rsidR="00935B25">
        <w:t>X</w:t>
      </w:r>
      <w:r>
        <w:t xml:space="preserve"> ] No</w:t>
      </w:r>
    </w:p>
    <w:p w:rsidR="00CF6542" w:rsidP="00C86E91" w14:paraId="23327025" w14:textId="77777777">
      <w:pPr>
        <w:pStyle w:val="ListParagraph"/>
        <w:ind w:left="0"/>
        <w:rPr>
          <w:b/>
        </w:rPr>
      </w:pPr>
    </w:p>
    <w:p w:rsidR="00B35113" w:rsidP="00B35113" w14:paraId="6104EEEA" w14:textId="77777777">
      <w:pPr>
        <w:pStyle w:val="ListParagraph"/>
        <w:ind w:left="0"/>
        <w:rPr>
          <w:b/>
        </w:rPr>
      </w:pPr>
      <w:r>
        <w:rPr>
          <w:b/>
        </w:rPr>
        <w:t>Sensitive Information:</w:t>
      </w:r>
    </w:p>
    <w:p w:rsidR="00B35113" w:rsidP="00187BA6" w14:paraId="154E7F0C" w14:textId="77777777">
      <w:pPr>
        <w:pStyle w:val="ListParagraph"/>
        <w:numPr>
          <w:ilvl w:val="0"/>
          <w:numId w:val="19"/>
        </w:numPr>
      </w:pPr>
      <w:r>
        <w:t>Will sensitive information, such as demographic characteristics, be collected from respondents?</w:t>
      </w:r>
    </w:p>
    <w:p w:rsidR="00187BA6" w:rsidP="00187BA6" w14:paraId="7F6CA262" w14:textId="34C76F2B">
      <w:pPr>
        <w:pStyle w:val="ListParagraph"/>
        <w:ind w:left="0" w:firstLine="360"/>
      </w:pPr>
      <w:r>
        <w:t xml:space="preserve">[ </w:t>
      </w:r>
      <w:r w:rsidR="001C1C33">
        <w:t>X</w:t>
      </w:r>
      <w:r>
        <w:t xml:space="preserve"> ]</w:t>
      </w:r>
      <w:r>
        <w:t xml:space="preserve"> Yes  [  ] No</w:t>
      </w:r>
    </w:p>
    <w:p w:rsidR="00187BA6" w:rsidP="00B35113" w14:paraId="059E7E32" w14:textId="77777777">
      <w:pPr>
        <w:pStyle w:val="ListParagraph"/>
        <w:ind w:left="0"/>
      </w:pPr>
    </w:p>
    <w:p w:rsidR="00B35113" w:rsidP="00B35113" w14:paraId="2C5BE98E" w14:textId="77777777">
      <w:pPr>
        <w:pStyle w:val="ListParagraph"/>
        <w:ind w:left="0"/>
      </w:pPr>
    </w:p>
    <w:p w:rsidR="00B35113" w:rsidRPr="00C86E91" w:rsidP="00187BA6" w14:paraId="5D1BB890" w14:textId="77777777">
      <w:pPr>
        <w:pStyle w:val="ListParagraph"/>
        <w:numPr>
          <w:ilvl w:val="0"/>
          <w:numId w:val="19"/>
        </w:numPr>
        <w:rPr>
          <w:b/>
        </w:rPr>
      </w:pPr>
      <w:r>
        <w:t>If yes, explain the necessity of such information to the programmatic objective(s)?</w:t>
      </w:r>
    </w:p>
    <w:p w:rsidR="00B35113" w:rsidP="00C86E91" w14:paraId="0B844D33" w14:textId="77777777">
      <w:pPr>
        <w:pStyle w:val="ListParagraph"/>
        <w:ind w:left="0"/>
        <w:rPr>
          <w:b/>
        </w:rPr>
      </w:pPr>
    </w:p>
    <w:p w:rsidR="00935B25" w:rsidP="00C86E91" w14:paraId="06D3EBB2" w14:textId="7C9D1939">
      <w:pPr>
        <w:pStyle w:val="ListParagraph"/>
        <w:ind w:left="0"/>
        <w:rPr>
          <w:bCs/>
        </w:rPr>
      </w:pPr>
      <w:r>
        <w:rPr>
          <w:bCs/>
        </w:rPr>
        <w:t xml:space="preserve">Individuals will be identified for potential participation utilizing a screener document (Attachment B). </w:t>
      </w:r>
      <w:r w:rsidR="001C1C33">
        <w:rPr>
          <w:bCs/>
        </w:rPr>
        <w:t>To ensure we have an inclusive and diverse sample</w:t>
      </w:r>
      <w:r w:rsidR="00B338D8">
        <w:rPr>
          <w:bCs/>
        </w:rPr>
        <w:t xml:space="preserve"> of</w:t>
      </w:r>
      <w:r w:rsidR="001C1C33">
        <w:rPr>
          <w:bCs/>
        </w:rPr>
        <w:t xml:space="preserve"> individuals to participate in the </w:t>
      </w:r>
      <w:r w:rsidR="006A2E84">
        <w:rPr>
          <w:bCs/>
        </w:rPr>
        <w:t>discussions</w:t>
      </w:r>
      <w:r w:rsidR="001C1C33">
        <w:rPr>
          <w:bCs/>
        </w:rPr>
        <w:t>, we plan to collect demographic information</w:t>
      </w:r>
      <w:r w:rsidR="00B338D8">
        <w:rPr>
          <w:bCs/>
        </w:rPr>
        <w:t xml:space="preserve"> such as race, ethnicity, age, gender,</w:t>
      </w:r>
      <w:r w:rsidR="00C45330">
        <w:rPr>
          <w:bCs/>
        </w:rPr>
        <w:t xml:space="preserve"> income,</w:t>
      </w:r>
      <w:r w:rsidR="00B338D8">
        <w:rPr>
          <w:bCs/>
        </w:rPr>
        <w:t xml:space="preserve"> etc</w:t>
      </w:r>
      <w:r w:rsidR="001C1C33">
        <w:rPr>
          <w:bCs/>
        </w:rPr>
        <w:t xml:space="preserve">. </w:t>
      </w:r>
      <w:r w:rsidR="001121E1">
        <w:rPr>
          <w:bCs/>
        </w:rPr>
        <w:t xml:space="preserve">We ensure that people representing underserved/underrepresented communities are included in the </w:t>
      </w:r>
      <w:r w:rsidR="006A2E84">
        <w:rPr>
          <w:bCs/>
        </w:rPr>
        <w:t>discussions</w:t>
      </w:r>
      <w:r w:rsidR="001121E1">
        <w:rPr>
          <w:bCs/>
        </w:rPr>
        <w:t xml:space="preserve">. </w:t>
      </w:r>
      <w:r>
        <w:rPr>
          <w:bCs/>
        </w:rPr>
        <w:t xml:space="preserve">The demographic information is </w:t>
      </w:r>
      <w:r w:rsidRPr="001F6D73">
        <w:rPr>
          <w:bCs/>
        </w:rPr>
        <w:t xml:space="preserve">not calculated </w:t>
      </w:r>
      <w:r>
        <w:rPr>
          <w:bCs/>
        </w:rPr>
        <w:t>n</w:t>
      </w:r>
      <w:r w:rsidRPr="001F6D73">
        <w:rPr>
          <w:bCs/>
        </w:rPr>
        <w:t>or held as a quota</w:t>
      </w:r>
      <w:r>
        <w:rPr>
          <w:bCs/>
        </w:rPr>
        <w:t xml:space="preserve"> for participation</w:t>
      </w:r>
      <w:r w:rsidRPr="001F6D73">
        <w:rPr>
          <w:bCs/>
        </w:rPr>
        <w:t>.</w:t>
      </w:r>
      <w:r>
        <w:rPr>
          <w:bCs/>
        </w:rPr>
        <w:t xml:space="preserve"> </w:t>
      </w:r>
    </w:p>
    <w:p w:rsidR="00935B25" w:rsidP="00C86E91" w14:paraId="5520894A" w14:textId="77777777">
      <w:pPr>
        <w:pStyle w:val="ListParagraph"/>
        <w:ind w:left="0"/>
        <w:rPr>
          <w:bCs/>
        </w:rPr>
      </w:pPr>
    </w:p>
    <w:p w:rsidR="00935B25" w:rsidP="00935B25" w14:paraId="0010C935" w14:textId="24A74EBC">
      <w:pPr>
        <w:pStyle w:val="ListParagraph"/>
        <w:ind w:left="0"/>
        <w:rPr>
          <w:bCs/>
        </w:rPr>
      </w:pPr>
      <w:r>
        <w:rPr>
          <w:bCs/>
        </w:rPr>
        <w:t xml:space="preserve">In addition, PII (respondents’ contact information) will only be obtained by the recruiters </w:t>
      </w:r>
      <w:r>
        <w:rPr>
          <w:bCs/>
        </w:rPr>
        <w:t>in order to</w:t>
      </w:r>
      <w:r>
        <w:rPr>
          <w:bCs/>
        </w:rPr>
        <w:t xml:space="preserve"> schedule the focus group discussions. This information will not be shared with the government nor the research team conducting the data collection and analysis.  Finally, all respondent information will be anonymous and confidential, and </w:t>
      </w:r>
      <w:r w:rsidRPr="005F7600">
        <w:rPr>
          <w:bCs/>
        </w:rPr>
        <w:t>no</w:t>
      </w:r>
      <w:r>
        <w:rPr>
          <w:bCs/>
        </w:rPr>
        <w:t xml:space="preserve"> PII will be recorded or included in reporting.</w:t>
      </w:r>
    </w:p>
    <w:p w:rsidR="00187BA6" w:rsidP="00C86E91" w14:paraId="206E4E38" w14:textId="77777777">
      <w:pPr>
        <w:pStyle w:val="ListParagraph"/>
        <w:ind w:left="0"/>
        <w:rPr>
          <w:b/>
        </w:rPr>
      </w:pPr>
    </w:p>
    <w:p w:rsidR="00187BA6" w:rsidP="00C86E91" w14:paraId="42BB857F" w14:textId="77777777">
      <w:pPr>
        <w:pStyle w:val="ListParagraph"/>
        <w:ind w:left="0"/>
        <w:rPr>
          <w:b/>
        </w:rPr>
      </w:pPr>
    </w:p>
    <w:p w:rsidR="00C86E91" w:rsidRPr="00C86E91" w:rsidP="00C86E91" w14:paraId="2EFD3A18" w14:textId="77777777">
      <w:pPr>
        <w:pStyle w:val="ListParagraph"/>
        <w:ind w:left="0"/>
        <w:rPr>
          <w:b/>
        </w:rPr>
      </w:pPr>
      <w:r>
        <w:rPr>
          <w:b/>
        </w:rPr>
        <w:t>Gifts or Payments</w:t>
      </w:r>
      <w:r>
        <w:rPr>
          <w:b/>
        </w:rPr>
        <w:t>:</w:t>
      </w:r>
    </w:p>
    <w:p w:rsidR="00C86E91" w:rsidP="00C86E91" w14:paraId="43AA8635" w14:textId="459AF78A">
      <w:r>
        <w:t xml:space="preserve">Is an incentive (e.g., money or reimbursement of expenses, token of appreciation) provided to participants?  [ </w:t>
      </w:r>
      <w:r w:rsidR="00691ED7">
        <w:t>X</w:t>
      </w:r>
      <w:r>
        <w:t xml:space="preserve"> ]</w:t>
      </w:r>
      <w:r>
        <w:t xml:space="preserve"> Yes [  ] No  </w:t>
      </w:r>
    </w:p>
    <w:p w:rsidR="007C1549" w:rsidP="00C86E91" w14:paraId="489C3A30" w14:textId="77777777"/>
    <w:p w:rsidR="007C1549" w:rsidP="00C86E91" w14:paraId="0CA7C582" w14:textId="6AAA9F25">
      <w:r>
        <w:t>FNS will provide an incentive of</w:t>
      </w:r>
      <w:r w:rsidRPr="00935B25">
        <w:t xml:space="preserve"> </w:t>
      </w:r>
      <w:r w:rsidRPr="007C1549">
        <w:t>a $75 electronic gift card incentive if they qualify and successfully complete the</w:t>
      </w:r>
      <w:r>
        <w:t xml:space="preserve"> discussions. </w:t>
      </w:r>
      <w:r w:rsidR="00F73174">
        <w:t>We have utilized t</w:t>
      </w:r>
      <w:r w:rsidR="003C1AB3">
        <w:t xml:space="preserve">his </w:t>
      </w:r>
      <w:r w:rsidR="00F73174">
        <w:t>incentive level</w:t>
      </w:r>
      <w:r>
        <w:t xml:space="preserve"> </w:t>
      </w:r>
      <w:r w:rsidR="00F73174">
        <w:t xml:space="preserve">in </w:t>
      </w:r>
      <w:r>
        <w:t xml:space="preserve">previously OMB-approved qualitative research for </w:t>
      </w:r>
      <w:r w:rsidR="00147F58">
        <w:t xml:space="preserve">consumer </w:t>
      </w:r>
      <w:r w:rsidR="00C369CB">
        <w:t xml:space="preserve">studies </w:t>
      </w:r>
      <w:r w:rsidR="00F73174">
        <w:t xml:space="preserve">of other </w:t>
      </w:r>
      <w:r>
        <w:t>F</w:t>
      </w:r>
      <w:r w:rsidR="00C369CB">
        <w:t xml:space="preserve">ederal </w:t>
      </w:r>
      <w:r w:rsidR="00F73174">
        <w:t>Agencies</w:t>
      </w:r>
      <w:r w:rsidR="00C369CB">
        <w:t>.</w:t>
      </w:r>
      <w:r w:rsidRPr="007C1549">
        <w:t xml:space="preserve"> After </w:t>
      </w:r>
      <w:r w:rsidR="00FE193B">
        <w:t xml:space="preserve">the successful participation in the </w:t>
      </w:r>
      <w:r w:rsidR="006A2E84">
        <w:t>discussions</w:t>
      </w:r>
      <w:r w:rsidRPr="007C1549">
        <w:t xml:space="preserve">, </w:t>
      </w:r>
      <w:r w:rsidR="00FE193B">
        <w:t xml:space="preserve">participants </w:t>
      </w:r>
      <w:r w:rsidRPr="007C1549">
        <w:t xml:space="preserve">will receive the electronic gift cards via email </w:t>
      </w:r>
      <w:r w:rsidR="00951DA3">
        <w:t>using</w:t>
      </w:r>
      <w:r w:rsidRPr="007C1549">
        <w:t xml:space="preserve"> a digital incentive platform called </w:t>
      </w:r>
      <w:r w:rsidRPr="007C1549">
        <w:t>Rybbon</w:t>
      </w:r>
      <w:r w:rsidRPr="007C1549">
        <w:t xml:space="preserve">/BHN Rewards. The platform has data protection and security systems in place to protect </w:t>
      </w:r>
      <w:r w:rsidR="00764D7F">
        <w:t xml:space="preserve">PII. </w:t>
      </w:r>
    </w:p>
    <w:p w:rsidR="00935B25" w:rsidP="00C86E91" w14:paraId="196F8077" w14:textId="641A4881"/>
    <w:p w:rsidR="00935B25" w:rsidP="00C86E91" w14:paraId="5F5C58E0" w14:textId="519D2939">
      <w:r w:rsidRPr="000D208D">
        <w:t xml:space="preserve">Incentives have been considered a standard practice in conducting qualitative research, helping to maximize participation, manage recruitment hours, and reduce no-show rates. For </w:t>
      </w:r>
      <w:r>
        <w:t>60 minute</w:t>
      </w:r>
      <w:r w:rsidRPr="000D208D">
        <w:t xml:space="preserve"> focus groups, the incentive can be used to offset any child-care cost for harder-to-reach groups</w:t>
      </w:r>
      <w:r>
        <w:t>, even for groups that are conducted virtually.</w:t>
      </w:r>
    </w:p>
    <w:p w:rsidR="004D6E14" w14:paraId="7FEB70C6" w14:textId="77777777">
      <w:pPr>
        <w:rPr>
          <w:b/>
        </w:rPr>
      </w:pPr>
    </w:p>
    <w:p w:rsidR="00C86E91" w14:paraId="4D15726F" w14:textId="010310DA">
      <w:pPr>
        <w:rPr>
          <w:b/>
        </w:rPr>
      </w:pPr>
    </w:p>
    <w:p w:rsidR="00A21C41" w14:paraId="6DAA1E09" w14:textId="58370E5D">
      <w:pPr>
        <w:rPr>
          <w:b/>
        </w:rPr>
      </w:pPr>
    </w:p>
    <w:p w:rsidR="00A21C41" w14:paraId="532EE0F9" w14:textId="30E80783">
      <w:pPr>
        <w:rPr>
          <w:b/>
        </w:rPr>
      </w:pPr>
    </w:p>
    <w:p w:rsidR="00A21C41" w14:paraId="5074FCD6" w14:textId="2C07EC03">
      <w:pPr>
        <w:rPr>
          <w:b/>
        </w:rPr>
      </w:pPr>
    </w:p>
    <w:p w:rsidR="00A21C41" w14:paraId="46F5EDF4" w14:textId="77777777">
      <w:pPr>
        <w:rPr>
          <w:b/>
        </w:rPr>
      </w:pPr>
    </w:p>
    <w:p w:rsidR="005E714A" w:rsidP="00C86E91" w14:paraId="4AD3DB39" w14:textId="19F3652B">
      <w:r>
        <w:rPr>
          <w:b/>
        </w:rPr>
        <w:t>BURDEN HOUR</w:t>
      </w:r>
      <w:r w:rsidR="00441434">
        <w:rPr>
          <w:b/>
        </w:rPr>
        <w:t>S</w:t>
      </w:r>
      <w:r>
        <w:t xml:space="preserve"> </w:t>
      </w:r>
    </w:p>
    <w:p w:rsidR="008E1B5A" w:rsidP="00C86E91" w14:paraId="297CF232" w14:textId="77777777">
      <w:pPr>
        <w:rPr>
          <w:i/>
        </w:rPr>
      </w:pPr>
    </w:p>
    <w:tbl>
      <w:tblPr>
        <w:tblpPr w:leftFromText="180" w:rightFromText="180" w:vertAnchor="text" w:horzAnchor="margin" w:tblpY="110"/>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5"/>
        <w:gridCol w:w="2700"/>
        <w:gridCol w:w="1530"/>
        <w:gridCol w:w="1980"/>
        <w:gridCol w:w="1350"/>
      </w:tblGrid>
      <w:tr w14:paraId="727C550C" w14:textId="77777777" w:rsidTr="005F7600">
        <w:tblPrEx>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695" w:type="dxa"/>
          </w:tcPr>
          <w:p w:rsidR="008E1B5A" w:rsidRPr="0001027E" w:rsidP="00754177" w14:paraId="249331EF" w14:textId="77777777">
            <w:pPr>
              <w:rPr>
                <w:b/>
              </w:rPr>
            </w:pPr>
            <w:r w:rsidRPr="0001027E">
              <w:rPr>
                <w:b/>
              </w:rPr>
              <w:t xml:space="preserve">Category of Respondent </w:t>
            </w:r>
          </w:p>
        </w:tc>
        <w:tc>
          <w:tcPr>
            <w:tcW w:w="2700" w:type="dxa"/>
          </w:tcPr>
          <w:p w:rsidR="008E1B5A" w:rsidRPr="0001027E" w:rsidP="00754177" w14:paraId="3DEF6109" w14:textId="77777777">
            <w:pPr>
              <w:rPr>
                <w:b/>
              </w:rPr>
            </w:pPr>
            <w:r>
              <w:rPr>
                <w:b/>
              </w:rPr>
              <w:t>Activity</w:t>
            </w:r>
          </w:p>
        </w:tc>
        <w:tc>
          <w:tcPr>
            <w:tcW w:w="1530" w:type="dxa"/>
          </w:tcPr>
          <w:p w:rsidR="008E1B5A" w:rsidRPr="0001027E" w:rsidP="00754177" w14:paraId="236A6D7D" w14:textId="77777777">
            <w:pPr>
              <w:rPr>
                <w:b/>
              </w:rPr>
            </w:pPr>
            <w:r w:rsidRPr="0001027E">
              <w:rPr>
                <w:b/>
              </w:rPr>
              <w:t>No. of Respondents</w:t>
            </w:r>
          </w:p>
        </w:tc>
        <w:tc>
          <w:tcPr>
            <w:tcW w:w="1980" w:type="dxa"/>
          </w:tcPr>
          <w:p w:rsidR="008E1B5A" w:rsidRPr="0001027E" w:rsidP="00754177" w14:paraId="44F7185F" w14:textId="0AF6E512">
            <w:pPr>
              <w:rPr>
                <w:b/>
              </w:rPr>
            </w:pPr>
            <w:r w:rsidRPr="0001027E">
              <w:rPr>
                <w:b/>
              </w:rPr>
              <w:t>Participation Time</w:t>
            </w:r>
            <w:r w:rsidR="005E09A5">
              <w:rPr>
                <w:b/>
              </w:rPr>
              <w:t xml:space="preserve"> (in hours)</w:t>
            </w:r>
          </w:p>
        </w:tc>
        <w:tc>
          <w:tcPr>
            <w:tcW w:w="1350" w:type="dxa"/>
          </w:tcPr>
          <w:p w:rsidR="008E1B5A" w:rsidP="00754177" w14:paraId="6A26A34A" w14:textId="77777777">
            <w:pPr>
              <w:rPr>
                <w:b/>
              </w:rPr>
            </w:pPr>
            <w:r w:rsidRPr="0001027E">
              <w:rPr>
                <w:b/>
              </w:rPr>
              <w:t>Burden</w:t>
            </w:r>
          </w:p>
          <w:p w:rsidR="004230EC" w:rsidRPr="0001027E" w:rsidP="00754177" w14:paraId="566EC4AF" w14:textId="646BF2D0">
            <w:pPr>
              <w:rPr>
                <w:b/>
              </w:rPr>
            </w:pPr>
            <w:r>
              <w:rPr>
                <w:b/>
              </w:rPr>
              <w:t>Hours</w:t>
            </w:r>
          </w:p>
        </w:tc>
      </w:tr>
      <w:tr w14:paraId="0E642D5A" w14:textId="77777777" w:rsidTr="005F7600">
        <w:tblPrEx>
          <w:tblW w:w="10255" w:type="dxa"/>
          <w:tblLayout w:type="fixed"/>
          <w:tblLook w:val="01E0"/>
        </w:tblPrEx>
        <w:trPr>
          <w:trHeight w:val="274"/>
        </w:trPr>
        <w:tc>
          <w:tcPr>
            <w:tcW w:w="10255" w:type="dxa"/>
            <w:gridSpan w:val="5"/>
          </w:tcPr>
          <w:p w:rsidR="00335316" w:rsidRPr="00335316" w:rsidP="00754177" w14:paraId="5A6922AD" w14:textId="54149A34">
            <w:pPr>
              <w:rPr>
                <w:b/>
              </w:rPr>
            </w:pPr>
            <w:r w:rsidRPr="00335316">
              <w:rPr>
                <w:b/>
              </w:rPr>
              <w:t>Recruiting Email/ Text Message (Attachment A)</w:t>
            </w:r>
          </w:p>
        </w:tc>
      </w:tr>
      <w:tr w14:paraId="66CEBDB5" w14:textId="77777777" w:rsidTr="005F7600">
        <w:tblPrEx>
          <w:tblW w:w="10255" w:type="dxa"/>
          <w:tblLayout w:type="fixed"/>
          <w:tblLook w:val="01E0"/>
        </w:tblPrEx>
        <w:trPr>
          <w:trHeight w:val="274"/>
        </w:trPr>
        <w:tc>
          <w:tcPr>
            <w:tcW w:w="2695" w:type="dxa"/>
          </w:tcPr>
          <w:p w:rsidR="008E1B5A" w:rsidRPr="005638EB" w:rsidP="005F7600" w14:paraId="26D7A7A5" w14:textId="240084F2">
            <w:r>
              <w:t xml:space="preserve"> </w:t>
            </w:r>
            <w:r w:rsidRPr="005638EB">
              <w:t>Individuals</w:t>
            </w:r>
            <w:r w:rsidR="00335316">
              <w:t xml:space="preserve"> </w:t>
            </w:r>
            <w:r>
              <w:t xml:space="preserve">   </w:t>
            </w:r>
            <w:r>
              <w:t xml:space="preserve">   </w:t>
            </w:r>
            <w:r w:rsidR="00335316">
              <w:t>(</w:t>
            </w:r>
            <w:r w:rsidR="00335316">
              <w:t>Respondents)</w:t>
            </w:r>
          </w:p>
        </w:tc>
        <w:tc>
          <w:tcPr>
            <w:tcW w:w="2700" w:type="dxa"/>
          </w:tcPr>
          <w:p w:rsidR="008E1B5A" w:rsidP="00754177" w14:paraId="3A472934" w14:textId="77777777">
            <w:r>
              <w:t>Reading/Responding to   E-mail/Text Message</w:t>
            </w:r>
          </w:p>
        </w:tc>
        <w:tc>
          <w:tcPr>
            <w:tcW w:w="1530" w:type="dxa"/>
          </w:tcPr>
          <w:p w:rsidR="008E1B5A" w:rsidP="005F7600" w14:paraId="57047593" w14:textId="2117E911">
            <w:r>
              <w:t>100</w:t>
            </w:r>
            <w:r>
              <w:t xml:space="preserve"> </w:t>
            </w:r>
          </w:p>
        </w:tc>
        <w:tc>
          <w:tcPr>
            <w:tcW w:w="1980" w:type="dxa"/>
          </w:tcPr>
          <w:p w:rsidR="008E1B5A" w:rsidP="005F7600" w14:paraId="611F5F64" w14:textId="2EDA1510">
            <w:r>
              <w:t>.</w:t>
            </w:r>
            <w:r w:rsidR="00E56CE6">
              <w:t>083</w:t>
            </w:r>
            <w:r w:rsidR="00E80A0E">
              <w:t xml:space="preserve"> </w:t>
            </w:r>
            <w:r w:rsidR="00E80A0E">
              <w:t>hrs</w:t>
            </w:r>
          </w:p>
        </w:tc>
        <w:tc>
          <w:tcPr>
            <w:tcW w:w="1350" w:type="dxa"/>
          </w:tcPr>
          <w:p w:rsidR="008E1B5A" w:rsidP="00754177" w14:paraId="0B9B7B1D" w14:textId="26C58F5D">
            <w:r>
              <w:t>8.3</w:t>
            </w:r>
            <w:r w:rsidR="00754177">
              <w:t xml:space="preserve"> </w:t>
            </w:r>
            <w:r>
              <w:t>hrs</w:t>
            </w:r>
          </w:p>
        </w:tc>
      </w:tr>
      <w:tr w14:paraId="342DD07C" w14:textId="77777777" w:rsidTr="005F7600">
        <w:tblPrEx>
          <w:tblW w:w="10255" w:type="dxa"/>
          <w:tblLayout w:type="fixed"/>
          <w:tblLook w:val="01E0"/>
        </w:tblPrEx>
        <w:trPr>
          <w:trHeight w:val="418"/>
        </w:trPr>
        <w:tc>
          <w:tcPr>
            <w:tcW w:w="2695" w:type="dxa"/>
          </w:tcPr>
          <w:p w:rsidR="00335316" w:rsidP="00754177" w14:paraId="0DA00BE7" w14:textId="3724FFA4">
            <w:r>
              <w:t>Individuals (Non-Respondents)</w:t>
            </w:r>
          </w:p>
        </w:tc>
        <w:tc>
          <w:tcPr>
            <w:tcW w:w="2700" w:type="dxa"/>
          </w:tcPr>
          <w:p w:rsidR="00335316" w:rsidP="005F7600" w14:paraId="4FF5447B" w14:textId="3B1FDCD3">
            <w:r>
              <w:t>Reading E-mail/Text Message</w:t>
            </w:r>
          </w:p>
        </w:tc>
        <w:tc>
          <w:tcPr>
            <w:tcW w:w="1530" w:type="dxa"/>
          </w:tcPr>
          <w:p w:rsidR="00335316" w:rsidP="00754177" w14:paraId="521EBBE5" w14:textId="2386E8D1">
            <w:r>
              <w:t>4,900</w:t>
            </w:r>
          </w:p>
        </w:tc>
        <w:tc>
          <w:tcPr>
            <w:tcW w:w="1980" w:type="dxa"/>
          </w:tcPr>
          <w:p w:rsidR="00335316" w:rsidP="00754177" w14:paraId="001B1F5B" w14:textId="3CB424CB">
            <w:r>
              <w:t>.0</w:t>
            </w:r>
            <w:r w:rsidR="005E09A5">
              <w:t>83</w:t>
            </w:r>
            <w:r w:rsidR="00E80A0E">
              <w:t xml:space="preserve"> </w:t>
            </w:r>
            <w:r w:rsidR="00E80A0E">
              <w:t>hrs</w:t>
            </w:r>
          </w:p>
        </w:tc>
        <w:tc>
          <w:tcPr>
            <w:tcW w:w="1350" w:type="dxa"/>
          </w:tcPr>
          <w:p w:rsidR="00335316" w:rsidP="00754177" w14:paraId="7F9FE554" w14:textId="74A774E9">
            <w:r>
              <w:t>406.7</w:t>
            </w:r>
            <w:r w:rsidR="00E80A0E">
              <w:t xml:space="preserve"> </w:t>
            </w:r>
            <w:r w:rsidR="00E80A0E">
              <w:t>hrs</w:t>
            </w:r>
          </w:p>
        </w:tc>
      </w:tr>
      <w:tr w14:paraId="1639CD20" w14:textId="77777777" w:rsidTr="005F7600">
        <w:tblPrEx>
          <w:tblW w:w="10255" w:type="dxa"/>
          <w:tblLayout w:type="fixed"/>
          <w:tblLook w:val="01E0"/>
        </w:tblPrEx>
        <w:trPr>
          <w:trHeight w:val="274"/>
        </w:trPr>
        <w:tc>
          <w:tcPr>
            <w:tcW w:w="10255" w:type="dxa"/>
            <w:gridSpan w:val="5"/>
          </w:tcPr>
          <w:p w:rsidR="00335316" w:rsidRPr="005F7600" w:rsidP="00754177" w14:paraId="0C7C4398" w14:textId="0A3D0B1A">
            <w:pPr>
              <w:rPr>
                <w:b/>
              </w:rPr>
            </w:pPr>
            <w:r w:rsidRPr="005F7600">
              <w:rPr>
                <w:b/>
              </w:rPr>
              <w:t xml:space="preserve">Screening Questions (Attachment B) </w:t>
            </w:r>
          </w:p>
        </w:tc>
      </w:tr>
      <w:tr w14:paraId="6343E74D" w14:textId="77777777" w:rsidTr="005F7600">
        <w:tblPrEx>
          <w:tblW w:w="10255" w:type="dxa"/>
          <w:tblLayout w:type="fixed"/>
          <w:tblLook w:val="01E0"/>
        </w:tblPrEx>
        <w:trPr>
          <w:trHeight w:val="274"/>
        </w:trPr>
        <w:tc>
          <w:tcPr>
            <w:tcW w:w="2695" w:type="dxa"/>
          </w:tcPr>
          <w:p w:rsidR="008E1B5A" w:rsidP="00754177" w14:paraId="1F4FC2E3" w14:textId="69BC0D0F">
            <w:r>
              <w:t>Individuals (Respondents)</w:t>
            </w:r>
          </w:p>
        </w:tc>
        <w:tc>
          <w:tcPr>
            <w:tcW w:w="2700" w:type="dxa"/>
          </w:tcPr>
          <w:p w:rsidR="008E1B5A" w:rsidP="00754177" w14:paraId="51F43A08" w14:textId="6E4DE7CA">
            <w:r>
              <w:t>Completing screener questions</w:t>
            </w:r>
            <w:r>
              <w:t xml:space="preserve"> </w:t>
            </w:r>
          </w:p>
        </w:tc>
        <w:tc>
          <w:tcPr>
            <w:tcW w:w="1530" w:type="dxa"/>
          </w:tcPr>
          <w:p w:rsidR="008E1B5A" w:rsidP="00754177" w14:paraId="21632E42" w14:textId="3DC22D70">
            <w:r>
              <w:t>50</w:t>
            </w:r>
          </w:p>
        </w:tc>
        <w:tc>
          <w:tcPr>
            <w:tcW w:w="1980" w:type="dxa"/>
          </w:tcPr>
          <w:p w:rsidR="008E1B5A" w:rsidP="005F7600" w14:paraId="74F25C49" w14:textId="5D5601AB">
            <w:r>
              <w:t>.08</w:t>
            </w:r>
            <w:r w:rsidR="005E09A5">
              <w:t>3</w:t>
            </w:r>
            <w:r>
              <w:t xml:space="preserve"> </w:t>
            </w:r>
            <w:r>
              <w:t>hrs</w:t>
            </w:r>
          </w:p>
        </w:tc>
        <w:tc>
          <w:tcPr>
            <w:tcW w:w="1350" w:type="dxa"/>
          </w:tcPr>
          <w:p w:rsidR="008E1B5A" w:rsidP="00754177" w14:paraId="10CB5336" w14:textId="478AF11C">
            <w:r>
              <w:t>4</w:t>
            </w:r>
            <w:r w:rsidR="005E09A5">
              <w:t>.15</w:t>
            </w:r>
            <w:r w:rsidR="00E80A0E">
              <w:t xml:space="preserve"> </w:t>
            </w:r>
            <w:r w:rsidR="00E80A0E">
              <w:t>hrs</w:t>
            </w:r>
            <w:r w:rsidR="00E80A0E">
              <w:t xml:space="preserve"> </w:t>
            </w:r>
          </w:p>
        </w:tc>
      </w:tr>
      <w:tr w14:paraId="37C000CD" w14:textId="77777777" w:rsidTr="005F7600">
        <w:tblPrEx>
          <w:tblW w:w="10255" w:type="dxa"/>
          <w:tblLayout w:type="fixed"/>
          <w:tblLook w:val="01E0"/>
        </w:tblPrEx>
        <w:trPr>
          <w:trHeight w:val="274"/>
        </w:trPr>
        <w:tc>
          <w:tcPr>
            <w:tcW w:w="2695" w:type="dxa"/>
          </w:tcPr>
          <w:p w:rsidR="00754177" w:rsidRPr="005F7600" w:rsidP="00754177" w14:paraId="47C5A93D" w14:textId="2E248DF5">
            <w:r w:rsidRPr="005F7600">
              <w:t>Individuals (Non-Respondents)</w:t>
            </w:r>
          </w:p>
        </w:tc>
        <w:tc>
          <w:tcPr>
            <w:tcW w:w="2700" w:type="dxa"/>
          </w:tcPr>
          <w:p w:rsidR="00754177" w:rsidP="00754177" w14:paraId="04FA5B83" w14:textId="5A473F2C">
            <w:r>
              <w:t>Completing screener questions</w:t>
            </w:r>
          </w:p>
        </w:tc>
        <w:tc>
          <w:tcPr>
            <w:tcW w:w="1530" w:type="dxa"/>
          </w:tcPr>
          <w:p w:rsidR="00754177" w:rsidP="00754177" w14:paraId="1395559C" w14:textId="454F4877">
            <w:r>
              <w:t>50</w:t>
            </w:r>
          </w:p>
        </w:tc>
        <w:tc>
          <w:tcPr>
            <w:tcW w:w="1980" w:type="dxa"/>
          </w:tcPr>
          <w:p w:rsidR="00754177" w:rsidP="00E80A0E" w14:paraId="6301EACE" w14:textId="59C6EA6E">
            <w:r>
              <w:t>.08</w:t>
            </w:r>
            <w:r w:rsidR="005E09A5">
              <w:t>3</w:t>
            </w:r>
            <w:r>
              <w:t xml:space="preserve"> </w:t>
            </w:r>
            <w:r>
              <w:t>hrs</w:t>
            </w:r>
          </w:p>
        </w:tc>
        <w:tc>
          <w:tcPr>
            <w:tcW w:w="1350" w:type="dxa"/>
          </w:tcPr>
          <w:p w:rsidR="00754177" w:rsidP="00754177" w14:paraId="5B99D652" w14:textId="6928C5F7">
            <w:r>
              <w:t>4</w:t>
            </w:r>
            <w:r w:rsidR="005E09A5">
              <w:t>.15</w:t>
            </w:r>
            <w:r>
              <w:t xml:space="preserve"> </w:t>
            </w:r>
            <w:r>
              <w:t>hrs</w:t>
            </w:r>
          </w:p>
        </w:tc>
      </w:tr>
      <w:tr w14:paraId="04691ACB" w14:textId="77777777" w:rsidTr="005F7600">
        <w:tblPrEx>
          <w:tblW w:w="10255" w:type="dxa"/>
          <w:tblLayout w:type="fixed"/>
          <w:tblLook w:val="01E0"/>
        </w:tblPrEx>
        <w:trPr>
          <w:trHeight w:val="274"/>
        </w:trPr>
        <w:tc>
          <w:tcPr>
            <w:tcW w:w="2695" w:type="dxa"/>
          </w:tcPr>
          <w:p w:rsidR="00862679" w:rsidP="00862679" w14:paraId="7ECBCC85" w14:textId="10415743">
            <w:r>
              <w:t xml:space="preserve">Individuals </w:t>
            </w:r>
          </w:p>
        </w:tc>
        <w:tc>
          <w:tcPr>
            <w:tcW w:w="2700" w:type="dxa"/>
          </w:tcPr>
          <w:p w:rsidR="00862679" w:rsidP="005F7600" w14:paraId="6B71F743" w14:textId="0F8EDBAF">
            <w:r>
              <w:t>Confirm</w:t>
            </w:r>
            <w:r w:rsidR="00754177">
              <w:t>ations</w:t>
            </w:r>
          </w:p>
        </w:tc>
        <w:tc>
          <w:tcPr>
            <w:tcW w:w="1530" w:type="dxa"/>
          </w:tcPr>
          <w:p w:rsidR="00862679" w:rsidP="00862679" w14:paraId="0E27BA4E" w14:textId="431C3EFF">
            <w:r>
              <w:t>50</w:t>
            </w:r>
          </w:p>
        </w:tc>
        <w:tc>
          <w:tcPr>
            <w:tcW w:w="1980" w:type="dxa"/>
          </w:tcPr>
          <w:p w:rsidR="00862679" w:rsidP="00862679" w14:paraId="25230AA5" w14:textId="1C7A04A3">
            <w:r>
              <w:t xml:space="preserve">.05 </w:t>
            </w:r>
            <w:r>
              <w:t>hrs</w:t>
            </w:r>
          </w:p>
        </w:tc>
        <w:tc>
          <w:tcPr>
            <w:tcW w:w="1350" w:type="dxa"/>
          </w:tcPr>
          <w:p w:rsidR="00862679" w:rsidP="00862679" w14:paraId="4C5C1A48" w14:textId="30AE2E3A">
            <w:r>
              <w:t>2.5</w:t>
            </w:r>
            <w:r w:rsidR="00FE5D28">
              <w:t xml:space="preserve"> </w:t>
            </w:r>
            <w:r w:rsidR="00FE5D28">
              <w:t>hrs</w:t>
            </w:r>
          </w:p>
        </w:tc>
      </w:tr>
      <w:tr w14:paraId="5A3B199C" w14:textId="77777777" w:rsidTr="005F7600">
        <w:tblPrEx>
          <w:tblW w:w="10255" w:type="dxa"/>
          <w:tblLayout w:type="fixed"/>
          <w:tblLook w:val="01E0"/>
        </w:tblPrEx>
        <w:trPr>
          <w:trHeight w:val="274"/>
        </w:trPr>
        <w:tc>
          <w:tcPr>
            <w:tcW w:w="10255" w:type="dxa"/>
            <w:gridSpan w:val="5"/>
          </w:tcPr>
          <w:p w:rsidR="00FE5D28" w:rsidRPr="005F7600" w:rsidP="00862679" w14:paraId="69F0E982" w14:textId="0AE5CE2C">
            <w:pPr>
              <w:rPr>
                <w:b/>
              </w:rPr>
            </w:pPr>
            <w:r w:rsidRPr="005F7600">
              <w:rPr>
                <w:b/>
              </w:rPr>
              <w:t>Individuals Consent Forms (Attachment C)</w:t>
            </w:r>
          </w:p>
        </w:tc>
      </w:tr>
      <w:tr w14:paraId="2B711593" w14:textId="77777777" w:rsidTr="005F7600">
        <w:tblPrEx>
          <w:tblW w:w="10255" w:type="dxa"/>
          <w:tblLayout w:type="fixed"/>
          <w:tblLook w:val="01E0"/>
        </w:tblPrEx>
        <w:trPr>
          <w:trHeight w:val="274"/>
        </w:trPr>
        <w:tc>
          <w:tcPr>
            <w:tcW w:w="2695" w:type="dxa"/>
          </w:tcPr>
          <w:p w:rsidR="00862679" w:rsidP="00862679" w14:paraId="454BD3A1" w14:textId="3701CF4F">
            <w:r>
              <w:t>Individuals</w:t>
            </w:r>
          </w:p>
        </w:tc>
        <w:tc>
          <w:tcPr>
            <w:tcW w:w="2700" w:type="dxa"/>
          </w:tcPr>
          <w:p w:rsidR="00862679" w:rsidP="00862679" w14:paraId="0902A574" w14:textId="714316B7">
            <w:r>
              <w:t>Reading/signing Consent Form</w:t>
            </w:r>
          </w:p>
        </w:tc>
        <w:tc>
          <w:tcPr>
            <w:tcW w:w="1530" w:type="dxa"/>
          </w:tcPr>
          <w:p w:rsidR="00862679" w:rsidP="00862679" w14:paraId="4591FE13" w14:textId="35CB58DA">
            <w:r>
              <w:t>24</w:t>
            </w:r>
          </w:p>
        </w:tc>
        <w:tc>
          <w:tcPr>
            <w:tcW w:w="1980" w:type="dxa"/>
          </w:tcPr>
          <w:p w:rsidR="00862679" w:rsidP="005F7600" w14:paraId="0CCCFBD1" w14:textId="38509FE8">
            <w:r>
              <w:t>.08</w:t>
            </w:r>
            <w:r w:rsidR="005E09A5">
              <w:t>3</w:t>
            </w:r>
            <w:r>
              <w:t xml:space="preserve"> </w:t>
            </w:r>
            <w:r>
              <w:t>hrs</w:t>
            </w:r>
          </w:p>
        </w:tc>
        <w:tc>
          <w:tcPr>
            <w:tcW w:w="1350" w:type="dxa"/>
          </w:tcPr>
          <w:p w:rsidR="00862679" w:rsidP="005F7600" w14:paraId="2EE53D65" w14:textId="679EF52B">
            <w:r>
              <w:t>1.99</w:t>
            </w:r>
            <w:r>
              <w:t xml:space="preserve"> </w:t>
            </w:r>
            <w:r w:rsidR="00FE5D28">
              <w:t>hrs</w:t>
            </w:r>
          </w:p>
        </w:tc>
      </w:tr>
      <w:tr w14:paraId="577A9B9E" w14:textId="77777777" w:rsidTr="005F7600">
        <w:tblPrEx>
          <w:tblW w:w="10255" w:type="dxa"/>
          <w:tblLayout w:type="fixed"/>
          <w:tblLook w:val="01E0"/>
        </w:tblPrEx>
        <w:trPr>
          <w:trHeight w:val="274"/>
        </w:trPr>
        <w:tc>
          <w:tcPr>
            <w:tcW w:w="10255" w:type="dxa"/>
            <w:gridSpan w:val="5"/>
          </w:tcPr>
          <w:p w:rsidR="00754177" w:rsidRPr="005F7600" w:rsidP="00FE5D28" w14:paraId="64421DB5" w14:textId="091D0A21">
            <w:pPr>
              <w:rPr>
                <w:b/>
              </w:rPr>
            </w:pPr>
            <w:r w:rsidRPr="005F7600">
              <w:rPr>
                <w:b/>
              </w:rPr>
              <w:t>Focus Group Participation Discussion Guide (Attachment D)</w:t>
            </w:r>
          </w:p>
        </w:tc>
      </w:tr>
      <w:tr w14:paraId="3F1CFD84" w14:textId="77777777" w:rsidTr="005F7600">
        <w:tblPrEx>
          <w:tblW w:w="10255" w:type="dxa"/>
          <w:tblLayout w:type="fixed"/>
          <w:tblLook w:val="01E0"/>
        </w:tblPrEx>
        <w:trPr>
          <w:trHeight w:val="274"/>
        </w:trPr>
        <w:tc>
          <w:tcPr>
            <w:tcW w:w="2695" w:type="dxa"/>
          </w:tcPr>
          <w:p w:rsidR="00862679" w:rsidP="00862679" w14:paraId="3F0D6704" w14:textId="77777777">
            <w:r>
              <w:t>Individuals</w:t>
            </w:r>
          </w:p>
        </w:tc>
        <w:tc>
          <w:tcPr>
            <w:tcW w:w="2700" w:type="dxa"/>
          </w:tcPr>
          <w:p w:rsidR="00862679" w:rsidP="00862679" w14:paraId="0035C977" w14:textId="77777777">
            <w:r>
              <w:t>Participation in focus group</w:t>
            </w:r>
          </w:p>
        </w:tc>
        <w:tc>
          <w:tcPr>
            <w:tcW w:w="1530" w:type="dxa"/>
          </w:tcPr>
          <w:p w:rsidR="00862679" w:rsidP="00862679" w14:paraId="2A7E98DF" w14:textId="77777777">
            <w:r>
              <w:t>24</w:t>
            </w:r>
          </w:p>
        </w:tc>
        <w:tc>
          <w:tcPr>
            <w:tcW w:w="1980" w:type="dxa"/>
          </w:tcPr>
          <w:p w:rsidR="00862679" w:rsidP="00862679" w14:paraId="55BB7728" w14:textId="58306350">
            <w:r>
              <w:t xml:space="preserve">1.3 </w:t>
            </w:r>
            <w:r>
              <w:t>hrs</w:t>
            </w:r>
            <w:r>
              <w:t>*</w:t>
            </w:r>
          </w:p>
        </w:tc>
        <w:tc>
          <w:tcPr>
            <w:tcW w:w="1350" w:type="dxa"/>
          </w:tcPr>
          <w:p w:rsidR="00862679" w:rsidP="005F7600" w14:paraId="13D72116" w14:textId="7821DC2C">
            <w:r>
              <w:t>3</w:t>
            </w:r>
            <w:r w:rsidR="005E09A5">
              <w:t>1.2</w:t>
            </w:r>
            <w:r>
              <w:t xml:space="preserve"> </w:t>
            </w:r>
            <w:r w:rsidR="00754177">
              <w:t>hrs</w:t>
            </w:r>
          </w:p>
        </w:tc>
      </w:tr>
      <w:tr w14:paraId="6843B220" w14:textId="77777777" w:rsidTr="005F7600">
        <w:tblPrEx>
          <w:tblW w:w="10255" w:type="dxa"/>
          <w:tblLayout w:type="fixed"/>
          <w:tblLook w:val="01E0"/>
        </w:tblPrEx>
        <w:trPr>
          <w:trHeight w:val="289"/>
        </w:trPr>
        <w:tc>
          <w:tcPr>
            <w:tcW w:w="2695" w:type="dxa"/>
          </w:tcPr>
          <w:p w:rsidR="00862679" w:rsidRPr="0001027E" w:rsidP="00862679" w14:paraId="56369774" w14:textId="77777777">
            <w:pPr>
              <w:rPr>
                <w:b/>
              </w:rPr>
            </w:pPr>
            <w:r w:rsidRPr="0001027E">
              <w:rPr>
                <w:b/>
              </w:rPr>
              <w:t>Totals</w:t>
            </w:r>
          </w:p>
        </w:tc>
        <w:tc>
          <w:tcPr>
            <w:tcW w:w="2700" w:type="dxa"/>
          </w:tcPr>
          <w:p w:rsidR="00862679" w:rsidP="00862679" w14:paraId="075D2991" w14:textId="77777777">
            <w:pPr>
              <w:rPr>
                <w:b/>
              </w:rPr>
            </w:pPr>
          </w:p>
        </w:tc>
        <w:tc>
          <w:tcPr>
            <w:tcW w:w="1530" w:type="dxa"/>
          </w:tcPr>
          <w:p w:rsidR="00862679" w:rsidRPr="0001027E" w:rsidP="00862679" w14:paraId="1C104CC9" w14:textId="460877C0">
            <w:pPr>
              <w:rPr>
                <w:b/>
              </w:rPr>
            </w:pPr>
            <w:r>
              <w:rPr>
                <w:b/>
              </w:rPr>
              <w:t>5,</w:t>
            </w:r>
            <w:r w:rsidR="00754177">
              <w:rPr>
                <w:b/>
              </w:rPr>
              <w:t>000</w:t>
            </w:r>
          </w:p>
        </w:tc>
        <w:tc>
          <w:tcPr>
            <w:tcW w:w="1980" w:type="dxa"/>
          </w:tcPr>
          <w:p w:rsidR="00862679" w:rsidP="00862679" w14:paraId="385E7BD5" w14:textId="4DE6CCA7"/>
        </w:tc>
        <w:tc>
          <w:tcPr>
            <w:tcW w:w="1350" w:type="dxa"/>
          </w:tcPr>
          <w:p w:rsidR="00862679" w:rsidRPr="0001027E" w:rsidP="005F7600" w14:paraId="1BC178CB" w14:textId="0F7832D7">
            <w:pPr>
              <w:rPr>
                <w:b/>
              </w:rPr>
            </w:pPr>
            <w:r>
              <w:rPr>
                <w:b/>
              </w:rPr>
              <w:t>458.9</w:t>
            </w:r>
            <w:r w:rsidR="005E09A5">
              <w:rPr>
                <w:b/>
              </w:rPr>
              <w:t>9</w:t>
            </w:r>
            <w:r>
              <w:rPr>
                <w:b/>
              </w:rPr>
              <w:t xml:space="preserve"> </w:t>
            </w:r>
            <w:r w:rsidR="00754177">
              <w:rPr>
                <w:b/>
              </w:rPr>
              <w:t>hrs</w:t>
            </w:r>
          </w:p>
        </w:tc>
      </w:tr>
    </w:tbl>
    <w:p w:rsidR="006832D9" w:rsidRPr="006832D9" w:rsidP="00F3170F" w14:paraId="3C8DFDD0" w14:textId="77777777">
      <w:pPr>
        <w:keepNext/>
        <w:keepLines/>
        <w:rPr>
          <w:b/>
        </w:rPr>
      </w:pPr>
    </w:p>
    <w:p w:rsidR="00F3170F" w:rsidRPr="005F7600" w:rsidP="00F3170F" w14:paraId="7EF0A6D0" w14:textId="3F8C726E">
      <w:pPr>
        <w:rPr>
          <w:sz w:val="22"/>
        </w:rPr>
      </w:pPr>
      <w:r w:rsidRPr="005F7600">
        <w:rPr>
          <w:sz w:val="22"/>
        </w:rPr>
        <w:t xml:space="preserve">*NOTE: the data collection will take 60 minutes, but respondents will need an additional 20 minutes for the technology check and to ensure they can log into the online interface. </w:t>
      </w:r>
    </w:p>
    <w:p w:rsidR="003F46A8" w:rsidP="00F3170F" w14:paraId="3EED487B" w14:textId="29297E51"/>
    <w:p w:rsidR="003F46A8" w:rsidP="00F3170F" w14:paraId="37DFA226" w14:textId="0EE090C6"/>
    <w:p w:rsidR="00754177" w:rsidP="00754177" w14:paraId="10DCB671" w14:textId="61CC1A96">
      <w:pPr>
        <w:spacing w:before="100" w:beforeAutospacing="1" w:after="100" w:afterAutospacing="1"/>
      </w:pPr>
      <w:r>
        <w:t xml:space="preserve">A total of 5,000 individuals will be contacted </w:t>
      </w:r>
      <w:r>
        <w:t>in order to</w:t>
      </w:r>
      <w:r>
        <w:t xml:space="preserve"> conduct research among 24 individuals. The 4,900 non-respondents are participants who</w:t>
      </w:r>
      <w:r w:rsidR="00AE0289">
        <w:t xml:space="preserve"> will</w:t>
      </w:r>
      <w:r w:rsidR="005E09A5">
        <w:t xml:space="preserve"> read the recruitment message but</w:t>
      </w:r>
      <w:r>
        <w:t xml:space="preserve"> choose not to </w:t>
      </w:r>
      <w:r w:rsidR="005E09A5">
        <w:t>respond</w:t>
      </w:r>
      <w:r>
        <w:t xml:space="preserve">. The remaining </w:t>
      </w:r>
      <w:r w:rsidR="005E09A5">
        <w:t>1</w:t>
      </w:r>
      <w:r>
        <w:t xml:space="preserve">00 individuals will </w:t>
      </w:r>
      <w:r w:rsidR="005E09A5">
        <w:t>re</w:t>
      </w:r>
      <w:r w:rsidR="00B27DA9">
        <w:t>spond to the screener questions.</w:t>
      </w:r>
      <w:r w:rsidR="005E09A5">
        <w:t xml:space="preserve"> </w:t>
      </w:r>
      <w:r w:rsidR="00B27DA9">
        <w:t>Fifty (50)</w:t>
      </w:r>
      <w:r w:rsidR="005E09A5">
        <w:t xml:space="preserve"> of </w:t>
      </w:r>
      <w:r w:rsidR="00B27DA9">
        <w:t xml:space="preserve">those </w:t>
      </w:r>
      <w:r w:rsidR="005E09A5">
        <w:t xml:space="preserve">individuals will not fully complete the screener questions or will not qualify. The remaining 50 will </w:t>
      </w:r>
      <w:r>
        <w:t xml:space="preserve">be confirmed for the focus groups (i.e., meet recruitment criteria). Of the </w:t>
      </w:r>
      <w:r w:rsidR="005E09A5">
        <w:t>50</w:t>
      </w:r>
      <w:r>
        <w:t xml:space="preserve"> individuals confirmed for the focus groups, we will </w:t>
      </w:r>
      <w:r w:rsidR="005E09A5">
        <w:t xml:space="preserve">conduct 4 focus groups and </w:t>
      </w:r>
      <w:r>
        <w:t>seat 6 per group</w:t>
      </w:r>
      <w:r w:rsidR="005E09A5">
        <w:t>,</w:t>
      </w:r>
      <w:r>
        <w:t xml:space="preserve"> for a total of </w:t>
      </w:r>
      <w:r w:rsidR="005E09A5">
        <w:t>24</w:t>
      </w:r>
      <w:r>
        <w:t xml:space="preserve"> focus group respondents. </w:t>
      </w:r>
      <w:r w:rsidR="00B27DA9">
        <w:t>The focus group will use the designed discussion guide to lead the conversation, for a total of 60 minutes. An additional 20 minutes was added to account for logging in to the virtual meeting.</w:t>
      </w:r>
    </w:p>
    <w:p w:rsidR="00754177" w:rsidP="00754177" w14:paraId="7E4FC398" w14:textId="74BF040E">
      <w:pPr>
        <w:spacing w:before="100" w:beforeAutospacing="1" w:after="100" w:afterAutospacing="1"/>
      </w:pPr>
      <w:bookmarkStart w:id="0" w:name="_Hlk130828477"/>
      <w:r>
        <w:t>The estimate of respondent cost is based on the burden estimates and utilizes the U.S. Department of Labor, Bure</w:t>
      </w:r>
      <w:r w:rsidR="00B27DA9">
        <w:t>au of Labor Statistics, May 2022</w:t>
      </w:r>
      <w:r>
        <w:t xml:space="preserve"> National Occupational and Wage Statistics, All Occupations (00-0000) (http://www.bls.gov/oes/current/oes_nat.htm). The hourly mean wage for functions performed by re</w:t>
      </w:r>
      <w:r w:rsidR="00B27DA9">
        <w:t>spondents is estimated at $29.76</w:t>
      </w:r>
      <w:r>
        <w:t xml:space="preserve"> </w:t>
      </w:r>
      <w:r w:rsidR="00B27DA9">
        <w:t>per hour. With a burden of 4</w:t>
      </w:r>
      <w:r w:rsidR="00E56CE6">
        <w:t>58.9</w:t>
      </w:r>
      <w:r w:rsidR="00B27DA9">
        <w:t>9 hours at $29.76</w:t>
      </w:r>
      <w:r>
        <w:t xml:space="preserve"> per hour, the base annual respondent c</w:t>
      </w:r>
      <w:r w:rsidR="00B27DA9">
        <w:t>ost is estimated at $</w:t>
      </w:r>
      <w:r w:rsidR="00E56CE6">
        <w:t>13,659.54</w:t>
      </w:r>
      <w:r>
        <w:t xml:space="preserve">. An additional 33% of the estimated base annual respondent cost must be added to represent fully </w:t>
      </w:r>
      <w:r w:rsidR="00B27DA9">
        <w:t>loaded wages, equaling $</w:t>
      </w:r>
      <w:r w:rsidR="00E56CE6">
        <w:t>4,507.65</w:t>
      </w:r>
      <w:r>
        <w:t xml:space="preserve">. </w:t>
      </w:r>
      <w:r w:rsidR="00B27DA9">
        <w:t>Thus,</w:t>
      </w:r>
      <w:r>
        <w:t xml:space="preserve"> the total annu</w:t>
      </w:r>
      <w:r w:rsidR="00B27DA9">
        <w:t>al respondent cost is $1</w:t>
      </w:r>
      <w:r w:rsidR="00E56CE6">
        <w:t>8,167.19</w:t>
      </w:r>
      <w:r>
        <w:t>.</w:t>
      </w:r>
    </w:p>
    <w:bookmarkEnd w:id="0"/>
    <w:p w:rsidR="00754177" w:rsidP="00F3170F" w14:paraId="581EBEB1" w14:textId="77777777"/>
    <w:p w:rsidR="003F46A8" w:rsidP="00F3170F" w14:paraId="0649E0B7" w14:textId="77777777"/>
    <w:p w:rsidR="0010760E" w:rsidP="1D213022" w14:paraId="224FF9AF" w14:textId="77777777">
      <w:pPr>
        <w:rPr>
          <w:b/>
          <w:bCs/>
        </w:rPr>
      </w:pPr>
      <w:r w:rsidRPr="5458E4FE">
        <w:rPr>
          <w:b/>
          <w:bCs/>
        </w:rPr>
        <w:t xml:space="preserve">FEDERAL </w:t>
      </w:r>
      <w:r w:rsidRPr="5458E4FE" w:rsidR="009F5923">
        <w:rPr>
          <w:b/>
          <w:bCs/>
        </w:rPr>
        <w:t>COST</w:t>
      </w:r>
      <w:r w:rsidRPr="5458E4FE" w:rsidR="00F06866">
        <w:rPr>
          <w:b/>
          <w:bCs/>
        </w:rPr>
        <w:t>:</w:t>
      </w:r>
      <w:r w:rsidRPr="5458E4FE" w:rsidR="00895229">
        <w:rPr>
          <w:b/>
          <w:bCs/>
        </w:rPr>
        <w:t xml:space="preserve"> </w:t>
      </w:r>
      <w:r w:rsidRPr="5458E4FE" w:rsidR="00C86E91">
        <w:rPr>
          <w:b/>
          <w:bCs/>
        </w:rPr>
        <w:t xml:space="preserve"> </w:t>
      </w:r>
    </w:p>
    <w:p w:rsidR="00B27DA9" w:rsidP="00D50550" w14:paraId="7996F8C7" w14:textId="378BFF20"/>
    <w:p w:rsidR="00D34425" w:rsidP="00D50550" w14:paraId="7F3B36BC" w14:textId="4E9B48D2">
      <w:r>
        <w:t>It is estimated that Federal empl</w:t>
      </w:r>
      <w:r>
        <w:t>oyees will spend approximately 18</w:t>
      </w:r>
      <w:r>
        <w:t xml:space="preserve"> hours oversee</w:t>
      </w:r>
      <w:r>
        <w:t>ing</w:t>
      </w:r>
      <w:r>
        <w:t xml:space="preserve"> this collection</w:t>
      </w:r>
      <w:r>
        <w:t xml:space="preserve">. Using the hourly wage rate of </w:t>
      </w:r>
      <w:r w:rsidR="00D13A71">
        <w:t>$</w:t>
      </w:r>
      <w:r>
        <w:t>53.67 for a GS-13 step 1 Federal employee from the 2023 Washing</w:t>
      </w:r>
      <w:r w:rsidR="00D13A71">
        <w:t>ton, DC locality pay table, 12</w:t>
      </w:r>
      <w:r>
        <w:t xml:space="preserve"> </w:t>
      </w:r>
      <w:r w:rsidR="00D13A71">
        <w:t xml:space="preserve">of those </w:t>
      </w:r>
      <w:r>
        <w:t xml:space="preserve">hours will be spent managing the contractor’s operation of the focus groups and reviewing the findings. Using the hourly wage rate of </w:t>
      </w:r>
      <w:r w:rsidR="00D13A71">
        <w:t>$</w:t>
      </w:r>
      <w:r>
        <w:t xml:space="preserve">74.60 for a GS-15 step 1 Federal employee from the 2023 Washington, DC locality pay table, </w:t>
      </w:r>
      <w:r w:rsidR="00D13A71">
        <w:t xml:space="preserve">the remaining </w:t>
      </w:r>
      <w:r>
        <w:t xml:space="preserve">5 hours will be </w:t>
      </w:r>
      <w:r w:rsidR="00D13A71">
        <w:t>spent</w:t>
      </w:r>
      <w:r>
        <w:t xml:space="preserve"> prov</w:t>
      </w:r>
      <w:r w:rsidR="00D13A71">
        <w:t>iding</w:t>
      </w:r>
      <w:r>
        <w:t xml:space="preserve"> management support to this effort. </w:t>
      </w:r>
    </w:p>
    <w:p w:rsidR="00D34425" w:rsidP="00D50550" w14:paraId="74C76300" w14:textId="1E6744F6"/>
    <w:p w:rsidR="00D34425" w:rsidP="00D50550" w14:paraId="7ACD527A" w14:textId="2FD7D00D">
      <w:r>
        <w:t xml:space="preserve">These two staff costs total (12 hours x $53.67/hour) + (5 hours x $74.60/hour) total $1,017.04. Plus $335.62 in fringe benefits, the total cost of Federal employees is $1,352.66. </w:t>
      </w:r>
    </w:p>
    <w:p w:rsidR="00D34425" w:rsidP="00D50550" w14:paraId="3B2E54EF" w14:textId="7FFE4516"/>
    <w:p w:rsidR="00D13A71" w:rsidP="00D50550" w14:paraId="5AFDF92E" w14:textId="77777777">
      <w:r>
        <w:t xml:space="preserve">Contractor costs to the Federal Government will total $36,000 over the course of this collection based on fully loaded rates. This is a one-time cost. </w:t>
      </w:r>
    </w:p>
    <w:p w:rsidR="00D13A71" w:rsidP="00D50550" w14:paraId="485ED057" w14:textId="77777777"/>
    <w:p w:rsidR="00D34425" w:rsidP="00D50550" w14:paraId="58AD5061" w14:textId="31CE349A">
      <w:r>
        <w:t xml:space="preserve">When combining the Federal employee and contractor costs, the total annual cost to the Federal Government for this information collection is estimated at $37,352.66. </w:t>
      </w:r>
    </w:p>
    <w:p w:rsidR="00D34425" w:rsidP="00D50550" w14:paraId="51EA4D35" w14:textId="77777777"/>
    <w:p w:rsidR="00ED6492" w14:paraId="3515C89C" w14:textId="77777777">
      <w:pPr>
        <w:rPr>
          <w:b/>
          <w:bCs/>
          <w:u w:val="single"/>
        </w:rPr>
      </w:pPr>
    </w:p>
    <w:p w:rsidR="0069403B" w:rsidP="00F06866" w14:paraId="1FBDE104"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526E0FD9" w14:textId="77777777">
      <w:pPr>
        <w:rPr>
          <w:b/>
        </w:rPr>
      </w:pPr>
    </w:p>
    <w:p w:rsidR="00F06866" w:rsidP="00F06866" w14:paraId="6362D6EA" w14:textId="77777777">
      <w:pPr>
        <w:rPr>
          <w:b/>
        </w:rPr>
      </w:pPr>
      <w:r>
        <w:rPr>
          <w:b/>
        </w:rPr>
        <w:t>The</w:t>
      </w:r>
      <w:r w:rsidR="0069403B">
        <w:rPr>
          <w:b/>
        </w:rPr>
        <w:t xml:space="preserve"> select</w:t>
      </w:r>
      <w:r>
        <w:rPr>
          <w:b/>
        </w:rPr>
        <w:t>ion of your targeted respondents</w:t>
      </w:r>
    </w:p>
    <w:p w:rsidR="00187BA6" w:rsidP="0069403B" w14:paraId="61DBBC1A"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p>
    <w:p w:rsidR="0069403B" w:rsidP="00187BA6" w14:paraId="45CC1D44" w14:textId="1868D0B0">
      <w:pPr>
        <w:pStyle w:val="ListParagraph"/>
        <w:ind w:left="360"/>
      </w:pPr>
      <w:r>
        <w:t>[] Yes</w:t>
      </w:r>
      <w:r>
        <w:tab/>
        <w:t>[</w:t>
      </w:r>
      <w:r w:rsidR="00260CAA">
        <w:t>X</w:t>
      </w:r>
      <w:r>
        <w:t xml:space="preserve"> ]</w:t>
      </w:r>
      <w:r>
        <w:t xml:space="preserve"> No</w:t>
      </w:r>
    </w:p>
    <w:p w:rsidR="00636621" w:rsidP="00636621" w14:paraId="428BA227" w14:textId="77777777">
      <w:pPr>
        <w:pStyle w:val="ListParagraph"/>
      </w:pPr>
    </w:p>
    <w:p w:rsidR="00636621" w:rsidP="00187BA6" w14:paraId="01D893F4" w14:textId="77777777">
      <w:pPr>
        <w:numPr>
          <w:ilvl w:val="0"/>
          <w:numId w:val="15"/>
        </w:numPr>
      </w:pPr>
      <w:r w:rsidRPr="00636621">
        <w:t xml:space="preserve">If the answer is yes, </w:t>
      </w:r>
      <w:r>
        <w:t>please provide a description of both below</w:t>
      </w:r>
      <w:r w:rsidR="00A403BB">
        <w:t xml:space="preserve"> (</w:t>
      </w:r>
      <w:r w:rsidR="00A403BB">
        <w:t>or</w:t>
      </w:r>
      <w:r w:rsidR="00A403BB">
        <w:t xml:space="preserve">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6CB0ACB0" w14:textId="77777777">
      <w:pPr>
        <w:pStyle w:val="ListParagraph"/>
      </w:pPr>
    </w:p>
    <w:p w:rsidR="0006219B" w:rsidP="0006219B" w14:paraId="704149EB" w14:textId="11EF59F2">
      <w:r>
        <w:t xml:space="preserve">A list of </w:t>
      </w:r>
      <w:r w:rsidR="002921AF">
        <w:t xml:space="preserve">contacts who are likely eligible for benefits </w:t>
      </w:r>
      <w:r w:rsidR="0079252D">
        <w:t>for SNAP</w:t>
      </w:r>
      <w:r w:rsidR="00B92544">
        <w:t xml:space="preserve"> </w:t>
      </w:r>
      <w:r>
        <w:t xml:space="preserve">will be sourced by a sample provider, Marketing Systems Group. </w:t>
      </w:r>
      <w:r w:rsidR="0079252D">
        <w:t>A sample of the contacts</w:t>
      </w:r>
      <w:r>
        <w:t xml:space="preserve"> will receive invitations to participate in the </w:t>
      </w:r>
      <w:r w:rsidR="0079252D">
        <w:t>discussions</w:t>
      </w:r>
      <w:r w:rsidR="00B92544">
        <w:t xml:space="preserve"> </w:t>
      </w:r>
      <w:r>
        <w:t>through email</w:t>
      </w:r>
      <w:r w:rsidR="00B92544">
        <w:t>s</w:t>
      </w:r>
      <w:r>
        <w:t>/text messages</w:t>
      </w:r>
      <w:r w:rsidR="00B92544">
        <w:t>/calls</w:t>
      </w:r>
      <w:r w:rsidR="00D13A71">
        <w:t xml:space="preserve"> (Attachment A)</w:t>
      </w:r>
      <w:r>
        <w:t xml:space="preserve">. Those who are interested will complete a digital survey with screening questions </w:t>
      </w:r>
      <w:r w:rsidR="00D13A71">
        <w:t xml:space="preserve">(Attachment B) </w:t>
      </w:r>
      <w:r>
        <w:t xml:space="preserve">to ensure they meet the criteria for inclusion in the </w:t>
      </w:r>
      <w:r w:rsidR="005A718E">
        <w:t>discussion</w:t>
      </w:r>
      <w:r w:rsidR="00401E38">
        <w:t xml:space="preserve"> and to register for </w:t>
      </w:r>
      <w:r w:rsidR="005A718E">
        <w:t>a designated date/time</w:t>
      </w:r>
      <w:r>
        <w:t xml:space="preserve">. </w:t>
      </w:r>
    </w:p>
    <w:p w:rsidR="0006219B" w:rsidP="0006219B" w14:paraId="6DA54B6D" w14:textId="4C02D077"/>
    <w:p w:rsidR="00A403BB" w:rsidP="0006219B" w14:paraId="50DDCCDB" w14:textId="5BA4FB5D">
      <w:r>
        <w:t xml:space="preserve">After </w:t>
      </w:r>
      <w:r w:rsidR="001A14C4">
        <w:t>individuals</w:t>
      </w:r>
      <w:r w:rsidR="008D425B">
        <w:t xml:space="preserve"> are confirmed</w:t>
      </w:r>
      <w:r>
        <w:t xml:space="preserve"> through the invitation/screening process mentioned above, </w:t>
      </w:r>
      <w:r w:rsidR="008D425B">
        <w:t xml:space="preserve">they </w:t>
      </w:r>
      <w:r w:rsidR="0070515B">
        <w:t>will receive information</w:t>
      </w:r>
      <w:r>
        <w:t xml:space="preserve"> </w:t>
      </w:r>
      <w:r w:rsidR="0070515B">
        <w:t xml:space="preserve">about connecting to the </w:t>
      </w:r>
      <w:r w:rsidR="000A4C89">
        <w:t>focus group</w:t>
      </w:r>
      <w:r>
        <w:t xml:space="preserve"> platform</w:t>
      </w:r>
      <w:r w:rsidR="007F2A1D">
        <w:t xml:space="preserve"> and will ask to complete a consent form</w:t>
      </w:r>
      <w:r w:rsidR="00D13A71">
        <w:t xml:space="preserve"> (Attachment C)</w:t>
      </w:r>
      <w:r>
        <w:t>. The invitation</w:t>
      </w:r>
      <w:r w:rsidR="00401E38">
        <w:t xml:space="preserve">/screening process and </w:t>
      </w:r>
      <w:r w:rsidR="00A65F42">
        <w:t>discussions</w:t>
      </w:r>
      <w:r w:rsidR="00401E38">
        <w:t xml:space="preserve"> will be conducted in February-March 2023</w:t>
      </w:r>
      <w:r w:rsidR="0038434E">
        <w:t>.</w:t>
      </w:r>
    </w:p>
    <w:p w:rsidR="00A403BB" w:rsidP="00A403BB" w14:paraId="6808D422" w14:textId="77777777"/>
    <w:p w:rsidR="004D6E14" w:rsidP="00A403BB" w14:paraId="2E4827DA" w14:textId="77777777">
      <w:pPr>
        <w:rPr>
          <w:b/>
        </w:rPr>
      </w:pPr>
    </w:p>
    <w:p w:rsidR="00A403BB" w:rsidP="00A403BB" w14:paraId="212DA446" w14:textId="77777777">
      <w:pPr>
        <w:rPr>
          <w:b/>
        </w:rPr>
      </w:pPr>
      <w:r>
        <w:rPr>
          <w:b/>
        </w:rPr>
        <w:t>Administration of the Instrument</w:t>
      </w:r>
    </w:p>
    <w:p w:rsidR="00A403BB" w:rsidP="00A403BB" w14:paraId="6F03CF3E" w14:textId="77777777">
      <w:pPr>
        <w:pStyle w:val="ListParagraph"/>
        <w:numPr>
          <w:ilvl w:val="0"/>
          <w:numId w:val="17"/>
        </w:numPr>
      </w:pPr>
      <w:r>
        <w:t>H</w:t>
      </w:r>
      <w:r>
        <w:t>ow will you collect the information? (Check all that apply)</w:t>
      </w:r>
    </w:p>
    <w:p w:rsidR="001B0AAA" w:rsidP="001B0AAA" w14:paraId="0032781C" w14:textId="5EDB6216">
      <w:pPr>
        <w:ind w:left="720"/>
      </w:pPr>
      <w:r>
        <w:t xml:space="preserve">[ </w:t>
      </w:r>
      <w:r w:rsidR="007B1481">
        <w:t>X</w:t>
      </w:r>
      <w:r>
        <w:t xml:space="preserve"> </w:t>
      </w:r>
      <w:r>
        <w:t>]</w:t>
      </w:r>
      <w:r>
        <w:t xml:space="preserve"> Web-based</w:t>
      </w:r>
      <w:r>
        <w:t xml:space="preserve"> or other forms of Social Media </w:t>
      </w:r>
    </w:p>
    <w:p w:rsidR="001B0AAA" w:rsidP="001B0AAA" w14:paraId="2B3683F1" w14:textId="77777777">
      <w:pPr>
        <w:ind w:left="720"/>
      </w:pPr>
      <w:r>
        <w:t xml:space="preserve">[ </w:t>
      </w:r>
      <w:r>
        <w:t xml:space="preserve"> </w:t>
      </w:r>
      <w:r>
        <w:t>]</w:t>
      </w:r>
      <w:r>
        <w:t xml:space="preserve"> Telephone</w:t>
      </w:r>
      <w:r>
        <w:tab/>
      </w:r>
    </w:p>
    <w:p w:rsidR="001B0AAA" w:rsidP="001B0AAA" w14:paraId="6570901D" w14:textId="77777777">
      <w:pPr>
        <w:ind w:left="720"/>
      </w:pPr>
      <w:r>
        <w:t>[</w:t>
      </w:r>
      <w:r>
        <w:t xml:space="preserve"> </w:t>
      </w:r>
      <w:r>
        <w:t xml:space="preserve"> ]</w:t>
      </w:r>
      <w:r>
        <w:t xml:space="preserve"> In-person</w:t>
      </w:r>
      <w:r>
        <w:tab/>
      </w:r>
    </w:p>
    <w:p w:rsidR="001B0AAA" w:rsidP="001B0AAA" w14:paraId="2A558F6A" w14:textId="77777777">
      <w:pPr>
        <w:ind w:left="720"/>
      </w:pPr>
      <w:r>
        <w:t xml:space="preserve">[ </w:t>
      </w:r>
      <w:r>
        <w:t xml:space="preserve"> </w:t>
      </w:r>
      <w:r>
        <w:t>]</w:t>
      </w:r>
      <w:r>
        <w:t xml:space="preserve"> Mail</w:t>
      </w:r>
      <w:r>
        <w:t xml:space="preserve"> </w:t>
      </w:r>
    </w:p>
    <w:p w:rsidR="001B0AAA" w:rsidP="001B0AAA" w14:paraId="2F6B980C" w14:textId="77777777">
      <w:pPr>
        <w:ind w:left="720"/>
      </w:pPr>
      <w:r>
        <w:t xml:space="preserve">[ </w:t>
      </w:r>
      <w:r>
        <w:t xml:space="preserve"> </w:t>
      </w:r>
      <w:r>
        <w:t>]</w:t>
      </w:r>
      <w:r>
        <w:t xml:space="preserve"> Other, Explain</w:t>
      </w:r>
    </w:p>
    <w:p w:rsidR="0038434E" w:rsidP="001B0AAA" w14:paraId="271CF6CF" w14:textId="77777777">
      <w:pPr>
        <w:ind w:left="720"/>
      </w:pPr>
    </w:p>
    <w:p w:rsidR="00F24CFC" w:rsidP="00F24CFC" w14:paraId="4DB4C339" w14:textId="5C3A391D">
      <w:pPr>
        <w:pStyle w:val="ListParagraph"/>
        <w:numPr>
          <w:ilvl w:val="0"/>
          <w:numId w:val="17"/>
        </w:numPr>
      </w:pPr>
      <w:r>
        <w:t>Will interviewers or facilitators be used?  [</w:t>
      </w:r>
      <w:r w:rsidR="00875F28">
        <w:t>X</w:t>
      </w:r>
      <w:r>
        <w:t xml:space="preserve">  ]</w:t>
      </w:r>
      <w:r>
        <w:t xml:space="preserve"> Yes [  ] No</w:t>
      </w:r>
    </w:p>
    <w:p w:rsidR="00F24CFC" w:rsidP="00F24CFC" w14:paraId="2AB24AC2" w14:textId="77777777">
      <w:pPr>
        <w:pStyle w:val="ListParagraph"/>
        <w:ind w:left="360"/>
      </w:pPr>
      <w:r>
        <w:t xml:space="preserve"> </w:t>
      </w:r>
    </w:p>
    <w:p w:rsidR="00720931" w:rsidP="0024521E" w14:paraId="61F04C34" w14:textId="77777777">
      <w:pPr>
        <w:rPr>
          <w:b/>
        </w:rPr>
      </w:pPr>
    </w:p>
    <w:p w:rsidR="00720931" w:rsidP="0024521E" w14:paraId="03B118A5" w14:textId="77777777">
      <w:pPr>
        <w:rPr>
          <w:b/>
        </w:rPr>
      </w:pPr>
    </w:p>
    <w:p w:rsidR="00720931" w:rsidRPr="00720931" w:rsidP="00720931" w14:paraId="23267EAD" w14:textId="77777777">
      <w:pPr>
        <w:tabs>
          <w:tab w:val="left" w:pos="5670"/>
        </w:tabs>
        <w:suppressAutoHyphens/>
        <w:rPr>
          <w:rStyle w:val="normaltextrun"/>
          <w:b/>
          <w:bCs/>
          <w:u w:val="single"/>
        </w:rPr>
      </w:pPr>
      <w:r w:rsidRPr="00720931">
        <w:rPr>
          <w:rStyle w:val="normaltextrun"/>
          <w:b/>
          <w:bCs/>
          <w:u w:val="single"/>
        </w:rPr>
        <w:t>See Attachments:</w:t>
      </w:r>
    </w:p>
    <w:p w:rsidR="00720931" w:rsidRPr="00A83C94" w:rsidP="00720931" w14:paraId="16D672FE" w14:textId="77777777">
      <w:pPr>
        <w:tabs>
          <w:tab w:val="left" w:pos="5670"/>
        </w:tabs>
        <w:suppressAutoHyphens/>
        <w:rPr>
          <w:rStyle w:val="normaltextrun"/>
        </w:rPr>
      </w:pPr>
    </w:p>
    <w:p w:rsidR="00720931" w:rsidRPr="00A83C94" w:rsidP="00720931" w14:paraId="3C062578" w14:textId="77777777">
      <w:pPr>
        <w:pStyle w:val="ListParagraph"/>
        <w:numPr>
          <w:ilvl w:val="0"/>
          <w:numId w:val="20"/>
        </w:numPr>
        <w:tabs>
          <w:tab w:val="left" w:pos="5670"/>
        </w:tabs>
        <w:suppressAutoHyphens/>
        <w:rPr>
          <w:rStyle w:val="normaltextrun"/>
        </w:rPr>
      </w:pPr>
      <w:r>
        <w:rPr>
          <w:rStyle w:val="normaltextrun"/>
        </w:rPr>
        <w:t xml:space="preserve">Attachment A: Recruiting Email and Text Message </w:t>
      </w:r>
    </w:p>
    <w:p w:rsidR="00720931" w:rsidRPr="00A83C94" w:rsidP="00720931" w14:paraId="52D84EB6" w14:textId="77777777">
      <w:pPr>
        <w:tabs>
          <w:tab w:val="left" w:pos="5670"/>
        </w:tabs>
        <w:suppressAutoHyphens/>
        <w:rPr>
          <w:rStyle w:val="normaltextrun"/>
        </w:rPr>
      </w:pPr>
    </w:p>
    <w:p w:rsidR="00720931" w:rsidP="00720931" w14:paraId="4F5083AB" w14:textId="77777777">
      <w:pPr>
        <w:pStyle w:val="ListParagraph"/>
        <w:numPr>
          <w:ilvl w:val="0"/>
          <w:numId w:val="20"/>
        </w:numPr>
        <w:tabs>
          <w:tab w:val="left" w:pos="5670"/>
        </w:tabs>
        <w:suppressAutoHyphens/>
        <w:rPr>
          <w:rStyle w:val="normaltextrun"/>
        </w:rPr>
      </w:pPr>
      <w:r>
        <w:rPr>
          <w:rStyle w:val="normaltextrun"/>
        </w:rPr>
        <w:t xml:space="preserve">Attachment B: </w:t>
      </w:r>
      <w:r w:rsidRPr="00A83C94">
        <w:rPr>
          <w:rStyle w:val="normaltextrun"/>
        </w:rPr>
        <w:t>Screen</w:t>
      </w:r>
      <w:r>
        <w:rPr>
          <w:rStyle w:val="normaltextrun"/>
        </w:rPr>
        <w:t>ing Questions</w:t>
      </w:r>
    </w:p>
    <w:p w:rsidR="00720931" w:rsidP="00720931" w14:paraId="5ED81202" w14:textId="77777777">
      <w:pPr>
        <w:pStyle w:val="ListParagraph"/>
        <w:rPr>
          <w:rStyle w:val="normaltextrun"/>
        </w:rPr>
      </w:pPr>
    </w:p>
    <w:p w:rsidR="00720931" w:rsidRPr="00A83C94" w:rsidP="00720931" w14:paraId="2237BD3B" w14:textId="77777777">
      <w:pPr>
        <w:pStyle w:val="ListParagraph"/>
        <w:numPr>
          <w:ilvl w:val="0"/>
          <w:numId w:val="20"/>
        </w:numPr>
        <w:tabs>
          <w:tab w:val="left" w:pos="5670"/>
        </w:tabs>
        <w:suppressAutoHyphens/>
        <w:rPr>
          <w:rStyle w:val="normaltextrun"/>
        </w:rPr>
      </w:pPr>
      <w:r>
        <w:rPr>
          <w:rStyle w:val="normaltextrun"/>
        </w:rPr>
        <w:t xml:space="preserve">Attachment C: </w:t>
      </w:r>
      <w:r w:rsidRPr="00A83C94">
        <w:rPr>
          <w:rStyle w:val="normaltextrun"/>
        </w:rPr>
        <w:t xml:space="preserve">Consent Form </w:t>
      </w:r>
    </w:p>
    <w:p w:rsidR="00720931" w:rsidRPr="00A83C94" w:rsidP="00720931" w14:paraId="4F63467E" w14:textId="77777777">
      <w:pPr>
        <w:pStyle w:val="ListParagraph"/>
        <w:tabs>
          <w:tab w:val="left" w:pos="5670"/>
        </w:tabs>
        <w:suppressAutoHyphens/>
        <w:rPr>
          <w:rStyle w:val="normaltextrun"/>
        </w:rPr>
      </w:pPr>
    </w:p>
    <w:p w:rsidR="00720931" w:rsidRPr="00A83C94" w:rsidP="00720931" w14:paraId="2E94233F" w14:textId="77777777">
      <w:pPr>
        <w:pStyle w:val="ListParagraph"/>
        <w:numPr>
          <w:ilvl w:val="0"/>
          <w:numId w:val="20"/>
        </w:numPr>
        <w:tabs>
          <w:tab w:val="left" w:pos="5670"/>
        </w:tabs>
        <w:suppressAutoHyphens/>
      </w:pPr>
      <w:r>
        <w:rPr>
          <w:rStyle w:val="normaltextrun"/>
        </w:rPr>
        <w:t xml:space="preserve">Attachment D: </w:t>
      </w:r>
      <w:r w:rsidRPr="00A83C94">
        <w:rPr>
          <w:rStyle w:val="normaltextrun"/>
        </w:rPr>
        <w:t>Discussion Guide</w:t>
      </w:r>
    </w:p>
    <w:p w:rsidR="00720931" w:rsidP="00C048B7" w14:paraId="11C715A2" w14:textId="186F129C">
      <w:pPr>
        <w:rPr>
          <w:b/>
        </w:rPr>
      </w:pPr>
    </w:p>
    <w:p w:rsidR="00C048B7" w:rsidRPr="00107848" w:rsidP="00C048B7" w14:paraId="7829B556" w14:textId="49A399C9">
      <w:pPr>
        <w:pStyle w:val="ListParagraph"/>
        <w:numPr>
          <w:ilvl w:val="0"/>
          <w:numId w:val="20"/>
        </w:numPr>
        <w:rPr>
          <w:bCs/>
        </w:rPr>
      </w:pPr>
      <w:r w:rsidRPr="00107848">
        <w:rPr>
          <w:bCs/>
        </w:rPr>
        <w:t>IRB Memo</w:t>
      </w:r>
    </w:p>
    <w:p w:rsidR="00720931" w:rsidP="0024521E" w14:paraId="11911EE1" w14:textId="77777777">
      <w:pPr>
        <w:rPr>
          <w:b/>
        </w:rPr>
      </w:pPr>
    </w:p>
    <w:p w:rsidR="00720931" w:rsidP="0024521E" w14:paraId="2DB9CA5D" w14:textId="77777777">
      <w:pPr>
        <w:rPr>
          <w:b/>
        </w:rPr>
      </w:pPr>
    </w:p>
    <w:p w:rsidR="00F24CFC" w:rsidP="00F24CFC" w14:paraId="0D05A19B" w14:textId="77777777">
      <w:pPr>
        <w:pStyle w:val="Heading2"/>
        <w:tabs>
          <w:tab w:val="left" w:pos="900"/>
        </w:tabs>
        <w:ind w:right="-180"/>
      </w:pPr>
      <w:r>
        <w:rPr>
          <w:sz w:val="28"/>
        </w:rPr>
        <w:t xml:space="preserve">Instructions for completing Request for Approval under the </w:t>
      </w:r>
      <w:r w:rsidRPr="00F06866">
        <w:rPr>
          <w:sz w:val="28"/>
        </w:rPr>
        <w:t xml:space="preserve">“Generic Clearance for the Collection of Routine Customer </w:t>
      </w:r>
      <w:r w:rsidRPr="00F06866">
        <w:rPr>
          <w:sz w:val="28"/>
        </w:rPr>
        <w:t>Feedback</w:t>
      </w:r>
      <w:r w:rsidRPr="00F06866">
        <w:rPr>
          <w:sz w:val="28"/>
        </w:rPr>
        <w:t>”</w:t>
      </w:r>
      <w:r>
        <w:rPr>
          <w:sz w:val="28"/>
        </w:rPr>
        <w:t xml:space="preserve"> </w:t>
      </w:r>
    </w:p>
    <w:p w:rsidR="00F24CFC" w:rsidP="00F24CFC" w14:paraId="2C155E7F" w14:textId="059E6FD1">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4AD707E7"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r w:rsidR="00CB1078">
        <w:t>xxxx</w:t>
      </w:r>
      <w:r w:rsidR="00CB1078">
        <w:t>)</w:t>
      </w:r>
    </w:p>
    <w:p w:rsidR="00F24CFC" w:rsidRPr="00CF6542" w:rsidP="00F24CFC" w14:paraId="3656F39F" w14:textId="77777777">
      <w:pPr>
        <w:rPr>
          <w:sz w:val="20"/>
          <w:szCs w:val="20"/>
        </w:rPr>
      </w:pPr>
    </w:p>
    <w:p w:rsidR="00F24CFC" w:rsidRPr="008F50D4" w:rsidP="00F24CFC" w14:paraId="40CCF846"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125D6349" w14:textId="77777777">
      <w:pPr>
        <w:pStyle w:val="Header"/>
        <w:tabs>
          <w:tab w:val="clear" w:pos="4320"/>
          <w:tab w:val="clear" w:pos="8640"/>
        </w:tabs>
        <w:rPr>
          <w:b/>
        </w:rPr>
      </w:pPr>
    </w:p>
    <w:p w:rsidR="00F24CFC" w:rsidRPr="008F50D4" w:rsidP="00F24CFC" w14:paraId="23B6906F"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F24CFC" w14:paraId="2DCFAC8C" w14:textId="77777777">
      <w:pPr>
        <w:rPr>
          <w:b/>
          <w:sz w:val="20"/>
          <w:szCs w:val="20"/>
        </w:rPr>
      </w:pPr>
    </w:p>
    <w:p w:rsidR="00F24CFC" w:rsidRPr="008F50D4" w:rsidP="00F24CFC" w14:paraId="131B2F82"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14:paraId="14FA4DFE" w14:textId="77777777">
      <w:pPr>
        <w:pStyle w:val="BodyTextIndent"/>
        <w:tabs>
          <w:tab w:val="left" w:pos="360"/>
        </w:tabs>
        <w:ind w:left="0"/>
        <w:rPr>
          <w:bCs/>
        </w:rPr>
      </w:pPr>
    </w:p>
    <w:p w:rsidR="00F24CFC" w:rsidRPr="008F50D4" w:rsidP="00F24CFC" w14:paraId="618ED2DA"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3F3BDD45" w14:textId="77777777">
      <w:pPr>
        <w:rPr>
          <w:sz w:val="16"/>
          <w:szCs w:val="16"/>
        </w:rPr>
      </w:pPr>
    </w:p>
    <w:p w:rsidR="00F24CFC" w:rsidP="00F24CFC" w14:paraId="76A4855E" w14:textId="77777777">
      <w:r w:rsidRPr="00C86E91">
        <w:rPr>
          <w:b/>
        </w:rPr>
        <w:t>PERSONALLY IDENTIFIABLE INFORMATION</w:t>
      </w:r>
      <w:r w:rsidRPr="00C86E91">
        <w:rPr>
          <w:b/>
        </w:rPr>
        <w:t>:</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xml:space="preserve">, and they should only retain PII for the </w:t>
      </w:r>
      <w:r w:rsidR="00CF6542">
        <w:t>period of time</w:t>
      </w:r>
      <w:r w:rsidR="00CF6542">
        <w:t xml:space="preserve"> that is necessary to achieve a specific objective.</w:t>
      </w:r>
    </w:p>
    <w:p w:rsidR="008F50D4" w:rsidRPr="00CF6542" w:rsidP="00F24CFC" w14:paraId="209D572B" w14:textId="77777777">
      <w:pPr>
        <w:rPr>
          <w:sz w:val="20"/>
          <w:szCs w:val="20"/>
        </w:rPr>
      </w:pPr>
    </w:p>
    <w:p w:rsidR="00F24CFC" w:rsidRPr="008F50D4" w:rsidP="008F50D4" w14:paraId="4F25D560"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w:t>
      </w:r>
      <w:r w:rsidR="008F50D4">
        <w:t>incentive</w:t>
      </w:r>
      <w:r w:rsidRPr="008F50D4">
        <w:t xml:space="preserve"> and provide a justification for the amount.</w:t>
      </w:r>
    </w:p>
    <w:p w:rsidR="00F24CFC" w:rsidP="00F24CFC" w14:paraId="7977AC06" w14:textId="77777777">
      <w:pPr>
        <w:rPr>
          <w:b/>
        </w:rPr>
      </w:pPr>
    </w:p>
    <w:p w:rsidR="00187BA6" w:rsidP="00187BA6" w14:paraId="7F0F4E73" w14:textId="77777777">
      <w:pPr>
        <w:pStyle w:val="ListParagraph"/>
        <w:ind w:left="0"/>
        <w:rPr>
          <w:b/>
        </w:rPr>
      </w:pPr>
      <w:r>
        <w:rPr>
          <w:b/>
        </w:rPr>
        <w:t xml:space="preserve">SENSITIVE INFORMATION:  </w:t>
      </w:r>
      <w:r>
        <w:t xml:space="preserve">If you answer yes to the question, </w:t>
      </w:r>
      <w:r w:rsidRPr="008F50D4">
        <w:t>please describe</w:t>
      </w:r>
      <w:r>
        <w:t xml:space="preserve"> the nature of the sensitive information being collected (e.g.,</w:t>
      </w:r>
      <w:r w:rsidRPr="00187BA6">
        <w:t xml:space="preserve"> </w:t>
      </w:r>
      <w:r>
        <w:t xml:space="preserve">race, </w:t>
      </w:r>
      <w:r w:rsidRPr="00187BA6">
        <w:t xml:space="preserve">sexual behavior or attitudes, religious </w:t>
      </w:r>
      <w:r w:rsidRPr="00187BA6">
        <w:t>beliefs, and other matters that are commonly considered private</w:t>
      </w:r>
      <w:r>
        <w:t xml:space="preserve">) </w:t>
      </w:r>
      <w:r w:rsidRPr="008F50D4">
        <w:t>and</w:t>
      </w:r>
      <w:r>
        <w:t xml:space="preserve"> provide a justification for its use</w:t>
      </w:r>
      <w:r w:rsidRPr="008F50D4">
        <w:t>.</w:t>
      </w:r>
    </w:p>
    <w:p w:rsidR="00187BA6" w:rsidP="00F24CFC" w14:paraId="09417DC1" w14:textId="77777777">
      <w:pPr>
        <w:rPr>
          <w:b/>
        </w:rPr>
      </w:pPr>
    </w:p>
    <w:p w:rsidR="008F50D4" w:rsidP="00F24CFC" w14:paraId="3081FEDA" w14:textId="77777777">
      <w:pPr>
        <w:rPr>
          <w:b/>
        </w:rPr>
      </w:pPr>
      <w:r>
        <w:rPr>
          <w:b/>
        </w:rPr>
        <w:t>BURDEN HOURS</w:t>
      </w:r>
      <w:r>
        <w:rPr>
          <w:b/>
        </w:rPr>
        <w:t>:</w:t>
      </w:r>
    </w:p>
    <w:p w:rsidR="008F50D4" w:rsidP="00F24CFC" w14:paraId="061AAB58" w14:textId="77777777">
      <w:r>
        <w:rPr>
          <w:b/>
        </w:rPr>
        <w:t xml:space="preserve">Category of Respondents:  </w:t>
      </w:r>
      <w:r>
        <w:t>Identify who you expect the respondents to be in terms of the following categories: (1) Individuals or Households;</w:t>
      </w:r>
      <w:r w:rsidR="00187BA6">
        <w:t xml:space="preserve"> </w:t>
      </w:r>
      <w:r>
        <w:t xml:space="preserve">(2) </w:t>
      </w:r>
      <w:r w:rsidR="00187BA6">
        <w:t>Businesses (i.e., Profit, Not for Profit, and/or Farms)</w:t>
      </w:r>
      <w:r>
        <w:t>; (3) State, local, or tribal governments; or (4) Federal Government.  Only one type of respondent can be selected</w:t>
      </w:r>
      <w:r w:rsidR="00CF6542">
        <w:t xml:space="preserve"> per row</w:t>
      </w:r>
      <w:r>
        <w:t xml:space="preserve">. </w:t>
      </w:r>
    </w:p>
    <w:p w:rsidR="008F50D4" w:rsidP="00F24CFC" w14:paraId="482C00A5"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5B21A430" w14:textId="77777777">
      <w:r>
        <w:rPr>
          <w:b/>
        </w:rPr>
        <w:t xml:space="preserve">Participation Time:  </w:t>
      </w:r>
      <w:r>
        <w:t>Provide an estimate of the amount of time required for a respondent to participate (</w:t>
      </w:r>
      <w:r>
        <w:t>e.g.</w:t>
      </w:r>
      <w:r>
        <w:t xml:space="preserve"> fill out a survey or participate in a focus group)</w:t>
      </w:r>
    </w:p>
    <w:p w:rsidR="00F24CFC" w:rsidRPr="008F50D4" w:rsidP="00F24CFC" w14:paraId="34A4B502" w14:textId="77777777">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14:paraId="2DC0D2F6" w14:textId="77777777">
      <w:pPr>
        <w:keepNext/>
        <w:keepLines/>
        <w:rPr>
          <w:b/>
        </w:rPr>
      </w:pPr>
    </w:p>
    <w:p w:rsidR="00F24CFC" w:rsidP="00F24CFC" w14:paraId="5969FAE9"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P="00F24CFC" w14:paraId="51CBAACA" w14:textId="77777777">
      <w:pPr>
        <w:rPr>
          <w:b/>
          <w:bCs/>
          <w:sz w:val="20"/>
          <w:szCs w:val="20"/>
          <w:u w:val="single"/>
        </w:rPr>
      </w:pPr>
    </w:p>
    <w:p w:rsidR="00F24CFC" w:rsidP="00F24CFC" w14:paraId="0D63E1AD"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F24CFC" w:rsidRPr="00CF6542" w:rsidP="00F24CFC" w14:paraId="4BD5589A" w14:textId="77777777">
      <w:pPr>
        <w:rPr>
          <w:b/>
          <w:sz w:val="20"/>
          <w:szCs w:val="20"/>
        </w:rPr>
      </w:pPr>
    </w:p>
    <w:p w:rsidR="00F24CFC" w:rsidP="00F24CFC" w14:paraId="52B4F2F9"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CF6542" w:rsidP="00F24CFC" w14:paraId="02DA0AEF" w14:textId="77777777">
      <w:pPr>
        <w:rPr>
          <w:b/>
          <w:sz w:val="20"/>
          <w:szCs w:val="20"/>
        </w:rPr>
      </w:pPr>
    </w:p>
    <w:p w:rsidR="00F24CFC" w:rsidRPr="003F1C5B" w:rsidP="00F24CFC" w14:paraId="01E22973" w14:textId="77777777">
      <w:r>
        <w:rPr>
          <w:b/>
        </w:rPr>
        <w:t>Administration of the Instrument</w:t>
      </w:r>
      <w:r w:rsidR="003F1C5B">
        <w:rPr>
          <w:b/>
        </w:rPr>
        <w:t xml:space="preserve">:  </w:t>
      </w:r>
      <w:r w:rsidR="003F1C5B">
        <w:t>Identify how the information will be collected.  More than one box may be checked.  Indicate whether there will be interviewers (</w:t>
      </w:r>
      <w:r w:rsidR="003F1C5B">
        <w:t>e.g.</w:t>
      </w:r>
      <w:r w:rsidR="003F1C5B">
        <w:t xml:space="preserve"> for surveys) or facilitators (e.g., for focus groups) used.</w:t>
      </w:r>
    </w:p>
    <w:p w:rsidR="00F24CFC" w:rsidP="00F24CFC" w14:paraId="5C5CE437" w14:textId="77777777">
      <w:pPr>
        <w:pStyle w:val="ListParagraph"/>
        <w:ind w:left="360"/>
      </w:pPr>
    </w:p>
    <w:p w:rsidR="00F24CFC" w:rsidRPr="00F24CFC" w:rsidP="00F24CFC" w14:paraId="72ABEEBC" w14:textId="77777777">
      <w:pPr>
        <w:rPr>
          <w:b/>
        </w:rPr>
      </w:pPr>
      <w:r>
        <w:rPr>
          <w:b/>
        </w:rPr>
        <w:t xml:space="preserve">Submit </w:t>
      </w:r>
      <w:r w:rsidRPr="00F24CFC">
        <w:rPr>
          <w:b/>
        </w:rPr>
        <w:t>all instruments, instructions, and scripts are submitted with the request.</w:t>
      </w:r>
    </w:p>
    <w:p w:rsidR="005E714A" w:rsidP="00F24CFC" w14:paraId="48F295E9" w14:textId="77777777">
      <w:pPr>
        <w:pBdr>
          <w:bottom w:val="single" w:sz="12" w:space="1" w:color="auto"/>
        </w:pBdr>
        <w:tabs>
          <w:tab w:val="left" w:pos="5670"/>
        </w:tabs>
        <w:suppressAutoHyphens/>
      </w:pPr>
    </w:p>
    <w:p w:rsidR="00085EBD" w:rsidRPr="00A83C94" w:rsidP="00A83C94" w14:paraId="49B8D737" w14:textId="77777777">
      <w:pPr>
        <w:pStyle w:val="paragraph"/>
        <w:spacing w:before="0" w:beforeAutospacing="0" w:after="0" w:afterAutospacing="0"/>
        <w:textAlignment w:val="baseline"/>
        <w:rPr>
          <w:rStyle w:val="normaltextrun"/>
          <w:rFonts w:ascii="Segoe UI" w:hAnsi="Segoe UI" w:cs="Segoe UI"/>
          <w:sz w:val="18"/>
          <w:szCs w:val="18"/>
        </w:rPr>
      </w:pPr>
    </w:p>
    <w:p w:rsidR="00815CCB" w:rsidRPr="00A83C94" w:rsidP="00E10707" w14:paraId="334E770D" w14:textId="3678A2F1">
      <w:pPr>
        <w:pStyle w:val="ListParagraph"/>
        <w:tabs>
          <w:tab w:val="left" w:pos="5670"/>
        </w:tabs>
        <w:suppressAutoHyphens/>
      </w:pP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4177" w14:paraId="153FCB8F" w14:textId="586543C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C22A5">
      <w:rPr>
        <w:rStyle w:val="PageNumber"/>
        <w:noProof/>
        <w:sz w:val="20"/>
        <w:szCs w:val="20"/>
      </w:rPr>
      <w:t>8</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7D91D0A"/>
    <w:multiLevelType w:val="multilevel"/>
    <w:tmpl w:val="A028C5F4"/>
    <w:lvl w:ilvl="0">
      <w:start w:val="1"/>
      <w:numFmt w:val="bullet"/>
      <w:lvlText w:val="●"/>
      <w:lvlJc w:val="left"/>
      <w:pPr>
        <w:ind w:left="288" w:hanging="14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1182011"/>
    <w:multiLevelType w:val="hybridMultilevel"/>
    <w:tmpl w:val="BB1A78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4CC3E64"/>
    <w:multiLevelType w:val="hybridMultilevel"/>
    <w:tmpl w:val="F714613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8363E2F"/>
    <w:multiLevelType w:val="hybridMultilevel"/>
    <w:tmpl w:val="9A2289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A987976"/>
    <w:multiLevelType w:val="hybridMultilevel"/>
    <w:tmpl w:val="0F0232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46872200">
    <w:abstractNumId w:val="13"/>
  </w:num>
  <w:num w:numId="2" w16cid:durableId="1233930888">
    <w:abstractNumId w:val="21"/>
  </w:num>
  <w:num w:numId="3" w16cid:durableId="928272025">
    <w:abstractNumId w:val="19"/>
  </w:num>
  <w:num w:numId="4" w16cid:durableId="54742361">
    <w:abstractNumId w:val="22"/>
  </w:num>
  <w:num w:numId="5" w16cid:durableId="630210045">
    <w:abstractNumId w:val="3"/>
  </w:num>
  <w:num w:numId="6" w16cid:durableId="1576625973">
    <w:abstractNumId w:val="1"/>
  </w:num>
  <w:num w:numId="7" w16cid:durableId="1722316582">
    <w:abstractNumId w:val="11"/>
  </w:num>
  <w:num w:numId="8" w16cid:durableId="1991399842">
    <w:abstractNumId w:val="17"/>
  </w:num>
  <w:num w:numId="9" w16cid:durableId="444037203">
    <w:abstractNumId w:val="12"/>
  </w:num>
  <w:num w:numId="10" w16cid:durableId="340200917">
    <w:abstractNumId w:val="2"/>
  </w:num>
  <w:num w:numId="11" w16cid:durableId="1792017304">
    <w:abstractNumId w:val="7"/>
  </w:num>
  <w:num w:numId="12" w16cid:durableId="32311780">
    <w:abstractNumId w:val="8"/>
  </w:num>
  <w:num w:numId="13" w16cid:durableId="824862647">
    <w:abstractNumId w:val="0"/>
  </w:num>
  <w:num w:numId="14" w16cid:durableId="2107576486">
    <w:abstractNumId w:val="18"/>
  </w:num>
  <w:num w:numId="15" w16cid:durableId="1436050998">
    <w:abstractNumId w:val="15"/>
  </w:num>
  <w:num w:numId="16" w16cid:durableId="1497648953">
    <w:abstractNumId w:val="14"/>
  </w:num>
  <w:num w:numId="17" w16cid:durableId="296112811">
    <w:abstractNumId w:val="4"/>
  </w:num>
  <w:num w:numId="18" w16cid:durableId="123937744">
    <w:abstractNumId w:val="5"/>
  </w:num>
  <w:num w:numId="19" w16cid:durableId="77094167">
    <w:abstractNumId w:val="10"/>
  </w:num>
  <w:num w:numId="20" w16cid:durableId="888230096">
    <w:abstractNumId w:val="16"/>
  </w:num>
  <w:num w:numId="21" w16cid:durableId="1327440574">
    <w:abstractNumId w:val="9"/>
  </w:num>
  <w:num w:numId="22" w16cid:durableId="1419792830">
    <w:abstractNumId w:val="20"/>
  </w:num>
  <w:num w:numId="23" w16cid:durableId="18723068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0FE5"/>
    <w:rsid w:val="00023A57"/>
    <w:rsid w:val="00044C60"/>
    <w:rsid w:val="000470C9"/>
    <w:rsid w:val="00047A64"/>
    <w:rsid w:val="00057D0F"/>
    <w:rsid w:val="00061168"/>
    <w:rsid w:val="0006219B"/>
    <w:rsid w:val="000658AA"/>
    <w:rsid w:val="00067329"/>
    <w:rsid w:val="0006780D"/>
    <w:rsid w:val="00073710"/>
    <w:rsid w:val="00085EBD"/>
    <w:rsid w:val="000A4C89"/>
    <w:rsid w:val="000A5F87"/>
    <w:rsid w:val="000A7869"/>
    <w:rsid w:val="000B2838"/>
    <w:rsid w:val="000B5766"/>
    <w:rsid w:val="000D208D"/>
    <w:rsid w:val="000D44CA"/>
    <w:rsid w:val="000D4BF1"/>
    <w:rsid w:val="000E200B"/>
    <w:rsid w:val="000F68BE"/>
    <w:rsid w:val="0010201E"/>
    <w:rsid w:val="0010760E"/>
    <w:rsid w:val="00107848"/>
    <w:rsid w:val="00112077"/>
    <w:rsid w:val="001121E1"/>
    <w:rsid w:val="001276D2"/>
    <w:rsid w:val="00147F58"/>
    <w:rsid w:val="00160DC7"/>
    <w:rsid w:val="0018715F"/>
    <w:rsid w:val="00187BA6"/>
    <w:rsid w:val="00190D13"/>
    <w:rsid w:val="00191A87"/>
    <w:rsid w:val="001927A4"/>
    <w:rsid w:val="00194AC6"/>
    <w:rsid w:val="0019590D"/>
    <w:rsid w:val="001A14C4"/>
    <w:rsid w:val="001A23B0"/>
    <w:rsid w:val="001A25CC"/>
    <w:rsid w:val="001A3662"/>
    <w:rsid w:val="001A74B0"/>
    <w:rsid w:val="001B0AAA"/>
    <w:rsid w:val="001C1C33"/>
    <w:rsid w:val="001C39F7"/>
    <w:rsid w:val="001F6D73"/>
    <w:rsid w:val="00204A5D"/>
    <w:rsid w:val="00237B48"/>
    <w:rsid w:val="0024521E"/>
    <w:rsid w:val="002473B3"/>
    <w:rsid w:val="00247754"/>
    <w:rsid w:val="00260CAA"/>
    <w:rsid w:val="00263C3D"/>
    <w:rsid w:val="00274D0B"/>
    <w:rsid w:val="00284094"/>
    <w:rsid w:val="00284E59"/>
    <w:rsid w:val="002921AF"/>
    <w:rsid w:val="002B052D"/>
    <w:rsid w:val="002B34CD"/>
    <w:rsid w:val="002B3C95"/>
    <w:rsid w:val="002C43FF"/>
    <w:rsid w:val="002D0B92"/>
    <w:rsid w:val="00314A36"/>
    <w:rsid w:val="00335316"/>
    <w:rsid w:val="00336B5A"/>
    <w:rsid w:val="00342649"/>
    <w:rsid w:val="00364B5B"/>
    <w:rsid w:val="0036703D"/>
    <w:rsid w:val="0038434E"/>
    <w:rsid w:val="003A37FF"/>
    <w:rsid w:val="003C1AB3"/>
    <w:rsid w:val="003D2935"/>
    <w:rsid w:val="003D5BBE"/>
    <w:rsid w:val="003E3C61"/>
    <w:rsid w:val="003F1C5B"/>
    <w:rsid w:val="003F46A8"/>
    <w:rsid w:val="00401E38"/>
    <w:rsid w:val="0040415F"/>
    <w:rsid w:val="00410BE1"/>
    <w:rsid w:val="004230EC"/>
    <w:rsid w:val="00434E33"/>
    <w:rsid w:val="00441434"/>
    <w:rsid w:val="0045264C"/>
    <w:rsid w:val="004805AE"/>
    <w:rsid w:val="004876EC"/>
    <w:rsid w:val="004B79D7"/>
    <w:rsid w:val="004D6E14"/>
    <w:rsid w:val="004F6215"/>
    <w:rsid w:val="004F6FFC"/>
    <w:rsid w:val="005009B0"/>
    <w:rsid w:val="0050396F"/>
    <w:rsid w:val="005111AE"/>
    <w:rsid w:val="005638EB"/>
    <w:rsid w:val="005A1006"/>
    <w:rsid w:val="005A1269"/>
    <w:rsid w:val="005A26D2"/>
    <w:rsid w:val="005A718E"/>
    <w:rsid w:val="005B1E0F"/>
    <w:rsid w:val="005E09A5"/>
    <w:rsid w:val="005E714A"/>
    <w:rsid w:val="005F693D"/>
    <w:rsid w:val="005F7600"/>
    <w:rsid w:val="00601AC7"/>
    <w:rsid w:val="006140A0"/>
    <w:rsid w:val="00636621"/>
    <w:rsid w:val="006407C9"/>
    <w:rsid w:val="00642206"/>
    <w:rsid w:val="00642B49"/>
    <w:rsid w:val="00650916"/>
    <w:rsid w:val="00676E14"/>
    <w:rsid w:val="006832D9"/>
    <w:rsid w:val="00691ED7"/>
    <w:rsid w:val="0069403B"/>
    <w:rsid w:val="006A2E84"/>
    <w:rsid w:val="006B2EA7"/>
    <w:rsid w:val="006F3DDE"/>
    <w:rsid w:val="006F632C"/>
    <w:rsid w:val="006F6F98"/>
    <w:rsid w:val="00704678"/>
    <w:rsid w:val="0070515B"/>
    <w:rsid w:val="00716457"/>
    <w:rsid w:val="00720931"/>
    <w:rsid w:val="0073575F"/>
    <w:rsid w:val="007425E7"/>
    <w:rsid w:val="00754177"/>
    <w:rsid w:val="00761736"/>
    <w:rsid w:val="007622DC"/>
    <w:rsid w:val="00764D7F"/>
    <w:rsid w:val="007831C1"/>
    <w:rsid w:val="00784E61"/>
    <w:rsid w:val="00791D1B"/>
    <w:rsid w:val="0079252D"/>
    <w:rsid w:val="007A3D35"/>
    <w:rsid w:val="007B1481"/>
    <w:rsid w:val="007C1549"/>
    <w:rsid w:val="007C22A5"/>
    <w:rsid w:val="007D25C2"/>
    <w:rsid w:val="007D5BAD"/>
    <w:rsid w:val="007F2A1D"/>
    <w:rsid w:val="007F7080"/>
    <w:rsid w:val="00802607"/>
    <w:rsid w:val="008101A5"/>
    <w:rsid w:val="00815CCB"/>
    <w:rsid w:val="008202C1"/>
    <w:rsid w:val="00822664"/>
    <w:rsid w:val="0082653D"/>
    <w:rsid w:val="00843796"/>
    <w:rsid w:val="0085191B"/>
    <w:rsid w:val="00862679"/>
    <w:rsid w:val="00875F28"/>
    <w:rsid w:val="00895229"/>
    <w:rsid w:val="008A167E"/>
    <w:rsid w:val="008B2EB3"/>
    <w:rsid w:val="008C120F"/>
    <w:rsid w:val="008D1C41"/>
    <w:rsid w:val="008D425B"/>
    <w:rsid w:val="008E1B5A"/>
    <w:rsid w:val="008F0203"/>
    <w:rsid w:val="008F50D4"/>
    <w:rsid w:val="00905AD9"/>
    <w:rsid w:val="009239AA"/>
    <w:rsid w:val="00935ADA"/>
    <w:rsid w:val="00935B25"/>
    <w:rsid w:val="00946B6C"/>
    <w:rsid w:val="00951DA3"/>
    <w:rsid w:val="00955A71"/>
    <w:rsid w:val="0096108F"/>
    <w:rsid w:val="009735A9"/>
    <w:rsid w:val="009873DE"/>
    <w:rsid w:val="009C13B9"/>
    <w:rsid w:val="009D01A2"/>
    <w:rsid w:val="009E323E"/>
    <w:rsid w:val="009F5923"/>
    <w:rsid w:val="00A12D4E"/>
    <w:rsid w:val="00A16847"/>
    <w:rsid w:val="00A178F8"/>
    <w:rsid w:val="00A21189"/>
    <w:rsid w:val="00A21C41"/>
    <w:rsid w:val="00A25E87"/>
    <w:rsid w:val="00A403BB"/>
    <w:rsid w:val="00A57D5F"/>
    <w:rsid w:val="00A65F42"/>
    <w:rsid w:val="00A674DF"/>
    <w:rsid w:val="00A83AA6"/>
    <w:rsid w:val="00A83C94"/>
    <w:rsid w:val="00A934D6"/>
    <w:rsid w:val="00AE0289"/>
    <w:rsid w:val="00AE1809"/>
    <w:rsid w:val="00B1091B"/>
    <w:rsid w:val="00B27DA9"/>
    <w:rsid w:val="00B338D8"/>
    <w:rsid w:val="00B35113"/>
    <w:rsid w:val="00B37FC7"/>
    <w:rsid w:val="00B46D38"/>
    <w:rsid w:val="00B6043F"/>
    <w:rsid w:val="00B64EE8"/>
    <w:rsid w:val="00B65EBC"/>
    <w:rsid w:val="00B71EA5"/>
    <w:rsid w:val="00B80D76"/>
    <w:rsid w:val="00B91277"/>
    <w:rsid w:val="00B92544"/>
    <w:rsid w:val="00B93DE4"/>
    <w:rsid w:val="00BA2105"/>
    <w:rsid w:val="00BA7E06"/>
    <w:rsid w:val="00BB43B5"/>
    <w:rsid w:val="00BB6219"/>
    <w:rsid w:val="00BC6183"/>
    <w:rsid w:val="00BD290F"/>
    <w:rsid w:val="00BF6AD3"/>
    <w:rsid w:val="00C007DC"/>
    <w:rsid w:val="00C048B7"/>
    <w:rsid w:val="00C14CC4"/>
    <w:rsid w:val="00C33C52"/>
    <w:rsid w:val="00C369CB"/>
    <w:rsid w:val="00C40D8B"/>
    <w:rsid w:val="00C43516"/>
    <w:rsid w:val="00C45330"/>
    <w:rsid w:val="00C463D1"/>
    <w:rsid w:val="00C70CC7"/>
    <w:rsid w:val="00C8407A"/>
    <w:rsid w:val="00C8488C"/>
    <w:rsid w:val="00C853F5"/>
    <w:rsid w:val="00C86E91"/>
    <w:rsid w:val="00C902A5"/>
    <w:rsid w:val="00CA2650"/>
    <w:rsid w:val="00CB01C8"/>
    <w:rsid w:val="00CB1078"/>
    <w:rsid w:val="00CB1A77"/>
    <w:rsid w:val="00CB1AD6"/>
    <w:rsid w:val="00CB51DC"/>
    <w:rsid w:val="00CC0159"/>
    <w:rsid w:val="00CC6FAF"/>
    <w:rsid w:val="00CD6649"/>
    <w:rsid w:val="00CE4F52"/>
    <w:rsid w:val="00CF6542"/>
    <w:rsid w:val="00D04E58"/>
    <w:rsid w:val="00D13A71"/>
    <w:rsid w:val="00D24698"/>
    <w:rsid w:val="00D27027"/>
    <w:rsid w:val="00D34425"/>
    <w:rsid w:val="00D50550"/>
    <w:rsid w:val="00D6383F"/>
    <w:rsid w:val="00D70271"/>
    <w:rsid w:val="00D74E02"/>
    <w:rsid w:val="00D760A7"/>
    <w:rsid w:val="00D87FE6"/>
    <w:rsid w:val="00DB59D0"/>
    <w:rsid w:val="00DC33D3"/>
    <w:rsid w:val="00DF4BDE"/>
    <w:rsid w:val="00E1059F"/>
    <w:rsid w:val="00E10707"/>
    <w:rsid w:val="00E26329"/>
    <w:rsid w:val="00E40B50"/>
    <w:rsid w:val="00E50293"/>
    <w:rsid w:val="00E51114"/>
    <w:rsid w:val="00E54617"/>
    <w:rsid w:val="00E56CE6"/>
    <w:rsid w:val="00E65FFC"/>
    <w:rsid w:val="00E744EA"/>
    <w:rsid w:val="00E80951"/>
    <w:rsid w:val="00E80A0E"/>
    <w:rsid w:val="00E854FE"/>
    <w:rsid w:val="00E85C25"/>
    <w:rsid w:val="00E85D71"/>
    <w:rsid w:val="00E86CC6"/>
    <w:rsid w:val="00E87CAC"/>
    <w:rsid w:val="00EB56B3"/>
    <w:rsid w:val="00EC07F3"/>
    <w:rsid w:val="00EC28F5"/>
    <w:rsid w:val="00ED6492"/>
    <w:rsid w:val="00EE74A1"/>
    <w:rsid w:val="00EF2095"/>
    <w:rsid w:val="00F06866"/>
    <w:rsid w:val="00F15956"/>
    <w:rsid w:val="00F20314"/>
    <w:rsid w:val="00F24CFC"/>
    <w:rsid w:val="00F2627D"/>
    <w:rsid w:val="00F3170F"/>
    <w:rsid w:val="00F6634D"/>
    <w:rsid w:val="00F6770D"/>
    <w:rsid w:val="00F73174"/>
    <w:rsid w:val="00F7474E"/>
    <w:rsid w:val="00F811A6"/>
    <w:rsid w:val="00F83705"/>
    <w:rsid w:val="00F94B91"/>
    <w:rsid w:val="00F976B0"/>
    <w:rsid w:val="00FA6DE7"/>
    <w:rsid w:val="00FC0A8E"/>
    <w:rsid w:val="00FE193B"/>
    <w:rsid w:val="00FE2FA6"/>
    <w:rsid w:val="00FE3DF2"/>
    <w:rsid w:val="00FE5D28"/>
    <w:rsid w:val="049FA275"/>
    <w:rsid w:val="05020D15"/>
    <w:rsid w:val="0708BA1C"/>
    <w:rsid w:val="0AC5F5CA"/>
    <w:rsid w:val="0B020009"/>
    <w:rsid w:val="0F1F22D6"/>
    <w:rsid w:val="1171976B"/>
    <w:rsid w:val="17DA8F7B"/>
    <w:rsid w:val="1A27F77F"/>
    <w:rsid w:val="1D213022"/>
    <w:rsid w:val="274FB8C6"/>
    <w:rsid w:val="2A7BE76B"/>
    <w:rsid w:val="2E480D9A"/>
    <w:rsid w:val="2E697EFE"/>
    <w:rsid w:val="2FD1DF9E"/>
    <w:rsid w:val="30054F5F"/>
    <w:rsid w:val="330C475D"/>
    <w:rsid w:val="367490E3"/>
    <w:rsid w:val="3746D413"/>
    <w:rsid w:val="3AE40B82"/>
    <w:rsid w:val="3C7D19B6"/>
    <w:rsid w:val="3EE07A2C"/>
    <w:rsid w:val="4074FA4D"/>
    <w:rsid w:val="43514001"/>
    <w:rsid w:val="44EC228E"/>
    <w:rsid w:val="451983EE"/>
    <w:rsid w:val="47FD462D"/>
    <w:rsid w:val="4944E7A3"/>
    <w:rsid w:val="4A9CF005"/>
    <w:rsid w:val="4E36FB67"/>
    <w:rsid w:val="4FD2CBC8"/>
    <w:rsid w:val="5458E4FE"/>
    <w:rsid w:val="5544CFE3"/>
    <w:rsid w:val="57BF3B0C"/>
    <w:rsid w:val="57C4B550"/>
    <w:rsid w:val="58FE1B11"/>
    <w:rsid w:val="5F8E0793"/>
    <w:rsid w:val="62B3DC12"/>
    <w:rsid w:val="644DB786"/>
    <w:rsid w:val="6FF62BAA"/>
    <w:rsid w:val="73F2AC13"/>
    <w:rsid w:val="7599A46C"/>
    <w:rsid w:val="77407823"/>
    <w:rsid w:val="7936B3EC"/>
    <w:rsid w:val="7C8C8EA2"/>
    <w:rsid w:val="7D448B83"/>
    <w:rsid w:val="7EE05B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B101B6"/>
  <w15:chartTrackingRefBased/>
  <w15:docId w15:val="{BA70ECF8-9F23-4EE6-8422-8C88CD96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paragraph">
    <w:name w:val="paragraph"/>
    <w:basedOn w:val="Normal"/>
    <w:rsid w:val="00815CCB"/>
    <w:pPr>
      <w:spacing w:before="100" w:beforeAutospacing="1" w:after="100" w:afterAutospacing="1"/>
    </w:pPr>
  </w:style>
  <w:style w:type="character" w:customStyle="1" w:styleId="eop">
    <w:name w:val="eop"/>
    <w:basedOn w:val="DefaultParagraphFont"/>
    <w:rsid w:val="00815CCB"/>
  </w:style>
  <w:style w:type="character" w:customStyle="1" w:styleId="normaltextrun">
    <w:name w:val="normaltextrun"/>
    <w:basedOn w:val="DefaultParagraphFont"/>
    <w:rsid w:val="00815CCB"/>
  </w:style>
  <w:style w:type="paragraph" w:styleId="Revision">
    <w:name w:val="Revision"/>
    <w:hidden/>
    <w:uiPriority w:val="99"/>
    <w:semiHidden/>
    <w:rsid w:val="00A57D5F"/>
    <w:rPr>
      <w:sz w:val="24"/>
      <w:szCs w:val="24"/>
    </w:rPr>
  </w:style>
  <w:style w:type="character" w:styleId="Hyperlink">
    <w:name w:val="Hyperlink"/>
    <w:basedOn w:val="DefaultParagraphFont"/>
    <w:rsid w:val="0010760E"/>
    <w:rPr>
      <w:color w:val="0563C1" w:themeColor="hyperlink"/>
      <w:u w:val="single"/>
    </w:rPr>
  </w:style>
  <w:style w:type="character" w:customStyle="1" w:styleId="UnresolvedMention1">
    <w:name w:val="Unresolved Mention1"/>
    <w:basedOn w:val="DefaultParagraphFont"/>
    <w:uiPriority w:val="99"/>
    <w:semiHidden/>
    <w:unhideWhenUsed/>
    <w:rsid w:val="004F6215"/>
    <w:rPr>
      <w:color w:val="605E5C"/>
      <w:shd w:val="clear" w:color="auto" w:fill="E1DFDD"/>
    </w:rPr>
  </w:style>
  <w:style w:type="paragraph" w:styleId="FootnoteText">
    <w:name w:val="footnote text"/>
    <w:basedOn w:val="Normal"/>
    <w:link w:val="FootnoteTextChar"/>
    <w:unhideWhenUsed/>
    <w:rsid w:val="006407C9"/>
    <w:rPr>
      <w:rFonts w:ascii="Cambria" w:eastAsia="Cambria" w:hAnsi="Cambria" w:cs="Cambria"/>
      <w:sz w:val="20"/>
      <w:szCs w:val="20"/>
    </w:rPr>
  </w:style>
  <w:style w:type="character" w:customStyle="1" w:styleId="FootnoteTextChar">
    <w:name w:val="Footnote Text Char"/>
    <w:basedOn w:val="DefaultParagraphFont"/>
    <w:link w:val="FootnoteText"/>
    <w:rsid w:val="006407C9"/>
    <w:rPr>
      <w:rFonts w:ascii="Cambria" w:eastAsia="Cambria" w:hAnsi="Cambria" w:cs="Cambria"/>
    </w:rPr>
  </w:style>
  <w:style w:type="character" w:styleId="FootnoteReference">
    <w:name w:val="footnote reference"/>
    <w:basedOn w:val="DefaultParagraphFont"/>
    <w:unhideWhenUsed/>
    <w:rsid w:val="006407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0088d0a-fac1-4ca5-8208-3a495c3db1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1F0F6A926BEA04F97F4A79A757F617A" ma:contentTypeVersion="12" ma:contentTypeDescription="Create a new document." ma:contentTypeScope="" ma:versionID="1d5205f498efc96d00af67d3b97c846c">
  <xsd:schema xmlns:xsd="http://www.w3.org/2001/XMLSchema" xmlns:xs="http://www.w3.org/2001/XMLSchema" xmlns:p="http://schemas.microsoft.com/office/2006/metadata/properties" xmlns:ns3="1711d491-0b84-470c-b250-df8647fdbab8" xmlns:ns4="10088d0a-fac1-4ca5-8208-3a495c3db19e" targetNamespace="http://schemas.microsoft.com/office/2006/metadata/properties" ma:root="true" ma:fieldsID="4f9eadb27cb2013e604c1888f5abf29b" ns3:_="" ns4:_="">
    <xsd:import namespace="1711d491-0b84-470c-b250-df8647fdbab8"/>
    <xsd:import namespace="10088d0a-fac1-4ca5-8208-3a495c3db19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1d491-0b84-470c-b250-df8647fdbab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088d0a-fac1-4ca5-8208-3a495c3db1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09C7E2-E4AD-4E7F-8F32-E0783AFC1872}">
  <ds:schemaRefs>
    <ds:schemaRef ds:uri="http://schemas.microsoft.com/office/2006/metadata/properties"/>
    <ds:schemaRef ds:uri="http://schemas.microsoft.com/office/infopath/2007/PartnerControls"/>
    <ds:schemaRef ds:uri="10088d0a-fac1-4ca5-8208-3a495c3db19e"/>
  </ds:schemaRefs>
</ds:datastoreItem>
</file>

<file path=customXml/itemProps2.xml><?xml version="1.0" encoding="utf-8"?>
<ds:datastoreItem xmlns:ds="http://schemas.openxmlformats.org/officeDocument/2006/customXml" ds:itemID="{81F62BB1-9F63-4C55-A3B9-951D2E8724BA}">
  <ds:schemaRefs>
    <ds:schemaRef ds:uri="http://schemas.microsoft.com/sharepoint/v3/contenttype/forms"/>
  </ds:schemaRefs>
</ds:datastoreItem>
</file>

<file path=customXml/itemProps3.xml><?xml version="1.0" encoding="utf-8"?>
<ds:datastoreItem xmlns:ds="http://schemas.openxmlformats.org/officeDocument/2006/customXml" ds:itemID="{C8A73872-82E1-4F73-9CB4-1BEB9B9E5EA8}">
  <ds:schemaRefs>
    <ds:schemaRef ds:uri="http://schemas.openxmlformats.org/officeDocument/2006/bibliography"/>
  </ds:schemaRefs>
</ds:datastoreItem>
</file>

<file path=customXml/itemProps4.xml><?xml version="1.0" encoding="utf-8"?>
<ds:datastoreItem xmlns:ds="http://schemas.openxmlformats.org/officeDocument/2006/customXml" ds:itemID="{1FD4358B-9CEC-4024-8B39-A2E0468BF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1d491-0b84-470c-b250-df8647fdbab8"/>
    <ds:schemaRef ds:uri="10088d0a-fac1-4ca5-8208-3a495c3db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2736</Words>
  <Characters>15601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Franklin, Jamia - FNS</cp:lastModifiedBy>
  <cp:revision>9</cp:revision>
  <cp:lastPrinted>2010-10-04T15:59:00Z</cp:lastPrinted>
  <dcterms:created xsi:type="dcterms:W3CDTF">2023-04-27T19:11:00Z</dcterms:created>
  <dcterms:modified xsi:type="dcterms:W3CDTF">2023-05-02T18:57:00Z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0x010100B1F0F6A926BEA04F97F4A79A757F617A</vt:lpwstr>
  </property>
  <property fmtid="{D5CDD505-2E9C-101B-9397-08002B2CF9AE}" pid="3" name="MediaServiceImageTags">
    <vt:lpwstr/>
  </property>
  <property fmtid="{D5CDD505-2E9C-101B-9397-08002B2CF9AE}" pid="4" name="_NewReviewCycle">
    <vt:lpwstr/>
  </property>
</Properties>
</file>