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753E8" w:rsidP="009753E8" w14:paraId="139DFD7C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9636EE">
        <w:rPr>
          <w:rFonts w:ascii="Times New Roman" w:hAnsi="Times New Roman" w:cs="Times New Roman"/>
          <w:noProof/>
          <w:sz w:val="23"/>
          <w:szCs w:val="23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</wp:posOffset>
            </wp:positionH>
            <wp:positionV relativeFrom="page">
              <wp:posOffset>356870</wp:posOffset>
            </wp:positionV>
            <wp:extent cx="2688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336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FAA26D3D-D897-4be2-8F04-BA451C77F1D7}">
                        <ma14:placeholder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ve="http://schemas.openxmlformats.org/markup-compatibility/2006" xmlns:w="http://schemas.openxmlformats.org/wordprocessingml/2006/main" xmlns:w10="urn:schemas-microsoft-com:office:word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646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-65595</wp:posOffset>
                </wp:positionH>
                <wp:positionV relativeFrom="page">
                  <wp:posOffset>850265</wp:posOffset>
                </wp:positionV>
                <wp:extent cx="609904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990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flip:x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z-index:251662336" from="-5.15pt,66.95pt" to="475.1pt,66.95pt" strokecolor="black" strokeweight="1pt">
                <v:stroke joinstyle="miter"/>
              </v:line>
            </w:pict>
          </mc:Fallback>
        </mc:AlternateContent>
      </w:r>
      <w:r w:rsidR="0049775C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-1177506</wp:posOffset>
                </wp:positionH>
                <wp:positionV relativeFrom="page">
                  <wp:posOffset>914400</wp:posOffset>
                </wp:positionV>
                <wp:extent cx="1115568" cy="85770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5568" cy="8577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ma14="http://schemas.microsoft.com/office/mac/drawingml/2011/main" xmlns:o="urn:schemas-microsoft-com:office:office" xmlns:v="urn:schemas-microsoft-com:vml" xmlns:w="http://schemas.openxmlformats.org/wordprocessingml/2006/main" xmlns:w10="urn:schemas-microsoft-com:office:word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75C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Food and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Nutrition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Service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1320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Braddock     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Place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Alexandria,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VA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22314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87.85pt;height:675.35pt;margin-top:1in;margin-left:-92.7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0288" filled="f" stroked="f">
                <v:textbox>
                  <w:txbxContent>
                    <w:p w:rsidR="0049775C" w:rsidP="0049775C" w14:paraId="2865D3A0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Food and </w:t>
                      </w:r>
                    </w:p>
                    <w:p w:rsidR="0049775C" w:rsidRPr="000D4414" w:rsidP="0049775C" w14:paraId="657477BD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Nutrition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Service</w:t>
                      </w:r>
                    </w:p>
                    <w:p w:rsidR="0049775C" w:rsidRPr="000D4414" w:rsidP="0049775C" w14:paraId="40228CF7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9775C" w:rsidP="0049775C" w14:paraId="0886AA83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1320 </w:t>
                      </w:r>
                    </w:p>
                    <w:p w:rsidR="0049775C" w:rsidP="0049775C" w14:paraId="314821B5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Braddock      </w:t>
                      </w:r>
                    </w:p>
                    <w:p w:rsidR="0049775C" w:rsidP="0049775C" w14:paraId="3741E67C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Place</w:t>
                      </w:r>
                    </w:p>
                    <w:p w:rsidR="0049775C" w:rsidP="0049775C" w14:paraId="7633F2B1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Alexandria, </w:t>
                      </w:r>
                    </w:p>
                    <w:p w:rsidR="0049775C" w:rsidP="0049775C" w14:paraId="41F273BA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VA </w:t>
                      </w:r>
                    </w:p>
                    <w:p w:rsidR="0049775C" w:rsidRPr="000D4414" w:rsidP="0049775C" w14:paraId="0D4E7121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22314</w:t>
                      </w:r>
                    </w:p>
                  </w:txbxContent>
                </v:textbox>
              </v:shape>
            </w:pict>
          </mc:Fallback>
        </mc:AlternateContent>
      </w:r>
      <w:r w:rsidR="009753E8">
        <w:rPr>
          <w:rFonts w:ascii="Times New Roman" w:hAnsi="Times New Roman" w:cs="Times New Roman"/>
          <w:sz w:val="24"/>
          <w:szCs w:val="24"/>
        </w:rPr>
        <w:t>TO:</w:t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BD3B50">
        <w:rPr>
          <w:rFonts w:ascii="Times New Roman" w:hAnsi="Times New Roman" w:cs="Times New Roman"/>
          <w:sz w:val="24"/>
          <w:szCs w:val="24"/>
        </w:rPr>
        <w:t>Laurel Havas</w:t>
      </w:r>
    </w:p>
    <w:p w:rsidR="001929BA" w:rsidP="009753E8" w14:paraId="2F12478E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OMB Desk Officer</w:t>
      </w:r>
    </w:p>
    <w:p w:rsidR="009753E8" w:rsidRPr="009753E8" w:rsidP="009753E8" w14:paraId="6B4FCD54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Information and Regulatory Affairs</w:t>
      </w:r>
    </w:p>
    <w:p w:rsidR="009753E8" w:rsidP="009753E8" w14:paraId="6F84F8F0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Management and Budget</w:t>
      </w:r>
      <w:r w:rsidR="00BD3B50">
        <w:rPr>
          <w:rFonts w:ascii="Times New Roman" w:hAnsi="Times New Roman" w:cs="Times New Roman"/>
          <w:sz w:val="24"/>
          <w:szCs w:val="24"/>
        </w:rPr>
        <w:t xml:space="preserve"> (OMB)</w:t>
      </w:r>
    </w:p>
    <w:p w:rsidR="009753E8" w:rsidP="009753E8" w14:paraId="5B4EFEE7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0095DD88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THROUGH: </w:t>
      </w:r>
      <w:r>
        <w:rPr>
          <w:rFonts w:ascii="Times New Roman" w:hAnsi="Times New Roman" w:cs="Times New Roman"/>
          <w:sz w:val="24"/>
          <w:szCs w:val="24"/>
        </w:rPr>
        <w:tab/>
      </w:r>
      <w:r w:rsidR="00D366D2">
        <w:rPr>
          <w:rFonts w:ascii="Times New Roman" w:hAnsi="Times New Roman" w:cs="Times New Roman"/>
          <w:sz w:val="24"/>
          <w:szCs w:val="24"/>
        </w:rPr>
        <w:t>Rachelle Ragland-Greene</w:t>
      </w:r>
    </w:p>
    <w:p w:rsidR="009753E8" w:rsidRPr="009753E8" w:rsidP="009753E8" w14:paraId="10605651" w14:textId="5D805011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Department Clearance Officer</w:t>
      </w:r>
    </w:p>
    <w:p w:rsidR="009753E8" w:rsidRPr="009753E8" w:rsidP="009753E8" w14:paraId="5ADC25D6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United States Department of Agriculture</w:t>
      </w:r>
    </w:p>
    <w:p w:rsidR="009753E8" w:rsidP="009753E8" w14:paraId="4AA461DD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Chief Information Office</w:t>
      </w:r>
      <w:r w:rsidR="00BD3B50">
        <w:rPr>
          <w:rFonts w:ascii="Times New Roman" w:hAnsi="Times New Roman" w:cs="Times New Roman"/>
          <w:sz w:val="24"/>
          <w:szCs w:val="24"/>
        </w:rPr>
        <w:t xml:space="preserve"> (OCIO)</w:t>
      </w:r>
    </w:p>
    <w:p w:rsidR="009753E8" w:rsidRPr="009753E8" w:rsidP="009753E8" w14:paraId="1F4B38A6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</w:p>
    <w:p w:rsidR="009753E8" w:rsidP="009753E8" w14:paraId="760AE985" w14:textId="096A539C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 w:rsidR="00823BDF">
        <w:rPr>
          <w:rFonts w:ascii="Times New Roman" w:hAnsi="Times New Roman" w:cs="Times New Roman"/>
          <w:sz w:val="24"/>
          <w:szCs w:val="24"/>
        </w:rPr>
        <w:t xml:space="preserve">Christina Sandberg </w:t>
      </w:r>
    </w:p>
    <w:p w:rsidR="00EE52C0" w:rsidP="00EE52C0" w14:paraId="1BAD789F" w14:textId="0F6958B1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Collection Clearance Officer </w:t>
      </w:r>
    </w:p>
    <w:p w:rsidR="009753E8" w:rsidP="009753E8" w14:paraId="68F9356A" w14:textId="1AE88D6A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OPS/</w:t>
      </w:r>
      <w:r w:rsidR="003B51CE">
        <w:rPr>
          <w:rFonts w:ascii="Times New Roman" w:hAnsi="Times New Roman" w:cs="Times New Roman"/>
          <w:sz w:val="24"/>
          <w:szCs w:val="24"/>
        </w:rPr>
        <w:t>Planning and Regulatory Affairs Office</w:t>
      </w:r>
    </w:p>
    <w:p w:rsidR="00EE52C0" w:rsidP="00EE52C0" w14:paraId="3B83128D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Food and Nutrition Service (FNS)</w:t>
      </w:r>
    </w:p>
    <w:p w:rsidR="009753E8" w:rsidP="009753E8" w14:paraId="2E6B8C68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6EF63BCF" w14:textId="05109AF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423ABC">
        <w:rPr>
          <w:rFonts w:ascii="Times New Roman" w:hAnsi="Times New Roman" w:cs="Times New Roman"/>
          <w:sz w:val="24"/>
          <w:szCs w:val="24"/>
        </w:rPr>
        <w:t>October 22</w:t>
      </w:r>
      <w:r w:rsidR="008A4F03">
        <w:rPr>
          <w:rFonts w:ascii="Times New Roman" w:hAnsi="Times New Roman" w:cs="Times New Roman"/>
          <w:sz w:val="24"/>
          <w:szCs w:val="24"/>
        </w:rPr>
        <w:t>, 2024</w:t>
      </w:r>
    </w:p>
    <w:p w:rsidR="00EE52C0" w:rsidP="009753E8" w14:paraId="77615FB8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EE52C0" w:rsidP="00236DFB" w14:paraId="6DA208DB" w14:textId="7D1799B8">
      <w:pPr>
        <w:widowControl w:val="0"/>
        <w:autoSpaceDE w:val="0"/>
        <w:autoSpaceDN w:val="0"/>
        <w:adjustRightInd w:val="0"/>
        <w:ind w:left="1440" w:right="-274" w:hanging="144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SUBJECT:</w:t>
      </w:r>
      <w:r w:rsidRPr="00EE52C0">
        <w:rPr>
          <w:rFonts w:ascii="Times New Roman" w:hAnsi="Times New Roman" w:cs="Times New Roman"/>
          <w:sz w:val="24"/>
          <w:szCs w:val="24"/>
        </w:rPr>
        <w:tab/>
        <w:t xml:space="preserve">Justification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2F4447">
        <w:rPr>
          <w:rFonts w:ascii="Times New Roman" w:hAnsi="Times New Roman" w:cs="Times New Roman"/>
          <w:sz w:val="24"/>
          <w:szCs w:val="24"/>
        </w:rPr>
        <w:t>I</w:t>
      </w:r>
      <w:r w:rsidR="00E36255">
        <w:rPr>
          <w:rFonts w:ascii="Times New Roman" w:hAnsi="Times New Roman" w:cs="Times New Roman"/>
          <w:sz w:val="24"/>
          <w:szCs w:val="24"/>
        </w:rPr>
        <w:t xml:space="preserve">ncrease in the </w:t>
      </w:r>
      <w:r w:rsidR="002F4447">
        <w:rPr>
          <w:rFonts w:ascii="Times New Roman" w:hAnsi="Times New Roman" w:cs="Times New Roman"/>
          <w:sz w:val="24"/>
          <w:szCs w:val="24"/>
        </w:rPr>
        <w:t>O</w:t>
      </w:r>
      <w:r w:rsidR="00E36255">
        <w:rPr>
          <w:rFonts w:ascii="Times New Roman" w:hAnsi="Times New Roman" w:cs="Times New Roman"/>
          <w:sz w:val="24"/>
          <w:szCs w:val="24"/>
        </w:rPr>
        <w:t xml:space="preserve">verall </w:t>
      </w:r>
      <w:r w:rsidR="002F4447">
        <w:rPr>
          <w:rFonts w:ascii="Times New Roman" w:hAnsi="Times New Roman" w:cs="Times New Roman"/>
          <w:sz w:val="24"/>
          <w:szCs w:val="24"/>
        </w:rPr>
        <w:t>B</w:t>
      </w:r>
      <w:r w:rsidR="00E36255">
        <w:rPr>
          <w:rFonts w:ascii="Times New Roman" w:hAnsi="Times New Roman" w:cs="Times New Roman"/>
          <w:sz w:val="24"/>
          <w:szCs w:val="24"/>
        </w:rPr>
        <w:t xml:space="preserve">urden </w:t>
      </w:r>
      <w:r w:rsidR="002F4447">
        <w:rPr>
          <w:rFonts w:ascii="Times New Roman" w:hAnsi="Times New Roman" w:cs="Times New Roman"/>
          <w:sz w:val="24"/>
          <w:szCs w:val="24"/>
        </w:rPr>
        <w:t>E</w:t>
      </w:r>
      <w:r w:rsidR="00E36255">
        <w:rPr>
          <w:rFonts w:ascii="Times New Roman" w:hAnsi="Times New Roman" w:cs="Times New Roman"/>
          <w:sz w:val="24"/>
          <w:szCs w:val="24"/>
        </w:rPr>
        <w:t xml:space="preserve">stimates </w:t>
      </w:r>
      <w:r w:rsidR="000F6A34">
        <w:rPr>
          <w:rFonts w:ascii="Times New Roman" w:hAnsi="Times New Roman" w:cs="Times New Roman"/>
          <w:sz w:val="24"/>
          <w:szCs w:val="24"/>
        </w:rPr>
        <w:t xml:space="preserve">for </w:t>
      </w:r>
      <w:r w:rsidRPr="00EE52C0">
        <w:rPr>
          <w:rFonts w:ascii="Times New Roman" w:hAnsi="Times New Roman" w:cs="Times New Roman"/>
          <w:sz w:val="24"/>
          <w:szCs w:val="24"/>
        </w:rPr>
        <w:t>OMB Control N</w:t>
      </w:r>
      <w:r w:rsidR="000F6A34">
        <w:rPr>
          <w:rFonts w:ascii="Times New Roman" w:hAnsi="Times New Roman" w:cs="Times New Roman"/>
          <w:sz w:val="24"/>
          <w:szCs w:val="24"/>
        </w:rPr>
        <w:t>umber 0584-061</w:t>
      </w:r>
      <w:r w:rsidR="00E77BC5">
        <w:rPr>
          <w:rFonts w:ascii="Times New Roman" w:hAnsi="Times New Roman" w:cs="Times New Roman"/>
          <w:sz w:val="24"/>
          <w:szCs w:val="24"/>
        </w:rPr>
        <w:t xml:space="preserve">1 </w:t>
      </w:r>
      <w:r w:rsidR="0033262B">
        <w:rPr>
          <w:rFonts w:ascii="Times New Roman" w:hAnsi="Times New Roman" w:cs="Times New Roman"/>
          <w:sz w:val="24"/>
          <w:szCs w:val="24"/>
        </w:rPr>
        <w:t xml:space="preserve">FNS Fast Track Clearance </w:t>
      </w:r>
      <w:r w:rsidR="00D00046">
        <w:rPr>
          <w:rFonts w:ascii="Times New Roman" w:hAnsi="Times New Roman" w:cs="Times New Roman"/>
          <w:sz w:val="24"/>
          <w:szCs w:val="24"/>
        </w:rPr>
        <w:t xml:space="preserve">for the Collection </w:t>
      </w:r>
      <w:r w:rsidR="0033262B">
        <w:rPr>
          <w:rFonts w:ascii="Times New Roman" w:hAnsi="Times New Roman" w:cs="Times New Roman"/>
          <w:sz w:val="24"/>
          <w:szCs w:val="24"/>
        </w:rPr>
        <w:t>of Routine Customer Feedback</w:t>
      </w:r>
      <w:r w:rsidR="00797A28">
        <w:rPr>
          <w:rFonts w:ascii="Times New Roman" w:hAnsi="Times New Roman" w:cs="Times New Roman"/>
          <w:sz w:val="24"/>
          <w:szCs w:val="24"/>
        </w:rPr>
        <w:t xml:space="preserve"> </w:t>
      </w:r>
      <w:r w:rsidR="00C22FB4">
        <w:rPr>
          <w:rFonts w:ascii="Times New Roman" w:hAnsi="Times New Roman" w:cs="Times New Roman"/>
          <w:sz w:val="24"/>
          <w:szCs w:val="24"/>
        </w:rPr>
        <w:t xml:space="preserve">as a Result of </w:t>
      </w:r>
      <w:r w:rsidR="00B108A7">
        <w:rPr>
          <w:rFonts w:ascii="Times New Roman" w:hAnsi="Times New Roman" w:cs="Times New Roman"/>
          <w:sz w:val="24"/>
          <w:szCs w:val="24"/>
        </w:rPr>
        <w:t>Increased Submissions</w:t>
      </w:r>
      <w:r w:rsidR="000D0830">
        <w:rPr>
          <w:rFonts w:ascii="Times New Roman" w:hAnsi="Times New Roman" w:cs="Times New Roman"/>
          <w:sz w:val="24"/>
          <w:szCs w:val="24"/>
        </w:rPr>
        <w:t>.</w:t>
      </w:r>
      <w:r w:rsidR="000F6A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3E8" w:rsidP="009753E8" w14:paraId="7C3AB2DD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816D2D" w:rsidP="00236DFB" w14:paraId="72ECCB7B" w14:textId="18291EB3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236DFB">
        <w:rPr>
          <w:rFonts w:ascii="Times New Roman" w:hAnsi="Times New Roman" w:cs="Times New Roman"/>
          <w:sz w:val="24"/>
          <w:szCs w:val="24"/>
        </w:rPr>
        <w:t xml:space="preserve">The Food and Nutrition Service (FNS) is requesting </w:t>
      </w:r>
      <w:r w:rsidR="00AE11E2">
        <w:rPr>
          <w:rFonts w:ascii="Times New Roman" w:hAnsi="Times New Roman" w:cs="Times New Roman"/>
          <w:sz w:val="24"/>
          <w:szCs w:val="24"/>
        </w:rPr>
        <w:t xml:space="preserve">a </w:t>
      </w:r>
      <w:r w:rsidRPr="00236DFB">
        <w:rPr>
          <w:rFonts w:ascii="Times New Roman" w:hAnsi="Times New Roman" w:cs="Times New Roman"/>
          <w:sz w:val="24"/>
          <w:szCs w:val="24"/>
        </w:rPr>
        <w:t>non-substantive change</w:t>
      </w:r>
      <w:r w:rsidR="00A93812">
        <w:rPr>
          <w:rFonts w:ascii="Times New Roman" w:hAnsi="Times New Roman" w:cs="Times New Roman"/>
          <w:sz w:val="24"/>
          <w:szCs w:val="24"/>
        </w:rPr>
        <w:t xml:space="preserve"> to </w:t>
      </w:r>
      <w:r w:rsidR="006D5EDF">
        <w:rPr>
          <w:rFonts w:ascii="Times New Roman" w:hAnsi="Times New Roman" w:cs="Times New Roman"/>
          <w:sz w:val="24"/>
          <w:szCs w:val="24"/>
        </w:rPr>
        <w:t xml:space="preserve">increase the overall burden estimates currently approved for </w:t>
      </w:r>
      <w:r w:rsidR="00ED4FC9">
        <w:rPr>
          <w:rFonts w:ascii="Times New Roman" w:hAnsi="Times New Roman" w:cs="Times New Roman"/>
          <w:sz w:val="24"/>
          <w:szCs w:val="24"/>
        </w:rPr>
        <w:t>OMB Control Number 0584-0611 FNS Fast Track Clearance for the Collection of Routine Customer Feedback</w:t>
      </w:r>
      <w:r w:rsidR="0027781B">
        <w:rPr>
          <w:rFonts w:ascii="Times New Roman" w:hAnsi="Times New Roman" w:cs="Times New Roman"/>
          <w:sz w:val="24"/>
          <w:szCs w:val="24"/>
        </w:rPr>
        <w:t xml:space="preserve">; </w:t>
      </w:r>
      <w:r w:rsidRPr="00236DFB">
        <w:rPr>
          <w:rFonts w:ascii="Times New Roman" w:hAnsi="Times New Roman" w:cs="Times New Roman"/>
          <w:sz w:val="24"/>
          <w:szCs w:val="24"/>
        </w:rPr>
        <w:t xml:space="preserve">expiration date of </w:t>
      </w:r>
      <w:r w:rsidR="0027781B">
        <w:rPr>
          <w:rFonts w:ascii="Times New Roman" w:hAnsi="Times New Roman" w:cs="Times New Roman"/>
          <w:sz w:val="24"/>
          <w:szCs w:val="24"/>
        </w:rPr>
        <w:t xml:space="preserve">November </w:t>
      </w:r>
      <w:r w:rsidRPr="00236D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36DFB">
        <w:rPr>
          <w:rFonts w:ascii="Times New Roman" w:hAnsi="Times New Roman" w:cs="Times New Roman"/>
          <w:sz w:val="24"/>
          <w:szCs w:val="24"/>
        </w:rPr>
        <w:t>, 202</w:t>
      </w:r>
      <w:r w:rsidR="007C544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34AB">
        <w:rPr>
          <w:rFonts w:ascii="Times New Roman" w:hAnsi="Times New Roman" w:cs="Times New Roman"/>
          <w:sz w:val="24"/>
          <w:szCs w:val="24"/>
        </w:rPr>
        <w:t>Through this memorandum, we are requesting approval</w:t>
      </w:r>
      <w:r w:rsidR="00491D33">
        <w:rPr>
          <w:rFonts w:ascii="Times New Roman" w:hAnsi="Times New Roman" w:cs="Times New Roman"/>
          <w:sz w:val="24"/>
          <w:szCs w:val="24"/>
        </w:rPr>
        <w:t xml:space="preserve"> </w:t>
      </w:r>
      <w:r w:rsidR="00353D50">
        <w:rPr>
          <w:rFonts w:ascii="Times New Roman" w:hAnsi="Times New Roman" w:cs="Times New Roman"/>
          <w:sz w:val="24"/>
          <w:szCs w:val="24"/>
        </w:rPr>
        <w:t xml:space="preserve">to increase the burden estimates </w:t>
      </w:r>
      <w:r w:rsidR="00491D33">
        <w:rPr>
          <w:rFonts w:ascii="Times New Roman" w:hAnsi="Times New Roman" w:cs="Times New Roman"/>
          <w:sz w:val="24"/>
          <w:szCs w:val="24"/>
        </w:rPr>
        <w:t xml:space="preserve">for the following </w:t>
      </w:r>
      <w:r w:rsidR="009346BE">
        <w:rPr>
          <w:rFonts w:ascii="Times New Roman" w:hAnsi="Times New Roman" w:cs="Times New Roman"/>
          <w:sz w:val="24"/>
          <w:szCs w:val="24"/>
        </w:rPr>
        <w:t>types of collection</w:t>
      </w:r>
      <w:r w:rsidR="0091219D">
        <w:rPr>
          <w:rFonts w:ascii="Times New Roman" w:hAnsi="Times New Roman" w:cs="Times New Roman"/>
          <w:sz w:val="24"/>
          <w:szCs w:val="24"/>
        </w:rPr>
        <w:t>s</w:t>
      </w:r>
      <w:r w:rsidR="009346BE">
        <w:rPr>
          <w:rFonts w:ascii="Times New Roman" w:hAnsi="Times New Roman" w:cs="Times New Roman"/>
          <w:sz w:val="24"/>
          <w:szCs w:val="24"/>
        </w:rPr>
        <w:t xml:space="preserve"> approved </w:t>
      </w:r>
      <w:r w:rsidR="00582876">
        <w:rPr>
          <w:rFonts w:ascii="Times New Roman" w:hAnsi="Times New Roman" w:cs="Times New Roman"/>
          <w:sz w:val="24"/>
          <w:szCs w:val="24"/>
        </w:rPr>
        <w:t>under this clearance</w:t>
      </w:r>
      <w:r w:rsidR="00491D33">
        <w:rPr>
          <w:rFonts w:ascii="Times New Roman" w:hAnsi="Times New Roman" w:cs="Times New Roman"/>
          <w:sz w:val="24"/>
          <w:szCs w:val="24"/>
        </w:rPr>
        <w:t>:</w:t>
      </w:r>
      <w:r w:rsidR="00B734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D2D" w:rsidP="00236DFB" w14:paraId="01472FFD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816D2D" w:rsidP="00910C48" w14:paraId="2308AB98" w14:textId="2B35C710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  <w:szCs w:val="24"/>
        </w:rPr>
      </w:pPr>
      <w:bookmarkStart w:id="0" w:name="_Hlk153376370"/>
      <w:r>
        <w:rPr>
          <w:rFonts w:ascii="Times New Roman" w:hAnsi="Times New Roman"/>
          <w:szCs w:val="24"/>
        </w:rPr>
        <w:t>I</w:t>
      </w:r>
      <w:r w:rsidRPr="00B62B38" w:rsidR="005102F5">
        <w:rPr>
          <w:rFonts w:ascii="Times New Roman" w:hAnsi="Times New Roman"/>
          <w:szCs w:val="24"/>
        </w:rPr>
        <w:t xml:space="preserve">ncrease the </w:t>
      </w:r>
      <w:r w:rsidR="00CE72FF">
        <w:rPr>
          <w:rFonts w:ascii="Times New Roman" w:hAnsi="Times New Roman"/>
          <w:szCs w:val="24"/>
        </w:rPr>
        <w:t xml:space="preserve">burden estimates for the customer feedback surveys to </w:t>
      </w:r>
      <w:r w:rsidR="005D2C75">
        <w:rPr>
          <w:rFonts w:ascii="Times New Roman" w:hAnsi="Times New Roman"/>
          <w:szCs w:val="24"/>
        </w:rPr>
        <w:t>25,000 respon</w:t>
      </w:r>
      <w:r w:rsidR="00DD117A">
        <w:rPr>
          <w:rFonts w:ascii="Times New Roman" w:hAnsi="Times New Roman"/>
          <w:szCs w:val="24"/>
        </w:rPr>
        <w:t xml:space="preserve">dents, </w:t>
      </w:r>
      <w:r w:rsidR="00FB7E5B">
        <w:rPr>
          <w:rFonts w:ascii="Times New Roman" w:hAnsi="Times New Roman"/>
          <w:szCs w:val="24"/>
        </w:rPr>
        <w:t xml:space="preserve">50,000 responses, </w:t>
      </w:r>
      <w:r w:rsidR="005D2C75">
        <w:rPr>
          <w:rFonts w:ascii="Times New Roman" w:hAnsi="Times New Roman"/>
          <w:szCs w:val="24"/>
        </w:rPr>
        <w:t xml:space="preserve">and 50,000 hours.  </w:t>
      </w:r>
      <w:r w:rsidR="00D2694F">
        <w:rPr>
          <w:rFonts w:ascii="Times New Roman" w:hAnsi="Times New Roman"/>
          <w:szCs w:val="24"/>
        </w:rPr>
        <w:t xml:space="preserve">The currently approved burden estimates are </w:t>
      </w:r>
      <w:r w:rsidR="00204885">
        <w:rPr>
          <w:rFonts w:ascii="Times New Roman" w:hAnsi="Times New Roman"/>
          <w:szCs w:val="24"/>
        </w:rPr>
        <w:t xml:space="preserve">15,000 respondents, </w:t>
      </w:r>
      <w:r w:rsidR="00DD56E7">
        <w:rPr>
          <w:rFonts w:ascii="Times New Roman" w:hAnsi="Times New Roman"/>
          <w:szCs w:val="24"/>
        </w:rPr>
        <w:t xml:space="preserve">30,000 </w:t>
      </w:r>
      <w:r w:rsidR="00D2694F">
        <w:rPr>
          <w:rFonts w:ascii="Times New Roman" w:hAnsi="Times New Roman"/>
          <w:szCs w:val="24"/>
        </w:rPr>
        <w:t xml:space="preserve">responses </w:t>
      </w:r>
      <w:r w:rsidR="00AB23C7">
        <w:rPr>
          <w:rFonts w:ascii="Times New Roman" w:hAnsi="Times New Roman"/>
          <w:szCs w:val="24"/>
        </w:rPr>
        <w:t>and 30,000 hours</w:t>
      </w:r>
      <w:r w:rsidRPr="00B62B38" w:rsidR="00E270EB">
        <w:rPr>
          <w:rFonts w:ascii="Times New Roman" w:hAnsi="Times New Roman"/>
          <w:szCs w:val="24"/>
        </w:rPr>
        <w:t>.</w:t>
      </w:r>
      <w:bookmarkEnd w:id="0"/>
      <w:r w:rsidRPr="00B62B38" w:rsidR="00E270EB">
        <w:rPr>
          <w:rFonts w:ascii="Times New Roman" w:hAnsi="Times New Roman"/>
          <w:szCs w:val="24"/>
        </w:rPr>
        <w:t xml:space="preserve"> </w:t>
      </w:r>
    </w:p>
    <w:p w:rsidR="00D84E4F" w:rsidP="00910C48" w14:paraId="1EAB9FEB" w14:textId="6F5B6190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  <w:szCs w:val="24"/>
        </w:rPr>
      </w:pPr>
      <w:bookmarkStart w:id="1" w:name="_Hlk153376489"/>
      <w:r>
        <w:rPr>
          <w:rFonts w:ascii="Times New Roman" w:hAnsi="Times New Roman"/>
          <w:szCs w:val="24"/>
        </w:rPr>
        <w:t xml:space="preserve">Increase the </w:t>
      </w:r>
      <w:r w:rsidR="00AB23C7">
        <w:rPr>
          <w:rFonts w:ascii="Times New Roman" w:hAnsi="Times New Roman"/>
          <w:szCs w:val="24"/>
        </w:rPr>
        <w:t xml:space="preserve">burden estimates for the focus groups to 10,000 </w:t>
      </w:r>
      <w:r w:rsidR="00F05EF7">
        <w:rPr>
          <w:rFonts w:ascii="Times New Roman" w:hAnsi="Times New Roman"/>
          <w:szCs w:val="24"/>
        </w:rPr>
        <w:t xml:space="preserve">respondents, </w:t>
      </w:r>
      <w:r w:rsidR="00275999">
        <w:rPr>
          <w:rFonts w:ascii="Times New Roman" w:hAnsi="Times New Roman"/>
          <w:szCs w:val="24"/>
        </w:rPr>
        <w:t xml:space="preserve">20,000 </w:t>
      </w:r>
      <w:r w:rsidR="00AB23C7">
        <w:rPr>
          <w:rFonts w:ascii="Times New Roman" w:hAnsi="Times New Roman"/>
          <w:szCs w:val="24"/>
        </w:rPr>
        <w:t xml:space="preserve">responses </w:t>
      </w:r>
      <w:r w:rsidR="00D729D3">
        <w:rPr>
          <w:rFonts w:ascii="Times New Roman" w:hAnsi="Times New Roman"/>
          <w:szCs w:val="24"/>
        </w:rPr>
        <w:t xml:space="preserve">and 20,000 burden hours.  The currently approved burden estimates are </w:t>
      </w:r>
      <w:r w:rsidR="00ED2845">
        <w:rPr>
          <w:rFonts w:ascii="Times New Roman" w:hAnsi="Times New Roman"/>
          <w:szCs w:val="24"/>
        </w:rPr>
        <w:t>7,500 respon</w:t>
      </w:r>
      <w:r w:rsidR="00F2536F">
        <w:rPr>
          <w:rFonts w:ascii="Times New Roman" w:hAnsi="Times New Roman"/>
          <w:szCs w:val="24"/>
        </w:rPr>
        <w:t xml:space="preserve">dents, 15,000 responses, </w:t>
      </w:r>
      <w:r w:rsidR="00ED2845">
        <w:rPr>
          <w:rFonts w:ascii="Times New Roman" w:hAnsi="Times New Roman"/>
          <w:szCs w:val="24"/>
        </w:rPr>
        <w:t>and 15,000 hours</w:t>
      </w:r>
      <w:r w:rsidR="0047733E">
        <w:rPr>
          <w:rFonts w:ascii="Times New Roman" w:hAnsi="Times New Roman"/>
          <w:szCs w:val="24"/>
        </w:rPr>
        <w:t>.</w:t>
      </w:r>
      <w:r w:rsidR="00ED2845">
        <w:rPr>
          <w:rFonts w:ascii="Times New Roman" w:hAnsi="Times New Roman"/>
          <w:szCs w:val="24"/>
        </w:rPr>
        <w:t xml:space="preserve"> </w:t>
      </w:r>
      <w:bookmarkEnd w:id="1"/>
    </w:p>
    <w:p w:rsidR="00793EA9" w:rsidP="00236DFB" w14:paraId="54E9E1D5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0D0622" w:rsidP="00236DFB" w14:paraId="42F34A53" w14:textId="576AED68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3127EA">
        <w:rPr>
          <w:rFonts w:ascii="Times New Roman" w:hAnsi="Times New Roman" w:cs="Times New Roman"/>
          <w:sz w:val="24"/>
          <w:szCs w:val="24"/>
        </w:rPr>
        <w:t xml:space="preserve">clearance </w:t>
      </w:r>
      <w:r>
        <w:rPr>
          <w:rFonts w:ascii="Times New Roman" w:hAnsi="Times New Roman" w:cs="Times New Roman"/>
          <w:sz w:val="24"/>
          <w:szCs w:val="24"/>
        </w:rPr>
        <w:t xml:space="preserve">is currently approved with </w:t>
      </w:r>
      <w:r w:rsidR="00746C90">
        <w:rPr>
          <w:rFonts w:ascii="Times New Roman" w:hAnsi="Times New Roman" w:cs="Times New Roman"/>
          <w:sz w:val="24"/>
          <w:szCs w:val="24"/>
        </w:rPr>
        <w:t xml:space="preserve">30,000 respondents, </w:t>
      </w:r>
      <w:r w:rsidR="00DC47BE">
        <w:rPr>
          <w:rFonts w:ascii="Times New Roman" w:hAnsi="Times New Roman" w:cs="Times New Roman"/>
          <w:sz w:val="24"/>
          <w:szCs w:val="24"/>
        </w:rPr>
        <w:t>60,000 responses and 60,000 burden hours</w:t>
      </w:r>
      <w:r w:rsidR="006F28E6">
        <w:rPr>
          <w:rFonts w:ascii="Times New Roman" w:hAnsi="Times New Roman" w:cs="Times New Roman"/>
          <w:sz w:val="24"/>
          <w:szCs w:val="24"/>
        </w:rPr>
        <w:t xml:space="preserve">, spread across </w:t>
      </w:r>
      <w:r w:rsidR="004633F4">
        <w:rPr>
          <w:rFonts w:ascii="Times New Roman" w:hAnsi="Times New Roman" w:cs="Times New Roman"/>
          <w:sz w:val="24"/>
          <w:szCs w:val="24"/>
        </w:rPr>
        <w:t xml:space="preserve">three types of collections:  customer feedback surveys, comment cards, </w:t>
      </w:r>
      <w:r w:rsidR="00FB30E6">
        <w:rPr>
          <w:rFonts w:ascii="Times New Roman" w:hAnsi="Times New Roman" w:cs="Times New Roman"/>
          <w:sz w:val="24"/>
          <w:szCs w:val="24"/>
        </w:rPr>
        <w:t>and focus groups</w:t>
      </w:r>
      <w:r w:rsidR="00823434">
        <w:rPr>
          <w:rFonts w:ascii="Times New Roman" w:hAnsi="Times New Roman" w:cs="Times New Roman"/>
          <w:sz w:val="24"/>
          <w:szCs w:val="24"/>
        </w:rPr>
        <w:t xml:space="preserve">.  When </w:t>
      </w:r>
      <w:r w:rsidR="00CF0712">
        <w:rPr>
          <w:rFonts w:ascii="Times New Roman" w:hAnsi="Times New Roman" w:cs="Times New Roman"/>
          <w:sz w:val="24"/>
          <w:szCs w:val="24"/>
        </w:rPr>
        <w:t xml:space="preserve">this collection was renewed in 2022, FNS originally estimated that </w:t>
      </w:r>
      <w:r w:rsidR="001B417B">
        <w:rPr>
          <w:rFonts w:ascii="Times New Roman" w:hAnsi="Times New Roman" w:cs="Times New Roman"/>
          <w:sz w:val="24"/>
          <w:szCs w:val="24"/>
        </w:rPr>
        <w:t xml:space="preserve">the customer feedback survey submissions </w:t>
      </w:r>
      <w:r w:rsidR="00F03F7C">
        <w:rPr>
          <w:rFonts w:ascii="Times New Roman" w:hAnsi="Times New Roman" w:cs="Times New Roman"/>
          <w:sz w:val="24"/>
          <w:szCs w:val="24"/>
        </w:rPr>
        <w:t xml:space="preserve">would </w:t>
      </w:r>
      <w:r w:rsidR="00361C32">
        <w:rPr>
          <w:rFonts w:ascii="Times New Roman" w:hAnsi="Times New Roman" w:cs="Times New Roman"/>
          <w:sz w:val="24"/>
          <w:szCs w:val="24"/>
        </w:rPr>
        <w:t xml:space="preserve">have </w:t>
      </w:r>
      <w:r w:rsidR="00D5168E">
        <w:rPr>
          <w:rFonts w:ascii="Times New Roman" w:hAnsi="Times New Roman" w:cs="Times New Roman"/>
          <w:sz w:val="24"/>
          <w:szCs w:val="24"/>
        </w:rPr>
        <w:t xml:space="preserve">15,000 respondents, with a total of 30,000 responses and burden hours.  The focus groups were estimated to have </w:t>
      </w:r>
      <w:r w:rsidR="00FF19FE">
        <w:rPr>
          <w:rFonts w:ascii="Times New Roman" w:hAnsi="Times New Roman" w:cs="Times New Roman"/>
          <w:sz w:val="24"/>
          <w:szCs w:val="24"/>
        </w:rPr>
        <w:t xml:space="preserve">7,500 respondents, with a total of 15,000 responses and burden hours.  </w:t>
      </w:r>
      <w:r w:rsidR="00E7764F">
        <w:rPr>
          <w:rFonts w:ascii="Times New Roman" w:hAnsi="Times New Roman" w:cs="Times New Roman"/>
          <w:sz w:val="24"/>
          <w:szCs w:val="24"/>
        </w:rPr>
        <w:t>To date, there have</w:t>
      </w:r>
      <w:r w:rsidR="00791CBE">
        <w:rPr>
          <w:rFonts w:ascii="Times New Roman" w:hAnsi="Times New Roman" w:cs="Times New Roman"/>
          <w:sz w:val="24"/>
          <w:szCs w:val="24"/>
        </w:rPr>
        <w:t xml:space="preserve"> been over </w:t>
      </w:r>
      <w:r w:rsidR="00DE2D6B">
        <w:rPr>
          <w:rFonts w:ascii="Times New Roman" w:hAnsi="Times New Roman" w:cs="Times New Roman"/>
          <w:sz w:val="24"/>
          <w:szCs w:val="24"/>
        </w:rPr>
        <w:t>20 submissions under this clearance</w:t>
      </w:r>
      <w:r w:rsidR="00182980">
        <w:rPr>
          <w:rFonts w:ascii="Times New Roman" w:hAnsi="Times New Roman" w:cs="Times New Roman"/>
          <w:sz w:val="24"/>
          <w:szCs w:val="24"/>
        </w:rPr>
        <w:t xml:space="preserve">.  These submissions have primarily </w:t>
      </w:r>
      <w:r w:rsidR="00626259">
        <w:rPr>
          <w:rFonts w:ascii="Times New Roman" w:hAnsi="Times New Roman" w:cs="Times New Roman"/>
          <w:sz w:val="24"/>
          <w:szCs w:val="24"/>
        </w:rPr>
        <w:t xml:space="preserve">fallen in </w:t>
      </w:r>
      <w:r w:rsidR="00182980">
        <w:rPr>
          <w:rFonts w:ascii="Times New Roman" w:hAnsi="Times New Roman" w:cs="Times New Roman"/>
          <w:sz w:val="24"/>
          <w:szCs w:val="24"/>
        </w:rPr>
        <w:t>the customer feedback survey and focus group</w:t>
      </w:r>
      <w:r w:rsidR="00626259">
        <w:rPr>
          <w:rFonts w:ascii="Times New Roman" w:hAnsi="Times New Roman" w:cs="Times New Roman"/>
          <w:sz w:val="24"/>
          <w:szCs w:val="24"/>
        </w:rPr>
        <w:t xml:space="preserve"> categorie</w:t>
      </w:r>
      <w:r w:rsidR="00182980">
        <w:rPr>
          <w:rFonts w:ascii="Times New Roman" w:hAnsi="Times New Roman" w:cs="Times New Roman"/>
          <w:sz w:val="24"/>
          <w:szCs w:val="24"/>
        </w:rPr>
        <w:t xml:space="preserve">s, </w:t>
      </w:r>
      <w:r w:rsidR="00182980">
        <w:rPr>
          <w:rFonts w:ascii="Times New Roman" w:hAnsi="Times New Roman" w:cs="Times New Roman"/>
          <w:sz w:val="24"/>
          <w:szCs w:val="24"/>
        </w:rPr>
        <w:t>with the exception of</w:t>
      </w:r>
      <w:r w:rsidR="00182980">
        <w:rPr>
          <w:rFonts w:ascii="Times New Roman" w:hAnsi="Times New Roman" w:cs="Times New Roman"/>
          <w:sz w:val="24"/>
          <w:szCs w:val="24"/>
        </w:rPr>
        <w:t xml:space="preserve"> </w:t>
      </w:r>
      <w:r w:rsidR="00411E28">
        <w:rPr>
          <w:rFonts w:ascii="Times New Roman" w:hAnsi="Times New Roman" w:cs="Times New Roman"/>
          <w:sz w:val="24"/>
          <w:szCs w:val="24"/>
        </w:rPr>
        <w:t>two submissions</w:t>
      </w:r>
      <w:r w:rsidR="00BF57F0">
        <w:rPr>
          <w:rFonts w:ascii="Times New Roman" w:hAnsi="Times New Roman" w:cs="Times New Roman"/>
          <w:sz w:val="24"/>
          <w:szCs w:val="24"/>
        </w:rPr>
        <w:t>.</w:t>
      </w:r>
      <w:r w:rsidR="00B16908">
        <w:rPr>
          <w:rFonts w:ascii="Times New Roman" w:hAnsi="Times New Roman" w:cs="Times New Roman"/>
          <w:sz w:val="24"/>
          <w:szCs w:val="24"/>
        </w:rPr>
        <w:t xml:space="preserve">  </w:t>
      </w:r>
      <w:r w:rsidR="004D21BC">
        <w:rPr>
          <w:rFonts w:ascii="Times New Roman" w:hAnsi="Times New Roman" w:cs="Times New Roman"/>
          <w:sz w:val="24"/>
          <w:szCs w:val="24"/>
        </w:rPr>
        <w:t xml:space="preserve">After reviewing </w:t>
      </w:r>
      <w:r w:rsidR="00836DF7">
        <w:rPr>
          <w:rFonts w:ascii="Times New Roman" w:hAnsi="Times New Roman" w:cs="Times New Roman"/>
          <w:sz w:val="24"/>
          <w:szCs w:val="24"/>
        </w:rPr>
        <w:t xml:space="preserve">the </w:t>
      </w:r>
      <w:r w:rsidR="004D21BC">
        <w:rPr>
          <w:rFonts w:ascii="Times New Roman" w:hAnsi="Times New Roman" w:cs="Times New Roman"/>
          <w:sz w:val="24"/>
          <w:szCs w:val="24"/>
        </w:rPr>
        <w:t xml:space="preserve">activity, </w:t>
      </w:r>
      <w:r w:rsidR="003C580E">
        <w:rPr>
          <w:rFonts w:ascii="Times New Roman" w:hAnsi="Times New Roman" w:cs="Times New Roman"/>
          <w:sz w:val="24"/>
          <w:szCs w:val="24"/>
        </w:rPr>
        <w:t>FNS has found that the</w:t>
      </w:r>
      <w:r w:rsidR="006072ED">
        <w:rPr>
          <w:rFonts w:ascii="Times New Roman" w:hAnsi="Times New Roman" w:cs="Times New Roman"/>
          <w:sz w:val="24"/>
          <w:szCs w:val="24"/>
        </w:rPr>
        <w:t xml:space="preserve"> number of responses </w:t>
      </w:r>
      <w:r w:rsidR="00A941B7">
        <w:rPr>
          <w:rFonts w:ascii="Times New Roman" w:hAnsi="Times New Roman" w:cs="Times New Roman"/>
          <w:sz w:val="24"/>
          <w:szCs w:val="24"/>
        </w:rPr>
        <w:t xml:space="preserve">originally estimated for the </w:t>
      </w:r>
      <w:r w:rsidR="005A182B">
        <w:rPr>
          <w:rFonts w:ascii="Times New Roman" w:hAnsi="Times New Roman" w:cs="Times New Roman"/>
          <w:sz w:val="24"/>
          <w:szCs w:val="24"/>
        </w:rPr>
        <w:t xml:space="preserve">customer feedback surveys and focus groups </w:t>
      </w:r>
      <w:r w:rsidR="00B33D4F">
        <w:rPr>
          <w:rFonts w:ascii="Times New Roman" w:hAnsi="Times New Roman" w:cs="Times New Roman"/>
          <w:sz w:val="24"/>
          <w:szCs w:val="24"/>
        </w:rPr>
        <w:t xml:space="preserve">does not cover the amount of activity being handled under this clearance </w:t>
      </w:r>
      <w:r w:rsidR="00F10F05">
        <w:rPr>
          <w:rFonts w:ascii="Times New Roman" w:hAnsi="Times New Roman" w:cs="Times New Roman"/>
          <w:sz w:val="24"/>
          <w:szCs w:val="24"/>
        </w:rPr>
        <w:t xml:space="preserve">and that </w:t>
      </w:r>
      <w:r w:rsidR="00AC6E84">
        <w:rPr>
          <w:rFonts w:ascii="Times New Roman" w:hAnsi="Times New Roman" w:cs="Times New Roman"/>
          <w:sz w:val="24"/>
          <w:szCs w:val="24"/>
        </w:rPr>
        <w:t xml:space="preserve">it has resulted in a </w:t>
      </w:r>
      <w:r w:rsidR="00BB3618">
        <w:rPr>
          <w:rFonts w:ascii="Times New Roman" w:hAnsi="Times New Roman" w:cs="Times New Roman"/>
          <w:sz w:val="24"/>
          <w:szCs w:val="24"/>
        </w:rPr>
        <w:t xml:space="preserve">deficit in the number of responses </w:t>
      </w:r>
      <w:r w:rsidR="00B65983">
        <w:rPr>
          <w:rFonts w:ascii="Times New Roman" w:hAnsi="Times New Roman" w:cs="Times New Roman"/>
          <w:sz w:val="24"/>
          <w:szCs w:val="24"/>
        </w:rPr>
        <w:t>for this collection.</w:t>
      </w:r>
      <w:r w:rsidR="003C0CF6">
        <w:rPr>
          <w:rFonts w:ascii="Times New Roman" w:hAnsi="Times New Roman" w:cs="Times New Roman"/>
          <w:sz w:val="24"/>
          <w:szCs w:val="24"/>
        </w:rPr>
        <w:t xml:space="preserve">  Therefore, FNS is requesting an increase </w:t>
      </w:r>
      <w:r w:rsidR="00593D04">
        <w:rPr>
          <w:rFonts w:ascii="Times New Roman" w:hAnsi="Times New Roman" w:cs="Times New Roman"/>
          <w:sz w:val="24"/>
          <w:szCs w:val="24"/>
        </w:rPr>
        <w:t xml:space="preserve">in the burden estimates </w:t>
      </w:r>
      <w:r w:rsidR="002317F2">
        <w:rPr>
          <w:rFonts w:ascii="Times New Roman" w:hAnsi="Times New Roman" w:cs="Times New Roman"/>
          <w:sz w:val="24"/>
          <w:szCs w:val="24"/>
        </w:rPr>
        <w:t>for</w:t>
      </w:r>
      <w:r w:rsidR="00F172D5">
        <w:rPr>
          <w:rFonts w:ascii="Times New Roman" w:hAnsi="Times New Roman" w:cs="Times New Roman"/>
          <w:sz w:val="24"/>
          <w:szCs w:val="24"/>
        </w:rPr>
        <w:t xml:space="preserve"> </w:t>
      </w:r>
      <w:r w:rsidR="006B1548">
        <w:rPr>
          <w:rFonts w:ascii="Times New Roman" w:hAnsi="Times New Roman" w:cs="Times New Roman"/>
          <w:sz w:val="24"/>
          <w:szCs w:val="24"/>
        </w:rPr>
        <w:t xml:space="preserve">the customer feedback surveys and the focus groups to </w:t>
      </w:r>
      <w:r w:rsidR="006B1548">
        <w:rPr>
          <w:rFonts w:ascii="Times New Roman" w:hAnsi="Times New Roman" w:cs="Times New Roman"/>
          <w:sz w:val="24"/>
          <w:szCs w:val="24"/>
        </w:rPr>
        <w:t>compensate for the current deficit in the responses and to provide for future submissions</w:t>
      </w:r>
      <w:r w:rsidR="00F02247">
        <w:rPr>
          <w:rFonts w:ascii="Times New Roman" w:hAnsi="Times New Roman" w:cs="Times New Roman"/>
          <w:sz w:val="24"/>
          <w:szCs w:val="24"/>
        </w:rPr>
        <w:t>.</w:t>
      </w:r>
      <w:r w:rsidR="006B1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622" w:rsidP="00236DFB" w14:paraId="163EDF36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0C47D6" w:rsidP="00236DFB" w14:paraId="5FF31F1E" w14:textId="5EEC95F3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customer feedback surveys</w:t>
      </w:r>
      <w:r w:rsidR="001B69E9">
        <w:rPr>
          <w:rFonts w:ascii="Times New Roman" w:hAnsi="Times New Roman" w:cs="Times New Roman"/>
          <w:sz w:val="24"/>
          <w:szCs w:val="24"/>
        </w:rPr>
        <w:t xml:space="preserve">, FNS </w:t>
      </w:r>
      <w:r w:rsidR="00795088">
        <w:rPr>
          <w:rFonts w:ascii="Times New Roman" w:hAnsi="Times New Roman" w:cs="Times New Roman"/>
          <w:sz w:val="24"/>
          <w:szCs w:val="24"/>
        </w:rPr>
        <w:t xml:space="preserve">estimates that the number of respondents should be increased from 15,000 </w:t>
      </w:r>
      <w:r w:rsidR="001061FA">
        <w:rPr>
          <w:rFonts w:ascii="Times New Roman" w:hAnsi="Times New Roman" w:cs="Times New Roman"/>
          <w:sz w:val="24"/>
          <w:szCs w:val="24"/>
        </w:rPr>
        <w:t xml:space="preserve">to 25,000 respondents.  </w:t>
      </w:r>
      <w:r w:rsidR="00411417">
        <w:rPr>
          <w:rFonts w:ascii="Times New Roman" w:hAnsi="Times New Roman" w:cs="Times New Roman"/>
          <w:sz w:val="24"/>
          <w:szCs w:val="24"/>
        </w:rPr>
        <w:t xml:space="preserve">With an estimated frequency of 2 responses per respondent, </w:t>
      </w:r>
      <w:r w:rsidR="005E4487">
        <w:rPr>
          <w:rFonts w:ascii="Times New Roman" w:hAnsi="Times New Roman" w:cs="Times New Roman"/>
          <w:sz w:val="24"/>
          <w:szCs w:val="24"/>
        </w:rPr>
        <w:t xml:space="preserve">this will result in a total of 50,000 responses, which </w:t>
      </w:r>
      <w:r w:rsidR="002478ED">
        <w:rPr>
          <w:rFonts w:ascii="Times New Roman" w:hAnsi="Times New Roman" w:cs="Times New Roman"/>
          <w:sz w:val="24"/>
          <w:szCs w:val="24"/>
        </w:rPr>
        <w:t xml:space="preserve">is an increase of 20,000 responses from the currently approved </w:t>
      </w:r>
      <w:r w:rsidR="00DF24A9">
        <w:rPr>
          <w:rFonts w:ascii="Times New Roman" w:hAnsi="Times New Roman" w:cs="Times New Roman"/>
          <w:sz w:val="24"/>
          <w:szCs w:val="24"/>
        </w:rPr>
        <w:t xml:space="preserve">30,000 responses.  </w:t>
      </w:r>
      <w:r w:rsidR="00DE2A75">
        <w:rPr>
          <w:rFonts w:ascii="Times New Roman" w:hAnsi="Times New Roman" w:cs="Times New Roman"/>
          <w:sz w:val="24"/>
          <w:szCs w:val="24"/>
        </w:rPr>
        <w:t>The increase</w:t>
      </w:r>
      <w:r w:rsidR="00DF24A9">
        <w:rPr>
          <w:rFonts w:ascii="Times New Roman" w:hAnsi="Times New Roman" w:cs="Times New Roman"/>
          <w:sz w:val="24"/>
          <w:szCs w:val="24"/>
        </w:rPr>
        <w:t xml:space="preserve">d responses will </w:t>
      </w:r>
      <w:r w:rsidR="005F4641">
        <w:rPr>
          <w:rFonts w:ascii="Times New Roman" w:hAnsi="Times New Roman" w:cs="Times New Roman"/>
          <w:sz w:val="24"/>
          <w:szCs w:val="24"/>
        </w:rPr>
        <w:t xml:space="preserve">cause a corresponding </w:t>
      </w:r>
      <w:r w:rsidR="000E241F">
        <w:rPr>
          <w:rFonts w:ascii="Times New Roman" w:hAnsi="Times New Roman" w:cs="Times New Roman"/>
          <w:sz w:val="24"/>
          <w:szCs w:val="24"/>
        </w:rPr>
        <w:t>increase</w:t>
      </w:r>
      <w:r w:rsidR="00EC0AC6">
        <w:rPr>
          <w:rFonts w:ascii="Times New Roman" w:hAnsi="Times New Roman" w:cs="Times New Roman"/>
          <w:sz w:val="24"/>
          <w:szCs w:val="24"/>
        </w:rPr>
        <w:t xml:space="preserve"> of 20,000 hours </w:t>
      </w:r>
      <w:r w:rsidR="00DC4089">
        <w:rPr>
          <w:rFonts w:ascii="Times New Roman" w:hAnsi="Times New Roman" w:cs="Times New Roman"/>
          <w:sz w:val="24"/>
          <w:szCs w:val="24"/>
        </w:rPr>
        <w:t>in the burden hours for these surveys</w:t>
      </w:r>
      <w:r w:rsidR="00EC0AC6">
        <w:rPr>
          <w:rFonts w:ascii="Times New Roman" w:hAnsi="Times New Roman" w:cs="Times New Roman"/>
          <w:sz w:val="24"/>
          <w:szCs w:val="24"/>
        </w:rPr>
        <w:t xml:space="preserve">, from the currently approved </w:t>
      </w:r>
      <w:r w:rsidR="00A01519">
        <w:rPr>
          <w:rFonts w:ascii="Times New Roman" w:hAnsi="Times New Roman" w:cs="Times New Roman"/>
          <w:sz w:val="24"/>
          <w:szCs w:val="24"/>
        </w:rPr>
        <w:t>30,000 to 50,000 hours</w:t>
      </w:r>
      <w:r w:rsidR="0047733E">
        <w:rPr>
          <w:rFonts w:ascii="Times New Roman" w:hAnsi="Times New Roman" w:cs="Times New Roman"/>
          <w:sz w:val="24"/>
          <w:szCs w:val="24"/>
        </w:rPr>
        <w:t>.</w:t>
      </w:r>
    </w:p>
    <w:p w:rsidR="000C47D6" w:rsidP="00236DFB" w14:paraId="784C7354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30990" w:rsidP="00236DFB" w14:paraId="4D86BC73" w14:textId="2CCD73A9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focus groups, FNS </w:t>
      </w:r>
      <w:r w:rsidR="00AD5F9B">
        <w:rPr>
          <w:rFonts w:ascii="Times New Roman" w:hAnsi="Times New Roman" w:cs="Times New Roman"/>
          <w:sz w:val="24"/>
          <w:szCs w:val="24"/>
        </w:rPr>
        <w:t xml:space="preserve">estimates that the number of respondents should be increased </w:t>
      </w:r>
      <w:r w:rsidR="006E12D9">
        <w:rPr>
          <w:rFonts w:ascii="Times New Roman" w:hAnsi="Times New Roman" w:cs="Times New Roman"/>
          <w:sz w:val="24"/>
          <w:szCs w:val="24"/>
        </w:rPr>
        <w:t xml:space="preserve">from 7,500 to 10,000 respondents.  With an estimated frequency of 2 responses per respondent, this will result in a total of </w:t>
      </w:r>
      <w:r w:rsidR="00D13C4D">
        <w:rPr>
          <w:rFonts w:ascii="Times New Roman" w:hAnsi="Times New Roman" w:cs="Times New Roman"/>
          <w:sz w:val="24"/>
          <w:szCs w:val="24"/>
        </w:rPr>
        <w:t xml:space="preserve">20,000 responses, which is an increase of </w:t>
      </w:r>
      <w:r w:rsidR="00F40949">
        <w:rPr>
          <w:rFonts w:ascii="Times New Roman" w:hAnsi="Times New Roman" w:cs="Times New Roman"/>
          <w:sz w:val="24"/>
          <w:szCs w:val="24"/>
        </w:rPr>
        <w:t xml:space="preserve">5,000 responses from the currently approved </w:t>
      </w:r>
      <w:r w:rsidR="00DC7C7A">
        <w:rPr>
          <w:rFonts w:ascii="Times New Roman" w:hAnsi="Times New Roman" w:cs="Times New Roman"/>
          <w:sz w:val="24"/>
          <w:szCs w:val="24"/>
        </w:rPr>
        <w:t xml:space="preserve">15,000 responses.  The increased responses will cause a </w:t>
      </w:r>
      <w:r w:rsidR="00644DB8">
        <w:rPr>
          <w:rFonts w:ascii="Times New Roman" w:hAnsi="Times New Roman" w:cs="Times New Roman"/>
          <w:sz w:val="24"/>
          <w:szCs w:val="24"/>
        </w:rPr>
        <w:t xml:space="preserve">corresponding increase of </w:t>
      </w:r>
      <w:r w:rsidR="00F7353A">
        <w:rPr>
          <w:rFonts w:ascii="Times New Roman" w:hAnsi="Times New Roman" w:cs="Times New Roman"/>
          <w:sz w:val="24"/>
          <w:szCs w:val="24"/>
        </w:rPr>
        <w:t xml:space="preserve">5,000 hours in the burden hours for the focus groups from the currently approved </w:t>
      </w:r>
      <w:r w:rsidR="009E4097">
        <w:rPr>
          <w:rFonts w:ascii="Times New Roman" w:hAnsi="Times New Roman" w:cs="Times New Roman"/>
          <w:sz w:val="24"/>
          <w:szCs w:val="24"/>
        </w:rPr>
        <w:t>15,000 to 20,000 hours</w:t>
      </w:r>
      <w:r w:rsidR="0047733E">
        <w:rPr>
          <w:rFonts w:ascii="Times New Roman" w:hAnsi="Times New Roman" w:cs="Times New Roman"/>
          <w:sz w:val="24"/>
          <w:szCs w:val="24"/>
        </w:rPr>
        <w:t>.</w:t>
      </w:r>
    </w:p>
    <w:p w:rsidR="00930990" w:rsidP="00236DFB" w14:paraId="064A4D25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860D9C" w:rsidP="00236DFB" w14:paraId="2C3DEB81" w14:textId="4A00DD2B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burden estimates for the comment cards do not need to be adjusted at this time.  </w:t>
      </w:r>
      <w:r w:rsidR="00C71F61">
        <w:rPr>
          <w:rFonts w:ascii="Times New Roman" w:hAnsi="Times New Roman" w:cs="Times New Roman"/>
          <w:sz w:val="24"/>
          <w:szCs w:val="24"/>
        </w:rPr>
        <w:t xml:space="preserve">The </w:t>
      </w:r>
      <w:r w:rsidR="00A16B6F">
        <w:rPr>
          <w:rFonts w:ascii="Times New Roman" w:hAnsi="Times New Roman" w:cs="Times New Roman"/>
          <w:sz w:val="24"/>
          <w:szCs w:val="24"/>
        </w:rPr>
        <w:t xml:space="preserve">currently estimated annual </w:t>
      </w:r>
      <w:r w:rsidR="00EF1A3D">
        <w:rPr>
          <w:rFonts w:ascii="Times New Roman" w:hAnsi="Times New Roman" w:cs="Times New Roman"/>
          <w:sz w:val="24"/>
          <w:szCs w:val="24"/>
        </w:rPr>
        <w:t>frequency per response and the hours per response</w:t>
      </w:r>
      <w:r w:rsidR="00A16B6F">
        <w:rPr>
          <w:rFonts w:ascii="Times New Roman" w:hAnsi="Times New Roman" w:cs="Times New Roman"/>
          <w:sz w:val="24"/>
          <w:szCs w:val="24"/>
        </w:rPr>
        <w:t xml:space="preserve"> also remain unchanged</w:t>
      </w:r>
      <w:r w:rsidR="0047733E">
        <w:rPr>
          <w:rFonts w:ascii="Times New Roman" w:hAnsi="Times New Roman" w:cs="Times New Roman"/>
          <w:sz w:val="24"/>
          <w:szCs w:val="24"/>
        </w:rPr>
        <w:t>.</w:t>
      </w:r>
    </w:p>
    <w:p w:rsidR="006E5454" w:rsidP="00236DFB" w14:paraId="3D7F08FC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860D9C" w:rsidP="00236DFB" w14:paraId="0305B85F" w14:textId="00052F93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Currently, this clearance </w:t>
      </w:r>
      <w:r w:rsidR="00A16B6F">
        <w:rPr>
          <w:rFonts w:ascii="Times New Roman" w:hAnsi="Times New Roman" w:cs="Times New Roman"/>
          <w:sz w:val="24"/>
          <w:szCs w:val="24"/>
        </w:rPr>
        <w:t xml:space="preserve">has </w:t>
      </w:r>
      <w:r w:rsidR="008C15F2">
        <w:rPr>
          <w:rFonts w:ascii="Times New Roman" w:hAnsi="Times New Roman" w:cs="Times New Roman"/>
          <w:sz w:val="24"/>
          <w:szCs w:val="24"/>
        </w:rPr>
        <w:t xml:space="preserve">30,000 </w:t>
      </w:r>
      <w:r>
        <w:rPr>
          <w:rFonts w:ascii="Times New Roman" w:hAnsi="Times New Roman" w:cs="Times New Roman"/>
          <w:sz w:val="24"/>
          <w:szCs w:val="24"/>
        </w:rPr>
        <w:t xml:space="preserve">respondents, 60,000 responses, and 60,000 burden hours.  </w:t>
      </w:r>
      <w:r w:rsidR="0042758F">
        <w:rPr>
          <w:rFonts w:ascii="Times New Roman" w:hAnsi="Times New Roman" w:cs="Times New Roman"/>
          <w:sz w:val="24"/>
          <w:szCs w:val="24"/>
        </w:rPr>
        <w:t xml:space="preserve">Due to </w:t>
      </w:r>
      <w:r w:rsidR="00B27CD3">
        <w:rPr>
          <w:rFonts w:ascii="Times New Roman" w:hAnsi="Times New Roman" w:cs="Times New Roman"/>
          <w:sz w:val="24"/>
          <w:szCs w:val="24"/>
        </w:rPr>
        <w:t>greater submissions than originally estimated, FNS estimates that</w:t>
      </w:r>
      <w:r w:rsidR="00016303">
        <w:rPr>
          <w:rFonts w:ascii="Times New Roman" w:hAnsi="Times New Roman" w:cs="Times New Roman"/>
          <w:sz w:val="24"/>
          <w:szCs w:val="24"/>
        </w:rPr>
        <w:t xml:space="preserve"> the respondents</w:t>
      </w:r>
      <w:r w:rsidR="00215E9F">
        <w:rPr>
          <w:rFonts w:ascii="Times New Roman" w:hAnsi="Times New Roman" w:cs="Times New Roman"/>
          <w:sz w:val="24"/>
          <w:szCs w:val="24"/>
        </w:rPr>
        <w:t>, responses, and burden hours</w:t>
      </w:r>
      <w:r w:rsidR="00016303">
        <w:rPr>
          <w:rFonts w:ascii="Times New Roman" w:hAnsi="Times New Roman" w:cs="Times New Roman"/>
          <w:sz w:val="24"/>
          <w:szCs w:val="24"/>
        </w:rPr>
        <w:t xml:space="preserve"> for this clearance will increase by </w:t>
      </w:r>
      <w:r w:rsidR="000F4E2E">
        <w:rPr>
          <w:rFonts w:ascii="Times New Roman" w:hAnsi="Times New Roman" w:cs="Times New Roman"/>
          <w:sz w:val="24"/>
          <w:szCs w:val="24"/>
        </w:rPr>
        <w:t xml:space="preserve">12,500 </w:t>
      </w:r>
      <w:r w:rsidR="00215E9F">
        <w:rPr>
          <w:rFonts w:ascii="Times New Roman" w:hAnsi="Times New Roman" w:cs="Times New Roman"/>
          <w:sz w:val="24"/>
          <w:szCs w:val="24"/>
        </w:rPr>
        <w:t>respondents</w:t>
      </w:r>
      <w:r w:rsidR="00C40E5B">
        <w:rPr>
          <w:rFonts w:ascii="Times New Roman" w:hAnsi="Times New Roman" w:cs="Times New Roman"/>
          <w:sz w:val="24"/>
          <w:szCs w:val="24"/>
        </w:rPr>
        <w:t xml:space="preserve">, 25,000 responses, and </w:t>
      </w:r>
      <w:r w:rsidR="00932C76">
        <w:rPr>
          <w:rFonts w:ascii="Times New Roman" w:hAnsi="Times New Roman" w:cs="Times New Roman"/>
          <w:sz w:val="24"/>
          <w:szCs w:val="24"/>
        </w:rPr>
        <w:t xml:space="preserve">25,000 burden hours, respectively, due to an administrative adjustment.  </w:t>
      </w:r>
      <w:r w:rsidR="008726CA">
        <w:rPr>
          <w:rFonts w:ascii="Times New Roman" w:hAnsi="Times New Roman" w:cs="Times New Roman"/>
          <w:sz w:val="24"/>
          <w:szCs w:val="24"/>
        </w:rPr>
        <w:t xml:space="preserve">With this submission, FNS estimates that this collection will have </w:t>
      </w:r>
      <w:r w:rsidR="00217AEE">
        <w:rPr>
          <w:rFonts w:ascii="Times New Roman" w:hAnsi="Times New Roman" w:cs="Times New Roman"/>
          <w:sz w:val="24"/>
          <w:szCs w:val="24"/>
        </w:rPr>
        <w:t>42,</w:t>
      </w:r>
      <w:r w:rsidR="00004700">
        <w:rPr>
          <w:rFonts w:ascii="Times New Roman" w:hAnsi="Times New Roman" w:cs="Times New Roman"/>
          <w:sz w:val="24"/>
          <w:szCs w:val="24"/>
        </w:rPr>
        <w:t>500 respondents, 85,000 responses, and 85,000 burden hours</w:t>
      </w:r>
      <w:r w:rsidR="00493248">
        <w:rPr>
          <w:rFonts w:ascii="Times New Roman" w:hAnsi="Times New Roman" w:cs="Times New Roman"/>
          <w:sz w:val="24"/>
          <w:szCs w:val="24"/>
        </w:rPr>
        <w:t>.</w:t>
      </w:r>
      <w:r w:rsidR="000047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3907" w:rsidP="003A3907" w14:paraId="25976DEE" w14:textId="77777777"/>
    <w:tbl>
      <w:tblPr>
        <w:tblW w:w="9630" w:type="dxa"/>
        <w:tblInd w:w="-9" w:type="dxa"/>
        <w:tblLayout w:type="fixed"/>
        <w:tblCellMar>
          <w:left w:w="102" w:type="dxa"/>
          <w:right w:w="102" w:type="dxa"/>
        </w:tblCellMar>
        <w:tblLook w:val="0000"/>
      </w:tblPr>
      <w:tblGrid>
        <w:gridCol w:w="1710"/>
        <w:gridCol w:w="1530"/>
        <w:gridCol w:w="1710"/>
        <w:gridCol w:w="1710"/>
        <w:gridCol w:w="1440"/>
        <w:gridCol w:w="1530"/>
      </w:tblGrid>
      <w:tr w14:paraId="70840484" w14:textId="77777777" w:rsidTr="00076BC0">
        <w:tblPrEx>
          <w:tblW w:w="9630" w:type="dxa"/>
          <w:tblInd w:w="-9" w:type="dxa"/>
          <w:tblLayout w:type="fixed"/>
          <w:tblCellMar>
            <w:left w:w="102" w:type="dxa"/>
            <w:right w:w="102" w:type="dxa"/>
          </w:tblCellMar>
          <w:tblLook w:val="0000"/>
        </w:tblPrEx>
        <w:trPr>
          <w:tblHeader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3A3907" w:rsidP="00F14381" w14:paraId="410CB0E1" w14:textId="77777777"/>
        </w:tc>
        <w:tc>
          <w:tcPr>
            <w:tcW w:w="7920" w:type="dxa"/>
            <w:gridSpan w:val="5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3A3907" w:rsidP="00F14381" w14:paraId="3D60FFB4" w14:textId="72945EFB"/>
          <w:p w:rsidR="003A3907" w:rsidP="00F14381" w14:paraId="4D3E77BA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Estimated Annual Reporting Burden</w:t>
            </w:r>
          </w:p>
        </w:tc>
      </w:tr>
      <w:tr w14:paraId="375D3937" w14:textId="77777777" w:rsidTr="00076BC0">
        <w:tblPrEx>
          <w:tblW w:w="9630" w:type="dxa"/>
          <w:tblInd w:w="-9" w:type="dxa"/>
          <w:tblLayout w:type="fixed"/>
          <w:tblCellMar>
            <w:left w:w="102" w:type="dxa"/>
            <w:right w:w="102" w:type="dxa"/>
          </w:tblCellMar>
          <w:tblLook w:val="0000"/>
        </w:tblPrEx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A3907" w:rsidP="00F14381" w14:paraId="13AE3604" w14:textId="77777777">
            <w:pPr>
              <w:rPr>
                <w:sz w:val="20"/>
              </w:rPr>
            </w:pPr>
          </w:p>
          <w:p w:rsidR="003A3907" w:rsidP="00F14381" w14:paraId="1D5AE6E3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Type of Collection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A3907" w:rsidP="00F14381" w14:paraId="4358451E" w14:textId="77777777">
            <w:pPr>
              <w:rPr>
                <w:sz w:val="20"/>
              </w:rPr>
            </w:pPr>
          </w:p>
          <w:p w:rsidR="003A3907" w:rsidP="00F14381" w14:paraId="2C6061A6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No. of Respondents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A3907" w:rsidP="00F14381" w14:paraId="088ED74E" w14:textId="77777777">
            <w:pPr>
              <w:rPr>
                <w:sz w:val="20"/>
              </w:rPr>
            </w:pPr>
          </w:p>
          <w:p w:rsidR="003A3907" w:rsidP="00F14381" w14:paraId="6AE66F13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Annual Frequency per Response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center"/>
          </w:tcPr>
          <w:p w:rsidR="003A3907" w:rsidP="007F5BE3" w14:paraId="5F0CDB61" w14:textId="3FC3E0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Responses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A3907" w:rsidP="00F14381" w14:paraId="25401E65" w14:textId="140A0274">
            <w:pPr>
              <w:rPr>
                <w:sz w:val="20"/>
              </w:rPr>
            </w:pPr>
          </w:p>
          <w:p w:rsidR="003A3907" w:rsidP="00F14381" w14:paraId="27DAD126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Hours per Response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3A3907" w:rsidP="00F14381" w14:paraId="10966B16" w14:textId="77777777">
            <w:pPr>
              <w:rPr>
                <w:sz w:val="20"/>
              </w:rPr>
            </w:pPr>
          </w:p>
          <w:p w:rsidR="003A3907" w:rsidP="00F14381" w14:paraId="7596DB05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Total Hours</w:t>
            </w:r>
          </w:p>
        </w:tc>
      </w:tr>
      <w:tr w14:paraId="77821EBF" w14:textId="77777777" w:rsidTr="00076BC0">
        <w:tblPrEx>
          <w:tblW w:w="9630" w:type="dxa"/>
          <w:tblInd w:w="-9" w:type="dxa"/>
          <w:tblLayout w:type="fixed"/>
          <w:tblCellMar>
            <w:left w:w="102" w:type="dxa"/>
            <w:right w:w="102" w:type="dxa"/>
          </w:tblCellMar>
          <w:tblLook w:val="0000"/>
        </w:tblPrEx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3A3907" w:rsidP="00F14381" w14:paraId="0E68CA20" w14:textId="77777777">
            <w:pPr>
              <w:rPr>
                <w:sz w:val="20"/>
              </w:rPr>
            </w:pPr>
          </w:p>
          <w:p w:rsidR="003A3907" w:rsidP="00F14381" w14:paraId="651EEA9D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sz w:val="20"/>
              </w:rPr>
            </w:pPr>
            <w:r>
              <w:rPr>
                <w:sz w:val="20"/>
              </w:rPr>
              <w:t>Customer Feedback Surveys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3A3907" w:rsidP="00F14381" w14:paraId="6E1B83B1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</w:p>
          <w:p w:rsidR="003A3907" w:rsidP="00F14381" w14:paraId="30980467" w14:textId="04873C33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25,000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3A3907" w:rsidP="00F14381" w14:paraId="52EDBADC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</w:p>
          <w:p w:rsidR="003A3907" w:rsidP="00F14381" w14:paraId="052662CA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3907" w:rsidP="00A4535F" w14:paraId="04B675A0" w14:textId="2320BA5D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3A3907" w:rsidP="00F14381" w14:paraId="2CA8A332" w14:textId="40A7E985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</w:p>
          <w:p w:rsidR="003A3907" w:rsidP="00F14381" w14:paraId="5C897766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3907" w:rsidP="00F14381" w14:paraId="20B673C6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</w:p>
          <w:p w:rsidR="003A3907" w:rsidP="00F14381" w14:paraId="1284461A" w14:textId="21913DA2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3A72F6">
              <w:rPr>
                <w:sz w:val="20"/>
              </w:rPr>
              <w:t>0</w:t>
            </w:r>
            <w:r>
              <w:rPr>
                <w:sz w:val="20"/>
              </w:rPr>
              <w:t>,000</w:t>
            </w:r>
          </w:p>
        </w:tc>
      </w:tr>
      <w:tr w14:paraId="14CC7433" w14:textId="77777777" w:rsidTr="00076BC0">
        <w:tblPrEx>
          <w:tblW w:w="9630" w:type="dxa"/>
          <w:tblInd w:w="-9" w:type="dxa"/>
          <w:tblLayout w:type="fixed"/>
          <w:tblCellMar>
            <w:left w:w="102" w:type="dxa"/>
            <w:right w:w="102" w:type="dxa"/>
          </w:tblCellMar>
          <w:tblLook w:val="0000"/>
        </w:tblPrEx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3A3907" w:rsidRPr="00DE07E7" w:rsidP="00F14381" w14:paraId="55E27448" w14:textId="77777777">
            <w:pPr>
              <w:rPr>
                <w:sz w:val="20"/>
                <w:highlight w:val="yellow"/>
              </w:rPr>
            </w:pPr>
          </w:p>
          <w:p w:rsidR="003A3907" w:rsidRPr="00DE07E7" w:rsidP="00F14381" w14:paraId="6B93C166" w14:textId="77777777">
            <w:pPr>
              <w:rPr>
                <w:sz w:val="20"/>
                <w:highlight w:val="yellow"/>
              </w:rPr>
            </w:pPr>
            <w:r w:rsidRPr="00563403">
              <w:rPr>
                <w:sz w:val="20"/>
              </w:rPr>
              <w:t>Comment Cards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3A3907" w:rsidRPr="00563403" w:rsidP="00F14381" w14:paraId="1E6F5EB1" w14:textId="77777777">
            <w:pPr>
              <w:jc w:val="center"/>
              <w:rPr>
                <w:sz w:val="20"/>
              </w:rPr>
            </w:pPr>
          </w:p>
          <w:p w:rsidR="003A3907" w:rsidRPr="00563403" w:rsidP="00F14381" w14:paraId="319070DD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7,500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3A3907" w:rsidP="00F14381" w14:paraId="0D46897B" w14:textId="77777777">
            <w:pPr>
              <w:jc w:val="center"/>
              <w:rPr>
                <w:sz w:val="20"/>
              </w:rPr>
            </w:pPr>
          </w:p>
          <w:p w:rsidR="003A3907" w:rsidRPr="00563403" w:rsidP="00F14381" w14:paraId="6614FA30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3907" w:rsidP="0039780C" w14:paraId="452D950D" w14:textId="02659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15,000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3A3907" w:rsidP="00F14381" w14:paraId="4DCF00B8" w14:textId="3FAC044B">
            <w:pPr>
              <w:jc w:val="center"/>
              <w:rPr>
                <w:sz w:val="20"/>
              </w:rPr>
            </w:pPr>
          </w:p>
          <w:p w:rsidR="003A3907" w:rsidRPr="00563403" w:rsidP="00F14381" w14:paraId="195B614C" w14:textId="77777777">
            <w:pPr>
              <w:jc w:val="center"/>
              <w:rPr>
                <w:sz w:val="20"/>
              </w:rPr>
            </w:pPr>
            <w:r w:rsidRPr="00563403">
              <w:rPr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A3907" w:rsidRPr="00563403" w:rsidP="00F14381" w14:paraId="61B05AE7" w14:textId="77777777">
            <w:pPr>
              <w:jc w:val="center"/>
              <w:rPr>
                <w:sz w:val="20"/>
              </w:rPr>
            </w:pPr>
          </w:p>
          <w:p w:rsidR="003A3907" w:rsidRPr="00563403" w:rsidP="00F14381" w14:paraId="459C35E5" w14:textId="777777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15,000</w:t>
            </w:r>
          </w:p>
        </w:tc>
      </w:tr>
      <w:tr w14:paraId="5962EDB3" w14:textId="77777777" w:rsidTr="00076BC0">
        <w:tblPrEx>
          <w:tblW w:w="9630" w:type="dxa"/>
          <w:tblInd w:w="-9" w:type="dxa"/>
          <w:tblLayout w:type="fixed"/>
          <w:tblCellMar>
            <w:left w:w="102" w:type="dxa"/>
            <w:right w:w="102" w:type="dxa"/>
          </w:tblCellMar>
          <w:tblLook w:val="0000"/>
        </w:tblPrEx>
        <w:trPr>
          <w:trHeight w:val="244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:rsidR="003A3907" w:rsidRPr="00DE07E7" w:rsidP="002B38AC" w14:paraId="4C0A5D3D" w14:textId="550555F2">
            <w:pPr>
              <w:rPr>
                <w:sz w:val="20"/>
                <w:highlight w:val="yellow"/>
              </w:rPr>
            </w:pPr>
            <w:r w:rsidRPr="002B38AC">
              <w:rPr>
                <w:sz w:val="20"/>
              </w:rPr>
              <w:t>Focus Groups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:rsidR="003A3907" w:rsidP="002B38AC" w14:paraId="44A7BDDC" w14:textId="766680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10,000</w:t>
            </w:r>
          </w:p>
          <w:p w:rsidR="003A3907" w:rsidRPr="00563403" w:rsidP="002B38AC" w14:paraId="722B8373" w14:textId="6A3FF098">
            <w:pPr>
              <w:jc w:val="center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:rsidR="003A3907" w:rsidP="002B38AC" w14:paraId="0A5ECD83" w14:textId="5557E1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3A3907" w:rsidRPr="00563403" w:rsidP="002B38AC" w14:paraId="71FEE271" w14:textId="31FDE0F2">
            <w:pPr>
              <w:jc w:val="center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3907" w:rsidP="002B38AC" w14:paraId="5CC8A533" w14:textId="21BCBD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20,000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center"/>
          </w:tcPr>
          <w:p w:rsidR="003A3907" w:rsidRPr="00563403" w:rsidP="002B38AC" w14:paraId="338667A2" w14:textId="1CA62E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3907" w:rsidRPr="00563403" w:rsidP="002B38AC" w14:paraId="005509BB" w14:textId="48CCF4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20,000</w:t>
            </w:r>
          </w:p>
        </w:tc>
      </w:tr>
      <w:tr w14:paraId="294B899C" w14:textId="77777777" w:rsidTr="00076BC0">
        <w:tblPrEx>
          <w:tblW w:w="9630" w:type="dxa"/>
          <w:tblInd w:w="-9" w:type="dxa"/>
          <w:tblLayout w:type="fixed"/>
          <w:tblCellMar>
            <w:left w:w="102" w:type="dxa"/>
            <w:right w:w="102" w:type="dxa"/>
          </w:tblCellMar>
          <w:tblLook w:val="0000"/>
        </w:tblPrEx>
        <w:trPr>
          <w:trHeight w:val="388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3A3907" w:rsidP="00F14381" w14:paraId="4345D0A8" w14:textId="77777777">
            <w:pPr>
              <w:rPr>
                <w:b/>
                <w:sz w:val="20"/>
              </w:rPr>
            </w:pPr>
          </w:p>
          <w:p w:rsidR="003A3907" w:rsidRPr="00563403" w:rsidP="00F14381" w14:paraId="6862A315" w14:textId="77777777">
            <w:pPr>
              <w:rPr>
                <w:b/>
                <w:sz w:val="20"/>
              </w:rPr>
            </w:pPr>
            <w:r w:rsidRPr="00563403">
              <w:rPr>
                <w:b/>
                <w:sz w:val="20"/>
              </w:rPr>
              <w:t>Burden</w:t>
            </w:r>
            <w:r>
              <w:rPr>
                <w:b/>
                <w:sz w:val="20"/>
              </w:rPr>
              <w:t xml:space="preserve"> Total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3A3907" w:rsidRPr="00F44DCB" w:rsidP="00F14381" w14:paraId="2B17459B" w14:textId="77777777">
            <w:pPr>
              <w:jc w:val="center"/>
              <w:rPr>
                <w:b/>
                <w:bCs/>
                <w:sz w:val="20"/>
              </w:rPr>
            </w:pPr>
          </w:p>
          <w:p w:rsidR="003A3907" w:rsidRPr="00F44DCB" w:rsidP="00F14381" w14:paraId="36D61125" w14:textId="37BCE43D">
            <w:pPr>
              <w:jc w:val="center"/>
              <w:rPr>
                <w:b/>
                <w:bCs/>
                <w:sz w:val="20"/>
              </w:rPr>
            </w:pPr>
            <w:r w:rsidRPr="00F44DCB">
              <w:rPr>
                <w:b/>
                <w:bCs/>
                <w:sz w:val="20"/>
              </w:rPr>
              <w:t>42</w:t>
            </w:r>
            <w:r w:rsidRPr="00F44DCB" w:rsidR="00F44DCB">
              <w:rPr>
                <w:b/>
                <w:bCs/>
                <w:sz w:val="20"/>
              </w:rPr>
              <w:t>,500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3A3907" w:rsidRPr="00F44DCB" w:rsidP="00F14381" w14:paraId="4D5C7702" w14:textId="77777777">
            <w:pPr>
              <w:jc w:val="center"/>
              <w:rPr>
                <w:b/>
                <w:bCs/>
                <w:sz w:val="20"/>
              </w:rPr>
            </w:pPr>
          </w:p>
          <w:p w:rsidR="003A3907" w:rsidRPr="00F44DCB" w:rsidP="00F14381" w14:paraId="6F4E54E6" w14:textId="77777777">
            <w:pPr>
              <w:jc w:val="center"/>
              <w:rPr>
                <w:b/>
                <w:bCs/>
                <w:sz w:val="20"/>
              </w:rPr>
            </w:pPr>
            <w:r w:rsidRPr="00F44DCB">
              <w:rPr>
                <w:b/>
                <w:bCs/>
                <w:sz w:val="20"/>
              </w:rPr>
              <w:t>2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A3907" w:rsidRPr="00F44DCB" w:rsidP="002F078F" w14:paraId="0013E7D5" w14:textId="35095A87">
            <w:pPr>
              <w:jc w:val="center"/>
              <w:rPr>
                <w:b/>
                <w:bCs/>
                <w:sz w:val="20"/>
              </w:rPr>
            </w:pPr>
            <w:r w:rsidRPr="00F44DCB">
              <w:rPr>
                <w:b/>
                <w:bCs/>
                <w:sz w:val="20"/>
              </w:rPr>
              <w:t>85,000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:rsidR="003A3907" w:rsidRPr="00F44DCB" w:rsidP="00F14381" w14:paraId="2B1BFF35" w14:textId="1D592602">
            <w:pPr>
              <w:jc w:val="center"/>
              <w:rPr>
                <w:b/>
                <w:bCs/>
                <w:sz w:val="20"/>
              </w:rPr>
            </w:pPr>
          </w:p>
          <w:p w:rsidR="003A3907" w:rsidRPr="00F44DCB" w:rsidP="00F14381" w14:paraId="6C1A4D46" w14:textId="77777777">
            <w:pPr>
              <w:jc w:val="center"/>
              <w:rPr>
                <w:b/>
                <w:bCs/>
                <w:sz w:val="20"/>
              </w:rPr>
            </w:pPr>
            <w:r w:rsidRPr="00F44DCB">
              <w:rPr>
                <w:b/>
                <w:bCs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A3907" w:rsidRPr="00F44DCB" w:rsidP="00F14381" w14:paraId="48135909" w14:textId="55BC78B9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85</w:t>
            </w:r>
            <w:r w:rsidRPr="00F44DCB">
              <w:rPr>
                <w:b/>
                <w:bCs/>
                <w:sz w:val="20"/>
              </w:rPr>
              <w:t>,000</w:t>
            </w:r>
          </w:p>
        </w:tc>
      </w:tr>
    </w:tbl>
    <w:p w:rsidR="003A3907" w:rsidP="003A3907" w14:paraId="51EAE942" w14:textId="77777777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</w:pPr>
    </w:p>
    <w:p w:rsidR="003D418F" w:rsidP="00545C57" w14:paraId="438D825A" w14:textId="77777777">
      <w:pPr>
        <w:ind w:right="-274"/>
        <w:rPr>
          <w:rFonts w:ascii="Times New Roman" w:hAnsi="Times New Roman"/>
          <w:sz w:val="24"/>
          <w:szCs w:val="28"/>
        </w:rPr>
      </w:pPr>
    </w:p>
    <w:p w:rsidR="00545C57" w:rsidP="00545C57" w14:paraId="2434FA45" w14:textId="0395F138">
      <w:pPr>
        <w:ind w:right="-27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If you have any questions regarding this request, please contact </w:t>
      </w:r>
      <w:r w:rsidR="003D418F">
        <w:rPr>
          <w:rFonts w:ascii="Times New Roman" w:hAnsi="Times New Roman"/>
          <w:sz w:val="24"/>
          <w:szCs w:val="28"/>
        </w:rPr>
        <w:t>Christina Sandberg</w:t>
      </w:r>
      <w:r>
        <w:rPr>
          <w:rFonts w:ascii="Times New Roman" w:hAnsi="Times New Roman"/>
          <w:sz w:val="24"/>
          <w:szCs w:val="28"/>
        </w:rPr>
        <w:t>, FNS Information Collection Clearance Officer for the Food and Nutrition Service, Planning &amp; Regulatory Affairs Office at (703) 305-</w:t>
      </w:r>
      <w:r w:rsidR="00724748">
        <w:rPr>
          <w:rFonts w:ascii="Times New Roman" w:hAnsi="Times New Roman"/>
          <w:sz w:val="24"/>
          <w:szCs w:val="28"/>
        </w:rPr>
        <w:t>2337</w:t>
      </w:r>
      <w:r>
        <w:rPr>
          <w:rFonts w:ascii="Times New Roman" w:hAnsi="Times New Roman"/>
          <w:sz w:val="24"/>
          <w:szCs w:val="28"/>
        </w:rPr>
        <w:t>.</w:t>
      </w:r>
    </w:p>
    <w:sectPr w:rsidSect="004B0291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576BD" w:rsidP="00FF216E" w14:paraId="487ED79F" w14:textId="77777777">
    <w:pPr>
      <w:pStyle w:val="Footer"/>
      <w:jc w:val="center"/>
      <w:rPr>
        <w:sz w:val="14"/>
      </w:rPr>
    </w:pPr>
  </w:p>
  <w:p w:rsidR="005576BD" w:rsidP="00FF216E" w14:paraId="4522BC16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5576BD" w:rsidP="00FF216E" w14:paraId="60968337" w14:textId="77777777">
    <w:pPr>
      <w:pStyle w:val="Footer"/>
      <w:jc w:val="center"/>
      <w:rPr>
        <w:sz w:val="14"/>
      </w:rPr>
    </w:pPr>
  </w:p>
  <w:p w:rsidR="005576BD" w:rsidRPr="0027535D" w:rsidP="0027535D" w14:paraId="0934AC0D" w14:textId="77777777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27535D">
      <w:rPr>
        <w:rFonts w:ascii="Times New Roman" w:hAnsi="Times New Roman" w:cs="Times New Roman"/>
        <w:sz w:val="18"/>
        <w:szCs w:val="18"/>
      </w:rPr>
      <w:fldChar w:fldCharType="begin"/>
    </w:r>
    <w:r w:rsidRPr="0027535D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27535D">
      <w:rPr>
        <w:rFonts w:ascii="Times New Roman" w:hAnsi="Times New Roman" w:cs="Times New Roman"/>
        <w:sz w:val="18"/>
        <w:szCs w:val="18"/>
      </w:rPr>
      <w:fldChar w:fldCharType="separate"/>
    </w:r>
    <w:r w:rsidR="001929BA">
      <w:rPr>
        <w:rFonts w:ascii="Times New Roman" w:hAnsi="Times New Roman" w:cs="Times New Roman"/>
        <w:noProof/>
        <w:sz w:val="18"/>
        <w:szCs w:val="18"/>
      </w:rPr>
      <w:t>2</w:t>
    </w:r>
    <w:r w:rsidRPr="0027535D">
      <w:rPr>
        <w:rFonts w:ascii="Times New Roman" w:hAnsi="Times New Roman" w:cs="Times New Roman"/>
        <w:noProof/>
        <w:sz w:val="18"/>
        <w:szCs w:val="18"/>
      </w:rPr>
      <w:fldChar w:fldCharType="end"/>
    </w:r>
  </w:p>
  <w:p w:rsidR="005576BD" w:rsidP="00FF216E" w14:paraId="44B924BF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6317" w:rsidP="00BC6317" w14:paraId="21D71E34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BC6317" w14:paraId="54AE657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51F91"/>
    <w:multiLevelType w:val="hybridMultilevel"/>
    <w:tmpl w:val="5224B4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13B3"/>
    <w:multiLevelType w:val="hybridMultilevel"/>
    <w:tmpl w:val="C004DCC6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43027"/>
    <w:multiLevelType w:val="hybridMultilevel"/>
    <w:tmpl w:val="264A54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B7623"/>
    <w:multiLevelType w:val="hybridMultilevel"/>
    <w:tmpl w:val="C136ED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515C"/>
    <w:multiLevelType w:val="hybridMultilevel"/>
    <w:tmpl w:val="F98E851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E09F1"/>
    <w:multiLevelType w:val="hybridMultilevel"/>
    <w:tmpl w:val="30E8B5CC"/>
    <w:lvl w:ilvl="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A458B"/>
    <w:multiLevelType w:val="hybridMultilevel"/>
    <w:tmpl w:val="EBF4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2634B"/>
    <w:multiLevelType w:val="hybridMultilevel"/>
    <w:tmpl w:val="E59AD6D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777B"/>
    <w:multiLevelType w:val="hybridMultilevel"/>
    <w:tmpl w:val="E19A6632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F1EEC"/>
    <w:multiLevelType w:val="hybridMultilevel"/>
    <w:tmpl w:val="D84C7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F93F1F"/>
    <w:multiLevelType w:val="hybridMultilevel"/>
    <w:tmpl w:val="90522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46CA7F44"/>
    <w:multiLevelType w:val="hybridMultilevel"/>
    <w:tmpl w:val="0E88D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B0CA0"/>
    <w:multiLevelType w:val="hybridMultilevel"/>
    <w:tmpl w:val="7198611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B0C47"/>
    <w:multiLevelType w:val="hybridMultilevel"/>
    <w:tmpl w:val="6394B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814050"/>
    <w:multiLevelType w:val="hybridMultilevel"/>
    <w:tmpl w:val="DD20A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842615"/>
    <w:multiLevelType w:val="hybridMultilevel"/>
    <w:tmpl w:val="81FE56B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764E2"/>
    <w:multiLevelType w:val="hybridMultilevel"/>
    <w:tmpl w:val="140E9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24826">
    <w:abstractNumId w:val="11"/>
  </w:num>
  <w:num w:numId="2" w16cid:durableId="1306198773">
    <w:abstractNumId w:val="10"/>
  </w:num>
  <w:num w:numId="3" w16cid:durableId="1086684639">
    <w:abstractNumId w:val="0"/>
  </w:num>
  <w:num w:numId="4" w16cid:durableId="362488552">
    <w:abstractNumId w:val="15"/>
  </w:num>
  <w:num w:numId="5" w16cid:durableId="844174270">
    <w:abstractNumId w:val="7"/>
  </w:num>
  <w:num w:numId="6" w16cid:durableId="511458525">
    <w:abstractNumId w:val="8"/>
  </w:num>
  <w:num w:numId="7" w16cid:durableId="1660769117">
    <w:abstractNumId w:val="1"/>
  </w:num>
  <w:num w:numId="8" w16cid:durableId="931821605">
    <w:abstractNumId w:val="12"/>
  </w:num>
  <w:num w:numId="9" w16cid:durableId="1440030947">
    <w:abstractNumId w:val="5"/>
  </w:num>
  <w:num w:numId="10" w16cid:durableId="773016978">
    <w:abstractNumId w:val="6"/>
  </w:num>
  <w:num w:numId="11" w16cid:durableId="796487515">
    <w:abstractNumId w:val="3"/>
  </w:num>
  <w:num w:numId="12" w16cid:durableId="839393606">
    <w:abstractNumId w:val="16"/>
  </w:num>
  <w:num w:numId="13" w16cid:durableId="750927896">
    <w:abstractNumId w:val="4"/>
  </w:num>
  <w:num w:numId="14" w16cid:durableId="440733840">
    <w:abstractNumId w:val="6"/>
  </w:num>
  <w:num w:numId="15" w16cid:durableId="1891920304">
    <w:abstractNumId w:val="14"/>
  </w:num>
  <w:num w:numId="16" w16cid:durableId="304698203">
    <w:abstractNumId w:val="2"/>
  </w:num>
  <w:num w:numId="17" w16cid:durableId="1240872124">
    <w:abstractNumId w:val="9"/>
  </w:num>
  <w:num w:numId="18" w16cid:durableId="827326506">
    <w:abstractNumId w:val="14"/>
  </w:num>
  <w:num w:numId="19" w16cid:durableId="1019433877">
    <w:abstractNumId w:val="13"/>
  </w:num>
  <w:num w:numId="20" w16cid:durableId="241646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5C"/>
    <w:rsid w:val="0000036E"/>
    <w:rsid w:val="00004700"/>
    <w:rsid w:val="0000523D"/>
    <w:rsid w:val="000138A3"/>
    <w:rsid w:val="00016303"/>
    <w:rsid w:val="00017685"/>
    <w:rsid w:val="00023EA5"/>
    <w:rsid w:val="00025445"/>
    <w:rsid w:val="00026AD9"/>
    <w:rsid w:val="00033762"/>
    <w:rsid w:val="00037710"/>
    <w:rsid w:val="00044B82"/>
    <w:rsid w:val="00051A4E"/>
    <w:rsid w:val="00052FF1"/>
    <w:rsid w:val="000535D8"/>
    <w:rsid w:val="00054B7B"/>
    <w:rsid w:val="00063439"/>
    <w:rsid w:val="00065F5D"/>
    <w:rsid w:val="00067332"/>
    <w:rsid w:val="00076BC0"/>
    <w:rsid w:val="00085DB4"/>
    <w:rsid w:val="00087210"/>
    <w:rsid w:val="00092BE3"/>
    <w:rsid w:val="000A4D41"/>
    <w:rsid w:val="000A7A43"/>
    <w:rsid w:val="000B0DC5"/>
    <w:rsid w:val="000C24E3"/>
    <w:rsid w:val="000C44A9"/>
    <w:rsid w:val="000C47D6"/>
    <w:rsid w:val="000C6673"/>
    <w:rsid w:val="000D0622"/>
    <w:rsid w:val="000D0830"/>
    <w:rsid w:val="000D4414"/>
    <w:rsid w:val="000E241F"/>
    <w:rsid w:val="000F0092"/>
    <w:rsid w:val="000F4E2E"/>
    <w:rsid w:val="000F6A34"/>
    <w:rsid w:val="000F768C"/>
    <w:rsid w:val="00100B1D"/>
    <w:rsid w:val="00105EB6"/>
    <w:rsid w:val="001061FA"/>
    <w:rsid w:val="00110551"/>
    <w:rsid w:val="001131D4"/>
    <w:rsid w:val="00113BF2"/>
    <w:rsid w:val="00137645"/>
    <w:rsid w:val="001476A8"/>
    <w:rsid w:val="00160409"/>
    <w:rsid w:val="0016569F"/>
    <w:rsid w:val="00182980"/>
    <w:rsid w:val="00182A5A"/>
    <w:rsid w:val="001929BA"/>
    <w:rsid w:val="00192F0E"/>
    <w:rsid w:val="00195BF0"/>
    <w:rsid w:val="001971D1"/>
    <w:rsid w:val="001A12A9"/>
    <w:rsid w:val="001A5AF2"/>
    <w:rsid w:val="001A62B1"/>
    <w:rsid w:val="001B18C6"/>
    <w:rsid w:val="001B417B"/>
    <w:rsid w:val="001B69E9"/>
    <w:rsid w:val="001C2855"/>
    <w:rsid w:val="001C3033"/>
    <w:rsid w:val="001D13B5"/>
    <w:rsid w:val="001D350D"/>
    <w:rsid w:val="001D4A49"/>
    <w:rsid w:val="001D6DE1"/>
    <w:rsid w:val="001D789E"/>
    <w:rsid w:val="001F3F40"/>
    <w:rsid w:val="00204885"/>
    <w:rsid w:val="00215E9F"/>
    <w:rsid w:val="00217AEE"/>
    <w:rsid w:val="00221456"/>
    <w:rsid w:val="00222041"/>
    <w:rsid w:val="00223FD2"/>
    <w:rsid w:val="00227CDB"/>
    <w:rsid w:val="00230FEB"/>
    <w:rsid w:val="002317F2"/>
    <w:rsid w:val="00231A96"/>
    <w:rsid w:val="00236BCE"/>
    <w:rsid w:val="00236CD4"/>
    <w:rsid w:val="00236DFB"/>
    <w:rsid w:val="00243927"/>
    <w:rsid w:val="002478ED"/>
    <w:rsid w:val="00262A5B"/>
    <w:rsid w:val="00270212"/>
    <w:rsid w:val="0027535D"/>
    <w:rsid w:val="00275999"/>
    <w:rsid w:val="0027781B"/>
    <w:rsid w:val="00284ABE"/>
    <w:rsid w:val="002B2A41"/>
    <w:rsid w:val="002B38AC"/>
    <w:rsid w:val="002B440D"/>
    <w:rsid w:val="002C21BC"/>
    <w:rsid w:val="002C3D86"/>
    <w:rsid w:val="002D6D00"/>
    <w:rsid w:val="002E5C45"/>
    <w:rsid w:val="002F078F"/>
    <w:rsid w:val="002F355B"/>
    <w:rsid w:val="002F4447"/>
    <w:rsid w:val="003068CD"/>
    <w:rsid w:val="00310E50"/>
    <w:rsid w:val="003113DA"/>
    <w:rsid w:val="003127EA"/>
    <w:rsid w:val="00314646"/>
    <w:rsid w:val="003207EA"/>
    <w:rsid w:val="00320E72"/>
    <w:rsid w:val="00320FF0"/>
    <w:rsid w:val="00321883"/>
    <w:rsid w:val="00322986"/>
    <w:rsid w:val="0033262B"/>
    <w:rsid w:val="0033440E"/>
    <w:rsid w:val="003370E3"/>
    <w:rsid w:val="0034185E"/>
    <w:rsid w:val="0035225D"/>
    <w:rsid w:val="00352ADF"/>
    <w:rsid w:val="00353D50"/>
    <w:rsid w:val="00357EFA"/>
    <w:rsid w:val="00361C32"/>
    <w:rsid w:val="00366395"/>
    <w:rsid w:val="003726F0"/>
    <w:rsid w:val="00386A7E"/>
    <w:rsid w:val="0039780C"/>
    <w:rsid w:val="003A3907"/>
    <w:rsid w:val="003A60A6"/>
    <w:rsid w:val="003A72F6"/>
    <w:rsid w:val="003B51CE"/>
    <w:rsid w:val="003B5987"/>
    <w:rsid w:val="003C0463"/>
    <w:rsid w:val="003C0CEC"/>
    <w:rsid w:val="003C0CF6"/>
    <w:rsid w:val="003C580E"/>
    <w:rsid w:val="003C5D13"/>
    <w:rsid w:val="003C71CB"/>
    <w:rsid w:val="003C76D9"/>
    <w:rsid w:val="003D12DB"/>
    <w:rsid w:val="003D418F"/>
    <w:rsid w:val="003D58EA"/>
    <w:rsid w:val="003D612B"/>
    <w:rsid w:val="003E5907"/>
    <w:rsid w:val="003F0110"/>
    <w:rsid w:val="003F5A96"/>
    <w:rsid w:val="00411417"/>
    <w:rsid w:val="00411E28"/>
    <w:rsid w:val="00413413"/>
    <w:rsid w:val="004238A7"/>
    <w:rsid w:val="00423ABC"/>
    <w:rsid w:val="004262E4"/>
    <w:rsid w:val="0042758F"/>
    <w:rsid w:val="004521E4"/>
    <w:rsid w:val="00460D20"/>
    <w:rsid w:val="004633F4"/>
    <w:rsid w:val="00467C5C"/>
    <w:rsid w:val="00473D67"/>
    <w:rsid w:val="0047411D"/>
    <w:rsid w:val="0047733E"/>
    <w:rsid w:val="00480EC5"/>
    <w:rsid w:val="00484E57"/>
    <w:rsid w:val="00485C6E"/>
    <w:rsid w:val="00491D33"/>
    <w:rsid w:val="00492F8A"/>
    <w:rsid w:val="00493248"/>
    <w:rsid w:val="0049775C"/>
    <w:rsid w:val="004A09FF"/>
    <w:rsid w:val="004A39B8"/>
    <w:rsid w:val="004B0291"/>
    <w:rsid w:val="004D21BC"/>
    <w:rsid w:val="004D357E"/>
    <w:rsid w:val="004D70B3"/>
    <w:rsid w:val="004E600C"/>
    <w:rsid w:val="00507E15"/>
    <w:rsid w:val="005102F5"/>
    <w:rsid w:val="0051336C"/>
    <w:rsid w:val="005138A6"/>
    <w:rsid w:val="0052226D"/>
    <w:rsid w:val="00531247"/>
    <w:rsid w:val="00545C57"/>
    <w:rsid w:val="005468B0"/>
    <w:rsid w:val="005469F1"/>
    <w:rsid w:val="005475D2"/>
    <w:rsid w:val="005576BD"/>
    <w:rsid w:val="00563403"/>
    <w:rsid w:val="00564066"/>
    <w:rsid w:val="00564DD8"/>
    <w:rsid w:val="00565179"/>
    <w:rsid w:val="00565D9B"/>
    <w:rsid w:val="005737BD"/>
    <w:rsid w:val="005769F5"/>
    <w:rsid w:val="00580A2F"/>
    <w:rsid w:val="00582693"/>
    <w:rsid w:val="00582876"/>
    <w:rsid w:val="00583EF0"/>
    <w:rsid w:val="00584D9D"/>
    <w:rsid w:val="005862DC"/>
    <w:rsid w:val="00593D04"/>
    <w:rsid w:val="005A182B"/>
    <w:rsid w:val="005A3F15"/>
    <w:rsid w:val="005B1DD7"/>
    <w:rsid w:val="005B3307"/>
    <w:rsid w:val="005B5B62"/>
    <w:rsid w:val="005C3E4B"/>
    <w:rsid w:val="005D0C99"/>
    <w:rsid w:val="005D2C75"/>
    <w:rsid w:val="005E01AB"/>
    <w:rsid w:val="005E4487"/>
    <w:rsid w:val="005F0E4B"/>
    <w:rsid w:val="005F0ECD"/>
    <w:rsid w:val="005F4641"/>
    <w:rsid w:val="006072ED"/>
    <w:rsid w:val="0061570D"/>
    <w:rsid w:val="00626259"/>
    <w:rsid w:val="00644DB8"/>
    <w:rsid w:val="00653B42"/>
    <w:rsid w:val="00655536"/>
    <w:rsid w:val="00657F16"/>
    <w:rsid w:val="00662731"/>
    <w:rsid w:val="00663FC5"/>
    <w:rsid w:val="00673D50"/>
    <w:rsid w:val="00686062"/>
    <w:rsid w:val="00694389"/>
    <w:rsid w:val="006957CB"/>
    <w:rsid w:val="006A5499"/>
    <w:rsid w:val="006B0073"/>
    <w:rsid w:val="006B1548"/>
    <w:rsid w:val="006C54AE"/>
    <w:rsid w:val="006C6310"/>
    <w:rsid w:val="006D5EDF"/>
    <w:rsid w:val="006E12D9"/>
    <w:rsid w:val="006E5454"/>
    <w:rsid w:val="006F28E6"/>
    <w:rsid w:val="00715663"/>
    <w:rsid w:val="00724748"/>
    <w:rsid w:val="00734860"/>
    <w:rsid w:val="00743665"/>
    <w:rsid w:val="00746C90"/>
    <w:rsid w:val="00746F42"/>
    <w:rsid w:val="00754A53"/>
    <w:rsid w:val="007601EB"/>
    <w:rsid w:val="00761B98"/>
    <w:rsid w:val="00766503"/>
    <w:rsid w:val="00780B42"/>
    <w:rsid w:val="0078410A"/>
    <w:rsid w:val="0078748E"/>
    <w:rsid w:val="00787AE3"/>
    <w:rsid w:val="007916DB"/>
    <w:rsid w:val="00791CBE"/>
    <w:rsid w:val="00793EA9"/>
    <w:rsid w:val="00795088"/>
    <w:rsid w:val="0079593F"/>
    <w:rsid w:val="00796456"/>
    <w:rsid w:val="0079733A"/>
    <w:rsid w:val="00797A28"/>
    <w:rsid w:val="007A53E5"/>
    <w:rsid w:val="007A66F1"/>
    <w:rsid w:val="007B1C7A"/>
    <w:rsid w:val="007B22BD"/>
    <w:rsid w:val="007B34B9"/>
    <w:rsid w:val="007C0808"/>
    <w:rsid w:val="007C34A1"/>
    <w:rsid w:val="007C5449"/>
    <w:rsid w:val="007D19D5"/>
    <w:rsid w:val="007E37FA"/>
    <w:rsid w:val="007E63B2"/>
    <w:rsid w:val="007F09F4"/>
    <w:rsid w:val="007F4330"/>
    <w:rsid w:val="007F5212"/>
    <w:rsid w:val="007F5BE3"/>
    <w:rsid w:val="00807DFE"/>
    <w:rsid w:val="00811E88"/>
    <w:rsid w:val="008149D2"/>
    <w:rsid w:val="00816D2D"/>
    <w:rsid w:val="00823434"/>
    <w:rsid w:val="00823BDF"/>
    <w:rsid w:val="00825C07"/>
    <w:rsid w:val="0082781A"/>
    <w:rsid w:val="00833F27"/>
    <w:rsid w:val="00834420"/>
    <w:rsid w:val="00836DF7"/>
    <w:rsid w:val="008520F1"/>
    <w:rsid w:val="008522B6"/>
    <w:rsid w:val="0085444C"/>
    <w:rsid w:val="00856594"/>
    <w:rsid w:val="008576E6"/>
    <w:rsid w:val="00860D9C"/>
    <w:rsid w:val="008714F8"/>
    <w:rsid w:val="008726CA"/>
    <w:rsid w:val="008863DB"/>
    <w:rsid w:val="00886875"/>
    <w:rsid w:val="0089115C"/>
    <w:rsid w:val="0089651C"/>
    <w:rsid w:val="008A4F03"/>
    <w:rsid w:val="008C0EB5"/>
    <w:rsid w:val="008C15F2"/>
    <w:rsid w:val="008C16F4"/>
    <w:rsid w:val="008C76D8"/>
    <w:rsid w:val="008D276D"/>
    <w:rsid w:val="008D3DA8"/>
    <w:rsid w:val="008D7C4F"/>
    <w:rsid w:val="008E68CE"/>
    <w:rsid w:val="008E786E"/>
    <w:rsid w:val="008F3919"/>
    <w:rsid w:val="009017AC"/>
    <w:rsid w:val="009057D1"/>
    <w:rsid w:val="00910C48"/>
    <w:rsid w:val="0091219D"/>
    <w:rsid w:val="009128D9"/>
    <w:rsid w:val="00913D6E"/>
    <w:rsid w:val="00916916"/>
    <w:rsid w:val="00930990"/>
    <w:rsid w:val="00932C76"/>
    <w:rsid w:val="00933B39"/>
    <w:rsid w:val="009346BE"/>
    <w:rsid w:val="00941AD2"/>
    <w:rsid w:val="00946D3B"/>
    <w:rsid w:val="009509FD"/>
    <w:rsid w:val="00972922"/>
    <w:rsid w:val="009753E8"/>
    <w:rsid w:val="00976011"/>
    <w:rsid w:val="009941A4"/>
    <w:rsid w:val="009A2F74"/>
    <w:rsid w:val="009A407E"/>
    <w:rsid w:val="009A52AA"/>
    <w:rsid w:val="009B4EF4"/>
    <w:rsid w:val="009B56B8"/>
    <w:rsid w:val="009C0ABB"/>
    <w:rsid w:val="009C6137"/>
    <w:rsid w:val="009D0180"/>
    <w:rsid w:val="009D3DE8"/>
    <w:rsid w:val="009E4097"/>
    <w:rsid w:val="00A01519"/>
    <w:rsid w:val="00A10DD6"/>
    <w:rsid w:val="00A11C47"/>
    <w:rsid w:val="00A141F2"/>
    <w:rsid w:val="00A16B6F"/>
    <w:rsid w:val="00A16CE4"/>
    <w:rsid w:val="00A26AC3"/>
    <w:rsid w:val="00A40365"/>
    <w:rsid w:val="00A40D76"/>
    <w:rsid w:val="00A4535F"/>
    <w:rsid w:val="00A47B39"/>
    <w:rsid w:val="00A50765"/>
    <w:rsid w:val="00A553C0"/>
    <w:rsid w:val="00A70E98"/>
    <w:rsid w:val="00A75B0F"/>
    <w:rsid w:val="00A8251D"/>
    <w:rsid w:val="00A835B4"/>
    <w:rsid w:val="00A93812"/>
    <w:rsid w:val="00A941B7"/>
    <w:rsid w:val="00A96EC5"/>
    <w:rsid w:val="00AB23C7"/>
    <w:rsid w:val="00AB4804"/>
    <w:rsid w:val="00AC6E84"/>
    <w:rsid w:val="00AC73BD"/>
    <w:rsid w:val="00AD425C"/>
    <w:rsid w:val="00AD5F9B"/>
    <w:rsid w:val="00AE11E2"/>
    <w:rsid w:val="00AE78D5"/>
    <w:rsid w:val="00AF4B9B"/>
    <w:rsid w:val="00B01C4E"/>
    <w:rsid w:val="00B07603"/>
    <w:rsid w:val="00B108A7"/>
    <w:rsid w:val="00B1165B"/>
    <w:rsid w:val="00B14C66"/>
    <w:rsid w:val="00B16908"/>
    <w:rsid w:val="00B21F02"/>
    <w:rsid w:val="00B278BD"/>
    <w:rsid w:val="00B27CD3"/>
    <w:rsid w:val="00B30326"/>
    <w:rsid w:val="00B30DED"/>
    <w:rsid w:val="00B33B43"/>
    <w:rsid w:val="00B33D4F"/>
    <w:rsid w:val="00B36729"/>
    <w:rsid w:val="00B51A2D"/>
    <w:rsid w:val="00B55DA1"/>
    <w:rsid w:val="00B60C67"/>
    <w:rsid w:val="00B62B38"/>
    <w:rsid w:val="00B65983"/>
    <w:rsid w:val="00B6715E"/>
    <w:rsid w:val="00B7158F"/>
    <w:rsid w:val="00B734AB"/>
    <w:rsid w:val="00B838B8"/>
    <w:rsid w:val="00BB22F7"/>
    <w:rsid w:val="00BB3618"/>
    <w:rsid w:val="00BC3283"/>
    <w:rsid w:val="00BC4465"/>
    <w:rsid w:val="00BC6317"/>
    <w:rsid w:val="00BD29B1"/>
    <w:rsid w:val="00BD3B50"/>
    <w:rsid w:val="00BE6E68"/>
    <w:rsid w:val="00BF194D"/>
    <w:rsid w:val="00BF57F0"/>
    <w:rsid w:val="00BF79EE"/>
    <w:rsid w:val="00C04063"/>
    <w:rsid w:val="00C10C38"/>
    <w:rsid w:val="00C153D5"/>
    <w:rsid w:val="00C22FB4"/>
    <w:rsid w:val="00C25311"/>
    <w:rsid w:val="00C31E54"/>
    <w:rsid w:val="00C36AED"/>
    <w:rsid w:val="00C40D16"/>
    <w:rsid w:val="00C40E5B"/>
    <w:rsid w:val="00C41545"/>
    <w:rsid w:val="00C41BB4"/>
    <w:rsid w:val="00C60093"/>
    <w:rsid w:val="00C64062"/>
    <w:rsid w:val="00C67809"/>
    <w:rsid w:val="00C71F61"/>
    <w:rsid w:val="00C97F68"/>
    <w:rsid w:val="00CA2FAE"/>
    <w:rsid w:val="00CB01CF"/>
    <w:rsid w:val="00CB2749"/>
    <w:rsid w:val="00CB276F"/>
    <w:rsid w:val="00CD33D3"/>
    <w:rsid w:val="00CE6A82"/>
    <w:rsid w:val="00CE72FF"/>
    <w:rsid w:val="00CF0712"/>
    <w:rsid w:val="00CF6433"/>
    <w:rsid w:val="00CF7E35"/>
    <w:rsid w:val="00D00046"/>
    <w:rsid w:val="00D03EDA"/>
    <w:rsid w:val="00D13C4D"/>
    <w:rsid w:val="00D16FC0"/>
    <w:rsid w:val="00D264B9"/>
    <w:rsid w:val="00D2694F"/>
    <w:rsid w:val="00D366D2"/>
    <w:rsid w:val="00D3721A"/>
    <w:rsid w:val="00D5168E"/>
    <w:rsid w:val="00D67874"/>
    <w:rsid w:val="00D729D3"/>
    <w:rsid w:val="00D72C5E"/>
    <w:rsid w:val="00D84E4F"/>
    <w:rsid w:val="00D854AE"/>
    <w:rsid w:val="00D9090D"/>
    <w:rsid w:val="00D946DC"/>
    <w:rsid w:val="00DA6AA0"/>
    <w:rsid w:val="00DB5683"/>
    <w:rsid w:val="00DB710F"/>
    <w:rsid w:val="00DC0513"/>
    <w:rsid w:val="00DC4089"/>
    <w:rsid w:val="00DC47BE"/>
    <w:rsid w:val="00DC7C7A"/>
    <w:rsid w:val="00DD0480"/>
    <w:rsid w:val="00DD117A"/>
    <w:rsid w:val="00DD56E7"/>
    <w:rsid w:val="00DE033D"/>
    <w:rsid w:val="00DE07E7"/>
    <w:rsid w:val="00DE1A33"/>
    <w:rsid w:val="00DE2A75"/>
    <w:rsid w:val="00DE2D6B"/>
    <w:rsid w:val="00DE4C3A"/>
    <w:rsid w:val="00DF24A9"/>
    <w:rsid w:val="00E12131"/>
    <w:rsid w:val="00E20C07"/>
    <w:rsid w:val="00E270EB"/>
    <w:rsid w:val="00E36255"/>
    <w:rsid w:val="00E45662"/>
    <w:rsid w:val="00E46824"/>
    <w:rsid w:val="00E55DDE"/>
    <w:rsid w:val="00E613DF"/>
    <w:rsid w:val="00E61A81"/>
    <w:rsid w:val="00E669E6"/>
    <w:rsid w:val="00E72548"/>
    <w:rsid w:val="00E7296F"/>
    <w:rsid w:val="00E76DBF"/>
    <w:rsid w:val="00E7764F"/>
    <w:rsid w:val="00E77BC5"/>
    <w:rsid w:val="00E872CD"/>
    <w:rsid w:val="00E92F1C"/>
    <w:rsid w:val="00E96388"/>
    <w:rsid w:val="00EA285C"/>
    <w:rsid w:val="00EC0AC6"/>
    <w:rsid w:val="00ED2845"/>
    <w:rsid w:val="00ED3DF8"/>
    <w:rsid w:val="00ED4FC9"/>
    <w:rsid w:val="00EE52C0"/>
    <w:rsid w:val="00EE5E20"/>
    <w:rsid w:val="00EF1158"/>
    <w:rsid w:val="00EF1A3D"/>
    <w:rsid w:val="00EF21F1"/>
    <w:rsid w:val="00EF5987"/>
    <w:rsid w:val="00F02247"/>
    <w:rsid w:val="00F03F7C"/>
    <w:rsid w:val="00F05EF7"/>
    <w:rsid w:val="00F10F05"/>
    <w:rsid w:val="00F14168"/>
    <w:rsid w:val="00F14381"/>
    <w:rsid w:val="00F153C9"/>
    <w:rsid w:val="00F172D5"/>
    <w:rsid w:val="00F17DCA"/>
    <w:rsid w:val="00F2536F"/>
    <w:rsid w:val="00F33BD2"/>
    <w:rsid w:val="00F36722"/>
    <w:rsid w:val="00F375EF"/>
    <w:rsid w:val="00F40949"/>
    <w:rsid w:val="00F44DCB"/>
    <w:rsid w:val="00F46717"/>
    <w:rsid w:val="00F54DA5"/>
    <w:rsid w:val="00F62D71"/>
    <w:rsid w:val="00F7353A"/>
    <w:rsid w:val="00F73F75"/>
    <w:rsid w:val="00F75750"/>
    <w:rsid w:val="00F77FAF"/>
    <w:rsid w:val="00F801E8"/>
    <w:rsid w:val="00F832F5"/>
    <w:rsid w:val="00FA210F"/>
    <w:rsid w:val="00FA7446"/>
    <w:rsid w:val="00FA798B"/>
    <w:rsid w:val="00FB1FF2"/>
    <w:rsid w:val="00FB29A2"/>
    <w:rsid w:val="00FB30E6"/>
    <w:rsid w:val="00FB3836"/>
    <w:rsid w:val="00FB5B15"/>
    <w:rsid w:val="00FB7E5B"/>
    <w:rsid w:val="00FC6BA0"/>
    <w:rsid w:val="00FD017B"/>
    <w:rsid w:val="00FD0849"/>
    <w:rsid w:val="00FE3224"/>
    <w:rsid w:val="00FF19FE"/>
    <w:rsid w:val="00FF216E"/>
    <w:rsid w:val="573564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89C425"/>
  <w15:chartTrackingRefBased/>
  <w15:docId w15:val="{894185CE-15F1-4F3D-8E71-62932C42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75C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977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7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75C"/>
    <w:rPr>
      <w:rFonts w:ascii="Arial" w:hAnsi="Arial" w:eastAsiaTheme="minorEastAsia" w:cs="Arial"/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49775C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eastAsia="Times New Roman" w:hAnsi="Courier New" w:cs="Times New Roman"/>
      <w:color w:val="auto"/>
      <w:sz w:val="24"/>
      <w:szCs w:val="20"/>
      <w:lang w:eastAsia="en-US"/>
    </w:rPr>
  </w:style>
  <w:style w:type="paragraph" w:customStyle="1" w:styleId="paragraph">
    <w:name w:val="paragraph"/>
    <w:basedOn w:val="Normal"/>
    <w:rsid w:val="003726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ontentcontrolboundarysink">
    <w:name w:val="contentcontrolboundarysink"/>
    <w:basedOn w:val="DefaultParagraphFont"/>
    <w:rsid w:val="003726F0"/>
  </w:style>
  <w:style w:type="character" w:customStyle="1" w:styleId="normaltextrun">
    <w:name w:val="normaltextrun"/>
    <w:basedOn w:val="DefaultParagraphFont"/>
    <w:rsid w:val="003726F0"/>
  </w:style>
  <w:style w:type="character" w:customStyle="1" w:styleId="eop">
    <w:name w:val="eop"/>
    <w:basedOn w:val="DefaultParagraphFont"/>
    <w:rsid w:val="003726F0"/>
  </w:style>
  <w:style w:type="paragraph" w:styleId="Header">
    <w:name w:val="header"/>
    <w:basedOn w:val="Normal"/>
    <w:link w:val="HeaderChar"/>
    <w:uiPriority w:val="99"/>
    <w:unhideWhenUsed/>
    <w:rsid w:val="004B0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291"/>
    <w:rPr>
      <w:rFonts w:ascii="Arial" w:hAnsi="Arial" w:eastAsiaTheme="minorEastAsia" w:cs="Arial"/>
      <w:color w:val="000000"/>
      <w:lang w:eastAsia="ja-JP"/>
    </w:rPr>
  </w:style>
  <w:style w:type="paragraph" w:styleId="BodyText">
    <w:name w:val="Body Text"/>
    <w:basedOn w:val="Normal"/>
    <w:link w:val="BodyTextChar"/>
    <w:rsid w:val="001929BA"/>
    <w:pPr>
      <w:spacing w:after="220" w:line="180" w:lineRule="atLeast"/>
      <w:jc w:val="both"/>
    </w:pPr>
    <w:rPr>
      <w:rFonts w:eastAsia="Times New Roman" w:cs="Times New Roman"/>
      <w:color w:val="auto"/>
      <w:spacing w:val="-5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929BA"/>
    <w:rPr>
      <w:rFonts w:ascii="Arial" w:eastAsia="Times New Roman" w:hAnsi="Arial" w:cs="Times New Roman"/>
      <w:spacing w:val="-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2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9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9BA"/>
    <w:rPr>
      <w:rFonts w:ascii="Arial" w:hAnsi="Arial" w:eastAsiaTheme="minorEastAsia" w:cs="Arial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BA"/>
    <w:rPr>
      <w:rFonts w:ascii="Segoe UI" w:hAnsi="Segoe UI" w:eastAsiaTheme="minorEastAsia" w:cs="Segoe UI"/>
      <w:color w:val="000000"/>
      <w:sz w:val="18"/>
      <w:szCs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9BA"/>
    <w:rPr>
      <w:rFonts w:ascii="Arial" w:hAnsi="Arial" w:eastAsiaTheme="minorEastAsia" w:cs="Arial"/>
      <w:b/>
      <w:bCs/>
      <w:color w:val="00000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C3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0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41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10A"/>
    <w:rPr>
      <w:rFonts w:ascii="Arial" w:hAnsi="Arial" w:eastAsiaTheme="minorEastAsia" w:cs="Arial"/>
      <w:color w:val="000000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8410A"/>
    <w:rPr>
      <w:vertAlign w:val="superscript"/>
    </w:rPr>
  </w:style>
  <w:style w:type="paragraph" w:styleId="Revision">
    <w:name w:val="Revision"/>
    <w:hidden/>
    <w:uiPriority w:val="99"/>
    <w:semiHidden/>
    <w:rsid w:val="00051A4E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29CF48064AB4981A7C507F3A0D9C9" ma:contentTypeVersion="15" ma:contentTypeDescription="Create a new document." ma:contentTypeScope="" ma:versionID="a76c58e87371854b7496e42c1846b158">
  <xsd:schema xmlns:xsd="http://www.w3.org/2001/XMLSchema" xmlns:xs="http://www.w3.org/2001/XMLSchema" xmlns:p="http://schemas.microsoft.com/office/2006/metadata/properties" xmlns:ns2="40006ece-1928-41e1-8cda-cb070eacd97c" xmlns:ns3="299e04b7-dea7-4eee-9d59-b8259a48e8e3" targetNamespace="http://schemas.microsoft.com/office/2006/metadata/properties" ma:root="true" ma:fieldsID="c39a52b4bf9000c37be647e2584281de" ns2:_="" ns3:_="">
    <xsd:import namespace="40006ece-1928-41e1-8cda-cb070eacd97c"/>
    <xsd:import namespace="299e04b7-dea7-4eee-9d59-b8259a48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6ece-1928-41e1-8cda-cb070eacd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0b38ba-b023-433d-8582-0f59afe6e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04b7-dea7-4eee-9d59-b8259a48e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bebd537-2d08-4b88-8dbd-dba721498775}" ma:internalName="TaxCatchAll" ma:showField="CatchAllData" ma:web="299e04b7-dea7-4eee-9d59-b8259a48e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99e04b7-dea7-4eee-9d59-b8259a48e8e3">
      <UserInfo>
        <DisplayName>Lucas, Richard - FNS</DisplayName>
        <AccountId>15</AccountId>
        <AccountType/>
      </UserInfo>
      <UserInfo>
        <DisplayName>Abelev, Melissa - FNS</DisplayName>
        <AccountId>14</AccountId>
        <AccountType/>
      </UserInfo>
      <UserInfo>
        <DisplayName>Garcia, Kristin - FNS</DisplayName>
        <AccountId>17</AccountId>
        <AccountType/>
      </UserInfo>
    </SharedWithUsers>
    <lcf76f155ced4ddcb4097134ff3c332f xmlns="40006ece-1928-41e1-8cda-cb070eacd97c">
      <Terms xmlns="http://schemas.microsoft.com/office/infopath/2007/PartnerControls"/>
    </lcf76f155ced4ddcb4097134ff3c332f>
    <TaxCatchAll xmlns="299e04b7-dea7-4eee-9d59-b8259a48e8e3" xsi:nil="true"/>
  </documentManagement>
</p:properties>
</file>

<file path=customXml/itemProps1.xml><?xml version="1.0" encoding="utf-8"?>
<ds:datastoreItem xmlns:ds="http://schemas.openxmlformats.org/officeDocument/2006/customXml" ds:itemID="{9181D95E-9C65-4FA6-8D15-3F1649FCF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F7B47-2869-4BA1-905B-DF0F720FF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6ece-1928-41e1-8cda-cb070eacd97c"/>
    <ds:schemaRef ds:uri="299e04b7-dea7-4eee-9d59-b8259a48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B7D74C-C5F7-402B-A361-45DA09B27F6E}">
  <ds:schemaRefs>
    <ds:schemaRef ds:uri="http://schemas.microsoft.com/office/2006/metadata/properties"/>
    <ds:schemaRef ds:uri="http://schemas.microsoft.com/office/infopath/2007/PartnerControls"/>
    <ds:schemaRef ds:uri="299e04b7-dea7-4eee-9d59-b8259a48e8e3"/>
    <ds:schemaRef ds:uri="40006ece-1928-41e1-8cda-cb070eacd9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Yoast, Katey - FNS</dc:creator>
  <cp:lastModifiedBy>Sandberg, Christina - FNS</cp:lastModifiedBy>
  <cp:revision>255</cp:revision>
  <dcterms:created xsi:type="dcterms:W3CDTF">2024-10-21T14:31:00Z</dcterms:created>
  <dcterms:modified xsi:type="dcterms:W3CDTF">2024-10-22T20:06:00Z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0x010100DF429CF48064AB4981A7C507F3A0D9C9</vt:lpwstr>
  </property>
  <property fmtid="{D5CDD505-2E9C-101B-9397-08002B2CF9AE}" pid="3" name="MediaServiceImageTags">
    <vt:lpwstr/>
  </property>
</Properties>
</file>