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70F" w:rsidRPr="0051070F" w:rsidP="0051070F" w14:paraId="65C43233" w14:textId="77777777">
      <w:pPr>
        <w:rPr>
          <w:b/>
          <w:bCs/>
        </w:rPr>
      </w:pPr>
      <w:r w:rsidRPr="0051070F">
        <w:rPr>
          <w:b/>
          <w:bCs/>
        </w:rPr>
        <w:t>Appendix K: Summary of SNAP State Options Report Option Profiles and Example Questions</w:t>
      </w:r>
    </w:p>
    <w:tbl>
      <w:tblPr>
        <w:tblStyle w:val="TableGrid"/>
        <w:tblW w:w="0" w:type="auto"/>
        <w:tblLook w:val="04A0"/>
      </w:tblPr>
      <w:tblGrid>
        <w:gridCol w:w="2949"/>
        <w:gridCol w:w="3667"/>
        <w:gridCol w:w="2734"/>
      </w:tblGrid>
      <w:tr w14:paraId="0E68317F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32C6CA63" w14:textId="77777777">
            <w:pPr>
              <w:rPr>
                <w:b/>
                <w:bCs/>
              </w:rPr>
            </w:pPr>
            <w:r w:rsidRPr="0051070F">
              <w:rPr>
                <w:b/>
                <w:bCs/>
              </w:rPr>
              <w:t>SNAP State Options Report Option Profile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0F4EF51C" w14:textId="77777777">
            <w:pPr>
              <w:rPr>
                <w:b/>
                <w:bCs/>
              </w:rPr>
            </w:pPr>
            <w:r w:rsidRPr="0051070F">
              <w:rPr>
                <w:b/>
                <w:bCs/>
              </w:rPr>
              <w:t>Example Question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31DEF0A" w14:textId="77777777">
            <w:pPr>
              <w:rPr>
                <w:b/>
                <w:bCs/>
              </w:rPr>
            </w:pPr>
            <w:r w:rsidRPr="0051070F">
              <w:rPr>
                <w:b/>
                <w:bCs/>
              </w:rPr>
              <w:t>Status</w:t>
            </w:r>
          </w:p>
        </w:tc>
      </w:tr>
      <w:tr w14:paraId="2CFDAA48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E3F86F7" w14:textId="77777777">
            <w:r w:rsidRPr="0051070F">
              <w:t>Program Administration (State vs. Region, district or county administered)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7629838D" w14:textId="77777777">
            <w:r w:rsidRPr="0051070F">
              <w:t>Is SNAP administered at the State, regional, or county level?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31A89F8D" w14:textId="77777777">
            <w:r w:rsidRPr="0051070F">
              <w:t>Included in latest report, the 16th edition</w:t>
            </w:r>
          </w:p>
        </w:tc>
      </w:tr>
      <w:tr w14:paraId="6716D058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A7A5FA1" w14:textId="77777777">
            <w:r w:rsidRPr="0051070F">
              <w:t>Reporting Requirements (for households)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63B3644D" w14:textId="77777777">
            <w:r w:rsidRPr="0051070F">
              <w:t>What reporting systems are assigned to SNAP households?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741BBC61" w14:textId="77777777">
            <w:r w:rsidRPr="0051070F">
              <w:t>Included in latest report, the 16th edition</w:t>
            </w:r>
          </w:p>
        </w:tc>
      </w:tr>
      <w:tr w14:paraId="3911E1CE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7143AA97" w14:textId="77777777">
            <w:r w:rsidRPr="0051070F">
              <w:t>Certification Period Lengths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4BF44EE7" w14:textId="77777777">
            <w:r w:rsidRPr="0051070F">
              <w:t>What certification period lengths are assigned to SNAP households?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7683CB0E" w14:textId="77777777">
            <w:r w:rsidRPr="0051070F">
              <w:t>Included in latest report, the 16th edition</w:t>
            </w:r>
          </w:p>
        </w:tc>
      </w:tr>
      <w:tr w14:paraId="5494E11F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7E107047" w14:textId="77777777">
            <w:r w:rsidRPr="0051070F">
              <w:t>Treatment of Self-Employment Income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7B048D4" w14:textId="77777777">
            <w:r w:rsidRPr="0051070F">
              <w:t>Are self-employment income exclusions determined using actuals or another method?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0E6E2BB" w14:textId="77777777">
            <w:r w:rsidRPr="0051070F">
              <w:t>Included in latest report, the 16th edition</w:t>
            </w:r>
          </w:p>
        </w:tc>
      </w:tr>
      <w:tr w14:paraId="457E1AF2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6E8D3D26" w14:textId="77777777">
            <w:r w:rsidRPr="0051070F">
              <w:t>Standard Utility Allowances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3B6FC14F" w14:textId="77777777">
            <w:r w:rsidRPr="0051070F">
              <w:t>Is the standard utility allowance mandatory or optional?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4957B9C2" w14:textId="77777777">
            <w:r w:rsidRPr="0051070F">
              <w:t>Included in latest report, the 16th edition</w:t>
            </w:r>
          </w:p>
        </w:tc>
      </w:tr>
      <w:tr w14:paraId="52ED9676" w14:textId="77777777" w:rsidTr="009F6FD3">
        <w:tblPrEx>
          <w:tblW w:w="0" w:type="auto"/>
          <w:tblLook w:val="04A0"/>
        </w:tblPrEx>
        <w:trPr>
          <w:trHeight w:val="63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1DC9D18" w14:textId="77777777">
            <w:r w:rsidRPr="0051070F">
              <w:t>Treatment of Income and Deductions of Ineligible Noncitizens: Pre-Personal Responsibility and Work Opportunity Reconciliation Act (PRWORA)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78359C4" w14:textId="77777777">
            <w:r w:rsidRPr="0051070F">
              <w:t>How is income determined for non-citizen household members ineligible pre-PRWORA?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51788F2" w14:textId="77777777">
            <w:r w:rsidRPr="0051070F">
              <w:t>Included in latest report, the 16th edition</w:t>
            </w:r>
          </w:p>
        </w:tc>
      </w:tr>
      <w:tr w14:paraId="5BCAC3A0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7FB211F1" w14:textId="77777777">
            <w:r w:rsidRPr="0051070F">
              <w:t>Treatment of Income and Deductions of Ineligible Noncitizens: Post-PRWORA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6D674C06" w14:textId="77777777">
            <w:r w:rsidRPr="0051070F">
              <w:t>How is income determined for non-citizen household members ineligible post-PRWORA?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EDC7D97" w14:textId="77777777">
            <w:r w:rsidRPr="0051070F">
              <w:t>Included in latest report, the 16th edition</w:t>
            </w:r>
          </w:p>
        </w:tc>
      </w:tr>
      <w:tr w14:paraId="1CECBF17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0CBFACB1" w14:textId="77777777">
            <w:r w:rsidRPr="0051070F">
              <w:t>Treatment of Child Support Payments (Exclusion vs. deduction)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3050B46E" w14:textId="77777777">
            <w:r w:rsidRPr="0051070F">
              <w:t>Are child support payments excluded or deducted in determining household income?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326A74B" w14:textId="77777777">
            <w:r w:rsidRPr="0051070F">
              <w:t>Included in latest report, the 16th edition</w:t>
            </w:r>
          </w:p>
        </w:tc>
      </w:tr>
      <w:tr w14:paraId="5453F5E6" w14:textId="77777777" w:rsidTr="009F6FD3">
        <w:tblPrEx>
          <w:tblW w:w="0" w:type="auto"/>
          <w:tblLook w:val="04A0"/>
        </w:tblPrEx>
        <w:trPr>
          <w:trHeight w:val="585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16B9CD6" w14:textId="77777777">
            <w:r w:rsidRPr="0051070F">
              <w:t>Child Support-Related Disqualifications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86CA285" w14:textId="77777777">
            <w:r w:rsidRPr="0051070F">
              <w:t>Are participants who fail to comply with court-ordered child support payments disqualified?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5AA3ADEB" w14:textId="77777777">
            <w:r w:rsidRPr="0051070F">
              <w:t>Included in latest report, the 16th edition</w:t>
            </w:r>
          </w:p>
        </w:tc>
      </w:tr>
      <w:tr w14:paraId="37D57C59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340D571E" w14:textId="77777777">
            <w:r w:rsidRPr="0051070F">
              <w:t>Comparable Disqualifications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7ED3D636" w14:textId="77777777">
            <w:r w:rsidRPr="0051070F">
              <w:t>Are participants disqualified for failure to meet the requirements of another means-tested public assistance program?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FCDDE4A" w14:textId="77777777">
            <w:r w:rsidRPr="0051070F">
              <w:t>Included in latest report, the 16th edition</w:t>
            </w:r>
          </w:p>
        </w:tc>
      </w:tr>
      <w:tr w14:paraId="13D0A8D9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4103668" w14:textId="77777777">
            <w:r w:rsidRPr="0051070F">
              <w:t>Drug Felony Disqualifications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4D03DF9D" w14:textId="77777777">
            <w:r w:rsidRPr="0051070F">
              <w:t>Does State enacted law allow drug felons to participate under certain conditions?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28A66DD7" w14:textId="77777777">
            <w:r w:rsidRPr="0051070F">
              <w:t>Included in latest report, the 16th edition</w:t>
            </w:r>
          </w:p>
        </w:tc>
      </w:tr>
      <w:tr w14:paraId="101FADF1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6EA5B35" w14:textId="77777777">
            <w:r w:rsidRPr="0051070F">
              <w:t>Work Requirements: Disqualification Period Policy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27B9D9F2" w14:textId="77777777">
            <w:r w:rsidRPr="0051070F">
              <w:t xml:space="preserve">What disqualification periods does the State use? 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FEADCA7" w14:textId="77777777">
            <w:r w:rsidRPr="0051070F">
              <w:t>Included in latest report, the 16th edition</w:t>
            </w:r>
          </w:p>
        </w:tc>
      </w:tr>
      <w:tr w14:paraId="067B5449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2A609DAA" w14:textId="77777777">
            <w:r w:rsidRPr="0051070F">
              <w:t>Work Requirements: Option to Disqualify the Entire Household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78D558D" w14:textId="77777777">
            <w:r w:rsidRPr="0051070F">
              <w:t>Is the entire household disqualified if the head of household fails to comply with general work requirements?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417F769" w14:textId="77777777">
            <w:r w:rsidRPr="0051070F">
              <w:t>Included in latest report, the 16th edition</w:t>
            </w:r>
          </w:p>
        </w:tc>
      </w:tr>
      <w:tr w14:paraId="69BBD4AA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45D1F87" w14:textId="77777777">
            <w:r w:rsidRPr="0051070F">
              <w:t>Voluntary and Mandatory SNAP Employment and Training Programs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438F61EC" w14:textId="77777777">
            <w:r w:rsidRPr="0051070F">
              <w:t xml:space="preserve">Does the </w:t>
            </w:r>
            <w:r w:rsidRPr="0051070F">
              <w:t>Stateagency</w:t>
            </w:r>
            <w:r w:rsidRPr="0051070F">
              <w:t xml:space="preserve"> require participation in Employment and Training? 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6EAC7971" w14:textId="77777777">
            <w:r w:rsidRPr="0051070F">
              <w:t>Included in latest report, the 16th edition</w:t>
            </w:r>
          </w:p>
        </w:tc>
      </w:tr>
      <w:tr w14:paraId="6CCD2237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65DA7E42" w14:textId="77777777">
            <w:r w:rsidRPr="0051070F">
              <w:t>Able-Bodied Adults without Dependents Time Limit Waiver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0A2A9786" w14:textId="77777777">
            <w:r w:rsidRPr="0051070F">
              <w:t>Does the State agency request waivers for this population?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F03B896" w14:textId="77777777">
            <w:r w:rsidRPr="0051070F">
              <w:t>Included in latest report, the 16th edition</w:t>
            </w:r>
          </w:p>
        </w:tc>
      </w:tr>
      <w:tr w14:paraId="1D408A2C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4A67C03" w14:textId="77777777">
            <w:r w:rsidRPr="0051070F">
              <w:t>Able-Bodied Adults without Dependents Discretionary Exemptions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51F04572" w14:textId="77777777">
            <w:r w:rsidRPr="0051070F">
              <w:t>Does the State agency use discretionary exemptions to extend eligibility for this population?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09A515C3" w14:textId="77777777">
            <w:r w:rsidRPr="0051070F">
              <w:t>Included in latest report, the 16th edition</w:t>
            </w:r>
          </w:p>
        </w:tc>
      </w:tr>
      <w:tr w14:paraId="4F1FEF54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50017387" w14:textId="77777777">
            <w:r w:rsidRPr="0051070F">
              <w:t>Broad-Based Categorical Eligibility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62B9EF10" w14:textId="77777777">
            <w:r w:rsidRPr="0051070F">
              <w:t>Does the State agency apply Broad-Based Categorical Eligibility?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12151DAB" w14:textId="77777777">
            <w:r w:rsidRPr="0051070F">
              <w:t>Included in latest report, the 16th edition</w:t>
            </w:r>
          </w:p>
        </w:tc>
      </w:tr>
      <w:tr w14:paraId="3BCB48DC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172D4AED" w14:textId="77777777">
            <w:r w:rsidRPr="0051070F">
              <w:t>Transitional Benefits Alternative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3FA01EAB" w14:textId="77777777">
            <w:r w:rsidRPr="0051070F">
              <w:t>Does the State agency implement transitional benefits?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7CC56547" w14:textId="77777777">
            <w:r w:rsidRPr="0051070F">
              <w:t>Included in latest report, the 16th edition</w:t>
            </w:r>
          </w:p>
        </w:tc>
      </w:tr>
      <w:tr w14:paraId="196B5DCF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00B6E157" w14:textId="77777777">
            <w:r w:rsidRPr="0051070F">
              <w:t>Elderly Simplified Application Project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02EF69AD" w14:textId="77777777">
            <w:r w:rsidRPr="0051070F">
              <w:t>Does the State agency implement the Elderly Simplified Application Project?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35B5C5A0" w14:textId="77777777">
            <w:r w:rsidRPr="0051070F">
              <w:t>Included in latest report, the 16th edition</w:t>
            </w:r>
          </w:p>
        </w:tc>
      </w:tr>
      <w:tr w14:paraId="2D22BF77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46FA8ECA" w14:textId="77777777">
            <w:r w:rsidRPr="0051070F">
              <w:t>Standard Medical Deduction Project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1544A4E4" w14:textId="77777777">
            <w:r w:rsidRPr="0051070F">
              <w:t>Does the State agency implement the Standard Medical Deduction Project?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05767993" w14:textId="77777777">
            <w:r w:rsidRPr="0051070F">
              <w:t>Included in latest report, the 16th edition</w:t>
            </w:r>
          </w:p>
        </w:tc>
      </w:tr>
      <w:tr w14:paraId="55B86924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FFFFF" w:themeFill="background1"/>
            <w:hideMark/>
          </w:tcPr>
          <w:p w:rsidR="0051070F" w:rsidRPr="0051070F" w:rsidP="0051070F" w14:paraId="29180183" w14:textId="77777777">
            <w:r w:rsidRPr="0051070F">
              <w:t>Combined Application Projects</w:t>
            </w:r>
          </w:p>
        </w:tc>
        <w:tc>
          <w:tcPr>
            <w:tcW w:w="6940" w:type="dxa"/>
            <w:shd w:val="clear" w:color="auto" w:fill="FFFFFF" w:themeFill="background1"/>
            <w:hideMark/>
          </w:tcPr>
          <w:p w:rsidR="0051070F" w:rsidRPr="0051070F" w:rsidP="0051070F" w14:paraId="18FECACB" w14:textId="77777777">
            <w:r w:rsidRPr="0051070F">
              <w:t>Does the State agency implement a Combined Application Project?</w:t>
            </w:r>
          </w:p>
        </w:tc>
        <w:tc>
          <w:tcPr>
            <w:tcW w:w="5480" w:type="dxa"/>
            <w:shd w:val="clear" w:color="auto" w:fill="FFFFFF" w:themeFill="background1"/>
            <w:hideMark/>
          </w:tcPr>
          <w:p w:rsidR="0051070F" w:rsidRPr="0051070F" w:rsidP="0051070F" w14:paraId="01B69D2D" w14:textId="77777777">
            <w:r w:rsidRPr="0051070F">
              <w:t>Included in latest report, the 16th edition</w:t>
            </w:r>
          </w:p>
        </w:tc>
      </w:tr>
      <w:tr w14:paraId="0365EB64" w14:textId="77777777" w:rsidTr="009F6FD3">
        <w:tblPrEx>
          <w:tblW w:w="0" w:type="auto"/>
          <w:tblLook w:val="04A0"/>
        </w:tblPrEx>
        <w:trPr>
          <w:trHeight w:val="375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1EA660DA" w14:textId="77777777">
            <w:r w:rsidRPr="0051070F">
              <w:t>Employment and Training Components Offered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6FDE3C58" w14:textId="77777777">
            <w:r w:rsidRPr="0051070F">
              <w:t>What Employment and Training components does the State agency offer?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BBE022A" w14:textId="77777777">
            <w:r w:rsidRPr="0051070F">
              <w:t>Potential new addition</w:t>
            </w:r>
          </w:p>
        </w:tc>
      </w:tr>
      <w:tr w14:paraId="69EF597E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7803FE8B" w14:textId="77777777">
            <w:r w:rsidRPr="0051070F">
              <w:t>Electronic Notices (via email or email and text message)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4C490292" w14:textId="77777777">
            <w:r w:rsidRPr="0051070F">
              <w:t>Are paper or electronic notices provided to households?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27F4806B" w14:textId="77777777">
            <w:r w:rsidRPr="0051070F">
              <w:t>Potential new addition</w:t>
            </w:r>
          </w:p>
        </w:tc>
      </w:tr>
      <w:tr w14:paraId="7FF3A4F8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1E4921B3" w14:textId="77777777">
            <w:r w:rsidRPr="0051070F">
              <w:t>Mobile (Smartphone) Applications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769E8B38" w14:textId="77777777">
            <w:r w:rsidRPr="0051070F">
              <w:t>Is a mobile application available for households to apply?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B4FD037" w14:textId="77777777">
            <w:r w:rsidRPr="0051070F">
              <w:t>Potential new addition</w:t>
            </w:r>
          </w:p>
        </w:tc>
      </w:tr>
      <w:tr w14:paraId="3625D71F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410CB9E0" w14:textId="77777777">
            <w:r w:rsidRPr="0051070F">
              <w:t>Alignment of SNAP policies and processes with other programs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2043A2EA" w14:textId="77777777">
            <w:r w:rsidRPr="0051070F">
              <w:t>Does the State agency strategically align certification periods or other policies to streamline administration?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5DCDAAFF" w14:textId="77777777">
            <w:r w:rsidRPr="0051070F">
              <w:t>Potential new addition</w:t>
            </w:r>
          </w:p>
        </w:tc>
      </w:tr>
      <w:tr w14:paraId="2418632E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64BA9BF9" w14:textId="77777777">
            <w:r w:rsidRPr="0051070F">
              <w:t>Eligibility System Type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65FE85E2" w14:textId="77777777">
            <w:r w:rsidRPr="0051070F">
              <w:t xml:space="preserve">What vendor developed and </w:t>
            </w:r>
            <w:r w:rsidRPr="0051070F">
              <w:t>maintains</w:t>
            </w:r>
            <w:r w:rsidRPr="0051070F">
              <w:t xml:space="preserve"> the eligibility system?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7063148D" w14:textId="77777777">
            <w:r w:rsidRPr="0051070F">
              <w:t>Potential new addition</w:t>
            </w:r>
          </w:p>
        </w:tc>
      </w:tr>
      <w:tr w14:paraId="41A10AD2" w14:textId="77777777" w:rsidTr="009F6FD3">
        <w:tblPrEx>
          <w:tblW w:w="0" w:type="auto"/>
          <w:tblLook w:val="04A0"/>
        </w:tblPrEx>
        <w:trPr>
          <w:trHeight w:val="3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56A19C39" w14:textId="77777777">
            <w:r w:rsidRPr="0051070F">
              <w:t>Eligibility Systems and Program Integration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10F31F9C" w14:textId="77777777">
            <w:r w:rsidRPr="0051070F">
              <w:t>Is the eligibility system SNAP only or is it used for multiple programs?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5A106289" w14:textId="77777777">
            <w:r w:rsidRPr="0051070F">
              <w:t>Potential new addition</w:t>
            </w:r>
          </w:p>
        </w:tc>
      </w:tr>
      <w:tr w14:paraId="1D08450A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5A28E717" w14:textId="77777777">
            <w:r w:rsidRPr="0051070F">
              <w:t>Caseload Management Approach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6E363E29" w14:textId="77777777">
            <w:r w:rsidRPr="0051070F">
              <w:t>Does the State agency use a case-based approach, a task-based approach, or a hybrid approach?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1FB9ECF" w14:textId="77777777">
            <w:r w:rsidRPr="0051070F">
              <w:t>Potential new addition</w:t>
            </w:r>
          </w:p>
        </w:tc>
      </w:tr>
      <w:tr w14:paraId="3E1BB1DD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614D624E" w14:textId="77777777">
            <w:r w:rsidRPr="0051070F">
              <w:t>Eligibility Worker Responsibilities for Non-SNAP Programs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70C123B9" w14:textId="77777777">
            <w:r w:rsidRPr="0051070F">
              <w:t>Are eligibility workers SNAP-only or do they manage processing for multiple programs?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3C8464CC" w14:textId="77777777">
            <w:r w:rsidRPr="0051070F">
              <w:t>Potential new addition</w:t>
            </w:r>
          </w:p>
        </w:tc>
      </w:tr>
      <w:tr w14:paraId="60F89FB6" w14:textId="77777777" w:rsidTr="009F6FD3">
        <w:tblPrEx>
          <w:tblW w:w="0" w:type="auto"/>
          <w:tblLook w:val="04A0"/>
        </w:tblPrEx>
        <w:trPr>
          <w:trHeight w:val="600"/>
        </w:trPr>
        <w:tc>
          <w:tcPr>
            <w:tcW w:w="4980" w:type="dxa"/>
            <w:shd w:val="clear" w:color="auto" w:fill="F2F2F2" w:themeFill="background1" w:themeFillShade="F2"/>
            <w:hideMark/>
          </w:tcPr>
          <w:p w:rsidR="0051070F" w:rsidRPr="0051070F" w:rsidP="0051070F" w14:paraId="47833743" w14:textId="77777777">
            <w:r w:rsidRPr="0051070F">
              <w:t>Tools to Improve Customer Service and Communication</w:t>
            </w:r>
          </w:p>
        </w:tc>
        <w:tc>
          <w:tcPr>
            <w:tcW w:w="6940" w:type="dxa"/>
            <w:shd w:val="clear" w:color="auto" w:fill="F2F2F2" w:themeFill="background1" w:themeFillShade="F2"/>
            <w:hideMark/>
          </w:tcPr>
          <w:p w:rsidR="0051070F" w:rsidRPr="0051070F" w:rsidP="0051070F" w14:paraId="0FEBE63A" w14:textId="77777777">
            <w:r w:rsidRPr="0051070F">
              <w:t xml:space="preserve">Is online case management, call centers, or other approaches available for households to exchange information with the State agency? </w:t>
            </w:r>
          </w:p>
        </w:tc>
        <w:tc>
          <w:tcPr>
            <w:tcW w:w="5480" w:type="dxa"/>
            <w:shd w:val="clear" w:color="auto" w:fill="F2F2F2" w:themeFill="background1" w:themeFillShade="F2"/>
            <w:hideMark/>
          </w:tcPr>
          <w:p w:rsidR="0051070F" w:rsidRPr="0051070F" w:rsidP="0051070F" w14:paraId="67EBED39" w14:textId="77777777">
            <w:r w:rsidRPr="0051070F">
              <w:t>Potential new addition</w:t>
            </w:r>
          </w:p>
        </w:tc>
      </w:tr>
    </w:tbl>
    <w:p w:rsidR="0051070F" w:rsidRPr="0051070F" w:rsidP="0051070F" w14:paraId="3D13FA8F" w14:textId="77777777"/>
    <w:p w:rsidR="00006363" w14:paraId="326DE11C" w14:textId="5D39175C">
      <w:r w:rsidRPr="008A46DC"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OMB No.0584-NEW. The time required to complete this information collection is estimated to average </w:t>
      </w:r>
      <w:r w:rsidR="00FF0298">
        <w:t>2</w:t>
      </w:r>
      <w:r w:rsidRPr="008A46DC">
        <w:t xml:space="preserve"> hours per response.</w:t>
      </w:r>
    </w:p>
    <w:sectPr w:rsidSect="0051070F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6DC" w:rsidP="008A46DC" w14:paraId="1CDD217C" w14:textId="41002207">
    <w:pPr>
      <w:pStyle w:val="Header"/>
      <w:jc w:val="right"/>
    </w:pPr>
    <w:r>
      <w:t xml:space="preserve">OBM Control Number: </w:t>
    </w:r>
    <w:r w:rsidRPr="008A46DC">
      <w:t>0584-NEW</w:t>
    </w:r>
  </w:p>
  <w:p w:rsidR="008A46DC" w:rsidP="008A46DC" w14:paraId="7D3EFB44" w14:textId="6BADD5BF">
    <w:pPr>
      <w:pStyle w:val="Header"/>
      <w:jc w:val="right"/>
    </w:pPr>
    <w:r>
      <w:t xml:space="preserve">Expiration Date: </w:t>
    </w:r>
    <w:r w:rsidR="009E5B37">
      <w:t>xx/xx</w:t>
    </w:r>
    <w:r>
      <w:t>/</w:t>
    </w:r>
    <w:r w:rsidR="009E5B37"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F3"/>
    <w:rsid w:val="00006363"/>
    <w:rsid w:val="002C3E1C"/>
    <w:rsid w:val="003F70B7"/>
    <w:rsid w:val="0051070F"/>
    <w:rsid w:val="00610BF3"/>
    <w:rsid w:val="006B4319"/>
    <w:rsid w:val="008A46DC"/>
    <w:rsid w:val="009E5B37"/>
    <w:rsid w:val="00A90E6A"/>
    <w:rsid w:val="00B931F5"/>
    <w:rsid w:val="00E51032"/>
    <w:rsid w:val="00FF02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199DF2"/>
  <w15:chartTrackingRefBased/>
  <w15:docId w15:val="{9DA2B0E5-D6AB-4639-8BFF-D9AD296E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B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B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B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B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B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DC"/>
  </w:style>
  <w:style w:type="paragraph" w:styleId="Footer">
    <w:name w:val="footer"/>
    <w:basedOn w:val="Normal"/>
    <w:link w:val="FooterChar"/>
    <w:uiPriority w:val="99"/>
    <w:unhideWhenUsed/>
    <w:rsid w:val="008A4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Maxwell - FNS</dc:creator>
  <cp:lastModifiedBy>Gilbert, Lynn - FNS</cp:lastModifiedBy>
  <cp:revision>3</cp:revision>
  <dcterms:created xsi:type="dcterms:W3CDTF">2024-12-19T13:22:00Z</dcterms:created>
  <dcterms:modified xsi:type="dcterms:W3CDTF">2024-12-19T13:23:00Z</dcterms:modified>
</cp:coreProperties>
</file>