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2D3" w:rsidRPr="00A60BB0" w:rsidP="00CD619D" w14:paraId="7C0A351A" w14:textId="7A91E37D">
      <w:pPr>
        <w:pStyle w:val="BodyText"/>
        <w:spacing w:line="276" w:lineRule="auto"/>
        <w:ind w:left="360" w:hanging="360"/>
        <w:jc w:val="center"/>
        <w:rPr>
          <w:rFonts w:asciiTheme="minorHAnsi" w:hAnsiTheme="minorHAnsi" w:cstheme="minorHAnsi"/>
        </w:rPr>
      </w:pPr>
      <w:r w:rsidRPr="00A60BB0">
        <w:rPr>
          <w:rFonts w:asciiTheme="minorHAnsi" w:hAnsiTheme="minorHAnsi" w:cstheme="minorHAnsi"/>
        </w:rPr>
        <w:t>S</w:t>
      </w:r>
      <w:r w:rsidR="00A60BB0">
        <w:rPr>
          <w:rFonts w:asciiTheme="minorHAnsi" w:hAnsiTheme="minorHAnsi" w:cstheme="minorHAnsi"/>
        </w:rPr>
        <w:t>UPPORTING STATEMENT</w:t>
      </w:r>
      <w:r w:rsidRPr="00A60BB0">
        <w:rPr>
          <w:rFonts w:asciiTheme="minorHAnsi" w:hAnsiTheme="minorHAnsi" w:cstheme="minorHAnsi"/>
        </w:rPr>
        <w:t xml:space="preserve"> A</w:t>
      </w:r>
    </w:p>
    <w:p w:rsidR="006B52D3" w:rsidRPr="00A60BB0" w:rsidP="00CD619D" w14:paraId="2EA41830" w14:textId="77777777">
      <w:pPr>
        <w:pStyle w:val="BodyText"/>
        <w:spacing w:line="276" w:lineRule="auto"/>
        <w:ind w:left="360" w:hanging="360"/>
        <w:jc w:val="center"/>
        <w:rPr>
          <w:rFonts w:asciiTheme="minorHAnsi" w:hAnsiTheme="minorHAnsi" w:cstheme="minorHAnsi"/>
        </w:rPr>
      </w:pPr>
      <w:r w:rsidRPr="00A60BB0">
        <w:rPr>
          <w:rFonts w:asciiTheme="minorHAnsi" w:hAnsiTheme="minorHAnsi" w:cstheme="minorHAnsi"/>
        </w:rPr>
        <w:t>U.S. Department of Commerce</w:t>
      </w:r>
    </w:p>
    <w:p w:rsidR="006B52D3" w:rsidRPr="00A60BB0" w:rsidP="00CD619D" w14:paraId="6840B916" w14:textId="77777777">
      <w:pPr>
        <w:pStyle w:val="BodyText"/>
        <w:spacing w:line="276" w:lineRule="auto"/>
        <w:ind w:left="360" w:hanging="360"/>
        <w:jc w:val="center"/>
        <w:rPr>
          <w:rFonts w:asciiTheme="minorHAnsi" w:hAnsiTheme="minorHAnsi" w:cstheme="minorHAnsi"/>
        </w:rPr>
      </w:pPr>
      <w:r w:rsidRPr="00A60BB0">
        <w:rPr>
          <w:rFonts w:asciiTheme="minorHAnsi" w:hAnsiTheme="minorHAnsi" w:cstheme="minorHAnsi"/>
        </w:rPr>
        <w:t>U.S. Census Bureau</w:t>
      </w:r>
    </w:p>
    <w:p w:rsidR="00F571D6" w:rsidRPr="00A60BB0" w:rsidP="00F571D6" w14:paraId="6ABE3380" w14:textId="77777777">
      <w:pPr>
        <w:pStyle w:val="BodyText"/>
        <w:tabs>
          <w:tab w:val="left" w:pos="0"/>
        </w:tabs>
        <w:spacing w:line="276" w:lineRule="auto"/>
        <w:ind w:left="360" w:hanging="360"/>
        <w:jc w:val="center"/>
        <w:rPr>
          <w:rFonts w:asciiTheme="minorHAnsi" w:hAnsiTheme="minorHAnsi" w:cstheme="minorHAnsi"/>
        </w:rPr>
      </w:pPr>
      <w:r w:rsidRPr="00A60BB0">
        <w:rPr>
          <w:rFonts w:asciiTheme="minorHAnsi" w:hAnsiTheme="minorHAnsi" w:cstheme="minorHAnsi"/>
        </w:rPr>
        <w:t>Annual Social and Economic Supplement</w:t>
      </w:r>
    </w:p>
    <w:p w:rsidR="00F571D6" w:rsidRPr="00A60BB0" w:rsidP="00F571D6" w14:paraId="1DCA9F87" w14:textId="77777777">
      <w:pPr>
        <w:pStyle w:val="BodyText"/>
        <w:tabs>
          <w:tab w:val="left" w:pos="0"/>
        </w:tabs>
        <w:spacing w:line="276" w:lineRule="auto"/>
        <w:ind w:left="360" w:hanging="360"/>
        <w:jc w:val="center"/>
        <w:rPr>
          <w:rFonts w:asciiTheme="minorHAnsi" w:hAnsiTheme="minorHAnsi" w:cstheme="minorHAnsi"/>
        </w:rPr>
      </w:pPr>
      <w:r w:rsidRPr="00A60BB0">
        <w:rPr>
          <w:rFonts w:asciiTheme="minorHAnsi" w:hAnsiTheme="minorHAnsi" w:cstheme="minorHAnsi"/>
        </w:rPr>
        <w:t>to the Current Population Survey</w:t>
      </w:r>
    </w:p>
    <w:p w:rsidR="00F571D6" w:rsidRPr="00A60BB0" w:rsidP="00F571D6" w14:paraId="0156B259" w14:textId="492D7617">
      <w:pPr>
        <w:pStyle w:val="BodyText"/>
        <w:tabs>
          <w:tab w:val="left" w:pos="0"/>
        </w:tabs>
        <w:spacing w:line="276" w:lineRule="auto"/>
        <w:ind w:left="360" w:hanging="360"/>
        <w:jc w:val="center"/>
        <w:rPr>
          <w:rFonts w:asciiTheme="minorHAnsi" w:hAnsiTheme="minorHAnsi" w:cstheme="minorHAnsi"/>
        </w:rPr>
      </w:pPr>
      <w:r w:rsidRPr="00A60BB0">
        <w:rPr>
          <w:rFonts w:asciiTheme="minorHAnsi" w:hAnsiTheme="minorHAnsi" w:cstheme="minorHAnsi"/>
        </w:rPr>
        <w:t>OMB Control N</w:t>
      </w:r>
      <w:r w:rsidR="00A60BB0">
        <w:rPr>
          <w:rFonts w:asciiTheme="minorHAnsi" w:hAnsiTheme="minorHAnsi" w:cstheme="minorHAnsi"/>
        </w:rPr>
        <w:t>o.</w:t>
      </w:r>
      <w:r w:rsidRPr="00A60BB0">
        <w:rPr>
          <w:rFonts w:asciiTheme="minorHAnsi" w:hAnsiTheme="minorHAnsi" w:cstheme="minorHAnsi"/>
        </w:rPr>
        <w:t xml:space="preserve"> 0607-0354</w:t>
      </w:r>
    </w:p>
    <w:p w:rsidR="000148AA" w:rsidRPr="00A60BB0" w:rsidP="0051294C" w14:paraId="7EFAE868" w14:textId="77777777">
      <w:pPr>
        <w:pStyle w:val="BodyText"/>
        <w:spacing w:before="4" w:line="276" w:lineRule="auto"/>
        <w:rPr>
          <w:rFonts w:asciiTheme="minorHAnsi" w:hAnsiTheme="minorHAnsi" w:cstheme="minorHAnsi"/>
        </w:rPr>
      </w:pPr>
    </w:p>
    <w:p w:rsidR="006B5602" w:rsidP="00CD619D" w14:paraId="7B12E2CF" w14:textId="77777777">
      <w:pPr>
        <w:pStyle w:val="ListParagraph"/>
        <w:tabs>
          <w:tab w:val="left" w:pos="360"/>
        </w:tabs>
        <w:spacing w:line="276" w:lineRule="auto"/>
        <w:ind w:left="360" w:hanging="360"/>
        <w:rPr>
          <w:rFonts w:asciiTheme="minorHAnsi" w:hAnsiTheme="minorHAnsi" w:cstheme="minorHAnsi"/>
          <w:b/>
          <w:sz w:val="24"/>
          <w:szCs w:val="24"/>
          <w:lang w:bidi="he-IL"/>
        </w:rPr>
      </w:pPr>
      <w:r>
        <w:rPr>
          <w:rFonts w:asciiTheme="minorHAnsi" w:hAnsiTheme="minorHAnsi" w:cstheme="minorHAnsi"/>
          <w:b/>
          <w:sz w:val="24"/>
          <w:szCs w:val="24"/>
          <w:lang w:bidi="he-IL"/>
        </w:rPr>
        <w:tab/>
      </w:r>
      <w:r>
        <w:rPr>
          <w:rFonts w:asciiTheme="minorHAnsi" w:hAnsiTheme="minorHAnsi" w:cstheme="minorHAnsi"/>
          <w:b/>
          <w:sz w:val="24"/>
          <w:szCs w:val="24"/>
          <w:lang w:bidi="he-IL"/>
        </w:rPr>
        <w:t>Abstract</w:t>
      </w:r>
    </w:p>
    <w:p w:rsidR="006B5602" w:rsidP="00CD619D" w14:paraId="335A6608" w14:textId="77777777">
      <w:pPr>
        <w:pStyle w:val="ListParagraph"/>
        <w:tabs>
          <w:tab w:val="left" w:pos="360"/>
        </w:tabs>
        <w:spacing w:line="276" w:lineRule="auto"/>
        <w:ind w:left="360" w:hanging="360"/>
        <w:rPr>
          <w:rFonts w:asciiTheme="minorHAnsi" w:hAnsiTheme="minorHAnsi" w:cstheme="minorHAnsi"/>
          <w:b/>
          <w:sz w:val="24"/>
          <w:szCs w:val="24"/>
          <w:lang w:bidi="he-IL"/>
        </w:rPr>
      </w:pPr>
    </w:p>
    <w:p w:rsidR="006B5602" w:rsidRPr="00696ED1" w:rsidP="00696ED1" w14:paraId="3490BFC4" w14:textId="394CFE5C">
      <w:pPr>
        <w:pStyle w:val="ListParagraph"/>
        <w:tabs>
          <w:tab w:val="left" w:pos="360"/>
        </w:tabs>
        <w:spacing w:line="276" w:lineRule="auto"/>
        <w:ind w:left="720" w:firstLine="0"/>
        <w:rPr>
          <w:rFonts w:asciiTheme="minorHAnsi" w:hAnsiTheme="minorHAnsi" w:cstheme="minorHAnsi"/>
          <w:b/>
          <w:sz w:val="24"/>
          <w:szCs w:val="24"/>
          <w:lang w:bidi="he-IL"/>
        </w:rPr>
      </w:pPr>
      <w:r w:rsidRPr="00696ED1">
        <w:rPr>
          <w:rFonts w:asciiTheme="minorHAnsi" w:hAnsiTheme="minorHAnsi" w:cstheme="minorHAnsi"/>
          <w:sz w:val="24"/>
          <w:szCs w:val="24"/>
        </w:rPr>
        <w:t xml:space="preserve">The Census Bureau plans to request clearance from the Office of Management and Budget (OMB) for </w:t>
      </w:r>
      <w:r w:rsidRPr="00696ED1" w:rsidR="00696ED1">
        <w:rPr>
          <w:rFonts w:asciiTheme="minorHAnsi" w:hAnsiTheme="minorHAnsi" w:cstheme="minorHAnsi"/>
          <w:sz w:val="24"/>
          <w:szCs w:val="24"/>
        </w:rPr>
        <w:t>an extension, with change, to a currently approved data collection.  T</w:t>
      </w:r>
      <w:r w:rsidRPr="00696ED1">
        <w:rPr>
          <w:rFonts w:asciiTheme="minorHAnsi" w:hAnsiTheme="minorHAnsi" w:cstheme="minorHAnsi"/>
          <w:sz w:val="24"/>
          <w:szCs w:val="24"/>
        </w:rPr>
        <w:t xml:space="preserve">he collection of data </w:t>
      </w:r>
      <w:r w:rsidRPr="00696ED1" w:rsidR="00696ED1">
        <w:rPr>
          <w:rFonts w:asciiTheme="minorHAnsi" w:hAnsiTheme="minorHAnsi" w:cstheme="minorHAnsi"/>
          <w:sz w:val="24"/>
          <w:szCs w:val="24"/>
        </w:rPr>
        <w:t>is for</w:t>
      </w:r>
      <w:r w:rsidRPr="00696ED1">
        <w:rPr>
          <w:rFonts w:asciiTheme="minorHAnsi" w:hAnsiTheme="minorHAnsi" w:cstheme="minorHAnsi"/>
          <w:sz w:val="24"/>
          <w:szCs w:val="24"/>
        </w:rPr>
        <w:t xml:space="preserve"> the Annual Social and Economic Supplement (ASEC) to be conducted in conjunction with the February, March, and April Current Population Survey (CPS).  </w:t>
      </w:r>
      <w:r w:rsidRPr="00696ED1" w:rsidR="00696ED1">
        <w:rPr>
          <w:rFonts w:asciiTheme="minorHAnsi" w:hAnsiTheme="minorHAnsi" w:cstheme="minorHAnsi"/>
          <w:sz w:val="24"/>
          <w:szCs w:val="24"/>
        </w:rPr>
        <w:t xml:space="preserve">The ASEC data collection questions and design will remain unchanged from its most recent collection in 2024, </w:t>
      </w:r>
      <w:r w:rsidRPr="00696ED1" w:rsidR="00696ED1">
        <w:rPr>
          <w:rFonts w:asciiTheme="minorHAnsi" w:hAnsiTheme="minorHAnsi" w:cstheme="minorHAnsi"/>
          <w:sz w:val="24"/>
          <w:szCs w:val="24"/>
        </w:rPr>
        <w:t>with the exception of</w:t>
      </w:r>
      <w:r w:rsidRPr="00696ED1" w:rsidR="00696ED1">
        <w:rPr>
          <w:rFonts w:asciiTheme="minorHAnsi" w:hAnsiTheme="minorHAnsi" w:cstheme="minorHAnsi"/>
          <w:sz w:val="24"/>
          <w:szCs w:val="24"/>
        </w:rPr>
        <w:t xml:space="preserve"> a small number of additional questions on childcare.</w:t>
      </w:r>
      <w:r w:rsidRPr="00696ED1" w:rsidR="00696ED1">
        <w:rPr>
          <w:rFonts w:asciiTheme="minorHAnsi" w:hAnsiTheme="minorHAnsi" w:cstheme="minorHAnsi"/>
          <w:sz w:val="24"/>
          <w:szCs w:val="24"/>
          <w:lang w:bidi="ar-SA"/>
        </w:rPr>
        <w:t xml:space="preserve"> The income data from the ASEC are used by social planners, economists, government officials, and market researchers to gauge the economic well-being of the country as a whole and of selected population groups of interest.  </w:t>
      </w:r>
    </w:p>
    <w:p w:rsidR="006B5602" w:rsidP="00CD619D" w14:paraId="2C069D92" w14:textId="77777777">
      <w:pPr>
        <w:pStyle w:val="ListParagraph"/>
        <w:tabs>
          <w:tab w:val="left" w:pos="360"/>
        </w:tabs>
        <w:spacing w:line="276" w:lineRule="auto"/>
        <w:ind w:left="360" w:hanging="360"/>
        <w:rPr>
          <w:rFonts w:asciiTheme="minorHAnsi" w:hAnsiTheme="minorHAnsi" w:cstheme="minorHAnsi"/>
          <w:b/>
          <w:sz w:val="24"/>
          <w:szCs w:val="24"/>
          <w:lang w:bidi="he-IL"/>
        </w:rPr>
      </w:pPr>
    </w:p>
    <w:p w:rsidR="000148AA" w:rsidRPr="00A60BB0" w:rsidP="006B5602" w14:paraId="7AB2E27A" w14:textId="2E090B63">
      <w:pPr>
        <w:pStyle w:val="ListParagraph"/>
        <w:tabs>
          <w:tab w:val="left" w:pos="360"/>
        </w:tabs>
        <w:spacing w:line="276" w:lineRule="auto"/>
        <w:ind w:left="720" w:hanging="360"/>
        <w:rPr>
          <w:rFonts w:asciiTheme="minorHAnsi" w:hAnsiTheme="minorHAnsi" w:cstheme="minorHAnsi"/>
          <w:b/>
          <w:sz w:val="24"/>
          <w:szCs w:val="24"/>
          <w:lang w:bidi="he-IL"/>
        </w:rPr>
      </w:pPr>
      <w:r>
        <w:rPr>
          <w:rFonts w:asciiTheme="minorHAnsi" w:hAnsiTheme="minorHAnsi" w:cstheme="minorHAnsi"/>
          <w:b/>
          <w:sz w:val="24"/>
          <w:szCs w:val="24"/>
          <w:lang w:bidi="he-IL"/>
        </w:rPr>
        <w:t>Justification</w:t>
      </w:r>
    </w:p>
    <w:p w:rsidR="000148AA" w:rsidRPr="00A60BB0" w:rsidP="00CD619D" w14:paraId="3BA764EC" w14:textId="77777777">
      <w:pPr>
        <w:pStyle w:val="BodyText"/>
        <w:spacing w:before="10" w:line="276" w:lineRule="auto"/>
        <w:ind w:left="360" w:hanging="360"/>
        <w:rPr>
          <w:rFonts w:asciiTheme="minorHAnsi" w:hAnsiTheme="minorHAnsi" w:cstheme="minorHAnsi"/>
        </w:rPr>
      </w:pPr>
    </w:p>
    <w:p w:rsidR="00DE3363" w:rsidRPr="00A60BB0" w:rsidP="00F547DE" w14:paraId="1FD77C4A" w14:textId="5D00571A">
      <w:pPr>
        <w:tabs>
          <w:tab w:val="left" w:pos="840"/>
        </w:tabs>
        <w:spacing w:before="1" w:line="276" w:lineRule="auto"/>
        <w:ind w:left="720" w:right="536" w:hanging="360"/>
        <w:rPr>
          <w:rFonts w:asciiTheme="minorHAnsi" w:hAnsiTheme="minorHAnsi" w:cstheme="minorHAnsi"/>
          <w:b/>
          <w:sz w:val="24"/>
          <w:szCs w:val="24"/>
          <w:lang w:bidi="he-IL"/>
        </w:rPr>
      </w:pPr>
      <w:r w:rsidRPr="00A60BB0">
        <w:rPr>
          <w:rFonts w:asciiTheme="minorHAnsi" w:hAnsiTheme="minorHAnsi" w:cstheme="minorHAnsi"/>
          <w:b/>
          <w:sz w:val="24"/>
          <w:szCs w:val="24"/>
          <w:lang w:bidi="he-IL"/>
        </w:rPr>
        <w:t xml:space="preserve">1. </w:t>
      </w:r>
      <w:r w:rsidRPr="00A60BB0" w:rsidR="009471AF">
        <w:rPr>
          <w:rFonts w:asciiTheme="minorHAnsi" w:hAnsiTheme="minorHAnsi" w:cstheme="minorHAnsi"/>
          <w:b/>
          <w:sz w:val="24"/>
          <w:szCs w:val="24"/>
          <w:lang w:bidi="he-IL"/>
        </w:rPr>
        <w:tab/>
      </w:r>
      <w:r w:rsidRPr="00A60BB0" w:rsidR="003F061F">
        <w:rPr>
          <w:rFonts w:asciiTheme="minorHAnsi" w:hAnsiTheme="minorHAnsi" w:cstheme="minorHAnsi"/>
          <w:b/>
          <w:sz w:val="24"/>
          <w:szCs w:val="24"/>
          <w:lang w:bidi="he-IL"/>
        </w:rPr>
        <w:t>C</w:t>
      </w:r>
      <w:r w:rsidRPr="00A60BB0" w:rsidR="00EB6D62">
        <w:rPr>
          <w:rFonts w:asciiTheme="minorHAnsi" w:hAnsiTheme="minorHAnsi" w:cstheme="minorHAnsi"/>
          <w:b/>
          <w:sz w:val="24"/>
          <w:szCs w:val="24"/>
          <w:lang w:bidi="he-IL"/>
        </w:rPr>
        <w:t>ircumstance</w:t>
      </w:r>
      <w:r w:rsidRPr="00A60BB0" w:rsidR="008E0A73">
        <w:rPr>
          <w:rFonts w:asciiTheme="minorHAnsi" w:hAnsiTheme="minorHAnsi" w:cstheme="minorHAnsi"/>
          <w:b/>
          <w:sz w:val="24"/>
          <w:szCs w:val="24"/>
          <w:lang w:bidi="he-IL"/>
        </w:rPr>
        <w:t xml:space="preserve">s </w:t>
      </w:r>
      <w:r w:rsidRPr="00A60BB0" w:rsidR="003F061F">
        <w:rPr>
          <w:rFonts w:asciiTheme="minorHAnsi" w:hAnsiTheme="minorHAnsi" w:cstheme="minorHAnsi"/>
          <w:b/>
          <w:sz w:val="24"/>
          <w:szCs w:val="24"/>
          <w:lang w:bidi="he-IL"/>
        </w:rPr>
        <w:t>making</w:t>
      </w:r>
      <w:r w:rsidRPr="00A60BB0" w:rsidR="008E0A73">
        <w:rPr>
          <w:rFonts w:asciiTheme="minorHAnsi" w:hAnsiTheme="minorHAnsi" w:cstheme="minorHAnsi"/>
          <w:b/>
          <w:sz w:val="24"/>
          <w:szCs w:val="24"/>
          <w:lang w:bidi="he-IL"/>
        </w:rPr>
        <w:t xml:space="preserve"> the collection of information necessary. </w:t>
      </w:r>
    </w:p>
    <w:p w:rsidR="00DB4246" w:rsidRPr="00A60BB0" w:rsidP="00CD619D" w14:paraId="753533A4" w14:textId="150B146A">
      <w:pPr>
        <w:tabs>
          <w:tab w:val="left" w:pos="0"/>
        </w:tabs>
        <w:spacing w:before="1" w:line="276" w:lineRule="auto"/>
        <w:ind w:left="360" w:right="536" w:hanging="360"/>
        <w:rPr>
          <w:rFonts w:asciiTheme="minorHAnsi" w:hAnsiTheme="minorHAnsi" w:cstheme="minorHAnsi"/>
          <w:b/>
          <w:color w:val="FF0000"/>
          <w:sz w:val="24"/>
          <w:szCs w:val="24"/>
        </w:rPr>
      </w:pPr>
      <w:r w:rsidRPr="00A60BB0">
        <w:rPr>
          <w:rFonts w:asciiTheme="minorHAnsi" w:hAnsiTheme="minorHAnsi" w:cstheme="minorHAnsi"/>
          <w:b/>
          <w:sz w:val="24"/>
          <w:szCs w:val="24"/>
          <w:lang w:bidi="he-IL"/>
        </w:rPr>
        <w:tab/>
      </w:r>
    </w:p>
    <w:p w:rsidR="00DB4246" w:rsidRPr="00A60BB0" w:rsidP="00696ED1" w14:paraId="7F8C17D9" w14:textId="54E53545">
      <w:pPr>
        <w:tabs>
          <w:tab w:val="left" w:pos="480"/>
          <w:tab w:val="left" w:pos="1440"/>
        </w:tabs>
        <w:spacing w:line="276" w:lineRule="auto"/>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This request is for a revision of a currently approved collection.  The Annual Social and Economic Supplement (ASEC) is currently approved through December 31, 202</w:t>
      </w:r>
      <w:r w:rsidRPr="00A60BB0" w:rsidR="003F061F">
        <w:rPr>
          <w:rFonts w:asciiTheme="minorHAnsi" w:hAnsiTheme="minorHAnsi" w:cstheme="minorHAnsi"/>
          <w:sz w:val="24"/>
          <w:szCs w:val="24"/>
          <w:lang w:bidi="ar-SA"/>
        </w:rPr>
        <w:t>4</w:t>
      </w:r>
      <w:r w:rsidRPr="00A60BB0">
        <w:rPr>
          <w:rFonts w:asciiTheme="minorHAnsi" w:hAnsiTheme="minorHAnsi" w:cstheme="minorHAnsi"/>
          <w:sz w:val="24"/>
          <w:szCs w:val="24"/>
          <w:lang w:bidi="ar-SA"/>
        </w:rPr>
        <w:t>, with OMB Control Number 0607-0354.  The U.S. Census Bureau has conducted the ASEC annually for over 70 years, and will conduct it in conjunction with the February, March, and April Current Population Survey (CPS).  The following authorities establish the legal sufficiency for conducting this work.</w:t>
      </w:r>
    </w:p>
    <w:p w:rsidR="00DB4246" w:rsidRPr="00A60BB0" w:rsidP="00DB4246" w14:paraId="3C7BDE76" w14:textId="77777777">
      <w:pPr>
        <w:tabs>
          <w:tab w:val="left" w:pos="480"/>
          <w:tab w:val="left" w:pos="1440"/>
        </w:tabs>
        <w:adjustRightInd w:val="0"/>
        <w:spacing w:line="276" w:lineRule="auto"/>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  </w:t>
      </w:r>
    </w:p>
    <w:p w:rsidR="00DB4246" w:rsidRPr="00A60BB0" w:rsidP="00DB4246" w14:paraId="77122DCE" w14:textId="77777777">
      <w:pPr>
        <w:tabs>
          <w:tab w:val="left" w:pos="480"/>
          <w:tab w:val="left" w:pos="1440"/>
        </w:tabs>
        <w:adjustRightInd w:val="0"/>
        <w:spacing w:line="276" w:lineRule="auto"/>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For the U.S. Census Bureau:  1) Title 13, United States Code, Sections 141 and 182; and for the Bureau of Labor Statistics, 2) Title 29, United States Code, Sections 1-9.  See Attachment L for the full text of these statutes.  </w:t>
      </w:r>
    </w:p>
    <w:p w:rsidR="00DB4246" w:rsidRPr="00A60BB0" w:rsidP="00DB4246" w14:paraId="0F7428FB" w14:textId="77777777">
      <w:pPr>
        <w:tabs>
          <w:tab w:val="left" w:pos="480"/>
          <w:tab w:val="left" w:pos="1440"/>
        </w:tabs>
        <w:adjustRightInd w:val="0"/>
        <w:spacing w:line="276" w:lineRule="auto"/>
        <w:ind w:left="360"/>
        <w:rPr>
          <w:rFonts w:asciiTheme="minorHAnsi" w:hAnsiTheme="minorHAnsi" w:cstheme="minorHAnsi"/>
          <w:sz w:val="24"/>
          <w:szCs w:val="24"/>
          <w:lang w:bidi="ar-SA"/>
        </w:rPr>
      </w:pPr>
    </w:p>
    <w:p w:rsidR="00DB4246" w:rsidRPr="00A60BB0" w:rsidP="00DB4246" w14:paraId="7654E372" w14:textId="77777777">
      <w:pPr>
        <w:tabs>
          <w:tab w:val="left" w:pos="480"/>
          <w:tab w:val="left" w:pos="810"/>
          <w:tab w:val="left" w:pos="1440"/>
        </w:tabs>
        <w:adjustRightInd w:val="0"/>
        <w:spacing w:line="276" w:lineRule="auto"/>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For the Bureau of Labor Statistics (BLS) who co-sponsors this supplement, and on whose behalf the U.S. Census Bureau will conduct this survey, Title 29, United States Code, Sections 2 and 8, authorizes the collection, collation, and reporting of statistics related to labor force conditions (Section 8 is specific to unemployment for those of Hispanic origin).  </w:t>
      </w:r>
    </w:p>
    <w:p w:rsidR="00DB4246" w:rsidRPr="00A60BB0" w:rsidP="00DB4246" w14:paraId="31A68A72" w14:textId="77777777">
      <w:pPr>
        <w:tabs>
          <w:tab w:val="left" w:pos="480"/>
          <w:tab w:val="left" w:pos="1440"/>
        </w:tabs>
        <w:adjustRightInd w:val="0"/>
        <w:spacing w:line="276" w:lineRule="auto"/>
        <w:ind w:left="360"/>
        <w:rPr>
          <w:rFonts w:asciiTheme="minorHAnsi" w:hAnsiTheme="minorHAnsi" w:cstheme="minorHAnsi"/>
          <w:sz w:val="24"/>
          <w:szCs w:val="24"/>
          <w:lang w:bidi="ar-SA"/>
        </w:rPr>
      </w:pPr>
    </w:p>
    <w:p w:rsidR="00B562A6" w:rsidP="00DB4246" w14:paraId="6AD12858" w14:textId="77777777">
      <w:pPr>
        <w:tabs>
          <w:tab w:val="left" w:pos="480"/>
          <w:tab w:val="left" w:pos="1440"/>
        </w:tabs>
        <w:adjustRightInd w:val="0"/>
        <w:spacing w:line="276" w:lineRule="auto"/>
        <w:ind w:left="360"/>
        <w:rPr>
          <w:rFonts w:asciiTheme="minorHAnsi" w:hAnsiTheme="minorHAnsi" w:cstheme="minorHAnsi"/>
          <w:sz w:val="24"/>
          <w:szCs w:val="24"/>
          <w:lang w:bidi="ar-SA"/>
        </w:rPr>
      </w:pPr>
    </w:p>
    <w:p w:rsidR="00DB4246" w:rsidRPr="00B562A6" w:rsidP="00B562A6" w14:paraId="78FD241C" w14:textId="142010BA">
      <w:pPr>
        <w:tabs>
          <w:tab w:val="left" w:pos="480"/>
          <w:tab w:val="left" w:pos="1440"/>
        </w:tabs>
        <w:adjustRightInd w:val="0"/>
        <w:spacing w:line="276" w:lineRule="auto"/>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The proposed supplement, as it will appear in the CPS instrument, is shown in Attachment A.  The instrument questionnaire, which is mostly unchanged since its redesign in 2015, will consist of </w:t>
      </w:r>
      <w:r w:rsidR="00B562A6">
        <w:rPr>
          <w:rFonts w:asciiTheme="minorHAnsi" w:hAnsiTheme="minorHAnsi" w:cstheme="minorHAnsi"/>
          <w:sz w:val="24"/>
          <w:szCs w:val="24"/>
          <w:lang w:bidi="ar-SA"/>
        </w:rPr>
        <w:t>minor</w:t>
      </w:r>
      <w:r w:rsidRPr="00A60BB0">
        <w:rPr>
          <w:rFonts w:asciiTheme="minorHAnsi" w:hAnsiTheme="minorHAnsi" w:cstheme="minorHAnsi"/>
          <w:sz w:val="24"/>
          <w:szCs w:val="24"/>
          <w:lang w:bidi="ar-SA"/>
        </w:rPr>
        <w:t xml:space="preserve"> changes compared to the collection in 2024.  These changes are highlighted in Attachment A (pp.</w:t>
      </w:r>
      <w:r w:rsidR="00B562A6">
        <w:rPr>
          <w:rFonts w:asciiTheme="minorHAnsi" w:hAnsiTheme="minorHAnsi" w:cstheme="minorHAnsi"/>
          <w:sz w:val="24"/>
          <w:szCs w:val="24"/>
          <w:lang w:bidi="ar-SA"/>
        </w:rPr>
        <w:t xml:space="preserve"> </w:t>
      </w:r>
      <w:r w:rsidRPr="00A60BB0">
        <w:rPr>
          <w:rFonts w:asciiTheme="minorHAnsi" w:hAnsiTheme="minorHAnsi" w:cstheme="minorHAnsi"/>
          <w:sz w:val="24"/>
          <w:szCs w:val="24"/>
          <w:lang w:bidi="ar-SA"/>
        </w:rPr>
        <w:t>13</w:t>
      </w:r>
      <w:r w:rsidRPr="00A60BB0" w:rsidR="00B20DD3">
        <w:rPr>
          <w:rFonts w:asciiTheme="minorHAnsi" w:hAnsiTheme="minorHAnsi" w:cstheme="minorHAnsi"/>
          <w:sz w:val="24"/>
          <w:szCs w:val="24"/>
          <w:lang w:bidi="ar-SA"/>
        </w:rPr>
        <w:t>5</w:t>
      </w:r>
      <w:r w:rsidRPr="00A60BB0">
        <w:rPr>
          <w:rFonts w:asciiTheme="minorHAnsi" w:hAnsiTheme="minorHAnsi" w:cstheme="minorHAnsi"/>
          <w:sz w:val="24"/>
          <w:szCs w:val="24"/>
          <w:lang w:bidi="ar-SA"/>
        </w:rPr>
        <w:t>-13</w:t>
      </w:r>
      <w:r w:rsidRPr="00A60BB0" w:rsidR="00B20DD3">
        <w:rPr>
          <w:rFonts w:asciiTheme="minorHAnsi" w:hAnsiTheme="minorHAnsi" w:cstheme="minorHAnsi"/>
          <w:sz w:val="24"/>
          <w:szCs w:val="24"/>
          <w:lang w:bidi="ar-SA"/>
        </w:rPr>
        <w:t>6</w:t>
      </w:r>
      <w:r w:rsidRPr="00A60BB0">
        <w:rPr>
          <w:rFonts w:asciiTheme="minorHAnsi" w:hAnsiTheme="minorHAnsi" w:cstheme="minorHAnsi"/>
          <w:sz w:val="24"/>
          <w:szCs w:val="24"/>
          <w:lang w:bidi="ar-SA"/>
        </w:rPr>
        <w:t xml:space="preserve">) and </w:t>
      </w:r>
      <w:r w:rsidR="00B562A6">
        <w:rPr>
          <w:rFonts w:asciiTheme="minorHAnsi" w:hAnsiTheme="minorHAnsi" w:cstheme="minorHAnsi"/>
          <w:sz w:val="24"/>
          <w:szCs w:val="24"/>
          <w:lang w:bidi="ar-SA"/>
        </w:rPr>
        <w:t>represent the addition of new questions related to child care issues</w:t>
      </w:r>
      <w:r w:rsidRPr="00A60BB0">
        <w:rPr>
          <w:rFonts w:asciiTheme="minorHAnsi" w:hAnsiTheme="minorHAnsi" w:cstheme="minorHAnsi"/>
          <w:sz w:val="24"/>
          <w:szCs w:val="24"/>
          <w:lang w:bidi="ar-SA"/>
        </w:rPr>
        <w:t>.</w:t>
      </w:r>
    </w:p>
    <w:p w:rsidR="00DB4246" w:rsidRPr="00A60BB0" w:rsidP="00DB4246" w14:paraId="3763DFFC" w14:textId="77777777">
      <w:pPr>
        <w:tabs>
          <w:tab w:val="left" w:pos="480"/>
          <w:tab w:val="left" w:pos="1440"/>
        </w:tabs>
        <w:adjustRightInd w:val="0"/>
        <w:spacing w:line="276" w:lineRule="auto"/>
        <w:ind w:left="360"/>
        <w:rPr>
          <w:rFonts w:asciiTheme="minorHAnsi" w:hAnsiTheme="minorHAnsi" w:cstheme="minorHAnsi"/>
          <w:sz w:val="24"/>
          <w:szCs w:val="24"/>
          <w:lang w:bidi="ar-SA"/>
        </w:rPr>
      </w:pPr>
    </w:p>
    <w:p w:rsidR="00DB4246" w:rsidRPr="00A60BB0" w:rsidP="34A075D0" w14:paraId="16D48A6E" w14:textId="55EC77CB">
      <w:pPr>
        <w:tabs>
          <w:tab w:val="left" w:pos="480"/>
          <w:tab w:val="left" w:pos="1440"/>
        </w:tabs>
        <w:adjustRightInd w:val="0"/>
        <w:spacing w:line="276" w:lineRule="auto"/>
        <w:ind w:left="360"/>
        <w:rPr>
          <w:rFonts w:asciiTheme="minorHAnsi" w:hAnsiTheme="minorHAnsi" w:cstheme="minorBidi"/>
          <w:sz w:val="24"/>
          <w:szCs w:val="24"/>
          <w:lang w:bidi="ar-SA"/>
        </w:rPr>
      </w:pPr>
      <w:r w:rsidRPr="34A075D0">
        <w:rPr>
          <w:rFonts w:asciiTheme="minorHAnsi" w:hAnsiTheme="minorHAnsi" w:cstheme="minorBidi"/>
          <w:sz w:val="24"/>
          <w:szCs w:val="24"/>
          <w:lang w:bidi="ar-SA"/>
        </w:rPr>
        <w:t>Including the additional questions on child care in the ASEC is crucial to understanding the child care landscape in the United States.  While similar questions are asked on other federal surveys, the ASEC includes other measures of economic well-being, such as the official and Supplemental Poverty Measures.  Including these additional questions will allow for more directly policy relevant analyses of the respondent group.  Data gathered can provide value insights into the usage, accessibility, and difficulties faced by parents and caregivers, informing better policy outcomes. A deeper understanding of these child care dynamics can also help identify gaps and enhance family well-being.</w:t>
      </w:r>
      <w:r w:rsidRPr="34A075D0" w:rsidR="00B562A6">
        <w:rPr>
          <w:rFonts w:asciiTheme="minorHAnsi" w:hAnsiTheme="minorHAnsi" w:cstheme="minorBidi"/>
          <w:sz w:val="24"/>
          <w:szCs w:val="24"/>
          <w:lang w:bidi="ar-SA"/>
        </w:rPr>
        <w:t xml:space="preserve">  </w:t>
      </w:r>
      <w:r w:rsidRPr="34A075D0">
        <w:rPr>
          <w:rFonts w:asciiTheme="minorHAnsi" w:hAnsiTheme="minorHAnsi" w:cstheme="minorBidi"/>
          <w:sz w:val="24"/>
          <w:szCs w:val="24"/>
          <w:lang w:bidi="ar-SA"/>
        </w:rPr>
        <w:t>The new questions are slightly modified from those previously asked in the Supplemental Income and Program Participation (SIPP) Survey, and the Household Pulse Survey, both sponsored by the Census Bureau.</w:t>
      </w:r>
    </w:p>
    <w:p w:rsidR="00DB4246" w:rsidRPr="00A60BB0" w:rsidP="00CD619D" w14:paraId="542ED2F0" w14:textId="687DB196">
      <w:pPr>
        <w:tabs>
          <w:tab w:val="left" w:pos="0"/>
        </w:tabs>
        <w:spacing w:before="1" w:line="276" w:lineRule="auto"/>
        <w:ind w:left="360" w:right="536" w:hanging="360"/>
        <w:rPr>
          <w:rFonts w:asciiTheme="minorHAnsi" w:hAnsiTheme="minorHAnsi" w:cstheme="minorHAnsi"/>
          <w:b/>
          <w:sz w:val="24"/>
          <w:szCs w:val="24"/>
          <w:lang w:bidi="he-IL"/>
        </w:rPr>
      </w:pPr>
      <w:r w:rsidRPr="00A60BB0">
        <w:rPr>
          <w:rFonts w:asciiTheme="minorHAnsi" w:hAnsiTheme="minorHAnsi" w:cstheme="minorHAnsi"/>
          <w:b/>
          <w:sz w:val="24"/>
          <w:szCs w:val="24"/>
          <w:lang w:bidi="he-IL"/>
        </w:rPr>
        <w:t xml:space="preserve">      </w:t>
      </w:r>
    </w:p>
    <w:p w:rsidR="00DB4246" w:rsidRPr="00A60BB0" w:rsidP="00DB4246" w14:paraId="7DDCA292" w14:textId="2C919DD7">
      <w:pPr>
        <w:tabs>
          <w:tab w:val="left" w:pos="480"/>
          <w:tab w:val="left" w:pos="990"/>
          <w:tab w:val="left" w:pos="1440"/>
        </w:tabs>
        <w:adjustRightInd w:val="0"/>
        <w:spacing w:line="276" w:lineRule="auto"/>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This request also asks for clearance for the forms that are used in conjunction with the ASEC supplement.  These forms include:</w:t>
      </w:r>
    </w:p>
    <w:p w:rsidR="00DB4246" w:rsidRPr="00A60BB0" w:rsidP="00DB4246" w14:paraId="1455B639" w14:textId="77777777">
      <w:pPr>
        <w:tabs>
          <w:tab w:val="left" w:pos="480"/>
          <w:tab w:val="left" w:pos="960"/>
          <w:tab w:val="left" w:pos="1440"/>
        </w:tabs>
        <w:adjustRightInd w:val="0"/>
        <w:ind w:left="360"/>
        <w:rPr>
          <w:rFonts w:asciiTheme="minorHAnsi" w:hAnsiTheme="minorHAnsi" w:cstheme="minorHAnsi"/>
          <w:sz w:val="24"/>
          <w:szCs w:val="24"/>
          <w:lang w:bidi="ar-SA"/>
        </w:rPr>
      </w:pPr>
    </w:p>
    <w:tbl>
      <w:tblPr>
        <w:tblW w:w="0" w:type="auto"/>
        <w:tblInd w:w="480" w:type="dxa"/>
        <w:tblLayout w:type="fixed"/>
        <w:tblCellMar>
          <w:left w:w="120" w:type="dxa"/>
          <w:right w:w="120" w:type="dxa"/>
        </w:tblCellMar>
        <w:tblLook w:val="0000"/>
      </w:tblPr>
      <w:tblGrid>
        <w:gridCol w:w="3060"/>
        <w:gridCol w:w="4590"/>
        <w:gridCol w:w="1468"/>
      </w:tblGrid>
      <w:tr w14:paraId="534FC097" w14:textId="77777777" w:rsidTr="00E9063F">
        <w:tblPrEx>
          <w:tblW w:w="0" w:type="auto"/>
          <w:tblInd w:w="480" w:type="dxa"/>
          <w:tblLayout w:type="fixed"/>
          <w:tblCellMar>
            <w:left w:w="120" w:type="dxa"/>
            <w:right w:w="120" w:type="dxa"/>
          </w:tblCellMar>
          <w:tblLook w:val="0000"/>
        </w:tblPrEx>
        <w:trPr>
          <w:cantSplit/>
          <w:tblHeader/>
        </w:trPr>
        <w:tc>
          <w:tcPr>
            <w:tcW w:w="3060" w:type="dxa"/>
          </w:tcPr>
          <w:p w:rsidR="00DB4246" w:rsidRPr="00A60BB0" w:rsidP="00E9063F" w14:paraId="373C73DC"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b/>
                <w:bCs/>
                <w:sz w:val="24"/>
                <w:szCs w:val="24"/>
                <w:lang w:bidi="ar-SA"/>
              </w:rPr>
              <w:tab/>
            </w:r>
            <w:r w:rsidRPr="00A60BB0">
              <w:rPr>
                <w:rFonts w:asciiTheme="minorHAnsi" w:hAnsiTheme="minorHAnsi" w:cstheme="minorHAnsi"/>
                <w:b/>
                <w:bCs/>
                <w:sz w:val="24"/>
                <w:szCs w:val="24"/>
                <w:u w:val="single"/>
                <w:lang w:bidi="ar-SA"/>
              </w:rPr>
              <w:t>Form No.</w:t>
            </w:r>
          </w:p>
        </w:tc>
        <w:tc>
          <w:tcPr>
            <w:tcW w:w="4590" w:type="dxa"/>
          </w:tcPr>
          <w:p w:rsidR="00DB4246" w:rsidRPr="00A60BB0" w:rsidP="00E9063F" w14:paraId="25359FE2"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b/>
                <w:bCs/>
                <w:sz w:val="24"/>
                <w:szCs w:val="24"/>
                <w:u w:val="single"/>
                <w:lang w:bidi="ar-SA"/>
              </w:rPr>
              <w:t>Description</w:t>
            </w:r>
          </w:p>
        </w:tc>
        <w:tc>
          <w:tcPr>
            <w:tcW w:w="1468" w:type="dxa"/>
          </w:tcPr>
          <w:p w:rsidR="00DB4246" w:rsidRPr="00A60BB0" w:rsidP="00E9063F" w14:paraId="1543563B"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b/>
                <w:bCs/>
                <w:sz w:val="24"/>
                <w:szCs w:val="24"/>
                <w:u w:val="single"/>
                <w:lang w:bidi="ar-SA"/>
              </w:rPr>
              <w:t>Attachment</w:t>
            </w:r>
          </w:p>
        </w:tc>
      </w:tr>
      <w:tr w14:paraId="082F950F" w14:textId="77777777" w:rsidTr="00E9063F">
        <w:tblPrEx>
          <w:tblW w:w="0" w:type="auto"/>
          <w:tblInd w:w="480" w:type="dxa"/>
          <w:tblLayout w:type="fixed"/>
          <w:tblCellMar>
            <w:left w:w="120" w:type="dxa"/>
            <w:right w:w="120" w:type="dxa"/>
          </w:tblCellMar>
          <w:tblLook w:val="0000"/>
        </w:tblPrEx>
        <w:trPr>
          <w:cantSplit/>
        </w:trPr>
        <w:tc>
          <w:tcPr>
            <w:tcW w:w="3060" w:type="dxa"/>
          </w:tcPr>
          <w:p w:rsidR="00DB4246" w:rsidRPr="00A60BB0" w:rsidP="00E9063F" w14:paraId="359C52AC"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t>BC-1428</w:t>
            </w:r>
          </w:p>
          <w:p w:rsidR="00DB4246" w:rsidRPr="00A60BB0" w:rsidP="00E9063F" w14:paraId="491C66F4"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  BC-1428 (SP)</w:t>
            </w:r>
          </w:p>
        </w:tc>
        <w:tc>
          <w:tcPr>
            <w:tcW w:w="4590" w:type="dxa"/>
          </w:tcPr>
          <w:p w:rsidR="00DB4246" w:rsidRPr="00A60BB0" w:rsidP="00E9063F" w14:paraId="61A669A4"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Confidentiality Brochure.</w:t>
            </w:r>
          </w:p>
          <w:p w:rsidR="00DB4246" w:rsidRPr="00A60BB0" w:rsidP="00E9063F" w14:paraId="482FB1F6"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Same letter as above translated into Spanish.</w:t>
            </w:r>
          </w:p>
        </w:tc>
        <w:tc>
          <w:tcPr>
            <w:tcW w:w="1468" w:type="dxa"/>
          </w:tcPr>
          <w:p w:rsidR="00DB4246" w:rsidRPr="00A60BB0" w:rsidP="00E9063F" w14:paraId="68CB0E18" w14:textId="5EF246AD">
            <w:pPr>
              <w:tabs>
                <w:tab w:val="left" w:pos="451"/>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r>
            <w:r w:rsidR="00567104">
              <w:rPr>
                <w:rFonts w:asciiTheme="minorHAnsi" w:hAnsiTheme="minorHAnsi" w:cstheme="minorHAnsi"/>
                <w:sz w:val="24"/>
                <w:szCs w:val="24"/>
                <w:lang w:bidi="ar-SA"/>
              </w:rPr>
              <w:t>E-3</w:t>
            </w:r>
          </w:p>
          <w:p w:rsidR="00DB4246" w:rsidRPr="00A60BB0" w:rsidP="00E9063F" w14:paraId="50E8A5DB" w14:textId="29D78A38">
            <w:pPr>
              <w:tabs>
                <w:tab w:val="left" w:pos="451"/>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r>
            <w:r w:rsidR="00567104">
              <w:rPr>
                <w:rFonts w:asciiTheme="minorHAnsi" w:hAnsiTheme="minorHAnsi" w:cstheme="minorHAnsi"/>
                <w:sz w:val="24"/>
                <w:szCs w:val="24"/>
                <w:lang w:bidi="ar-SA"/>
              </w:rPr>
              <w:t>E-3</w:t>
            </w:r>
          </w:p>
        </w:tc>
      </w:tr>
      <w:tr w14:paraId="3D4D95CF" w14:textId="77777777" w:rsidTr="00E9063F">
        <w:tblPrEx>
          <w:tblW w:w="0" w:type="auto"/>
          <w:tblInd w:w="480" w:type="dxa"/>
          <w:tblLayout w:type="fixed"/>
          <w:tblCellMar>
            <w:left w:w="120" w:type="dxa"/>
            <w:right w:w="120" w:type="dxa"/>
          </w:tblCellMar>
          <w:tblLook w:val="0000"/>
        </w:tblPrEx>
        <w:trPr>
          <w:cantSplit/>
        </w:trPr>
        <w:tc>
          <w:tcPr>
            <w:tcW w:w="3060" w:type="dxa"/>
          </w:tcPr>
          <w:p w:rsidR="00DB4246" w:rsidRPr="00A60BB0" w:rsidP="00E9063F" w14:paraId="24761367" w14:textId="77777777">
            <w:pPr>
              <w:tabs>
                <w:tab w:val="left" w:pos="387"/>
                <w:tab w:val="left" w:pos="480"/>
                <w:tab w:val="left" w:pos="960"/>
                <w:tab w:val="center" w:pos="141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r>
            <w:r w:rsidRPr="00A60BB0">
              <w:rPr>
                <w:rFonts w:asciiTheme="minorHAnsi" w:hAnsiTheme="minorHAnsi" w:cstheme="minorHAnsi"/>
                <w:sz w:val="24"/>
                <w:szCs w:val="24"/>
                <w:lang w:bidi="ar-SA"/>
              </w:rPr>
              <w:tab/>
              <w:t>CPS-580 (ASEC)(L)</w:t>
            </w:r>
          </w:p>
        </w:tc>
        <w:tc>
          <w:tcPr>
            <w:tcW w:w="4590" w:type="dxa"/>
          </w:tcPr>
          <w:p w:rsidR="00DB4246" w:rsidRPr="00A60BB0" w:rsidP="00E9063F" w14:paraId="60D31DAC"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Advance letter sent to each household in sample.</w:t>
            </w:r>
          </w:p>
        </w:tc>
        <w:tc>
          <w:tcPr>
            <w:tcW w:w="1468" w:type="dxa"/>
          </w:tcPr>
          <w:p w:rsidR="00DB4246" w:rsidRPr="00A60BB0" w:rsidP="00E9063F" w14:paraId="1E2645B9" w14:textId="77777777">
            <w:pPr>
              <w:tabs>
                <w:tab w:val="left" w:pos="451"/>
                <w:tab w:val="left" w:pos="477"/>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 H</w:t>
            </w:r>
          </w:p>
        </w:tc>
      </w:tr>
      <w:tr w14:paraId="25D83863" w14:textId="77777777" w:rsidTr="00E9063F">
        <w:tblPrEx>
          <w:tblW w:w="0" w:type="auto"/>
          <w:tblInd w:w="480" w:type="dxa"/>
          <w:tblLayout w:type="fixed"/>
          <w:tblCellMar>
            <w:left w:w="120" w:type="dxa"/>
            <w:right w:w="120" w:type="dxa"/>
          </w:tblCellMar>
          <w:tblLook w:val="0000"/>
        </w:tblPrEx>
        <w:trPr>
          <w:cantSplit/>
        </w:trPr>
        <w:tc>
          <w:tcPr>
            <w:tcW w:w="3060" w:type="dxa"/>
          </w:tcPr>
          <w:p w:rsidR="00DB4246" w:rsidRPr="00A60BB0" w:rsidP="00E9063F" w14:paraId="64790A9A"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t>CPS-580 (L)SP</w:t>
            </w:r>
          </w:p>
        </w:tc>
        <w:tc>
          <w:tcPr>
            <w:tcW w:w="4590" w:type="dxa"/>
          </w:tcPr>
          <w:p w:rsidR="00DB4246" w:rsidRPr="00A60BB0" w:rsidP="00E9063F" w14:paraId="12989F13"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Same letter as above translated into Spanish. </w:t>
            </w:r>
          </w:p>
        </w:tc>
        <w:tc>
          <w:tcPr>
            <w:tcW w:w="1468" w:type="dxa"/>
          </w:tcPr>
          <w:p w:rsidR="00DB4246" w:rsidRPr="00A60BB0" w:rsidP="00E9063F" w14:paraId="041B4950" w14:textId="77777777">
            <w:pPr>
              <w:keepNext/>
              <w:tabs>
                <w:tab w:val="left" w:pos="480"/>
                <w:tab w:val="left" w:pos="960"/>
                <w:tab w:val="left" w:pos="1440"/>
              </w:tabs>
              <w:adjustRightInd w:val="0"/>
              <w:spacing w:before="144"/>
              <w:ind w:left="360"/>
              <w:outlineLvl w:val="0"/>
              <w:rPr>
                <w:rFonts w:asciiTheme="minorHAnsi" w:hAnsiTheme="minorHAnsi" w:cstheme="minorHAnsi"/>
                <w:sz w:val="24"/>
                <w:szCs w:val="24"/>
                <w:lang w:bidi="ar-SA"/>
              </w:rPr>
            </w:pPr>
            <w:r w:rsidRPr="00A60BB0">
              <w:rPr>
                <w:rFonts w:asciiTheme="minorHAnsi" w:hAnsiTheme="minorHAnsi" w:cstheme="minorHAnsi"/>
                <w:sz w:val="24"/>
                <w:szCs w:val="24"/>
                <w:lang w:bidi="ar-SA"/>
              </w:rPr>
              <w:tab/>
              <w:t>I</w:t>
            </w:r>
          </w:p>
        </w:tc>
      </w:tr>
      <w:tr w14:paraId="65856241" w14:textId="77777777" w:rsidTr="00E9063F">
        <w:tblPrEx>
          <w:tblW w:w="0" w:type="auto"/>
          <w:tblInd w:w="480" w:type="dxa"/>
          <w:tblLayout w:type="fixed"/>
          <w:tblCellMar>
            <w:left w:w="120" w:type="dxa"/>
            <w:right w:w="120" w:type="dxa"/>
          </w:tblCellMar>
          <w:tblLook w:val="0000"/>
        </w:tblPrEx>
        <w:trPr>
          <w:cantSplit/>
        </w:trPr>
        <w:tc>
          <w:tcPr>
            <w:tcW w:w="3060" w:type="dxa"/>
          </w:tcPr>
          <w:p w:rsidR="00DB4246" w:rsidRPr="00A60BB0" w:rsidP="00E9063F" w14:paraId="72F7FBE3" w14:textId="77777777">
            <w:pPr>
              <w:keepNext/>
              <w:tabs>
                <w:tab w:val="left" w:pos="480"/>
                <w:tab w:val="left" w:pos="960"/>
                <w:tab w:val="left" w:pos="1440"/>
              </w:tabs>
              <w:adjustRightInd w:val="0"/>
              <w:spacing w:before="144"/>
              <w:ind w:left="360"/>
              <w:outlineLvl w:val="0"/>
              <w:rPr>
                <w:rFonts w:asciiTheme="minorHAnsi" w:hAnsiTheme="minorHAnsi" w:cstheme="minorHAnsi"/>
                <w:sz w:val="24"/>
                <w:szCs w:val="24"/>
                <w:lang w:bidi="ar-SA"/>
              </w:rPr>
            </w:pPr>
            <w:r w:rsidRPr="00A60BB0">
              <w:rPr>
                <w:rFonts w:asciiTheme="minorHAnsi" w:hAnsiTheme="minorHAnsi" w:cstheme="minorHAnsi"/>
                <w:sz w:val="24"/>
                <w:szCs w:val="24"/>
                <w:lang w:bidi="ar-SA"/>
              </w:rPr>
              <w:tab/>
              <w:t>CPS-676</w:t>
            </w:r>
          </w:p>
        </w:tc>
        <w:tc>
          <w:tcPr>
            <w:tcW w:w="4590" w:type="dxa"/>
          </w:tcPr>
          <w:p w:rsidR="00DB4246" w:rsidRPr="00A60BB0" w:rsidP="00E9063F" w14:paraId="2E873012"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Pamphlet with information from the ASEC.</w:t>
            </w:r>
          </w:p>
        </w:tc>
        <w:tc>
          <w:tcPr>
            <w:tcW w:w="1468" w:type="dxa"/>
          </w:tcPr>
          <w:p w:rsidR="00DB4246" w:rsidRPr="00A60BB0" w:rsidP="00E9063F" w14:paraId="134BFF14"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t>J</w:t>
            </w:r>
          </w:p>
        </w:tc>
      </w:tr>
      <w:tr w14:paraId="615B3F70" w14:textId="77777777" w:rsidTr="00E9063F">
        <w:tblPrEx>
          <w:tblW w:w="0" w:type="auto"/>
          <w:tblInd w:w="480" w:type="dxa"/>
          <w:tblLayout w:type="fixed"/>
          <w:tblCellMar>
            <w:left w:w="120" w:type="dxa"/>
            <w:right w:w="120" w:type="dxa"/>
          </w:tblCellMar>
          <w:tblLook w:val="0000"/>
        </w:tblPrEx>
        <w:trPr>
          <w:cantSplit/>
        </w:trPr>
        <w:tc>
          <w:tcPr>
            <w:tcW w:w="3060" w:type="dxa"/>
          </w:tcPr>
          <w:p w:rsidR="00DB4246" w:rsidRPr="00A60BB0" w:rsidP="00E9063F" w14:paraId="49173619"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t>CPS-676 (SP)</w:t>
            </w:r>
          </w:p>
        </w:tc>
        <w:tc>
          <w:tcPr>
            <w:tcW w:w="4590" w:type="dxa"/>
          </w:tcPr>
          <w:p w:rsidR="00DB4246" w:rsidRPr="00A60BB0" w:rsidP="00E9063F" w14:paraId="1A8338CC"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Same pamphlet as above but in Spanish.</w:t>
            </w:r>
          </w:p>
        </w:tc>
        <w:tc>
          <w:tcPr>
            <w:tcW w:w="1468" w:type="dxa"/>
          </w:tcPr>
          <w:p w:rsidR="00DB4246" w:rsidRPr="00A60BB0" w:rsidP="00E9063F" w14:paraId="3726AA2D" w14:textId="77777777">
            <w:pPr>
              <w:tabs>
                <w:tab w:val="left" w:pos="480"/>
                <w:tab w:val="left" w:pos="960"/>
                <w:tab w:val="left" w:pos="1440"/>
              </w:tabs>
              <w:adjustRightInd w:val="0"/>
              <w:spacing w:before="144"/>
              <w:ind w:left="360"/>
              <w:rPr>
                <w:rFonts w:asciiTheme="minorHAnsi" w:hAnsiTheme="minorHAnsi" w:cstheme="minorHAnsi"/>
                <w:sz w:val="24"/>
                <w:szCs w:val="24"/>
                <w:lang w:bidi="ar-SA"/>
              </w:rPr>
            </w:pPr>
            <w:r w:rsidRPr="00A60BB0">
              <w:rPr>
                <w:rFonts w:asciiTheme="minorHAnsi" w:hAnsiTheme="minorHAnsi" w:cstheme="minorHAnsi"/>
                <w:sz w:val="24"/>
                <w:szCs w:val="24"/>
                <w:lang w:bidi="ar-SA"/>
              </w:rPr>
              <w:tab/>
              <w:t>K</w:t>
            </w:r>
          </w:p>
        </w:tc>
      </w:tr>
    </w:tbl>
    <w:p w:rsidR="00DB4246" w:rsidRPr="00A60BB0" w:rsidP="00DB4246" w14:paraId="049D8348" w14:textId="77777777">
      <w:pPr>
        <w:tabs>
          <w:tab w:val="left" w:pos="480"/>
          <w:tab w:val="left" w:pos="960"/>
          <w:tab w:val="left" w:pos="1440"/>
        </w:tabs>
        <w:adjustRightInd w:val="0"/>
        <w:ind w:left="360"/>
        <w:rPr>
          <w:rFonts w:asciiTheme="minorHAnsi" w:hAnsiTheme="minorHAnsi" w:cstheme="minorHAnsi"/>
          <w:sz w:val="24"/>
          <w:szCs w:val="24"/>
          <w:lang w:bidi="ar-SA"/>
        </w:rPr>
      </w:pPr>
    </w:p>
    <w:p w:rsidR="00DB4246" w:rsidP="00F547DE" w14:paraId="1B39E640" w14:textId="29C22199">
      <w:pPr>
        <w:tabs>
          <w:tab w:val="left" w:pos="0"/>
        </w:tabs>
        <w:spacing w:before="1" w:line="276" w:lineRule="auto"/>
        <w:ind w:left="360" w:right="536"/>
        <w:rPr>
          <w:rFonts w:asciiTheme="minorHAnsi" w:hAnsiTheme="minorHAnsi" w:cstheme="minorHAnsi"/>
          <w:sz w:val="24"/>
          <w:szCs w:val="24"/>
          <w:lang w:bidi="ar-SA"/>
        </w:rPr>
      </w:pPr>
      <w:r w:rsidRPr="00A60BB0">
        <w:rPr>
          <w:rFonts w:asciiTheme="minorHAnsi" w:hAnsiTheme="minorHAnsi" w:cstheme="minorHAnsi"/>
          <w:sz w:val="24"/>
          <w:szCs w:val="24"/>
          <w:lang w:bidi="ar-SA"/>
        </w:rPr>
        <w:t>These forms are made available so that the respondents will have a clear understanding of the purpose and uses of the CPS ASEC supplement.</w:t>
      </w:r>
    </w:p>
    <w:p w:rsidR="00B562A6" w:rsidP="00F547DE" w14:paraId="383C3C12" w14:textId="77777777">
      <w:pPr>
        <w:tabs>
          <w:tab w:val="left" w:pos="0"/>
        </w:tabs>
        <w:spacing w:before="1" w:line="276" w:lineRule="auto"/>
        <w:ind w:left="360" w:right="536"/>
        <w:rPr>
          <w:rFonts w:asciiTheme="minorHAnsi" w:hAnsiTheme="minorHAnsi" w:cstheme="minorHAnsi"/>
          <w:sz w:val="24"/>
          <w:szCs w:val="24"/>
          <w:lang w:bidi="ar-SA"/>
        </w:rPr>
      </w:pPr>
    </w:p>
    <w:p w:rsidR="00B562A6" w:rsidRPr="00A60BB0" w:rsidP="00F547DE" w14:paraId="234B4576" w14:textId="77777777">
      <w:pPr>
        <w:tabs>
          <w:tab w:val="left" w:pos="0"/>
        </w:tabs>
        <w:spacing w:before="1" w:line="276" w:lineRule="auto"/>
        <w:ind w:left="360" w:right="536"/>
        <w:rPr>
          <w:rFonts w:asciiTheme="minorHAnsi" w:hAnsiTheme="minorHAnsi" w:cstheme="minorHAnsi"/>
          <w:b/>
          <w:sz w:val="24"/>
          <w:szCs w:val="24"/>
          <w:lang w:bidi="he-IL"/>
        </w:rPr>
      </w:pPr>
    </w:p>
    <w:p w:rsidR="000148AA" w:rsidRPr="00A60BB0" w:rsidP="00CD619D" w14:paraId="19AD4899" w14:textId="77777777">
      <w:pPr>
        <w:pStyle w:val="BodyText"/>
        <w:spacing w:before="9" w:line="276" w:lineRule="auto"/>
        <w:ind w:left="360" w:hanging="360"/>
        <w:rPr>
          <w:rFonts w:asciiTheme="minorHAnsi" w:hAnsiTheme="minorHAnsi" w:cstheme="minorHAnsi"/>
        </w:rPr>
      </w:pPr>
    </w:p>
    <w:p w:rsidR="002B279C" w:rsidRPr="00A60BB0" w:rsidP="00CD619D" w14:paraId="27C6E41C" w14:textId="77777777">
      <w:pPr>
        <w:pStyle w:val="BodyText"/>
        <w:spacing w:before="9" w:line="276" w:lineRule="auto"/>
        <w:ind w:left="360" w:hanging="360"/>
        <w:rPr>
          <w:rFonts w:asciiTheme="minorHAnsi" w:hAnsiTheme="minorHAnsi" w:cstheme="minorHAnsi"/>
        </w:rPr>
      </w:pPr>
    </w:p>
    <w:p w:rsidR="000148AA" w:rsidRPr="00A60BB0" w:rsidP="00F547DE" w14:paraId="3B71751E" w14:textId="593C04ED">
      <w:pPr>
        <w:tabs>
          <w:tab w:val="left" w:pos="840"/>
        </w:tabs>
        <w:spacing w:before="1" w:line="276" w:lineRule="auto"/>
        <w:ind w:left="720" w:right="122" w:hanging="360"/>
        <w:rPr>
          <w:rFonts w:asciiTheme="minorHAnsi" w:hAnsiTheme="minorHAnsi" w:cstheme="minorHAnsi"/>
          <w:b/>
          <w:sz w:val="24"/>
          <w:szCs w:val="24"/>
          <w:lang w:bidi="he-IL"/>
        </w:rPr>
      </w:pPr>
      <w:r w:rsidRPr="00A60BB0">
        <w:rPr>
          <w:rFonts w:asciiTheme="minorHAnsi" w:hAnsiTheme="minorHAnsi" w:cstheme="minorHAnsi"/>
          <w:b/>
          <w:spacing w:val="-3"/>
          <w:sz w:val="24"/>
          <w:szCs w:val="24"/>
        </w:rPr>
        <w:t xml:space="preserve">2. </w:t>
      </w:r>
      <w:r w:rsidRPr="00A60BB0">
        <w:rPr>
          <w:rFonts w:asciiTheme="minorHAnsi" w:hAnsiTheme="minorHAnsi" w:cstheme="minorHAnsi"/>
          <w:b/>
          <w:spacing w:val="-3"/>
          <w:sz w:val="24"/>
          <w:szCs w:val="24"/>
        </w:rPr>
        <w:tab/>
      </w:r>
      <w:r w:rsidRPr="00A60BB0" w:rsidR="003F061F">
        <w:rPr>
          <w:rFonts w:asciiTheme="minorHAnsi" w:hAnsiTheme="minorHAnsi" w:cstheme="minorHAnsi"/>
          <w:b/>
          <w:spacing w:val="-3"/>
          <w:sz w:val="24"/>
          <w:szCs w:val="24"/>
        </w:rPr>
        <w:t>Purposes and Uses of the Information Collection</w:t>
      </w:r>
      <w:r w:rsidRPr="00A60BB0" w:rsidR="008E0A73">
        <w:rPr>
          <w:rFonts w:asciiTheme="minorHAnsi" w:hAnsiTheme="minorHAnsi" w:cstheme="minorHAnsi"/>
          <w:sz w:val="24"/>
          <w:szCs w:val="24"/>
          <w:lang w:bidi="he-IL"/>
        </w:rPr>
        <w:t xml:space="preserve"> </w:t>
      </w:r>
    </w:p>
    <w:p w:rsidR="000148AA" w:rsidRPr="00A60BB0" w:rsidP="00CD619D" w14:paraId="0AA6D28C" w14:textId="6CA31B72">
      <w:pPr>
        <w:tabs>
          <w:tab w:val="left" w:pos="0"/>
        </w:tabs>
        <w:spacing w:before="1" w:line="276" w:lineRule="auto"/>
        <w:ind w:left="360" w:right="536" w:hanging="360"/>
        <w:rPr>
          <w:rFonts w:asciiTheme="minorHAnsi" w:hAnsiTheme="minorHAnsi" w:cstheme="minorHAnsi"/>
          <w:b/>
          <w:color w:val="FF0000"/>
          <w:sz w:val="24"/>
          <w:szCs w:val="24"/>
        </w:rPr>
      </w:pPr>
      <w:r w:rsidRPr="00A60BB0">
        <w:rPr>
          <w:rFonts w:asciiTheme="minorHAnsi" w:hAnsiTheme="minorHAnsi" w:cstheme="minorHAnsi"/>
          <w:b/>
          <w:color w:val="FF0000"/>
          <w:sz w:val="24"/>
          <w:szCs w:val="24"/>
        </w:rPr>
        <w:tab/>
      </w:r>
    </w:p>
    <w:p w:rsidR="00465CF1" w:rsidRPr="00A60BB0" w:rsidP="00465CF1" w14:paraId="0FF168C4" w14:textId="502CE106">
      <w:pPr>
        <w:tabs>
          <w:tab w:val="left" w:pos="360"/>
          <w:tab w:val="left" w:pos="1440"/>
          <w:tab w:val="left" w:pos="1530"/>
        </w:tabs>
        <w:rPr>
          <w:rFonts w:asciiTheme="minorHAnsi" w:hAnsiTheme="minorHAnsi" w:cstheme="minorHAnsi"/>
          <w:sz w:val="24"/>
          <w:szCs w:val="24"/>
          <w:lang w:bidi="ar-SA"/>
        </w:rPr>
      </w:pPr>
      <w:r w:rsidRPr="00A60BB0">
        <w:rPr>
          <w:rFonts w:asciiTheme="minorHAnsi" w:hAnsiTheme="minorHAnsi" w:cstheme="minorHAnsi"/>
          <w:sz w:val="24"/>
          <w:szCs w:val="24"/>
          <w:lang w:bidi="ar-SA"/>
        </w:rPr>
        <w:tab/>
        <w:t>The ASEC questionnaire can be divided into five logical series of questions as follows:</w:t>
      </w:r>
    </w:p>
    <w:p w:rsidR="00465CF1" w:rsidRPr="00A60BB0" w:rsidP="00465CF1" w14:paraId="3B4CEE03" w14:textId="77777777">
      <w:pPr>
        <w:tabs>
          <w:tab w:val="left" w:pos="480"/>
          <w:tab w:val="left" w:pos="1440"/>
          <w:tab w:val="left" w:pos="1530"/>
        </w:tabs>
        <w:adjustRightInd w:val="0"/>
        <w:ind w:left="1440"/>
        <w:rPr>
          <w:rFonts w:asciiTheme="minorHAnsi" w:hAnsiTheme="minorHAnsi" w:cstheme="minorHAnsi"/>
          <w:sz w:val="24"/>
          <w:szCs w:val="24"/>
          <w:lang w:bidi="ar-SA"/>
        </w:rPr>
      </w:pPr>
    </w:p>
    <w:p w:rsidR="00465CF1" w:rsidRPr="00A60BB0" w:rsidP="00465CF1" w14:paraId="1153B585" w14:textId="77777777">
      <w:pPr>
        <w:numPr>
          <w:ilvl w:val="0"/>
          <w:numId w:val="7"/>
        </w:numPr>
        <w:tabs>
          <w:tab w:val="left" w:pos="480"/>
          <w:tab w:val="left" w:pos="1440"/>
          <w:tab w:val="left" w:pos="1530"/>
        </w:tabs>
        <w:adjustRightInd w:val="0"/>
        <w:spacing w:line="276" w:lineRule="auto"/>
        <w:contextualSpacing/>
        <w:rPr>
          <w:rFonts w:asciiTheme="minorHAnsi" w:hAnsiTheme="minorHAnsi" w:cstheme="minorHAnsi"/>
          <w:sz w:val="24"/>
          <w:szCs w:val="24"/>
          <w:lang w:bidi="ar-SA"/>
        </w:rPr>
      </w:pPr>
      <w:r w:rsidRPr="00A60BB0">
        <w:rPr>
          <w:rFonts w:asciiTheme="minorHAnsi" w:hAnsiTheme="minorHAnsi" w:cstheme="minorHAnsi"/>
          <w:sz w:val="24"/>
          <w:szCs w:val="24"/>
          <w:u w:val="single"/>
          <w:lang w:bidi="ar-SA"/>
        </w:rPr>
        <w:t>Work Experience (See Attachment A: Items Q29A-Q4788)</w:t>
      </w:r>
      <w:r w:rsidRPr="00A60BB0">
        <w:rPr>
          <w:rFonts w:asciiTheme="minorHAnsi" w:hAnsiTheme="minorHAnsi" w:cstheme="minorHAnsi"/>
          <w:sz w:val="24"/>
          <w:szCs w:val="24"/>
          <w:lang w:bidi="ar-SA"/>
        </w:rPr>
        <w:t xml:space="preserve"> </w:t>
      </w:r>
    </w:p>
    <w:p w:rsidR="00465CF1" w:rsidRPr="00A60BB0" w:rsidP="00465CF1" w14:paraId="53676D48" w14:textId="77777777">
      <w:pPr>
        <w:tabs>
          <w:tab w:val="left" w:pos="480"/>
          <w:tab w:val="left" w:pos="1440"/>
          <w:tab w:val="left" w:pos="1530"/>
        </w:tabs>
        <w:adjustRightInd w:val="0"/>
        <w:ind w:left="1440"/>
        <w:rPr>
          <w:rFonts w:asciiTheme="minorHAnsi" w:hAnsiTheme="minorHAnsi" w:cstheme="minorHAnsi"/>
          <w:sz w:val="24"/>
          <w:szCs w:val="24"/>
          <w:lang w:bidi="ar-SA"/>
        </w:rPr>
      </w:pPr>
    </w:p>
    <w:p w:rsidR="00465CF1" w:rsidRPr="00A60BB0" w:rsidP="00465CF1" w14:paraId="41D84550" w14:textId="77777777">
      <w:pPr>
        <w:tabs>
          <w:tab w:val="left" w:pos="480"/>
          <w:tab w:val="left" w:pos="1440"/>
          <w:tab w:val="left" w:pos="153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The work experience items provide a unique measure of the dynamic nature of the labor force as viewed over a 1-year period.  These items produce statistics that show movements in and out of the labor force by measuring the number of periods of unemployment experienced by people, the number of different employers worked for during the year, the principal reasons for unemployment, and part-/full-time attachment to the labor force.  We can make indirect measurements of discouraged workers and others with a casual attachment to the labor market. </w:t>
      </w:r>
    </w:p>
    <w:p w:rsidR="00465CF1" w:rsidRPr="00A60BB0" w:rsidP="00465CF1" w14:paraId="20E7E5F5" w14:textId="77777777">
      <w:pPr>
        <w:tabs>
          <w:tab w:val="left" w:pos="480"/>
          <w:tab w:val="left" w:pos="1440"/>
          <w:tab w:val="left" w:pos="1530"/>
        </w:tabs>
        <w:adjustRightInd w:val="0"/>
        <w:spacing w:line="360" w:lineRule="auto"/>
        <w:ind w:left="1440"/>
        <w:rPr>
          <w:rFonts w:asciiTheme="minorHAnsi" w:hAnsiTheme="minorHAnsi" w:cstheme="minorHAnsi"/>
          <w:sz w:val="24"/>
          <w:szCs w:val="24"/>
          <w:lang w:bidi="ar-SA"/>
        </w:rPr>
      </w:pPr>
    </w:p>
    <w:p w:rsidR="00465CF1" w:rsidRPr="00A60BB0" w:rsidP="00465CF1" w14:paraId="7B6D9DF3" w14:textId="77777777">
      <w:pPr>
        <w:numPr>
          <w:ilvl w:val="0"/>
          <w:numId w:val="7"/>
        </w:numPr>
        <w:tabs>
          <w:tab w:val="left" w:pos="1530"/>
        </w:tabs>
        <w:adjustRightInd w:val="0"/>
        <w:spacing w:line="276" w:lineRule="auto"/>
        <w:contextualSpacing/>
        <w:rPr>
          <w:rFonts w:asciiTheme="minorHAnsi" w:hAnsiTheme="minorHAnsi" w:cstheme="minorHAnsi"/>
          <w:sz w:val="24"/>
          <w:szCs w:val="24"/>
          <w:lang w:bidi="ar-SA"/>
        </w:rPr>
      </w:pPr>
      <w:r w:rsidRPr="00A60BB0">
        <w:rPr>
          <w:rFonts w:asciiTheme="minorHAnsi" w:hAnsiTheme="minorHAnsi" w:cstheme="minorHAnsi"/>
          <w:sz w:val="24"/>
          <w:szCs w:val="24"/>
          <w:u w:val="single"/>
          <w:lang w:bidi="ar-SA"/>
        </w:rPr>
        <w:t>Personal Income and Noncash Benefits (See Attachment A: Items Q48AA-Q52Cs1 Q56a-Q73A1Rc, Q74a)</w:t>
      </w:r>
    </w:p>
    <w:p w:rsidR="00465CF1" w:rsidRPr="00A60BB0" w:rsidP="00465CF1" w14:paraId="37516B17" w14:textId="77777777">
      <w:pPr>
        <w:tabs>
          <w:tab w:val="left" w:pos="480"/>
          <w:tab w:val="left" w:pos="1440"/>
          <w:tab w:val="left" w:pos="1530"/>
        </w:tabs>
        <w:adjustRightInd w:val="0"/>
        <w:ind w:left="1440"/>
        <w:rPr>
          <w:rFonts w:asciiTheme="minorHAnsi" w:hAnsiTheme="minorHAnsi" w:cstheme="minorHAnsi"/>
          <w:sz w:val="24"/>
          <w:szCs w:val="24"/>
          <w:lang w:bidi="ar-SA"/>
        </w:rPr>
      </w:pPr>
    </w:p>
    <w:p w:rsidR="00465CF1" w:rsidRPr="00A60BB0" w:rsidP="00465CF1" w14:paraId="498615EA" w14:textId="77777777">
      <w:pPr>
        <w:tabs>
          <w:tab w:val="left" w:pos="480"/>
          <w:tab w:val="left" w:pos="1440"/>
          <w:tab w:val="left" w:pos="1530"/>
          <w:tab w:val="left" w:pos="1980"/>
        </w:tabs>
        <w:adjustRightInd w:val="0"/>
        <w:spacing w:line="360" w:lineRule="auto"/>
        <w:ind w:left="1440"/>
        <w:rPr>
          <w:rFonts w:asciiTheme="minorHAnsi" w:hAnsiTheme="minorHAnsi" w:cstheme="minorHAnsi"/>
          <w:b/>
          <w:bCs/>
          <w:sz w:val="24"/>
          <w:szCs w:val="24"/>
          <w:u w:val="single"/>
          <w:lang w:bidi="ar-SA"/>
        </w:rPr>
      </w:pPr>
      <w:r w:rsidRPr="00A60BB0">
        <w:rPr>
          <w:rFonts w:asciiTheme="minorHAnsi" w:hAnsiTheme="minorHAnsi" w:cstheme="minorHAnsi"/>
          <w:sz w:val="24"/>
          <w:szCs w:val="24"/>
          <w:lang w:bidi="ar-SA"/>
        </w:rPr>
        <w:t xml:space="preserve">The ASEC supplement collects data on </w:t>
      </w:r>
      <w:r w:rsidRPr="00A60BB0">
        <w:rPr>
          <w:rFonts w:asciiTheme="minorHAnsi" w:hAnsiTheme="minorHAnsi" w:cstheme="minorHAnsi"/>
          <w:sz w:val="24"/>
          <w:szCs w:val="24"/>
          <w:lang w:bidi="ar-SA"/>
        </w:rPr>
        <w:t>a number of</w:t>
      </w:r>
      <w:r w:rsidRPr="00A60BB0">
        <w:rPr>
          <w:rFonts w:asciiTheme="minorHAnsi" w:hAnsiTheme="minorHAnsi" w:cstheme="minorHAnsi"/>
          <w:sz w:val="24"/>
          <w:szCs w:val="24"/>
          <w:lang w:bidi="ar-SA"/>
        </w:rPr>
        <w:t xml:space="preserve"> personal income and noncash benefit sources as listed below: </w:t>
      </w:r>
    </w:p>
    <w:p w:rsidR="00465CF1" w:rsidRPr="00A60BB0" w:rsidP="00465CF1" w14:paraId="38039391"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b/>
          <w:bCs/>
          <w:sz w:val="24"/>
          <w:szCs w:val="24"/>
          <w:u w:val="single"/>
          <w:lang w:bidi="ar-SA"/>
        </w:rPr>
      </w:pPr>
    </w:p>
    <w:p w:rsidR="00465CF1" w:rsidRPr="00A60BB0" w:rsidP="00465CF1" w14:paraId="7C40E82E"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b/>
          <w:bCs/>
          <w:sz w:val="24"/>
          <w:szCs w:val="24"/>
          <w:lang w:bidi="ar-SA"/>
        </w:rPr>
      </w:pPr>
      <w:r w:rsidRPr="00A60BB0">
        <w:rPr>
          <w:rFonts w:asciiTheme="minorHAnsi" w:hAnsiTheme="minorHAnsi" w:cstheme="minorHAnsi"/>
          <w:b/>
          <w:bCs/>
          <w:sz w:val="24"/>
          <w:szCs w:val="24"/>
          <w:u w:val="single"/>
          <w:lang w:bidi="ar-SA"/>
        </w:rPr>
        <w:t>Sources of Income</w:t>
      </w:r>
    </w:p>
    <w:p w:rsidR="00465CF1" w:rsidRPr="00A60BB0" w:rsidP="00465CF1" w14:paraId="611829FD"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Earned Income</w:t>
      </w:r>
    </w:p>
    <w:p w:rsidR="00465CF1" w:rsidRPr="00A60BB0" w:rsidP="00465CF1" w14:paraId="770FC3B8"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Unemployment and Workers' Compensation</w:t>
      </w:r>
    </w:p>
    <w:p w:rsidR="00465CF1" w:rsidRPr="00A60BB0" w:rsidP="00465CF1" w14:paraId="32D470DE"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Social Security and Supplemental Security Income</w:t>
      </w:r>
    </w:p>
    <w:p w:rsidR="00465CF1" w:rsidRPr="00A60BB0" w:rsidP="00465CF1" w14:paraId="1AFAB46A"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Public Assistance and Veterans Payments</w:t>
      </w:r>
    </w:p>
    <w:p w:rsidR="00465CF1" w:rsidRPr="00A60BB0" w:rsidP="00465CF1" w14:paraId="1EE81017"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Survivor Benefits and Disability Income</w:t>
      </w:r>
    </w:p>
    <w:p w:rsidR="00465CF1" w:rsidRPr="00A60BB0" w:rsidP="00465CF1" w14:paraId="47BE0411"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Pensions, Annuities, and Retirement </w:t>
      </w:r>
    </w:p>
    <w:p w:rsidR="00465CF1" w:rsidRPr="00A60BB0" w:rsidP="00465CF1" w14:paraId="5FAEE57A"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Income-Earning Accounts outside of Retirement and Property Income</w:t>
      </w:r>
    </w:p>
    <w:p w:rsidR="00465CF1" w:rsidRPr="00A60BB0" w:rsidP="00465CF1" w14:paraId="53A66956"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Education Assistance</w:t>
      </w:r>
    </w:p>
    <w:p w:rsidR="00465CF1" w:rsidRPr="00A60BB0" w:rsidP="00465CF1" w14:paraId="3223F749"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Child Support </w:t>
      </w:r>
    </w:p>
    <w:p w:rsidR="00465CF1" w:rsidRPr="00A60BB0" w:rsidP="00465CF1" w14:paraId="28D28CB4" w14:textId="77777777">
      <w:pPr>
        <w:tabs>
          <w:tab w:val="left" w:pos="480"/>
          <w:tab w:val="left" w:pos="960"/>
          <w:tab w:val="left" w:pos="1440"/>
          <w:tab w:val="left" w:pos="2160"/>
          <w:tab w:val="left" w:pos="2880"/>
          <w:tab w:val="left" w:pos="3600"/>
          <w:tab w:val="left" w:pos="4320"/>
        </w:tabs>
        <w:adjustRightInd w:val="0"/>
        <w:spacing w:line="276" w:lineRule="auto"/>
        <w:ind w:left="2160"/>
        <w:rPr>
          <w:rFonts w:asciiTheme="minorHAnsi" w:hAnsiTheme="minorHAnsi" w:cstheme="minorHAnsi"/>
          <w:sz w:val="24"/>
          <w:szCs w:val="24"/>
          <w:lang w:bidi="ar-SA"/>
        </w:rPr>
      </w:pPr>
      <w:r w:rsidRPr="00A60BB0">
        <w:rPr>
          <w:rFonts w:asciiTheme="minorHAnsi" w:hAnsiTheme="minorHAnsi" w:cstheme="minorHAnsi"/>
          <w:sz w:val="24"/>
          <w:szCs w:val="24"/>
          <w:lang w:bidi="ar-SA"/>
        </w:rPr>
        <w:t>Regular Financial Assistance and Other Income</w:t>
      </w:r>
    </w:p>
    <w:p w:rsidR="00465CF1" w:rsidRPr="00A60BB0" w:rsidP="00465CF1" w14:paraId="306C9F6C" w14:textId="77777777">
      <w:pPr>
        <w:tabs>
          <w:tab w:val="left" w:pos="480"/>
          <w:tab w:val="left" w:pos="960"/>
          <w:tab w:val="left" w:pos="1440"/>
          <w:tab w:val="left" w:pos="2160"/>
          <w:tab w:val="left" w:pos="2880"/>
          <w:tab w:val="left" w:pos="3600"/>
          <w:tab w:val="left" w:pos="4320"/>
        </w:tabs>
        <w:adjustRightInd w:val="0"/>
        <w:rPr>
          <w:rFonts w:asciiTheme="minorHAnsi" w:hAnsiTheme="minorHAnsi" w:cstheme="minorHAnsi"/>
          <w:sz w:val="24"/>
          <w:szCs w:val="24"/>
          <w:lang w:bidi="ar-SA"/>
        </w:rPr>
      </w:pPr>
    </w:p>
    <w:p w:rsidR="00465CF1" w:rsidRPr="00A60BB0" w:rsidP="00465CF1" w14:paraId="522CB764" w14:textId="77777777">
      <w:pPr>
        <w:tabs>
          <w:tab w:val="left" w:pos="480"/>
          <w:tab w:val="left" w:pos="960"/>
          <w:tab w:val="left" w:pos="1440"/>
          <w:tab w:val="left" w:pos="198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Data from the ASEC are used for statistical purposes only and cannot be used to reveal a person’s identity or responses to the survey.  Analysis of the data is performed in a variety of ways by various users.  The income data from the ASEC are used by social planners, economists, government officials, and market researchers to gauge the economic well-being of the country as a whole and of selected population groups of interest.  Government planners and researchers use these data to monitor and evaluate the effectiveness of various assistance </w:t>
      </w:r>
      <w:r w:rsidRPr="00A60BB0">
        <w:rPr>
          <w:rFonts w:asciiTheme="minorHAnsi" w:hAnsiTheme="minorHAnsi" w:cstheme="minorHAnsi"/>
          <w:sz w:val="24"/>
          <w:szCs w:val="24"/>
          <w:lang w:bidi="ar-SA"/>
        </w:rPr>
        <w:t>programs.  Market researchers use these data to identify and isolate potential customers.  Social planners use these data to forecast economic conditions and to identify special groups that seem to be especially sensitive to economic fluctuations.  Economists use ASEC data to determine the effects of various economic forces, such as inflation, recession, recovery, and so on, and their differential effects on various population groups.  A prime statistic of interest is the classification of people in poverty and how this measurement has changed over time for various groups.  Researchers evaluate ASEC income data not only to determine poverty levels but also to determine whether government programs are reaching eligible households.</w:t>
      </w:r>
    </w:p>
    <w:p w:rsidR="00465CF1" w:rsidRPr="00A60BB0" w:rsidP="00465CF1" w14:paraId="18846A45" w14:textId="77777777">
      <w:pPr>
        <w:tabs>
          <w:tab w:val="left" w:pos="480"/>
          <w:tab w:val="left" w:pos="960"/>
          <w:tab w:val="left" w:pos="1440"/>
          <w:tab w:val="left" w:pos="2160"/>
          <w:tab w:val="left" w:pos="2880"/>
          <w:tab w:val="left" w:pos="3600"/>
          <w:tab w:val="left" w:pos="4320"/>
        </w:tabs>
        <w:adjustRightInd w:val="0"/>
        <w:spacing w:line="360" w:lineRule="auto"/>
        <w:ind w:left="1440"/>
        <w:rPr>
          <w:rFonts w:asciiTheme="minorHAnsi" w:hAnsiTheme="minorHAnsi" w:cstheme="minorHAnsi"/>
          <w:sz w:val="24"/>
          <w:szCs w:val="24"/>
          <w:lang w:bidi="ar-SA"/>
        </w:rPr>
      </w:pPr>
    </w:p>
    <w:p w:rsidR="00465CF1" w:rsidRPr="00A60BB0" w:rsidP="00465CF1" w14:paraId="2AEDA4F8" w14:textId="69B93485">
      <w:pPr>
        <w:tabs>
          <w:tab w:val="left" w:pos="480"/>
          <w:tab w:val="left" w:pos="960"/>
          <w:tab w:val="left" w:pos="1440"/>
          <w:tab w:val="left" w:pos="2160"/>
          <w:tab w:val="left" w:pos="2880"/>
          <w:tab w:val="left" w:pos="3600"/>
          <w:tab w:val="left" w:pos="432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The</w:t>
      </w:r>
      <w:r w:rsidRPr="00A60BB0">
        <w:rPr>
          <w:rFonts w:asciiTheme="minorHAnsi" w:hAnsiTheme="minorHAnsi" w:cstheme="minorHAnsi"/>
          <w:bCs/>
          <w:sz w:val="24"/>
          <w:szCs w:val="24"/>
          <w:lang w:bidi="ar-SA"/>
        </w:rPr>
        <w:t xml:space="preserve"> health insurance items</w:t>
      </w:r>
      <w:r w:rsidRPr="00A60BB0">
        <w:rPr>
          <w:rFonts w:asciiTheme="minorHAnsi" w:hAnsiTheme="minorHAnsi" w:cstheme="minorHAnsi"/>
          <w:sz w:val="24"/>
          <w:szCs w:val="24"/>
          <w:lang w:bidi="ar-SA"/>
        </w:rPr>
        <w:t xml:space="preserve"> (pages 10</w:t>
      </w:r>
      <w:r w:rsidRPr="00A60BB0" w:rsidR="00B20DD3">
        <w:rPr>
          <w:rFonts w:asciiTheme="minorHAnsi" w:hAnsiTheme="minorHAnsi" w:cstheme="minorHAnsi"/>
          <w:sz w:val="24"/>
          <w:szCs w:val="24"/>
          <w:lang w:bidi="ar-SA"/>
        </w:rPr>
        <w:t>6</w:t>
      </w:r>
      <w:r w:rsidRPr="00A60BB0">
        <w:rPr>
          <w:rFonts w:asciiTheme="minorHAnsi" w:hAnsiTheme="minorHAnsi" w:cstheme="minorHAnsi"/>
          <w:sz w:val="24"/>
          <w:szCs w:val="24"/>
          <w:lang w:bidi="ar-SA"/>
        </w:rPr>
        <w:t>-1</w:t>
      </w:r>
      <w:r w:rsidRPr="00A60BB0" w:rsidR="00B20DD3">
        <w:rPr>
          <w:rFonts w:asciiTheme="minorHAnsi" w:hAnsiTheme="minorHAnsi" w:cstheme="minorHAnsi"/>
          <w:sz w:val="24"/>
          <w:szCs w:val="24"/>
          <w:lang w:bidi="ar-SA"/>
        </w:rPr>
        <w:t>20</w:t>
      </w:r>
      <w:r w:rsidRPr="00A60BB0">
        <w:rPr>
          <w:rFonts w:asciiTheme="minorHAnsi" w:hAnsiTheme="minorHAnsi" w:cstheme="minorHAnsi"/>
          <w:sz w:val="24"/>
          <w:szCs w:val="24"/>
          <w:lang w:bidi="ar-SA"/>
        </w:rPr>
        <w:t xml:space="preserve"> in Attachment A) collect data on five possible categories of health insurance coverage, as listed below: </w:t>
      </w:r>
    </w:p>
    <w:p w:rsidR="00465CF1" w:rsidRPr="00A60BB0" w:rsidP="00465CF1" w14:paraId="79DE9801" w14:textId="77777777">
      <w:pPr>
        <w:tabs>
          <w:tab w:val="left" w:pos="480"/>
          <w:tab w:val="left" w:pos="960"/>
          <w:tab w:val="left" w:pos="1440"/>
          <w:tab w:val="left" w:pos="2160"/>
          <w:tab w:val="left" w:pos="2880"/>
          <w:tab w:val="left" w:pos="3600"/>
          <w:tab w:val="left" w:pos="4320"/>
        </w:tabs>
        <w:adjustRightInd w:val="0"/>
        <w:spacing w:line="360" w:lineRule="auto"/>
        <w:ind w:left="1440"/>
        <w:rPr>
          <w:rFonts w:asciiTheme="minorHAnsi" w:hAnsiTheme="minorHAnsi" w:cstheme="minorHAnsi"/>
          <w:sz w:val="24"/>
          <w:szCs w:val="24"/>
          <w:lang w:bidi="ar-SA"/>
        </w:rPr>
      </w:pPr>
    </w:p>
    <w:p w:rsidR="00465CF1" w:rsidRPr="00A60BB0" w:rsidP="00465CF1" w14:paraId="6B7A5D5D" w14:textId="77777777">
      <w:pPr>
        <w:numPr>
          <w:ilvl w:val="2"/>
          <w:numId w:val="6"/>
        </w:numPr>
        <w:tabs>
          <w:tab w:val="left" w:pos="480"/>
          <w:tab w:val="left" w:pos="960"/>
          <w:tab w:val="left" w:pos="1440"/>
          <w:tab w:val="left" w:pos="2340"/>
          <w:tab w:val="left" w:pos="5760"/>
          <w:tab w:val="left" w:pos="7200"/>
        </w:tabs>
        <w:adjustRightInd w:val="0"/>
        <w:spacing w:line="276" w:lineRule="auto"/>
        <w:contextualSpacing/>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Coverage provided through a current or former employer. </w:t>
      </w:r>
    </w:p>
    <w:p w:rsidR="00465CF1" w:rsidRPr="00A60BB0" w:rsidP="00465CF1" w14:paraId="505CB47E" w14:textId="77777777">
      <w:pPr>
        <w:numPr>
          <w:ilvl w:val="2"/>
          <w:numId w:val="6"/>
        </w:numPr>
        <w:tabs>
          <w:tab w:val="left" w:pos="480"/>
          <w:tab w:val="left" w:pos="960"/>
          <w:tab w:val="left" w:pos="1440"/>
          <w:tab w:val="left" w:pos="2340"/>
          <w:tab w:val="left" w:pos="5760"/>
          <w:tab w:val="left" w:pos="7200"/>
        </w:tabs>
        <w:adjustRightInd w:val="0"/>
        <w:spacing w:line="276" w:lineRule="auto"/>
        <w:contextualSpacing/>
        <w:rPr>
          <w:rFonts w:asciiTheme="minorHAnsi" w:hAnsiTheme="minorHAnsi" w:cstheme="minorHAnsi"/>
          <w:sz w:val="24"/>
          <w:szCs w:val="24"/>
          <w:lang w:bidi="ar-SA"/>
        </w:rPr>
      </w:pPr>
      <w:r w:rsidRPr="00A60BB0">
        <w:rPr>
          <w:rFonts w:asciiTheme="minorHAnsi" w:hAnsiTheme="minorHAnsi" w:cstheme="minorHAnsi"/>
          <w:sz w:val="24"/>
          <w:szCs w:val="24"/>
          <w:lang w:bidi="ar-SA"/>
        </w:rPr>
        <w:t>Coverage through a private health insurance plan purchased directly.</w:t>
      </w:r>
    </w:p>
    <w:p w:rsidR="00465CF1" w:rsidRPr="00A60BB0" w:rsidP="00465CF1" w14:paraId="0F851B6B" w14:textId="77777777">
      <w:pPr>
        <w:numPr>
          <w:ilvl w:val="2"/>
          <w:numId w:val="6"/>
        </w:numPr>
        <w:tabs>
          <w:tab w:val="left" w:pos="480"/>
          <w:tab w:val="left" w:pos="960"/>
          <w:tab w:val="left" w:pos="1440"/>
          <w:tab w:val="left" w:pos="2340"/>
          <w:tab w:val="left" w:pos="5760"/>
          <w:tab w:val="left" w:pos="7200"/>
        </w:tabs>
        <w:adjustRightInd w:val="0"/>
        <w:spacing w:line="276" w:lineRule="auto"/>
        <w:ind w:left="2340" w:hanging="360"/>
        <w:contextualSpacing/>
        <w:rPr>
          <w:rFonts w:asciiTheme="minorHAnsi" w:hAnsiTheme="minorHAnsi" w:cstheme="minorHAnsi"/>
          <w:sz w:val="24"/>
          <w:szCs w:val="24"/>
          <w:lang w:bidi="ar-SA"/>
        </w:rPr>
      </w:pPr>
      <w:r w:rsidRPr="00A60BB0">
        <w:rPr>
          <w:rFonts w:asciiTheme="minorHAnsi" w:hAnsiTheme="minorHAnsi" w:cstheme="minorHAnsi"/>
          <w:sz w:val="24"/>
          <w:szCs w:val="24"/>
          <w:lang w:bidi="ar-SA"/>
        </w:rPr>
        <w:t>Coverage on any health insurance plan, including that of a nonhousehold member.</w:t>
      </w:r>
    </w:p>
    <w:p w:rsidR="00465CF1" w:rsidRPr="00A60BB0" w:rsidP="00465CF1" w14:paraId="0079A2F4" w14:textId="77777777">
      <w:pPr>
        <w:numPr>
          <w:ilvl w:val="2"/>
          <w:numId w:val="6"/>
        </w:numPr>
        <w:tabs>
          <w:tab w:val="left" w:pos="480"/>
          <w:tab w:val="left" w:pos="960"/>
          <w:tab w:val="left" w:pos="1440"/>
          <w:tab w:val="left" w:pos="2340"/>
          <w:tab w:val="left" w:pos="5760"/>
          <w:tab w:val="left" w:pos="7200"/>
        </w:tabs>
        <w:adjustRightInd w:val="0"/>
        <w:spacing w:line="276" w:lineRule="auto"/>
        <w:ind w:left="2340" w:hanging="360"/>
        <w:contextualSpacing/>
        <w:rPr>
          <w:rFonts w:asciiTheme="minorHAnsi" w:hAnsiTheme="minorHAnsi" w:cstheme="minorHAnsi"/>
          <w:sz w:val="24"/>
          <w:szCs w:val="24"/>
          <w:lang w:bidi="ar-SA"/>
        </w:rPr>
      </w:pPr>
      <w:r w:rsidRPr="00A60BB0">
        <w:rPr>
          <w:rFonts w:asciiTheme="minorHAnsi" w:hAnsiTheme="minorHAnsi" w:cstheme="minorHAnsi"/>
          <w:sz w:val="24"/>
          <w:szCs w:val="24"/>
          <w:lang w:bidi="ar-SA"/>
        </w:rPr>
        <w:t>Government-sponsored coverage, including medicare, medicaid, and State Children’s Health Insurance Program (SCHIP).</w:t>
      </w:r>
    </w:p>
    <w:p w:rsidR="00465CF1" w:rsidRPr="00A60BB0" w:rsidP="00465CF1" w14:paraId="556D1E44" w14:textId="77777777">
      <w:pPr>
        <w:numPr>
          <w:ilvl w:val="2"/>
          <w:numId w:val="6"/>
        </w:numPr>
        <w:tabs>
          <w:tab w:val="left" w:pos="480"/>
          <w:tab w:val="left" w:pos="960"/>
          <w:tab w:val="left" w:pos="1440"/>
          <w:tab w:val="left" w:pos="2340"/>
          <w:tab w:val="left" w:pos="5760"/>
          <w:tab w:val="left" w:pos="7200"/>
        </w:tabs>
        <w:adjustRightInd w:val="0"/>
        <w:spacing w:line="276" w:lineRule="auto"/>
        <w:contextualSpacing/>
        <w:rPr>
          <w:rFonts w:asciiTheme="minorHAnsi" w:hAnsiTheme="minorHAnsi" w:cstheme="minorHAnsi"/>
          <w:sz w:val="24"/>
          <w:szCs w:val="24"/>
          <w:lang w:bidi="ar-SA"/>
        </w:rPr>
      </w:pPr>
      <w:r w:rsidRPr="00A60BB0">
        <w:rPr>
          <w:rFonts w:asciiTheme="minorHAnsi" w:hAnsiTheme="minorHAnsi" w:cstheme="minorHAnsi"/>
          <w:sz w:val="24"/>
          <w:szCs w:val="24"/>
          <w:lang w:bidi="ar-SA"/>
        </w:rPr>
        <w:t>State-specific coverage for low-income uninsured individuals.</w:t>
      </w:r>
    </w:p>
    <w:p w:rsidR="00465CF1" w:rsidRPr="00A60BB0" w:rsidP="00465CF1" w14:paraId="562EF650" w14:textId="77777777">
      <w:pPr>
        <w:tabs>
          <w:tab w:val="left" w:pos="480"/>
          <w:tab w:val="left" w:pos="960"/>
          <w:tab w:val="left" w:pos="1440"/>
          <w:tab w:val="left" w:pos="2160"/>
          <w:tab w:val="left" w:pos="2880"/>
          <w:tab w:val="left" w:pos="3600"/>
          <w:tab w:val="left" w:pos="4320"/>
        </w:tabs>
        <w:adjustRightInd w:val="0"/>
        <w:ind w:left="1440"/>
        <w:rPr>
          <w:rFonts w:asciiTheme="minorHAnsi" w:hAnsiTheme="minorHAnsi" w:cstheme="minorHAnsi"/>
          <w:sz w:val="24"/>
          <w:szCs w:val="24"/>
          <w:lang w:bidi="ar-SA"/>
        </w:rPr>
      </w:pPr>
    </w:p>
    <w:p w:rsidR="00465CF1" w:rsidRPr="00A60BB0" w:rsidP="00465CF1" w14:paraId="62AC37AC" w14:textId="77777777">
      <w:pPr>
        <w:pStyle w:val="ListParagraph"/>
        <w:numPr>
          <w:ilvl w:val="0"/>
          <w:numId w:val="7"/>
        </w:numPr>
        <w:tabs>
          <w:tab w:val="left" w:pos="1800"/>
        </w:tabs>
        <w:adjustRightInd w:val="0"/>
        <w:spacing w:line="276" w:lineRule="auto"/>
        <w:rPr>
          <w:rFonts w:asciiTheme="minorHAnsi" w:hAnsiTheme="minorHAnsi" w:cstheme="minorHAnsi"/>
          <w:sz w:val="24"/>
          <w:szCs w:val="24"/>
          <w:u w:val="single"/>
          <w:lang w:bidi="ar-SA"/>
        </w:rPr>
      </w:pPr>
      <w:r w:rsidRPr="00A60BB0">
        <w:rPr>
          <w:rFonts w:asciiTheme="minorHAnsi" w:hAnsiTheme="minorHAnsi" w:cstheme="minorHAnsi"/>
          <w:sz w:val="24"/>
          <w:szCs w:val="24"/>
          <w:u w:val="single"/>
          <w:lang w:bidi="ar-SA"/>
        </w:rPr>
        <w:t>Household Noncash Benefits (See Attachment A: Items Q80-Q94)</w:t>
      </w:r>
    </w:p>
    <w:p w:rsidR="00465CF1" w:rsidRPr="00A60BB0" w:rsidP="00465CF1" w14:paraId="03E0AECF" w14:textId="77777777">
      <w:pPr>
        <w:pStyle w:val="ListParagraph"/>
        <w:tabs>
          <w:tab w:val="left" w:pos="1800"/>
        </w:tabs>
        <w:adjustRightInd w:val="0"/>
        <w:spacing w:line="276" w:lineRule="auto"/>
        <w:ind w:left="1800" w:firstLine="0"/>
        <w:rPr>
          <w:rFonts w:asciiTheme="minorHAnsi" w:hAnsiTheme="minorHAnsi" w:cstheme="minorHAnsi"/>
          <w:sz w:val="24"/>
          <w:szCs w:val="24"/>
          <w:lang w:bidi="ar-SA"/>
        </w:rPr>
      </w:pPr>
    </w:p>
    <w:p w:rsidR="00465CF1" w:rsidRPr="00A60BB0" w:rsidP="00465CF1" w14:paraId="5D9EEF33" w14:textId="77777777">
      <w:pPr>
        <w:tabs>
          <w:tab w:val="left" w:pos="480"/>
          <w:tab w:val="left" w:pos="960"/>
          <w:tab w:val="left" w:pos="1440"/>
          <w:tab w:val="left" w:pos="4320"/>
          <w:tab w:val="left" w:pos="5760"/>
          <w:tab w:val="left" w:pos="720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These items collect data on participation in the school lunch, public housing, Supplemental Nutrition Assistance Program (SNAP), and fuel assistance programs. </w:t>
      </w:r>
    </w:p>
    <w:p w:rsidR="00465CF1" w:rsidRPr="00A60BB0" w:rsidP="00465CF1" w14:paraId="354B539D" w14:textId="77777777">
      <w:pPr>
        <w:tabs>
          <w:tab w:val="left" w:pos="480"/>
          <w:tab w:val="left" w:pos="960"/>
          <w:tab w:val="left" w:pos="1440"/>
          <w:tab w:val="left" w:pos="4320"/>
          <w:tab w:val="left" w:pos="5760"/>
          <w:tab w:val="left" w:pos="720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The questions (Q80 and Q83) concerning school lunches identify households with children who participated in the Federal School Lunch Program during the previous year.  These data allow for more effective analyses of the program and, along with the SNAP benefits data, show where the client groups of the two food nutrition programs overlap. </w:t>
      </w:r>
    </w:p>
    <w:p w:rsidR="00465CF1" w:rsidRPr="00A60BB0" w:rsidP="00465CF1" w14:paraId="25D390F1" w14:textId="77777777">
      <w:pPr>
        <w:tabs>
          <w:tab w:val="left" w:pos="48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The questions (Q85 and Q86) on public housing identify households that are owned by a housing authority or other public agency and households where a government agency is paying for part of the rent.  These data allow for more effective analysis of public housing programs and measure the extent of participation among eligible families.  Item SPHS8 determines the specific source of housing assistance.  </w:t>
      </w:r>
    </w:p>
    <w:p w:rsidR="00465CF1" w:rsidRPr="00A60BB0" w:rsidP="00465CF1" w14:paraId="406C3E66" w14:textId="77777777">
      <w:pPr>
        <w:tabs>
          <w:tab w:val="left" w:pos="480"/>
          <w:tab w:val="left" w:pos="960"/>
          <w:tab w:val="left" w:pos="1440"/>
          <w:tab w:val="left" w:pos="4320"/>
          <w:tab w:val="left" w:pos="5760"/>
          <w:tab w:val="left" w:pos="720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The questions (Q87r through Q88) on the SNAP benefits identify which household members received SNAP benefits during the previous year.  These data, along with the detailed supplemental income data, allow for a more comprehensive </w:t>
      </w:r>
      <w:r w:rsidRPr="00A60BB0">
        <w:rPr>
          <w:rFonts w:asciiTheme="minorHAnsi" w:hAnsiTheme="minorHAnsi" w:cstheme="minorHAnsi"/>
          <w:sz w:val="24"/>
          <w:szCs w:val="24"/>
          <w:lang w:bidi="ar-SA"/>
        </w:rPr>
        <w:t xml:space="preserve">evaluation of the SNAP benefits program and measure the extent of participation among eligible families.  </w:t>
      </w:r>
    </w:p>
    <w:p w:rsidR="00465CF1" w:rsidRPr="00A60BB0" w:rsidP="00465CF1" w14:paraId="13A2A886" w14:textId="77777777">
      <w:pPr>
        <w:tabs>
          <w:tab w:val="left" w:pos="480"/>
          <w:tab w:val="left" w:pos="960"/>
          <w:tab w:val="left" w:pos="1440"/>
          <w:tab w:val="left" w:pos="4320"/>
          <w:tab w:val="left" w:pos="5760"/>
          <w:tab w:val="left" w:pos="720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Items Q93-Q94rn2 provide a measurement of the number of households that have received government heating or cooling assistance in the previous calendar year, and the amount of such assistance.  State agencies provide the only other available data relevant to the energy assistance program in the form of summary counts of households receiving this type of assistance, cross-classified by their annual income levels.  The ASEC is the only current data set capable of cross-tabulating fuel assistance recipients/nonrecipients with their socioeconomic characteristics.  This allows analysts to determine whether funds are reaching eligible households.  </w:t>
      </w:r>
    </w:p>
    <w:p w:rsidR="00465CF1" w:rsidRPr="00A60BB0" w:rsidP="00465CF1" w14:paraId="6227CB82" w14:textId="77777777">
      <w:pPr>
        <w:tabs>
          <w:tab w:val="left" w:pos="480"/>
          <w:tab w:val="left" w:pos="960"/>
          <w:tab w:val="left" w:pos="1440"/>
          <w:tab w:val="left" w:pos="4320"/>
          <w:tab w:val="left" w:pos="5760"/>
          <w:tab w:val="left" w:pos="7200"/>
        </w:tabs>
        <w:adjustRightInd w:val="0"/>
        <w:spacing w:line="276" w:lineRule="auto"/>
        <w:ind w:left="1440" w:firstLine="475"/>
        <w:rPr>
          <w:rFonts w:asciiTheme="minorHAnsi" w:hAnsiTheme="minorHAnsi" w:cstheme="minorHAnsi"/>
          <w:sz w:val="24"/>
          <w:szCs w:val="24"/>
          <w:lang w:bidi="ar-SA"/>
        </w:rPr>
      </w:pPr>
    </w:p>
    <w:p w:rsidR="00465CF1" w:rsidRPr="00A60BB0" w:rsidP="00465CF1" w14:paraId="2BB72839" w14:textId="77777777">
      <w:pPr>
        <w:pStyle w:val="ListParagraph"/>
        <w:numPr>
          <w:ilvl w:val="0"/>
          <w:numId w:val="7"/>
        </w:numPr>
        <w:adjustRightInd w:val="0"/>
        <w:spacing w:line="276" w:lineRule="auto"/>
        <w:jc w:val="both"/>
        <w:rPr>
          <w:rFonts w:asciiTheme="minorHAnsi" w:hAnsiTheme="minorHAnsi" w:cstheme="minorHAnsi"/>
          <w:sz w:val="24"/>
          <w:szCs w:val="24"/>
          <w:u w:val="single"/>
          <w:lang w:bidi="ar-SA"/>
        </w:rPr>
      </w:pPr>
      <w:r w:rsidRPr="00A60BB0">
        <w:rPr>
          <w:rFonts w:asciiTheme="minorHAnsi" w:hAnsiTheme="minorHAnsi" w:cstheme="minorHAnsi"/>
          <w:sz w:val="24"/>
          <w:szCs w:val="24"/>
          <w:u w:val="single"/>
          <w:lang w:bidi="ar-SA"/>
        </w:rPr>
        <w:t>Supplemental Poverty Measures (See Attachment A: Items VALPROP-SMORTYN)</w:t>
      </w:r>
    </w:p>
    <w:p w:rsidR="00465CF1" w:rsidRPr="00A60BB0" w:rsidP="00465CF1" w14:paraId="2C8EDF0F" w14:textId="77777777">
      <w:pPr>
        <w:pStyle w:val="ListParagraph"/>
        <w:adjustRightInd w:val="0"/>
        <w:spacing w:line="276" w:lineRule="auto"/>
        <w:ind w:left="1800" w:firstLine="0"/>
        <w:jc w:val="both"/>
        <w:rPr>
          <w:rFonts w:asciiTheme="minorHAnsi" w:hAnsiTheme="minorHAnsi" w:cstheme="minorHAnsi"/>
          <w:sz w:val="24"/>
          <w:szCs w:val="24"/>
          <w:lang w:bidi="ar-SA"/>
        </w:rPr>
      </w:pPr>
    </w:p>
    <w:p w:rsidR="00465CF1" w:rsidRPr="00A60BB0" w:rsidP="00465CF1" w14:paraId="00101FD0" w14:textId="77777777">
      <w:pPr>
        <w:widowControl/>
        <w:tabs>
          <w:tab w:val="left" w:pos="480"/>
          <w:tab w:val="left" w:pos="990"/>
          <w:tab w:val="left" w:pos="1440"/>
          <w:tab w:val="left" w:pos="3840"/>
          <w:tab w:val="left" w:pos="5280"/>
          <w:tab w:val="left" w:pos="6720"/>
        </w:tabs>
        <w:adjustRightInd w:val="0"/>
        <w:spacing w:line="276" w:lineRule="auto"/>
        <w:ind w:left="1440"/>
        <w:rPr>
          <w:rFonts w:asciiTheme="minorHAnsi" w:hAnsiTheme="minorHAnsi" w:cstheme="minorHAnsi"/>
          <w:color w:val="000000"/>
          <w:sz w:val="24"/>
          <w:szCs w:val="24"/>
          <w:lang w:bidi="ar-SA"/>
        </w:rPr>
      </w:pPr>
      <w:r w:rsidRPr="00A60BB0">
        <w:rPr>
          <w:rFonts w:asciiTheme="minorHAnsi" w:hAnsiTheme="minorHAnsi" w:cstheme="minorHAnsi"/>
          <w:color w:val="000000"/>
          <w:sz w:val="24"/>
          <w:szCs w:val="24"/>
          <w:lang w:bidi="ar-SA"/>
        </w:rPr>
        <w:t>Questions designed to produce a supplemental poverty measure can be divided into four parts:  1) Property value and presence of mortgage; 2) Medical expenditures; 3) Child support paid; and 4) Child care expenses paid.</w:t>
      </w:r>
    </w:p>
    <w:p w:rsidR="00465CF1" w:rsidRPr="00A60BB0" w:rsidP="00465CF1" w14:paraId="05A12E7B" w14:textId="77777777">
      <w:pPr>
        <w:tabs>
          <w:tab w:val="left" w:pos="480"/>
          <w:tab w:val="left" w:pos="960"/>
          <w:tab w:val="left" w:pos="1440"/>
          <w:tab w:val="left" w:pos="4320"/>
          <w:tab w:val="left" w:pos="5760"/>
          <w:tab w:val="left" w:pos="7200"/>
        </w:tabs>
        <w:adjustRightInd w:val="0"/>
        <w:spacing w:line="276" w:lineRule="auto"/>
        <w:ind w:left="1440" w:firstLine="475"/>
        <w:rPr>
          <w:rFonts w:asciiTheme="minorHAnsi" w:hAnsiTheme="minorHAnsi" w:cstheme="minorHAnsi"/>
          <w:sz w:val="24"/>
          <w:szCs w:val="24"/>
          <w:lang w:bidi="ar-SA"/>
        </w:rPr>
      </w:pPr>
    </w:p>
    <w:p w:rsidR="00465CF1" w:rsidRPr="00A60BB0" w:rsidP="00465CF1" w14:paraId="1380D5D7" w14:textId="77777777">
      <w:pPr>
        <w:tabs>
          <w:tab w:val="left" w:pos="480"/>
          <w:tab w:val="left" w:pos="960"/>
          <w:tab w:val="left" w:pos="990"/>
          <w:tab w:val="left" w:pos="1440"/>
        </w:tabs>
        <w:adjustRightInd w:val="0"/>
        <w:spacing w:line="276" w:lineRule="auto"/>
        <w:ind w:left="1440"/>
        <w:rPr>
          <w:rFonts w:asciiTheme="minorHAnsi" w:hAnsiTheme="minorHAnsi" w:cstheme="minorHAnsi"/>
          <w:color w:val="000000"/>
          <w:sz w:val="24"/>
          <w:szCs w:val="24"/>
          <w:lang w:bidi="ar-SA"/>
        </w:rPr>
      </w:pPr>
      <w:r w:rsidRPr="00A60BB0">
        <w:rPr>
          <w:rFonts w:asciiTheme="minorHAnsi" w:hAnsiTheme="minorHAnsi" w:cstheme="minorHAnsi"/>
          <w:color w:val="000000"/>
          <w:sz w:val="24"/>
          <w:szCs w:val="24"/>
          <w:lang w:bidi="ar-SA"/>
        </w:rPr>
        <w:t xml:space="preserve">Many agencies use poverty data from the Census Bureau, including the U.S. Department of Health and Human Services, the U.S. Department of Housing and Urban Development, and the U.S. Department of Agriculture.  Each of these agencies, and many more, are eager for the Census Bureau to release improved poverty measures so they can ascertain how such a measure can enhance their ability to </w:t>
      </w:r>
      <w:r w:rsidRPr="00A60BB0">
        <w:rPr>
          <w:rFonts w:asciiTheme="minorHAnsi" w:hAnsiTheme="minorHAnsi" w:cstheme="minorHAnsi"/>
          <w:color w:val="000000"/>
          <w:sz w:val="24"/>
          <w:szCs w:val="24"/>
          <w:lang w:bidi="ar-SA"/>
        </w:rPr>
        <w:t>provide assistance</w:t>
      </w:r>
      <w:r w:rsidRPr="00A60BB0">
        <w:rPr>
          <w:rFonts w:asciiTheme="minorHAnsi" w:hAnsiTheme="minorHAnsi" w:cstheme="minorHAnsi"/>
          <w:color w:val="000000"/>
          <w:sz w:val="24"/>
          <w:szCs w:val="24"/>
          <w:lang w:bidi="ar-SA"/>
        </w:rPr>
        <w:t xml:space="preserve"> and services to those in need.  Agencies which publish documents based on the traditional (current) poverty measure are encouraged to also produce information </w:t>
      </w:r>
      <w:r w:rsidRPr="00A60BB0">
        <w:rPr>
          <w:rFonts w:asciiTheme="minorHAnsi" w:hAnsiTheme="minorHAnsi" w:cstheme="minorHAnsi"/>
          <w:color w:val="000000"/>
          <w:sz w:val="24"/>
          <w:szCs w:val="24"/>
          <w:lang w:bidi="ar-SA"/>
        </w:rPr>
        <w:t>based on a supplemental poverty measure to the fullest extent</w:t>
      </w:r>
      <w:r w:rsidRPr="00A60BB0">
        <w:rPr>
          <w:rFonts w:asciiTheme="minorHAnsi" w:hAnsiTheme="minorHAnsi" w:cstheme="minorHAnsi"/>
          <w:color w:val="000000"/>
          <w:sz w:val="24"/>
          <w:szCs w:val="24"/>
          <w:lang w:bidi="ar-SA"/>
        </w:rPr>
        <w:t xml:space="preserve"> possible.</w:t>
      </w:r>
    </w:p>
    <w:p w:rsidR="00465CF1" w:rsidRPr="00A60BB0" w:rsidP="00465CF1" w14:paraId="5098603B" w14:textId="77777777">
      <w:pPr>
        <w:tabs>
          <w:tab w:val="left" w:pos="480"/>
          <w:tab w:val="left" w:pos="960"/>
          <w:tab w:val="left" w:pos="990"/>
          <w:tab w:val="left" w:pos="144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color w:val="000000"/>
          <w:sz w:val="24"/>
          <w:szCs w:val="24"/>
          <w:lang w:bidi="ar-SA"/>
        </w:rPr>
        <w:t>Information on health care expenditures is important to the Bureau of Economic Analysis as it develops its health care satellite account in response to the growing economic importance of health care spending in the United States.</w:t>
      </w:r>
    </w:p>
    <w:p w:rsidR="00465CF1" w:rsidRPr="00A60BB0" w:rsidP="00465CF1" w14:paraId="00B097E4" w14:textId="77777777">
      <w:pPr>
        <w:tabs>
          <w:tab w:val="left" w:pos="480"/>
          <w:tab w:val="left" w:pos="960"/>
          <w:tab w:val="left" w:pos="1440"/>
          <w:tab w:val="left" w:pos="4320"/>
          <w:tab w:val="left" w:pos="5760"/>
          <w:tab w:val="left" w:pos="7200"/>
        </w:tabs>
        <w:adjustRightInd w:val="0"/>
        <w:spacing w:line="276" w:lineRule="auto"/>
        <w:ind w:left="1440" w:firstLine="475"/>
        <w:rPr>
          <w:rFonts w:asciiTheme="minorHAnsi" w:hAnsiTheme="minorHAnsi" w:cstheme="minorHAnsi"/>
          <w:sz w:val="24"/>
          <w:szCs w:val="24"/>
          <w:lang w:bidi="ar-SA"/>
        </w:rPr>
      </w:pPr>
    </w:p>
    <w:p w:rsidR="00465CF1" w:rsidRPr="00A60BB0" w:rsidP="00465CF1" w14:paraId="11BFA8AC" w14:textId="31691BDE">
      <w:pPr>
        <w:tabs>
          <w:tab w:val="left" w:pos="1800"/>
        </w:tabs>
        <w:adjustRightInd w:val="0"/>
        <w:spacing w:line="276" w:lineRule="auto"/>
        <w:ind w:left="1440"/>
        <w:jc w:val="both"/>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e.   </w:t>
      </w:r>
      <w:r w:rsidRPr="00A60BB0">
        <w:rPr>
          <w:rFonts w:asciiTheme="minorHAnsi" w:hAnsiTheme="minorHAnsi" w:cstheme="minorHAnsi"/>
          <w:sz w:val="24"/>
          <w:szCs w:val="24"/>
          <w:u w:val="single"/>
          <w:lang w:bidi="ar-SA"/>
        </w:rPr>
        <w:t xml:space="preserve">Migration (See Attachment A: Items </w:t>
      </w:r>
      <w:r w:rsidRPr="00A60BB0" w:rsidR="00B20DD3">
        <w:rPr>
          <w:rFonts w:asciiTheme="minorHAnsi" w:hAnsiTheme="minorHAnsi" w:cstheme="minorHAnsi"/>
          <w:sz w:val="24"/>
          <w:szCs w:val="24"/>
          <w:u w:val="single"/>
          <w:lang w:bidi="ar-SA"/>
        </w:rPr>
        <w:t>M5GSAM</w:t>
      </w:r>
      <w:r w:rsidRPr="00A60BB0">
        <w:rPr>
          <w:rFonts w:asciiTheme="minorHAnsi" w:hAnsiTheme="minorHAnsi" w:cstheme="minorHAnsi"/>
          <w:sz w:val="24"/>
          <w:szCs w:val="24"/>
          <w:u w:val="single"/>
          <w:lang w:bidi="ar-SA"/>
        </w:rPr>
        <w:t>-NX1OTH)</w:t>
      </w:r>
    </w:p>
    <w:p w:rsidR="00465CF1" w:rsidRPr="00A60BB0" w:rsidP="00465CF1" w14:paraId="00B693B9" w14:textId="786F0C77">
      <w:pPr>
        <w:tabs>
          <w:tab w:val="left" w:pos="480"/>
          <w:tab w:val="left" w:pos="960"/>
          <w:tab w:val="left" w:pos="1440"/>
          <w:tab w:val="left" w:pos="4320"/>
          <w:tab w:val="left" w:pos="5760"/>
          <w:tab w:val="left" w:pos="7200"/>
        </w:tabs>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 xml:space="preserve">The migration questions collect information on residency including state, county, and city. </w:t>
      </w:r>
      <w:r w:rsidRPr="00A60BB0" w:rsidR="003F061F">
        <w:rPr>
          <w:rFonts w:asciiTheme="minorHAnsi" w:hAnsiTheme="minorHAnsi" w:cstheme="minorHAnsi"/>
          <w:sz w:val="24"/>
          <w:szCs w:val="24"/>
          <w:lang w:bidi="ar-SA"/>
        </w:rPr>
        <w:t>These questions have a reference period of one-year ago</w:t>
      </w:r>
      <w:r w:rsidRPr="00A60BB0" w:rsidR="000668CD">
        <w:rPr>
          <w:rFonts w:asciiTheme="minorHAnsi" w:hAnsiTheme="minorHAnsi" w:cstheme="minorHAnsi"/>
          <w:sz w:val="24"/>
          <w:szCs w:val="24"/>
          <w:lang w:bidi="ar-SA"/>
        </w:rPr>
        <w:t>. The</w:t>
      </w:r>
      <w:r w:rsidRPr="00A60BB0" w:rsidR="003F061F">
        <w:rPr>
          <w:rFonts w:asciiTheme="minorHAnsi" w:hAnsiTheme="minorHAnsi" w:cstheme="minorHAnsi"/>
          <w:sz w:val="24"/>
          <w:szCs w:val="24"/>
          <w:lang w:bidi="ar-SA"/>
        </w:rPr>
        <w:t xml:space="preserve"> ASEC 2025</w:t>
      </w:r>
      <w:r w:rsidRPr="00A60BB0" w:rsidR="000668CD">
        <w:rPr>
          <w:rFonts w:asciiTheme="minorHAnsi" w:hAnsiTheme="minorHAnsi" w:cstheme="minorHAnsi"/>
          <w:sz w:val="24"/>
          <w:szCs w:val="24"/>
          <w:lang w:bidi="ar-SA"/>
        </w:rPr>
        <w:t xml:space="preserve"> contains </w:t>
      </w:r>
      <w:r w:rsidRPr="00A60BB0" w:rsidR="003F061F">
        <w:rPr>
          <w:rFonts w:asciiTheme="minorHAnsi" w:hAnsiTheme="minorHAnsi" w:cstheme="minorHAnsi"/>
          <w:sz w:val="24"/>
          <w:szCs w:val="24"/>
          <w:lang w:bidi="ar-SA"/>
        </w:rPr>
        <w:t xml:space="preserve">an additional set of questions with a reference period of 5 years ago. </w:t>
      </w:r>
      <w:r w:rsidRPr="00A60BB0">
        <w:rPr>
          <w:rFonts w:asciiTheme="minorHAnsi" w:hAnsiTheme="minorHAnsi" w:cstheme="minorHAnsi"/>
          <w:sz w:val="24"/>
          <w:szCs w:val="24"/>
          <w:lang w:bidi="ar-SA"/>
        </w:rPr>
        <w:t xml:space="preserve">Private and government analysts use migration statistics from this supplement to determine the mobility of the country's population.  Specifically, it is important to determine which areas are losing/gaining in population over the decade and to monitor the population shifts between regions and between cities, suburbs, and nonmetropolitan areas of the country.  These migration patterns provide researchers the ability to predict future population decline/growth and general </w:t>
      </w:r>
      <w:r w:rsidRPr="00A60BB0">
        <w:rPr>
          <w:rFonts w:asciiTheme="minorHAnsi" w:hAnsiTheme="minorHAnsi" w:cstheme="minorHAnsi"/>
          <w:sz w:val="24"/>
          <w:szCs w:val="24"/>
          <w:lang w:bidi="ar-SA"/>
        </w:rPr>
        <w:t>socioeconomic conditions for these areas.</w:t>
      </w:r>
    </w:p>
    <w:p w:rsidR="00465CF1" w:rsidRPr="00A60BB0" w:rsidP="00465CF1" w14:paraId="774DD8E3" w14:textId="77777777">
      <w:pPr>
        <w:tabs>
          <w:tab w:val="left" w:pos="480"/>
          <w:tab w:val="left" w:pos="960"/>
          <w:tab w:val="left" w:pos="1440"/>
          <w:tab w:val="left" w:pos="4320"/>
          <w:tab w:val="left" w:pos="5760"/>
          <w:tab w:val="left" w:pos="7200"/>
        </w:tabs>
        <w:adjustRightInd w:val="0"/>
        <w:spacing w:line="276" w:lineRule="auto"/>
        <w:ind w:firstLine="475"/>
        <w:rPr>
          <w:rFonts w:asciiTheme="minorHAnsi" w:hAnsiTheme="minorHAnsi" w:cstheme="minorHAnsi"/>
          <w:sz w:val="24"/>
          <w:szCs w:val="24"/>
          <w:lang w:bidi="ar-SA"/>
        </w:rPr>
      </w:pPr>
    </w:p>
    <w:p w:rsidR="00465CF1" w:rsidRPr="00A60BB0" w:rsidP="00465CF1" w14:paraId="00867943" w14:textId="77777777">
      <w:pPr>
        <w:adjustRightInd w:val="0"/>
        <w:spacing w:line="276" w:lineRule="auto"/>
        <w:ind w:left="1440"/>
        <w:rPr>
          <w:rFonts w:asciiTheme="minorHAnsi" w:hAnsiTheme="minorHAnsi" w:cstheme="minorHAnsi"/>
          <w:sz w:val="24"/>
          <w:szCs w:val="24"/>
          <w:lang w:bidi="ar-SA"/>
        </w:rPr>
      </w:pPr>
      <w:r w:rsidRPr="00A60BB0">
        <w:rPr>
          <w:rFonts w:asciiTheme="minorHAnsi" w:hAnsiTheme="minorHAnsi" w:cstheme="minorHAnsi"/>
          <w:sz w:val="24"/>
          <w:szCs w:val="24"/>
          <w:lang w:bidi="ar-SA"/>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2B279C" w:rsidRPr="00A60BB0" w:rsidP="003F061F" w14:paraId="3CE805BF" w14:textId="77777777">
      <w:pPr>
        <w:pStyle w:val="BodyText"/>
        <w:spacing w:before="101" w:line="276" w:lineRule="auto"/>
        <w:rPr>
          <w:rFonts w:asciiTheme="minorHAnsi" w:hAnsiTheme="minorHAnsi" w:cstheme="minorHAnsi"/>
        </w:rPr>
      </w:pPr>
    </w:p>
    <w:p w:rsidR="000148AA" w:rsidRPr="00A60BB0" w:rsidP="00F547DE" w14:paraId="2C3155C4" w14:textId="724EFCDE">
      <w:pPr>
        <w:pStyle w:val="ListParagraph"/>
        <w:tabs>
          <w:tab w:val="left" w:pos="0"/>
        </w:tabs>
        <w:spacing w:before="227" w:line="276" w:lineRule="auto"/>
        <w:ind w:left="720" w:right="105" w:hanging="360"/>
        <w:rPr>
          <w:rFonts w:asciiTheme="minorHAnsi" w:hAnsiTheme="minorHAnsi" w:cstheme="minorHAnsi"/>
          <w:b/>
          <w:sz w:val="24"/>
          <w:szCs w:val="24"/>
          <w:lang w:bidi="he-IL"/>
        </w:rPr>
      </w:pPr>
      <w:r w:rsidRPr="00A60BB0">
        <w:rPr>
          <w:rFonts w:asciiTheme="minorHAnsi" w:hAnsiTheme="minorHAnsi" w:cstheme="minorHAnsi"/>
          <w:b/>
          <w:sz w:val="24"/>
          <w:szCs w:val="24"/>
          <w:lang w:bidi="he-IL"/>
        </w:rPr>
        <w:t xml:space="preserve">3. </w:t>
      </w:r>
      <w:r w:rsidRPr="00A60BB0">
        <w:rPr>
          <w:rFonts w:asciiTheme="minorHAnsi" w:hAnsiTheme="minorHAnsi" w:cstheme="minorHAnsi"/>
          <w:b/>
          <w:sz w:val="24"/>
          <w:szCs w:val="24"/>
          <w:lang w:bidi="he-IL"/>
        </w:rPr>
        <w:tab/>
      </w:r>
      <w:r w:rsidRPr="00A60BB0" w:rsidR="003F061F">
        <w:rPr>
          <w:rFonts w:asciiTheme="minorHAnsi" w:hAnsiTheme="minorHAnsi" w:cstheme="minorHAnsi"/>
          <w:b/>
          <w:sz w:val="24"/>
          <w:szCs w:val="24"/>
          <w:lang w:bidi="he-IL"/>
        </w:rPr>
        <w:t>Use of Internet Technology and Burden Reduction</w:t>
      </w:r>
    </w:p>
    <w:p w:rsidR="000E05FB" w:rsidRPr="00A60BB0" w:rsidP="000E05FB" w14:paraId="33EABA6D" w14:textId="77777777">
      <w:pPr>
        <w:tabs>
          <w:tab w:val="left" w:pos="360"/>
          <w:tab w:val="left" w:pos="990"/>
          <w:tab w:val="left" w:pos="1440"/>
          <w:tab w:val="left" w:pos="4320"/>
          <w:tab w:val="left" w:pos="5760"/>
          <w:tab w:val="left" w:pos="7200"/>
        </w:tabs>
        <w:spacing w:line="276" w:lineRule="auto"/>
        <w:ind w:left="360"/>
        <w:rPr>
          <w:rFonts w:asciiTheme="minorHAnsi" w:hAnsiTheme="minorHAnsi" w:cstheme="minorHAnsi"/>
          <w:sz w:val="24"/>
          <w:szCs w:val="24"/>
        </w:rPr>
      </w:pPr>
    </w:p>
    <w:p w:rsidR="000E05FB" w:rsidRPr="00A60BB0" w:rsidP="000E05FB" w14:paraId="0B9558E0" w14:textId="72CAB0CE">
      <w:pPr>
        <w:tabs>
          <w:tab w:val="left" w:pos="360"/>
          <w:tab w:val="left" w:pos="990"/>
          <w:tab w:val="left" w:pos="1440"/>
          <w:tab w:val="left" w:pos="4320"/>
          <w:tab w:val="left" w:pos="5760"/>
          <w:tab w:val="left" w:pos="7200"/>
        </w:tabs>
        <w:spacing w:line="276" w:lineRule="auto"/>
        <w:ind w:left="360"/>
        <w:rPr>
          <w:rFonts w:asciiTheme="minorHAnsi" w:hAnsiTheme="minorHAnsi" w:cstheme="minorHAnsi"/>
          <w:sz w:val="24"/>
          <w:szCs w:val="24"/>
        </w:rPr>
      </w:pPr>
      <w:r w:rsidRPr="00A60BB0">
        <w:rPr>
          <w:rFonts w:asciiTheme="minorHAnsi" w:hAnsiTheme="minorHAnsi" w:cstheme="minorHAnsi"/>
          <w:sz w:val="24"/>
          <w:szCs w:val="24"/>
        </w:rPr>
        <w:t xml:space="preserve">We deem the use of personal visits and telephone interviews, using computer-assisted telephone interviewing and computer-assisted personal interviewing, the most appropriate collection methodology given existing available information technology. We are examining the Internet as a reporting </w:t>
      </w:r>
      <w:r w:rsidRPr="00A60BB0" w:rsidR="00B11066">
        <w:rPr>
          <w:rFonts w:asciiTheme="minorHAnsi" w:hAnsiTheme="minorHAnsi" w:cstheme="minorHAnsi"/>
          <w:sz w:val="24"/>
          <w:szCs w:val="24"/>
        </w:rPr>
        <w:t>option</w:t>
      </w:r>
      <w:r w:rsidR="00B11066">
        <w:rPr>
          <w:rFonts w:asciiTheme="minorHAnsi" w:hAnsiTheme="minorHAnsi" w:cstheme="minorHAnsi"/>
          <w:sz w:val="24"/>
          <w:szCs w:val="24"/>
        </w:rPr>
        <w:t xml:space="preserve"> and</w:t>
      </w:r>
      <w:r w:rsidR="009961D8">
        <w:rPr>
          <w:rFonts w:asciiTheme="minorHAnsi" w:hAnsiTheme="minorHAnsi" w:cstheme="minorHAnsi"/>
          <w:sz w:val="24"/>
          <w:szCs w:val="24"/>
        </w:rPr>
        <w:t xml:space="preserve"> are currently conducting user acceptance testing of a self-response data collection instrument</w:t>
      </w:r>
      <w:r w:rsidRPr="00A60BB0">
        <w:rPr>
          <w:rFonts w:asciiTheme="minorHAnsi" w:hAnsiTheme="minorHAnsi" w:cstheme="minorHAnsi"/>
          <w:sz w:val="24"/>
          <w:szCs w:val="24"/>
        </w:rPr>
        <w:t xml:space="preserve"> </w:t>
      </w:r>
      <w:r w:rsidR="009961D8">
        <w:rPr>
          <w:rFonts w:asciiTheme="minorHAnsi" w:hAnsiTheme="minorHAnsi" w:cstheme="minorHAnsi"/>
          <w:sz w:val="24"/>
          <w:szCs w:val="24"/>
        </w:rPr>
        <w:t xml:space="preserve">for the basic CPS core questions.  </w:t>
      </w:r>
      <w:r w:rsidR="009961D8">
        <w:rPr>
          <w:rFonts w:asciiTheme="minorHAnsi" w:hAnsiTheme="minorHAnsi" w:cstheme="minorHAnsi"/>
          <w:sz w:val="24"/>
          <w:szCs w:val="24"/>
        </w:rPr>
        <w:t>Future plans</w:t>
      </w:r>
      <w:r w:rsidR="009961D8">
        <w:rPr>
          <w:rFonts w:asciiTheme="minorHAnsi" w:hAnsiTheme="minorHAnsi" w:cstheme="minorHAnsi"/>
          <w:sz w:val="24"/>
          <w:szCs w:val="24"/>
        </w:rPr>
        <w:t xml:space="preserve"> include field testing, with hopes to implement this mode of collection in 2027.</w:t>
      </w:r>
    </w:p>
    <w:p w:rsidR="00175AE4" w:rsidRPr="00A60BB0" w:rsidP="003F061F" w14:paraId="16D73E09" w14:textId="77777777">
      <w:pPr>
        <w:pStyle w:val="BodyText"/>
        <w:spacing w:before="10" w:line="276" w:lineRule="auto"/>
        <w:rPr>
          <w:rFonts w:asciiTheme="minorHAnsi" w:hAnsiTheme="minorHAnsi" w:cstheme="minorHAnsi"/>
        </w:rPr>
      </w:pPr>
    </w:p>
    <w:p w:rsidR="002B279C" w:rsidRPr="00A60BB0" w:rsidP="00CD619D" w14:paraId="5A73ACBE" w14:textId="77777777">
      <w:pPr>
        <w:pStyle w:val="BodyText"/>
        <w:spacing w:before="10" w:line="276" w:lineRule="auto"/>
        <w:ind w:left="360" w:hanging="360"/>
        <w:rPr>
          <w:rFonts w:asciiTheme="minorHAnsi" w:hAnsiTheme="minorHAnsi" w:cstheme="minorHAnsi"/>
        </w:rPr>
      </w:pPr>
    </w:p>
    <w:p w:rsidR="000148AA" w:rsidRPr="00A60BB0" w:rsidP="00F547DE" w14:paraId="22B6EE2F" w14:textId="47F74A93">
      <w:pPr>
        <w:pStyle w:val="ListParagraph"/>
        <w:tabs>
          <w:tab w:val="left" w:pos="839"/>
        </w:tabs>
        <w:spacing w:before="1" w:line="276" w:lineRule="auto"/>
        <w:ind w:left="720" w:right="455" w:hanging="360"/>
        <w:rPr>
          <w:rFonts w:asciiTheme="minorHAnsi" w:hAnsiTheme="minorHAnsi" w:cstheme="minorHAnsi"/>
          <w:b/>
          <w:sz w:val="24"/>
          <w:szCs w:val="24"/>
        </w:rPr>
      </w:pPr>
      <w:r w:rsidRPr="00A60BB0">
        <w:rPr>
          <w:rFonts w:asciiTheme="minorHAnsi" w:hAnsiTheme="minorHAnsi" w:cstheme="minorHAnsi"/>
          <w:b/>
          <w:spacing w:val="1"/>
          <w:sz w:val="24"/>
          <w:szCs w:val="24"/>
        </w:rPr>
        <w:t xml:space="preserve">4. </w:t>
      </w:r>
      <w:r w:rsidRPr="00A60BB0">
        <w:rPr>
          <w:rFonts w:asciiTheme="minorHAnsi" w:hAnsiTheme="minorHAnsi" w:cstheme="minorHAnsi"/>
          <w:b/>
          <w:spacing w:val="1"/>
          <w:sz w:val="24"/>
          <w:szCs w:val="24"/>
        </w:rPr>
        <w:tab/>
      </w:r>
      <w:r w:rsidRPr="00A60BB0" w:rsidR="003F061F">
        <w:rPr>
          <w:rFonts w:asciiTheme="minorHAnsi" w:hAnsiTheme="minorHAnsi" w:cstheme="minorHAnsi"/>
          <w:b/>
          <w:sz w:val="24"/>
          <w:szCs w:val="24"/>
          <w:lang w:bidi="he-IL"/>
        </w:rPr>
        <w:t>Efforts to Identify Duplication and Use of Similar Information</w:t>
      </w:r>
    </w:p>
    <w:p w:rsidR="002B279C" w:rsidRPr="00A60BB0" w:rsidP="00CD619D" w14:paraId="44F207B1" w14:textId="77777777">
      <w:pPr>
        <w:pStyle w:val="BodyText"/>
        <w:spacing w:before="5" w:line="276" w:lineRule="auto"/>
        <w:ind w:left="360" w:hanging="360"/>
        <w:rPr>
          <w:rFonts w:asciiTheme="minorHAnsi" w:hAnsiTheme="minorHAnsi" w:cstheme="minorHAnsi"/>
          <w:color w:val="FF0000"/>
        </w:rPr>
      </w:pPr>
    </w:p>
    <w:p w:rsidR="000E05FB" w:rsidRPr="00A60BB0" w:rsidP="000E05FB" w14:paraId="3CF0F15A" w14:textId="77777777">
      <w:pPr>
        <w:pStyle w:val="BodyText"/>
        <w:spacing w:before="10" w:line="276" w:lineRule="auto"/>
        <w:ind w:left="360"/>
        <w:rPr>
          <w:rFonts w:asciiTheme="minorHAnsi" w:hAnsiTheme="minorHAnsi" w:cstheme="minorHAnsi"/>
          <w:b w:val="0"/>
          <w:bCs w:val="0"/>
        </w:rPr>
      </w:pPr>
      <w:r w:rsidRPr="00A60BB0">
        <w:rPr>
          <w:rFonts w:asciiTheme="minorHAnsi" w:hAnsiTheme="minorHAnsi" w:cstheme="minorHAnsi"/>
          <w:b w:val="0"/>
          <w:bCs w:val="0"/>
        </w:rPr>
        <w:t xml:space="preserve">The ASEC and the Survey of Income and Program Participation (SIPP) contain similar content, but the ASEC remains a vital data source.  It provides a database for measuring economic activity dating back to 1947.  The ASEC is often matched to the other CPS supplements conducted in adjacent months, thereby greatly enhancing the utility of those datasets at minimal cost to the sponsors without increasing respondent burden.  ASEC provides a higher level of statistical reliability than SIPP because the SIPP sample size is smaller than the CPS.  However, SIPP collects considerably more detail on program benefits and assets, which enables measurements of wealth and well-being.  </w:t>
      </w:r>
    </w:p>
    <w:p w:rsidR="000E05FB" w:rsidRPr="00A60BB0" w:rsidP="000E05FB" w14:paraId="0267EC88" w14:textId="77777777">
      <w:pPr>
        <w:pStyle w:val="BodyText"/>
        <w:spacing w:before="10" w:line="276" w:lineRule="auto"/>
        <w:ind w:firstLine="360"/>
        <w:rPr>
          <w:rFonts w:asciiTheme="minorHAnsi" w:hAnsiTheme="minorHAnsi" w:cstheme="minorHAnsi"/>
          <w:b w:val="0"/>
          <w:bCs w:val="0"/>
        </w:rPr>
      </w:pPr>
    </w:p>
    <w:p w:rsidR="000E05FB" w:rsidRPr="00A60BB0" w:rsidP="000E05FB" w14:paraId="67E9C0EC" w14:textId="77777777">
      <w:pPr>
        <w:pStyle w:val="BodyText"/>
        <w:spacing w:before="10" w:line="276" w:lineRule="auto"/>
        <w:ind w:left="360"/>
        <w:rPr>
          <w:rFonts w:asciiTheme="minorHAnsi" w:hAnsiTheme="minorHAnsi" w:cstheme="minorHAnsi"/>
          <w:b w:val="0"/>
          <w:bCs w:val="0"/>
        </w:rPr>
      </w:pPr>
      <w:r w:rsidRPr="00A60BB0">
        <w:rPr>
          <w:rFonts w:asciiTheme="minorHAnsi" w:hAnsiTheme="minorHAnsi" w:cstheme="minorHAnsi"/>
          <w:b w:val="0"/>
          <w:bCs w:val="0"/>
        </w:rPr>
        <w:t xml:space="preserve">The ASEC focuses on accurate cross-sectional data (providing a clear snapshot), while SIPP focuses on accurate longitudinal data (providing a moving picture). </w:t>
      </w:r>
      <w:r w:rsidRPr="00A60BB0">
        <w:rPr>
          <w:rFonts w:asciiTheme="minorHAnsi" w:hAnsiTheme="minorHAnsi" w:cstheme="minorHAnsi"/>
          <w:b w:val="0"/>
          <w:bCs w:val="0"/>
        </w:rPr>
        <w:t>A number of</w:t>
      </w:r>
      <w:r w:rsidRPr="00A60BB0">
        <w:rPr>
          <w:rFonts w:asciiTheme="minorHAnsi" w:hAnsiTheme="minorHAnsi" w:cstheme="minorHAnsi"/>
          <w:b w:val="0"/>
          <w:bCs w:val="0"/>
        </w:rPr>
        <w:t xml:space="preserve"> independent surveys and supplements to the CPS have contained selected income and noncash benefit items.  Until the implementation of the SIPP, however, no other data source was available that provided the depth and scope of information of the kind described in Question 2.  </w:t>
      </w:r>
    </w:p>
    <w:p w:rsidR="000E05FB" w:rsidRPr="00A60BB0" w:rsidP="000E05FB" w14:paraId="0D9AFB53" w14:textId="0FF63DEF">
      <w:pPr>
        <w:widowControl/>
        <w:shd w:val="clear" w:color="auto" w:fill="FFFFFF"/>
        <w:autoSpaceDE/>
        <w:autoSpaceDN/>
        <w:spacing w:before="100" w:beforeAutospacing="1" w:after="150" w:line="276" w:lineRule="auto"/>
        <w:ind w:left="360"/>
        <w:textAlignment w:val="baseline"/>
        <w:rPr>
          <w:rFonts w:asciiTheme="minorHAnsi" w:hAnsiTheme="minorHAnsi" w:cstheme="minorHAnsi"/>
          <w:color w:val="000000"/>
          <w:sz w:val="24"/>
          <w:szCs w:val="24"/>
          <w:lang w:bidi="ar-SA"/>
        </w:rPr>
      </w:pPr>
      <w:r w:rsidRPr="00A60BB0">
        <w:rPr>
          <w:rFonts w:asciiTheme="minorHAnsi" w:hAnsiTheme="minorHAnsi" w:cstheme="minorHAnsi"/>
          <w:sz w:val="24"/>
          <w:szCs w:val="24"/>
        </w:rPr>
        <w:t xml:space="preserve">The American Community Survey (ACS) also collects information on health </w:t>
      </w:r>
      <w:r w:rsidRPr="00A60BB0" w:rsidR="00B11066">
        <w:rPr>
          <w:rFonts w:asciiTheme="minorHAnsi" w:hAnsiTheme="minorHAnsi" w:cstheme="minorHAnsi"/>
          <w:sz w:val="24"/>
          <w:szCs w:val="24"/>
        </w:rPr>
        <w:t>insurance;</w:t>
      </w:r>
      <w:r w:rsidRPr="00A60BB0">
        <w:rPr>
          <w:rFonts w:asciiTheme="minorHAnsi" w:hAnsiTheme="minorHAnsi" w:cstheme="minorHAnsi"/>
          <w:sz w:val="24"/>
          <w:szCs w:val="24"/>
        </w:rPr>
        <w:t xml:space="preserve"> however, this information was not collected prior to 2008.  The CPS ASEC</w:t>
      </w:r>
      <w:r w:rsidRPr="00A60BB0">
        <w:rPr>
          <w:rFonts w:asciiTheme="minorHAnsi" w:hAnsiTheme="minorHAnsi" w:cstheme="minorHAnsi"/>
          <w:b/>
          <w:bCs/>
          <w:sz w:val="24"/>
          <w:szCs w:val="24"/>
        </w:rPr>
        <w:t xml:space="preserve"> </w:t>
      </w:r>
      <w:r w:rsidRPr="00A60BB0">
        <w:rPr>
          <w:rFonts w:asciiTheme="minorHAnsi" w:hAnsiTheme="minorHAnsi" w:cstheme="minorHAnsi"/>
          <w:color w:val="000000"/>
          <w:sz w:val="24"/>
          <w:szCs w:val="24"/>
          <w:lang w:bidi="ar-SA"/>
        </w:rPr>
        <w:t>is the most widely used source of data on health insurance coverage in the United States, with a consistent time series of estimates from 1999 to 2012 and another time series that begins with 2013.</w:t>
      </w:r>
    </w:p>
    <w:p w:rsidR="000E05FB" w:rsidRPr="00A60BB0" w:rsidP="00CD619D" w14:paraId="68EE7809" w14:textId="77777777">
      <w:pPr>
        <w:pStyle w:val="BodyText"/>
        <w:spacing w:before="5" w:line="276" w:lineRule="auto"/>
        <w:ind w:left="360" w:hanging="360"/>
        <w:rPr>
          <w:rFonts w:asciiTheme="minorHAnsi" w:hAnsiTheme="minorHAnsi" w:cstheme="minorHAnsi"/>
        </w:rPr>
      </w:pPr>
    </w:p>
    <w:p w:rsidR="002B279C" w:rsidRPr="00A60BB0" w:rsidP="00CD619D" w14:paraId="141DE2AD" w14:textId="77777777">
      <w:pPr>
        <w:pStyle w:val="BodyText"/>
        <w:spacing w:before="5" w:line="276" w:lineRule="auto"/>
        <w:ind w:left="360" w:hanging="360"/>
        <w:rPr>
          <w:rFonts w:asciiTheme="minorHAnsi" w:hAnsiTheme="minorHAnsi" w:cstheme="minorHAnsi"/>
        </w:rPr>
      </w:pPr>
    </w:p>
    <w:p w:rsidR="000148AA" w:rsidRPr="00A60BB0" w:rsidP="00F547DE" w14:paraId="598DC45D" w14:textId="1C348CE0">
      <w:pPr>
        <w:pStyle w:val="ListParagraph"/>
        <w:tabs>
          <w:tab w:val="left" w:pos="839"/>
        </w:tabs>
        <w:spacing w:line="276" w:lineRule="auto"/>
        <w:ind w:left="720" w:right="631" w:hanging="360"/>
        <w:rPr>
          <w:rFonts w:asciiTheme="minorHAnsi" w:hAnsiTheme="minorHAnsi" w:cstheme="minorHAnsi"/>
          <w:b/>
          <w:sz w:val="24"/>
          <w:szCs w:val="24"/>
          <w:lang w:bidi="he-IL"/>
        </w:rPr>
      </w:pPr>
      <w:r w:rsidRPr="00A60BB0">
        <w:rPr>
          <w:rFonts w:asciiTheme="minorHAnsi" w:hAnsiTheme="minorHAnsi" w:cstheme="minorHAnsi"/>
          <w:b/>
          <w:sz w:val="24"/>
          <w:szCs w:val="24"/>
        </w:rPr>
        <w:t xml:space="preserve">5. </w:t>
      </w:r>
      <w:r w:rsidRPr="00A60BB0">
        <w:rPr>
          <w:rFonts w:asciiTheme="minorHAnsi" w:hAnsiTheme="minorHAnsi" w:cstheme="minorHAnsi"/>
          <w:b/>
          <w:sz w:val="24"/>
          <w:szCs w:val="24"/>
        </w:rPr>
        <w:tab/>
      </w:r>
      <w:r w:rsidRPr="00A60BB0" w:rsidR="003F061F">
        <w:rPr>
          <w:rFonts w:asciiTheme="minorHAnsi" w:hAnsiTheme="minorHAnsi" w:cstheme="minorHAnsi"/>
          <w:b/>
          <w:sz w:val="24"/>
          <w:szCs w:val="24"/>
          <w:lang w:bidi="he-IL"/>
        </w:rPr>
        <w:t>Impacts on Small Businesses or Other Small Entities</w:t>
      </w:r>
    </w:p>
    <w:p w:rsidR="003F061F" w:rsidRPr="00A60BB0" w:rsidP="00CD619D" w14:paraId="16969A08" w14:textId="77777777">
      <w:pPr>
        <w:pStyle w:val="ListParagraph"/>
        <w:tabs>
          <w:tab w:val="left" w:pos="839"/>
        </w:tabs>
        <w:spacing w:line="276" w:lineRule="auto"/>
        <w:ind w:left="360" w:right="631" w:hanging="360"/>
        <w:rPr>
          <w:rFonts w:asciiTheme="minorHAnsi" w:hAnsiTheme="minorHAnsi" w:cstheme="minorHAnsi"/>
          <w:b/>
          <w:sz w:val="24"/>
          <w:szCs w:val="24"/>
        </w:rPr>
      </w:pPr>
    </w:p>
    <w:p w:rsidR="000E05FB" w:rsidRPr="00A60BB0" w:rsidP="000E05FB" w14:paraId="2C8BB2EA" w14:textId="77777777">
      <w:pPr>
        <w:spacing w:before="62" w:line="276" w:lineRule="auto"/>
        <w:ind w:right="166" w:firstLine="360"/>
        <w:rPr>
          <w:rFonts w:asciiTheme="minorHAnsi" w:hAnsiTheme="minorHAnsi" w:cstheme="minorHAnsi"/>
          <w:b/>
          <w:bCs/>
          <w:sz w:val="24"/>
          <w:szCs w:val="24"/>
        </w:rPr>
      </w:pPr>
      <w:r w:rsidRPr="00A60BB0">
        <w:rPr>
          <w:rFonts w:asciiTheme="minorHAnsi" w:hAnsiTheme="minorHAnsi" w:cstheme="minorHAnsi"/>
          <w:sz w:val="24"/>
          <w:szCs w:val="24"/>
        </w:rPr>
        <w:t>This collection does not involve small businesses or other small entities</w:t>
      </w:r>
    </w:p>
    <w:p w:rsidR="00CD619D" w:rsidRPr="00A60BB0" w:rsidP="00CD619D" w14:paraId="7FDDB263" w14:textId="77777777">
      <w:pPr>
        <w:tabs>
          <w:tab w:val="left" w:pos="840"/>
        </w:tabs>
        <w:spacing w:before="62" w:line="276" w:lineRule="auto"/>
        <w:ind w:right="166"/>
        <w:rPr>
          <w:rFonts w:asciiTheme="minorHAnsi" w:hAnsiTheme="minorHAnsi" w:cstheme="minorHAnsi"/>
          <w:b/>
          <w:bCs/>
          <w:sz w:val="24"/>
          <w:szCs w:val="24"/>
        </w:rPr>
      </w:pPr>
    </w:p>
    <w:p w:rsidR="00046B07" w:rsidRPr="00A60BB0" w:rsidP="00F547DE" w14:paraId="77118CE7" w14:textId="21DB76FE">
      <w:pPr>
        <w:pStyle w:val="ListParagraph"/>
        <w:tabs>
          <w:tab w:val="left" w:pos="840"/>
        </w:tabs>
        <w:spacing w:before="62" w:line="276" w:lineRule="auto"/>
        <w:ind w:left="720" w:right="166" w:hanging="360"/>
        <w:rPr>
          <w:rFonts w:asciiTheme="minorHAnsi" w:hAnsiTheme="minorHAnsi" w:cstheme="minorHAnsi"/>
          <w:b/>
          <w:sz w:val="24"/>
          <w:szCs w:val="24"/>
        </w:rPr>
      </w:pPr>
      <w:r w:rsidRPr="00A60BB0">
        <w:rPr>
          <w:rFonts w:asciiTheme="minorHAnsi" w:hAnsiTheme="minorHAnsi" w:cstheme="minorHAnsi"/>
          <w:b/>
          <w:bCs/>
          <w:sz w:val="24"/>
          <w:szCs w:val="24"/>
        </w:rPr>
        <w:t xml:space="preserve">6. </w:t>
      </w:r>
      <w:r w:rsidRPr="00A60BB0">
        <w:rPr>
          <w:rFonts w:asciiTheme="minorHAnsi" w:hAnsiTheme="minorHAnsi" w:cstheme="minorHAnsi"/>
          <w:b/>
          <w:bCs/>
          <w:sz w:val="24"/>
          <w:szCs w:val="24"/>
        </w:rPr>
        <w:tab/>
      </w:r>
      <w:r w:rsidRPr="00A60BB0" w:rsidR="003F061F">
        <w:rPr>
          <w:rFonts w:asciiTheme="minorHAnsi" w:hAnsiTheme="minorHAnsi" w:cstheme="minorHAnsi"/>
          <w:b/>
          <w:bCs/>
          <w:sz w:val="24"/>
          <w:szCs w:val="24"/>
        </w:rPr>
        <w:t>C</w:t>
      </w:r>
      <w:r w:rsidRPr="00A60BB0" w:rsidR="003F061F">
        <w:rPr>
          <w:rFonts w:asciiTheme="minorHAnsi" w:hAnsiTheme="minorHAnsi" w:cstheme="minorHAnsi"/>
          <w:b/>
          <w:sz w:val="24"/>
          <w:szCs w:val="24"/>
          <w:lang w:bidi="he-IL"/>
        </w:rPr>
        <w:t>onsequences of Collecting the Information Less Frequently</w:t>
      </w:r>
    </w:p>
    <w:p w:rsidR="000148AA" w:rsidRPr="00A60BB0" w:rsidP="00CD619D" w14:paraId="77576D61" w14:textId="38E8E2E1">
      <w:pPr>
        <w:pStyle w:val="ListParagraph"/>
        <w:tabs>
          <w:tab w:val="left" w:pos="840"/>
        </w:tabs>
        <w:spacing w:before="62" w:line="276" w:lineRule="auto"/>
        <w:ind w:left="360" w:right="166" w:hanging="360"/>
        <w:rPr>
          <w:rFonts w:asciiTheme="minorHAnsi" w:hAnsiTheme="minorHAnsi" w:cstheme="minorHAnsi"/>
          <w:b/>
          <w:color w:val="FF0000"/>
          <w:sz w:val="24"/>
          <w:szCs w:val="24"/>
        </w:rPr>
      </w:pPr>
      <w:r w:rsidRPr="00A60BB0">
        <w:rPr>
          <w:rFonts w:asciiTheme="minorHAnsi" w:hAnsiTheme="minorHAnsi" w:cstheme="minorHAnsi"/>
          <w:b/>
          <w:color w:val="FF0000"/>
          <w:sz w:val="24"/>
          <w:szCs w:val="24"/>
        </w:rPr>
        <w:tab/>
      </w:r>
    </w:p>
    <w:p w:rsidR="000E05FB" w:rsidRPr="00A60BB0" w:rsidP="00CD619D" w14:paraId="1EB7906B" w14:textId="32474232">
      <w:pPr>
        <w:pStyle w:val="ListParagraph"/>
        <w:tabs>
          <w:tab w:val="left" w:pos="840"/>
        </w:tabs>
        <w:spacing w:before="62" w:line="276" w:lineRule="auto"/>
        <w:ind w:left="360" w:right="166" w:hanging="360"/>
        <w:rPr>
          <w:rFonts w:asciiTheme="minorHAnsi" w:hAnsiTheme="minorHAnsi" w:cstheme="minorHAnsi"/>
          <w:b/>
          <w:color w:val="FF0000"/>
          <w:sz w:val="24"/>
          <w:szCs w:val="24"/>
        </w:rPr>
      </w:pPr>
      <w:r w:rsidRPr="00A60BB0">
        <w:rPr>
          <w:rFonts w:asciiTheme="minorHAnsi" w:hAnsiTheme="minorHAnsi" w:cstheme="minorHAnsi"/>
          <w:bCs/>
          <w:sz w:val="24"/>
          <w:szCs w:val="24"/>
        </w:rPr>
        <w:tab/>
        <w:t>We collect the ASEC annually to detect shifts in household composition, labor force activity, migration patterns, and income levels.  These measurements are very sensitive to the general economic climate, and to collect these data less frequently would mask some trends and disrupt time series analyses.</w:t>
      </w:r>
    </w:p>
    <w:p w:rsidR="000148AA" w:rsidRPr="00A60BB0" w:rsidP="00CD619D" w14:paraId="700C1EFE" w14:textId="77777777">
      <w:pPr>
        <w:pStyle w:val="BodyText"/>
        <w:spacing w:line="276" w:lineRule="auto"/>
        <w:ind w:left="360" w:hanging="360"/>
        <w:rPr>
          <w:rFonts w:asciiTheme="minorHAnsi" w:hAnsiTheme="minorHAnsi" w:cstheme="minorHAnsi"/>
        </w:rPr>
      </w:pPr>
    </w:p>
    <w:p w:rsidR="000148AA" w:rsidRPr="00A60BB0" w:rsidP="00F547DE" w14:paraId="05CCDC9C" w14:textId="2BCD7949">
      <w:pPr>
        <w:pStyle w:val="ListParagraph"/>
        <w:tabs>
          <w:tab w:val="left" w:pos="840"/>
        </w:tabs>
        <w:spacing w:before="217" w:line="276" w:lineRule="auto"/>
        <w:ind w:left="720" w:right="255" w:hanging="360"/>
        <w:rPr>
          <w:rFonts w:asciiTheme="minorHAnsi" w:hAnsiTheme="minorHAnsi" w:cstheme="minorHAnsi"/>
          <w:color w:val="FF0000"/>
          <w:sz w:val="24"/>
          <w:szCs w:val="24"/>
        </w:rPr>
      </w:pPr>
      <w:r w:rsidRPr="00A60BB0">
        <w:rPr>
          <w:rFonts w:asciiTheme="minorHAnsi" w:hAnsiTheme="minorHAnsi" w:cstheme="minorHAnsi"/>
          <w:b/>
          <w:spacing w:val="-3"/>
          <w:sz w:val="24"/>
          <w:szCs w:val="24"/>
        </w:rPr>
        <w:t xml:space="preserve">7. </w:t>
      </w:r>
      <w:r w:rsidRPr="00A60BB0">
        <w:rPr>
          <w:rFonts w:asciiTheme="minorHAnsi" w:hAnsiTheme="minorHAnsi" w:cstheme="minorHAnsi"/>
          <w:b/>
          <w:spacing w:val="-3"/>
          <w:sz w:val="24"/>
          <w:szCs w:val="24"/>
        </w:rPr>
        <w:tab/>
      </w:r>
      <w:r w:rsidRPr="00A60BB0" w:rsidR="003F061F">
        <w:rPr>
          <w:rFonts w:asciiTheme="minorHAnsi" w:hAnsiTheme="minorHAnsi" w:cstheme="minorHAnsi"/>
          <w:b/>
          <w:sz w:val="24"/>
          <w:szCs w:val="24"/>
          <w:lang w:bidi="he-IL"/>
        </w:rPr>
        <w:t>Special circumstances</w:t>
      </w:r>
    </w:p>
    <w:p w:rsidR="00641B5A" w:rsidRPr="00A60BB0" w:rsidP="00CD619D" w14:paraId="1F37F942" w14:textId="77777777">
      <w:pPr>
        <w:pStyle w:val="BodyText"/>
        <w:spacing w:line="276" w:lineRule="auto"/>
        <w:ind w:left="360" w:hanging="360"/>
        <w:rPr>
          <w:rFonts w:asciiTheme="minorHAnsi" w:hAnsiTheme="minorHAnsi" w:cstheme="minorHAnsi"/>
          <w:color w:val="FF0000"/>
        </w:rPr>
      </w:pPr>
    </w:p>
    <w:p w:rsidR="000E05FB" w:rsidRPr="00A60BB0" w:rsidP="000E05FB" w14:paraId="2B82E3A8" w14:textId="77777777">
      <w:pPr>
        <w:pStyle w:val="BodyText"/>
        <w:spacing w:line="276" w:lineRule="auto"/>
        <w:ind w:left="360"/>
        <w:rPr>
          <w:rFonts w:asciiTheme="minorHAnsi" w:hAnsiTheme="minorHAnsi" w:cstheme="minorHAnsi"/>
          <w:b w:val="0"/>
          <w:bCs w:val="0"/>
        </w:rPr>
      </w:pPr>
      <w:r w:rsidRPr="00A60BB0">
        <w:rPr>
          <w:rFonts w:asciiTheme="minorHAnsi" w:hAnsiTheme="minorHAnsi" w:cstheme="minorHAnsi"/>
          <w:b w:val="0"/>
          <w:bCs w:val="0"/>
        </w:rPr>
        <w:t>There are no special circumstances.  We collect the CPS and ASEC data in a manner that is consistent with the Office of Management and Budget (OMB) guidelines.</w:t>
      </w:r>
    </w:p>
    <w:p w:rsidR="00641B5A" w:rsidRPr="00A60BB0" w:rsidP="00CD619D" w14:paraId="41620F60" w14:textId="77777777">
      <w:pPr>
        <w:pStyle w:val="BodyText"/>
        <w:spacing w:line="276" w:lineRule="auto"/>
        <w:ind w:left="360" w:hanging="360"/>
        <w:rPr>
          <w:rFonts w:asciiTheme="minorHAnsi" w:hAnsiTheme="minorHAnsi" w:cstheme="minorHAnsi"/>
          <w:color w:val="FF0000"/>
        </w:rPr>
      </w:pPr>
    </w:p>
    <w:p w:rsidR="000148AA" w:rsidRPr="00A60BB0" w:rsidP="00F547DE" w14:paraId="58B2DDE5" w14:textId="5A38AE6E">
      <w:pPr>
        <w:pStyle w:val="ListParagraph"/>
        <w:tabs>
          <w:tab w:val="left" w:pos="857"/>
        </w:tabs>
        <w:spacing w:before="62" w:line="276" w:lineRule="auto"/>
        <w:ind w:left="720" w:right="107" w:hanging="360"/>
        <w:rPr>
          <w:rFonts w:asciiTheme="minorHAnsi" w:hAnsiTheme="minorHAnsi" w:cstheme="minorHAnsi"/>
          <w:b/>
          <w:sz w:val="24"/>
          <w:szCs w:val="24"/>
        </w:rPr>
      </w:pPr>
      <w:r w:rsidRPr="00A60BB0">
        <w:rPr>
          <w:rFonts w:asciiTheme="minorHAnsi" w:hAnsiTheme="minorHAnsi" w:cstheme="minorHAnsi"/>
          <w:b/>
          <w:sz w:val="24"/>
          <w:szCs w:val="24"/>
        </w:rPr>
        <w:t xml:space="preserve">8. </w:t>
      </w:r>
      <w:r w:rsidRPr="00A60BB0">
        <w:rPr>
          <w:rFonts w:asciiTheme="minorHAnsi" w:hAnsiTheme="minorHAnsi" w:cstheme="minorHAnsi"/>
          <w:b/>
          <w:sz w:val="24"/>
          <w:szCs w:val="24"/>
        </w:rPr>
        <w:tab/>
      </w:r>
      <w:r w:rsidRPr="00A60BB0" w:rsidR="003F061F">
        <w:rPr>
          <w:rFonts w:asciiTheme="minorHAnsi" w:hAnsiTheme="minorHAnsi" w:cstheme="minorHAnsi"/>
          <w:b/>
          <w:iCs/>
          <w:sz w:val="24"/>
          <w:szCs w:val="24"/>
        </w:rPr>
        <w:t>Comments in Response to the Federal Register</w:t>
      </w:r>
      <w:r w:rsidRPr="00A60BB0" w:rsidR="003F061F">
        <w:rPr>
          <w:rFonts w:asciiTheme="minorHAnsi" w:hAnsiTheme="minorHAnsi" w:cstheme="minorHAnsi"/>
          <w:b/>
          <w:sz w:val="24"/>
          <w:szCs w:val="24"/>
        </w:rPr>
        <w:t xml:space="preserve"> Notice/Outside Consultation</w:t>
      </w:r>
    </w:p>
    <w:p w:rsidR="0022512E" w:rsidRPr="00A60BB0" w:rsidP="00097831" w14:paraId="6D7274DE" w14:textId="77777777">
      <w:pPr>
        <w:pStyle w:val="BodyText"/>
        <w:spacing w:line="276" w:lineRule="auto"/>
        <w:rPr>
          <w:rFonts w:asciiTheme="minorHAnsi" w:hAnsiTheme="minorHAnsi" w:cstheme="minorHAnsi"/>
          <w:color w:val="FF0000"/>
        </w:rPr>
      </w:pPr>
    </w:p>
    <w:p w:rsidR="0022512E" w:rsidRPr="00A60BB0" w:rsidP="009961D8" w14:paraId="3DBBECA6" w14:textId="54C1658E">
      <w:pPr>
        <w:pStyle w:val="BodyText"/>
        <w:spacing w:before="10" w:line="276" w:lineRule="auto"/>
        <w:ind w:left="360"/>
        <w:rPr>
          <w:rFonts w:asciiTheme="minorHAnsi" w:hAnsiTheme="minorHAnsi" w:cstheme="minorHAnsi"/>
        </w:rPr>
      </w:pPr>
      <w:r w:rsidRPr="00A60BB0">
        <w:rPr>
          <w:rFonts w:asciiTheme="minorHAnsi" w:hAnsiTheme="minorHAnsi" w:cstheme="minorHAnsi"/>
          <w:b w:val="0"/>
          <w:bCs w:val="0"/>
        </w:rPr>
        <w:t xml:space="preserve">A notice of intent to ask the ASEC supplement questions was published in the </w:t>
      </w:r>
      <w:r w:rsidRPr="00A60BB0" w:rsidR="00B75159">
        <w:rPr>
          <w:rFonts w:asciiTheme="minorHAnsi" w:hAnsiTheme="minorHAnsi" w:cstheme="minorHAnsi"/>
          <w:b w:val="0"/>
          <w:bCs w:val="0"/>
        </w:rPr>
        <w:t>July</w:t>
      </w:r>
      <w:r w:rsidRPr="00A60BB0">
        <w:rPr>
          <w:rFonts w:asciiTheme="minorHAnsi" w:hAnsiTheme="minorHAnsi" w:cstheme="minorHAnsi"/>
          <w:b w:val="0"/>
          <w:bCs w:val="0"/>
        </w:rPr>
        <w:t xml:space="preserve"> 1</w:t>
      </w:r>
      <w:r w:rsidRPr="00A60BB0" w:rsidR="00B75159">
        <w:rPr>
          <w:rFonts w:asciiTheme="minorHAnsi" w:hAnsiTheme="minorHAnsi" w:cstheme="minorHAnsi"/>
          <w:b w:val="0"/>
          <w:bCs w:val="0"/>
        </w:rPr>
        <w:t>9</w:t>
      </w:r>
      <w:r w:rsidRPr="00A60BB0">
        <w:rPr>
          <w:rFonts w:asciiTheme="minorHAnsi" w:hAnsiTheme="minorHAnsi" w:cstheme="minorHAnsi"/>
          <w:b w:val="0"/>
          <w:bCs w:val="0"/>
        </w:rPr>
        <w:t>, 202</w:t>
      </w:r>
      <w:r w:rsidRPr="00A60BB0" w:rsidR="00B75159">
        <w:rPr>
          <w:rFonts w:asciiTheme="minorHAnsi" w:hAnsiTheme="minorHAnsi" w:cstheme="minorHAnsi"/>
          <w:b w:val="0"/>
          <w:bCs w:val="0"/>
        </w:rPr>
        <w:t>4</w:t>
      </w:r>
      <w:r w:rsidR="009961D8">
        <w:rPr>
          <w:rFonts w:asciiTheme="minorHAnsi" w:hAnsiTheme="minorHAnsi" w:cstheme="minorHAnsi"/>
          <w:b w:val="0"/>
          <w:bCs w:val="0"/>
        </w:rPr>
        <w:t>,</w:t>
      </w:r>
      <w:r w:rsidRPr="00A60BB0" w:rsidR="00B75159">
        <w:rPr>
          <w:rFonts w:asciiTheme="minorHAnsi" w:hAnsiTheme="minorHAnsi" w:cstheme="minorHAnsi"/>
          <w:b w:val="0"/>
          <w:bCs w:val="0"/>
        </w:rPr>
        <w:t xml:space="preserve"> </w:t>
      </w:r>
      <w:r w:rsidRPr="00A60BB0">
        <w:rPr>
          <w:rFonts w:asciiTheme="minorHAnsi" w:hAnsiTheme="minorHAnsi" w:cstheme="minorHAnsi"/>
          <w:b w:val="0"/>
          <w:bCs w:val="0"/>
        </w:rPr>
        <w:t>edition of the Federal Register (8</w:t>
      </w:r>
      <w:r w:rsidRPr="00A60BB0" w:rsidR="00B75159">
        <w:rPr>
          <w:rFonts w:asciiTheme="minorHAnsi" w:hAnsiTheme="minorHAnsi" w:cstheme="minorHAnsi"/>
          <w:b w:val="0"/>
          <w:bCs w:val="0"/>
        </w:rPr>
        <w:t>9</w:t>
      </w:r>
      <w:r w:rsidRPr="00A60BB0">
        <w:rPr>
          <w:rFonts w:asciiTheme="minorHAnsi" w:hAnsiTheme="minorHAnsi" w:cstheme="minorHAnsi"/>
          <w:b w:val="0"/>
          <w:bCs w:val="0"/>
        </w:rPr>
        <w:t xml:space="preserve"> FR, p. </w:t>
      </w:r>
      <w:r w:rsidRPr="00A60BB0" w:rsidR="00B75159">
        <w:rPr>
          <w:rFonts w:asciiTheme="minorHAnsi" w:hAnsiTheme="minorHAnsi" w:cstheme="minorHAnsi"/>
          <w:b w:val="0"/>
          <w:bCs w:val="0"/>
        </w:rPr>
        <w:t>58717</w:t>
      </w:r>
      <w:r w:rsidRPr="00A60BB0">
        <w:rPr>
          <w:rFonts w:asciiTheme="minorHAnsi" w:hAnsiTheme="minorHAnsi" w:cstheme="minorHAnsi"/>
          <w:b w:val="0"/>
          <w:bCs w:val="0"/>
        </w:rPr>
        <w:t xml:space="preserve">).  </w:t>
      </w:r>
      <w:r w:rsidRPr="00A60BB0" w:rsidR="00B75159">
        <w:rPr>
          <w:rFonts w:asciiTheme="minorHAnsi" w:hAnsiTheme="minorHAnsi" w:cstheme="minorHAnsi"/>
          <w:b w:val="0"/>
          <w:bCs w:val="0"/>
        </w:rPr>
        <w:t>This</w:t>
      </w:r>
      <w:r w:rsidRPr="00A60BB0">
        <w:rPr>
          <w:rFonts w:asciiTheme="minorHAnsi" w:hAnsiTheme="minorHAnsi" w:cstheme="minorHAnsi"/>
          <w:b w:val="0"/>
          <w:bCs w:val="0"/>
        </w:rPr>
        <w:t xml:space="preserve"> notice invited comments on the necessity and practicality of the data collection and comments on various other aspects of the proposed collection.  In response to the notice, we received </w:t>
      </w:r>
      <w:r w:rsidR="009961D8">
        <w:rPr>
          <w:rFonts w:asciiTheme="minorHAnsi" w:hAnsiTheme="minorHAnsi" w:cstheme="minorHAnsi"/>
          <w:b w:val="0"/>
          <w:bCs w:val="0"/>
        </w:rPr>
        <w:t>one</w:t>
      </w:r>
      <w:r w:rsidRPr="00A60BB0">
        <w:rPr>
          <w:rFonts w:asciiTheme="minorHAnsi" w:hAnsiTheme="minorHAnsi" w:cstheme="minorHAnsi"/>
          <w:b w:val="0"/>
          <w:bCs w:val="0"/>
        </w:rPr>
        <w:t xml:space="preserve"> comment from the Bureau of Economic Analysis, supporting the collection of this information. </w:t>
      </w:r>
    </w:p>
    <w:p w:rsidR="00641B5A" w:rsidRPr="00A60BB0" w:rsidP="00CD619D" w14:paraId="60F78556" w14:textId="77777777">
      <w:pPr>
        <w:pStyle w:val="BodyText"/>
        <w:spacing w:before="10" w:line="276" w:lineRule="auto"/>
        <w:ind w:left="360" w:hanging="360"/>
        <w:rPr>
          <w:rFonts w:asciiTheme="minorHAnsi" w:hAnsiTheme="minorHAnsi" w:cstheme="minorHAnsi"/>
        </w:rPr>
      </w:pPr>
    </w:p>
    <w:p w:rsidR="000148AA" w:rsidRPr="00A60BB0" w:rsidP="00F547DE" w14:paraId="12C32AB5" w14:textId="1231B775">
      <w:pPr>
        <w:tabs>
          <w:tab w:val="left" w:pos="872"/>
        </w:tabs>
        <w:spacing w:line="276" w:lineRule="auto"/>
        <w:ind w:left="360" w:right="638"/>
        <w:rPr>
          <w:rFonts w:asciiTheme="minorHAnsi" w:hAnsiTheme="minorHAnsi" w:cstheme="minorHAnsi"/>
          <w:b/>
          <w:sz w:val="24"/>
          <w:szCs w:val="24"/>
          <w:lang w:bidi="he-IL"/>
        </w:rPr>
      </w:pPr>
      <w:r w:rsidRPr="00A60BB0">
        <w:rPr>
          <w:rFonts w:asciiTheme="minorHAnsi" w:hAnsiTheme="minorHAnsi" w:cstheme="minorHAnsi"/>
          <w:b/>
          <w:spacing w:val="-3"/>
          <w:sz w:val="24"/>
          <w:szCs w:val="24"/>
        </w:rPr>
        <w:t xml:space="preserve">9. </w:t>
      </w:r>
      <w:r w:rsidRPr="00A60BB0" w:rsidR="001C5784">
        <w:rPr>
          <w:rFonts w:asciiTheme="minorHAnsi" w:hAnsiTheme="minorHAnsi" w:cstheme="minorHAnsi"/>
          <w:b/>
          <w:spacing w:val="-3"/>
          <w:sz w:val="24"/>
          <w:szCs w:val="24"/>
        </w:rPr>
        <w:t xml:space="preserve">   </w:t>
      </w:r>
      <w:r w:rsidRPr="00A60BB0" w:rsidR="003F061F">
        <w:rPr>
          <w:rFonts w:asciiTheme="minorHAnsi" w:hAnsiTheme="minorHAnsi" w:cstheme="minorHAnsi"/>
          <w:b/>
          <w:sz w:val="24"/>
          <w:szCs w:val="24"/>
          <w:lang w:bidi="he-IL"/>
        </w:rPr>
        <w:t>Explanation of Any Payment or Gift to Respondents</w:t>
      </w:r>
    </w:p>
    <w:p w:rsidR="000668CD" w:rsidRPr="00A60BB0" w:rsidP="00CD619D" w14:paraId="050FE2B3" w14:textId="77777777">
      <w:pPr>
        <w:pStyle w:val="ListParagraph"/>
        <w:tabs>
          <w:tab w:val="left" w:pos="872"/>
        </w:tabs>
        <w:spacing w:line="276" w:lineRule="auto"/>
        <w:ind w:left="360" w:right="638" w:hanging="360"/>
        <w:rPr>
          <w:rFonts w:asciiTheme="minorHAnsi" w:hAnsiTheme="minorHAnsi" w:cstheme="minorHAnsi"/>
          <w:b/>
          <w:sz w:val="24"/>
          <w:szCs w:val="24"/>
          <w:lang w:bidi="he-IL"/>
        </w:rPr>
      </w:pPr>
    </w:p>
    <w:p w:rsidR="000148AA" w:rsidRPr="00A60BB0" w:rsidP="00B20DD3" w14:paraId="0A1D1E99" w14:textId="285EEACB">
      <w:pPr>
        <w:pStyle w:val="BodyText"/>
        <w:spacing w:line="276" w:lineRule="auto"/>
        <w:ind w:firstLine="360"/>
        <w:rPr>
          <w:rFonts w:asciiTheme="minorHAnsi" w:hAnsiTheme="minorHAnsi" w:cstheme="minorHAnsi"/>
        </w:rPr>
      </w:pPr>
      <w:r w:rsidRPr="00A60BB0">
        <w:rPr>
          <w:rFonts w:asciiTheme="minorHAnsi" w:hAnsiTheme="minorHAnsi" w:cstheme="minorHAnsi"/>
          <w:b w:val="0"/>
          <w:bCs w:val="0"/>
        </w:rPr>
        <w:t>We do not pay the CPS respondents or provide them with gifts.</w:t>
      </w:r>
    </w:p>
    <w:p w:rsidR="00641B5A" w:rsidRPr="00A60BB0" w:rsidP="00CD619D" w14:paraId="1A2B9778" w14:textId="77777777">
      <w:pPr>
        <w:pStyle w:val="BodyText"/>
        <w:spacing w:before="10" w:line="276" w:lineRule="auto"/>
        <w:ind w:left="360" w:hanging="360"/>
        <w:rPr>
          <w:rFonts w:asciiTheme="minorHAnsi" w:hAnsiTheme="minorHAnsi" w:cstheme="minorHAnsi"/>
        </w:rPr>
      </w:pPr>
    </w:p>
    <w:p w:rsidR="000148AA" w:rsidRPr="00A60BB0" w:rsidP="00F547DE" w14:paraId="155E9FCD" w14:textId="7F65341C">
      <w:pPr>
        <w:pStyle w:val="ListParagraph"/>
        <w:tabs>
          <w:tab w:val="left" w:pos="872"/>
        </w:tabs>
        <w:spacing w:before="1" w:line="276" w:lineRule="auto"/>
        <w:ind w:left="720" w:right="201" w:hanging="360"/>
        <w:rPr>
          <w:rFonts w:asciiTheme="minorHAnsi" w:hAnsiTheme="minorHAnsi" w:cstheme="minorHAnsi"/>
          <w:b/>
          <w:sz w:val="24"/>
          <w:szCs w:val="24"/>
          <w:lang w:bidi="he-IL"/>
        </w:rPr>
      </w:pPr>
      <w:r w:rsidRPr="00A60BB0">
        <w:rPr>
          <w:rFonts w:asciiTheme="minorHAnsi" w:hAnsiTheme="minorHAnsi" w:cstheme="minorHAnsi"/>
          <w:b/>
          <w:spacing w:val="1"/>
          <w:sz w:val="24"/>
          <w:szCs w:val="24"/>
        </w:rPr>
        <w:t xml:space="preserve">10. </w:t>
      </w:r>
      <w:r w:rsidRPr="00A60BB0" w:rsidR="003F061F">
        <w:rPr>
          <w:rFonts w:asciiTheme="minorHAnsi" w:hAnsiTheme="minorHAnsi" w:cstheme="minorHAnsi"/>
          <w:b/>
          <w:spacing w:val="1"/>
          <w:sz w:val="24"/>
          <w:szCs w:val="24"/>
        </w:rPr>
        <w:t xml:space="preserve"> A</w:t>
      </w:r>
      <w:r w:rsidRPr="00A60BB0" w:rsidR="003F061F">
        <w:rPr>
          <w:rFonts w:asciiTheme="minorHAnsi" w:hAnsiTheme="minorHAnsi" w:cstheme="minorHAnsi"/>
          <w:b/>
          <w:sz w:val="24"/>
          <w:szCs w:val="24"/>
          <w:lang w:bidi="he-IL"/>
        </w:rPr>
        <w:t>ssurance of Confidentiality Given to Respondents</w:t>
      </w:r>
    </w:p>
    <w:p w:rsidR="000E05FB" w:rsidRPr="00A60BB0" w:rsidP="00CD619D" w14:paraId="393A167B" w14:textId="77777777">
      <w:pPr>
        <w:pStyle w:val="ListParagraph"/>
        <w:tabs>
          <w:tab w:val="left" w:pos="872"/>
        </w:tabs>
        <w:spacing w:before="1" w:line="276" w:lineRule="auto"/>
        <w:ind w:left="360" w:right="201" w:hanging="360"/>
        <w:rPr>
          <w:rFonts w:asciiTheme="minorHAnsi" w:hAnsiTheme="minorHAnsi" w:cstheme="minorHAnsi"/>
          <w:b/>
          <w:sz w:val="24"/>
          <w:szCs w:val="24"/>
        </w:rPr>
      </w:pPr>
    </w:p>
    <w:p w:rsidR="000E05FB" w:rsidRPr="00A60BB0" w:rsidP="34A075D0" w14:paraId="36E8D8E1" w14:textId="3170EFA9">
      <w:pPr>
        <w:pStyle w:val="BodyText"/>
        <w:spacing w:before="4" w:line="276" w:lineRule="auto"/>
        <w:ind w:left="360"/>
        <w:rPr>
          <w:rFonts w:asciiTheme="minorHAnsi" w:hAnsiTheme="minorHAnsi" w:cstheme="minorBidi"/>
          <w:b w:val="0"/>
          <w:bCs w:val="0"/>
        </w:rPr>
      </w:pPr>
      <w:r w:rsidRPr="34A075D0">
        <w:rPr>
          <w:rFonts w:asciiTheme="minorHAnsi" w:hAnsiTheme="minorHAnsi" w:cstheme="minorBidi"/>
          <w:b w:val="0"/>
          <w:bCs w:val="0"/>
        </w:rPr>
        <w:t xml:space="preserve">We will collect these supplemental data in compliance with the </w:t>
      </w:r>
      <w:r w:rsidRPr="34A075D0" w:rsidR="140CD2AF">
        <w:rPr>
          <w:rFonts w:asciiTheme="minorHAnsi" w:hAnsiTheme="minorHAnsi" w:cstheme="minorBidi"/>
          <w:b w:val="0"/>
          <w:bCs w:val="0"/>
        </w:rPr>
        <w:t>co</w:t>
      </w:r>
      <w:r w:rsidR="00B11066">
        <w:rPr>
          <w:rFonts w:asciiTheme="minorHAnsi" w:hAnsiTheme="minorHAnsi" w:cstheme="minorBidi"/>
          <w:b w:val="0"/>
          <w:bCs w:val="0"/>
        </w:rPr>
        <w:t>n</w:t>
      </w:r>
      <w:r w:rsidRPr="34A075D0" w:rsidR="140CD2AF">
        <w:rPr>
          <w:rFonts w:asciiTheme="minorHAnsi" w:hAnsiTheme="minorHAnsi" w:cstheme="minorBidi"/>
          <w:b w:val="0"/>
          <w:bCs w:val="0"/>
        </w:rPr>
        <w:t xml:space="preserve">fidentiality provisions of Title 13, United States Code </w:t>
      </w:r>
      <w:r w:rsidRPr="34A075D0" w:rsidR="11002B43">
        <w:rPr>
          <w:rFonts w:asciiTheme="minorHAnsi" w:hAnsiTheme="minorHAnsi" w:cstheme="minorBidi"/>
          <w:b w:val="0"/>
          <w:bCs w:val="0"/>
        </w:rPr>
        <w:t xml:space="preserve">(Title 13) </w:t>
      </w:r>
      <w:r w:rsidRPr="34A075D0" w:rsidR="140CD2AF">
        <w:rPr>
          <w:rFonts w:asciiTheme="minorHAnsi" w:hAnsiTheme="minorHAnsi" w:cstheme="minorBidi"/>
          <w:b w:val="0"/>
          <w:bCs w:val="0"/>
        </w:rPr>
        <w:t xml:space="preserve">and the </w:t>
      </w:r>
      <w:r w:rsidRPr="34A075D0">
        <w:rPr>
          <w:rFonts w:asciiTheme="minorHAnsi" w:hAnsiTheme="minorHAnsi" w:cstheme="minorBidi"/>
          <w:b w:val="0"/>
          <w:bCs w:val="0"/>
        </w:rPr>
        <w:t>Privacy Act of 1974.  Each sample household will receive an advance letter approximately one week before the start of the initial CPS interview (see Attachments D</w:t>
      </w:r>
      <w:r w:rsidR="00567104">
        <w:rPr>
          <w:rFonts w:asciiTheme="minorHAnsi" w:hAnsiTheme="minorHAnsi" w:cstheme="minorBidi"/>
          <w:b w:val="0"/>
          <w:bCs w:val="0"/>
        </w:rPr>
        <w:t>-1, D-2</w:t>
      </w:r>
      <w:r w:rsidRPr="34A075D0">
        <w:rPr>
          <w:rFonts w:asciiTheme="minorHAnsi" w:hAnsiTheme="minorHAnsi" w:cstheme="minorBidi"/>
          <w:b w:val="0"/>
          <w:bCs w:val="0"/>
        </w:rPr>
        <w:t xml:space="preserve">).  The letter </w:t>
      </w:r>
      <w:r w:rsidRPr="34A075D0" w:rsidR="35C4C50E">
        <w:rPr>
          <w:rFonts w:asciiTheme="minorHAnsi" w:hAnsiTheme="minorHAnsi" w:cstheme="minorBidi"/>
          <w:b w:val="0"/>
          <w:bCs w:val="0"/>
        </w:rPr>
        <w:t xml:space="preserve">provides the </w:t>
      </w:r>
      <w:r w:rsidRPr="34A075D0" w:rsidR="00B11066">
        <w:rPr>
          <w:rFonts w:asciiTheme="minorHAnsi" w:hAnsiTheme="minorHAnsi" w:cstheme="minorBidi"/>
          <w:b w:val="0"/>
          <w:bCs w:val="0"/>
        </w:rPr>
        <w:t>assurances</w:t>
      </w:r>
      <w:r w:rsidRPr="34A075D0" w:rsidR="35C4C50E">
        <w:rPr>
          <w:rFonts w:asciiTheme="minorHAnsi" w:hAnsiTheme="minorHAnsi" w:cstheme="minorBidi"/>
          <w:b w:val="0"/>
          <w:bCs w:val="0"/>
        </w:rPr>
        <w:t xml:space="preserve"> of confidentiality required by Title 13, </w:t>
      </w:r>
      <w:r w:rsidRPr="34A075D0">
        <w:rPr>
          <w:rFonts w:asciiTheme="minorHAnsi" w:hAnsiTheme="minorHAnsi" w:cstheme="minorBidi"/>
          <w:b w:val="0"/>
          <w:bCs w:val="0"/>
        </w:rPr>
        <w:t xml:space="preserve">includes the information required by the Privacy Act of 1974, informs each respondent of the voluntary nature of the survey, and states the estimated time required for </w:t>
      </w:r>
      <w:r w:rsidRPr="34A075D0">
        <w:rPr>
          <w:rFonts w:asciiTheme="minorHAnsi" w:hAnsiTheme="minorHAnsi" w:cstheme="minorBidi"/>
          <w:b w:val="0"/>
          <w:bCs w:val="0"/>
        </w:rPr>
        <w:t xml:space="preserve">participating in the survey.  </w:t>
      </w:r>
    </w:p>
    <w:p w:rsidR="000E05FB" w:rsidRPr="00A60BB0" w:rsidP="000E05FB" w14:paraId="1DD5139F" w14:textId="77777777">
      <w:pPr>
        <w:pStyle w:val="BodyText"/>
        <w:spacing w:before="4" w:line="276" w:lineRule="auto"/>
        <w:ind w:left="360" w:hanging="360"/>
        <w:rPr>
          <w:rFonts w:asciiTheme="minorHAnsi" w:hAnsiTheme="minorHAnsi" w:cstheme="minorHAnsi"/>
          <w:b w:val="0"/>
          <w:bCs w:val="0"/>
        </w:rPr>
      </w:pPr>
    </w:p>
    <w:p w:rsidR="000148AA" w:rsidRPr="00A60BB0" w:rsidP="000E05FB" w14:paraId="3230334D" w14:textId="13F8C6D2">
      <w:pPr>
        <w:pStyle w:val="BodyText"/>
        <w:spacing w:before="4" w:line="276" w:lineRule="auto"/>
        <w:ind w:left="360"/>
        <w:rPr>
          <w:rFonts w:asciiTheme="minorHAnsi" w:hAnsiTheme="minorHAnsi" w:cstheme="minorHAnsi"/>
        </w:rPr>
      </w:pPr>
      <w:r w:rsidRPr="00A60BB0">
        <w:rPr>
          <w:rFonts w:asciiTheme="minorHAnsi" w:hAnsiTheme="minorHAnsi" w:cstheme="minorHAnsi"/>
          <w:b w:val="0"/>
          <w:bCs w:val="0"/>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on "How the Census Bureau Keeps Your Information Strictly Confidential," which reaffirms the confidentiality assurances and mentions the Census Bureau's past performance in assuring confidentiality (see Attachment</w:t>
      </w:r>
      <w:r w:rsidR="00567104">
        <w:rPr>
          <w:rFonts w:asciiTheme="minorHAnsi" w:hAnsiTheme="minorHAnsi" w:cstheme="minorHAnsi"/>
          <w:b w:val="0"/>
          <w:bCs w:val="0"/>
        </w:rPr>
        <w:t xml:space="preserve"> E-3</w:t>
      </w:r>
      <w:r w:rsidRPr="00A60BB0">
        <w:rPr>
          <w:rFonts w:asciiTheme="minorHAnsi" w:hAnsiTheme="minorHAnsi" w:cstheme="minorHAnsi"/>
          <w:b w:val="0"/>
          <w:bCs w:val="0"/>
        </w:rPr>
        <w:t>).  All information given by respondents to Census Bureau employees is held in strict confidence under Title 13, United States Code, Section 9.  Each Census Bureau employee has taken an oath to that effect and is subject to a jail penalty and/or a substantial fine if he/she discloses any information given to him/her.</w:t>
      </w:r>
    </w:p>
    <w:p w:rsidR="00641B5A" w:rsidRPr="00A60BB0" w:rsidP="00CD619D" w14:paraId="7E2CD8C0" w14:textId="77777777">
      <w:pPr>
        <w:pStyle w:val="BodyText"/>
        <w:spacing w:before="4" w:line="276" w:lineRule="auto"/>
        <w:ind w:left="360" w:hanging="360"/>
        <w:rPr>
          <w:rFonts w:asciiTheme="minorHAnsi" w:hAnsiTheme="minorHAnsi" w:cstheme="minorHAnsi"/>
        </w:rPr>
      </w:pPr>
    </w:p>
    <w:p w:rsidR="000148AA" w:rsidRPr="00A60BB0" w:rsidP="00F547DE" w14:paraId="19843E68" w14:textId="2FD5886D">
      <w:pPr>
        <w:pStyle w:val="ListParagraph"/>
        <w:tabs>
          <w:tab w:val="left" w:pos="872"/>
        </w:tabs>
        <w:spacing w:before="1" w:line="276" w:lineRule="auto"/>
        <w:ind w:left="720" w:right="726" w:hanging="360"/>
        <w:rPr>
          <w:rFonts w:asciiTheme="minorHAnsi" w:hAnsiTheme="minorHAnsi" w:cstheme="minorHAnsi"/>
          <w:b/>
          <w:sz w:val="24"/>
          <w:szCs w:val="24"/>
        </w:rPr>
      </w:pPr>
      <w:r w:rsidRPr="00A60BB0">
        <w:rPr>
          <w:rFonts w:asciiTheme="minorHAnsi" w:hAnsiTheme="minorHAnsi" w:cstheme="minorHAnsi"/>
          <w:b/>
          <w:sz w:val="24"/>
          <w:szCs w:val="24"/>
        </w:rPr>
        <w:t xml:space="preserve">11. </w:t>
      </w:r>
      <w:r w:rsidRPr="00A60BB0" w:rsidR="003F061F">
        <w:rPr>
          <w:rFonts w:asciiTheme="minorHAnsi" w:hAnsiTheme="minorHAnsi" w:cstheme="minorHAnsi"/>
          <w:b/>
          <w:sz w:val="24"/>
          <w:szCs w:val="24"/>
          <w:lang w:bidi="he-IL"/>
        </w:rPr>
        <w:t>Justification for Sensitive Questions</w:t>
      </w:r>
    </w:p>
    <w:p w:rsidR="000148AA" w:rsidRPr="00A60BB0" w:rsidP="00CD619D" w14:paraId="131BB0AB" w14:textId="77777777">
      <w:pPr>
        <w:pStyle w:val="BodyText"/>
        <w:spacing w:before="4" w:line="276" w:lineRule="auto"/>
        <w:ind w:left="360" w:hanging="360"/>
        <w:rPr>
          <w:rFonts w:asciiTheme="minorHAnsi" w:hAnsiTheme="minorHAnsi" w:cstheme="minorHAnsi"/>
          <w:color w:val="FF0000"/>
        </w:rPr>
      </w:pPr>
    </w:p>
    <w:p w:rsidR="000E05FB" w:rsidRPr="00A60BB0" w:rsidP="009961D8" w14:paraId="20229FDF" w14:textId="22E99031">
      <w:pPr>
        <w:pStyle w:val="BodyText"/>
        <w:spacing w:before="4" w:line="276" w:lineRule="auto"/>
        <w:ind w:left="360"/>
        <w:rPr>
          <w:rFonts w:asciiTheme="minorHAnsi" w:hAnsiTheme="minorHAnsi" w:cstheme="minorHAnsi"/>
        </w:rPr>
      </w:pPr>
      <w:r w:rsidRPr="00A60BB0">
        <w:rPr>
          <w:rFonts w:asciiTheme="minorHAnsi" w:hAnsiTheme="minorHAnsi" w:cstheme="minorHAnsi"/>
          <w:b w:val="0"/>
          <w:bCs w:val="0"/>
        </w:rPr>
        <w:t>The sources of income and assets are among the kinds of data collected and possibly considered of a sensitive nature. The Census Bureau takes the position that the collection of these types of data is necessary for the analysis of important policy and program issues, and consequently has structured the questions to lessen their sensitivity.  The Census Bureau pledges its commitment to keep all survey responses confidential (Attachment D</w:t>
      </w:r>
      <w:r w:rsidR="00567104">
        <w:rPr>
          <w:rFonts w:asciiTheme="minorHAnsi" w:hAnsiTheme="minorHAnsi" w:cstheme="minorHAnsi"/>
          <w:b w:val="0"/>
          <w:bCs w:val="0"/>
        </w:rPr>
        <w:t>-1</w:t>
      </w:r>
      <w:r w:rsidRPr="00A60BB0">
        <w:rPr>
          <w:rFonts w:asciiTheme="minorHAnsi" w:hAnsiTheme="minorHAnsi" w:cstheme="minorHAnsi"/>
          <w:b w:val="0"/>
          <w:bCs w:val="0"/>
        </w:rPr>
        <w:t>), and response is voluntary, however, each unanswered question lessens the accuracy of the final data.</w:t>
      </w:r>
    </w:p>
    <w:p w:rsidR="00641B5A" w:rsidRPr="00A60BB0" w:rsidP="0051294C" w14:paraId="28555C7A" w14:textId="77777777">
      <w:pPr>
        <w:pStyle w:val="BodyText"/>
        <w:spacing w:before="4" w:line="276" w:lineRule="auto"/>
        <w:rPr>
          <w:rFonts w:asciiTheme="minorHAnsi" w:hAnsiTheme="minorHAnsi" w:cstheme="minorHAnsi"/>
        </w:rPr>
      </w:pPr>
    </w:p>
    <w:p w:rsidR="000148AA" w:rsidRPr="00A60BB0" w:rsidP="00F547DE" w14:paraId="00964692" w14:textId="1C6FC65B">
      <w:pPr>
        <w:pStyle w:val="ListParagraph"/>
        <w:tabs>
          <w:tab w:val="left" w:pos="856"/>
        </w:tabs>
        <w:spacing w:line="276" w:lineRule="auto"/>
        <w:ind w:left="720" w:right="1134" w:hanging="360"/>
        <w:rPr>
          <w:rFonts w:asciiTheme="minorHAnsi" w:hAnsiTheme="minorHAnsi" w:cstheme="minorHAnsi"/>
          <w:b/>
          <w:sz w:val="24"/>
          <w:szCs w:val="24"/>
          <w:lang w:bidi="he-IL"/>
        </w:rPr>
      </w:pPr>
      <w:r w:rsidRPr="00A60BB0">
        <w:rPr>
          <w:rFonts w:asciiTheme="minorHAnsi" w:hAnsiTheme="minorHAnsi" w:cstheme="minorHAnsi"/>
          <w:b/>
          <w:sz w:val="24"/>
          <w:szCs w:val="24"/>
        </w:rPr>
        <w:t xml:space="preserve">12. </w:t>
      </w:r>
      <w:r w:rsidRPr="00A60BB0" w:rsidR="003F061F">
        <w:rPr>
          <w:rFonts w:asciiTheme="minorHAnsi" w:hAnsiTheme="minorHAnsi" w:cstheme="minorHAnsi"/>
          <w:b/>
          <w:sz w:val="24"/>
          <w:szCs w:val="24"/>
          <w:lang w:bidi="he-IL"/>
        </w:rPr>
        <w:t>Estimates of Annualized Hours and Cost Burden</w:t>
      </w:r>
    </w:p>
    <w:p w:rsidR="000668CD" w:rsidRPr="00A60BB0" w:rsidP="003F061F" w14:paraId="7E9D9817" w14:textId="77777777">
      <w:pPr>
        <w:pStyle w:val="ListParagraph"/>
        <w:tabs>
          <w:tab w:val="left" w:pos="856"/>
        </w:tabs>
        <w:spacing w:line="276" w:lineRule="auto"/>
        <w:ind w:left="360" w:right="1134" w:hanging="360"/>
        <w:rPr>
          <w:rFonts w:asciiTheme="minorHAnsi" w:hAnsiTheme="minorHAnsi" w:cstheme="minorHAnsi"/>
          <w:b/>
          <w:sz w:val="24"/>
          <w:szCs w:val="24"/>
          <w:lang w:bidi="he-IL"/>
        </w:rPr>
      </w:pPr>
    </w:p>
    <w:p w:rsidR="000668CD" w:rsidRPr="00A60BB0" w:rsidP="000668CD" w14:paraId="793511A1" w14:textId="5F894EEE">
      <w:pPr>
        <w:pStyle w:val="BodyText"/>
        <w:spacing w:line="276" w:lineRule="auto"/>
        <w:ind w:left="360"/>
        <w:rPr>
          <w:rFonts w:asciiTheme="minorHAnsi" w:hAnsiTheme="minorHAnsi" w:cstheme="minorHAnsi"/>
          <w:b w:val="0"/>
          <w:bCs w:val="0"/>
        </w:rPr>
      </w:pPr>
      <w:r w:rsidRPr="00A60BB0">
        <w:rPr>
          <w:rFonts w:asciiTheme="minorHAnsi" w:hAnsiTheme="minorHAnsi" w:cstheme="minorHAnsi"/>
          <w:b w:val="0"/>
          <w:bCs w:val="0"/>
        </w:rPr>
        <w:t xml:space="preserve">The total estimated respondent burden is 32,500 hours for fiscal year 2025.  We base this estimate on previously conducted ASEC supplements and previous use of automated interviewing procedures in the CPS.  The actual interview time is dependent upon the size of the household. </w:t>
      </w:r>
    </w:p>
    <w:p w:rsidR="000668CD" w:rsidRPr="00A60BB0" w:rsidP="000668CD" w14:paraId="03F24946" w14:textId="77777777">
      <w:pPr>
        <w:pStyle w:val="BodyText"/>
        <w:spacing w:line="276" w:lineRule="auto"/>
        <w:ind w:left="1080" w:hanging="360"/>
        <w:rPr>
          <w:rFonts w:asciiTheme="minorHAnsi" w:hAnsiTheme="minorHAnsi" w:cstheme="minorHAnsi"/>
          <w:b w:val="0"/>
          <w:bCs w:val="0"/>
        </w:rPr>
      </w:pPr>
    </w:p>
    <w:p w:rsidR="000668CD" w:rsidRPr="00A60BB0" w:rsidP="000668CD" w14:paraId="00F1B89B" w14:textId="3374CED4">
      <w:pPr>
        <w:pStyle w:val="BodyText"/>
        <w:spacing w:line="276" w:lineRule="auto"/>
        <w:ind w:left="360"/>
        <w:rPr>
          <w:rFonts w:asciiTheme="minorHAnsi" w:hAnsiTheme="minorHAnsi" w:cstheme="minorHAnsi"/>
          <w:b w:val="0"/>
          <w:bCs w:val="0"/>
        </w:rPr>
      </w:pPr>
      <w:r w:rsidRPr="00A60BB0">
        <w:rPr>
          <w:rFonts w:asciiTheme="minorHAnsi" w:hAnsiTheme="minorHAnsi" w:cstheme="minorHAnsi"/>
          <w:b w:val="0"/>
          <w:bCs w:val="0"/>
        </w:rPr>
        <w:t>For the ASEC, there will be approximately 78,000 households interviewed with one respondent per household.  The average time of the interview is 25 minutes; therefore, the total estimated respondent burden is 32,500 hours for fiscal year 202</w:t>
      </w:r>
      <w:r w:rsidR="009961D8">
        <w:rPr>
          <w:rFonts w:asciiTheme="minorHAnsi" w:hAnsiTheme="minorHAnsi" w:cstheme="minorHAnsi"/>
          <w:b w:val="0"/>
          <w:bCs w:val="0"/>
        </w:rPr>
        <w:t>5</w:t>
      </w:r>
      <w:r w:rsidRPr="00A60BB0">
        <w:rPr>
          <w:rFonts w:asciiTheme="minorHAnsi" w:hAnsiTheme="minorHAnsi" w:cstheme="minorHAnsi"/>
          <w:b w:val="0"/>
          <w:bCs w:val="0"/>
        </w:rPr>
        <w:t xml:space="preserve">.  See Part B for a size breakdown of the various segments of the sample. </w:t>
      </w:r>
    </w:p>
    <w:p w:rsidR="000668CD" w:rsidRPr="00A60BB0" w:rsidP="000668CD" w14:paraId="5443D24C" w14:textId="77777777">
      <w:pPr>
        <w:pStyle w:val="BodyText"/>
        <w:spacing w:line="276" w:lineRule="auto"/>
        <w:ind w:left="360"/>
        <w:rPr>
          <w:rFonts w:asciiTheme="minorHAnsi" w:hAnsiTheme="minorHAnsi" w:cstheme="minorHAnsi"/>
          <w:b w:val="0"/>
          <w:bCs w:val="0"/>
        </w:rPr>
      </w:pPr>
    </w:p>
    <w:p w:rsidR="009961D8" w:rsidP="000668CD" w14:paraId="6E74C94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r w:rsidRPr="00A60BB0">
        <w:rPr>
          <w:rFonts w:asciiTheme="minorHAnsi" w:hAnsiTheme="minorHAnsi" w:cstheme="minorHAnsi"/>
          <w:color w:val="000000"/>
          <w:sz w:val="24"/>
          <w:szCs w:val="24"/>
          <w:lang w:bidi="ar-SA"/>
        </w:rPr>
        <w:t>The estimated total annual respondent cost burden based on these hours is $2,</w:t>
      </w:r>
      <w:r w:rsidRPr="00A60BB0" w:rsidR="00F571D6">
        <w:rPr>
          <w:rFonts w:asciiTheme="minorHAnsi" w:hAnsiTheme="minorHAnsi" w:cstheme="minorHAnsi"/>
          <w:color w:val="000000"/>
          <w:sz w:val="24"/>
          <w:szCs w:val="24"/>
          <w:lang w:bidi="ar-SA"/>
        </w:rPr>
        <w:t>085,720</w:t>
      </w:r>
      <w:r w:rsidRPr="00A60BB0">
        <w:rPr>
          <w:rFonts w:asciiTheme="minorHAnsi" w:hAnsiTheme="minorHAnsi" w:cstheme="minorHAnsi"/>
          <w:color w:val="000000"/>
          <w:sz w:val="24"/>
          <w:szCs w:val="24"/>
          <w:lang w:bidi="ar-SA"/>
        </w:rPr>
        <w:t xml:space="preserve">.  For individuals, the wage rate is </w:t>
      </w:r>
      <w:r w:rsidRPr="00A60BB0">
        <w:rPr>
          <w:rFonts w:asciiTheme="minorHAnsi" w:hAnsiTheme="minorHAnsi" w:cstheme="minorHAnsi"/>
          <w:sz w:val="24"/>
          <w:szCs w:val="24"/>
        </w:rPr>
        <w:t>$26.74</w:t>
      </w:r>
      <w:r w:rsidRPr="00A60BB0">
        <w:rPr>
          <w:rFonts w:asciiTheme="minorHAnsi" w:hAnsiTheme="minorHAnsi" w:cstheme="minorHAnsi"/>
          <w:color w:val="000000"/>
          <w:sz w:val="24"/>
          <w:szCs w:val="24"/>
          <w:lang w:bidi="ar-SA"/>
        </w:rPr>
        <w:t xml:space="preserve"> per hour based on hourly earnings for employees as reported by the Bureau of Labor Statistics.</w:t>
      </w:r>
    </w:p>
    <w:p w:rsidR="009961D8" w:rsidP="000668CD" w14:paraId="792198B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p>
    <w:p w:rsidR="009961D8" w:rsidP="000668CD" w14:paraId="39D8332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p>
    <w:p w:rsidR="000668CD" w:rsidRPr="00A60BB0" w:rsidP="000668CD" w14:paraId="48E78C18" w14:textId="18EC3C7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rPr>
      </w:pPr>
      <w:r w:rsidRPr="00A60BB0">
        <w:rPr>
          <w:rFonts w:asciiTheme="minorHAnsi" w:hAnsiTheme="minorHAnsi" w:cstheme="minorHAnsi"/>
          <w:color w:val="000000"/>
          <w:sz w:val="24"/>
          <w:szCs w:val="24"/>
          <w:lang w:bidi="ar-SA"/>
        </w:rPr>
        <w:t xml:space="preserve"> </w:t>
      </w:r>
      <w:r w:rsidRPr="00A60BB0">
        <w:rPr>
          <w:rFonts w:asciiTheme="minorHAnsi" w:hAnsiTheme="minorHAnsi" w:cstheme="minorHAnsi"/>
          <w:sz w:val="24"/>
          <w:szCs w:val="24"/>
        </w:rPr>
        <w:t xml:space="preserve">  </w:t>
      </w:r>
    </w:p>
    <w:p w:rsidR="000668CD" w:rsidRPr="00A60BB0" w:rsidP="000668CD" w14:paraId="0D43B2F5" w14:textId="77777777">
      <w:pPr>
        <w:tabs>
          <w:tab w:val="left" w:pos="856"/>
        </w:tabs>
        <w:spacing w:line="276" w:lineRule="auto"/>
        <w:ind w:right="1134"/>
        <w:rPr>
          <w:rFonts w:asciiTheme="minorHAnsi" w:hAnsiTheme="minorHAnsi" w:cstheme="minorHAnsi"/>
          <w:b/>
          <w:sz w:val="24"/>
          <w:szCs w:val="24"/>
          <w:lang w:bidi="he-IL"/>
        </w:rPr>
      </w:pPr>
    </w:p>
    <w:p w:rsidR="003F061F" w:rsidRPr="00A60BB0" w:rsidP="003F061F" w14:paraId="69202C86" w14:textId="77777777">
      <w:pPr>
        <w:pStyle w:val="ListParagraph"/>
        <w:tabs>
          <w:tab w:val="left" w:pos="856"/>
        </w:tabs>
        <w:spacing w:line="276" w:lineRule="auto"/>
        <w:ind w:left="360" w:right="1134" w:hanging="360"/>
        <w:rPr>
          <w:rFonts w:asciiTheme="minorHAnsi" w:hAnsiTheme="minorHAnsi" w:cstheme="minorHAnsi"/>
          <w:b/>
          <w:sz w:val="24"/>
          <w:szCs w:val="24"/>
          <w:lang w:bidi="he-IL"/>
        </w:rPr>
      </w:pPr>
    </w:p>
    <w:p w:rsidR="003F061F" w:rsidRPr="00A60BB0" w:rsidP="00F547DE" w14:paraId="5BDA6807" w14:textId="77777777">
      <w:pPr>
        <w:widowControl/>
        <w:autoSpaceDE/>
        <w:autoSpaceDN/>
        <w:ind w:left="360"/>
        <w:rPr>
          <w:rFonts w:asciiTheme="minorHAnsi" w:hAnsiTheme="minorHAnsi" w:cstheme="minorHAnsi"/>
          <w:b/>
          <w:sz w:val="24"/>
          <w:szCs w:val="24"/>
        </w:rPr>
      </w:pPr>
      <w:r w:rsidRPr="00A60BB0">
        <w:rPr>
          <w:rFonts w:asciiTheme="minorHAnsi" w:hAnsiTheme="minorHAnsi" w:cstheme="minorHAnsi"/>
          <w:b/>
          <w:sz w:val="24"/>
          <w:szCs w:val="24"/>
        </w:rPr>
        <w:t>12A. Estimated Annualized Burden Hours</w:t>
      </w:r>
    </w:p>
    <w:p w:rsidR="00F571D6" w:rsidRPr="00A60BB0" w:rsidP="003F061F" w14:paraId="3DE0A22E" w14:textId="77777777">
      <w:pPr>
        <w:widowControl/>
        <w:autoSpaceDE/>
        <w:autoSpaceDN/>
        <w:rPr>
          <w:rFonts w:asciiTheme="minorHAnsi" w:hAnsiTheme="minorHAnsi" w:cstheme="minorHAnsi"/>
          <w:b/>
          <w:sz w:val="24"/>
          <w:szCs w:val="24"/>
        </w:rPr>
      </w:pPr>
    </w:p>
    <w:tbl>
      <w:tblPr>
        <w:tblpPr w:leftFromText="180" w:rightFromText="180" w:vertAnchor="text" w:horzAnchor="margin" w:tblpY="-28"/>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2155"/>
        <w:gridCol w:w="2160"/>
        <w:gridCol w:w="1980"/>
      </w:tblGrid>
      <w:tr w14:paraId="2D9A22E1" w14:textId="77777777" w:rsidTr="00BD4680">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1620" w:type="dxa"/>
            <w:shd w:val="clear" w:color="auto" w:fill="A6A6A6" w:themeFill="background1" w:themeFillShade="A6"/>
            <w:vAlign w:val="bottom"/>
          </w:tcPr>
          <w:p w:rsidR="00F571D6" w:rsidRPr="00A60BB0" w:rsidP="00BD4680" w14:paraId="3670EDCD" w14:textId="77777777">
            <w:pPr>
              <w:widowControl/>
              <w:tabs>
                <w:tab w:val="num" w:pos="1080"/>
              </w:tabs>
              <w:jc w:val="center"/>
              <w:rPr>
                <w:rFonts w:asciiTheme="minorHAnsi" w:hAnsiTheme="minorHAnsi" w:cstheme="minorHAnsi"/>
                <w:b/>
                <w:bCs/>
                <w:sz w:val="24"/>
                <w:szCs w:val="24"/>
              </w:rPr>
            </w:pPr>
            <w:r w:rsidRPr="00A60BB0">
              <w:rPr>
                <w:rFonts w:asciiTheme="minorHAnsi" w:hAnsiTheme="minorHAnsi" w:cstheme="minorHAnsi"/>
                <w:b/>
                <w:bCs/>
                <w:sz w:val="24"/>
                <w:szCs w:val="24"/>
              </w:rPr>
              <w:t>Type of Respondent</w:t>
            </w:r>
          </w:p>
        </w:tc>
        <w:tc>
          <w:tcPr>
            <w:tcW w:w="1620" w:type="dxa"/>
            <w:shd w:val="clear" w:color="auto" w:fill="A6A6A6" w:themeFill="background1" w:themeFillShade="A6"/>
            <w:vAlign w:val="bottom"/>
          </w:tcPr>
          <w:p w:rsidR="00F571D6" w:rsidRPr="00A60BB0" w:rsidP="00BD4680" w14:paraId="255F9EA7" w14:textId="77777777">
            <w:pPr>
              <w:widowControl/>
              <w:tabs>
                <w:tab w:val="num" w:pos="1080"/>
              </w:tabs>
              <w:jc w:val="center"/>
              <w:rPr>
                <w:rFonts w:asciiTheme="minorHAnsi" w:hAnsiTheme="minorHAnsi" w:cstheme="minorHAnsi"/>
                <w:b/>
                <w:bCs/>
                <w:sz w:val="24"/>
                <w:szCs w:val="24"/>
              </w:rPr>
            </w:pPr>
            <w:r w:rsidRPr="00A60BB0">
              <w:rPr>
                <w:rFonts w:asciiTheme="minorHAnsi" w:hAnsiTheme="minorHAnsi" w:cstheme="minorHAnsi"/>
                <w:b/>
                <w:bCs/>
                <w:sz w:val="24"/>
                <w:szCs w:val="24"/>
              </w:rPr>
              <w:t>Expected Number of Respondents</w:t>
            </w:r>
          </w:p>
        </w:tc>
        <w:tc>
          <w:tcPr>
            <w:tcW w:w="2155" w:type="dxa"/>
            <w:shd w:val="clear" w:color="auto" w:fill="A6A6A6" w:themeFill="background1" w:themeFillShade="A6"/>
            <w:vAlign w:val="bottom"/>
          </w:tcPr>
          <w:p w:rsidR="00F571D6" w:rsidRPr="00A60BB0" w:rsidP="00BD4680" w14:paraId="60562397" w14:textId="77777777">
            <w:pPr>
              <w:widowControl/>
              <w:tabs>
                <w:tab w:val="num" w:pos="1080"/>
              </w:tabs>
              <w:jc w:val="center"/>
              <w:rPr>
                <w:rFonts w:asciiTheme="minorHAnsi" w:hAnsiTheme="minorHAnsi" w:cstheme="minorHAnsi"/>
                <w:b/>
                <w:bCs/>
                <w:sz w:val="24"/>
                <w:szCs w:val="24"/>
              </w:rPr>
            </w:pPr>
            <w:r w:rsidRPr="00A60BB0">
              <w:rPr>
                <w:rFonts w:asciiTheme="minorHAnsi" w:hAnsiTheme="minorHAnsi" w:cstheme="minorHAnsi"/>
                <w:b/>
                <w:bCs/>
                <w:sz w:val="24"/>
                <w:szCs w:val="24"/>
              </w:rPr>
              <w:t>Number of Responses per Respondent</w:t>
            </w:r>
          </w:p>
        </w:tc>
        <w:tc>
          <w:tcPr>
            <w:tcW w:w="2160" w:type="dxa"/>
            <w:shd w:val="clear" w:color="auto" w:fill="A6A6A6" w:themeFill="background1" w:themeFillShade="A6"/>
            <w:vAlign w:val="bottom"/>
          </w:tcPr>
          <w:p w:rsidR="00F571D6" w:rsidRPr="00A60BB0" w:rsidP="00BD4680" w14:paraId="63A0372A" w14:textId="77777777">
            <w:pPr>
              <w:widowControl/>
              <w:tabs>
                <w:tab w:val="num" w:pos="1080"/>
              </w:tabs>
              <w:jc w:val="center"/>
              <w:rPr>
                <w:rFonts w:asciiTheme="minorHAnsi" w:hAnsiTheme="minorHAnsi" w:cstheme="minorHAnsi"/>
                <w:b/>
                <w:bCs/>
                <w:sz w:val="24"/>
                <w:szCs w:val="24"/>
              </w:rPr>
            </w:pPr>
            <w:r w:rsidRPr="00A60BB0">
              <w:rPr>
                <w:rFonts w:asciiTheme="minorHAnsi" w:hAnsiTheme="minorHAnsi" w:cstheme="minorHAnsi"/>
                <w:b/>
                <w:bCs/>
                <w:sz w:val="24"/>
                <w:szCs w:val="24"/>
              </w:rPr>
              <w:t>Average Burden per Response</w:t>
            </w:r>
          </w:p>
          <w:p w:rsidR="00F571D6" w:rsidRPr="00A60BB0" w:rsidP="00BD4680" w14:paraId="147121E6" w14:textId="77777777">
            <w:pPr>
              <w:widowControl/>
              <w:tabs>
                <w:tab w:val="num" w:pos="1080"/>
              </w:tabs>
              <w:jc w:val="center"/>
              <w:rPr>
                <w:rFonts w:asciiTheme="minorHAnsi" w:hAnsiTheme="minorHAnsi" w:cstheme="minorHAnsi"/>
                <w:b/>
                <w:bCs/>
                <w:sz w:val="24"/>
                <w:szCs w:val="24"/>
              </w:rPr>
            </w:pPr>
            <w:r w:rsidRPr="00A60BB0">
              <w:rPr>
                <w:rFonts w:asciiTheme="minorHAnsi" w:hAnsiTheme="minorHAnsi" w:cstheme="minorHAnsi"/>
                <w:b/>
                <w:bCs/>
                <w:sz w:val="24"/>
                <w:szCs w:val="24"/>
              </w:rPr>
              <w:t>(in hours)</w:t>
            </w:r>
          </w:p>
        </w:tc>
        <w:tc>
          <w:tcPr>
            <w:tcW w:w="1980" w:type="dxa"/>
            <w:shd w:val="clear" w:color="auto" w:fill="A6A6A6" w:themeFill="background1" w:themeFillShade="A6"/>
            <w:vAlign w:val="bottom"/>
          </w:tcPr>
          <w:p w:rsidR="00F571D6" w:rsidRPr="00A60BB0" w:rsidP="00BD4680" w14:paraId="532E2DA6" w14:textId="77777777">
            <w:pPr>
              <w:widowControl/>
              <w:tabs>
                <w:tab w:val="num" w:pos="1080"/>
              </w:tabs>
              <w:jc w:val="center"/>
              <w:rPr>
                <w:rFonts w:asciiTheme="minorHAnsi" w:hAnsiTheme="minorHAnsi" w:cstheme="minorHAnsi"/>
                <w:b/>
                <w:bCs/>
                <w:sz w:val="24"/>
                <w:szCs w:val="24"/>
              </w:rPr>
            </w:pPr>
            <w:r w:rsidRPr="00A60BB0">
              <w:rPr>
                <w:rFonts w:asciiTheme="minorHAnsi" w:hAnsiTheme="minorHAnsi" w:cstheme="minorHAnsi"/>
                <w:b/>
                <w:bCs/>
                <w:sz w:val="24"/>
                <w:szCs w:val="24"/>
              </w:rPr>
              <w:t>Total Burden Hours</w:t>
            </w:r>
          </w:p>
        </w:tc>
      </w:tr>
      <w:tr w14:paraId="34AB974C" w14:textId="77777777" w:rsidTr="00BD4680">
        <w:tblPrEx>
          <w:tblW w:w="9535" w:type="dxa"/>
          <w:tblLayout w:type="fixed"/>
          <w:tblLook w:val="01E0"/>
        </w:tblPrEx>
        <w:trPr>
          <w:trHeight w:val="576"/>
        </w:trPr>
        <w:tc>
          <w:tcPr>
            <w:tcW w:w="1620" w:type="dxa"/>
            <w:vAlign w:val="center"/>
          </w:tcPr>
          <w:p w:rsidR="00F571D6" w:rsidRPr="00A60BB0" w:rsidP="00BD4680" w14:paraId="0D38E8F5" w14:textId="77777777">
            <w:pPr>
              <w:widowControl/>
              <w:tabs>
                <w:tab w:val="num" w:pos="1080"/>
              </w:tabs>
              <w:spacing w:before="120"/>
              <w:jc w:val="center"/>
              <w:rPr>
                <w:rFonts w:asciiTheme="minorHAnsi" w:hAnsiTheme="minorHAnsi" w:cstheme="minorHAnsi"/>
                <w:b/>
                <w:bCs/>
                <w:sz w:val="24"/>
                <w:szCs w:val="24"/>
              </w:rPr>
            </w:pPr>
            <w:r w:rsidRPr="00A60BB0">
              <w:rPr>
                <w:rFonts w:asciiTheme="minorHAnsi" w:hAnsiTheme="minorHAnsi" w:cstheme="minorHAnsi"/>
                <w:b/>
                <w:bCs/>
                <w:sz w:val="24"/>
                <w:szCs w:val="24"/>
              </w:rPr>
              <w:t>CPS Household Respondent</w:t>
            </w:r>
          </w:p>
        </w:tc>
        <w:tc>
          <w:tcPr>
            <w:tcW w:w="1620" w:type="dxa"/>
            <w:vAlign w:val="center"/>
          </w:tcPr>
          <w:p w:rsidR="00F571D6" w:rsidRPr="00A60BB0" w:rsidP="00BD4680" w14:paraId="5B4DC2F6" w14:textId="55618D47">
            <w:pPr>
              <w:jc w:val="center"/>
              <w:rPr>
                <w:rFonts w:asciiTheme="minorHAnsi" w:hAnsiTheme="minorHAnsi" w:cstheme="minorHAnsi"/>
                <w:sz w:val="24"/>
                <w:szCs w:val="24"/>
              </w:rPr>
            </w:pPr>
            <w:r w:rsidRPr="00A60BB0">
              <w:rPr>
                <w:rFonts w:asciiTheme="minorHAnsi" w:hAnsiTheme="minorHAnsi" w:cstheme="minorHAnsi"/>
                <w:sz w:val="24"/>
                <w:szCs w:val="24"/>
              </w:rPr>
              <w:t>7</w:t>
            </w:r>
            <w:r w:rsidRPr="00A60BB0">
              <w:rPr>
                <w:rFonts w:asciiTheme="minorHAnsi" w:hAnsiTheme="minorHAnsi" w:cstheme="minorHAnsi"/>
                <w:sz w:val="24"/>
                <w:szCs w:val="24"/>
              </w:rPr>
              <w:t>8,000</w:t>
            </w:r>
          </w:p>
        </w:tc>
        <w:tc>
          <w:tcPr>
            <w:tcW w:w="2155" w:type="dxa"/>
            <w:vAlign w:val="center"/>
          </w:tcPr>
          <w:p w:rsidR="00F571D6" w:rsidRPr="00A60BB0" w:rsidP="00BD4680" w14:paraId="513D4DE7" w14:textId="77777777">
            <w:pPr>
              <w:widowControl/>
              <w:tabs>
                <w:tab w:val="num" w:pos="1080"/>
              </w:tabs>
              <w:spacing w:before="120"/>
              <w:jc w:val="center"/>
              <w:rPr>
                <w:rFonts w:asciiTheme="minorHAnsi" w:hAnsiTheme="minorHAnsi" w:cstheme="minorHAnsi"/>
                <w:sz w:val="24"/>
                <w:szCs w:val="24"/>
              </w:rPr>
            </w:pPr>
            <w:r w:rsidRPr="00A60BB0">
              <w:rPr>
                <w:rFonts w:asciiTheme="minorHAnsi" w:hAnsiTheme="minorHAnsi" w:cstheme="minorHAnsi"/>
                <w:sz w:val="24"/>
                <w:szCs w:val="24"/>
              </w:rPr>
              <w:t>1</w:t>
            </w:r>
          </w:p>
        </w:tc>
        <w:tc>
          <w:tcPr>
            <w:tcW w:w="2160" w:type="dxa"/>
            <w:vAlign w:val="center"/>
          </w:tcPr>
          <w:p w:rsidR="00F571D6" w:rsidRPr="00A60BB0" w:rsidP="00BD4680" w14:paraId="37E27E65" w14:textId="77777777">
            <w:pPr>
              <w:widowControl/>
              <w:tabs>
                <w:tab w:val="num" w:pos="1080"/>
              </w:tabs>
              <w:spacing w:before="120"/>
              <w:jc w:val="center"/>
              <w:rPr>
                <w:rFonts w:asciiTheme="minorHAnsi" w:hAnsiTheme="minorHAnsi" w:cstheme="minorHAnsi"/>
                <w:sz w:val="24"/>
                <w:szCs w:val="24"/>
              </w:rPr>
            </w:pPr>
            <w:r w:rsidRPr="00A60BB0">
              <w:rPr>
                <w:rFonts w:asciiTheme="minorHAnsi" w:hAnsiTheme="minorHAnsi" w:cstheme="minorHAnsi"/>
                <w:sz w:val="24"/>
                <w:szCs w:val="24"/>
              </w:rPr>
              <w:t>0.4167</w:t>
            </w:r>
          </w:p>
        </w:tc>
        <w:tc>
          <w:tcPr>
            <w:tcW w:w="1980" w:type="dxa"/>
            <w:vAlign w:val="center"/>
          </w:tcPr>
          <w:p w:rsidR="00F571D6" w:rsidRPr="00A60BB0" w:rsidP="00BD4680" w14:paraId="0717BC9D" w14:textId="77777777">
            <w:pPr>
              <w:jc w:val="center"/>
              <w:rPr>
                <w:rFonts w:asciiTheme="minorHAnsi" w:hAnsiTheme="minorHAnsi" w:cstheme="minorHAnsi"/>
                <w:color w:val="000000"/>
                <w:sz w:val="24"/>
                <w:szCs w:val="24"/>
              </w:rPr>
            </w:pPr>
            <w:r w:rsidRPr="00A60BB0">
              <w:rPr>
                <w:rFonts w:asciiTheme="minorHAnsi" w:hAnsiTheme="minorHAnsi" w:cstheme="minorHAnsi"/>
                <w:color w:val="000000"/>
                <w:sz w:val="24"/>
                <w:szCs w:val="24"/>
              </w:rPr>
              <w:t>32,500</w:t>
            </w:r>
          </w:p>
        </w:tc>
      </w:tr>
    </w:tbl>
    <w:p w:rsidR="00F571D6" w:rsidRPr="00A60BB0" w:rsidP="003F061F" w14:paraId="2B64006C" w14:textId="77777777">
      <w:pPr>
        <w:widowControl/>
        <w:autoSpaceDE/>
        <w:autoSpaceDN/>
        <w:rPr>
          <w:rFonts w:asciiTheme="minorHAnsi" w:hAnsiTheme="minorHAnsi" w:cstheme="minorHAnsi"/>
          <w:b/>
          <w:sz w:val="24"/>
          <w:szCs w:val="24"/>
        </w:rPr>
      </w:pPr>
    </w:p>
    <w:p w:rsidR="003F061F" w:rsidRPr="00A60BB0" w:rsidP="003F061F" w14:paraId="1DAA8F01" w14:textId="77777777">
      <w:pPr>
        <w:widowControl/>
        <w:autoSpaceDE/>
        <w:autoSpaceDN/>
        <w:rPr>
          <w:rFonts w:asciiTheme="minorHAnsi" w:hAnsiTheme="minorHAnsi" w:cstheme="minorHAnsi"/>
          <w:b/>
          <w:sz w:val="24"/>
          <w:szCs w:val="24"/>
        </w:rPr>
      </w:pPr>
    </w:p>
    <w:p w:rsidR="003F061F" w:rsidRPr="00A60BB0" w:rsidP="00F547DE" w14:paraId="6F1115A8" w14:textId="77777777">
      <w:pPr>
        <w:widowControl/>
        <w:spacing w:before="120"/>
        <w:ind w:left="720"/>
        <w:rPr>
          <w:rFonts w:asciiTheme="minorHAnsi" w:hAnsiTheme="minorHAnsi" w:cstheme="minorHAnsi"/>
          <w:b/>
          <w:sz w:val="24"/>
          <w:szCs w:val="24"/>
        </w:rPr>
      </w:pPr>
      <w:r w:rsidRPr="00A60BB0">
        <w:rPr>
          <w:rFonts w:asciiTheme="minorHAnsi" w:hAnsiTheme="minorHAnsi" w:cstheme="minorHAnsi"/>
          <w:b/>
          <w:sz w:val="24"/>
          <w:szCs w:val="24"/>
        </w:rPr>
        <w:t>12B. Estimated Annualized Burden Costs</w:t>
      </w:r>
    </w:p>
    <w:p w:rsidR="003F061F" w:rsidRPr="00A60BB0" w:rsidP="003F061F" w14:paraId="407F4F46" w14:textId="77777777">
      <w:pPr>
        <w:widowControl/>
        <w:autoSpaceDE/>
        <w:autoSpaceDN/>
        <w:rPr>
          <w:rFonts w:asciiTheme="minorHAnsi" w:hAnsiTheme="minorHAnsi" w:cstheme="minorHAnsi"/>
          <w:b/>
          <w:sz w:val="24"/>
          <w:szCs w:val="24"/>
        </w:rPr>
      </w:pPr>
    </w:p>
    <w:tbl>
      <w:tblPr>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733"/>
        <w:gridCol w:w="1800"/>
        <w:gridCol w:w="2227"/>
      </w:tblGrid>
      <w:tr w14:paraId="6F2702DB" w14:textId="77777777" w:rsidTr="00BD4680">
        <w:tblPrEx>
          <w:tblW w:w="90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307" w:type="dxa"/>
            <w:shd w:val="clear" w:color="auto" w:fill="A6A6A6" w:themeFill="background1" w:themeFillShade="A6"/>
            <w:vAlign w:val="bottom"/>
          </w:tcPr>
          <w:p w:rsidR="00F571D6" w:rsidRPr="00A60BB0" w:rsidP="00BD4680" w14:paraId="113B3732" w14:textId="77777777">
            <w:pPr>
              <w:jc w:val="center"/>
              <w:rPr>
                <w:rFonts w:asciiTheme="minorHAnsi" w:hAnsiTheme="minorHAnsi" w:cstheme="minorHAnsi"/>
                <w:b/>
                <w:bCs/>
                <w:sz w:val="24"/>
                <w:szCs w:val="24"/>
              </w:rPr>
            </w:pPr>
            <w:r w:rsidRPr="00A60BB0">
              <w:rPr>
                <w:rFonts w:asciiTheme="minorHAnsi" w:hAnsiTheme="minorHAnsi" w:cstheme="minorHAnsi"/>
                <w:b/>
                <w:bCs/>
                <w:sz w:val="24"/>
                <w:szCs w:val="24"/>
              </w:rPr>
              <w:t>Type of</w:t>
            </w:r>
          </w:p>
          <w:p w:rsidR="00F571D6" w:rsidRPr="00A60BB0" w:rsidP="00BD4680" w14:paraId="27C12E97" w14:textId="77777777">
            <w:pPr>
              <w:jc w:val="center"/>
              <w:rPr>
                <w:rFonts w:asciiTheme="minorHAnsi" w:hAnsiTheme="minorHAnsi" w:cstheme="minorHAnsi"/>
                <w:sz w:val="24"/>
                <w:szCs w:val="24"/>
              </w:rPr>
            </w:pPr>
            <w:r w:rsidRPr="00A60BB0">
              <w:rPr>
                <w:rFonts w:asciiTheme="minorHAnsi" w:hAnsiTheme="minorHAnsi" w:cstheme="minorHAnsi"/>
                <w:b/>
                <w:bCs/>
                <w:sz w:val="24"/>
                <w:szCs w:val="24"/>
              </w:rPr>
              <w:t>Respondent</w:t>
            </w:r>
          </w:p>
        </w:tc>
        <w:tc>
          <w:tcPr>
            <w:tcW w:w="1733" w:type="dxa"/>
            <w:shd w:val="clear" w:color="auto" w:fill="A6A6A6" w:themeFill="background1" w:themeFillShade="A6"/>
            <w:vAlign w:val="bottom"/>
          </w:tcPr>
          <w:p w:rsidR="00F571D6" w:rsidRPr="00A60BB0" w:rsidP="00BD4680" w14:paraId="39251DE3" w14:textId="77777777">
            <w:pPr>
              <w:jc w:val="center"/>
              <w:rPr>
                <w:rFonts w:asciiTheme="minorHAnsi" w:hAnsiTheme="minorHAnsi" w:cstheme="minorHAnsi"/>
                <w:b/>
                <w:bCs/>
                <w:sz w:val="24"/>
                <w:szCs w:val="24"/>
              </w:rPr>
            </w:pPr>
            <w:r w:rsidRPr="00A60BB0">
              <w:rPr>
                <w:rFonts w:asciiTheme="minorHAnsi" w:hAnsiTheme="minorHAnsi" w:cstheme="minorHAnsi"/>
                <w:b/>
                <w:bCs/>
                <w:sz w:val="24"/>
                <w:szCs w:val="24"/>
              </w:rPr>
              <w:t>Total Burden</w:t>
            </w:r>
          </w:p>
          <w:p w:rsidR="00F571D6" w:rsidRPr="00A60BB0" w:rsidP="00BD4680" w14:paraId="5FF86ECC" w14:textId="77777777">
            <w:pPr>
              <w:jc w:val="center"/>
              <w:rPr>
                <w:rFonts w:asciiTheme="minorHAnsi" w:hAnsiTheme="minorHAnsi" w:cstheme="minorHAnsi"/>
                <w:sz w:val="24"/>
                <w:szCs w:val="24"/>
              </w:rPr>
            </w:pPr>
            <w:r w:rsidRPr="00A60BB0">
              <w:rPr>
                <w:rFonts w:asciiTheme="minorHAnsi" w:hAnsiTheme="minorHAnsi" w:cstheme="minorHAnsi"/>
                <w:b/>
                <w:bCs/>
                <w:sz w:val="24"/>
                <w:szCs w:val="24"/>
              </w:rPr>
              <w:t>Hours</w:t>
            </w:r>
          </w:p>
        </w:tc>
        <w:tc>
          <w:tcPr>
            <w:tcW w:w="1800" w:type="dxa"/>
            <w:shd w:val="clear" w:color="auto" w:fill="A6A6A6" w:themeFill="background1" w:themeFillShade="A6"/>
            <w:vAlign w:val="bottom"/>
          </w:tcPr>
          <w:p w:rsidR="00F571D6" w:rsidRPr="00A60BB0" w:rsidP="00BD4680" w14:paraId="58BF6013" w14:textId="77777777">
            <w:pPr>
              <w:jc w:val="center"/>
              <w:rPr>
                <w:rFonts w:asciiTheme="minorHAnsi" w:hAnsiTheme="minorHAnsi" w:cstheme="minorHAnsi"/>
                <w:b/>
                <w:bCs/>
                <w:sz w:val="24"/>
                <w:szCs w:val="24"/>
              </w:rPr>
            </w:pPr>
            <w:r w:rsidRPr="00A60BB0">
              <w:rPr>
                <w:rFonts w:asciiTheme="minorHAnsi" w:hAnsiTheme="minorHAnsi" w:cstheme="minorHAnsi"/>
                <w:b/>
                <w:bCs/>
                <w:sz w:val="24"/>
                <w:szCs w:val="24"/>
              </w:rPr>
              <w:t>Hourly</w:t>
            </w:r>
          </w:p>
          <w:p w:rsidR="00F571D6" w:rsidRPr="00A60BB0" w:rsidP="00BD4680" w14:paraId="40D59C2F" w14:textId="77777777">
            <w:pPr>
              <w:jc w:val="center"/>
              <w:rPr>
                <w:rFonts w:asciiTheme="minorHAnsi" w:hAnsiTheme="minorHAnsi" w:cstheme="minorHAnsi"/>
                <w:sz w:val="24"/>
                <w:szCs w:val="24"/>
              </w:rPr>
            </w:pPr>
            <w:r w:rsidRPr="00A60BB0">
              <w:rPr>
                <w:rFonts w:asciiTheme="minorHAnsi" w:hAnsiTheme="minorHAnsi" w:cstheme="minorHAnsi"/>
                <w:b/>
                <w:bCs/>
                <w:sz w:val="24"/>
                <w:szCs w:val="24"/>
              </w:rPr>
              <w:t>Wage Rate</w:t>
            </w:r>
          </w:p>
        </w:tc>
        <w:tc>
          <w:tcPr>
            <w:tcW w:w="2227" w:type="dxa"/>
            <w:shd w:val="clear" w:color="auto" w:fill="A6A6A6" w:themeFill="background1" w:themeFillShade="A6"/>
            <w:vAlign w:val="bottom"/>
          </w:tcPr>
          <w:p w:rsidR="00F571D6" w:rsidRPr="00A60BB0" w:rsidP="00BD4680" w14:paraId="5DD58466" w14:textId="77777777">
            <w:pPr>
              <w:jc w:val="center"/>
              <w:rPr>
                <w:rFonts w:asciiTheme="minorHAnsi" w:hAnsiTheme="minorHAnsi" w:cstheme="minorHAnsi"/>
                <w:b/>
                <w:bCs/>
                <w:sz w:val="24"/>
                <w:szCs w:val="24"/>
              </w:rPr>
            </w:pPr>
            <w:r w:rsidRPr="00A60BB0">
              <w:rPr>
                <w:rFonts w:asciiTheme="minorHAnsi" w:hAnsiTheme="minorHAnsi" w:cstheme="minorHAnsi"/>
                <w:b/>
                <w:bCs/>
                <w:sz w:val="24"/>
                <w:szCs w:val="24"/>
              </w:rPr>
              <w:t xml:space="preserve">Total Respondent Costs </w:t>
            </w:r>
          </w:p>
          <w:p w:rsidR="00F571D6" w:rsidRPr="00A60BB0" w:rsidP="00BD4680" w14:paraId="63452846" w14:textId="77777777">
            <w:pPr>
              <w:jc w:val="center"/>
              <w:rPr>
                <w:rFonts w:asciiTheme="minorHAnsi" w:hAnsiTheme="minorHAnsi" w:cstheme="minorHAnsi"/>
                <w:sz w:val="24"/>
                <w:szCs w:val="24"/>
              </w:rPr>
            </w:pPr>
            <w:r w:rsidRPr="00A60BB0">
              <w:rPr>
                <w:rFonts w:asciiTheme="minorHAnsi" w:hAnsiTheme="minorHAnsi" w:cstheme="minorHAnsi"/>
                <w:b/>
                <w:bCs/>
                <w:sz w:val="24"/>
                <w:szCs w:val="24"/>
              </w:rPr>
              <w:t>(rounded to nearest dollar)</w:t>
            </w:r>
          </w:p>
        </w:tc>
      </w:tr>
      <w:tr w14:paraId="6F3FC8A5" w14:textId="77777777" w:rsidTr="00BD4680">
        <w:tblPrEx>
          <w:tblW w:w="9067" w:type="dxa"/>
          <w:tblInd w:w="378" w:type="dxa"/>
          <w:tblLook w:val="01E0"/>
        </w:tblPrEx>
        <w:trPr>
          <w:trHeight w:val="440"/>
        </w:trPr>
        <w:tc>
          <w:tcPr>
            <w:tcW w:w="3307" w:type="dxa"/>
          </w:tcPr>
          <w:p w:rsidR="00F571D6" w:rsidRPr="00A60BB0" w:rsidP="00BD4680" w14:paraId="46A58E4F" w14:textId="77777777">
            <w:pPr>
              <w:tabs>
                <w:tab w:val="num" w:pos="1080"/>
              </w:tabs>
              <w:spacing w:before="100" w:beforeAutospacing="1" w:after="100" w:afterAutospacing="1"/>
              <w:rPr>
                <w:rFonts w:asciiTheme="minorHAnsi" w:hAnsiTheme="minorHAnsi" w:cstheme="minorHAnsi"/>
                <w:b/>
                <w:bCs/>
                <w:sz w:val="24"/>
                <w:szCs w:val="24"/>
              </w:rPr>
            </w:pPr>
            <w:r w:rsidRPr="00A60BB0">
              <w:rPr>
                <w:rFonts w:asciiTheme="minorHAnsi" w:hAnsiTheme="minorHAnsi" w:cstheme="minorHAnsi"/>
                <w:b/>
                <w:bCs/>
                <w:sz w:val="24"/>
                <w:szCs w:val="24"/>
              </w:rPr>
              <w:t>Household Respondent</w:t>
            </w:r>
          </w:p>
        </w:tc>
        <w:tc>
          <w:tcPr>
            <w:tcW w:w="1733" w:type="dxa"/>
            <w:vAlign w:val="center"/>
          </w:tcPr>
          <w:p w:rsidR="00F571D6" w:rsidRPr="00A60BB0" w:rsidP="00BD4680" w14:paraId="58514530" w14:textId="31900F27">
            <w:pPr>
              <w:spacing w:before="100" w:beforeAutospacing="1" w:after="100" w:afterAutospacing="1"/>
              <w:jc w:val="right"/>
              <w:rPr>
                <w:rFonts w:asciiTheme="minorHAnsi" w:hAnsiTheme="minorHAnsi" w:cstheme="minorHAnsi"/>
                <w:color w:val="000000"/>
                <w:sz w:val="24"/>
                <w:szCs w:val="24"/>
              </w:rPr>
            </w:pPr>
            <w:r w:rsidRPr="00A60BB0">
              <w:rPr>
                <w:rFonts w:asciiTheme="minorHAnsi" w:hAnsiTheme="minorHAnsi" w:cstheme="minorHAnsi"/>
                <w:color w:val="000000"/>
                <w:sz w:val="24"/>
                <w:szCs w:val="24"/>
              </w:rPr>
              <w:t>7</w:t>
            </w:r>
            <w:r w:rsidRPr="00A60BB0">
              <w:rPr>
                <w:rFonts w:asciiTheme="minorHAnsi" w:hAnsiTheme="minorHAnsi" w:cstheme="minorHAnsi"/>
                <w:color w:val="000000"/>
                <w:sz w:val="24"/>
                <w:szCs w:val="24"/>
              </w:rPr>
              <w:t>8,000</w:t>
            </w:r>
          </w:p>
        </w:tc>
        <w:tc>
          <w:tcPr>
            <w:tcW w:w="1800" w:type="dxa"/>
            <w:vAlign w:val="center"/>
          </w:tcPr>
          <w:p w:rsidR="00F571D6" w:rsidRPr="00A60BB0" w:rsidP="00BD4680" w14:paraId="40D83022" w14:textId="1BB58882">
            <w:pPr>
              <w:spacing w:before="100" w:beforeAutospacing="1" w:after="100" w:afterAutospacing="1"/>
              <w:jc w:val="right"/>
              <w:rPr>
                <w:rFonts w:asciiTheme="minorHAnsi" w:hAnsiTheme="minorHAnsi" w:cstheme="minorHAnsi"/>
                <w:sz w:val="24"/>
                <w:szCs w:val="24"/>
              </w:rPr>
            </w:pPr>
            <w:r w:rsidRPr="00A60BB0">
              <w:rPr>
                <w:rFonts w:asciiTheme="minorHAnsi" w:hAnsiTheme="minorHAnsi" w:cstheme="minorHAnsi"/>
                <w:color w:val="000000"/>
                <w:sz w:val="24"/>
                <w:szCs w:val="24"/>
              </w:rPr>
              <w:t xml:space="preserve">$26.74 </w:t>
            </w:r>
          </w:p>
        </w:tc>
        <w:tc>
          <w:tcPr>
            <w:tcW w:w="2227" w:type="dxa"/>
            <w:vAlign w:val="center"/>
          </w:tcPr>
          <w:p w:rsidR="00F571D6" w:rsidRPr="00A60BB0" w:rsidP="00BD4680" w14:paraId="40BB5F32" w14:textId="0C8AC05E">
            <w:pPr>
              <w:spacing w:before="100" w:beforeAutospacing="1" w:after="100" w:afterAutospacing="1"/>
              <w:jc w:val="right"/>
              <w:rPr>
                <w:rFonts w:asciiTheme="minorHAnsi" w:hAnsiTheme="minorHAnsi" w:cstheme="minorHAnsi"/>
                <w:color w:val="000000"/>
                <w:sz w:val="24"/>
                <w:szCs w:val="24"/>
              </w:rPr>
            </w:pPr>
            <w:r w:rsidRPr="00A60BB0">
              <w:rPr>
                <w:rFonts w:asciiTheme="minorHAnsi" w:hAnsiTheme="minorHAnsi" w:cstheme="minorHAnsi"/>
                <w:color w:val="000000"/>
                <w:sz w:val="24"/>
                <w:szCs w:val="24"/>
              </w:rPr>
              <w:t>$</w:t>
            </w:r>
            <w:r w:rsidRPr="00A60BB0" w:rsidR="00B75159">
              <w:rPr>
                <w:rFonts w:asciiTheme="minorHAnsi" w:hAnsiTheme="minorHAnsi" w:cstheme="minorHAnsi"/>
                <w:color w:val="000000"/>
                <w:sz w:val="24"/>
                <w:szCs w:val="24"/>
              </w:rPr>
              <w:t>2</w:t>
            </w:r>
            <w:r w:rsidRPr="00A60BB0">
              <w:rPr>
                <w:rFonts w:asciiTheme="minorHAnsi" w:hAnsiTheme="minorHAnsi" w:cstheme="minorHAnsi"/>
                <w:color w:val="000000"/>
                <w:sz w:val="24"/>
                <w:szCs w:val="24"/>
              </w:rPr>
              <w:t>,</w:t>
            </w:r>
            <w:r w:rsidRPr="00A60BB0" w:rsidR="00B75159">
              <w:rPr>
                <w:rFonts w:asciiTheme="minorHAnsi" w:hAnsiTheme="minorHAnsi" w:cstheme="minorHAnsi"/>
                <w:color w:val="000000"/>
                <w:sz w:val="24"/>
                <w:szCs w:val="24"/>
              </w:rPr>
              <w:t>085</w:t>
            </w:r>
            <w:r w:rsidRPr="00A60BB0">
              <w:rPr>
                <w:rFonts w:asciiTheme="minorHAnsi" w:hAnsiTheme="minorHAnsi" w:cstheme="minorHAnsi"/>
                <w:color w:val="000000"/>
                <w:sz w:val="24"/>
                <w:szCs w:val="24"/>
              </w:rPr>
              <w:t>,</w:t>
            </w:r>
            <w:r w:rsidRPr="00A60BB0" w:rsidR="00B75159">
              <w:rPr>
                <w:rFonts w:asciiTheme="minorHAnsi" w:hAnsiTheme="minorHAnsi" w:cstheme="minorHAnsi"/>
                <w:color w:val="000000"/>
                <w:sz w:val="24"/>
                <w:szCs w:val="24"/>
              </w:rPr>
              <w:t>720</w:t>
            </w:r>
          </w:p>
        </w:tc>
      </w:tr>
      <w:tr w14:paraId="03B122F3" w14:textId="77777777" w:rsidTr="00BD4680">
        <w:tblPrEx>
          <w:tblW w:w="9067" w:type="dxa"/>
          <w:tblInd w:w="378" w:type="dxa"/>
          <w:tblLook w:val="01E0"/>
        </w:tblPrEx>
        <w:trPr>
          <w:trHeight w:val="440"/>
        </w:trPr>
        <w:tc>
          <w:tcPr>
            <w:tcW w:w="3307" w:type="dxa"/>
          </w:tcPr>
          <w:p w:rsidR="00F571D6" w:rsidRPr="00A60BB0" w:rsidP="00BD4680" w14:paraId="7D0146B7" w14:textId="77777777">
            <w:pPr>
              <w:rPr>
                <w:rFonts w:asciiTheme="minorHAnsi" w:hAnsiTheme="minorHAnsi" w:cstheme="minorHAnsi"/>
                <w:b/>
                <w:bCs/>
                <w:sz w:val="24"/>
                <w:szCs w:val="24"/>
                <w:highlight w:val="yellow"/>
              </w:rPr>
            </w:pPr>
            <w:r w:rsidRPr="00A60BB0">
              <w:rPr>
                <w:rFonts w:asciiTheme="minorHAnsi" w:hAnsiTheme="minorHAnsi" w:cstheme="minorHAnsi"/>
                <w:b/>
                <w:bCs/>
                <w:sz w:val="24"/>
                <w:szCs w:val="24"/>
              </w:rPr>
              <w:t>Total</w:t>
            </w:r>
          </w:p>
        </w:tc>
        <w:tc>
          <w:tcPr>
            <w:tcW w:w="1733" w:type="dxa"/>
            <w:vAlign w:val="center"/>
          </w:tcPr>
          <w:p w:rsidR="00F571D6" w:rsidRPr="00A60BB0" w:rsidP="00BD4680" w14:paraId="3502E686" w14:textId="2CAC3853">
            <w:pPr>
              <w:spacing w:before="100" w:beforeAutospacing="1" w:after="100" w:afterAutospacing="1"/>
              <w:jc w:val="right"/>
              <w:rPr>
                <w:rFonts w:asciiTheme="minorHAnsi" w:hAnsiTheme="minorHAnsi" w:cstheme="minorHAnsi"/>
                <w:b/>
                <w:bCs/>
                <w:color w:val="000000"/>
                <w:sz w:val="24"/>
                <w:szCs w:val="24"/>
              </w:rPr>
            </w:pPr>
            <w:r w:rsidRPr="00A60BB0">
              <w:rPr>
                <w:rFonts w:asciiTheme="minorHAnsi" w:hAnsiTheme="minorHAnsi" w:cstheme="minorHAnsi"/>
                <w:b/>
                <w:bCs/>
                <w:color w:val="000000"/>
                <w:sz w:val="24"/>
                <w:szCs w:val="24"/>
              </w:rPr>
              <w:t>7</w:t>
            </w:r>
            <w:r w:rsidRPr="00A60BB0">
              <w:rPr>
                <w:rFonts w:asciiTheme="minorHAnsi" w:hAnsiTheme="minorHAnsi" w:cstheme="minorHAnsi"/>
                <w:b/>
                <w:bCs/>
                <w:color w:val="000000"/>
                <w:sz w:val="24"/>
                <w:szCs w:val="24"/>
              </w:rPr>
              <w:t>8,000</w:t>
            </w:r>
          </w:p>
        </w:tc>
        <w:tc>
          <w:tcPr>
            <w:tcW w:w="1800" w:type="dxa"/>
            <w:vAlign w:val="center"/>
          </w:tcPr>
          <w:p w:rsidR="00F571D6" w:rsidRPr="00A60BB0" w:rsidP="00BD4680" w14:paraId="4B5268E3" w14:textId="77777777">
            <w:pPr>
              <w:jc w:val="right"/>
              <w:rPr>
                <w:rFonts w:asciiTheme="minorHAnsi" w:hAnsiTheme="minorHAnsi" w:cstheme="minorHAnsi"/>
                <w:color w:val="000000"/>
                <w:sz w:val="24"/>
                <w:szCs w:val="24"/>
              </w:rPr>
            </w:pPr>
            <w:r w:rsidRPr="00A60BB0">
              <w:rPr>
                <w:rFonts w:asciiTheme="minorHAnsi" w:hAnsiTheme="minorHAnsi" w:cstheme="minorHAnsi"/>
                <w:b/>
                <w:bCs/>
                <w:color w:val="000000"/>
                <w:sz w:val="24"/>
                <w:szCs w:val="24"/>
              </w:rPr>
              <w:t> </w:t>
            </w:r>
          </w:p>
        </w:tc>
        <w:tc>
          <w:tcPr>
            <w:tcW w:w="2227" w:type="dxa"/>
            <w:vAlign w:val="center"/>
          </w:tcPr>
          <w:p w:rsidR="00F571D6" w:rsidRPr="00A60BB0" w:rsidP="00BD4680" w14:paraId="338EADDF" w14:textId="68878D3D">
            <w:pPr>
              <w:spacing w:before="100" w:beforeAutospacing="1" w:after="100" w:afterAutospacing="1"/>
              <w:jc w:val="right"/>
              <w:rPr>
                <w:rFonts w:asciiTheme="minorHAnsi" w:hAnsiTheme="minorHAnsi" w:cstheme="minorHAnsi"/>
                <w:b/>
                <w:bCs/>
                <w:color w:val="000000"/>
                <w:sz w:val="24"/>
                <w:szCs w:val="24"/>
              </w:rPr>
            </w:pPr>
            <w:r w:rsidRPr="00A60BB0">
              <w:rPr>
                <w:rFonts w:asciiTheme="minorHAnsi" w:hAnsiTheme="minorHAnsi" w:cstheme="minorHAnsi"/>
                <w:b/>
                <w:bCs/>
                <w:color w:val="000000"/>
                <w:sz w:val="24"/>
                <w:szCs w:val="24"/>
              </w:rPr>
              <w:t>$2,085,720</w:t>
            </w:r>
          </w:p>
        </w:tc>
      </w:tr>
    </w:tbl>
    <w:p w:rsidR="00F571D6" w:rsidRPr="00A60BB0" w:rsidP="003F061F" w14:paraId="662E1728" w14:textId="77777777">
      <w:pPr>
        <w:widowControl/>
        <w:autoSpaceDE/>
        <w:autoSpaceDN/>
        <w:rPr>
          <w:rFonts w:asciiTheme="minorHAnsi" w:hAnsiTheme="minorHAnsi" w:cstheme="minorHAnsi"/>
          <w:b/>
          <w:sz w:val="24"/>
          <w:szCs w:val="24"/>
        </w:rPr>
      </w:pPr>
    </w:p>
    <w:p w:rsidR="000148AA" w:rsidRPr="00A60BB0" w:rsidP="00CD619D" w14:paraId="201E0BBC" w14:textId="77777777">
      <w:pPr>
        <w:pStyle w:val="BodyText"/>
        <w:spacing w:before="6" w:line="276" w:lineRule="auto"/>
        <w:ind w:left="360" w:hanging="360"/>
        <w:rPr>
          <w:rFonts w:asciiTheme="minorHAnsi" w:hAnsiTheme="minorHAnsi" w:cstheme="minorHAnsi"/>
        </w:rPr>
      </w:pPr>
    </w:p>
    <w:p w:rsidR="000E05FB" w:rsidRPr="00A60BB0" w:rsidP="00F547DE" w14:paraId="1496F8B7" w14:textId="3B18E9E7">
      <w:pPr>
        <w:pStyle w:val="ListParagraph"/>
        <w:tabs>
          <w:tab w:val="left" w:pos="920"/>
        </w:tabs>
        <w:spacing w:line="276" w:lineRule="auto"/>
        <w:ind w:left="720" w:right="545" w:hanging="360"/>
        <w:rPr>
          <w:rFonts w:asciiTheme="minorHAnsi" w:hAnsiTheme="minorHAnsi" w:cstheme="minorHAnsi"/>
          <w:b/>
          <w:spacing w:val="3"/>
          <w:sz w:val="24"/>
          <w:szCs w:val="24"/>
        </w:rPr>
      </w:pPr>
      <w:r w:rsidRPr="00A60BB0">
        <w:rPr>
          <w:rFonts w:asciiTheme="minorHAnsi" w:hAnsiTheme="minorHAnsi" w:cstheme="minorHAnsi"/>
          <w:b/>
          <w:sz w:val="24"/>
          <w:szCs w:val="24"/>
        </w:rPr>
        <w:t>13</w:t>
      </w:r>
      <w:r w:rsidRPr="00A60BB0" w:rsidR="003F061F">
        <w:rPr>
          <w:rFonts w:asciiTheme="minorHAnsi" w:hAnsiTheme="minorHAnsi" w:cstheme="minorHAnsi"/>
          <w:b/>
          <w:sz w:val="24"/>
          <w:szCs w:val="24"/>
        </w:rPr>
        <w:t xml:space="preserve">. </w:t>
      </w:r>
      <w:r w:rsidRPr="00A60BB0" w:rsidR="003F061F">
        <w:rPr>
          <w:rFonts w:asciiTheme="minorHAnsi" w:hAnsiTheme="minorHAnsi" w:cstheme="minorHAnsi"/>
          <w:b/>
          <w:spacing w:val="3"/>
          <w:sz w:val="24"/>
          <w:szCs w:val="24"/>
        </w:rPr>
        <w:t xml:space="preserve"> Estimates of Other Total Annual Cost Burden to Respondents</w:t>
      </w:r>
    </w:p>
    <w:p w:rsidR="000E05FB" w:rsidRPr="00A60BB0" w:rsidP="000E05FB" w14:paraId="5A462351" w14:textId="77777777">
      <w:pPr>
        <w:pStyle w:val="BodyText"/>
        <w:spacing w:before="3" w:line="276" w:lineRule="auto"/>
        <w:ind w:left="720" w:hanging="360"/>
        <w:rPr>
          <w:rFonts w:asciiTheme="minorHAnsi" w:hAnsiTheme="minorHAnsi" w:cstheme="minorHAnsi"/>
          <w:color w:val="FF0000"/>
        </w:rPr>
      </w:pPr>
    </w:p>
    <w:p w:rsidR="000E05FB" w:rsidRPr="00A60BB0" w:rsidP="009961D8" w14:paraId="13C911A5" w14:textId="362EAF5D">
      <w:pPr>
        <w:pStyle w:val="BodyText"/>
        <w:spacing w:before="3" w:line="276" w:lineRule="auto"/>
        <w:ind w:left="360"/>
        <w:rPr>
          <w:rFonts w:asciiTheme="minorHAnsi" w:hAnsiTheme="minorHAnsi" w:cstheme="minorHAnsi"/>
        </w:rPr>
      </w:pPr>
      <w:r w:rsidRPr="00A60BB0">
        <w:rPr>
          <w:rFonts w:asciiTheme="minorHAnsi" w:hAnsiTheme="minorHAnsi" w:cstheme="minorHAnsi"/>
          <w:b w:val="0"/>
          <w:bCs w:val="0"/>
        </w:rPr>
        <w:t>There are no direct costs to the respondents other than that of their time to respond.</w:t>
      </w:r>
    </w:p>
    <w:p w:rsidR="00D941D0" w:rsidRPr="00A60BB0" w:rsidP="00CD619D" w14:paraId="6B8D563C" w14:textId="77777777">
      <w:pPr>
        <w:pStyle w:val="BodyText"/>
        <w:spacing w:before="3" w:line="276" w:lineRule="auto"/>
        <w:ind w:left="360" w:hanging="360"/>
        <w:rPr>
          <w:rFonts w:asciiTheme="minorHAnsi" w:hAnsiTheme="minorHAnsi" w:cstheme="minorHAnsi"/>
        </w:rPr>
      </w:pPr>
    </w:p>
    <w:p w:rsidR="0085220A" w:rsidRPr="00A60BB0" w:rsidP="00F547DE" w14:paraId="28323688" w14:textId="58FEB627">
      <w:pPr>
        <w:pStyle w:val="ListParagraph"/>
        <w:tabs>
          <w:tab w:val="left" w:pos="857"/>
        </w:tabs>
        <w:spacing w:line="276" w:lineRule="auto"/>
        <w:ind w:left="720" w:right="260" w:hanging="360"/>
        <w:rPr>
          <w:rFonts w:asciiTheme="minorHAnsi" w:hAnsiTheme="minorHAnsi" w:cstheme="minorHAnsi"/>
          <w:spacing w:val="2"/>
          <w:sz w:val="24"/>
          <w:szCs w:val="24"/>
        </w:rPr>
      </w:pPr>
      <w:r w:rsidRPr="00A60BB0">
        <w:rPr>
          <w:rFonts w:asciiTheme="minorHAnsi" w:hAnsiTheme="minorHAnsi" w:cstheme="minorHAnsi"/>
          <w:b/>
          <w:sz w:val="24"/>
          <w:szCs w:val="24"/>
        </w:rPr>
        <w:t xml:space="preserve">14. </w:t>
      </w:r>
      <w:r w:rsidRPr="00A60BB0" w:rsidR="003F061F">
        <w:rPr>
          <w:rFonts w:asciiTheme="minorHAnsi" w:hAnsiTheme="minorHAnsi" w:cstheme="minorHAnsi"/>
          <w:b/>
          <w:sz w:val="24"/>
          <w:szCs w:val="24"/>
          <w:lang w:bidi="he-IL"/>
        </w:rPr>
        <w:t>Annualized Cost to the Federal Government</w:t>
      </w:r>
    </w:p>
    <w:p w:rsidR="000148AA" w:rsidRPr="00A60BB0" w:rsidP="00CD619D" w14:paraId="2962C744" w14:textId="7C25B17B">
      <w:pPr>
        <w:pStyle w:val="ListParagraph"/>
        <w:tabs>
          <w:tab w:val="left" w:pos="0"/>
        </w:tabs>
        <w:spacing w:line="276" w:lineRule="auto"/>
        <w:ind w:left="360" w:right="260" w:hanging="360"/>
        <w:rPr>
          <w:rFonts w:asciiTheme="minorHAnsi" w:hAnsiTheme="minorHAnsi" w:cstheme="minorHAnsi"/>
          <w:b/>
          <w:color w:val="FF0000"/>
          <w:sz w:val="24"/>
          <w:szCs w:val="24"/>
        </w:rPr>
      </w:pPr>
      <w:r w:rsidRPr="00A60BB0">
        <w:rPr>
          <w:rFonts w:asciiTheme="minorHAnsi" w:hAnsiTheme="minorHAnsi" w:cstheme="minorHAnsi"/>
          <w:spacing w:val="2"/>
          <w:sz w:val="24"/>
          <w:szCs w:val="24"/>
        </w:rPr>
        <w:tab/>
      </w:r>
    </w:p>
    <w:p w:rsidR="000148AA" w:rsidRPr="00A60BB0" w:rsidP="009961D8" w14:paraId="4D833699" w14:textId="380A60F9">
      <w:pPr>
        <w:pStyle w:val="ListParagraph"/>
        <w:tabs>
          <w:tab w:val="left" w:pos="0"/>
        </w:tabs>
        <w:spacing w:line="276" w:lineRule="auto"/>
        <w:ind w:left="360" w:right="260" w:hanging="360"/>
        <w:rPr>
          <w:rFonts w:asciiTheme="minorHAnsi" w:hAnsiTheme="minorHAnsi" w:cstheme="minorHAnsi"/>
          <w:sz w:val="24"/>
          <w:szCs w:val="24"/>
        </w:rPr>
      </w:pPr>
      <w:r w:rsidRPr="00A60BB0">
        <w:rPr>
          <w:rFonts w:asciiTheme="minorHAnsi" w:hAnsiTheme="minorHAnsi" w:cstheme="minorHAnsi"/>
          <w:b/>
          <w:color w:val="FF0000"/>
          <w:sz w:val="24"/>
          <w:szCs w:val="24"/>
        </w:rPr>
        <w:tab/>
      </w:r>
      <w:r w:rsidRPr="00A60BB0">
        <w:rPr>
          <w:rFonts w:asciiTheme="minorHAnsi" w:hAnsiTheme="minorHAnsi" w:cstheme="minorHAnsi"/>
          <w:bCs/>
          <w:sz w:val="24"/>
          <w:szCs w:val="24"/>
        </w:rPr>
        <w:t>We estimate the cost to the government of the CPS program to be $88 million in fiscal year 2025.  The costs are to be borne by the Census Bureau, BLS, and other government agencies, if involved.  The estimated cost of including the ASEC questions is $2 million in fiscal year 2025 and is borne by the Census Bureau and the BLS.</w:t>
      </w:r>
    </w:p>
    <w:p w:rsidR="006665ED" w:rsidRPr="00A60BB0" w:rsidP="00CD619D" w14:paraId="3DD25C94" w14:textId="77777777">
      <w:pPr>
        <w:pStyle w:val="BodyText"/>
        <w:spacing w:before="10" w:line="276" w:lineRule="auto"/>
        <w:ind w:left="360" w:hanging="360"/>
        <w:rPr>
          <w:rFonts w:asciiTheme="minorHAnsi" w:hAnsiTheme="minorHAnsi" w:cstheme="minorHAnsi"/>
        </w:rPr>
      </w:pPr>
    </w:p>
    <w:p w:rsidR="003F061F" w:rsidRPr="00A60BB0" w:rsidP="00F547DE" w14:paraId="4FF29716" w14:textId="77777777">
      <w:pPr>
        <w:pStyle w:val="ListParagraph"/>
        <w:tabs>
          <w:tab w:val="left" w:pos="856"/>
        </w:tabs>
        <w:spacing w:line="276" w:lineRule="auto"/>
        <w:ind w:left="720" w:right="2470" w:hanging="360"/>
        <w:rPr>
          <w:rFonts w:asciiTheme="minorHAnsi" w:hAnsiTheme="minorHAnsi" w:cstheme="minorHAnsi"/>
          <w:b/>
          <w:sz w:val="24"/>
          <w:szCs w:val="24"/>
          <w:lang w:bidi="he-IL"/>
        </w:rPr>
      </w:pPr>
      <w:r w:rsidRPr="00A60BB0">
        <w:rPr>
          <w:rFonts w:asciiTheme="minorHAnsi" w:hAnsiTheme="minorHAnsi" w:cstheme="minorHAnsi"/>
          <w:b/>
          <w:spacing w:val="-3"/>
          <w:sz w:val="24"/>
          <w:szCs w:val="24"/>
        </w:rPr>
        <w:t xml:space="preserve">15. </w:t>
      </w:r>
      <w:r w:rsidRPr="00A60BB0">
        <w:rPr>
          <w:rFonts w:asciiTheme="minorHAnsi" w:hAnsiTheme="minorHAnsi" w:cstheme="minorHAnsi"/>
          <w:b/>
          <w:sz w:val="24"/>
          <w:szCs w:val="24"/>
          <w:lang w:bidi="he-IL"/>
        </w:rPr>
        <w:t>Explanation for Program Changes or Adjustments.</w:t>
      </w:r>
    </w:p>
    <w:p w:rsidR="004F6032" w:rsidRPr="00A60BB0" w:rsidP="003F061F" w14:paraId="31E9012A" w14:textId="289AF751">
      <w:pPr>
        <w:pStyle w:val="ListParagraph"/>
        <w:tabs>
          <w:tab w:val="left" w:pos="856"/>
          <w:tab w:val="left" w:pos="16470"/>
        </w:tabs>
        <w:spacing w:line="276" w:lineRule="auto"/>
        <w:ind w:left="360" w:right="2470" w:hanging="360"/>
        <w:rPr>
          <w:rFonts w:asciiTheme="minorHAnsi" w:hAnsiTheme="minorHAnsi" w:cstheme="minorHAnsi"/>
          <w:b/>
          <w:sz w:val="24"/>
          <w:szCs w:val="24"/>
          <w:lang w:bidi="he-IL"/>
        </w:rPr>
      </w:pPr>
    </w:p>
    <w:p w:rsidR="000148AA" w:rsidRPr="00A60BB0" w:rsidP="009961D8" w14:paraId="0D5C9EC9" w14:textId="0136F04D">
      <w:pPr>
        <w:pStyle w:val="ListParagraph"/>
        <w:tabs>
          <w:tab w:val="left" w:pos="0"/>
        </w:tabs>
        <w:spacing w:line="276" w:lineRule="auto"/>
        <w:ind w:left="360" w:right="2470" w:hanging="360"/>
        <w:rPr>
          <w:rFonts w:asciiTheme="minorHAnsi" w:hAnsiTheme="minorHAnsi" w:cstheme="minorHAnsi"/>
          <w:sz w:val="24"/>
          <w:szCs w:val="24"/>
        </w:rPr>
      </w:pPr>
      <w:r w:rsidRPr="00A60BB0">
        <w:rPr>
          <w:rFonts w:asciiTheme="minorHAnsi" w:hAnsiTheme="minorHAnsi" w:cstheme="minorHAnsi"/>
          <w:b/>
          <w:color w:val="FF0000"/>
          <w:sz w:val="24"/>
          <w:szCs w:val="24"/>
        </w:rPr>
        <w:tab/>
      </w:r>
      <w:r w:rsidRPr="00A60BB0" w:rsidR="004F6032">
        <w:rPr>
          <w:rFonts w:asciiTheme="minorHAnsi" w:hAnsiTheme="minorHAnsi" w:cstheme="minorHAnsi"/>
          <w:bCs/>
          <w:spacing w:val="2"/>
          <w:sz w:val="24"/>
          <w:szCs w:val="24"/>
        </w:rPr>
        <w:t>There is no change in burden.</w:t>
      </w:r>
    </w:p>
    <w:p w:rsidR="006665ED" w:rsidRPr="00A60BB0" w:rsidP="00CD619D" w14:paraId="35444A54" w14:textId="77777777">
      <w:pPr>
        <w:pStyle w:val="BodyText"/>
        <w:spacing w:before="9" w:line="276" w:lineRule="auto"/>
        <w:ind w:left="360" w:hanging="360"/>
        <w:rPr>
          <w:rFonts w:asciiTheme="minorHAnsi" w:hAnsiTheme="minorHAnsi" w:cstheme="minorHAnsi"/>
        </w:rPr>
      </w:pPr>
    </w:p>
    <w:p w:rsidR="000148AA" w:rsidRPr="00A60BB0" w:rsidP="00F547DE" w14:paraId="17E45308" w14:textId="16A1799E">
      <w:pPr>
        <w:pStyle w:val="ListParagraph"/>
        <w:tabs>
          <w:tab w:val="left" w:pos="856"/>
        </w:tabs>
        <w:spacing w:before="1" w:line="276" w:lineRule="auto"/>
        <w:ind w:left="720" w:right="591" w:hanging="360"/>
        <w:rPr>
          <w:rFonts w:asciiTheme="minorHAnsi" w:hAnsiTheme="minorHAnsi" w:cstheme="minorHAnsi"/>
          <w:b/>
          <w:sz w:val="24"/>
          <w:szCs w:val="24"/>
        </w:rPr>
      </w:pPr>
      <w:r w:rsidRPr="00A60BB0">
        <w:rPr>
          <w:rFonts w:asciiTheme="minorHAnsi" w:hAnsiTheme="minorHAnsi" w:cstheme="minorHAnsi"/>
          <w:b/>
          <w:sz w:val="24"/>
          <w:szCs w:val="24"/>
        </w:rPr>
        <w:t xml:space="preserve">16. </w:t>
      </w:r>
      <w:r w:rsidRPr="00A60BB0" w:rsidR="003F061F">
        <w:rPr>
          <w:rFonts w:asciiTheme="minorHAnsi" w:hAnsiTheme="minorHAnsi" w:cstheme="minorHAnsi"/>
          <w:b/>
          <w:sz w:val="24"/>
          <w:szCs w:val="24"/>
        </w:rPr>
        <w:t>Plans for Tabulation, Publication, and Project Time Schedule</w:t>
      </w:r>
    </w:p>
    <w:p w:rsidR="004F6032" w:rsidRPr="00A60BB0" w:rsidP="004F6032" w14:paraId="60417BF2" w14:textId="77777777">
      <w:pPr>
        <w:pStyle w:val="BodyText"/>
        <w:spacing w:before="3" w:line="276" w:lineRule="auto"/>
        <w:ind w:left="360"/>
        <w:rPr>
          <w:rFonts w:asciiTheme="minorHAnsi" w:hAnsiTheme="minorHAnsi" w:cstheme="minorHAnsi"/>
          <w:b w:val="0"/>
          <w:bCs w:val="0"/>
        </w:rPr>
      </w:pPr>
    </w:p>
    <w:p w:rsidR="004F6032" w:rsidRPr="00A60BB0" w:rsidP="004F6032" w14:paraId="5B0DFFC1" w14:textId="1C756F74">
      <w:pPr>
        <w:pStyle w:val="BodyText"/>
        <w:spacing w:before="3" w:line="276" w:lineRule="auto"/>
        <w:ind w:left="360"/>
        <w:rPr>
          <w:rFonts w:asciiTheme="minorHAnsi" w:hAnsiTheme="minorHAnsi" w:cstheme="minorHAnsi"/>
          <w:b w:val="0"/>
          <w:bCs w:val="0"/>
        </w:rPr>
      </w:pPr>
      <w:r w:rsidRPr="00A60BB0">
        <w:rPr>
          <w:rFonts w:asciiTheme="minorHAnsi" w:hAnsiTheme="minorHAnsi" w:cstheme="minorHAnsi"/>
          <w:b w:val="0"/>
          <w:bCs w:val="0"/>
        </w:rPr>
        <w:t xml:space="preserve">We will conduct the CPS, of which this supplement is a part, during the months of February, </w:t>
      </w:r>
      <w:r w:rsidRPr="00A60BB0">
        <w:rPr>
          <w:rFonts w:asciiTheme="minorHAnsi" w:hAnsiTheme="minorHAnsi" w:cstheme="minorHAnsi"/>
          <w:b w:val="0"/>
          <w:bCs w:val="0"/>
        </w:rPr>
        <w:t>March, and April.  Processing of this supplement will commence in May. The Public Use file will be released in September. We will publish advance reports based on the CPS data in September.  Final reports will follow throughout the middle of the following year.</w:t>
      </w:r>
    </w:p>
    <w:p w:rsidR="004F6032" w:rsidRPr="00A60BB0" w:rsidP="004F6032" w14:paraId="43197923" w14:textId="77777777">
      <w:pPr>
        <w:pStyle w:val="BodyText"/>
        <w:spacing w:before="3" w:line="276" w:lineRule="auto"/>
        <w:ind w:left="360" w:hanging="360"/>
        <w:rPr>
          <w:rFonts w:asciiTheme="minorHAnsi" w:hAnsiTheme="minorHAnsi" w:cstheme="minorHAnsi"/>
          <w:b w:val="0"/>
          <w:bCs w:val="0"/>
        </w:rPr>
      </w:pPr>
    </w:p>
    <w:p w:rsidR="004F6032" w:rsidRPr="00A60BB0" w:rsidP="004F6032" w14:paraId="43490E61" w14:textId="77777777">
      <w:pPr>
        <w:pStyle w:val="BodyText"/>
        <w:spacing w:before="3" w:line="276" w:lineRule="auto"/>
        <w:ind w:left="360" w:hanging="360"/>
        <w:rPr>
          <w:rFonts w:asciiTheme="minorHAnsi" w:hAnsiTheme="minorHAnsi" w:cstheme="minorHAnsi"/>
          <w:b w:val="0"/>
          <w:bCs w:val="0"/>
        </w:rPr>
      </w:pPr>
      <w:r w:rsidRPr="00A60BB0">
        <w:rPr>
          <w:rFonts w:asciiTheme="minorHAnsi" w:hAnsiTheme="minorHAnsi" w:cstheme="minorHAnsi"/>
          <w:b w:val="0"/>
          <w:bCs w:val="0"/>
        </w:rPr>
        <w:tab/>
      </w:r>
      <w:r w:rsidRPr="00A60BB0">
        <w:rPr>
          <w:rFonts w:asciiTheme="minorHAnsi" w:hAnsiTheme="minorHAnsi" w:cstheme="minorHAnsi"/>
          <w:b w:val="0"/>
          <w:bCs w:val="0"/>
          <w:u w:val="single"/>
        </w:rPr>
        <w:t>ASEC Publications</w:t>
      </w:r>
    </w:p>
    <w:p w:rsidR="004F6032" w:rsidRPr="00A60BB0" w:rsidP="004F6032" w14:paraId="64B970D5" w14:textId="77777777">
      <w:pPr>
        <w:pStyle w:val="BodyText"/>
        <w:spacing w:before="3" w:line="276" w:lineRule="auto"/>
        <w:ind w:left="360"/>
        <w:rPr>
          <w:rFonts w:asciiTheme="minorHAnsi" w:hAnsiTheme="minorHAnsi" w:cstheme="minorHAnsi"/>
          <w:b w:val="0"/>
          <w:bCs w:val="0"/>
        </w:rPr>
      </w:pPr>
      <w:r w:rsidRPr="00A60BB0">
        <w:rPr>
          <w:rFonts w:asciiTheme="minorHAnsi" w:hAnsiTheme="minorHAnsi" w:cstheme="minorHAnsi"/>
          <w:b w:val="0"/>
          <w:bCs w:val="0"/>
        </w:rPr>
        <w:t>The following publications are released annually based on the ASEC data:</w:t>
      </w:r>
    </w:p>
    <w:p w:rsidR="004F6032" w:rsidRPr="00A60BB0" w:rsidP="004F6032" w14:paraId="392A942A" w14:textId="77777777">
      <w:pPr>
        <w:pStyle w:val="BodyText"/>
        <w:numPr>
          <w:ilvl w:val="0"/>
          <w:numId w:val="8"/>
        </w:numPr>
        <w:spacing w:before="3" w:line="276" w:lineRule="auto"/>
        <w:rPr>
          <w:rFonts w:asciiTheme="minorHAnsi" w:hAnsiTheme="minorHAnsi" w:cstheme="minorHAnsi"/>
          <w:b w:val="0"/>
          <w:bCs w:val="0"/>
        </w:rPr>
      </w:pPr>
      <w:r w:rsidRPr="00A60BB0">
        <w:rPr>
          <w:rFonts w:asciiTheme="minorHAnsi" w:hAnsiTheme="minorHAnsi" w:cstheme="minorHAnsi"/>
          <w:b w:val="0"/>
          <w:bCs w:val="0"/>
          <w:i/>
          <w:iCs/>
        </w:rPr>
        <w:t>Income and Poverty in the United States</w:t>
      </w:r>
    </w:p>
    <w:p w:rsidR="004F6032" w:rsidRPr="00A60BB0" w:rsidP="004F6032" w14:paraId="3182E19B" w14:textId="77777777">
      <w:pPr>
        <w:pStyle w:val="BodyText"/>
        <w:numPr>
          <w:ilvl w:val="0"/>
          <w:numId w:val="8"/>
        </w:numPr>
        <w:spacing w:before="3" w:line="276" w:lineRule="auto"/>
        <w:rPr>
          <w:rFonts w:asciiTheme="minorHAnsi" w:hAnsiTheme="minorHAnsi" w:cstheme="minorHAnsi"/>
          <w:b w:val="0"/>
          <w:bCs w:val="0"/>
        </w:rPr>
      </w:pPr>
      <w:r w:rsidRPr="00A60BB0">
        <w:rPr>
          <w:rFonts w:asciiTheme="minorHAnsi" w:hAnsiTheme="minorHAnsi" w:cstheme="minorHAnsi"/>
          <w:b w:val="0"/>
          <w:bCs w:val="0"/>
          <w:i/>
          <w:iCs/>
        </w:rPr>
        <w:t>Health Insurance in the United States</w:t>
      </w:r>
    </w:p>
    <w:p w:rsidR="004F6032" w:rsidRPr="00A60BB0" w:rsidP="004F6032" w14:paraId="0515C2B1" w14:textId="77777777">
      <w:pPr>
        <w:pStyle w:val="BodyText"/>
        <w:numPr>
          <w:ilvl w:val="0"/>
          <w:numId w:val="8"/>
        </w:numPr>
        <w:spacing w:before="3" w:line="276" w:lineRule="auto"/>
        <w:rPr>
          <w:rFonts w:asciiTheme="minorHAnsi" w:hAnsiTheme="minorHAnsi" w:cstheme="minorHAnsi"/>
          <w:b w:val="0"/>
          <w:bCs w:val="0"/>
        </w:rPr>
      </w:pPr>
      <w:r w:rsidRPr="00A60BB0">
        <w:rPr>
          <w:rFonts w:asciiTheme="minorHAnsi" w:hAnsiTheme="minorHAnsi" w:cstheme="minorHAnsi"/>
          <w:b w:val="0"/>
          <w:bCs w:val="0"/>
          <w:i/>
          <w:iCs/>
        </w:rPr>
        <w:t>Alternative Income Estimates in the United States</w:t>
      </w:r>
    </w:p>
    <w:p w:rsidR="004F6032" w:rsidRPr="00A60BB0" w:rsidP="004F6032" w14:paraId="2EDAA970" w14:textId="77777777">
      <w:pPr>
        <w:pStyle w:val="BodyText"/>
        <w:spacing w:before="3" w:line="276" w:lineRule="auto"/>
        <w:ind w:left="600" w:firstLine="360"/>
        <w:rPr>
          <w:rFonts w:asciiTheme="minorHAnsi" w:hAnsiTheme="minorHAnsi" w:cstheme="minorHAnsi"/>
          <w:b w:val="0"/>
          <w:bCs w:val="0"/>
        </w:rPr>
      </w:pPr>
      <w:r w:rsidRPr="00A60BB0">
        <w:rPr>
          <w:rFonts w:asciiTheme="minorHAnsi" w:hAnsiTheme="minorHAnsi" w:cstheme="minorHAnsi"/>
          <w:b w:val="0"/>
          <w:bCs w:val="0"/>
        </w:rPr>
        <w:t>d)</w:t>
      </w:r>
      <w:r w:rsidRPr="00A60BB0">
        <w:rPr>
          <w:rFonts w:asciiTheme="minorHAnsi" w:hAnsiTheme="minorHAnsi" w:cstheme="minorHAnsi"/>
          <w:b w:val="0"/>
          <w:bCs w:val="0"/>
        </w:rPr>
        <w:tab/>
      </w:r>
      <w:r w:rsidRPr="00A60BB0">
        <w:rPr>
          <w:rFonts w:asciiTheme="minorHAnsi" w:hAnsiTheme="minorHAnsi" w:cstheme="minorHAnsi"/>
          <w:b w:val="0"/>
          <w:bCs w:val="0"/>
          <w:i/>
          <w:iCs/>
        </w:rPr>
        <w:t>America’s Families and Living Arrangements</w:t>
      </w:r>
    </w:p>
    <w:p w:rsidR="004F6032" w:rsidRPr="00A60BB0" w:rsidP="004F6032" w14:paraId="15A2FCD1" w14:textId="77777777">
      <w:pPr>
        <w:pStyle w:val="BodyText"/>
        <w:spacing w:before="3" w:line="276" w:lineRule="auto"/>
        <w:ind w:left="600" w:firstLine="360"/>
        <w:rPr>
          <w:rFonts w:asciiTheme="minorHAnsi" w:hAnsiTheme="minorHAnsi" w:cstheme="minorHAnsi"/>
          <w:b w:val="0"/>
          <w:bCs w:val="0"/>
        </w:rPr>
      </w:pPr>
      <w:r w:rsidRPr="00A60BB0">
        <w:rPr>
          <w:rFonts w:asciiTheme="minorHAnsi" w:hAnsiTheme="minorHAnsi" w:cstheme="minorHAnsi"/>
          <w:b w:val="0"/>
          <w:bCs w:val="0"/>
        </w:rPr>
        <w:t>e)</w:t>
      </w:r>
      <w:r w:rsidRPr="00A60BB0">
        <w:rPr>
          <w:rFonts w:asciiTheme="minorHAnsi" w:hAnsiTheme="minorHAnsi" w:cstheme="minorHAnsi"/>
          <w:b w:val="0"/>
          <w:bCs w:val="0"/>
        </w:rPr>
        <w:tab/>
      </w:r>
      <w:r w:rsidRPr="00A60BB0">
        <w:rPr>
          <w:rFonts w:asciiTheme="minorHAnsi" w:hAnsiTheme="minorHAnsi" w:cstheme="minorHAnsi"/>
          <w:b w:val="0"/>
          <w:bCs w:val="0"/>
          <w:i/>
          <w:iCs/>
        </w:rPr>
        <w:t>Geographic Mobility</w:t>
      </w:r>
    </w:p>
    <w:p w:rsidR="004F6032" w:rsidRPr="00A60BB0" w:rsidP="004F6032" w14:paraId="28C98A36" w14:textId="77777777">
      <w:pPr>
        <w:pStyle w:val="BodyText"/>
        <w:spacing w:before="3" w:line="276" w:lineRule="auto"/>
        <w:ind w:left="600" w:firstLine="360"/>
        <w:rPr>
          <w:rFonts w:asciiTheme="minorHAnsi" w:hAnsiTheme="minorHAnsi" w:cstheme="minorHAnsi"/>
          <w:b w:val="0"/>
          <w:bCs w:val="0"/>
        </w:rPr>
      </w:pPr>
      <w:r w:rsidRPr="00A60BB0">
        <w:rPr>
          <w:rFonts w:asciiTheme="minorHAnsi" w:hAnsiTheme="minorHAnsi" w:cstheme="minorHAnsi"/>
          <w:b w:val="0"/>
          <w:bCs w:val="0"/>
        </w:rPr>
        <w:t>f)</w:t>
      </w:r>
      <w:r w:rsidRPr="00A60BB0">
        <w:rPr>
          <w:rFonts w:asciiTheme="minorHAnsi" w:hAnsiTheme="minorHAnsi" w:cstheme="minorHAnsi"/>
          <w:b w:val="0"/>
          <w:bCs w:val="0"/>
        </w:rPr>
        <w:tab/>
      </w:r>
      <w:r w:rsidRPr="00A60BB0">
        <w:rPr>
          <w:rFonts w:asciiTheme="minorHAnsi" w:hAnsiTheme="minorHAnsi" w:cstheme="minorHAnsi"/>
          <w:b w:val="0"/>
          <w:bCs w:val="0"/>
          <w:i/>
          <w:iCs/>
        </w:rPr>
        <w:t>Educational Attainment</w:t>
      </w:r>
      <w:r w:rsidRPr="00A60BB0">
        <w:rPr>
          <w:rFonts w:asciiTheme="minorHAnsi" w:hAnsiTheme="minorHAnsi" w:cstheme="minorHAnsi"/>
          <w:b w:val="0"/>
          <w:bCs w:val="0"/>
        </w:rPr>
        <w:t xml:space="preserve"> (since 1947).</w:t>
      </w:r>
    </w:p>
    <w:p w:rsidR="000148AA" w:rsidRPr="00A60BB0" w:rsidP="00BD766E" w14:paraId="42451E57" w14:textId="3AF330F0">
      <w:pPr>
        <w:pStyle w:val="BodyText"/>
        <w:spacing w:before="3" w:line="276" w:lineRule="auto"/>
        <w:ind w:left="1440" w:hanging="480"/>
        <w:rPr>
          <w:rFonts w:asciiTheme="minorHAnsi" w:hAnsiTheme="minorHAnsi" w:cstheme="minorHAnsi"/>
        </w:rPr>
      </w:pPr>
      <w:r w:rsidRPr="00A60BB0">
        <w:rPr>
          <w:rFonts w:asciiTheme="minorHAnsi" w:hAnsiTheme="minorHAnsi" w:cstheme="minorHAnsi"/>
          <w:b w:val="0"/>
          <w:bCs w:val="0"/>
        </w:rPr>
        <w:t>g)</w:t>
      </w:r>
      <w:r w:rsidRPr="00A60BB0">
        <w:rPr>
          <w:rFonts w:asciiTheme="minorHAnsi" w:hAnsiTheme="minorHAnsi" w:cstheme="minorHAnsi"/>
          <w:b w:val="0"/>
          <w:bCs w:val="0"/>
        </w:rPr>
        <w:tab/>
        <w:t xml:space="preserve">In addition to the Census Bureau publications listed above, BLS has published yearly results from the ASEC supplement (educational attainment, marital history, and work experience) in news releases, articles in the </w:t>
      </w:r>
      <w:r w:rsidRPr="00A60BB0">
        <w:rPr>
          <w:rFonts w:asciiTheme="minorHAnsi" w:hAnsiTheme="minorHAnsi" w:cstheme="minorHAnsi"/>
          <w:b w:val="0"/>
          <w:bCs w:val="0"/>
          <w:i/>
          <w:iCs/>
        </w:rPr>
        <w:t>Monthly Labor Review</w:t>
      </w:r>
      <w:r w:rsidRPr="00A60BB0">
        <w:rPr>
          <w:rFonts w:asciiTheme="minorHAnsi" w:hAnsiTheme="minorHAnsi" w:cstheme="minorHAnsi"/>
          <w:b w:val="0"/>
          <w:bCs w:val="0"/>
        </w:rPr>
        <w:t>, and special bulletins.</w:t>
      </w:r>
    </w:p>
    <w:p w:rsidR="006665ED" w:rsidRPr="00A60BB0" w:rsidP="00CD619D" w14:paraId="70A9C133" w14:textId="77777777">
      <w:pPr>
        <w:pStyle w:val="BodyText"/>
        <w:spacing w:before="3" w:line="276" w:lineRule="auto"/>
        <w:ind w:left="360" w:hanging="360"/>
        <w:rPr>
          <w:rFonts w:asciiTheme="minorHAnsi" w:hAnsiTheme="minorHAnsi" w:cstheme="minorHAnsi"/>
        </w:rPr>
      </w:pPr>
    </w:p>
    <w:p w:rsidR="000148AA" w:rsidRPr="00A60BB0" w:rsidP="00F547DE" w14:paraId="3B65BA50" w14:textId="5882DA68">
      <w:pPr>
        <w:pStyle w:val="ListParagraph"/>
        <w:tabs>
          <w:tab w:val="left" w:pos="856"/>
        </w:tabs>
        <w:spacing w:line="276" w:lineRule="auto"/>
        <w:ind w:left="720" w:right="702" w:hanging="360"/>
        <w:rPr>
          <w:rFonts w:asciiTheme="minorHAnsi" w:hAnsiTheme="minorHAnsi" w:cstheme="minorHAnsi"/>
          <w:b/>
          <w:sz w:val="24"/>
          <w:szCs w:val="24"/>
          <w:lang w:bidi="he-IL"/>
        </w:rPr>
      </w:pPr>
      <w:r w:rsidRPr="00A60BB0">
        <w:rPr>
          <w:rFonts w:asciiTheme="minorHAnsi" w:hAnsiTheme="minorHAnsi" w:cstheme="minorHAnsi"/>
          <w:b/>
          <w:sz w:val="24"/>
          <w:szCs w:val="24"/>
        </w:rPr>
        <w:t xml:space="preserve">17. </w:t>
      </w:r>
      <w:r w:rsidRPr="00A60BB0" w:rsidR="003F061F">
        <w:rPr>
          <w:rFonts w:asciiTheme="minorHAnsi" w:hAnsiTheme="minorHAnsi" w:cstheme="minorHAnsi"/>
          <w:b/>
          <w:sz w:val="24"/>
          <w:szCs w:val="24"/>
        </w:rPr>
        <w:t>Reason(s) Display of OMB Expiration Date is Inappropriate</w:t>
      </w:r>
      <w:r w:rsidRPr="00A60BB0" w:rsidR="003F061F">
        <w:rPr>
          <w:rFonts w:asciiTheme="minorHAnsi" w:hAnsiTheme="minorHAnsi" w:cstheme="minorHAnsi"/>
          <w:b/>
          <w:sz w:val="24"/>
          <w:szCs w:val="24"/>
          <w:lang w:bidi="he-IL"/>
        </w:rPr>
        <w:t>.</w:t>
      </w:r>
    </w:p>
    <w:p w:rsidR="004F6032" w:rsidRPr="00A60BB0" w:rsidP="00CD619D" w14:paraId="7A14D425" w14:textId="77777777">
      <w:pPr>
        <w:pStyle w:val="ListParagraph"/>
        <w:tabs>
          <w:tab w:val="left" w:pos="856"/>
        </w:tabs>
        <w:spacing w:line="276" w:lineRule="auto"/>
        <w:ind w:left="360" w:right="702" w:hanging="360"/>
        <w:rPr>
          <w:rFonts w:asciiTheme="minorHAnsi" w:hAnsiTheme="minorHAnsi" w:cstheme="minorHAnsi"/>
          <w:b/>
          <w:sz w:val="24"/>
          <w:szCs w:val="24"/>
        </w:rPr>
      </w:pPr>
    </w:p>
    <w:p w:rsidR="000148AA" w:rsidRPr="00A60BB0" w:rsidP="00BD766E" w14:paraId="250AC486" w14:textId="264ECB67">
      <w:pPr>
        <w:pStyle w:val="BodyText"/>
        <w:spacing w:before="6" w:line="276" w:lineRule="auto"/>
        <w:ind w:left="360"/>
        <w:rPr>
          <w:rFonts w:asciiTheme="minorHAnsi" w:hAnsiTheme="minorHAnsi" w:cstheme="minorHAnsi"/>
        </w:rPr>
      </w:pPr>
      <w:r w:rsidRPr="00A60BB0">
        <w:rPr>
          <w:rFonts w:asciiTheme="minorHAnsi" w:hAnsiTheme="minorHAnsi" w:cstheme="minorHAnsi"/>
          <w:b w:val="0"/>
          <w:bCs w:val="0"/>
        </w:rPr>
        <w:t>The ASEC Supplement is administered as part of the CPS monthly interview.  However, this supplement (as well as all the CPS supplements) bears an OMB control number and expiration date which is different from the basic CPS interview.  The OMB control number for the CPS basic interview is included in the advance letter we give respondents (see Attachment D</w:t>
      </w:r>
      <w:r w:rsidR="00567104">
        <w:rPr>
          <w:rFonts w:asciiTheme="minorHAnsi" w:hAnsiTheme="minorHAnsi" w:cstheme="minorHAnsi"/>
          <w:b w:val="0"/>
          <w:bCs w:val="0"/>
        </w:rPr>
        <w:t>-1E</w:t>
      </w:r>
      <w:r w:rsidRPr="00A60BB0">
        <w:rPr>
          <w:rFonts w:asciiTheme="minorHAnsi" w:hAnsiTheme="minorHAnsi" w:cstheme="minorHAnsi"/>
          <w:b w:val="0"/>
          <w:bCs w:val="0"/>
        </w:rPr>
        <w:t>).  Because of these complexities and the anticipated respondent confusion involved with expressing a separate control number and expiration date to respondents for the supplement questions, we request a waiver of the requirement to display the OMB control number and expiration date for the CPS ASEC Supplement.</w:t>
      </w:r>
    </w:p>
    <w:p w:rsidR="006665ED" w:rsidRPr="00A60BB0" w:rsidP="00CD619D" w14:paraId="2922182E" w14:textId="77777777">
      <w:pPr>
        <w:pStyle w:val="BodyText"/>
        <w:spacing w:before="6" w:line="276" w:lineRule="auto"/>
        <w:ind w:left="360" w:hanging="360"/>
        <w:rPr>
          <w:rFonts w:asciiTheme="minorHAnsi" w:hAnsiTheme="minorHAnsi" w:cstheme="minorHAnsi"/>
        </w:rPr>
      </w:pPr>
    </w:p>
    <w:p w:rsidR="000148AA" w:rsidRPr="00A60BB0" w:rsidP="00F547DE" w14:paraId="1C066BD6" w14:textId="37A55877">
      <w:pPr>
        <w:pStyle w:val="ListParagraph"/>
        <w:tabs>
          <w:tab w:val="left" w:pos="856"/>
          <w:tab w:val="left" w:pos="900"/>
        </w:tabs>
        <w:spacing w:line="276" w:lineRule="auto"/>
        <w:ind w:left="720" w:right="334" w:hanging="360"/>
        <w:rPr>
          <w:rFonts w:asciiTheme="minorHAnsi" w:hAnsiTheme="minorHAnsi" w:cstheme="minorHAnsi"/>
          <w:b/>
          <w:sz w:val="24"/>
          <w:szCs w:val="24"/>
          <w:lang w:bidi="he-IL"/>
        </w:rPr>
      </w:pPr>
      <w:r w:rsidRPr="00A60BB0">
        <w:rPr>
          <w:rFonts w:asciiTheme="minorHAnsi" w:hAnsiTheme="minorHAnsi" w:cstheme="minorHAnsi"/>
          <w:b/>
          <w:spacing w:val="-3"/>
          <w:sz w:val="24"/>
          <w:szCs w:val="24"/>
        </w:rPr>
        <w:t xml:space="preserve">18. </w:t>
      </w:r>
      <w:r w:rsidRPr="00A60BB0" w:rsidR="003F061F">
        <w:rPr>
          <w:rFonts w:asciiTheme="minorHAnsi" w:hAnsiTheme="minorHAnsi" w:cstheme="minorHAnsi"/>
          <w:b/>
          <w:sz w:val="24"/>
          <w:szCs w:val="24"/>
          <w:lang w:bidi="he-IL"/>
        </w:rPr>
        <w:t>Exceptions to the Certification for Paperwork Reduction Act Submissions</w:t>
      </w:r>
    </w:p>
    <w:p w:rsidR="004F6032" w:rsidRPr="00A60BB0" w:rsidP="00CD619D" w14:paraId="78B2237F" w14:textId="77777777">
      <w:pPr>
        <w:pStyle w:val="ListParagraph"/>
        <w:tabs>
          <w:tab w:val="left" w:pos="856"/>
          <w:tab w:val="left" w:pos="900"/>
        </w:tabs>
        <w:spacing w:line="276" w:lineRule="auto"/>
        <w:ind w:left="360" w:right="334" w:hanging="360"/>
        <w:rPr>
          <w:rFonts w:asciiTheme="minorHAnsi" w:hAnsiTheme="minorHAnsi" w:cstheme="minorHAnsi"/>
          <w:b/>
          <w:sz w:val="24"/>
          <w:szCs w:val="24"/>
        </w:rPr>
      </w:pPr>
    </w:p>
    <w:p w:rsidR="000148AA" w:rsidRPr="00A60BB0" w:rsidP="00F571D6" w14:paraId="3D63C363" w14:textId="6B96692A">
      <w:pPr>
        <w:pStyle w:val="BodyText"/>
        <w:spacing w:line="276" w:lineRule="auto"/>
        <w:ind w:firstLine="360"/>
        <w:rPr>
          <w:rFonts w:asciiTheme="minorHAnsi" w:hAnsiTheme="minorHAnsi" w:cstheme="minorHAnsi"/>
          <w:b w:val="0"/>
          <w:bCs w:val="0"/>
        </w:rPr>
      </w:pPr>
      <w:r w:rsidRPr="00A60BB0">
        <w:rPr>
          <w:rFonts w:asciiTheme="minorHAnsi" w:hAnsiTheme="minorHAnsi" w:cstheme="minorHAnsi"/>
          <w:b w:val="0"/>
          <w:bCs w:val="0"/>
        </w:rPr>
        <w:t>There are no exceptions to the certification.</w:t>
      </w:r>
    </w:p>
    <w:sectPr>
      <w:footerReference w:type="default" r:id="rId7"/>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6981E75B" w14:textId="67DB9490">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3048ADC1"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A17139"/>
    <w:multiLevelType w:val="hybridMultilevel"/>
    <w:tmpl w:val="21562626"/>
    <w:lvl w:ilvl="0">
      <w:start w:val="1"/>
      <w:numFmt w:val="lowerLetter"/>
      <w:lvlText w:val="%1)"/>
      <w:lvlJc w:val="left"/>
      <w:pPr>
        <w:tabs>
          <w:tab w:val="num" w:pos="1440"/>
        </w:tabs>
        <w:ind w:left="1440" w:hanging="480"/>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3">
    <w:nsid w:val="1F3D1843"/>
    <w:multiLevelType w:val="hybridMultilevel"/>
    <w:tmpl w:val="E09090A8"/>
    <w:lvl w:ilvl="0">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4">
    <w:nsid w:val="583A7387"/>
    <w:multiLevelType w:val="hybridMultilevel"/>
    <w:tmpl w:val="92BA54C0"/>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E5C1404"/>
    <w:multiLevelType w:val="hybridMultilevel"/>
    <w:tmpl w:val="120A519C"/>
    <w:lvl w:ilvl="0">
      <w:start w:val="1"/>
      <w:numFmt w:val="bullet"/>
      <w:lvlText w:val=""/>
      <w:lvlJc w:val="left"/>
      <w:pPr>
        <w:ind w:left="1144" w:hanging="360"/>
      </w:pPr>
      <w:rPr>
        <w:rFonts w:ascii="Symbol" w:hAnsi="Symbol" w:hint="default"/>
      </w:rPr>
    </w:lvl>
    <w:lvl w:ilvl="1" w:tentative="1">
      <w:start w:val="1"/>
      <w:numFmt w:val="bullet"/>
      <w:lvlText w:val="o"/>
      <w:lvlJc w:val="left"/>
      <w:pPr>
        <w:ind w:left="1864" w:hanging="360"/>
      </w:pPr>
      <w:rPr>
        <w:rFonts w:ascii="Courier New" w:hAnsi="Courier New" w:cs="Courier New" w:hint="default"/>
      </w:rPr>
    </w:lvl>
    <w:lvl w:ilvl="2" w:tentative="1">
      <w:start w:val="1"/>
      <w:numFmt w:val="bullet"/>
      <w:lvlText w:val=""/>
      <w:lvlJc w:val="left"/>
      <w:pPr>
        <w:ind w:left="2584" w:hanging="360"/>
      </w:pPr>
      <w:rPr>
        <w:rFonts w:ascii="Wingdings" w:hAnsi="Wingdings" w:hint="default"/>
      </w:rPr>
    </w:lvl>
    <w:lvl w:ilvl="3" w:tentative="1">
      <w:start w:val="1"/>
      <w:numFmt w:val="bullet"/>
      <w:lvlText w:val=""/>
      <w:lvlJc w:val="left"/>
      <w:pPr>
        <w:ind w:left="3304" w:hanging="360"/>
      </w:pPr>
      <w:rPr>
        <w:rFonts w:ascii="Symbol" w:hAnsi="Symbol" w:hint="default"/>
      </w:rPr>
    </w:lvl>
    <w:lvl w:ilvl="4" w:tentative="1">
      <w:start w:val="1"/>
      <w:numFmt w:val="bullet"/>
      <w:lvlText w:val="o"/>
      <w:lvlJc w:val="left"/>
      <w:pPr>
        <w:ind w:left="4024" w:hanging="360"/>
      </w:pPr>
      <w:rPr>
        <w:rFonts w:ascii="Courier New" w:hAnsi="Courier New" w:cs="Courier New" w:hint="default"/>
      </w:rPr>
    </w:lvl>
    <w:lvl w:ilvl="5" w:tentative="1">
      <w:start w:val="1"/>
      <w:numFmt w:val="bullet"/>
      <w:lvlText w:val=""/>
      <w:lvlJc w:val="left"/>
      <w:pPr>
        <w:ind w:left="4744" w:hanging="360"/>
      </w:pPr>
      <w:rPr>
        <w:rFonts w:ascii="Wingdings" w:hAnsi="Wingdings" w:hint="default"/>
      </w:rPr>
    </w:lvl>
    <w:lvl w:ilvl="6" w:tentative="1">
      <w:start w:val="1"/>
      <w:numFmt w:val="bullet"/>
      <w:lvlText w:val=""/>
      <w:lvlJc w:val="left"/>
      <w:pPr>
        <w:ind w:left="5464" w:hanging="360"/>
      </w:pPr>
      <w:rPr>
        <w:rFonts w:ascii="Symbol" w:hAnsi="Symbol" w:hint="default"/>
      </w:rPr>
    </w:lvl>
    <w:lvl w:ilvl="7" w:tentative="1">
      <w:start w:val="1"/>
      <w:numFmt w:val="bullet"/>
      <w:lvlText w:val="o"/>
      <w:lvlJc w:val="left"/>
      <w:pPr>
        <w:ind w:left="6184" w:hanging="360"/>
      </w:pPr>
      <w:rPr>
        <w:rFonts w:ascii="Courier New" w:hAnsi="Courier New" w:cs="Courier New" w:hint="default"/>
      </w:rPr>
    </w:lvl>
    <w:lvl w:ilvl="8" w:tentative="1">
      <w:start w:val="1"/>
      <w:numFmt w:val="bullet"/>
      <w:lvlText w:val=""/>
      <w:lvlJc w:val="left"/>
      <w:pPr>
        <w:ind w:left="6904" w:hanging="360"/>
      </w:pPr>
      <w:rPr>
        <w:rFonts w:ascii="Wingdings" w:hAnsi="Wingdings" w:hint="default"/>
      </w:rPr>
    </w:lvl>
  </w:abstractNum>
  <w:abstractNum w:abstractNumId="7">
    <w:nsid w:val="7DEC0CE6"/>
    <w:multiLevelType w:val="hybridMultilevel"/>
    <w:tmpl w:val="8BF6ECE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909845736">
    <w:abstractNumId w:val="3"/>
  </w:num>
  <w:num w:numId="2" w16cid:durableId="39482996">
    <w:abstractNumId w:val="1"/>
  </w:num>
  <w:num w:numId="3" w16cid:durableId="492767555">
    <w:abstractNumId w:val="5"/>
  </w:num>
  <w:num w:numId="4" w16cid:durableId="414789152">
    <w:abstractNumId w:val="0"/>
  </w:num>
  <w:num w:numId="5" w16cid:durableId="94374132">
    <w:abstractNumId w:val="6"/>
  </w:num>
  <w:num w:numId="6" w16cid:durableId="23019916">
    <w:abstractNumId w:val="4"/>
  </w:num>
  <w:num w:numId="7" w16cid:durableId="1588659097">
    <w:abstractNumId w:val="7"/>
  </w:num>
  <w:num w:numId="8" w16cid:durableId="143270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0668CD"/>
    <w:rsid w:val="00097831"/>
    <w:rsid w:val="000E05FB"/>
    <w:rsid w:val="001204EA"/>
    <w:rsid w:val="00175AE4"/>
    <w:rsid w:val="001C5784"/>
    <w:rsid w:val="001F1B54"/>
    <w:rsid w:val="00214F97"/>
    <w:rsid w:val="0022512E"/>
    <w:rsid w:val="002B279C"/>
    <w:rsid w:val="003F061F"/>
    <w:rsid w:val="00430030"/>
    <w:rsid w:val="00450802"/>
    <w:rsid w:val="00465CF1"/>
    <w:rsid w:val="004F6032"/>
    <w:rsid w:val="0051294C"/>
    <w:rsid w:val="00567104"/>
    <w:rsid w:val="005C1500"/>
    <w:rsid w:val="00641B5A"/>
    <w:rsid w:val="006665ED"/>
    <w:rsid w:val="00696D6D"/>
    <w:rsid w:val="00696ED1"/>
    <w:rsid w:val="006B0174"/>
    <w:rsid w:val="006B52D3"/>
    <w:rsid w:val="006B5602"/>
    <w:rsid w:val="00837F3C"/>
    <w:rsid w:val="0085220A"/>
    <w:rsid w:val="008D3C10"/>
    <w:rsid w:val="008E0A73"/>
    <w:rsid w:val="009471AF"/>
    <w:rsid w:val="009961D8"/>
    <w:rsid w:val="009B6D2D"/>
    <w:rsid w:val="009D0ACE"/>
    <w:rsid w:val="00A31A9E"/>
    <w:rsid w:val="00A416DF"/>
    <w:rsid w:val="00A60BB0"/>
    <w:rsid w:val="00A8776C"/>
    <w:rsid w:val="00AA0CC2"/>
    <w:rsid w:val="00B11066"/>
    <w:rsid w:val="00B168ED"/>
    <w:rsid w:val="00B20DD3"/>
    <w:rsid w:val="00B562A6"/>
    <w:rsid w:val="00B75159"/>
    <w:rsid w:val="00BC2C1B"/>
    <w:rsid w:val="00BD4680"/>
    <w:rsid w:val="00BD766E"/>
    <w:rsid w:val="00CD619D"/>
    <w:rsid w:val="00D941D0"/>
    <w:rsid w:val="00DA0FCF"/>
    <w:rsid w:val="00DB4246"/>
    <w:rsid w:val="00DE3363"/>
    <w:rsid w:val="00E141AC"/>
    <w:rsid w:val="00E84A7D"/>
    <w:rsid w:val="00E9063F"/>
    <w:rsid w:val="00EB6D62"/>
    <w:rsid w:val="00F274F8"/>
    <w:rsid w:val="00F547DE"/>
    <w:rsid w:val="00F571D6"/>
    <w:rsid w:val="11002B43"/>
    <w:rsid w:val="12886792"/>
    <w:rsid w:val="140CD2AF"/>
    <w:rsid w:val="34A075D0"/>
    <w:rsid w:val="35C4C50E"/>
    <w:rsid w:val="36B2337D"/>
    <w:rsid w:val="44460416"/>
    <w:rsid w:val="4E88FC7D"/>
    <w:rsid w:val="4F2D3A5A"/>
    <w:rsid w:val="6949D127"/>
    <w:rsid w:val="7019A5BA"/>
    <w:rsid w:val="717D5E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F6032"/>
    <w:rPr>
      <w:rFonts w:ascii="Times New Roman" w:eastAsia="Times New Roman" w:hAnsi="Times New Roman" w:cs="Times New Roman"/>
      <w:b/>
      <w:bCs/>
      <w:sz w:val="24"/>
      <w:szCs w:val="24"/>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776C"/>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Tim Marshall</SubmitterName>
    <Parent_ICR xmlns="f762c95d-3cca-4969-a35b-3d8ab5bf0d48">1537</Parent_ICR>
    <ICR_ID xmlns="f762c95d-3cca-4969-a35b-3d8ab5bf0d48">1537</ICR_ID>
    <DocumentType xmlns="f762c95d-3cca-4969-a35b-3d8ab5bf0d48">Supporting Statement A</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5D599-3059-404A-AD48-DC4A439B4F5E}">
  <ds:schemaRefs>
    <ds:schemaRef ds:uri="http://schemas.microsoft.com/office/2006/metadata/properties"/>
    <ds:schemaRef ds:uri="ddf89d24-da51-4c04-a6b5-936a153adb8f"/>
    <ds:schemaRef ds:uri="http://schemas.microsoft.com/office/infopath/2007/PartnerControls"/>
    <ds:schemaRef ds:uri="http://purl.org/dc/terms/"/>
    <ds:schemaRef ds:uri="683294c6-37a3-4ef1-8fc0-8d465748c9d6"/>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f762c95d-3cca-4969-a35b-3d8ab5bf0d48"/>
  </ds:schemaRefs>
</ds:datastoreItem>
</file>

<file path=customXml/itemProps2.xml><?xml version="1.0" encoding="utf-8"?>
<ds:datastoreItem xmlns:ds="http://schemas.openxmlformats.org/officeDocument/2006/customXml" ds:itemID="{9BDD8623-0ACC-463D-AD7F-576383A4E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AD937-EB6B-42DE-8DEE-27874DA2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3114</Words>
  <Characters>17754</Characters>
  <Application>Microsoft Office Word</Application>
  <DocSecurity>0</DocSecurity>
  <Lines>147</Lines>
  <Paragraphs>41</Paragraphs>
  <ScaleCrop>false</ScaleCrop>
  <Company>Bureau of the Census</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ASEC_SupportingStatementA_final</dc:title>
  <dc:creator>Kenneth Smith</dc:creator>
  <cp:lastModifiedBy>Tim J Marshall (CENSUS/ADDP FED)</cp:lastModifiedBy>
  <cp:revision>3</cp:revision>
  <dcterms:created xsi:type="dcterms:W3CDTF">2024-10-23T15:50:00Z</dcterms:created>
  <dcterms:modified xsi:type="dcterms:W3CDTF">2024-10-23T15:57:00Z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