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22A3" w:rsidRPr="00BB439E" w:rsidP="00954FE2" w14:paraId="3B9EA540" w14:textId="306A6FAA">
      <w:pPr>
        <w:pStyle w:val="BodyText"/>
        <w:jc w:val="center"/>
        <w:rPr>
          <w:rFonts w:asciiTheme="minorHAnsi" w:hAnsiTheme="minorHAnsi" w:cstheme="minorHAnsi"/>
        </w:rPr>
      </w:pPr>
      <w:r w:rsidRPr="00BB439E">
        <w:rPr>
          <w:rFonts w:asciiTheme="minorHAnsi" w:hAnsiTheme="minorHAnsi" w:cstheme="minorHAnsi"/>
        </w:rPr>
        <w:t>Supporting Statement B</w:t>
      </w:r>
    </w:p>
    <w:p w:rsidR="00B322A3" w:rsidRPr="00BB439E" w:rsidP="00954FE2" w14:paraId="50366130" w14:textId="77777777">
      <w:pPr>
        <w:pStyle w:val="BodyText"/>
        <w:jc w:val="center"/>
        <w:rPr>
          <w:rFonts w:asciiTheme="minorHAnsi" w:hAnsiTheme="minorHAnsi" w:cstheme="minorHAnsi"/>
        </w:rPr>
      </w:pPr>
      <w:r w:rsidRPr="00BB439E">
        <w:rPr>
          <w:rFonts w:asciiTheme="minorHAnsi" w:hAnsiTheme="minorHAnsi" w:cstheme="minorHAnsi"/>
        </w:rPr>
        <w:t>U.S. Department of Commerce</w:t>
      </w:r>
    </w:p>
    <w:p w:rsidR="00B322A3" w:rsidRPr="00BB439E" w:rsidP="00954FE2" w14:paraId="513B5F94" w14:textId="77777777">
      <w:pPr>
        <w:pStyle w:val="BodyText"/>
        <w:jc w:val="center"/>
        <w:rPr>
          <w:rFonts w:asciiTheme="minorHAnsi" w:hAnsiTheme="minorHAnsi" w:cstheme="minorHAnsi"/>
        </w:rPr>
      </w:pPr>
      <w:r w:rsidRPr="00BB439E">
        <w:rPr>
          <w:rFonts w:asciiTheme="minorHAnsi" w:hAnsiTheme="minorHAnsi" w:cstheme="minorHAnsi"/>
        </w:rPr>
        <w:t>U.S. Census Bureau</w:t>
      </w:r>
    </w:p>
    <w:p w:rsidR="0056673B" w:rsidRPr="00BB439E" w:rsidP="0056673B" w14:paraId="50700D0E" w14:textId="77777777">
      <w:pPr>
        <w:pStyle w:val="BodyText"/>
        <w:jc w:val="center"/>
        <w:rPr>
          <w:rFonts w:asciiTheme="minorHAnsi" w:hAnsiTheme="minorHAnsi" w:cstheme="minorHAnsi"/>
        </w:rPr>
      </w:pPr>
      <w:r w:rsidRPr="00BB439E">
        <w:rPr>
          <w:rFonts w:asciiTheme="minorHAnsi" w:hAnsiTheme="minorHAnsi" w:cstheme="minorHAnsi"/>
        </w:rPr>
        <w:t>Annual Social and Economic Supplement</w:t>
      </w:r>
    </w:p>
    <w:p w:rsidR="0056673B" w:rsidRPr="00BB439E" w:rsidP="0056673B" w14:paraId="75B1AE3F" w14:textId="77777777">
      <w:pPr>
        <w:pStyle w:val="BodyText"/>
        <w:jc w:val="center"/>
        <w:rPr>
          <w:rFonts w:asciiTheme="minorHAnsi" w:hAnsiTheme="minorHAnsi" w:cstheme="minorHAnsi"/>
        </w:rPr>
      </w:pPr>
      <w:r w:rsidRPr="00BB439E">
        <w:rPr>
          <w:rFonts w:asciiTheme="minorHAnsi" w:hAnsiTheme="minorHAnsi" w:cstheme="minorHAnsi"/>
        </w:rPr>
        <w:t>to the Current Population Survey</w:t>
      </w:r>
    </w:p>
    <w:p w:rsidR="0056673B" w:rsidRPr="00BB439E" w:rsidP="0056673B" w14:paraId="3C7690C3" w14:textId="22051932">
      <w:pPr>
        <w:pStyle w:val="BodyText"/>
        <w:jc w:val="center"/>
        <w:rPr>
          <w:rFonts w:asciiTheme="minorHAnsi" w:hAnsiTheme="minorHAnsi" w:cstheme="minorHAnsi"/>
        </w:rPr>
      </w:pPr>
      <w:r w:rsidRPr="00BB439E">
        <w:rPr>
          <w:rFonts w:asciiTheme="minorHAnsi" w:hAnsiTheme="minorHAnsi" w:cstheme="minorHAnsi"/>
        </w:rPr>
        <w:t>OMB Control N</w:t>
      </w:r>
      <w:r w:rsidRPr="00BB439E" w:rsidR="00BB439E">
        <w:rPr>
          <w:rFonts w:asciiTheme="minorHAnsi" w:hAnsiTheme="minorHAnsi" w:cstheme="minorHAnsi"/>
        </w:rPr>
        <w:t>o.</w:t>
      </w:r>
      <w:r w:rsidRPr="00BB439E">
        <w:rPr>
          <w:rFonts w:asciiTheme="minorHAnsi" w:hAnsiTheme="minorHAnsi" w:cstheme="minorHAnsi"/>
        </w:rPr>
        <w:t xml:space="preserve"> 0607-0354</w:t>
      </w:r>
    </w:p>
    <w:p w:rsidR="00860994" w:rsidRPr="00BB439E" w:rsidP="00954FE2" w14:paraId="6BA4E51D" w14:textId="0F33A680">
      <w:pPr>
        <w:spacing w:after="0" w:line="276" w:lineRule="auto"/>
        <w:rPr>
          <w:rFonts w:eastAsia="Times New Roman" w:cstheme="minorHAnsi"/>
          <w:b/>
          <w:sz w:val="24"/>
          <w:szCs w:val="24"/>
          <w:lang w:bidi="he-IL"/>
        </w:rPr>
      </w:pPr>
    </w:p>
    <w:p w:rsidR="00860994" w:rsidRPr="00BB439E" w:rsidP="00954FE2" w14:paraId="2FF6774F" w14:textId="08A0BC25">
      <w:pPr>
        <w:spacing w:after="0" w:line="276" w:lineRule="auto"/>
        <w:rPr>
          <w:rFonts w:eastAsia="Times New Roman" w:cstheme="minorHAnsi"/>
          <w:b/>
          <w:sz w:val="24"/>
          <w:szCs w:val="24"/>
          <w:lang w:bidi="he-IL"/>
        </w:rPr>
      </w:pPr>
    </w:p>
    <w:p w:rsidR="00860994" w:rsidRPr="00BB439E" w:rsidP="00954FE2" w14:paraId="1D4BD79C" w14:textId="4367F9E9">
      <w:pPr>
        <w:spacing w:after="0" w:line="276" w:lineRule="auto"/>
        <w:rPr>
          <w:rFonts w:eastAsia="Times New Roman" w:cstheme="minorHAnsi"/>
          <w:b/>
          <w:sz w:val="24"/>
          <w:szCs w:val="24"/>
          <w:lang w:bidi="he-IL"/>
        </w:rPr>
      </w:pPr>
      <w:r w:rsidRPr="00BB439E">
        <w:rPr>
          <w:rFonts w:eastAsia="Times New Roman" w:cstheme="minorHAnsi"/>
          <w:b/>
          <w:sz w:val="24"/>
          <w:szCs w:val="24"/>
          <w:lang w:bidi="he-IL"/>
        </w:rPr>
        <w:t xml:space="preserve">B.  </w:t>
      </w:r>
      <w:r w:rsidRPr="00124446" w:rsidR="00BB439E">
        <w:rPr>
          <w:rFonts w:ascii="Calibri" w:hAnsi="Calibri" w:cs="Calibri"/>
          <w:b/>
          <w:sz w:val="24"/>
        </w:rPr>
        <w:t>Collections of Information Employing Statistical Methods</w:t>
      </w:r>
    </w:p>
    <w:sdt>
      <w:sdtPr>
        <w:rPr>
          <w:rFonts w:eastAsia="Times New Roman" w:cstheme="minorHAnsi"/>
          <w:sz w:val="24"/>
          <w:szCs w:val="24"/>
          <w:lang w:bidi="he-IL"/>
        </w:rPr>
        <w:tag w:val="goog_rdk_11"/>
        <w:id w:val="1231039214"/>
        <w:richText/>
      </w:sdtPr>
      <w:sdtContent>
        <w:p w:rsidR="00860994" w:rsidRPr="00BB439E" w:rsidP="00954FE2" w14:paraId="661F4F5C" w14:textId="42AF1F2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sz w:val="24"/>
              <w:szCs w:val="24"/>
              <w:lang w:bidi="he-IL"/>
            </w:rPr>
          </w:pPr>
        </w:p>
      </w:sdtContent>
    </w:sdt>
    <w:p w:rsidR="00860994" w:rsidRPr="00BB439E" w:rsidP="004F2936" w14:paraId="45574070" w14:textId="526D7E9F">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
          <w:sz w:val="24"/>
          <w:szCs w:val="24"/>
          <w:lang w:bidi="he-IL"/>
        </w:rPr>
      </w:pPr>
      <w:r w:rsidRPr="00BB439E">
        <w:rPr>
          <w:rFonts w:eastAsia="Times New Roman" w:cstheme="minorHAnsi"/>
          <w:b/>
          <w:sz w:val="24"/>
          <w:szCs w:val="24"/>
          <w:lang w:bidi="he-IL"/>
        </w:rPr>
        <w:t xml:space="preserve">1.  </w:t>
      </w:r>
      <w:r w:rsidRPr="00BB439E" w:rsidR="004F2936">
        <w:rPr>
          <w:rFonts w:eastAsia="Times New Roman" w:cstheme="minorHAnsi"/>
          <w:b/>
          <w:sz w:val="24"/>
          <w:szCs w:val="24"/>
          <w:lang w:bidi="he-IL"/>
        </w:rPr>
        <w:t>Universe and Respondent Selection</w:t>
      </w:r>
    </w:p>
    <w:p w:rsidR="004F2936" w:rsidRPr="00BB439E" w:rsidP="004F2936" w14:paraId="1ACFC7D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
          <w:sz w:val="24"/>
          <w:szCs w:val="24"/>
          <w:lang w:bidi="he-IL"/>
        </w:rPr>
      </w:pPr>
    </w:p>
    <w:p w:rsidR="004F2936" w:rsidRPr="00BB439E" w:rsidP="004F2936" w14:paraId="3031C750" w14:textId="5EB9BD3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Cs/>
          <w:sz w:val="24"/>
          <w:szCs w:val="24"/>
          <w:lang w:bidi="he-IL"/>
        </w:rPr>
      </w:pPr>
      <w:r w:rsidRPr="00BB439E">
        <w:rPr>
          <w:rFonts w:eastAsia="Times New Roman" w:cstheme="minorHAnsi"/>
          <w:bCs/>
          <w:sz w:val="24"/>
          <w:szCs w:val="24"/>
          <w:lang w:bidi="he-IL"/>
        </w:rPr>
        <w:t xml:space="preserve">The Basic CPS universe is 133 million households.  From the universe of 133 million, we select a sample of approximately 70,000 households.  Of these, approximately 59,000 households will be eligible for interview; and we will actually interview approximately 54,000 households, </w:t>
      </w:r>
      <w:r w:rsidRPr="00BB439E">
        <w:rPr>
          <w:rFonts w:eastAsia="Times New Roman" w:cstheme="minorHAnsi"/>
          <w:sz w:val="24"/>
          <w:szCs w:val="24"/>
          <w:lang w:bidi="he-IL"/>
        </w:rPr>
        <w:t>, since approximately 11,000 households are found to be vacant, converted to a business, destroyed, or other reasons.   The expected yield of completed interviews is 44,000 households per month.</w:t>
      </w:r>
    </w:p>
    <w:p w:rsidR="004F2936" w:rsidRPr="00BB439E" w:rsidP="004F2936" w14:paraId="00B823DB"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Cs/>
          <w:sz w:val="24"/>
          <w:szCs w:val="24"/>
          <w:lang w:bidi="he-IL"/>
        </w:rPr>
      </w:pPr>
    </w:p>
    <w:p w:rsidR="004F2936" w:rsidRPr="00BB439E" w:rsidP="004F2936" w14:paraId="3344293A" w14:textId="201DAA93">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Cs/>
          <w:sz w:val="24"/>
          <w:szCs w:val="24"/>
          <w:lang w:bidi="he-IL"/>
        </w:rPr>
      </w:pPr>
      <w:r w:rsidRPr="00BB439E">
        <w:rPr>
          <w:rFonts w:eastAsia="Times New Roman" w:cstheme="minorHAnsi"/>
          <w:bCs/>
          <w:sz w:val="24"/>
          <w:szCs w:val="24"/>
          <w:lang w:bidi="he-IL"/>
        </w:rPr>
        <w:t xml:space="preserve">The ASEC sample expands upon the Basic CPS sample by adding select households.  Approximately 6,000 Hispanic households interviewed in the previous November CPS will be added.  We expect to interview approximately 5,000 of these households.  Additionally, we will add approximately 11,000 minority and White (with children) households that were interviewed the previous August, September, or October.  We expect to interview about 9,000 of these households.  Finally, we will conduct the ASEC to selected minority and White (with children) households during February and April.  These households will be “borrowed” from the February outgoing and the April incoming rotation groups.  We expect to select approximately 12,000 such households, with about 10,000 actually being interviewed.  This brings us to a total of approximately </w:t>
      </w:r>
      <w:r w:rsidRPr="00BB439E" w:rsidR="000C19CA">
        <w:rPr>
          <w:rFonts w:eastAsia="Times New Roman" w:cstheme="minorHAnsi"/>
          <w:bCs/>
          <w:sz w:val="24"/>
          <w:szCs w:val="24"/>
          <w:lang w:bidi="he-IL"/>
        </w:rPr>
        <w:t>7</w:t>
      </w:r>
      <w:r w:rsidRPr="00BB439E">
        <w:rPr>
          <w:rFonts w:eastAsia="Times New Roman" w:cstheme="minorHAnsi"/>
          <w:bCs/>
          <w:sz w:val="24"/>
          <w:szCs w:val="24"/>
          <w:lang w:bidi="he-IL"/>
        </w:rPr>
        <w:t>8,000 households planned for interview in fiscal year 202</w:t>
      </w:r>
      <w:r w:rsidRPr="00BB439E" w:rsidR="000C19CA">
        <w:rPr>
          <w:rFonts w:eastAsia="Times New Roman" w:cstheme="minorHAnsi"/>
          <w:bCs/>
          <w:sz w:val="24"/>
          <w:szCs w:val="24"/>
          <w:lang w:bidi="he-IL"/>
        </w:rPr>
        <w:t>5</w:t>
      </w:r>
      <w:r w:rsidRPr="00BB439E">
        <w:rPr>
          <w:rFonts w:eastAsia="Times New Roman" w:cstheme="minorHAnsi"/>
          <w:bCs/>
          <w:sz w:val="24"/>
          <w:szCs w:val="24"/>
          <w:lang w:bidi="he-IL"/>
        </w:rPr>
        <w:t>.</w:t>
      </w:r>
    </w:p>
    <w:p w:rsidR="004F2936" w:rsidRPr="00BB439E" w:rsidP="004F2936" w14:paraId="58EE7767"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Cs/>
          <w:sz w:val="24"/>
          <w:szCs w:val="24"/>
          <w:lang w:bidi="he-IL"/>
        </w:rPr>
      </w:pPr>
    </w:p>
    <w:p w:rsidR="004F2936" w:rsidP="004F2936" w14:paraId="4F678DE2" w14:textId="5576AA06">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Cs/>
          <w:sz w:val="24"/>
          <w:szCs w:val="24"/>
          <w:lang w:bidi="he-IL"/>
        </w:rPr>
      </w:pPr>
      <w:r w:rsidRPr="00BB439E">
        <w:rPr>
          <w:rFonts w:eastAsia="Times New Roman" w:cstheme="minorHAnsi"/>
          <w:bCs/>
          <w:sz w:val="24"/>
          <w:szCs w:val="24"/>
          <w:lang w:bidi="he-IL"/>
        </w:rPr>
        <w:t>We use a household respondent to answer the supplement items for all household members 15 years of age or older.  T</w:t>
      </w:r>
      <w:r w:rsidR="00BB439E">
        <w:rPr>
          <w:rFonts w:eastAsia="Times New Roman" w:cstheme="minorHAnsi"/>
          <w:bCs/>
          <w:sz w:val="24"/>
          <w:szCs w:val="24"/>
          <w:lang w:bidi="he-IL"/>
        </w:rPr>
        <w:t>able B-1 shows the total universe, sample size, expected response rate and the actual response rate from the most recent collection in 2024</w:t>
      </w:r>
      <w:r w:rsidRPr="00BB439E">
        <w:rPr>
          <w:rFonts w:eastAsia="Times New Roman" w:cstheme="minorHAnsi"/>
          <w:bCs/>
          <w:sz w:val="24"/>
          <w:szCs w:val="24"/>
          <w:lang w:bidi="he-IL"/>
        </w:rPr>
        <w:t>.</w:t>
      </w:r>
    </w:p>
    <w:p w:rsidR="00BB439E" w:rsidP="004F2936" w14:paraId="09169F01"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Cs/>
          <w:sz w:val="24"/>
          <w:szCs w:val="24"/>
          <w:lang w:bidi="he-IL"/>
        </w:rPr>
      </w:pPr>
    </w:p>
    <w:p w:rsidR="00BB439E" w:rsidRPr="00BB439E" w:rsidP="004F2936" w14:paraId="4E677373"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Cs/>
          <w:sz w:val="24"/>
          <w:szCs w:val="24"/>
          <w:lang w:bidi="he-IL"/>
        </w:rPr>
      </w:pPr>
    </w:p>
    <w:p w:rsidR="004F2936" w:rsidRPr="00BB439E" w:rsidP="004F2936" w14:paraId="52BB08FE" w14:textId="77777777">
      <w:pPr>
        <w:spacing w:after="0" w:line="276" w:lineRule="auto"/>
        <w:rPr>
          <w:rFonts w:eastAsia="Times New Roman" w:cstheme="minorHAnsi"/>
          <w:sz w:val="24"/>
          <w:szCs w:val="24"/>
          <w:lang w:bidi="he-IL"/>
        </w:rPr>
      </w:pPr>
    </w:p>
    <w:p w:rsidR="004F2936" w:rsidRPr="00BB439E" w:rsidP="004F2936" w14:paraId="6C54D5B5" w14:textId="77777777">
      <w:pPr>
        <w:spacing w:after="0" w:line="276" w:lineRule="auto"/>
        <w:rPr>
          <w:rFonts w:eastAsia="Times New Roman" w:cstheme="minorHAnsi"/>
          <w:sz w:val="24"/>
          <w:szCs w:val="24"/>
          <w:lang w:bidi="he-IL"/>
        </w:rPr>
      </w:pPr>
      <w:r w:rsidRPr="00BB439E">
        <w:rPr>
          <w:rFonts w:eastAsia="Times New Roman" w:cstheme="minorHAnsi"/>
          <w:b/>
          <w:bCs/>
          <w:sz w:val="24"/>
          <w:szCs w:val="24"/>
          <w:lang w:bidi="he-IL"/>
        </w:rPr>
        <w:t>Table B.1: Universe, Sample Count, and Expected Response Rate</w:t>
      </w:r>
    </w:p>
    <w:tbl>
      <w:tblPr>
        <w:tblStyle w:val="TableGrid"/>
        <w:tblW w:w="0" w:type="auto"/>
        <w:tblLook w:val="04A0"/>
      </w:tblPr>
      <w:tblGrid>
        <w:gridCol w:w="1870"/>
        <w:gridCol w:w="1870"/>
        <w:gridCol w:w="1870"/>
        <w:gridCol w:w="1870"/>
        <w:gridCol w:w="1870"/>
      </w:tblGrid>
      <w:tr w14:paraId="1109D33C" w14:textId="77777777" w:rsidTr="002366BB">
        <w:tblPrEx>
          <w:tblW w:w="0" w:type="auto"/>
          <w:tblLook w:val="04A0"/>
        </w:tblPrEx>
        <w:tc>
          <w:tcPr>
            <w:tcW w:w="1870" w:type="dxa"/>
            <w:shd w:val="clear" w:color="auto" w:fill="D0CECE" w:themeFill="background2" w:themeFillShade="E6"/>
          </w:tcPr>
          <w:p w:rsidR="004F2936" w:rsidRPr="00BB439E" w:rsidP="002366BB" w14:paraId="0D976E01" w14:textId="77777777">
            <w:pPr>
              <w:spacing w:line="276" w:lineRule="auto"/>
              <w:rPr>
                <w:rFonts w:eastAsia="Times New Roman" w:cstheme="minorHAnsi"/>
                <w:sz w:val="24"/>
                <w:szCs w:val="24"/>
                <w:lang w:bidi="he-IL"/>
              </w:rPr>
            </w:pPr>
            <w:r w:rsidRPr="00BB439E">
              <w:rPr>
                <w:rFonts w:eastAsia="Times New Roman" w:cstheme="minorHAnsi"/>
                <w:sz w:val="24"/>
                <w:szCs w:val="24"/>
                <w:lang w:bidi="he-IL"/>
              </w:rPr>
              <w:t>Type of Entity</w:t>
            </w:r>
          </w:p>
        </w:tc>
        <w:tc>
          <w:tcPr>
            <w:tcW w:w="1870" w:type="dxa"/>
            <w:shd w:val="clear" w:color="auto" w:fill="D0CECE" w:themeFill="background2" w:themeFillShade="E6"/>
          </w:tcPr>
          <w:p w:rsidR="004F2936" w:rsidRPr="00BB439E" w:rsidP="002366BB" w14:paraId="0563C98D" w14:textId="77777777">
            <w:pPr>
              <w:spacing w:line="276" w:lineRule="auto"/>
              <w:rPr>
                <w:rFonts w:eastAsia="Times New Roman" w:cstheme="minorHAnsi"/>
                <w:sz w:val="24"/>
                <w:szCs w:val="24"/>
                <w:lang w:bidi="he-IL"/>
              </w:rPr>
            </w:pPr>
            <w:r w:rsidRPr="00BB439E">
              <w:rPr>
                <w:rFonts w:eastAsia="Times New Roman" w:cstheme="minorHAnsi"/>
                <w:sz w:val="24"/>
                <w:szCs w:val="24"/>
                <w:lang w:bidi="he-IL"/>
              </w:rPr>
              <w:t>Total Universe</w:t>
            </w:r>
          </w:p>
        </w:tc>
        <w:tc>
          <w:tcPr>
            <w:tcW w:w="1870" w:type="dxa"/>
            <w:shd w:val="clear" w:color="auto" w:fill="D0CECE" w:themeFill="background2" w:themeFillShade="E6"/>
          </w:tcPr>
          <w:p w:rsidR="004F2936" w:rsidRPr="00BB439E" w:rsidP="002366BB" w14:paraId="6037C7A4" w14:textId="77777777">
            <w:pPr>
              <w:spacing w:line="276" w:lineRule="auto"/>
              <w:rPr>
                <w:rFonts w:eastAsia="Times New Roman" w:cstheme="minorHAnsi"/>
                <w:sz w:val="24"/>
                <w:szCs w:val="24"/>
                <w:lang w:bidi="he-IL"/>
              </w:rPr>
            </w:pPr>
            <w:r w:rsidRPr="00BB439E">
              <w:rPr>
                <w:rFonts w:eastAsia="Times New Roman" w:cstheme="minorHAnsi"/>
                <w:sz w:val="24"/>
                <w:szCs w:val="24"/>
                <w:lang w:bidi="he-IL"/>
              </w:rPr>
              <w:t>Sample Size</w:t>
            </w:r>
          </w:p>
        </w:tc>
        <w:tc>
          <w:tcPr>
            <w:tcW w:w="1870" w:type="dxa"/>
            <w:shd w:val="clear" w:color="auto" w:fill="D0CECE" w:themeFill="background2" w:themeFillShade="E6"/>
          </w:tcPr>
          <w:p w:rsidR="004F2936" w:rsidRPr="00BB439E" w:rsidP="002366BB" w14:paraId="56F2B8DE" w14:textId="77777777">
            <w:pPr>
              <w:spacing w:line="276" w:lineRule="auto"/>
              <w:rPr>
                <w:rFonts w:eastAsia="Times New Roman" w:cstheme="minorHAnsi"/>
                <w:sz w:val="24"/>
                <w:szCs w:val="24"/>
                <w:lang w:bidi="he-IL"/>
              </w:rPr>
            </w:pPr>
            <w:r w:rsidRPr="00BB439E">
              <w:rPr>
                <w:rFonts w:eastAsia="Times New Roman" w:cstheme="minorHAnsi"/>
                <w:sz w:val="24"/>
                <w:szCs w:val="24"/>
                <w:lang w:bidi="he-IL"/>
              </w:rPr>
              <w:t>Expected Response Rate</w:t>
            </w:r>
          </w:p>
        </w:tc>
        <w:tc>
          <w:tcPr>
            <w:tcW w:w="1870" w:type="dxa"/>
            <w:shd w:val="clear" w:color="auto" w:fill="D0CECE" w:themeFill="background2" w:themeFillShade="E6"/>
          </w:tcPr>
          <w:p w:rsidR="004F2936" w:rsidRPr="00BB439E" w:rsidP="002366BB" w14:paraId="38AAF1C5" w14:textId="77777777">
            <w:pPr>
              <w:spacing w:line="276" w:lineRule="auto"/>
              <w:rPr>
                <w:rFonts w:eastAsia="Times New Roman" w:cstheme="minorHAnsi"/>
                <w:sz w:val="24"/>
                <w:szCs w:val="24"/>
                <w:lang w:bidi="he-IL"/>
              </w:rPr>
            </w:pPr>
            <w:r w:rsidRPr="00BB439E">
              <w:rPr>
                <w:rFonts w:eastAsia="Times New Roman" w:cstheme="minorHAnsi"/>
                <w:sz w:val="24"/>
                <w:szCs w:val="24"/>
                <w:lang w:bidi="he-IL"/>
              </w:rPr>
              <w:t>Actual Response Rate</w:t>
            </w:r>
          </w:p>
        </w:tc>
      </w:tr>
      <w:tr w14:paraId="0CAB6A82" w14:textId="77777777" w:rsidTr="002366BB">
        <w:tblPrEx>
          <w:tblW w:w="0" w:type="auto"/>
          <w:tblLook w:val="04A0"/>
        </w:tblPrEx>
        <w:tc>
          <w:tcPr>
            <w:tcW w:w="1870" w:type="dxa"/>
          </w:tcPr>
          <w:p w:rsidR="004F2936" w:rsidRPr="00BB439E" w:rsidP="002366BB" w14:paraId="40F94EE8" w14:textId="77777777">
            <w:pPr>
              <w:spacing w:line="276" w:lineRule="auto"/>
              <w:rPr>
                <w:rFonts w:eastAsia="Times New Roman" w:cstheme="minorHAnsi"/>
                <w:sz w:val="24"/>
                <w:szCs w:val="24"/>
                <w:lang w:bidi="he-IL"/>
              </w:rPr>
            </w:pPr>
            <w:r w:rsidRPr="00BB439E">
              <w:rPr>
                <w:rFonts w:eastAsia="Times New Roman" w:cstheme="minorHAnsi"/>
                <w:sz w:val="24"/>
                <w:szCs w:val="24"/>
                <w:lang w:bidi="he-IL"/>
              </w:rPr>
              <w:t>Households</w:t>
            </w:r>
          </w:p>
        </w:tc>
        <w:tc>
          <w:tcPr>
            <w:tcW w:w="1870" w:type="dxa"/>
          </w:tcPr>
          <w:p w:rsidR="004F2936" w:rsidRPr="00BB439E" w:rsidP="002366BB" w14:paraId="3754F745" w14:textId="67E9977E">
            <w:pPr>
              <w:spacing w:line="276" w:lineRule="auto"/>
              <w:rPr>
                <w:rFonts w:eastAsia="Times New Roman" w:cstheme="minorHAnsi"/>
                <w:sz w:val="24"/>
                <w:szCs w:val="24"/>
                <w:lang w:bidi="he-IL"/>
              </w:rPr>
            </w:pPr>
            <w:r w:rsidRPr="00BB439E">
              <w:rPr>
                <w:rFonts w:eastAsia="Times New Roman" w:cstheme="minorHAnsi"/>
                <w:sz w:val="24"/>
                <w:szCs w:val="24"/>
                <w:lang w:bidi="he-IL"/>
              </w:rPr>
              <w:t>133,000,000</w:t>
            </w:r>
          </w:p>
        </w:tc>
        <w:tc>
          <w:tcPr>
            <w:tcW w:w="1870" w:type="dxa"/>
          </w:tcPr>
          <w:p w:rsidR="004F2936" w:rsidRPr="00BB439E" w:rsidP="002366BB" w14:paraId="519ED580" w14:textId="12629358">
            <w:pPr>
              <w:spacing w:line="276" w:lineRule="auto"/>
              <w:rPr>
                <w:rFonts w:eastAsia="Times New Roman" w:cstheme="minorHAnsi"/>
                <w:sz w:val="24"/>
                <w:szCs w:val="24"/>
                <w:lang w:bidi="he-IL"/>
              </w:rPr>
            </w:pPr>
            <w:r w:rsidRPr="00BB439E">
              <w:rPr>
                <w:rFonts w:eastAsia="Times New Roman" w:cstheme="minorHAnsi"/>
                <w:sz w:val="24"/>
                <w:szCs w:val="24"/>
                <w:lang w:bidi="he-IL"/>
              </w:rPr>
              <w:t>7</w:t>
            </w:r>
            <w:r w:rsidRPr="00BB439E">
              <w:rPr>
                <w:rFonts w:eastAsia="Times New Roman" w:cstheme="minorHAnsi"/>
                <w:sz w:val="24"/>
                <w:szCs w:val="24"/>
                <w:lang w:bidi="he-IL"/>
              </w:rPr>
              <w:t>8,000</w:t>
            </w:r>
          </w:p>
        </w:tc>
        <w:tc>
          <w:tcPr>
            <w:tcW w:w="1870" w:type="dxa"/>
          </w:tcPr>
          <w:p w:rsidR="004F2936" w:rsidRPr="00BB439E" w:rsidP="002366BB" w14:paraId="55717B9F" w14:textId="676E73FB">
            <w:pPr>
              <w:spacing w:line="276" w:lineRule="auto"/>
              <w:rPr>
                <w:rFonts w:eastAsia="Times New Roman" w:cstheme="minorHAnsi"/>
                <w:sz w:val="24"/>
                <w:szCs w:val="24"/>
                <w:lang w:bidi="he-IL"/>
              </w:rPr>
            </w:pPr>
            <w:r w:rsidRPr="00BB439E">
              <w:rPr>
                <w:rFonts w:eastAsia="Times New Roman" w:cstheme="minorHAnsi"/>
                <w:sz w:val="24"/>
                <w:szCs w:val="24"/>
                <w:lang w:bidi="he-IL"/>
              </w:rPr>
              <w:t>8</w:t>
            </w:r>
            <w:r w:rsidR="00BB439E">
              <w:rPr>
                <w:rFonts w:eastAsia="Times New Roman" w:cstheme="minorHAnsi"/>
                <w:sz w:val="24"/>
                <w:szCs w:val="24"/>
                <w:lang w:bidi="he-IL"/>
              </w:rPr>
              <w:t>5.0</w:t>
            </w:r>
            <w:r w:rsidRPr="00BB439E">
              <w:rPr>
                <w:rFonts w:eastAsia="Times New Roman" w:cstheme="minorHAnsi"/>
                <w:sz w:val="24"/>
                <w:szCs w:val="24"/>
                <w:lang w:bidi="he-IL"/>
              </w:rPr>
              <w:t xml:space="preserve"> %</w:t>
            </w:r>
          </w:p>
        </w:tc>
        <w:tc>
          <w:tcPr>
            <w:tcW w:w="1870" w:type="dxa"/>
          </w:tcPr>
          <w:p w:rsidR="004F2936" w:rsidRPr="00BB439E" w:rsidP="002366BB" w14:paraId="7DA060B8" w14:textId="07A41E19">
            <w:pPr>
              <w:spacing w:line="276" w:lineRule="auto"/>
              <w:rPr>
                <w:rFonts w:eastAsia="Times New Roman" w:cstheme="minorHAnsi"/>
                <w:sz w:val="24"/>
                <w:szCs w:val="24"/>
                <w:lang w:bidi="he-IL"/>
              </w:rPr>
            </w:pPr>
            <w:r w:rsidRPr="00BB439E">
              <w:rPr>
                <w:rFonts w:eastAsia="Times New Roman" w:cstheme="minorHAnsi"/>
                <w:sz w:val="24"/>
                <w:szCs w:val="24"/>
                <w:lang w:bidi="he-IL"/>
              </w:rPr>
              <w:t>8</w:t>
            </w:r>
            <w:r w:rsidR="001C3579">
              <w:rPr>
                <w:rFonts w:eastAsia="Times New Roman" w:cstheme="minorHAnsi"/>
                <w:sz w:val="24"/>
                <w:szCs w:val="24"/>
                <w:lang w:bidi="he-IL"/>
              </w:rPr>
              <w:t>2.9</w:t>
            </w:r>
            <w:r w:rsidRPr="00BB439E">
              <w:rPr>
                <w:rFonts w:eastAsia="Times New Roman" w:cstheme="minorHAnsi"/>
                <w:sz w:val="24"/>
                <w:szCs w:val="24"/>
                <w:lang w:bidi="he-IL"/>
              </w:rPr>
              <w:t xml:space="preserve"> %</w:t>
            </w:r>
          </w:p>
        </w:tc>
      </w:tr>
    </w:tbl>
    <w:p w:rsidR="00C46284" w:rsidRPr="00BB439E" w:rsidP="00954FE2" w14:paraId="3415A0B2" w14:textId="77777777">
      <w:pPr>
        <w:spacing w:after="0" w:line="276" w:lineRule="auto"/>
        <w:rPr>
          <w:rFonts w:eastAsia="Times New Roman" w:cstheme="minorHAnsi"/>
          <w:sz w:val="24"/>
          <w:szCs w:val="24"/>
          <w:lang w:bidi="he-IL"/>
        </w:rPr>
      </w:pPr>
    </w:p>
    <w:p w:rsidR="00860994" w:rsidRPr="00BB439E" w:rsidP="00954FE2"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sz w:val="24"/>
          <w:szCs w:val="24"/>
          <w:lang w:bidi="he-IL"/>
        </w:rPr>
      </w:pPr>
    </w:p>
    <w:p w:rsidR="0056673B" w:rsidRPr="00BB439E" w:rsidP="0056673B" w14:paraId="42CB1826" w14:textId="12EB5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eastAsia="Times New Roman" w:cstheme="minorHAnsi"/>
          <w:b/>
          <w:sz w:val="24"/>
          <w:szCs w:val="24"/>
          <w:lang w:bidi="he-IL"/>
        </w:rPr>
      </w:pPr>
      <w:bookmarkStart w:id="0" w:name="_Hlk14761062"/>
      <w:r w:rsidRPr="00BB439E">
        <w:rPr>
          <w:rFonts w:eastAsia="Times New Roman" w:cstheme="minorHAnsi"/>
          <w:b/>
          <w:sz w:val="24"/>
          <w:szCs w:val="24"/>
          <w:lang w:bidi="he-IL"/>
        </w:rPr>
        <w:t xml:space="preserve">2.  </w:t>
      </w:r>
      <w:r w:rsidRPr="00BB439E">
        <w:rPr>
          <w:rFonts w:eastAsia="Times New Roman" w:cstheme="minorHAnsi"/>
          <w:b/>
          <w:sz w:val="24"/>
          <w:szCs w:val="24"/>
          <w:lang w:bidi="he-IL"/>
        </w:rPr>
        <w:t>Survey Collection Procedures</w:t>
      </w:r>
    </w:p>
    <w:p w:rsidR="0056673B" w:rsidRPr="00BB439E" w:rsidP="0056673B" w14:paraId="627411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eastAsia="Times New Roman" w:cstheme="minorHAnsi"/>
          <w:b/>
          <w:sz w:val="24"/>
          <w:szCs w:val="24"/>
          <w:lang w:bidi="he-IL"/>
        </w:rPr>
      </w:pPr>
    </w:p>
    <w:p w:rsidR="0040187C" w:rsidRPr="00BB439E" w:rsidP="001C3579" w14:paraId="2B7C7FAB" w14:textId="3E236944">
      <w:pPr>
        <w:pStyle w:val="BodyText"/>
        <w:spacing w:line="276" w:lineRule="auto"/>
        <w:rPr>
          <w:rFonts w:asciiTheme="minorHAnsi" w:hAnsiTheme="minorHAnsi" w:cstheme="minorHAnsi"/>
          <w:lang w:bidi="he-IL"/>
        </w:rPr>
      </w:pPr>
      <w:r w:rsidRPr="00BB439E">
        <w:rPr>
          <w:rFonts w:asciiTheme="minorHAnsi" w:hAnsiTheme="minorHAnsi" w:cstheme="minorHAnsi"/>
          <w:b w:val="0"/>
          <w:bCs w:val="0"/>
        </w:rPr>
        <w:t>This is a supplemental survey associated with the CPS.  Attachment B gives an overview of the CPS sample, design, weighting methodology, and response rates.  The statistical properties of these supplemental items will fall within those associated with the CPS itself.</w:t>
      </w:r>
    </w:p>
    <w:bookmarkEnd w:id="0"/>
    <w:p w:rsidR="00860994" w:rsidRPr="00BB439E" w:rsidP="00954FE2" w14:paraId="0FAB817F" w14:textId="7D06968A">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sz w:val="24"/>
          <w:szCs w:val="24"/>
          <w:lang w:bidi="he-IL"/>
        </w:rPr>
      </w:pPr>
    </w:p>
    <w:p w:rsidR="00860994" w:rsidRPr="00BB439E" w:rsidP="00954FE2" w14:paraId="54FC8019" w14:textId="3E21F6DE">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
          <w:sz w:val="24"/>
          <w:szCs w:val="24"/>
          <w:lang w:bidi="he-IL"/>
        </w:rPr>
      </w:pPr>
      <w:r w:rsidRPr="00BB439E">
        <w:rPr>
          <w:rFonts w:eastAsia="Times New Roman" w:cstheme="minorHAnsi"/>
          <w:b/>
          <w:sz w:val="24"/>
          <w:szCs w:val="24"/>
          <w:lang w:bidi="he-IL"/>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C46284" w:rsidRPr="00BB439E" w:rsidP="00954FE2" w14:paraId="7912D485"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
          <w:sz w:val="24"/>
          <w:szCs w:val="24"/>
          <w:lang w:bidi="he-IL"/>
        </w:rPr>
      </w:pPr>
    </w:p>
    <w:p w:rsidR="00C46284" w:rsidRPr="00BB439E" w:rsidP="00C46284" w14:paraId="5DF2B605"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Cs/>
          <w:sz w:val="24"/>
          <w:szCs w:val="24"/>
          <w:lang w:bidi="he-IL"/>
        </w:rPr>
      </w:pPr>
      <w:r w:rsidRPr="00BB439E">
        <w:rPr>
          <w:rFonts w:eastAsia="Times New Roman" w:cstheme="minorHAnsi"/>
          <w:bCs/>
          <w:sz w:val="24"/>
          <w:szCs w:val="24"/>
          <w:lang w:bidi="he-IL"/>
        </w:rPr>
        <w:t>Response rates and data accuracy for the CPS are maintained at high levels through computer edits, interviewer instruction and training, and close monitoring of the data.  Refer to "Overview of CPS Design and Methodology," item 5, for a discussion of CPS nonresponse (Attachment B).</w:t>
      </w:r>
    </w:p>
    <w:p w:rsidR="00C46284" w:rsidRPr="00BB439E" w:rsidP="00C46284" w14:paraId="433DD554" w14:textId="77777777">
      <w:pPr>
        <w:spacing w:after="0" w:line="276" w:lineRule="auto"/>
        <w:rPr>
          <w:rFonts w:eastAsia="Times New Roman" w:cstheme="minorHAnsi"/>
          <w:sz w:val="24"/>
          <w:szCs w:val="24"/>
          <w:lang w:bidi="he-IL"/>
        </w:rPr>
      </w:pPr>
    </w:p>
    <w:p w:rsidR="00C46284" w:rsidRPr="00BB439E" w:rsidP="00954FE2" w14:paraId="7AE5D393" w14:textId="6F8A3AC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eastAsia="Times New Roman" w:cstheme="minorHAnsi"/>
          <w:b/>
          <w:sz w:val="24"/>
          <w:szCs w:val="24"/>
          <w:lang w:bidi="he-IL"/>
        </w:rPr>
      </w:pPr>
      <w:r w:rsidRPr="00BB439E">
        <w:rPr>
          <w:rFonts w:eastAsia="Times New Roman" w:cstheme="minorHAnsi"/>
          <w:bCs/>
          <w:sz w:val="24"/>
          <w:szCs w:val="24"/>
          <w:lang w:bidi="he-IL"/>
        </w:rPr>
        <w:t>Some amount of allocation for item nonresponse is done within the ASEC supplement for eligible people.  Item nonresponse rates range from less than 2 percent for the work experience items to more than 40 percent for some of the income items, such as interest and dividends.  For the cases eligible for the 202</w:t>
      </w:r>
      <w:r w:rsidRPr="00BB439E" w:rsidR="00675E21">
        <w:rPr>
          <w:rFonts w:eastAsia="Times New Roman" w:cstheme="minorHAnsi"/>
          <w:bCs/>
          <w:sz w:val="24"/>
          <w:szCs w:val="24"/>
          <w:lang w:bidi="he-IL"/>
        </w:rPr>
        <w:t>4</w:t>
      </w:r>
      <w:r w:rsidRPr="00BB439E">
        <w:rPr>
          <w:rFonts w:eastAsia="Times New Roman" w:cstheme="minorHAnsi"/>
          <w:bCs/>
          <w:sz w:val="24"/>
          <w:szCs w:val="24"/>
          <w:lang w:bidi="he-IL"/>
        </w:rPr>
        <w:t xml:space="preserve"> ASEC, the basic CPS household-level nonresponse rate was 28.5 percent.  The household-level nonresponse rate for the ASEC was an additional 17.1 percent.  These two non-response rates lead to a combined supplement nonresponse rate of </w:t>
      </w:r>
      <w:r w:rsidRPr="00BB439E" w:rsidR="00D00C77">
        <w:rPr>
          <w:rFonts w:cstheme="minorHAnsi"/>
          <w:sz w:val="24"/>
          <w:szCs w:val="24"/>
        </w:rPr>
        <w:t>40.7 percent.</w:t>
      </w:r>
    </w:p>
    <w:p w:rsidR="00C46284" w:rsidRPr="00BB439E" w:rsidP="00F63DAF" w14:paraId="0C98487B" w14:textId="77777777">
      <w:pPr>
        <w:pStyle w:val="BodyText"/>
        <w:spacing w:line="276" w:lineRule="auto"/>
        <w:rPr>
          <w:rFonts w:asciiTheme="minorHAnsi" w:hAnsiTheme="minorHAnsi" w:cstheme="minorHAnsi"/>
        </w:rPr>
      </w:pPr>
    </w:p>
    <w:p w:rsidR="0040187C" w:rsidRPr="00BB439E" w:rsidP="00C46284" w14:paraId="625CAF36" w14:textId="618BEA1A">
      <w:pPr>
        <w:spacing w:after="0" w:line="276" w:lineRule="auto"/>
        <w:rPr>
          <w:rFonts w:eastAsia="Times New Roman" w:cstheme="minorHAnsi"/>
          <w:b/>
          <w:sz w:val="24"/>
          <w:szCs w:val="24"/>
          <w:lang w:bidi="he-IL"/>
        </w:rPr>
      </w:pPr>
      <w:bookmarkStart w:id="1" w:name="_Hlk14762043"/>
      <w:r w:rsidRPr="00BB439E">
        <w:rPr>
          <w:rFonts w:eastAsia="Times New Roman" w:cstheme="minorHAnsi"/>
          <w:b/>
          <w:sz w:val="24"/>
          <w:szCs w:val="24"/>
          <w:lang w:bidi="he-IL"/>
        </w:rPr>
        <w:t>4</w:t>
      </w:r>
      <w:bookmarkEnd w:id="1"/>
      <w:r w:rsidRPr="00BB439E" w:rsidR="00C46284">
        <w:rPr>
          <w:rFonts w:eastAsia="Times New Roman" w:cstheme="minorHAnsi"/>
          <w:b/>
          <w:sz w:val="24"/>
          <w:szCs w:val="24"/>
          <w:lang w:bidi="he-IL"/>
        </w:rPr>
        <w:t>.  Procedures or Methods Testing</w:t>
      </w:r>
    </w:p>
    <w:p w:rsidR="00C46284" w:rsidRPr="00BB439E" w:rsidP="00C46284" w14:paraId="49DCDDD0" w14:textId="77777777">
      <w:pPr>
        <w:spacing w:after="0" w:line="276" w:lineRule="auto"/>
        <w:rPr>
          <w:rFonts w:eastAsia="Times New Roman" w:cstheme="minorHAnsi"/>
          <w:b/>
          <w:sz w:val="24"/>
          <w:szCs w:val="24"/>
          <w:lang w:bidi="he-IL"/>
        </w:rPr>
      </w:pPr>
    </w:p>
    <w:p w:rsidR="0040187C" w:rsidP="00C46284" w14:paraId="5D17DB7A" w14:textId="1B4CBFBC">
      <w:pPr>
        <w:tabs>
          <w:tab w:val="left" w:pos="540"/>
          <w:tab w:val="left" w:pos="1020"/>
          <w:tab w:val="left" w:pos="1440"/>
          <w:tab w:val="left" w:pos="1500"/>
          <w:tab w:val="left" w:pos="1980"/>
          <w:tab w:val="left" w:pos="5814"/>
          <w:tab w:val="left" w:pos="8820"/>
          <w:tab w:val="right" w:pos="8940"/>
        </w:tabs>
        <w:rPr>
          <w:rFonts w:cstheme="minorHAnsi"/>
          <w:bCs/>
          <w:sz w:val="24"/>
          <w:szCs w:val="24"/>
        </w:rPr>
      </w:pPr>
      <w:r w:rsidRPr="00BB439E">
        <w:rPr>
          <w:rFonts w:cstheme="minorHAnsi"/>
          <w:bCs/>
          <w:sz w:val="24"/>
          <w:szCs w:val="24"/>
        </w:rPr>
        <w:t>There are currently no methodological or questionnaire tests in progress</w:t>
      </w:r>
      <w:r w:rsidR="001C3579">
        <w:rPr>
          <w:rFonts w:cstheme="minorHAnsi"/>
          <w:bCs/>
          <w:sz w:val="24"/>
          <w:szCs w:val="24"/>
        </w:rPr>
        <w:t>.</w:t>
      </w:r>
    </w:p>
    <w:p w:rsidR="001C3579" w:rsidRPr="00BB439E" w:rsidP="00C46284" w14:paraId="229940A8" w14:textId="77777777">
      <w:pPr>
        <w:tabs>
          <w:tab w:val="left" w:pos="540"/>
          <w:tab w:val="left" w:pos="1020"/>
          <w:tab w:val="left" w:pos="1440"/>
          <w:tab w:val="left" w:pos="1500"/>
          <w:tab w:val="left" w:pos="1980"/>
          <w:tab w:val="left" w:pos="5814"/>
          <w:tab w:val="left" w:pos="8820"/>
          <w:tab w:val="right" w:pos="8940"/>
        </w:tabs>
        <w:rPr>
          <w:rFonts w:eastAsia="Times New Roman" w:cstheme="minorHAnsi"/>
          <w:b/>
          <w:bCs/>
          <w:color w:val="FF0000"/>
          <w:sz w:val="24"/>
          <w:szCs w:val="24"/>
          <w:lang w:bidi="en-US"/>
        </w:rPr>
      </w:pPr>
    </w:p>
    <w:p w:rsidR="0040187C" w:rsidRPr="00BB439E" w:rsidP="00954FE2" w14:paraId="41A14DFB" w14:textId="77777777">
      <w:pPr>
        <w:spacing w:after="0" w:line="276" w:lineRule="auto"/>
        <w:ind w:firstLine="720"/>
        <w:rPr>
          <w:rFonts w:eastAsia="Times New Roman" w:cstheme="minorHAnsi"/>
          <w:b/>
          <w:bCs/>
          <w:color w:val="FF0000"/>
          <w:sz w:val="24"/>
          <w:szCs w:val="24"/>
          <w:lang w:bidi="en-US"/>
        </w:rPr>
      </w:pPr>
    </w:p>
    <w:p w:rsidR="00CE152A" w:rsidRPr="00BB439E" w:rsidP="0056673B" w14:paraId="73943C11" w14:textId="368BD6DE">
      <w:pPr>
        <w:spacing w:after="0" w:line="276" w:lineRule="auto"/>
        <w:rPr>
          <w:rFonts w:eastAsia="Times New Roman" w:cstheme="minorHAnsi"/>
          <w:b/>
          <w:sz w:val="24"/>
          <w:szCs w:val="24"/>
          <w:lang w:bidi="he-IL"/>
        </w:rPr>
      </w:pPr>
      <w:r w:rsidRPr="00BB439E">
        <w:rPr>
          <w:rFonts w:eastAsia="Times New Roman" w:cstheme="minorHAnsi"/>
          <w:b/>
          <w:sz w:val="24"/>
          <w:szCs w:val="24"/>
          <w:lang w:bidi="he-IL"/>
        </w:rPr>
        <w:t xml:space="preserve">5.  </w:t>
      </w:r>
      <w:r w:rsidRPr="00BB439E" w:rsidR="0056673B">
        <w:rPr>
          <w:rFonts w:eastAsia="Times New Roman" w:cstheme="minorHAnsi"/>
          <w:b/>
          <w:sz w:val="24"/>
          <w:szCs w:val="24"/>
          <w:lang w:bidi="he-IL"/>
        </w:rPr>
        <w:t>Individuals Responsible for Study Design and Performance</w:t>
      </w:r>
    </w:p>
    <w:p w:rsidR="0056673B" w:rsidRPr="00BB439E" w:rsidP="0056673B" w14:paraId="77D3F871" w14:textId="77777777">
      <w:pPr>
        <w:spacing w:after="0" w:line="276" w:lineRule="auto"/>
        <w:rPr>
          <w:rFonts w:eastAsia="Times New Roman" w:cstheme="minorHAnsi"/>
          <w:b/>
          <w:bCs/>
          <w:color w:val="FF0000"/>
          <w:sz w:val="24"/>
          <w:szCs w:val="24"/>
          <w:lang w:bidi="en-US"/>
        </w:rPr>
      </w:pPr>
    </w:p>
    <w:p w:rsidR="0056673B" w:rsidRPr="00BB439E" w:rsidP="0056673B" w14:paraId="095A942F" w14:textId="77777777">
      <w:pPr>
        <w:widowControl w:val="0"/>
        <w:tabs>
          <w:tab w:val="left" w:pos="0"/>
          <w:tab w:val="left" w:pos="60"/>
          <w:tab w:val="left" w:pos="1020"/>
          <w:tab w:val="left" w:pos="1500"/>
          <w:tab w:val="left" w:pos="1980"/>
          <w:tab w:val="left" w:pos="5814"/>
          <w:tab w:val="left" w:pos="8820"/>
          <w:tab w:val="right" w:pos="8940"/>
        </w:tabs>
        <w:autoSpaceDE w:val="0"/>
        <w:autoSpaceDN w:val="0"/>
        <w:adjustRightInd w:val="0"/>
        <w:spacing w:after="0" w:line="240" w:lineRule="auto"/>
        <w:rPr>
          <w:rFonts w:eastAsia="Times New Roman" w:cstheme="minorHAnsi"/>
          <w:sz w:val="24"/>
          <w:szCs w:val="24"/>
        </w:rPr>
      </w:pPr>
      <w:r w:rsidRPr="00BB439E">
        <w:rPr>
          <w:rFonts w:eastAsia="Times New Roman" w:cstheme="minorHAnsi"/>
          <w:sz w:val="24"/>
          <w:szCs w:val="24"/>
        </w:rPr>
        <w:t>The following individuals may be contacted on the statistical, data collection, and analysis operations:</w:t>
      </w:r>
    </w:p>
    <w:p w:rsidR="0056673B" w:rsidRPr="00BB439E" w:rsidP="0056673B" w14:paraId="72F39162"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p>
    <w:p w:rsidR="0056673B" w:rsidRPr="00BB439E" w:rsidP="0056673B" w14:paraId="051D534B"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eastAsia="Times New Roman" w:cstheme="minorHAnsi"/>
          <w:sz w:val="24"/>
          <w:szCs w:val="24"/>
        </w:rPr>
      </w:pPr>
      <w:r w:rsidRPr="00BB439E">
        <w:rPr>
          <w:rFonts w:eastAsia="Times New Roman" w:cstheme="minorHAnsi"/>
          <w:sz w:val="24"/>
          <w:szCs w:val="24"/>
        </w:rPr>
        <w:t>Statistical Collection Operations:</w:t>
      </w:r>
    </w:p>
    <w:p w:rsidR="0056673B" w:rsidRPr="00BB439E" w:rsidP="0056673B" w14:paraId="51110CEE"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eastAsia="Times New Roman" w:cstheme="minorHAnsi"/>
          <w:sz w:val="24"/>
          <w:szCs w:val="24"/>
        </w:rPr>
      </w:pPr>
      <w:r w:rsidRPr="00BB439E">
        <w:rPr>
          <w:rFonts w:eastAsia="Times New Roman" w:cstheme="minorHAnsi"/>
          <w:sz w:val="24"/>
          <w:szCs w:val="24"/>
        </w:rPr>
        <w:t>Kyra M. Linse</w:t>
      </w:r>
    </w:p>
    <w:p w:rsidR="0056673B" w:rsidRPr="00BB439E" w:rsidP="0056673B" w14:paraId="1629F881"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eastAsia="Times New Roman" w:cstheme="minorHAnsi"/>
          <w:sz w:val="24"/>
          <w:szCs w:val="24"/>
        </w:rPr>
      </w:pPr>
      <w:r w:rsidRPr="00BB439E">
        <w:rPr>
          <w:rFonts w:eastAsia="Times New Roman" w:cstheme="minorHAnsi"/>
          <w:sz w:val="24"/>
          <w:szCs w:val="24"/>
        </w:rPr>
        <w:t>Survey Director, Current Population and American Time Use Surveys</w:t>
      </w:r>
    </w:p>
    <w:p w:rsidR="0056673B" w:rsidRPr="00BB439E" w:rsidP="0056673B" w14:paraId="632F31DF"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eastAsia="Times New Roman" w:cstheme="minorHAnsi"/>
          <w:sz w:val="24"/>
          <w:szCs w:val="24"/>
        </w:rPr>
      </w:pPr>
      <w:r w:rsidRPr="00BB439E">
        <w:rPr>
          <w:rFonts w:eastAsia="Times New Roman" w:cstheme="minorHAnsi"/>
          <w:sz w:val="24"/>
          <w:szCs w:val="24"/>
        </w:rPr>
        <w:t>Office of the Associate Director for Demographic Programs</w:t>
      </w:r>
    </w:p>
    <w:p w:rsidR="0056673B" w:rsidRPr="00BB439E" w:rsidP="0056673B" w14:paraId="24991D04"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eastAsia="Times New Roman" w:cstheme="minorHAnsi"/>
          <w:sz w:val="24"/>
          <w:szCs w:val="24"/>
        </w:rPr>
      </w:pPr>
      <w:r w:rsidRPr="00BB439E">
        <w:rPr>
          <w:rFonts w:eastAsia="Times New Roman" w:cstheme="minorHAnsi"/>
          <w:sz w:val="24"/>
          <w:szCs w:val="24"/>
        </w:rPr>
        <w:t>U.S. Census Bureau</w:t>
      </w:r>
    </w:p>
    <w:p w:rsidR="0056673B" w:rsidRPr="00BB439E" w:rsidP="0056673B" w14:paraId="20FAF69A"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eastAsia="Times New Roman" w:cstheme="minorHAnsi"/>
          <w:sz w:val="24"/>
          <w:szCs w:val="24"/>
        </w:rPr>
      </w:pPr>
      <w:r w:rsidRPr="00BB439E">
        <w:rPr>
          <w:rFonts w:eastAsia="Times New Roman" w:cstheme="minorHAnsi"/>
          <w:sz w:val="24"/>
          <w:szCs w:val="24"/>
        </w:rPr>
        <w:t>Washington, DC  20233-8400</w:t>
      </w:r>
    </w:p>
    <w:p w:rsidR="0056673B" w:rsidRPr="00BB439E" w:rsidP="0056673B" w14:paraId="56D324BF"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eastAsia="Times New Roman" w:cstheme="minorHAnsi"/>
          <w:sz w:val="24"/>
          <w:szCs w:val="24"/>
        </w:rPr>
      </w:pPr>
      <w:r w:rsidRPr="00BB439E">
        <w:rPr>
          <w:rFonts w:eastAsia="Times New Roman" w:cstheme="minorHAnsi"/>
          <w:sz w:val="24"/>
          <w:szCs w:val="24"/>
        </w:rPr>
        <w:t>(301) 763-9280</w:t>
      </w:r>
    </w:p>
    <w:p w:rsidR="0056673B" w:rsidRPr="00BB439E" w:rsidP="0056673B" w14:paraId="7D359311"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p>
    <w:p w:rsidR="0056673B" w:rsidRPr="00BB439E" w:rsidP="0056673B" w14:paraId="0B57F1A9"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r w:rsidRPr="00BB439E">
        <w:rPr>
          <w:rFonts w:eastAsia="Times New Roman" w:cstheme="minorHAnsi"/>
          <w:sz w:val="24"/>
          <w:szCs w:val="24"/>
        </w:rPr>
        <w:tab/>
      </w:r>
      <w:r w:rsidRPr="00BB439E">
        <w:rPr>
          <w:rFonts w:eastAsia="Times New Roman" w:cstheme="minorHAnsi"/>
          <w:sz w:val="24"/>
          <w:szCs w:val="24"/>
        </w:rPr>
        <w:tab/>
        <w:t>Survey Content:</w:t>
      </w:r>
    </w:p>
    <w:p w:rsidR="0056673B" w:rsidRPr="00BB439E" w:rsidP="0056673B" w14:paraId="47DE84E2" w14:textId="4D80F724">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r w:rsidRPr="00BB439E">
        <w:rPr>
          <w:rFonts w:eastAsia="Times New Roman" w:cstheme="minorHAnsi"/>
          <w:sz w:val="24"/>
          <w:szCs w:val="24"/>
        </w:rPr>
        <w:tab/>
      </w:r>
      <w:r w:rsidRPr="00BB439E">
        <w:rPr>
          <w:rFonts w:eastAsia="Times New Roman" w:cstheme="minorHAnsi"/>
          <w:sz w:val="24"/>
          <w:szCs w:val="24"/>
        </w:rPr>
        <w:tab/>
        <w:t>Liana Fox</w:t>
      </w:r>
    </w:p>
    <w:p w:rsidR="0056673B" w:rsidRPr="00BB439E" w:rsidP="0056673B" w14:paraId="3E9CBD8D"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r w:rsidRPr="00BB439E">
        <w:rPr>
          <w:rFonts w:eastAsia="Times New Roman" w:cstheme="minorHAnsi"/>
          <w:sz w:val="24"/>
          <w:szCs w:val="24"/>
        </w:rPr>
        <w:tab/>
      </w:r>
      <w:r w:rsidRPr="00BB439E">
        <w:rPr>
          <w:rFonts w:eastAsia="Times New Roman" w:cstheme="minorHAnsi"/>
          <w:sz w:val="24"/>
          <w:szCs w:val="24"/>
        </w:rPr>
        <w:tab/>
        <w:t>Assistant Division Chief, Economic Characteristics</w:t>
      </w:r>
    </w:p>
    <w:p w:rsidR="0056673B" w:rsidRPr="00BB439E" w:rsidP="0056673B" w14:paraId="1E208FD5"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r w:rsidRPr="00BB439E">
        <w:rPr>
          <w:rFonts w:eastAsia="Times New Roman" w:cstheme="minorHAnsi"/>
          <w:sz w:val="24"/>
          <w:szCs w:val="24"/>
        </w:rPr>
        <w:tab/>
      </w:r>
      <w:r w:rsidRPr="00BB439E">
        <w:rPr>
          <w:rFonts w:eastAsia="Times New Roman" w:cstheme="minorHAnsi"/>
          <w:sz w:val="24"/>
          <w:szCs w:val="24"/>
        </w:rPr>
        <w:tab/>
        <w:t>Social, Economic, and Household Statistics Division</w:t>
      </w:r>
    </w:p>
    <w:p w:rsidR="0056673B" w:rsidRPr="00BB439E" w:rsidP="0056673B" w14:paraId="623AAE67"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r w:rsidRPr="00BB439E">
        <w:rPr>
          <w:rFonts w:eastAsia="Times New Roman" w:cstheme="minorHAnsi"/>
          <w:sz w:val="24"/>
          <w:szCs w:val="24"/>
        </w:rPr>
        <w:tab/>
      </w:r>
      <w:r w:rsidRPr="00BB439E">
        <w:rPr>
          <w:rFonts w:eastAsia="Times New Roman" w:cstheme="minorHAnsi"/>
          <w:sz w:val="24"/>
          <w:szCs w:val="24"/>
        </w:rPr>
        <w:tab/>
        <w:t>U.S. Census Bureau</w:t>
      </w:r>
    </w:p>
    <w:p w:rsidR="0056673B" w:rsidRPr="00BB439E" w:rsidP="0056673B" w14:paraId="00417EF6"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r w:rsidRPr="00BB439E">
        <w:rPr>
          <w:rFonts w:eastAsia="Times New Roman" w:cstheme="minorHAnsi"/>
          <w:sz w:val="24"/>
          <w:szCs w:val="24"/>
        </w:rPr>
        <w:tab/>
      </w:r>
      <w:r w:rsidRPr="00BB439E">
        <w:rPr>
          <w:rFonts w:eastAsia="Times New Roman" w:cstheme="minorHAnsi"/>
          <w:sz w:val="24"/>
          <w:szCs w:val="24"/>
        </w:rPr>
        <w:tab/>
        <w:t>Washington, DC 20233-8500</w:t>
      </w:r>
    </w:p>
    <w:p w:rsidR="0056673B" w:rsidRPr="00BB439E" w:rsidP="0056673B" w14:paraId="6BB0592A"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r w:rsidRPr="00BB439E">
        <w:rPr>
          <w:rFonts w:eastAsia="Times New Roman" w:cstheme="minorHAnsi"/>
          <w:sz w:val="24"/>
          <w:szCs w:val="24"/>
        </w:rPr>
        <w:tab/>
      </w:r>
      <w:r w:rsidRPr="00BB439E">
        <w:rPr>
          <w:rFonts w:eastAsia="Times New Roman" w:cstheme="minorHAnsi"/>
          <w:sz w:val="24"/>
          <w:szCs w:val="24"/>
        </w:rPr>
        <w:tab/>
        <w:t>(301) 763-5133</w:t>
      </w:r>
    </w:p>
    <w:p w:rsidR="0056673B" w:rsidRPr="00BB439E" w:rsidP="0056673B" w14:paraId="67598A22"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p>
    <w:p w:rsidR="0056673B" w:rsidRPr="00BB439E" w:rsidP="0056673B" w14:paraId="71151589"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p>
    <w:p w:rsidR="0056673B" w:rsidRPr="00BB439E" w:rsidP="0056673B" w14:paraId="50E82B25"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p>
    <w:p w:rsidR="0056673B" w:rsidRPr="00BB439E" w:rsidP="0056673B" w14:paraId="75CC0660"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p>
    <w:p w:rsidR="0056673B" w:rsidRPr="00BB439E" w:rsidP="0056673B" w14:paraId="2F1D8C35"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r w:rsidRPr="00BB439E">
        <w:rPr>
          <w:rFonts w:eastAsia="Times New Roman" w:cstheme="minorHAnsi"/>
          <w:sz w:val="24"/>
          <w:szCs w:val="24"/>
        </w:rPr>
        <w:t>List of Attachments:</w:t>
      </w:r>
    </w:p>
    <w:p w:rsidR="0056673B" w:rsidRPr="00BB439E" w:rsidP="0056673B" w14:paraId="1B98A67F"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eastAsia="Times New Roman" w:cstheme="minorHAnsi"/>
          <w:sz w:val="24"/>
          <w:szCs w:val="24"/>
        </w:rPr>
      </w:pPr>
    </w:p>
    <w:p w:rsidR="0056673B" w:rsidRPr="00BB439E" w:rsidP="0056673B" w14:paraId="4A38166D" w14:textId="77777777">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BB439E">
        <w:rPr>
          <w:rFonts w:eastAsia="Times New Roman" w:cstheme="minorHAnsi"/>
          <w:sz w:val="24"/>
          <w:szCs w:val="24"/>
        </w:rPr>
        <w:t>A</w:t>
      </w:r>
      <w:r w:rsidRPr="00BB439E">
        <w:rPr>
          <w:rFonts w:eastAsia="Times New Roman" w:cstheme="minorHAnsi"/>
          <w:sz w:val="24"/>
          <w:szCs w:val="24"/>
        </w:rPr>
        <w:tab/>
        <w:t xml:space="preserve">- </w:t>
      </w:r>
      <w:r w:rsidRPr="00BB439E">
        <w:rPr>
          <w:rFonts w:eastAsia="Times New Roman" w:cstheme="minorHAnsi"/>
          <w:sz w:val="24"/>
          <w:szCs w:val="24"/>
        </w:rPr>
        <w:tab/>
        <w:t>ASEC Questionnaire</w:t>
      </w:r>
    </w:p>
    <w:p w:rsidR="0056673B" w:rsidRPr="00BB439E" w:rsidP="0056673B" w14:paraId="64C12797" w14:textId="77777777">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BB439E">
        <w:rPr>
          <w:rFonts w:eastAsia="Times New Roman" w:cstheme="minorHAnsi"/>
          <w:sz w:val="24"/>
          <w:szCs w:val="24"/>
        </w:rPr>
        <w:t>B</w:t>
      </w:r>
      <w:r w:rsidRPr="00BB439E">
        <w:rPr>
          <w:rFonts w:eastAsia="Times New Roman" w:cstheme="minorHAnsi"/>
          <w:sz w:val="24"/>
          <w:szCs w:val="24"/>
        </w:rPr>
        <w:tab/>
        <w:t xml:space="preserve">- </w:t>
      </w:r>
      <w:r w:rsidRPr="00BB439E">
        <w:rPr>
          <w:rFonts w:eastAsia="Times New Roman" w:cstheme="minorHAnsi"/>
          <w:sz w:val="24"/>
          <w:szCs w:val="24"/>
        </w:rPr>
        <w:tab/>
        <w:t>Overview of CPS Sample Design and Methodology</w:t>
      </w:r>
    </w:p>
    <w:p w:rsidR="0056673B" w:rsidRPr="00BB439E" w:rsidP="0056673B" w14:paraId="6118BD72" w14:textId="77777777">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BB439E">
        <w:rPr>
          <w:rFonts w:eastAsia="Times New Roman" w:cstheme="minorHAnsi"/>
          <w:sz w:val="24"/>
          <w:szCs w:val="24"/>
        </w:rPr>
        <w:t>C</w:t>
      </w:r>
      <w:r w:rsidRPr="00BB439E">
        <w:rPr>
          <w:rFonts w:eastAsia="Times New Roman" w:cstheme="minorHAnsi"/>
          <w:sz w:val="24"/>
          <w:szCs w:val="24"/>
        </w:rPr>
        <w:tab/>
        <w:t xml:space="preserve">- </w:t>
      </w:r>
      <w:r w:rsidRPr="00BB439E">
        <w:rPr>
          <w:rFonts w:eastAsia="Times New Roman" w:cstheme="minorHAnsi"/>
          <w:sz w:val="24"/>
          <w:szCs w:val="24"/>
        </w:rPr>
        <w:tab/>
        <w:t>Source and Accuracy Statement</w:t>
      </w:r>
    </w:p>
    <w:p w:rsidR="0056673B" w:rsidP="0056673B" w14:paraId="0D28A658" w14:textId="09F7EA47">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BB439E">
        <w:rPr>
          <w:rFonts w:eastAsia="Times New Roman" w:cstheme="minorHAnsi"/>
          <w:sz w:val="24"/>
          <w:szCs w:val="24"/>
        </w:rPr>
        <w:t>D</w:t>
      </w:r>
      <w:r w:rsidR="006C75E3">
        <w:rPr>
          <w:rFonts w:eastAsia="Times New Roman" w:cstheme="minorHAnsi"/>
          <w:sz w:val="24"/>
          <w:szCs w:val="24"/>
        </w:rPr>
        <w:t xml:space="preserve">-1 </w:t>
      </w:r>
      <w:r w:rsidRPr="00BB439E">
        <w:rPr>
          <w:rFonts w:eastAsia="Times New Roman" w:cstheme="minorHAnsi"/>
          <w:sz w:val="24"/>
          <w:szCs w:val="24"/>
        </w:rPr>
        <w:tab/>
        <w:t>-</w:t>
      </w:r>
      <w:r w:rsidR="006C75E3">
        <w:rPr>
          <w:rFonts w:eastAsia="Times New Roman" w:cstheme="minorHAnsi"/>
          <w:sz w:val="24"/>
          <w:szCs w:val="24"/>
        </w:rPr>
        <w:t xml:space="preserve"> </w:t>
      </w:r>
      <w:r w:rsidRPr="00BB439E">
        <w:rPr>
          <w:rFonts w:eastAsia="Times New Roman" w:cstheme="minorHAnsi"/>
          <w:sz w:val="24"/>
          <w:szCs w:val="24"/>
        </w:rPr>
        <w:t>CPS-263(MIS-1)(L), CPS Respondent Letter</w:t>
      </w:r>
    </w:p>
    <w:p w:rsidR="006C75E3" w:rsidP="0056673B" w14:paraId="58A87779" w14:textId="7571DEDC">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6C75E3">
        <w:rPr>
          <w:rFonts w:eastAsia="Times New Roman" w:cstheme="minorHAnsi"/>
          <w:sz w:val="24"/>
          <w:szCs w:val="24"/>
        </w:rPr>
        <w:t xml:space="preserve">D-2 </w:t>
      </w:r>
      <w:r>
        <w:rPr>
          <w:rFonts w:eastAsia="Times New Roman" w:cstheme="minorHAnsi"/>
          <w:sz w:val="24"/>
          <w:szCs w:val="24"/>
        </w:rPr>
        <w:t>-</w:t>
      </w:r>
      <w:r w:rsidRPr="006C75E3">
        <w:rPr>
          <w:rFonts w:eastAsia="Times New Roman" w:cstheme="minorHAnsi"/>
          <w:sz w:val="24"/>
          <w:szCs w:val="24"/>
        </w:rPr>
        <w:t xml:space="preserve"> CPS-264(MIS-5)(L), CPS Respondent Let</w:t>
      </w:r>
      <w:r>
        <w:rPr>
          <w:rFonts w:eastAsia="Times New Roman" w:cstheme="minorHAnsi"/>
          <w:sz w:val="24"/>
          <w:szCs w:val="24"/>
        </w:rPr>
        <w:t>ter</w:t>
      </w:r>
    </w:p>
    <w:p w:rsidR="006C75E3" w:rsidRPr="006C75E3" w:rsidP="0056673B" w14:paraId="121CAA93" w14:textId="094A9A2E">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Pr>
          <w:rFonts w:eastAsia="Times New Roman" w:cstheme="minorHAnsi"/>
          <w:sz w:val="24"/>
          <w:szCs w:val="24"/>
        </w:rPr>
        <w:t xml:space="preserve">D-3 - CPS-266, Thank You card </w:t>
      </w:r>
    </w:p>
    <w:p w:rsidR="006C75E3" w:rsidP="0056673B" w14:paraId="2E64242A" w14:textId="21A2071C">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BB439E">
        <w:rPr>
          <w:rFonts w:eastAsia="Times New Roman" w:cstheme="minorHAnsi"/>
          <w:sz w:val="24"/>
          <w:szCs w:val="24"/>
        </w:rPr>
        <w:t>E</w:t>
      </w:r>
      <w:r>
        <w:rPr>
          <w:rFonts w:eastAsia="Times New Roman" w:cstheme="minorHAnsi"/>
          <w:sz w:val="24"/>
          <w:szCs w:val="24"/>
        </w:rPr>
        <w:t>-1</w:t>
      </w:r>
      <w:r w:rsidRPr="00BB439E">
        <w:rPr>
          <w:rFonts w:eastAsia="Times New Roman" w:cstheme="minorHAnsi"/>
          <w:sz w:val="24"/>
          <w:szCs w:val="24"/>
        </w:rPr>
        <w:t xml:space="preserve"> </w:t>
      </w:r>
      <w:r>
        <w:rPr>
          <w:rFonts w:eastAsia="Times New Roman" w:cstheme="minorHAnsi"/>
          <w:sz w:val="24"/>
          <w:szCs w:val="24"/>
        </w:rPr>
        <w:t>-</w:t>
      </w:r>
      <w:r w:rsidRPr="00BB439E">
        <w:rPr>
          <w:rFonts w:eastAsia="Times New Roman" w:cstheme="minorHAnsi"/>
          <w:sz w:val="24"/>
          <w:szCs w:val="24"/>
        </w:rPr>
        <w:t xml:space="preserve"> </w:t>
      </w:r>
      <w:r>
        <w:rPr>
          <w:rFonts w:eastAsia="Times New Roman" w:cstheme="minorHAnsi"/>
          <w:sz w:val="24"/>
          <w:szCs w:val="24"/>
        </w:rPr>
        <w:t>BC-1433 Factsheet (SP)</w:t>
      </w:r>
    </w:p>
    <w:p w:rsidR="0056673B" w:rsidP="0056673B" w14:paraId="6B822EF8" w14:textId="330B1D95">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Pr>
          <w:rFonts w:eastAsia="Times New Roman" w:cstheme="minorHAnsi"/>
          <w:sz w:val="24"/>
          <w:szCs w:val="24"/>
        </w:rPr>
        <w:t>E-1 - BC-1433 Factsheet</w:t>
      </w:r>
      <w:r w:rsidRPr="00BB439E">
        <w:rPr>
          <w:rFonts w:eastAsia="Times New Roman" w:cstheme="minorHAnsi"/>
          <w:sz w:val="24"/>
          <w:szCs w:val="24"/>
        </w:rPr>
        <w:tab/>
      </w:r>
    </w:p>
    <w:p w:rsidR="006C75E3" w:rsidP="0056673B" w14:paraId="126A09B7" w14:textId="16F8C5BD">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Pr>
          <w:rFonts w:eastAsia="Times New Roman" w:cstheme="minorHAnsi"/>
          <w:sz w:val="24"/>
          <w:szCs w:val="24"/>
        </w:rPr>
        <w:t>E-2 - CPS-692, The Monthly Flow of CPS</w:t>
      </w:r>
    </w:p>
    <w:p w:rsidR="006C75E3" w:rsidP="0056673B" w14:paraId="64C075E7" w14:textId="40920981">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Pr>
          <w:rFonts w:eastAsia="Times New Roman" w:cstheme="minorHAnsi"/>
          <w:sz w:val="24"/>
          <w:szCs w:val="24"/>
        </w:rPr>
        <w:t xml:space="preserve">E-3 - BC-1428, </w:t>
      </w:r>
      <w:r w:rsidRPr="00BB439E">
        <w:rPr>
          <w:rFonts w:eastAsia="Times New Roman" w:cstheme="minorHAnsi"/>
          <w:sz w:val="24"/>
          <w:szCs w:val="24"/>
        </w:rPr>
        <w:t>Confidentiality Brochure</w:t>
      </w:r>
    </w:p>
    <w:p w:rsidR="006C75E3" w:rsidRPr="00BB439E" w:rsidP="0056673B" w14:paraId="373E09DF" w14:textId="76149C68">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Pr>
          <w:rFonts w:eastAsia="Times New Roman" w:cstheme="minorHAnsi"/>
          <w:sz w:val="24"/>
          <w:szCs w:val="24"/>
        </w:rPr>
        <w:t xml:space="preserve">E-3 - BC-1428, </w:t>
      </w:r>
      <w:r w:rsidRPr="00BB439E">
        <w:rPr>
          <w:rFonts w:eastAsia="Times New Roman" w:cstheme="minorHAnsi"/>
          <w:sz w:val="24"/>
          <w:szCs w:val="24"/>
        </w:rPr>
        <w:t xml:space="preserve">Confidentiality Brochure </w:t>
      </w:r>
      <w:r>
        <w:rPr>
          <w:rFonts w:eastAsia="Times New Roman" w:cstheme="minorHAnsi"/>
          <w:sz w:val="24"/>
          <w:szCs w:val="24"/>
        </w:rPr>
        <w:t>(</w:t>
      </w:r>
      <w:r w:rsidRPr="00BB439E">
        <w:rPr>
          <w:rFonts w:eastAsia="Times New Roman" w:cstheme="minorHAnsi"/>
          <w:sz w:val="24"/>
          <w:szCs w:val="24"/>
        </w:rPr>
        <w:t>SP</w:t>
      </w:r>
      <w:r>
        <w:rPr>
          <w:rFonts w:eastAsia="Times New Roman" w:cstheme="minorHAnsi"/>
          <w:sz w:val="24"/>
          <w:szCs w:val="24"/>
        </w:rPr>
        <w:t>)</w:t>
      </w:r>
    </w:p>
    <w:p w:rsidR="0056673B" w:rsidRPr="00BB439E" w:rsidP="0056673B" w14:paraId="7C50D85A" w14:textId="5C1637D6">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BB439E">
        <w:rPr>
          <w:rFonts w:eastAsia="Times New Roman" w:cstheme="minorHAnsi"/>
          <w:sz w:val="24"/>
          <w:szCs w:val="24"/>
        </w:rPr>
        <w:t>F</w:t>
      </w:r>
      <w:r w:rsidRPr="00BB439E">
        <w:rPr>
          <w:rFonts w:eastAsia="Times New Roman" w:cstheme="minorHAnsi"/>
          <w:sz w:val="24"/>
          <w:szCs w:val="24"/>
        </w:rPr>
        <w:tab/>
        <w:t xml:space="preserve">- </w:t>
      </w:r>
      <w:r w:rsidRPr="00BB439E">
        <w:rPr>
          <w:rFonts w:eastAsia="Times New Roman" w:cstheme="minorHAnsi"/>
          <w:sz w:val="24"/>
          <w:szCs w:val="24"/>
        </w:rPr>
        <w:tab/>
      </w:r>
      <w:r w:rsidR="006C75E3">
        <w:rPr>
          <w:rFonts w:eastAsia="Times New Roman" w:cstheme="minorHAnsi"/>
          <w:sz w:val="24"/>
          <w:szCs w:val="24"/>
        </w:rPr>
        <w:t>Statutes Authorizing the Collection</w:t>
      </w:r>
    </w:p>
    <w:p w:rsidR="0056673B" w:rsidP="0056673B" w14:paraId="4488E311" w14:textId="51E9BB62">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BB439E">
        <w:rPr>
          <w:rFonts w:eastAsia="Times New Roman" w:cstheme="minorHAnsi"/>
          <w:sz w:val="24"/>
          <w:szCs w:val="24"/>
        </w:rPr>
        <w:t xml:space="preserve">G  - </w:t>
      </w:r>
      <w:r w:rsidRPr="00BB439E">
        <w:rPr>
          <w:rFonts w:eastAsia="Times New Roman" w:cstheme="minorHAnsi"/>
          <w:sz w:val="24"/>
          <w:szCs w:val="24"/>
        </w:rPr>
        <w:tab/>
      </w:r>
      <w:r w:rsidR="006C75E3">
        <w:rPr>
          <w:rFonts w:eastAsia="Times New Roman" w:cstheme="minorHAnsi"/>
          <w:sz w:val="24"/>
          <w:szCs w:val="24"/>
        </w:rPr>
        <w:t>SOGI Sign-On Comment</w:t>
      </w:r>
    </w:p>
    <w:p w:rsidR="006C75E3" w:rsidRPr="00BB439E" w:rsidP="0056673B" w14:paraId="6F8E72A4" w14:textId="77777777">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p>
    <w:p w:rsidR="0056673B" w:rsidRPr="00BB439E" w:rsidP="0056673B" w14:paraId="527BCC15" w14:textId="77777777">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BB439E">
        <w:rPr>
          <w:rFonts w:eastAsia="Times New Roman" w:cstheme="minorHAnsi"/>
          <w:sz w:val="24"/>
          <w:szCs w:val="24"/>
        </w:rPr>
        <w:t>H</w:t>
      </w:r>
      <w:r w:rsidRPr="00BB439E">
        <w:rPr>
          <w:rFonts w:eastAsia="Times New Roman" w:cstheme="minorHAnsi"/>
          <w:sz w:val="24"/>
          <w:szCs w:val="24"/>
        </w:rPr>
        <w:tab/>
        <w:t xml:space="preserve">- </w:t>
      </w:r>
      <w:r w:rsidRPr="00BB439E">
        <w:rPr>
          <w:rFonts w:eastAsia="Times New Roman" w:cstheme="minorHAnsi"/>
          <w:sz w:val="24"/>
          <w:szCs w:val="24"/>
        </w:rPr>
        <w:tab/>
        <w:t>CPS-580(ASEC)(L), ASEC Respondent Letter</w:t>
      </w:r>
    </w:p>
    <w:p w:rsidR="0056673B" w:rsidRPr="00BB439E" w:rsidP="0056673B" w14:paraId="7251115A" w14:textId="77777777">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BB439E">
        <w:rPr>
          <w:rFonts w:eastAsia="Times New Roman" w:cstheme="minorHAnsi"/>
          <w:sz w:val="24"/>
          <w:szCs w:val="24"/>
        </w:rPr>
        <w:t>I</w:t>
      </w:r>
      <w:r w:rsidRPr="00BB439E">
        <w:rPr>
          <w:rFonts w:eastAsia="Times New Roman" w:cstheme="minorHAnsi"/>
          <w:sz w:val="24"/>
          <w:szCs w:val="24"/>
        </w:rPr>
        <w:tab/>
        <w:t xml:space="preserve">- </w:t>
      </w:r>
      <w:r w:rsidRPr="00BB439E">
        <w:rPr>
          <w:rFonts w:eastAsia="Times New Roman" w:cstheme="minorHAnsi"/>
          <w:sz w:val="24"/>
          <w:szCs w:val="24"/>
        </w:rPr>
        <w:tab/>
        <w:t>CPS-580(L)SP, ASEC Respondent Letter in Spanish</w:t>
      </w:r>
    </w:p>
    <w:p w:rsidR="0056673B" w:rsidRPr="00BB439E" w:rsidP="0056673B" w14:paraId="2B138DBA" w14:textId="77777777">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BB439E">
        <w:rPr>
          <w:rFonts w:eastAsia="Times New Roman" w:cstheme="minorHAnsi"/>
          <w:sz w:val="24"/>
          <w:szCs w:val="24"/>
        </w:rPr>
        <w:t>J</w:t>
      </w:r>
      <w:r w:rsidRPr="00BB439E">
        <w:rPr>
          <w:rFonts w:eastAsia="Times New Roman" w:cstheme="minorHAnsi"/>
          <w:sz w:val="24"/>
          <w:szCs w:val="24"/>
        </w:rPr>
        <w:tab/>
        <w:t xml:space="preserve">- </w:t>
      </w:r>
      <w:r w:rsidRPr="00BB439E">
        <w:rPr>
          <w:rFonts w:eastAsia="Times New Roman" w:cstheme="minorHAnsi"/>
          <w:sz w:val="24"/>
          <w:szCs w:val="24"/>
        </w:rPr>
        <w:tab/>
        <w:t>CPS-676, "Changing Situation" Pamphlet</w:t>
      </w:r>
    </w:p>
    <w:p w:rsidR="0056673B" w:rsidRPr="00BB439E" w:rsidP="00021A55" w14:paraId="75E51970" w14:textId="4DAA06DB">
      <w:pPr>
        <w:widowControl w:val="0"/>
        <w:tabs>
          <w:tab w:val="right" w:pos="900"/>
          <w:tab w:val="left" w:pos="990"/>
        </w:tabs>
        <w:autoSpaceDE w:val="0"/>
        <w:autoSpaceDN w:val="0"/>
        <w:adjustRightInd w:val="0"/>
        <w:spacing w:after="0" w:line="240" w:lineRule="auto"/>
        <w:ind w:left="540"/>
        <w:rPr>
          <w:rFonts w:eastAsia="Times New Roman" w:cstheme="minorHAnsi"/>
          <w:sz w:val="24"/>
          <w:szCs w:val="24"/>
        </w:rPr>
      </w:pPr>
      <w:r w:rsidRPr="00BB439E">
        <w:rPr>
          <w:rFonts w:eastAsia="Times New Roman" w:cstheme="minorHAnsi"/>
          <w:sz w:val="24"/>
          <w:szCs w:val="24"/>
        </w:rPr>
        <w:t>K</w:t>
      </w:r>
      <w:r w:rsidRPr="00BB439E">
        <w:rPr>
          <w:rFonts w:eastAsia="Times New Roman" w:cstheme="minorHAnsi"/>
          <w:sz w:val="24"/>
          <w:szCs w:val="24"/>
        </w:rPr>
        <w:tab/>
        <w:t xml:space="preserve">- </w:t>
      </w:r>
      <w:r w:rsidRPr="00BB439E">
        <w:rPr>
          <w:rFonts w:eastAsia="Times New Roman" w:cstheme="minorHAnsi"/>
          <w:sz w:val="24"/>
          <w:szCs w:val="24"/>
        </w:rPr>
        <w:tab/>
        <w:t>CPS-676(SP), "Changing Situation" Pamphlet in Spanish</w:t>
      </w:r>
    </w:p>
    <w:p w:rsidR="0056673B" w:rsidRPr="00CE152A" w:rsidP="00F63DAF" w14:paraId="02602F19" w14:textId="77777777">
      <w:pPr>
        <w:spacing w:line="276" w:lineRule="auto"/>
        <w:rPr>
          <w:rFonts w:ascii="Times New Roman" w:eastAsia="Times New Roman" w:hAnsi="Times New Roman" w:cs="Times New Roman"/>
          <w:b/>
          <w:sz w:val="24"/>
          <w:szCs w:val="24"/>
          <w:lang w:bidi="he-IL"/>
        </w:rPr>
      </w:pPr>
    </w:p>
    <w:sectPr>
      <w:headerReference w:type="even" r:id="rId7"/>
      <w:headerReference w:type="default" r:id="rId8"/>
      <w:footerReference w:type="even" r:id="rId9"/>
      <w:footerReference w:type="default" r:id="rId10"/>
      <w:pgSz w:w="12240" w:h="15840"/>
      <w:pgMar w:top="1440" w:right="1440" w:bottom="1440" w:left="1440" w:header="144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tag w:val="goog_rdk_46"/>
      <w:id w:val="506803326"/>
      <w:richText/>
    </w:sdtPr>
    <w:sdtContent>
      <w:p w:rsidR="004F2936" w14:paraId="1B7DDE34"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sdtContent>
  </w:sdt>
  <w:sdt>
    <w:sdtPr>
      <w:tag w:val="goog_rdk_47"/>
      <w:id w:val="347602437"/>
      <w:richText/>
    </w:sdtPr>
    <w:sdtContent>
      <w:p w:rsidR="004F2936" w14:paraId="46C23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tag w:val="goog_rdk_43"/>
      <w:id w:val="57210534"/>
      <w:richText/>
    </w:sdtPr>
    <w:sdtContent>
      <w:p w:rsidR="004F2936" w14:paraId="6B866527" w14:textId="787FC03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63DAF">
          <w:rPr>
            <w:noProof/>
            <w:color w:val="000000"/>
          </w:rPr>
          <w:t>1</w:t>
        </w:r>
        <w:r>
          <w:rPr>
            <w:color w:val="000000"/>
          </w:rPr>
          <w:fldChar w:fldCharType="end"/>
        </w:r>
      </w:p>
    </w:sdtContent>
  </w:sdt>
  <w:sdt>
    <w:sdtPr>
      <w:tag w:val="goog_rdk_44"/>
      <w:id w:val="-1686517044"/>
      <w:richText/>
    </w:sdtPr>
    <w:sdtContent>
      <w:p w:rsidR="004F2936" w14:paraId="1DE36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tag w:val="goog_rdk_45"/>
      <w:id w:val="-764226697"/>
      <w:richText/>
    </w:sdtPr>
    <w:sdtContent>
      <w:p w:rsidR="004F2936" w14:paraId="689E1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tag w:val="goog_rdk_42"/>
      <w:id w:val="112950304"/>
      <w:richText/>
    </w:sdtPr>
    <w:sdtContent>
      <w:p w:rsidR="004F2936" w14:paraId="73EDBC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21A55"/>
    <w:rsid w:val="000C19CA"/>
    <w:rsid w:val="000C6D69"/>
    <w:rsid w:val="00124446"/>
    <w:rsid w:val="001C3579"/>
    <w:rsid w:val="002366BB"/>
    <w:rsid w:val="0040187C"/>
    <w:rsid w:val="004C576F"/>
    <w:rsid w:val="004E10E3"/>
    <w:rsid w:val="004F2936"/>
    <w:rsid w:val="0056673B"/>
    <w:rsid w:val="00675E21"/>
    <w:rsid w:val="00680807"/>
    <w:rsid w:val="00684A9E"/>
    <w:rsid w:val="006C75E3"/>
    <w:rsid w:val="00855A86"/>
    <w:rsid w:val="00860994"/>
    <w:rsid w:val="00886BB8"/>
    <w:rsid w:val="00954FE2"/>
    <w:rsid w:val="00995D19"/>
    <w:rsid w:val="00A02520"/>
    <w:rsid w:val="00A23502"/>
    <w:rsid w:val="00B322A3"/>
    <w:rsid w:val="00B54B55"/>
    <w:rsid w:val="00BB439E"/>
    <w:rsid w:val="00C46284"/>
    <w:rsid w:val="00CE152A"/>
    <w:rsid w:val="00D00C77"/>
    <w:rsid w:val="00F63D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table" w:styleId="TableGrid">
    <w:name w:val="Table Grid"/>
    <w:basedOn w:val="TableNormal"/>
    <w:uiPriority w:val="39"/>
    <w:rsid w:val="004F2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Tim Marshall</SubmitterName>
    <Parent_ICR xmlns="f762c95d-3cca-4969-a35b-3d8ab5bf0d48">1537</Parent_ICR>
    <ICR_ID xmlns="f762c95d-3cca-4969-a35b-3d8ab5bf0d48">1537</ICR_ID>
    <DocumentType xmlns="f762c95d-3cca-4969-a35b-3d8ab5bf0d48">Supporting Statement B</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8EA56-831A-4538-BFF7-AA7152CC4E7D}">
  <ds:schemaRefs/>
</ds:datastoreItem>
</file>

<file path=customXml/itemProps2.xml><?xml version="1.0" encoding="utf-8"?>
<ds:datastoreItem xmlns:ds="http://schemas.openxmlformats.org/officeDocument/2006/customXml" ds:itemID="{93A81BCF-4F5B-4365-AD17-DEBF7FDAD199}">
  <ds:schemaRefs>
    <ds:schemaRef ds:uri="ddf89d24-da51-4c04-a6b5-936a153adb8f"/>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683294c6-37a3-4ef1-8fc0-8d465748c9d6"/>
  </ds:schemaRefs>
</ds:datastoreItem>
</file>

<file path=customXml/itemProps3.xml><?xml version="1.0" encoding="utf-8"?>
<ds:datastoreItem xmlns:ds="http://schemas.openxmlformats.org/officeDocument/2006/customXml" ds:itemID="{E19A38F4-978E-4F27-9D62-B32F9C27F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ASEC_Supporting StatementB_final</dc:title>
  <dc:creator>Dumas, Sheleen (Federal)</dc:creator>
  <cp:lastModifiedBy>Tim J Marshall (CENSUS/ADDP FED)</cp:lastModifiedBy>
  <cp:revision>3</cp:revision>
  <dcterms:created xsi:type="dcterms:W3CDTF">2024-10-23T15:35:00Z</dcterms:created>
  <dcterms:modified xsi:type="dcterms:W3CDTF">2024-10-23T15:47:00Z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_dlc_DocIdItemGuid">
    <vt:lpwstr>27efdede-d81c-4be9-bfbf-0c4411b5b82f</vt:lpwstr>
  </property>
</Properties>
</file>