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97FF4" w:rsidRPr="00C97FF4" w:rsidP="00C97FF4" w14:paraId="1EBC6E52" w14:textId="197B4AF0">
      <w:pPr>
        <w:shd w:val="clear" w:color="auto" w:fill="FFFFFF"/>
        <w:spacing w:before="300" w:after="150" w:line="240" w:lineRule="auto"/>
        <w:jc w:val="right"/>
        <w:outlineLvl w:val="0"/>
        <w:rPr>
          <w:rFonts w:ascii="Verdana" w:eastAsia="Times New Roman" w:hAnsi="Verdana" w:cs="Times New Roman"/>
          <w:color w:val="333333"/>
          <w:kern w:val="36"/>
          <w:sz w:val="24"/>
          <w:szCs w:val="24"/>
        </w:rPr>
      </w:pPr>
      <w:r>
        <w:rPr>
          <w:rFonts w:ascii="Verdana" w:eastAsia="Times New Roman" w:hAnsi="Verdana" w:cs="Times New Roman"/>
          <w:color w:val="333333"/>
          <w:kern w:val="36"/>
          <w:sz w:val="24"/>
          <w:szCs w:val="24"/>
        </w:rPr>
        <w:t>Attachment F</w:t>
      </w:r>
    </w:p>
    <w:p w:rsidR="00C97FF4" w:rsidP="00E75E1B" w14:paraId="12E1C12A" w14:textId="77777777">
      <w:pPr>
        <w:shd w:val="clear" w:color="auto" w:fill="FFFFFF"/>
        <w:spacing w:before="300" w:after="150" w:line="240" w:lineRule="auto"/>
        <w:outlineLvl w:val="0"/>
        <w:rPr>
          <w:rFonts w:ascii="Verdana" w:eastAsia="Times New Roman" w:hAnsi="Verdana" w:cs="Times New Roman"/>
          <w:color w:val="333333"/>
          <w:kern w:val="36"/>
          <w:sz w:val="40"/>
          <w:szCs w:val="40"/>
        </w:rPr>
      </w:pPr>
    </w:p>
    <w:p w:rsidR="00967ABD" w:rsidRPr="00967ABD" w:rsidP="00E75E1B" w14:paraId="0549A2A6" w14:textId="64D9CEDC">
      <w:pPr>
        <w:shd w:val="clear" w:color="auto" w:fill="FFFFFF"/>
        <w:spacing w:before="300" w:after="150" w:line="240" w:lineRule="auto"/>
        <w:outlineLvl w:val="0"/>
        <w:rPr>
          <w:rFonts w:ascii="Verdana" w:eastAsia="Times New Roman" w:hAnsi="Verdana" w:cs="Times New Roman"/>
          <w:color w:val="333333"/>
          <w:kern w:val="36"/>
          <w:sz w:val="40"/>
          <w:szCs w:val="40"/>
        </w:rPr>
      </w:pPr>
      <w:r w:rsidRPr="00967ABD">
        <w:rPr>
          <w:rFonts w:ascii="Verdana" w:eastAsia="Times New Roman" w:hAnsi="Verdana" w:cs="Times New Roman"/>
          <w:color w:val="333333"/>
          <w:kern w:val="36"/>
          <w:sz w:val="40"/>
          <w:szCs w:val="40"/>
        </w:rPr>
        <w:t>Statutes Authorizing the Collection of Information in the Current Population Survey</w:t>
      </w:r>
    </w:p>
    <w:p w:rsidR="00967ABD" w:rsidRPr="00967ABD" w:rsidP="00E75E1B" w14:paraId="19737410" w14:textId="13A03CD0">
      <w:pPr>
        <w:shd w:val="clear" w:color="auto" w:fill="FFFFFF"/>
        <w:spacing w:before="300" w:after="150" w:line="240" w:lineRule="auto"/>
        <w:outlineLvl w:val="0"/>
        <w:rPr>
          <w:rFonts w:ascii="Verdana" w:eastAsia="Times New Roman" w:hAnsi="Verdana" w:cs="Times New Roman"/>
          <w:color w:val="333333"/>
          <w:kern w:val="36"/>
          <w:sz w:val="32"/>
          <w:szCs w:val="32"/>
        </w:rPr>
      </w:pPr>
      <w:r w:rsidRPr="00967ABD">
        <w:rPr>
          <w:rFonts w:ascii="Verdana" w:eastAsia="Times New Roman" w:hAnsi="Verdana" w:cs="Times New Roman"/>
          <w:color w:val="333333"/>
          <w:kern w:val="36"/>
          <w:sz w:val="32"/>
          <w:szCs w:val="32"/>
        </w:rPr>
        <w:t xml:space="preserve">Title </w:t>
      </w:r>
      <w:r w:rsidRPr="00E75E1B" w:rsidR="00E75E1B">
        <w:rPr>
          <w:rFonts w:ascii="Verdana" w:eastAsia="Times New Roman" w:hAnsi="Verdana" w:cs="Times New Roman"/>
          <w:color w:val="333333"/>
          <w:kern w:val="36"/>
          <w:sz w:val="32"/>
          <w:szCs w:val="32"/>
        </w:rPr>
        <w:t xml:space="preserve">13 U.S. Code </w:t>
      </w:r>
    </w:p>
    <w:p w:rsidR="00E75E1B" w:rsidRPr="00E75E1B" w:rsidP="00967ABD" w14:paraId="36A33C06" w14:textId="7D38375E">
      <w:pPr>
        <w:shd w:val="clear" w:color="auto" w:fill="FFFFFF"/>
        <w:spacing w:before="300" w:after="150" w:line="240" w:lineRule="auto"/>
        <w:outlineLvl w:val="0"/>
        <w:rPr>
          <w:rFonts w:ascii="Times New Roman" w:eastAsia="Times New Roman" w:hAnsi="Times New Roman" w:cs="Times New Roman"/>
          <w:sz w:val="28"/>
          <w:szCs w:val="28"/>
        </w:rPr>
      </w:pPr>
      <w:r w:rsidRPr="00E75E1B">
        <w:rPr>
          <w:rFonts w:ascii="Verdana" w:eastAsia="Times New Roman" w:hAnsi="Verdana" w:cs="Times New Roman"/>
          <w:color w:val="333333"/>
          <w:kern w:val="36"/>
          <w:sz w:val="28"/>
          <w:szCs w:val="28"/>
        </w:rPr>
        <w:t>§ 8</w:t>
      </w:r>
      <w:r w:rsidRPr="00E75E1B">
        <w:rPr>
          <w:rFonts w:ascii="Verdana" w:eastAsia="Times New Roman" w:hAnsi="Verdana" w:cs="Times New Roman"/>
          <w:b/>
          <w:bCs/>
          <w:color w:val="333333"/>
          <w:sz w:val="28"/>
          <w:szCs w:val="28"/>
          <w:shd w:val="clear" w:color="auto" w:fill="FFFFFF"/>
        </w:rPr>
        <w:t>(b)</w:t>
      </w:r>
    </w:p>
    <w:p w:rsidR="00E75E1B" w:rsidRPr="00E75E1B" w:rsidP="00E75E1B" w14:paraId="2F428F77" w14:textId="77777777">
      <w:pPr>
        <w:shd w:val="clear" w:color="auto" w:fill="FFFFFF"/>
        <w:spacing w:after="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Subject to the limitations contained in sections </w:t>
      </w:r>
      <w:hyperlink r:id="rId7" w:anchor="c" w:history="1">
        <w:r w:rsidRPr="00E75E1B">
          <w:rPr>
            <w:rFonts w:ascii="Verdana" w:eastAsia="Times New Roman" w:hAnsi="Verdana" w:cs="Times New Roman"/>
            <w:color w:val="0068AC"/>
            <w:sz w:val="24"/>
            <w:szCs w:val="24"/>
            <w:u w:val="single"/>
          </w:rPr>
          <w:t>6(c)</w:t>
        </w:r>
      </w:hyperlink>
      <w:r w:rsidRPr="00E75E1B">
        <w:rPr>
          <w:rFonts w:ascii="Verdana" w:eastAsia="Times New Roman" w:hAnsi="Verdana" w:cs="Times New Roman"/>
          <w:color w:val="333333"/>
          <w:sz w:val="24"/>
          <w:szCs w:val="24"/>
        </w:rPr>
        <w:t> and </w:t>
      </w:r>
      <w:hyperlink r:id="rId8" w:history="1">
        <w:r w:rsidRPr="00E75E1B">
          <w:rPr>
            <w:rFonts w:ascii="Verdana" w:eastAsia="Times New Roman" w:hAnsi="Verdana" w:cs="Times New Roman"/>
            <w:color w:val="0068AC"/>
            <w:sz w:val="24"/>
            <w:szCs w:val="24"/>
            <w:u w:val="single"/>
          </w:rPr>
          <w:t>9</w:t>
        </w:r>
      </w:hyperlink>
      <w:r w:rsidRPr="00E75E1B">
        <w:rPr>
          <w:rFonts w:ascii="Verdana" w:eastAsia="Times New Roman" w:hAnsi="Verdana" w:cs="Times New Roman"/>
          <w:color w:val="333333"/>
          <w:sz w:val="24"/>
          <w:szCs w:val="24"/>
        </w:rPr>
        <w:t> of this title, the</w:t>
      </w:r>
      <w:hyperlink r:id="rId9" w:history="1">
        <w:r w:rsidRPr="00E75E1B">
          <w:rPr>
            <w:rFonts w:ascii="Verdana" w:eastAsia="Times New Roman" w:hAnsi="Verdana" w:cs="Times New Roman"/>
            <w:color w:val="0068AC"/>
            <w:sz w:val="24"/>
            <w:szCs w:val="24"/>
            <w:u w:val="single"/>
          </w:rPr>
          <w:t> Secretary </w:t>
        </w:r>
      </w:hyperlink>
      <w:r w:rsidRPr="00E75E1B">
        <w:rPr>
          <w:rFonts w:ascii="Verdana" w:eastAsia="Times New Roman" w:hAnsi="Verdana" w:cs="Times New Roman"/>
          <w:color w:val="333333"/>
          <w:sz w:val="24"/>
          <w:szCs w:val="24"/>
        </w:rPr>
        <w:t>may furnish copies of tabulations and other statistical materials which do not disclose the information reported by, or on behalf of, any particular</w:t>
      </w:r>
      <w:hyperlink r:id="rId10" w:history="1">
        <w:r w:rsidRPr="00E75E1B">
          <w:rPr>
            <w:rFonts w:ascii="Verdana" w:eastAsia="Times New Roman" w:hAnsi="Verdana" w:cs="Times New Roman"/>
            <w:color w:val="0068AC"/>
            <w:sz w:val="24"/>
            <w:szCs w:val="24"/>
            <w:u w:val="single"/>
          </w:rPr>
          <w:t> respondent,</w:t>
        </w:r>
      </w:hyperlink>
      <w:r w:rsidRPr="00E75E1B">
        <w:rPr>
          <w:rFonts w:ascii="Verdana" w:eastAsia="Times New Roman" w:hAnsi="Verdana" w:cs="Times New Roman"/>
          <w:color w:val="333333"/>
          <w:sz w:val="24"/>
          <w:szCs w:val="24"/>
        </w:rPr>
        <w:t> and may make special statistical compilations and surveys, for departments, agencies, and establishments of the Federal Government, the government of the District of Columbia, the government of any possession or area (including political subdivisions thereof) referred to in </w:t>
      </w:r>
      <w:hyperlink r:id="rId11" w:anchor="a" w:history="1">
        <w:r w:rsidRPr="00E75E1B">
          <w:rPr>
            <w:rFonts w:ascii="Verdana" w:eastAsia="Times New Roman" w:hAnsi="Verdana" w:cs="Times New Roman"/>
            <w:color w:val="0068AC"/>
            <w:sz w:val="24"/>
            <w:szCs w:val="24"/>
            <w:u w:val="single"/>
          </w:rPr>
          <w:t>section 191(a) of this title</w:t>
        </w:r>
      </w:hyperlink>
      <w:r w:rsidRPr="00E75E1B">
        <w:rPr>
          <w:rFonts w:ascii="Verdana" w:eastAsia="Times New Roman" w:hAnsi="Verdana" w:cs="Times New Roman"/>
          <w:color w:val="333333"/>
          <w:sz w:val="24"/>
          <w:szCs w:val="24"/>
        </w:rPr>
        <w:t>, State or local agencies, or other public and private persons and agencies, upon payment of the actual or estimated cost of such work. In the case of nonprofit agencies or organizations, the</w:t>
      </w:r>
      <w:hyperlink r:id="rId9" w:history="1">
        <w:r w:rsidRPr="00E75E1B">
          <w:rPr>
            <w:rFonts w:ascii="Verdana" w:eastAsia="Times New Roman" w:hAnsi="Verdana" w:cs="Times New Roman"/>
            <w:color w:val="0068AC"/>
            <w:sz w:val="24"/>
            <w:szCs w:val="24"/>
            <w:u w:val="single"/>
          </w:rPr>
          <w:t> Secretary </w:t>
        </w:r>
      </w:hyperlink>
      <w:r w:rsidRPr="00E75E1B">
        <w:rPr>
          <w:rFonts w:ascii="Verdana" w:eastAsia="Times New Roman" w:hAnsi="Verdana" w:cs="Times New Roman"/>
          <w:color w:val="333333"/>
          <w:sz w:val="24"/>
          <w:szCs w:val="24"/>
        </w:rPr>
        <w:t>may engage in joint statistical projects, the purpose of which are otherwise authorized by law, but only if the cost of such projects are shared equitably, as determined by the</w:t>
      </w:r>
      <w:hyperlink r:id="rId12" w:history="1">
        <w:r w:rsidRPr="00E75E1B">
          <w:rPr>
            <w:rFonts w:ascii="Verdana" w:eastAsia="Times New Roman" w:hAnsi="Verdana" w:cs="Times New Roman"/>
            <w:color w:val="0068AC"/>
            <w:sz w:val="24"/>
            <w:szCs w:val="24"/>
            <w:u w:val="single"/>
          </w:rPr>
          <w:t> Secretary.</w:t>
        </w:r>
      </w:hyperlink>
    </w:p>
    <w:p w:rsidR="00740CE2" w14:paraId="4D20C792" w14:textId="437D0468"/>
    <w:p w:rsidR="00E75E1B" w:rsidRPr="00B93271" w:rsidP="00E75E1B" w14:paraId="71EF2EB8" w14:textId="260C279A">
      <w:pPr>
        <w:pStyle w:val="Heading1"/>
        <w:shd w:val="clear" w:color="auto" w:fill="FFFFFF"/>
        <w:spacing w:before="300" w:beforeAutospacing="0" w:after="150" w:afterAutospacing="0"/>
        <w:rPr>
          <w:rFonts w:ascii="Verdana" w:hAnsi="Verdana"/>
          <w:b w:val="0"/>
          <w:bCs w:val="0"/>
          <w:color w:val="333333"/>
          <w:sz w:val="28"/>
          <w:szCs w:val="28"/>
        </w:rPr>
      </w:pPr>
      <w:r w:rsidRPr="00B93271">
        <w:rPr>
          <w:rFonts w:ascii="Verdana" w:hAnsi="Verdana"/>
          <w:b w:val="0"/>
          <w:bCs w:val="0"/>
          <w:color w:val="333333"/>
          <w:sz w:val="28"/>
          <w:szCs w:val="28"/>
        </w:rPr>
        <w:t>§ 141</w:t>
      </w:r>
    </w:p>
    <w:p w:rsidR="00E75E1B" w:rsidRPr="00E75E1B" w:rsidP="00E75E1B" w14:paraId="0BB178CA" w14:textId="77777777">
      <w:pPr>
        <w:shd w:val="clear" w:color="auto" w:fill="FFFFFF"/>
        <w:spacing w:after="0" w:line="240" w:lineRule="auto"/>
        <w:rPr>
          <w:rFonts w:ascii="Verdana" w:eastAsia="Times New Roman" w:hAnsi="Verdana" w:cs="Times New Roman"/>
          <w:color w:val="333333"/>
          <w:sz w:val="24"/>
          <w:szCs w:val="24"/>
        </w:rPr>
      </w:pPr>
      <w:r w:rsidRPr="00E75E1B">
        <w:rPr>
          <w:rFonts w:ascii="Verdana" w:eastAsia="Times New Roman" w:hAnsi="Verdana" w:cs="Times New Roman"/>
          <w:b/>
          <w:bCs/>
          <w:color w:val="333333"/>
          <w:sz w:val="24"/>
          <w:szCs w:val="24"/>
        </w:rPr>
        <w:t>(a)</w:t>
      </w:r>
    </w:p>
    <w:p w:rsidR="00E75E1B" w:rsidRPr="00E75E1B" w:rsidP="00E75E1B" w14:paraId="3273A34B"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The Secretary shall, in the year 1980 and every 10 years thereafter, take a decennial </w:t>
      </w:r>
      <w:hyperlink r:id="rId13" w:history="1">
        <w:r w:rsidRPr="00E75E1B">
          <w:rPr>
            <w:rFonts w:ascii="Verdana" w:eastAsia="Times New Roman" w:hAnsi="Verdana" w:cs="Times New Roman"/>
            <w:color w:val="0068AC"/>
            <w:sz w:val="24"/>
            <w:szCs w:val="24"/>
            <w:u w:val="single"/>
          </w:rPr>
          <w:t>census of population</w:t>
        </w:r>
      </w:hyperlink>
      <w:r w:rsidRPr="00E75E1B">
        <w:rPr>
          <w:rFonts w:ascii="Verdana" w:eastAsia="Times New Roman" w:hAnsi="Verdana" w:cs="Times New Roman"/>
          <w:color w:val="333333"/>
          <w:sz w:val="24"/>
          <w:szCs w:val="24"/>
        </w:rPr>
        <w:t> as of the first day of April of such year, which date shall be known as the “decennial census date”, in such form and content as he may determine, including the use of sampling procedures and special surveys. In connection with any such census, the Secretary is authorized to obtain such other census information as necessary.</w:t>
      </w:r>
    </w:p>
    <w:p w:rsidR="00E75E1B" w:rsidRPr="00E75E1B" w:rsidP="4FA1885E" w14:paraId="194C39C8" w14:textId="77777777">
      <w:pPr>
        <w:shd w:val="clear" w:color="auto" w:fill="FFFFFF" w:themeFill="background1"/>
        <w:spacing w:after="0" w:line="240" w:lineRule="auto"/>
        <w:rPr>
          <w:rFonts w:ascii="Verdana" w:eastAsia="Times New Roman" w:hAnsi="Verdana" w:cs="Times New Roman"/>
          <w:color w:val="333333"/>
          <w:sz w:val="24"/>
          <w:szCs w:val="24"/>
        </w:rPr>
      </w:pPr>
      <w:r w:rsidRPr="4FA1885E">
        <w:rPr>
          <w:rFonts w:ascii="Verdana" w:eastAsia="Times New Roman" w:hAnsi="Verdana" w:cs="Times New Roman"/>
          <w:b/>
          <w:bCs/>
          <w:color w:val="333333"/>
          <w:sz w:val="24"/>
          <w:szCs w:val="24"/>
        </w:rPr>
        <w:t>(b)</w:t>
      </w:r>
    </w:p>
    <w:p w:rsidR="00E75E1B" w:rsidRPr="00E75E1B" w:rsidP="00E75E1B" w14:paraId="1C5176B7"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The tabulation of total population by States under subsection (a) of this section as required for the apportionment of Representatives in Congress among the several States shall be completed within 9 months after the census date and reported by the Secretary to the President of the United States.</w:t>
      </w:r>
    </w:p>
    <w:p w:rsidR="00E75E1B" w:rsidRPr="00E75E1B" w:rsidP="4FA1885E" w14:paraId="7C4401C6" w14:textId="77777777">
      <w:pPr>
        <w:shd w:val="clear" w:color="auto" w:fill="FFFFFF" w:themeFill="background1"/>
        <w:spacing w:after="0" w:line="240" w:lineRule="auto"/>
        <w:rPr>
          <w:rFonts w:ascii="Verdana" w:eastAsia="Times New Roman" w:hAnsi="Verdana" w:cs="Times New Roman"/>
          <w:color w:val="333333"/>
          <w:sz w:val="24"/>
          <w:szCs w:val="24"/>
        </w:rPr>
      </w:pPr>
      <w:r w:rsidRPr="4FA1885E">
        <w:rPr>
          <w:rFonts w:ascii="Verdana" w:eastAsia="Times New Roman" w:hAnsi="Verdana" w:cs="Times New Roman"/>
          <w:b/>
          <w:bCs/>
          <w:color w:val="333333"/>
          <w:sz w:val="24"/>
          <w:szCs w:val="24"/>
        </w:rPr>
        <w:t>(c)</w:t>
      </w:r>
    </w:p>
    <w:p w:rsidR="00E75E1B" w:rsidRPr="00E75E1B" w:rsidP="00E75E1B" w14:paraId="58050B14"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The officers or public bodies having initial responsibility for the legislative apportionment or districting of each State may, not later than 3 years before the decennial census date, submit to the Secretary a plan identifying the geographic areas for which specific tabulations of population are desired. Each such plan shall be developed in accordance with criteria established by the Secretary, which he shall furnish to such officers or public bodies not later than April 1 of the fourth year preceding the decennial census date. Such criteria shall include requirements which assure that such plan shall be developed in a nonpartisan manner. Should the Secretary find that a plan submitted by such officers or public bodies does not meet the criteria established by him, he shall consult to the extent necessary with such officers or public bodies in order to achieve the alterations in such plan that he deems necessary to bring it into accord with such criteria. Any issues with respect to such plan remaining unresolved after such consultation shall be resolved by the Secretary, and in all cases he shall have final authority for determining the geographic format of such plan. Tabulations of population for the areas identified in any plan approved by the Secretary shall be completed by him as expeditiously as possible after the decennial census date and reported to the Governor of the State involved and to the officers or public bodies having responsibility for legislative apportionment or districting of such State, except that such tabulations of population of each State requesting a tabulation plan, and basic tabulations of population of each other State, shall, in any event, be completed, reported, and transmitted to each respective State within one year after the decennial census date.</w:t>
      </w:r>
    </w:p>
    <w:p w:rsidR="00E75E1B" w:rsidRPr="00E75E1B" w:rsidP="4FA1885E" w14:paraId="5486EBBC" w14:textId="77777777">
      <w:pPr>
        <w:shd w:val="clear" w:color="auto" w:fill="FFFFFF" w:themeFill="background1"/>
        <w:spacing w:after="0" w:line="240" w:lineRule="auto"/>
        <w:rPr>
          <w:rFonts w:ascii="Verdana" w:eastAsia="Times New Roman" w:hAnsi="Verdana" w:cs="Times New Roman"/>
          <w:color w:val="333333"/>
          <w:sz w:val="24"/>
          <w:szCs w:val="24"/>
        </w:rPr>
      </w:pPr>
      <w:r w:rsidRPr="4FA1885E">
        <w:rPr>
          <w:rFonts w:ascii="Verdana" w:eastAsia="Times New Roman" w:hAnsi="Verdana" w:cs="Times New Roman"/>
          <w:b/>
          <w:bCs/>
          <w:color w:val="333333"/>
          <w:sz w:val="24"/>
          <w:szCs w:val="24"/>
        </w:rPr>
        <w:t>(d)</w:t>
      </w:r>
    </w:p>
    <w:p w:rsidR="00E75E1B" w:rsidRPr="00E75E1B" w:rsidP="00E75E1B" w14:paraId="570E7399"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Without regard to subsections (a), (b), and (c) of this section, the Secretary, in the year 1985 and every 10 years thereafter, shall conduct a mid-decade </w:t>
      </w:r>
      <w:hyperlink r:id="rId13" w:history="1">
        <w:r w:rsidRPr="00E75E1B">
          <w:rPr>
            <w:rFonts w:ascii="Verdana" w:eastAsia="Times New Roman" w:hAnsi="Verdana" w:cs="Times New Roman"/>
            <w:color w:val="0068AC"/>
            <w:sz w:val="24"/>
            <w:szCs w:val="24"/>
            <w:u w:val="single"/>
          </w:rPr>
          <w:t>census of population</w:t>
        </w:r>
      </w:hyperlink>
      <w:r w:rsidRPr="00E75E1B">
        <w:rPr>
          <w:rFonts w:ascii="Verdana" w:eastAsia="Times New Roman" w:hAnsi="Verdana" w:cs="Times New Roman"/>
          <w:color w:val="333333"/>
          <w:sz w:val="24"/>
          <w:szCs w:val="24"/>
        </w:rPr>
        <w:t> in such form and content as he may determine, including the use of sampling procedures and special surveys, taking into account the extent to which information to be obtained from such census will serve in lieu of information collected annually or less frequently in surveys or other statistical studies. The census shall be taken as of the first day of April of each such year, which date shall be known as the “mid-decade census date”.</w:t>
      </w:r>
    </w:p>
    <w:p w:rsidR="00E75E1B" w:rsidRPr="00E75E1B" w:rsidP="4FA1885E" w14:paraId="6075886D" w14:textId="77777777">
      <w:pPr>
        <w:shd w:val="clear" w:color="auto" w:fill="FFFFFF" w:themeFill="background1"/>
        <w:spacing w:after="0" w:line="240" w:lineRule="auto"/>
        <w:rPr>
          <w:rFonts w:ascii="Verdana" w:eastAsia="Times New Roman" w:hAnsi="Verdana" w:cs="Times New Roman"/>
          <w:color w:val="333333"/>
          <w:sz w:val="24"/>
          <w:szCs w:val="24"/>
        </w:rPr>
      </w:pPr>
      <w:r w:rsidRPr="4FA1885E">
        <w:rPr>
          <w:rFonts w:ascii="Verdana" w:eastAsia="Times New Roman" w:hAnsi="Verdana" w:cs="Times New Roman"/>
          <w:b/>
          <w:bCs/>
          <w:color w:val="333333"/>
          <w:sz w:val="24"/>
          <w:szCs w:val="24"/>
        </w:rPr>
        <w:t>(e)</w:t>
      </w:r>
    </w:p>
    <w:p w:rsidR="00E75E1B" w:rsidRPr="00E75E1B" w:rsidP="4FA1885E" w14:paraId="17FFA141" w14:textId="77777777">
      <w:pPr>
        <w:shd w:val="clear" w:color="auto" w:fill="FFFFFF" w:themeFill="background1"/>
        <w:spacing w:after="0" w:line="240" w:lineRule="auto"/>
        <w:rPr>
          <w:rFonts w:ascii="Verdana" w:eastAsia="Times New Roman" w:hAnsi="Verdana" w:cs="Times New Roman"/>
          <w:color w:val="333333"/>
          <w:sz w:val="24"/>
          <w:szCs w:val="24"/>
        </w:rPr>
      </w:pPr>
      <w:r w:rsidRPr="4FA1885E">
        <w:rPr>
          <w:rFonts w:ascii="Verdana" w:eastAsia="Times New Roman" w:hAnsi="Verdana" w:cs="Times New Roman"/>
          <w:b/>
          <w:bCs/>
          <w:color w:val="333333"/>
          <w:sz w:val="24"/>
          <w:szCs w:val="24"/>
        </w:rPr>
        <w:t>(</w:t>
      </w:r>
      <w:r w:rsidRPr="4FA1885E">
        <w:rPr>
          <w:rFonts w:ascii="Verdana" w:eastAsia="Times New Roman" w:hAnsi="Verdana" w:cs="Times New Roman"/>
          <w:b/>
          <w:bCs/>
          <w:color w:val="333333"/>
          <w:sz w:val="24"/>
          <w:szCs w:val="24"/>
        </w:rPr>
        <w:t>1)</w:t>
      </w:r>
      <w:r w:rsidRPr="4FA1885E">
        <w:rPr>
          <w:rFonts w:ascii="Verdana" w:eastAsia="Times New Roman" w:hAnsi="Verdana" w:cs="Times New Roman"/>
          <w:color w:val="333333"/>
          <w:sz w:val="24"/>
          <w:szCs w:val="24"/>
        </w:rPr>
        <w:t>If</w:t>
      </w:r>
      <w:r w:rsidRPr="4FA1885E">
        <w:rPr>
          <w:rFonts w:ascii="Verdana" w:eastAsia="Times New Roman" w:hAnsi="Verdana" w:cs="Times New Roman"/>
          <w:color w:val="333333"/>
          <w:sz w:val="24"/>
          <w:szCs w:val="24"/>
        </w:rPr>
        <w:t>—</w:t>
      </w:r>
    </w:p>
    <w:p w:rsidR="00E75E1B" w:rsidRPr="00E75E1B" w:rsidP="4FA1885E" w14:paraId="44DA046B" w14:textId="77777777">
      <w:pPr>
        <w:shd w:val="clear" w:color="auto" w:fill="FFFFFF" w:themeFill="background1"/>
        <w:spacing w:after="0" w:line="240" w:lineRule="auto"/>
        <w:rPr>
          <w:rFonts w:ascii="Verdana" w:eastAsia="Times New Roman" w:hAnsi="Verdana" w:cs="Times New Roman"/>
          <w:color w:val="333333"/>
          <w:sz w:val="24"/>
          <w:szCs w:val="24"/>
        </w:rPr>
      </w:pPr>
      <w:r w:rsidRPr="4FA1885E">
        <w:rPr>
          <w:rFonts w:ascii="Verdana" w:eastAsia="Times New Roman" w:hAnsi="Verdana" w:cs="Times New Roman"/>
          <w:b/>
          <w:bCs/>
          <w:color w:val="333333"/>
          <w:sz w:val="24"/>
          <w:szCs w:val="24"/>
        </w:rPr>
        <w:t>(A)</w:t>
      </w:r>
    </w:p>
    <w:p w:rsidR="00E75E1B" w:rsidRPr="00E75E1B" w:rsidP="00E75E1B" w14:paraId="7AE8537C"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in the administration of any program established by or under Federal law which provides benefits to State or local governments or to other recipients, eligibility for or the amount of such benefits would (without regard to this paragraph) be determined by taking into account data obtained in the most recent decennial census, and</w:t>
      </w:r>
    </w:p>
    <w:p w:rsidR="00E75E1B" w:rsidRPr="00E75E1B" w:rsidP="4FA1885E" w14:paraId="3DD7BB5A" w14:textId="77777777">
      <w:pPr>
        <w:shd w:val="clear" w:color="auto" w:fill="FFFFFF" w:themeFill="background1"/>
        <w:spacing w:after="0" w:line="240" w:lineRule="auto"/>
        <w:rPr>
          <w:rFonts w:ascii="Verdana" w:eastAsia="Times New Roman" w:hAnsi="Verdana" w:cs="Times New Roman"/>
          <w:color w:val="333333"/>
          <w:sz w:val="24"/>
          <w:szCs w:val="24"/>
        </w:rPr>
      </w:pPr>
      <w:r w:rsidRPr="4FA1885E">
        <w:rPr>
          <w:rFonts w:ascii="Verdana" w:eastAsia="Times New Roman" w:hAnsi="Verdana" w:cs="Times New Roman"/>
          <w:b/>
          <w:bCs/>
          <w:color w:val="333333"/>
          <w:sz w:val="24"/>
          <w:szCs w:val="24"/>
        </w:rPr>
        <w:t>(B)</w:t>
      </w:r>
    </w:p>
    <w:p w:rsidR="00E75E1B" w:rsidRPr="00E75E1B" w:rsidP="00E75E1B" w14:paraId="183B368D"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comparable data is obtained in a mid-decade census conducted after such decennial census,</w:t>
      </w:r>
    </w:p>
    <w:p w:rsidR="00E75E1B" w:rsidRPr="00E75E1B" w:rsidP="00E75E1B" w14:paraId="32A8844F"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then in the determination of such eligibility or amount of benefits the most recent data available from either the mid-decade or decennial census shall be used.</w:t>
      </w:r>
    </w:p>
    <w:p w:rsidR="00E75E1B" w:rsidRPr="00E75E1B" w:rsidP="4FA1885E" w14:paraId="05E89050" w14:textId="77777777">
      <w:pPr>
        <w:shd w:val="clear" w:color="auto" w:fill="FFFFFF" w:themeFill="background1"/>
        <w:spacing w:after="0" w:line="240" w:lineRule="auto"/>
        <w:rPr>
          <w:rFonts w:ascii="Verdana" w:eastAsia="Times New Roman" w:hAnsi="Verdana" w:cs="Times New Roman"/>
          <w:color w:val="333333"/>
          <w:sz w:val="24"/>
          <w:szCs w:val="24"/>
        </w:rPr>
      </w:pPr>
      <w:r w:rsidRPr="4FA1885E">
        <w:rPr>
          <w:rFonts w:ascii="Verdana" w:eastAsia="Times New Roman" w:hAnsi="Verdana" w:cs="Times New Roman"/>
          <w:b/>
          <w:bCs/>
          <w:color w:val="333333"/>
          <w:sz w:val="24"/>
          <w:szCs w:val="24"/>
        </w:rPr>
        <w:t>(2)</w:t>
      </w:r>
    </w:p>
    <w:p w:rsidR="00E75E1B" w:rsidRPr="00E75E1B" w:rsidP="00E75E1B" w14:paraId="45F4F6B9"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Information obtained in any mid-decade census shall not be used for apportionment of Representatives in Congress among the several States, nor shall such information be used in prescribing congressional districts.</w:t>
      </w:r>
    </w:p>
    <w:p w:rsidR="00E75E1B" w:rsidRPr="00E75E1B" w:rsidP="4FA1885E" w14:paraId="61A9F0BF" w14:textId="77777777">
      <w:pPr>
        <w:shd w:val="clear" w:color="auto" w:fill="FFFFFF" w:themeFill="background1"/>
        <w:spacing w:after="0" w:line="240" w:lineRule="auto"/>
        <w:rPr>
          <w:rFonts w:ascii="Verdana" w:eastAsia="Times New Roman" w:hAnsi="Verdana" w:cs="Times New Roman"/>
          <w:color w:val="333333"/>
          <w:sz w:val="24"/>
          <w:szCs w:val="24"/>
        </w:rPr>
      </w:pPr>
      <w:r w:rsidRPr="4FA1885E">
        <w:rPr>
          <w:rFonts w:ascii="Verdana" w:eastAsia="Times New Roman" w:hAnsi="Verdana" w:cs="Times New Roman"/>
          <w:b/>
          <w:bCs/>
          <w:color w:val="333333"/>
          <w:sz w:val="24"/>
          <w:szCs w:val="24"/>
        </w:rPr>
        <w:t>(f)</w:t>
      </w:r>
      <w:r w:rsidRPr="4FA1885E">
        <w:rPr>
          <w:rFonts w:ascii="Verdana" w:eastAsia="Times New Roman" w:hAnsi="Verdana" w:cs="Times New Roman"/>
          <w:color w:val="333333"/>
          <w:sz w:val="24"/>
          <w:szCs w:val="24"/>
        </w:rPr>
        <w:t xml:space="preserve">With respect to each decennial and mid-decade census conducted under subsection (a) or (d) of this section, the Secretary shall </w:t>
      </w:r>
      <w:r w:rsidRPr="4FA1885E">
        <w:rPr>
          <w:rFonts w:ascii="Verdana" w:eastAsia="Times New Roman" w:hAnsi="Verdana" w:cs="Times New Roman"/>
          <w:color w:val="333333"/>
          <w:sz w:val="24"/>
          <w:szCs w:val="24"/>
        </w:rPr>
        <w:t>submit</w:t>
      </w:r>
      <w:r w:rsidRPr="4FA1885E">
        <w:rPr>
          <w:rFonts w:ascii="Verdana" w:eastAsia="Times New Roman" w:hAnsi="Verdana" w:cs="Times New Roman"/>
          <w:color w:val="333333"/>
          <w:sz w:val="24"/>
          <w:szCs w:val="24"/>
        </w:rPr>
        <w:t xml:space="preserve"> to the committees of Congress having legislative </w:t>
      </w:r>
      <w:r w:rsidRPr="4FA1885E">
        <w:rPr>
          <w:rFonts w:ascii="Verdana" w:eastAsia="Times New Roman" w:hAnsi="Verdana" w:cs="Times New Roman"/>
          <w:color w:val="333333"/>
          <w:sz w:val="24"/>
          <w:szCs w:val="24"/>
        </w:rPr>
        <w:t>jurisdiction</w:t>
      </w:r>
      <w:r w:rsidRPr="4FA1885E">
        <w:rPr>
          <w:rFonts w:ascii="Verdana" w:eastAsia="Times New Roman" w:hAnsi="Verdana" w:cs="Times New Roman"/>
          <w:color w:val="333333"/>
          <w:sz w:val="24"/>
          <w:szCs w:val="24"/>
        </w:rPr>
        <w:t xml:space="preserve"> over the census—</w:t>
      </w:r>
    </w:p>
    <w:p w:rsidR="00E75E1B" w:rsidRPr="00E75E1B" w:rsidP="4FA1885E" w14:paraId="4F85AB8C" w14:textId="77777777">
      <w:pPr>
        <w:shd w:val="clear" w:color="auto" w:fill="FFFFFF" w:themeFill="background1"/>
        <w:spacing w:after="0" w:line="240" w:lineRule="auto"/>
        <w:rPr>
          <w:rFonts w:ascii="Verdana" w:eastAsia="Times New Roman" w:hAnsi="Verdana" w:cs="Times New Roman"/>
          <w:color w:val="333333"/>
          <w:sz w:val="24"/>
          <w:szCs w:val="24"/>
        </w:rPr>
      </w:pPr>
      <w:r w:rsidRPr="4FA1885E">
        <w:rPr>
          <w:rFonts w:ascii="Verdana" w:eastAsia="Times New Roman" w:hAnsi="Verdana" w:cs="Times New Roman"/>
          <w:b/>
          <w:bCs/>
          <w:color w:val="333333"/>
          <w:sz w:val="24"/>
          <w:szCs w:val="24"/>
        </w:rPr>
        <w:t>(1)</w:t>
      </w:r>
    </w:p>
    <w:p w:rsidR="00E75E1B" w:rsidRPr="00E75E1B" w:rsidP="00E75E1B" w14:paraId="561303BB"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not later than 3 years before the appropriate census date, a report containing the Secretary’s determination of the subjects proposed to be included, and the types of information to be compiled, in such census;</w:t>
      </w:r>
    </w:p>
    <w:p w:rsidR="00E75E1B" w:rsidRPr="00E75E1B" w:rsidP="4FA1885E" w14:paraId="32831006" w14:textId="77777777">
      <w:pPr>
        <w:shd w:val="clear" w:color="auto" w:fill="FFFFFF" w:themeFill="background1"/>
        <w:spacing w:after="0" w:line="240" w:lineRule="auto"/>
        <w:rPr>
          <w:rFonts w:ascii="Verdana" w:eastAsia="Times New Roman" w:hAnsi="Verdana" w:cs="Times New Roman"/>
          <w:color w:val="333333"/>
          <w:sz w:val="24"/>
          <w:szCs w:val="24"/>
        </w:rPr>
      </w:pPr>
      <w:r w:rsidRPr="4FA1885E">
        <w:rPr>
          <w:rFonts w:ascii="Verdana" w:eastAsia="Times New Roman" w:hAnsi="Verdana" w:cs="Times New Roman"/>
          <w:b/>
          <w:bCs/>
          <w:color w:val="333333"/>
          <w:sz w:val="24"/>
          <w:szCs w:val="24"/>
        </w:rPr>
        <w:t>(2)</w:t>
      </w:r>
    </w:p>
    <w:p w:rsidR="00E75E1B" w:rsidRPr="00E75E1B" w:rsidP="00E75E1B" w14:paraId="690A9004"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not later than 2 years before the appropriate census date, a report containing the Secretary’s determination of the questions proposed to be included in such census; and</w:t>
      </w:r>
    </w:p>
    <w:p w:rsidR="00E75E1B" w:rsidRPr="00E75E1B" w:rsidP="4FA1885E" w14:paraId="5543E17D" w14:textId="77777777">
      <w:pPr>
        <w:shd w:val="clear" w:color="auto" w:fill="FFFFFF" w:themeFill="background1"/>
        <w:spacing w:after="0" w:line="240" w:lineRule="auto"/>
        <w:rPr>
          <w:rFonts w:ascii="Verdana" w:eastAsia="Times New Roman" w:hAnsi="Verdana" w:cs="Times New Roman"/>
          <w:color w:val="333333"/>
          <w:sz w:val="24"/>
          <w:szCs w:val="24"/>
        </w:rPr>
      </w:pPr>
      <w:r w:rsidRPr="4FA1885E">
        <w:rPr>
          <w:rFonts w:ascii="Verdana" w:eastAsia="Times New Roman" w:hAnsi="Verdana" w:cs="Times New Roman"/>
          <w:b/>
          <w:bCs/>
          <w:color w:val="333333"/>
          <w:sz w:val="24"/>
          <w:szCs w:val="24"/>
        </w:rPr>
        <w:t>(3)</w:t>
      </w:r>
    </w:p>
    <w:p w:rsidR="00E75E1B" w:rsidRPr="00E75E1B" w:rsidP="00E75E1B" w14:paraId="282E51CD"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after submission of a report under paragraph (1) or (2) of this subsection and before the appropriate census date, if the Secretary finds new circumstances exist which necessitate that the subjects, types of information, or questions contained in reports so submitted be modified, a report containing the Secretary’s determination of the subjects, types of information, or questions as proposed to be modified.</w:t>
      </w:r>
    </w:p>
    <w:p w:rsidR="00E75E1B" w:rsidRPr="00E75E1B" w:rsidP="4FA1885E" w14:paraId="1404F3B3" w14:textId="77777777">
      <w:pPr>
        <w:shd w:val="clear" w:color="auto" w:fill="FFFFFF" w:themeFill="background1"/>
        <w:spacing w:after="0" w:line="240" w:lineRule="auto"/>
        <w:rPr>
          <w:rFonts w:ascii="Verdana" w:eastAsia="Times New Roman" w:hAnsi="Verdana" w:cs="Times New Roman"/>
          <w:color w:val="333333"/>
          <w:sz w:val="24"/>
          <w:szCs w:val="24"/>
        </w:rPr>
      </w:pPr>
      <w:r w:rsidRPr="4FA1885E">
        <w:rPr>
          <w:rFonts w:ascii="Verdana" w:eastAsia="Times New Roman" w:hAnsi="Verdana" w:cs="Times New Roman"/>
          <w:b/>
          <w:bCs/>
          <w:color w:val="333333"/>
          <w:sz w:val="24"/>
          <w:szCs w:val="24"/>
        </w:rPr>
        <w:t>(g)</w:t>
      </w:r>
    </w:p>
    <w:p w:rsidR="00E75E1B" w:rsidRPr="00E75E1B" w:rsidP="00E75E1B" w14:paraId="1D05E5C8"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As used in this section, “</w:t>
      </w:r>
      <w:hyperlink r:id="rId13" w:history="1">
        <w:r w:rsidRPr="00E75E1B">
          <w:rPr>
            <w:rFonts w:ascii="Verdana" w:eastAsia="Times New Roman" w:hAnsi="Verdana" w:cs="Times New Roman"/>
            <w:color w:val="0068AC"/>
            <w:sz w:val="24"/>
            <w:szCs w:val="24"/>
            <w:u w:val="single"/>
          </w:rPr>
          <w:t>census of population</w:t>
        </w:r>
      </w:hyperlink>
      <w:r w:rsidRPr="00E75E1B">
        <w:rPr>
          <w:rFonts w:ascii="Verdana" w:eastAsia="Times New Roman" w:hAnsi="Verdana" w:cs="Times New Roman"/>
          <w:color w:val="333333"/>
          <w:sz w:val="24"/>
          <w:szCs w:val="24"/>
        </w:rPr>
        <w:t>” means a </w:t>
      </w:r>
      <w:hyperlink r:id="rId13" w:history="1">
        <w:r w:rsidRPr="00E75E1B">
          <w:rPr>
            <w:rFonts w:ascii="Verdana" w:eastAsia="Times New Roman" w:hAnsi="Verdana" w:cs="Times New Roman"/>
            <w:color w:val="0068AC"/>
            <w:sz w:val="24"/>
            <w:szCs w:val="24"/>
            <w:u w:val="single"/>
          </w:rPr>
          <w:t>census of population</w:t>
        </w:r>
      </w:hyperlink>
      <w:r w:rsidRPr="00E75E1B">
        <w:rPr>
          <w:rFonts w:ascii="Verdana" w:eastAsia="Times New Roman" w:hAnsi="Verdana" w:cs="Times New Roman"/>
          <w:color w:val="333333"/>
          <w:sz w:val="24"/>
          <w:szCs w:val="24"/>
        </w:rPr>
        <w:t>, housing, and matters relating to population and housing.</w:t>
      </w:r>
    </w:p>
    <w:p w:rsidR="00E75E1B" w14:paraId="2E1EE485" w14:textId="7FB92C44"/>
    <w:p w:rsidR="00967ABD" w:rsidRPr="00B93271" w:rsidP="00967ABD" w14:paraId="1A498758" w14:textId="78CE0B9B">
      <w:pPr>
        <w:pStyle w:val="Heading1"/>
        <w:shd w:val="clear" w:color="auto" w:fill="FFFFFF"/>
        <w:spacing w:before="300" w:beforeAutospacing="0" w:after="150" w:afterAutospacing="0"/>
        <w:rPr>
          <w:rFonts w:ascii="Verdana" w:hAnsi="Verdana"/>
          <w:b w:val="0"/>
          <w:bCs w:val="0"/>
          <w:color w:val="333333"/>
          <w:sz w:val="28"/>
          <w:szCs w:val="28"/>
        </w:rPr>
      </w:pPr>
      <w:r w:rsidRPr="00B93271">
        <w:rPr>
          <w:rFonts w:ascii="Verdana" w:hAnsi="Verdana"/>
          <w:b w:val="0"/>
          <w:bCs w:val="0"/>
          <w:color w:val="333333"/>
          <w:sz w:val="28"/>
          <w:szCs w:val="28"/>
        </w:rPr>
        <w:t>§ 182</w:t>
      </w:r>
    </w:p>
    <w:p w:rsidR="00967ABD" w14:paraId="7DE42DF3" w14:textId="2C793201">
      <w:r>
        <w:rPr>
          <w:rFonts w:ascii="Verdana" w:hAnsi="Verdana"/>
          <w:color w:val="333333"/>
          <w:shd w:val="clear" w:color="auto" w:fill="FFFFFF"/>
        </w:rPr>
        <w:t>The Secretary may make surveys deemed necessary to furnish annual and other interim current data on the subjects covered by the censuses provided for in this title.</w:t>
      </w:r>
    </w:p>
    <w:sectPr w:rsidSect="00C97FF4">
      <w:pgSz w:w="12240" w:h="15840" w:orient="portrait"/>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1B"/>
    <w:rsid w:val="002F2BCB"/>
    <w:rsid w:val="005B1F22"/>
    <w:rsid w:val="006E4207"/>
    <w:rsid w:val="00740CE2"/>
    <w:rsid w:val="007D3CE5"/>
    <w:rsid w:val="008A5191"/>
    <w:rsid w:val="00967ABD"/>
    <w:rsid w:val="00B93271"/>
    <w:rsid w:val="00BA7117"/>
    <w:rsid w:val="00C97FF4"/>
    <w:rsid w:val="00E75E1B"/>
    <w:rsid w:val="00F224BA"/>
    <w:rsid w:val="1D8DA03E"/>
    <w:rsid w:val="4FA188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462376"/>
  <w15:chartTrackingRefBased/>
  <w15:docId w15:val="{83985B95-555C-4D2E-9B54-5356EA78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75E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E1B"/>
    <w:rPr>
      <w:rFonts w:ascii="Times New Roman" w:eastAsia="Times New Roman" w:hAnsi="Times New Roman" w:cs="Times New Roman"/>
      <w:b/>
      <w:bCs/>
      <w:kern w:val="36"/>
      <w:sz w:val="48"/>
      <w:szCs w:val="48"/>
    </w:rPr>
  </w:style>
  <w:style w:type="character" w:customStyle="1" w:styleId="num">
    <w:name w:val="num"/>
    <w:basedOn w:val="DefaultParagraphFont"/>
    <w:rsid w:val="00E75E1B"/>
  </w:style>
  <w:style w:type="character" w:styleId="Hyperlink">
    <w:name w:val="Hyperlink"/>
    <w:basedOn w:val="DefaultParagraphFont"/>
    <w:uiPriority w:val="99"/>
    <w:semiHidden/>
    <w:unhideWhenUsed/>
    <w:rsid w:val="00E75E1B"/>
    <w:rPr>
      <w:color w:val="0000FF"/>
      <w:u w:val="single"/>
    </w:rPr>
  </w:style>
  <w:style w:type="character" w:customStyle="1" w:styleId="chapeau">
    <w:name w:val="chapeau"/>
    <w:basedOn w:val="DefaultParagraphFont"/>
    <w:rsid w:val="00E75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aw.cornell.edu/definitions/uscode.php?width=840&amp;height=800&amp;iframe=true&amp;def_id=13-USC-633584586-380016724&amp;term_occur=999&amp;term_src=" TargetMode="External" /><Relationship Id="rId11" Type="http://schemas.openxmlformats.org/officeDocument/2006/relationships/hyperlink" Target="https://www.law.cornell.edu/uscode/text/13/191" TargetMode="External" /><Relationship Id="rId12" Type="http://schemas.openxmlformats.org/officeDocument/2006/relationships/hyperlink" Target="https://www.law.cornell.edu/definitions/uscode.php?width=840&amp;height=800&amp;iframe=true&amp;def_id=13-USC-1264422296-380016723&amp;term_occur=999&amp;term_src=title:13:chapter:1:subchapter:I:section:8" TargetMode="External" /><Relationship Id="rId13" Type="http://schemas.openxmlformats.org/officeDocument/2006/relationships/hyperlink" Target="https://www.law.cornell.edu/definitions/uscode.php?width=840&amp;height=800&amp;iframe=true&amp;def_id=13-USC-1152273701-123672837&amp;term_occur=999&amp;term_src=title:13:chapter:5:subchapter:II:section:141" TargetMode="Externa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law.cornell.edu/uscode/text/13/6" TargetMode="External" /><Relationship Id="rId8" Type="http://schemas.openxmlformats.org/officeDocument/2006/relationships/hyperlink" Target="https://www.law.cornell.edu/uscode/text/13/9" TargetMode="External" /><Relationship Id="rId9" Type="http://schemas.openxmlformats.org/officeDocument/2006/relationships/hyperlink" Target="https://www.law.cornell.edu/definitions/uscode.php?width=840&amp;height=800&amp;iframe=true&amp;def_id=13-USC-1264422296-380016723&amp;term_occur=999&amp;term_sr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Roselyn Rosal Tineo</SubmitterName>
    <Parent_ICR xmlns="f762c95d-3cca-4969-a35b-3d8ab5bf0d48">1537</Parent_ICR>
    <ICR_ID xmlns="f762c95d-3cca-4969-a35b-3d8ab5bf0d48">1537</ICR_ID>
    <DocumentType xmlns="f762c95d-3cca-4969-a35b-3d8ab5bf0d48">Supplemental Document</DocumentType>
  </documentManagement>
</p:properties>
</file>

<file path=customXml/itemProps1.xml><?xml version="1.0" encoding="utf-8"?>
<ds:datastoreItem xmlns:ds="http://schemas.openxmlformats.org/officeDocument/2006/customXml" ds:itemID="{DA6D3B8F-68C9-4C2E-9578-2B8A85819785}">
  <ds:schemaRefs/>
</ds:datastoreItem>
</file>

<file path=customXml/itemProps2.xml><?xml version="1.0" encoding="utf-8"?>
<ds:datastoreItem xmlns:ds="http://schemas.openxmlformats.org/officeDocument/2006/customXml" ds:itemID="{F5425232-9F80-4D68-98C7-D601034B7202}">
  <ds:schemaRefs/>
</ds:datastoreItem>
</file>

<file path=customXml/itemProps3.xml><?xml version="1.0" encoding="utf-8"?>
<ds:datastoreItem xmlns:ds="http://schemas.openxmlformats.org/officeDocument/2006/customXml" ds:itemID="{7C27DD58-962F-443D-BFFA-C21B19FAF18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F - Statutes Authorizing the Collection</dc:title>
  <dc:creator>Tim J Marshall (CENSUS/ADDP FED)</dc:creator>
  <cp:lastModifiedBy>Danielle A Norman (CENSUS/PCO FED)</cp:lastModifiedBy>
  <cp:revision>3</cp:revision>
  <dcterms:created xsi:type="dcterms:W3CDTF">2021-02-17T20:00:00Z</dcterms:created>
  <dcterms:modified xsi:type="dcterms:W3CDTF">2024-10-23T15:12:11Z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ies>
</file>