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F26977">
      <w:pPr>
        <w:pStyle w:val="Heading1"/>
        <w:ind w:left="0"/>
        <w:jc w:val="center"/>
      </w:pPr>
      <w:r>
        <w:t>SUPPORTING STATEMENT</w:t>
      </w:r>
    </w:p>
    <w:p w:rsidR="00F26977">
      <w:pPr>
        <w:spacing w:before="22" w:line="259" w:lineRule="auto"/>
        <w:ind w:firstLine="14"/>
        <w:jc w:val="center"/>
        <w:rPr>
          <w:b/>
        </w:rPr>
      </w:pPr>
      <w:r>
        <w:rPr>
          <w:b/>
        </w:rPr>
        <w:t>U.S. Department of Commerce</w:t>
      </w:r>
    </w:p>
    <w:p w:rsidR="00F26977">
      <w:pPr>
        <w:spacing w:before="22" w:line="259" w:lineRule="auto"/>
        <w:ind w:firstLine="14"/>
        <w:jc w:val="center"/>
        <w:rPr>
          <w:b/>
        </w:rPr>
      </w:pPr>
      <w:r>
        <w:rPr>
          <w:b/>
        </w:rPr>
        <w:t>National Oceanic &amp; Atmospheric Administration</w:t>
      </w:r>
    </w:p>
    <w:p w:rsidR="00F26977">
      <w:pPr>
        <w:spacing w:line="259" w:lineRule="auto"/>
        <w:ind w:hanging="6"/>
        <w:jc w:val="center"/>
        <w:rPr>
          <w:b/>
        </w:rPr>
      </w:pPr>
      <w:r>
        <w:rPr>
          <w:b/>
        </w:rPr>
        <w:t xml:space="preserve">StormReady, TsunamiReady, TsunamiReady Supporter, StormReady Supporter, and Weather-Ready </w:t>
      </w:r>
      <w:r w:rsidR="00580A95">
        <w:rPr>
          <w:b/>
        </w:rPr>
        <w:t xml:space="preserve">Nation </w:t>
      </w:r>
      <w:r>
        <w:rPr>
          <w:b/>
        </w:rPr>
        <w:t xml:space="preserve">Ambassador Application Forms </w:t>
      </w:r>
    </w:p>
    <w:p w:rsidR="00F26977">
      <w:pPr>
        <w:spacing w:line="259" w:lineRule="auto"/>
        <w:ind w:hanging="6"/>
        <w:jc w:val="center"/>
        <w:rPr>
          <w:b/>
        </w:rPr>
      </w:pPr>
      <w:r>
        <w:rPr>
          <w:b/>
        </w:rPr>
        <w:t>OMB Control No. 0648-0419</w:t>
      </w:r>
    </w:p>
    <w:p w:rsidR="00F26977">
      <w:pPr>
        <w:pBdr>
          <w:top w:val="nil"/>
          <w:left w:val="nil"/>
          <w:bottom w:val="nil"/>
          <w:right w:val="nil"/>
          <w:between w:val="nil"/>
        </w:pBdr>
        <w:spacing w:before="1"/>
        <w:jc w:val="center"/>
        <w:rPr>
          <w:b/>
          <w:color w:val="000000"/>
        </w:rPr>
      </w:pPr>
    </w:p>
    <w:p w:rsidR="00F26977">
      <w:pPr>
        <w:pStyle w:val="Heading1"/>
        <w:spacing w:before="120"/>
        <w:ind w:left="0"/>
      </w:pPr>
      <w:r>
        <w:t>Abstract</w:t>
      </w:r>
    </w:p>
    <w:p w:rsidR="00F26977">
      <w:pPr>
        <w:pStyle w:val="Heading1"/>
        <w:spacing w:before="120"/>
        <w:ind w:left="0"/>
      </w:pPr>
    </w:p>
    <w:p w:rsidR="00F26977">
      <w:pPr>
        <w:pStyle w:val="Heading1"/>
        <w:spacing w:before="120"/>
        <w:ind w:left="0"/>
      </w:pPr>
      <w:r>
        <w:t>Justification</w:t>
      </w:r>
    </w:p>
    <w:p w:rsidR="00F26977">
      <w:pPr>
        <w:numPr>
          <w:ilvl w:val="0"/>
          <w:numId w:val="1"/>
        </w:numPr>
        <w:pBdr>
          <w:top w:val="nil"/>
          <w:left w:val="nil"/>
          <w:bottom w:val="nil"/>
          <w:right w:val="nil"/>
          <w:between w:val="nil"/>
        </w:pBdr>
        <w:tabs>
          <w:tab w:val="left" w:pos="360"/>
        </w:tabs>
        <w:spacing w:before="120"/>
        <w:rPr>
          <w:b/>
          <w:color w:val="000000"/>
        </w:rPr>
      </w:pPr>
      <w:r>
        <w:rPr>
          <w:b/>
          <w:color w:val="000000"/>
        </w:rPr>
        <w:t>Explain the circumstances that make the collection of info</w:t>
      </w:r>
      <w:r>
        <w:rPr>
          <w:b/>
          <w:color w:val="000000"/>
        </w:rPr>
        <w:t>rmation necessary. Identify any legal or administrative requirements that necessitate the collection. Attach a copy of the appropriate section of each statute and regulation mandating or authorizing the collection of information.</w:t>
      </w:r>
    </w:p>
    <w:p w:rsidR="00F269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This information collection supports Public Law 115-25, the Tsunami Warning Education, and Research Act (U.S.C. 33 Chapter 45) specifically Section 3204, which describes the </w:t>
      </w:r>
      <w:r>
        <w:t>development of a “community-based tsunami hazard mitigation program to improve tsu</w:t>
      </w:r>
      <w:r>
        <w:t>nami preparedness of at-risk areas in the United States and its territories.” The National Weather Service (NWS) established the StormReady program in 1999 and the TsunamiReady program in 2002 to help counties, cities and towns implement procedures to redu</w:t>
      </w:r>
      <w:r>
        <w:t xml:space="preserve">ce the potential for </w:t>
      </w:r>
      <w:r>
        <w:t>weather-related and tsunami hazards.  By participating in this program, local agencies earn recognition for their jurisdiction by meeting guidelines established by the NWS in partnership with federal, state, and local emergency manage</w:t>
      </w:r>
      <w:r>
        <w:t>ment professionals.  Information and details on the StormReady and TsunamiReady programs are located at https://www.weather.gov/stormready/</w:t>
      </w:r>
      <w:r>
        <w:t xml:space="preserve"> and https://www.weather.gov/tsunamiready/. Many businesses, schools, nonprofit organizations and other non-governme</w:t>
      </w:r>
      <w:r>
        <w:t>ntal entities establish severe weather safety plans and actively promote severe weather safety awareness activities.  The NWS established the StormReady and TsunamiReady Supporter programs to recognize those entities that do not have the resources necessar</w:t>
      </w:r>
      <w:r>
        <w:t xml:space="preserve">y to fulfill all the full StormReady or TsunamiReady eligibility but actively promote the principles of the programs </w:t>
      </w:r>
    </w:p>
    <w:p w:rsidR="00F269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269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The Weather-Ready Nation Ambassador program was established in January, 2014, as a way to recognize and collaborate with external organiz</w:t>
      </w:r>
      <w:r>
        <w:t>ations of any kind. From Fortune 500 companies to small town businesses, WRN Ambassadors serve as force multipliers sharing lifesaving preparedness messaging, collaborate with NOAA on community engagement opportunities, and help with social equity, engagin</w:t>
      </w:r>
      <w:r>
        <w:t>g those most vulnerable. To date, NOAA has recognized over 13,000 organizations as ambassadors, collecting basic contact information, including email addresses and phone numbers. Emails are sent to ambassador contacts approximately 12 times per year highli</w:t>
      </w:r>
      <w:r>
        <w:t xml:space="preserve">ghting weather safety, NOAA products, and collaboration opportunities. </w:t>
      </w:r>
    </w:p>
    <w:p w:rsidR="00F269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pPr>
    </w:p>
    <w:p w:rsidR="00F26977">
      <w:pPr>
        <w:pStyle w:val="Heading1"/>
        <w:numPr>
          <w:ilvl w:val="0"/>
          <w:numId w:val="1"/>
        </w:numPr>
        <w:tabs>
          <w:tab w:val="left" w:pos="360"/>
        </w:tabs>
        <w:spacing w:before="120"/>
      </w:pPr>
      <w:r>
        <w:t>Indicate how, by whom, and for what purpose the information is to be used. Except for a new collection, indicate the actual use the agency has made of the information received from th</w:t>
      </w:r>
      <w:r>
        <w:t>e current collection.</w:t>
      </w:r>
    </w:p>
    <w:p w:rsidR="00F269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StormReady/TsunamiReady are voluntary programs that provide guidance and incentive to officials interested in improving their hazardous weather operations.  Jurisdictions use the application to apply for initial StormReady/ TsunamiRea</w:t>
      </w:r>
      <w:r>
        <w:t xml:space="preserve">dy recognition.  Full StormReady/ TsunamiReady renewals occur every four years, at which time communities complete the application form again.  The government </w:t>
      </w:r>
      <w:r w:rsidR="00107276">
        <w:t>uses</w:t>
      </w:r>
      <w:r>
        <w:t xml:space="preserve"> the information collected by the StormReady/TsunamiReady application to determine whethe</w:t>
      </w:r>
      <w:r>
        <w:t>r a community has met all of the guidelines to receive StormReady/TsunamiReady recognition.</w:t>
      </w:r>
    </w:p>
    <w:p w:rsidR="00F269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 </w:t>
      </w:r>
    </w:p>
    <w:p w:rsidR="00F269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Recognition as StormReady/TsunamiReady entitles a community to the following benefits:  </w:t>
      </w:r>
    </w:p>
    <w:p w:rsidR="00F26977">
      <w:pPr>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One StormReady/TsunamiReady identification sign</w:t>
      </w:r>
    </w:p>
    <w:p w:rsidR="00F26977">
      <w:pPr>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Authorization to use the </w:t>
      </w:r>
      <w:r>
        <w:t>StormReady/ TsunamiReady logos</w:t>
      </w:r>
    </w:p>
    <w:p w:rsidR="00F26977">
      <w:pPr>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Instructions for acquiring additional identification signs</w:t>
      </w:r>
    </w:p>
    <w:p w:rsidR="00F26977">
      <w:pPr>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Information concerning the notification of the National Flood Insurance Program for possible adjustment to insurance rates; and</w:t>
      </w:r>
    </w:p>
    <w:p w:rsidR="00F26977">
      <w:pPr>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Inclusion on the national StormReady/T</w:t>
      </w:r>
      <w:r>
        <w:t xml:space="preserve">sunamiReady Website and map. </w:t>
      </w:r>
    </w:p>
    <w:p w:rsidR="00F269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pPr>
      <w:r>
        <w:t>Each question asked on the application helps to determine if the applying jurisdiction meets the guidelines required to become StormReady or TsunamiReady.  Specifically:</w:t>
      </w:r>
    </w:p>
    <w:p w:rsidR="00F269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b/>
          <w:u w:val="single"/>
        </w:rPr>
      </w:pPr>
    </w:p>
    <w:p w:rsidR="00F269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pPr>
      <w:r>
        <w:rPr>
          <w:b/>
          <w:u w:val="single"/>
        </w:rPr>
        <w:t>StormReady</w:t>
      </w:r>
    </w:p>
    <w:p w:rsidR="00F26977" w:rsidP="001072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Guideline 1:  Community Information.  Reques</w:t>
      </w:r>
      <w:r>
        <w:t>ts the primary and secondary points of contact for the jurisdiction and identifies the location of the 24-hour warning point and Emergency Operations Center.  NWS must have this information to verify the person and place responsible for the information.</w:t>
      </w:r>
    </w:p>
    <w:p w:rsidR="00F26977" w:rsidP="001072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Gu</w:t>
      </w:r>
      <w:r>
        <w:t>ideline 2:  NWS Information Reception Equipment.  This information identifies the number, type and location of redundant reception equipment a jurisdiction has in place to receive critical NWS weather information.</w:t>
      </w:r>
    </w:p>
    <w:p w:rsidR="00F26977" w:rsidP="001072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Guideline 3:  Local Weather &amp; Water Monitoring Equipment.  Verifies the number, type and location of redundant weather and monitoring equipment used by the jurisdiction.</w:t>
      </w:r>
    </w:p>
    <w:p w:rsidR="00F26977" w:rsidP="001072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Guideline 4:  Local Warning Dissemination.  Identifies the type, number and location o</w:t>
      </w:r>
      <w:r>
        <w:t>f redundant warning systems used by the jurisdiction to disseminate weather information to the public.</w:t>
      </w:r>
    </w:p>
    <w:p w:rsidR="00F26977" w:rsidP="001072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Guideline 5:  Community Preparedness.  Details specific community education and preparedness activities in terms of hazardous weather.</w:t>
      </w:r>
    </w:p>
    <w:p w:rsidR="00F269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StormReady Support</w:t>
      </w:r>
      <w:r>
        <w:t>er is a voluntary program offered to provide guidance and incentive to entities that strive to improve their respective hazardous weather operations.  Entities will use the application to apply for a one-time StormReady Supporter recognition.  The governme</w:t>
      </w:r>
      <w:r>
        <w:t xml:space="preserve">nt will use the information collected by the StormReady Supporter application to determine whether an entity has met the necessary guidelines to receive StormReady Supporter recognition. </w:t>
      </w:r>
    </w:p>
    <w:p w:rsidR="001072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269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Recognition as StormReady Supporter participant entitles an entity t</w:t>
      </w:r>
      <w:r>
        <w:t xml:space="preserve">o the following benefits:  </w:t>
      </w:r>
    </w:p>
    <w:p w:rsidR="00F26977" w:rsidP="00107276">
      <w:pPr>
        <w:numPr>
          <w:ilvl w:val="0"/>
          <w:numId w:val="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A StormReady Supporter certificate</w:t>
      </w:r>
    </w:p>
    <w:p w:rsidR="00F26977" w:rsidP="00107276">
      <w:pPr>
        <w:numPr>
          <w:ilvl w:val="0"/>
          <w:numId w:val="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Authorization to use the StormReady logo</w:t>
      </w:r>
    </w:p>
    <w:p w:rsidR="00F26977" w:rsidP="00107276">
      <w:pPr>
        <w:numPr>
          <w:ilvl w:val="0"/>
          <w:numId w:val="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 xml:space="preserve">Instructions for acquiring identification signs; and </w:t>
      </w:r>
    </w:p>
    <w:p w:rsidR="00F26977" w:rsidP="00107276">
      <w:pPr>
        <w:numPr>
          <w:ilvl w:val="0"/>
          <w:numId w:val="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 xml:space="preserve">Inclusion on the StormReady Supporter Website at </w:t>
      </w:r>
      <w:hyperlink r:id="rId5">
        <w:r>
          <w:rPr>
            <w:color w:val="1155CC"/>
            <w:u w:val="single"/>
          </w:rPr>
          <w:t>http://www.stormready.noaa.gov/supporter.htm</w:t>
        </w:r>
      </w:hyperlink>
      <w:r>
        <w:t xml:space="preserve"> . </w:t>
      </w:r>
    </w:p>
    <w:p w:rsidR="00F269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StormReady Supporter guidelines are less extensive and detailed than the full StormReady recognition.  Unlike the full StormReady recognition, StormReady Supporter guidelines are not based on t</w:t>
      </w:r>
      <w:r>
        <w:t xml:space="preserve">he size of the population and not subject to renewal every four years.  The guidelines on the application help to determine if the applying entity meets the requirements necessary to become a StormReady Supporter.  </w:t>
      </w:r>
    </w:p>
    <w:p w:rsidR="00F269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pPr>
    </w:p>
    <w:p w:rsidR="00F269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b/>
          <w:u w:val="single"/>
        </w:rPr>
      </w:pPr>
      <w:r>
        <w:rPr>
          <w:b/>
          <w:u w:val="single"/>
        </w:rPr>
        <w:t>TsunamiReady</w:t>
      </w:r>
    </w:p>
    <w:p w:rsidR="00F26977" w:rsidP="001072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Community Information.  Requests the primary and secondary points of contact for the jurisdiction and identifies the location of the 24-hour warning point and Emergency Operations Center (EOC).  NWS must have this information to verify the person and place</w:t>
      </w:r>
      <w:r>
        <w:t xml:space="preserve"> responsible for the information.</w:t>
      </w:r>
    </w:p>
    <w:p w:rsidR="00F26977" w:rsidP="001072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Mitigation Guidelines:  Requests information on mapped tsunami hazard zones for emergency management planning; how tsunami hazard and community vulnerability information in FEMA-approved multi-hazard mitigation plan are in</w:t>
      </w:r>
      <w:r>
        <w:t>dicated; and information about signage that identifies tsunami danger area and/or hazard zone (entering and leaving tsunami zone signs), evacuation routes, and assembly areas.</w:t>
      </w:r>
    </w:p>
    <w:p w:rsidR="00F26977" w:rsidP="001072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Preparedness Guidelines:  Requests information about tsunami evacuation maps; on</w:t>
      </w:r>
      <w:r>
        <w:t>going tsunami public education efforts including in public schools; community-wide outreach or education activities; and community exercises and drills that reinforce these concepts.</w:t>
      </w:r>
    </w:p>
    <w:p w:rsidR="00F26977" w:rsidP="001072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Response Guidelines:  Ensures that tsunami hazards are addressed in the c</w:t>
      </w:r>
      <w:r>
        <w:t>ommunity’s emergency operations plan (EOP) including for public schools; and supports the EOC during tsunami incidents if an EOC is opened and activated.</w:t>
      </w:r>
    </w:p>
    <w:p w:rsidR="00F269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TsunamiReady Supporter is a voluntary program offered to provide guidance and incentive to entities th</w:t>
      </w:r>
      <w:r>
        <w:t xml:space="preserve">at strive to improve their respective tsunami preparedness activities.  Entities will use the application to apply for a one-time TsunamiReady Supporter recognition.  The government </w:t>
      </w:r>
      <w:r w:rsidR="00107276">
        <w:t>uses</w:t>
      </w:r>
      <w:r>
        <w:t xml:space="preserve"> the information collected by the TsunamiReady Supporter applicati</w:t>
      </w:r>
      <w:r>
        <w:t xml:space="preserve">on to determine whether an entity has met the necessary guidelines to receive TsunamiReady Supporter recognition. </w:t>
      </w:r>
    </w:p>
    <w:p w:rsidR="001072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269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Recognition as TsunamiReady Supporter participant entitles an entity to the following benefits:  </w:t>
      </w:r>
    </w:p>
    <w:p w:rsidR="00F26977" w:rsidP="00107276">
      <w:pPr>
        <w:numPr>
          <w:ilvl w:val="0"/>
          <w:numId w:val="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A TsunamiReady Supporter certificate</w:t>
      </w:r>
    </w:p>
    <w:p w:rsidR="00F26977" w:rsidP="00107276">
      <w:pPr>
        <w:numPr>
          <w:ilvl w:val="0"/>
          <w:numId w:val="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Author</w:t>
      </w:r>
      <w:r>
        <w:t>ization to use the TsunamiReady logo</w:t>
      </w:r>
    </w:p>
    <w:p w:rsidR="00F26977" w:rsidP="00107276">
      <w:pPr>
        <w:numPr>
          <w:ilvl w:val="0"/>
          <w:numId w:val="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 xml:space="preserve">Instructions for acquiring identification signs; and </w:t>
      </w:r>
    </w:p>
    <w:p w:rsidR="00F26977" w:rsidP="00107276">
      <w:pPr>
        <w:numPr>
          <w:ilvl w:val="0"/>
          <w:numId w:val="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 xml:space="preserve">Inclusion on the TsunamiReady Supporter Website at </w:t>
      </w:r>
      <w:hyperlink r:id="rId6">
        <w:r>
          <w:rPr>
            <w:color w:val="1155CC"/>
            <w:u w:val="single"/>
          </w:rPr>
          <w:t>https://www.weather.gov/tsunamiready/supporters</w:t>
        </w:r>
      </w:hyperlink>
    </w:p>
    <w:p w:rsidR="00F269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TsunamiReady Supporter guidelines are less extensive and detailed than the full TsunamiReady recognition.  Unlike the full TsunamiReady recognition, TsunamiReady Supporter guidelines are not subject to renewal every four years.  The guidelines on the appl</w:t>
      </w:r>
      <w:r>
        <w:t xml:space="preserve">ication help to determine if the applying entity meets the requirements necessary to become a TsunamiReady Supporter.  </w:t>
      </w:r>
    </w:p>
    <w:p w:rsidR="00F269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pPr>
    </w:p>
    <w:p w:rsidR="00F269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b/>
          <w:u w:val="single"/>
        </w:rPr>
      </w:pPr>
      <w:r>
        <w:rPr>
          <w:b/>
          <w:u w:val="single"/>
        </w:rPr>
        <w:t>Weather-Ready Nation Ambassador</w:t>
      </w:r>
    </w:p>
    <w:p w:rsidR="00F269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Maintaining accurate contact information is the foundation of the WRN Ambassador program. Fundamentally</w:t>
      </w:r>
      <w:r>
        <w:t>, the ambassador program is a commitment to partner and collaborate with each other. Information sharing, feedback, and participation in community events are all ways that ambassadors can collaborate with NOAA. Without accurate contact information, the pro</w:t>
      </w:r>
      <w:r>
        <w:t xml:space="preserve">gram would lose its value. Email addresses are used to send monthly WRN Ambassador emails highlighting various opportunities and resources for ambassadors to engage to help communities become ready, responsive, and resilient to extreme weather events. </w:t>
      </w:r>
    </w:p>
    <w:p w:rsidR="00F269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269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Ut</w:t>
      </w:r>
      <w:r>
        <w:t>ility.  Each newly recognized site is added to a graphical map of the U.S. located on the StormReady Web site (https://www.weather.gov/stormready/communities).  Posting the information on the Web site provides the communities with public recognition of the</w:t>
      </w:r>
      <w:r>
        <w:t>ir status and enables the public to see what communities are recognized as StormReady/TsunamiReady.  It also keeps an accurate, up-to-date count of the number of recognized communities. WRNAs are also listed online (https://www.weather.gov/wrn/current-amba</w:t>
      </w:r>
      <w:r>
        <w:t>ssadors).</w:t>
      </w:r>
    </w:p>
    <w:p w:rsidR="00F269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269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Integrity.  The procedures for recognizing a community as StormReady/TsunamiReady/WRNA adhere to OMB Circular A-130.  The Websites are updated as each new community is recognized.  The Webmaster is the only person authorized to make any changes </w:t>
      </w:r>
      <w:r>
        <w:t xml:space="preserve">to the site. Procedures for getting the communities recognized and posted on the Websites are outlined in NWS Directives.  </w:t>
      </w:r>
    </w:p>
    <w:p w:rsidR="00F269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269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Objectivity.  The recognitions are verified by the NWS field official who provides the name of the jurisdiction and date of recogni</w:t>
      </w:r>
      <w:r>
        <w:t>tion to the program manager and the Webmaster.</w:t>
      </w:r>
    </w:p>
    <w:p w:rsidR="001072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269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NOAA NWS will retain control over the information and safeguard it from improper access, modification, and destruction, consistent with NOAA standards for confidentiality, privacy, and electronic information. </w:t>
      </w:r>
      <w:r>
        <w:t>The information collection is designed to yield data that meet all applicable information quality guidelines.</w:t>
      </w:r>
      <w:r>
        <w:tab/>
      </w:r>
    </w:p>
    <w:p w:rsidR="00F269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269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None of the information on the application is distributed to the public.  The only information </w:t>
      </w:r>
      <w:r>
        <w:t>made public is the name of the recognized communi</w:t>
      </w:r>
      <w:r>
        <w:t>ty and the date of its recognition.  The information is disseminated to the public via the Internet and complies with applicable NOAA Information Quality Guidelines.</w:t>
      </w:r>
    </w:p>
    <w:p w:rsidR="00F269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pPr>
    </w:p>
    <w:p w:rsidR="00F26977">
      <w:pPr>
        <w:numPr>
          <w:ilvl w:val="0"/>
          <w:numId w:val="2"/>
        </w:numPr>
        <w:pBdr>
          <w:top w:val="nil"/>
          <w:left w:val="nil"/>
          <w:bottom w:val="nil"/>
          <w:right w:val="nil"/>
          <w:between w:val="nil"/>
        </w:pBdr>
        <w:tabs>
          <w:tab w:val="left" w:pos="360"/>
        </w:tabs>
        <w:spacing w:before="199"/>
        <w:rPr>
          <w:b/>
          <w:color w:val="000000"/>
        </w:rPr>
      </w:pPr>
      <w:r>
        <w:rPr>
          <w:b/>
          <w:color w:val="000000"/>
        </w:rPr>
        <w:t>Describe whether, and to what extent, the collection of information involves the use of automated, electronic, mechanical, or other technological collection techniques or other forms of information technology, e.g. permitting electronic submission of respo</w:t>
      </w:r>
      <w:r>
        <w:rPr>
          <w:b/>
          <w:color w:val="000000"/>
        </w:rPr>
        <w:t>nses, and the basis for the decision for adopting this means of collection. Also, describe any consideration of using information technology to reduce burden.</w:t>
      </w:r>
    </w:p>
    <w:p w:rsidR="00F269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F269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 xml:space="preserve">The StormReady, TsunamiReady, StormReady Supporter and TsunamiReady Supporter application forms </w:t>
      </w:r>
      <w:r>
        <w:t xml:space="preserve">are available in Word and fillable PDF format via the Internet at </w:t>
      </w:r>
      <w:hyperlink r:id="rId7">
        <w:r>
          <w:rPr>
            <w:color w:val="1155CC"/>
            <w:u w:val="single"/>
          </w:rPr>
          <w:t>https://www.weather.gov/stormready/become</w:t>
        </w:r>
      </w:hyperlink>
      <w:r>
        <w:t xml:space="preserve"> or </w:t>
      </w:r>
      <w:hyperlink r:id="rId8">
        <w:r>
          <w:rPr>
            <w:color w:val="1155CC"/>
            <w:u w:val="single"/>
          </w:rPr>
          <w:t>https://www.weather.g</w:t>
        </w:r>
        <w:r>
          <w:rPr>
            <w:color w:val="1155CC"/>
            <w:u w:val="single"/>
          </w:rPr>
          <w:t>ov/tsunamiready/become</w:t>
        </w:r>
      </w:hyperlink>
      <w:r>
        <w:t>.  Applicants will submit the forms either electronically or via paper copy to the responsible warning coordination meteorologist.</w:t>
      </w:r>
    </w:p>
    <w:p w:rsidR="00F269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F269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WRN Ambassador program uses a Google Form embedded in the “</w:t>
      </w:r>
      <w:hyperlink r:id="rId9">
        <w:r>
          <w:rPr>
            <w:color w:val="1155CC"/>
            <w:u w:val="single"/>
          </w:rPr>
          <w:t xml:space="preserve">Become </w:t>
        </w:r>
        <w:r>
          <w:rPr>
            <w:color w:val="1155CC"/>
            <w:u w:val="single"/>
          </w:rPr>
          <w:t>An</w:t>
        </w:r>
        <w:r>
          <w:rPr>
            <w:color w:val="1155CC"/>
            <w:u w:val="single"/>
          </w:rPr>
          <w:t xml:space="preserve"> Ambassador</w:t>
        </w:r>
      </w:hyperlink>
      <w:r>
        <w:t>” website. Once the applicant fills out the contact information and clicks “accept” to the terms of use, their information is populated automatically in a Google Spreadsheet. From there, a review process is initiated to dete</w:t>
      </w:r>
      <w:r>
        <w:t xml:space="preserve">rmine if the applicant organization is to be recognized as an ambassador. </w:t>
      </w:r>
    </w:p>
    <w:p w:rsidR="00F269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pPr>
    </w:p>
    <w:p w:rsidR="00F26977">
      <w:pPr>
        <w:numPr>
          <w:ilvl w:val="0"/>
          <w:numId w:val="2"/>
        </w:numPr>
        <w:pBdr>
          <w:top w:val="nil"/>
          <w:left w:val="nil"/>
          <w:bottom w:val="nil"/>
          <w:right w:val="nil"/>
          <w:between w:val="nil"/>
        </w:pBdr>
        <w:tabs>
          <w:tab w:val="left" w:pos="360"/>
        </w:tabs>
        <w:spacing w:before="80"/>
        <w:rPr>
          <w:b/>
          <w:color w:val="000000"/>
        </w:rPr>
      </w:pPr>
      <w:r>
        <w:rPr>
          <w:b/>
          <w:color w:val="000000"/>
        </w:rPr>
        <w:t xml:space="preserve">Describe efforts to identify duplication. Show specifically why any similar information already available cannot be used or modified for use for the purposes described in Question </w:t>
      </w:r>
      <w:r>
        <w:rPr>
          <w:b/>
          <w:color w:val="000000"/>
        </w:rPr>
        <w:t>2</w:t>
      </w:r>
    </w:p>
    <w:p w:rsidR="00F269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 xml:space="preserve">StormReady, TsunamiReady and WRNA are unique federal programs. There are no other known programs that collect the information requested on the applications. </w:t>
      </w:r>
    </w:p>
    <w:p w:rsidR="00F269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pPr>
    </w:p>
    <w:p w:rsidR="00F26977">
      <w:pPr>
        <w:numPr>
          <w:ilvl w:val="0"/>
          <w:numId w:val="2"/>
        </w:numPr>
        <w:pBdr>
          <w:top w:val="nil"/>
          <w:left w:val="nil"/>
          <w:bottom w:val="nil"/>
          <w:right w:val="nil"/>
          <w:between w:val="nil"/>
        </w:pBdr>
        <w:tabs>
          <w:tab w:val="left" w:pos="360"/>
        </w:tabs>
        <w:spacing w:before="80"/>
        <w:rPr>
          <w:b/>
          <w:color w:val="000000"/>
        </w:rPr>
      </w:pPr>
      <w:r>
        <w:rPr>
          <w:b/>
          <w:color w:val="000000"/>
        </w:rPr>
        <w:t>If the collection of information impacts small businesses or other small entities, describe any</w:t>
      </w:r>
      <w:r>
        <w:rPr>
          <w:b/>
          <w:color w:val="000000"/>
        </w:rPr>
        <w:t xml:space="preserve"> methods used to minimize burden.</w:t>
      </w:r>
    </w:p>
    <w:p w:rsidR="00F269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Application for StormReady, TsunamiReady, StormReady Supporter, TsunamiReady Supporter, and WRNA recognition is voluntary and collection will not have a significant impact on small entities.  Since the information required</w:t>
      </w:r>
      <w:r>
        <w:t xml:space="preserve"> is minimal and can be found in a community emergency manager’s customary and usual records, no impact on small governments is expected.</w:t>
      </w:r>
    </w:p>
    <w:p w:rsidR="00F269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pPr>
    </w:p>
    <w:p w:rsidR="00F26977">
      <w:pPr>
        <w:numPr>
          <w:ilvl w:val="0"/>
          <w:numId w:val="2"/>
        </w:numPr>
        <w:pBdr>
          <w:top w:val="nil"/>
          <w:left w:val="nil"/>
          <w:bottom w:val="nil"/>
          <w:right w:val="nil"/>
          <w:between w:val="nil"/>
        </w:pBdr>
        <w:tabs>
          <w:tab w:val="left" w:pos="360"/>
        </w:tabs>
        <w:spacing w:before="80"/>
        <w:rPr>
          <w:b/>
          <w:color w:val="000000"/>
        </w:rPr>
      </w:pPr>
      <w:r>
        <w:rPr>
          <w:b/>
          <w:color w:val="000000"/>
        </w:rPr>
        <w:t>Describe the consequence to Federal program or policy activities if the collection is not conducted or is conducted less frequently, as well as any technical or legal obstacles to reducing burden.</w:t>
      </w:r>
    </w:p>
    <w:p w:rsidR="00F269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bookmarkStart w:id="0" w:name="_heading=h.30j0zll" w:colFirst="0" w:colLast="0"/>
      <w:bookmarkEnd w:id="0"/>
      <w:r>
        <w:t>The programs are designed to help as many communities prepa</w:t>
      </w:r>
      <w:r>
        <w:t>re for hazardous weather situations as possible.  If the NWS could not collect the information requested on the application form, it would be forced to withhold applications from communities seeking to be recognized and deny them the political and tangible</w:t>
      </w:r>
      <w:r>
        <w:t xml:space="preserve"> benefits of StormReady/TsunamiReady/WRNA recognition and possible reduction in flood insurance rates. Additionally, if the NWS collected the information less frequently, there is a risk that participating communities would have old </w:t>
      </w:r>
      <w:r>
        <w:t xml:space="preserve">contact information in </w:t>
      </w:r>
      <w:r>
        <w:t xml:space="preserve">the case of an emergency. </w:t>
      </w:r>
    </w:p>
    <w:p w:rsidR="00F269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pPr>
    </w:p>
    <w:p w:rsidR="00F26977">
      <w:pPr>
        <w:numPr>
          <w:ilvl w:val="0"/>
          <w:numId w:val="2"/>
        </w:numPr>
        <w:pBdr>
          <w:top w:val="nil"/>
          <w:left w:val="nil"/>
          <w:bottom w:val="nil"/>
          <w:right w:val="nil"/>
          <w:between w:val="nil"/>
        </w:pBdr>
        <w:tabs>
          <w:tab w:val="left" w:pos="360"/>
        </w:tabs>
        <w:spacing w:before="80"/>
        <w:rPr>
          <w:b/>
          <w:color w:val="000000"/>
        </w:rPr>
      </w:pPr>
      <w:r>
        <w:rPr>
          <w:b/>
          <w:color w:val="000000"/>
        </w:rPr>
        <w:t>Explain any special circumstances that would cause an information collection to be conducted in a manner inconsistent with OMB guidelines.</w:t>
      </w:r>
    </w:p>
    <w:p w:rsidR="00F26977">
      <w:r>
        <w:t>This collection will be conducted in a manner consistent with OMB guidelines.</w:t>
      </w:r>
    </w:p>
    <w:p w:rsidR="00F26977">
      <w:pPr>
        <w:pBdr>
          <w:top w:val="nil"/>
          <w:left w:val="nil"/>
          <w:bottom w:val="nil"/>
          <w:right w:val="nil"/>
          <w:between w:val="nil"/>
        </w:pBdr>
        <w:spacing w:before="80"/>
        <w:rPr>
          <w:color w:val="000000"/>
        </w:rPr>
      </w:pPr>
    </w:p>
    <w:p w:rsidR="00F26977">
      <w:pPr>
        <w:numPr>
          <w:ilvl w:val="0"/>
          <w:numId w:val="2"/>
        </w:numPr>
        <w:pBdr>
          <w:top w:val="nil"/>
          <w:left w:val="nil"/>
          <w:bottom w:val="nil"/>
          <w:right w:val="nil"/>
          <w:between w:val="nil"/>
        </w:pBdr>
        <w:spacing w:before="80"/>
        <w:rPr>
          <w:b/>
          <w:color w:val="000000"/>
        </w:rPr>
      </w:pPr>
      <w:r>
        <w:rPr>
          <w:b/>
          <w:color w:val="000000"/>
        </w:rPr>
        <w:t>If applicable, provide a copy and identify the date and page number of publications in the Federal Register of the agency's notice, required by 5 CFR 1320.8 (d), soliciting comments on the information collection prior to submission to OMB. Summarize public</w:t>
      </w:r>
      <w:r>
        <w:rPr>
          <w:b/>
          <w:color w:val="000000"/>
        </w:rPr>
        <w:t xml:space="preserve"> comments received in response to that notice and describe actions taken by the agency in response to these comments. Specifically address comments received on cost and hour burden.</w:t>
      </w:r>
    </w:p>
    <w:p w:rsidR="00F26977">
      <w:pPr>
        <w:pBdr>
          <w:top w:val="nil"/>
          <w:left w:val="nil"/>
          <w:bottom w:val="nil"/>
          <w:right w:val="nil"/>
          <w:between w:val="nil"/>
        </w:pBdr>
        <w:spacing w:before="80"/>
        <w:rPr>
          <w:b/>
        </w:rPr>
      </w:pPr>
    </w:p>
    <w:p w:rsidR="00F269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A Federal Register Notice published on July 30, 2024 (89 FR 61096) solici</w:t>
      </w:r>
      <w:r>
        <w:t>ted public comment on this request for extension.  No comments were received.</w:t>
      </w:r>
    </w:p>
    <w:p w:rsidR="00F26977"/>
    <w:p w:rsidR="00F26977">
      <w:r>
        <w:t>Comments were solicited directly from several external stakeholders to obtain their views on the availability of data, frequency of collection, the clarity of instructions and r</w:t>
      </w:r>
      <w:r>
        <w:t>ecordkeeping, disclosure, or reporting format (if any), and on the data elements to be recorded, disclosed, or reported.</w:t>
      </w:r>
      <w:r>
        <w:t xml:space="preserve"> No comments were received.</w:t>
      </w:r>
    </w:p>
    <w:p w:rsidR="00F26977">
      <w:pPr>
        <w:ind w:left="720"/>
      </w:pPr>
    </w:p>
    <w:p w:rsidR="00F26977">
      <w:pPr>
        <w:numPr>
          <w:ilvl w:val="0"/>
          <w:numId w:val="2"/>
        </w:numPr>
        <w:pBdr>
          <w:top w:val="nil"/>
          <w:left w:val="nil"/>
          <w:bottom w:val="nil"/>
          <w:right w:val="nil"/>
          <w:between w:val="nil"/>
        </w:pBdr>
        <w:tabs>
          <w:tab w:val="left" w:pos="360"/>
        </w:tabs>
        <w:spacing w:before="80"/>
        <w:rPr>
          <w:b/>
          <w:color w:val="000000"/>
        </w:rPr>
      </w:pPr>
      <w:r>
        <w:rPr>
          <w:b/>
          <w:color w:val="000000"/>
        </w:rPr>
        <w:t xml:space="preserve">Explain any decision to provide any payment or gift to respondents, other than remuneration of contractors </w:t>
      </w:r>
      <w:r>
        <w:rPr>
          <w:b/>
          <w:color w:val="000000"/>
        </w:rPr>
        <w:t>or grantees.</w:t>
      </w:r>
    </w:p>
    <w:p w:rsidR="00F269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pPr>
      <w:r>
        <w:t>No payments or gifts will be provided to applicants.  Each StormReady Supporter entity receives two signs to identify it as a program participant.</w:t>
      </w:r>
    </w:p>
    <w:p w:rsidR="00F269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pPr>
      <w:r>
        <w:t xml:space="preserve"> </w:t>
      </w:r>
    </w:p>
    <w:p w:rsidR="00F26977">
      <w:pPr>
        <w:numPr>
          <w:ilvl w:val="0"/>
          <w:numId w:val="2"/>
        </w:numPr>
        <w:pBdr>
          <w:top w:val="nil"/>
          <w:left w:val="nil"/>
          <w:bottom w:val="nil"/>
          <w:right w:val="nil"/>
          <w:between w:val="nil"/>
        </w:pBdr>
        <w:tabs>
          <w:tab w:val="left" w:pos="360"/>
        </w:tabs>
        <w:spacing w:before="120"/>
        <w:rPr>
          <w:b/>
          <w:color w:val="000000"/>
        </w:rPr>
      </w:pPr>
      <w:r>
        <w:rPr>
          <w:b/>
          <w:color w:val="000000"/>
        </w:rPr>
        <w:t>Describe any assurance of confidentiality provided to respondents and the basis for the assurance in statute, regulation, or agency policy. If the collection requires a systems of records notice (SORN) or privacy impact assessment (PIA), those should be ci</w:t>
      </w:r>
      <w:r>
        <w:rPr>
          <w:b/>
          <w:color w:val="000000"/>
        </w:rPr>
        <w:t>ted and described here.</w:t>
      </w:r>
    </w:p>
    <w:p w:rsidR="00F26977">
      <w:pPr>
        <w:pBdr>
          <w:top w:val="nil"/>
          <w:left w:val="nil"/>
          <w:bottom w:val="nil"/>
          <w:right w:val="nil"/>
          <w:between w:val="nil"/>
        </w:pBdr>
        <w:tabs>
          <w:tab w:val="left" w:pos="360"/>
        </w:tabs>
        <w:spacing w:before="120"/>
        <w:rPr>
          <w:b/>
        </w:rPr>
      </w:pPr>
    </w:p>
    <w:p w:rsidR="00F269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 xml:space="preserve">Data collected through these forms are considered public information. The information is covered under the Privacy Act System of Records Notice, </w:t>
      </w:r>
      <w:hyperlink r:id="rId10">
        <w:r>
          <w:rPr>
            <w:color w:val="1155CC"/>
            <w:u w:val="single"/>
          </w:rPr>
          <w:t>COMMERC</w:t>
        </w:r>
        <w:r>
          <w:rPr>
            <w:color w:val="1155CC"/>
            <w:u w:val="single"/>
          </w:rPr>
          <w:t>E/NOAA-11</w:t>
        </w:r>
      </w:hyperlink>
      <w:r>
        <w:t>, Contact Information for Members of the Public Requesting or Providing Information Related to NOAA’s Mission.</w:t>
      </w:r>
    </w:p>
    <w:p w:rsidR="00F269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pPr>
    </w:p>
    <w:p w:rsidR="00F26977">
      <w:pPr>
        <w:numPr>
          <w:ilvl w:val="0"/>
          <w:numId w:val="2"/>
        </w:numPr>
        <w:pBdr>
          <w:top w:val="nil"/>
          <w:left w:val="nil"/>
          <w:bottom w:val="nil"/>
          <w:right w:val="nil"/>
          <w:between w:val="nil"/>
        </w:pBdr>
        <w:tabs>
          <w:tab w:val="left" w:pos="360"/>
        </w:tabs>
        <w:spacing w:before="80"/>
        <w:rPr>
          <w:b/>
          <w:color w:val="000000"/>
        </w:rPr>
      </w:pPr>
      <w:r>
        <w:rPr>
          <w:b/>
          <w:color w:val="000000"/>
        </w:rPr>
        <w:t>Provide additional justification for any questions of a sensitive nature, such as sexual behavior or attitudes, religious beliefs, and other matters that are commonly considered private. This justification should include the reasons why the agency consider</w:t>
      </w:r>
      <w:r>
        <w:rPr>
          <w:b/>
          <w:color w:val="000000"/>
        </w:rPr>
        <w:t>s the questions necessary, the specific uses to be made of the information, the explanation to be given to persons from whom the information is requested, and any steps to be taken to obtain their consent.</w:t>
      </w:r>
    </w:p>
    <w:p w:rsidR="00F26977">
      <w:pPr>
        <w:pBdr>
          <w:top w:val="nil"/>
          <w:left w:val="nil"/>
          <w:bottom w:val="nil"/>
          <w:right w:val="nil"/>
          <w:between w:val="nil"/>
        </w:pBdr>
        <w:tabs>
          <w:tab w:val="left" w:pos="360"/>
        </w:tabs>
        <w:spacing w:before="80"/>
        <w:rPr>
          <w:b/>
        </w:rPr>
      </w:pPr>
    </w:p>
    <w:p w:rsidR="00F269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ectPr>
          <w:footerReference w:type="default" r:id="rId11"/>
          <w:pgSz w:w="12240" w:h="15840"/>
          <w:pgMar w:top="1080" w:right="1440" w:bottom="1440" w:left="1440" w:header="0" w:footer="534" w:gutter="0"/>
          <w:pgNumType w:start="1"/>
          <w:cols w:space="720"/>
        </w:sectPr>
      </w:pPr>
      <w:r>
        <w:t>The StormReady, TsunamiReady, StormReady Supporter, TsunamiReady Supporter, and WRNA application forms do not contain any sensitive questions as described in the PRA guidance.</w:t>
      </w:r>
    </w:p>
    <w:p w:rsidR="00F269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pPr>
    </w:p>
    <w:p w:rsidR="00F26977">
      <w:pPr>
        <w:pBdr>
          <w:top w:val="nil"/>
          <w:left w:val="nil"/>
          <w:bottom w:val="nil"/>
          <w:right w:val="nil"/>
          <w:between w:val="nil"/>
        </w:pBdr>
        <w:tabs>
          <w:tab w:val="left" w:pos="360"/>
        </w:tabs>
        <w:spacing w:before="80"/>
        <w:rPr>
          <w:b/>
          <w:color w:val="000000"/>
        </w:rPr>
      </w:pPr>
    </w:p>
    <w:p w:rsidR="00F26977">
      <w:pPr>
        <w:numPr>
          <w:ilvl w:val="0"/>
          <w:numId w:val="2"/>
        </w:numPr>
        <w:pBdr>
          <w:top w:val="nil"/>
          <w:left w:val="nil"/>
          <w:bottom w:val="nil"/>
          <w:right w:val="nil"/>
          <w:between w:val="nil"/>
        </w:pBdr>
        <w:tabs>
          <w:tab w:val="left" w:pos="360"/>
        </w:tabs>
        <w:spacing w:before="80"/>
        <w:rPr>
          <w:b/>
          <w:color w:val="000000"/>
        </w:rPr>
      </w:pPr>
      <w:r>
        <w:rPr>
          <w:b/>
          <w:color w:val="000000"/>
        </w:rPr>
        <w:t>Provide estimates of the hour burden of the collection of information.</w:t>
      </w:r>
    </w:p>
    <w:p w:rsidR="00F269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F26977">
      <w:pPr>
        <w:spacing w:line="259" w:lineRule="auto"/>
        <w:ind w:hanging="43"/>
        <w:jc w:val="center"/>
        <w:rPr>
          <w:b/>
          <w:color w:val="FF0000"/>
        </w:rPr>
      </w:pPr>
    </w:p>
    <w:tbl>
      <w:tblPr>
        <w:tblStyle w:val="a1"/>
        <w:tblW w:w="12970" w:type="dxa"/>
        <w:tblInd w:w="-650" w:type="dxa"/>
        <w:tblLayout w:type="fixed"/>
        <w:tblLook w:val="0400"/>
      </w:tblPr>
      <w:tblGrid>
        <w:gridCol w:w="2265"/>
        <w:gridCol w:w="1740"/>
        <w:gridCol w:w="1350"/>
        <w:gridCol w:w="1245"/>
        <w:gridCol w:w="1155"/>
        <w:gridCol w:w="1050"/>
        <w:gridCol w:w="1305"/>
        <w:gridCol w:w="1155"/>
        <w:gridCol w:w="1705"/>
      </w:tblGrid>
      <w:tr w:rsidTr="003525B4">
        <w:tblPrEx>
          <w:tblW w:w="12970" w:type="dxa"/>
          <w:tblInd w:w="-650" w:type="dxa"/>
          <w:tblLayout w:type="fixed"/>
          <w:tblLook w:val="0400"/>
        </w:tblPrEx>
        <w:trPr>
          <w:trHeight w:val="1365"/>
        </w:trPr>
        <w:tc>
          <w:tcPr>
            <w:tcW w:w="2265" w:type="dxa"/>
            <w:tcBorders>
              <w:top w:val="single" w:sz="8" w:space="0" w:color="000000"/>
              <w:left w:val="single" w:sz="8" w:space="0" w:color="000000"/>
              <w:bottom w:val="single" w:sz="8" w:space="0" w:color="000000"/>
              <w:right w:val="single" w:sz="8" w:space="0" w:color="000000"/>
            </w:tcBorders>
            <w:shd w:val="clear" w:color="auto" w:fill="BDD7EE"/>
            <w:vAlign w:val="center"/>
          </w:tcPr>
          <w:p w:rsidR="00F26977">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Information Collection</w:t>
            </w:r>
          </w:p>
        </w:tc>
        <w:tc>
          <w:tcPr>
            <w:tcW w:w="1740" w:type="dxa"/>
            <w:tcBorders>
              <w:top w:val="single" w:sz="8" w:space="0" w:color="000000"/>
              <w:left w:val="nil"/>
              <w:bottom w:val="single" w:sz="8" w:space="0" w:color="000000"/>
              <w:right w:val="single" w:sz="8" w:space="0" w:color="000000"/>
            </w:tcBorders>
            <w:shd w:val="clear" w:color="auto" w:fill="BDD7EE"/>
            <w:vAlign w:val="center"/>
          </w:tcPr>
          <w:p w:rsidR="00F26977">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Type of Respondent (e.g., Occupational Title)</w:t>
            </w:r>
          </w:p>
        </w:tc>
        <w:tc>
          <w:tcPr>
            <w:tcW w:w="1350" w:type="dxa"/>
            <w:tcBorders>
              <w:top w:val="single" w:sz="8" w:space="0" w:color="000000"/>
              <w:left w:val="nil"/>
              <w:bottom w:val="single" w:sz="8" w:space="0" w:color="000000"/>
              <w:right w:val="single" w:sz="8" w:space="0" w:color="000000"/>
            </w:tcBorders>
            <w:shd w:val="clear" w:color="auto" w:fill="BDD7EE"/>
            <w:vAlign w:val="center"/>
          </w:tcPr>
          <w:p w:rsidR="00F26977">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 of Respondents/year</w:t>
            </w:r>
            <w:r>
              <w:rPr>
                <w:rFonts w:ascii="Calibri" w:eastAsia="Calibri" w:hAnsi="Calibri" w:cs="Calibri"/>
                <w:b/>
                <w:color w:val="000000"/>
                <w:sz w:val="16"/>
                <w:szCs w:val="16"/>
              </w:rPr>
              <w:br/>
              <w:t>(a)</w:t>
            </w:r>
          </w:p>
        </w:tc>
        <w:tc>
          <w:tcPr>
            <w:tcW w:w="1245" w:type="dxa"/>
            <w:tcBorders>
              <w:top w:val="single" w:sz="8" w:space="0" w:color="000000"/>
              <w:left w:val="nil"/>
              <w:bottom w:val="single" w:sz="8" w:space="0" w:color="000000"/>
              <w:right w:val="single" w:sz="8" w:space="0" w:color="000000"/>
            </w:tcBorders>
            <w:shd w:val="clear" w:color="auto" w:fill="BDD7EE"/>
            <w:vAlign w:val="center"/>
          </w:tcPr>
          <w:p w:rsidR="00F26977">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Annual # of Responses / Respondent</w:t>
            </w:r>
            <w:r>
              <w:rPr>
                <w:rFonts w:ascii="Calibri" w:eastAsia="Calibri" w:hAnsi="Calibri" w:cs="Calibri"/>
                <w:b/>
                <w:color w:val="000000"/>
                <w:sz w:val="16"/>
                <w:szCs w:val="16"/>
              </w:rPr>
              <w:br/>
              <w:t>(b)</w:t>
            </w:r>
          </w:p>
        </w:tc>
        <w:tc>
          <w:tcPr>
            <w:tcW w:w="1155" w:type="dxa"/>
            <w:tcBorders>
              <w:top w:val="single" w:sz="8" w:space="0" w:color="000000"/>
              <w:left w:val="nil"/>
              <w:bottom w:val="single" w:sz="8" w:space="0" w:color="000000"/>
              <w:right w:val="single" w:sz="8" w:space="0" w:color="000000"/>
            </w:tcBorders>
            <w:shd w:val="clear" w:color="auto" w:fill="BDD7EE"/>
            <w:vAlign w:val="center"/>
          </w:tcPr>
          <w:p w:rsidR="00F26977">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 xml:space="preserve"> Total # of Annual Responses</w:t>
            </w:r>
            <w:r>
              <w:rPr>
                <w:rFonts w:ascii="Calibri" w:eastAsia="Calibri" w:hAnsi="Calibri" w:cs="Calibri"/>
                <w:b/>
                <w:color w:val="000000"/>
                <w:sz w:val="16"/>
                <w:szCs w:val="16"/>
              </w:rPr>
              <w:br/>
              <w:t>(c) = (a) x (b)</w:t>
            </w:r>
          </w:p>
        </w:tc>
        <w:tc>
          <w:tcPr>
            <w:tcW w:w="1050" w:type="dxa"/>
            <w:tcBorders>
              <w:top w:val="single" w:sz="8" w:space="0" w:color="000000"/>
              <w:left w:val="nil"/>
              <w:bottom w:val="single" w:sz="8" w:space="0" w:color="000000"/>
              <w:right w:val="single" w:sz="8" w:space="0" w:color="000000"/>
            </w:tcBorders>
            <w:shd w:val="clear" w:color="auto" w:fill="BDD7EE"/>
            <w:vAlign w:val="center"/>
          </w:tcPr>
          <w:p w:rsidR="00F26977">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 xml:space="preserve">Burden </w:t>
            </w:r>
            <w:r>
              <w:rPr>
                <w:rFonts w:ascii="Calibri" w:eastAsia="Calibri" w:hAnsi="Calibri" w:cs="Calibri"/>
                <w:b/>
                <w:color w:val="000000"/>
                <w:sz w:val="16"/>
                <w:szCs w:val="16"/>
              </w:rPr>
              <w:t>Hrs</w:t>
            </w:r>
            <w:r>
              <w:rPr>
                <w:rFonts w:ascii="Calibri" w:eastAsia="Calibri" w:hAnsi="Calibri" w:cs="Calibri"/>
                <w:b/>
                <w:color w:val="000000"/>
                <w:sz w:val="16"/>
                <w:szCs w:val="16"/>
              </w:rPr>
              <w:t xml:space="preserve"> / Response</w:t>
            </w:r>
            <w:r>
              <w:rPr>
                <w:rFonts w:ascii="Calibri" w:eastAsia="Calibri" w:hAnsi="Calibri" w:cs="Calibri"/>
                <w:b/>
                <w:color w:val="000000"/>
                <w:sz w:val="16"/>
                <w:szCs w:val="16"/>
              </w:rPr>
              <w:br/>
              <w:t>(d)</w:t>
            </w:r>
          </w:p>
        </w:tc>
        <w:tc>
          <w:tcPr>
            <w:tcW w:w="1305" w:type="dxa"/>
            <w:tcBorders>
              <w:top w:val="single" w:sz="8" w:space="0" w:color="000000"/>
              <w:left w:val="nil"/>
              <w:bottom w:val="single" w:sz="8" w:space="0" w:color="000000"/>
              <w:right w:val="single" w:sz="8" w:space="0" w:color="000000"/>
            </w:tcBorders>
            <w:shd w:val="clear" w:color="auto" w:fill="BDD7EE"/>
            <w:vAlign w:val="center"/>
          </w:tcPr>
          <w:p w:rsidR="00F26977">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 xml:space="preserve">Total Annual Burden </w:t>
            </w:r>
            <w:r>
              <w:rPr>
                <w:rFonts w:ascii="Calibri" w:eastAsia="Calibri" w:hAnsi="Calibri" w:cs="Calibri"/>
                <w:b/>
                <w:color w:val="000000"/>
                <w:sz w:val="16"/>
                <w:szCs w:val="16"/>
              </w:rPr>
              <w:t>Hrs</w:t>
            </w:r>
            <w:r>
              <w:rPr>
                <w:rFonts w:ascii="Calibri" w:eastAsia="Calibri" w:hAnsi="Calibri" w:cs="Calibri"/>
                <w:b/>
                <w:color w:val="000000"/>
                <w:sz w:val="16"/>
                <w:szCs w:val="16"/>
              </w:rPr>
              <w:br/>
              <w:t>(</w:t>
            </w:r>
            <w:r>
              <w:rPr>
                <w:rFonts w:ascii="Calibri" w:eastAsia="Calibri" w:hAnsi="Calibri" w:cs="Calibri"/>
                <w:b/>
                <w:color w:val="000000"/>
                <w:sz w:val="16"/>
                <w:szCs w:val="16"/>
              </w:rPr>
              <w:t>e)  =</w:t>
            </w:r>
            <w:r>
              <w:rPr>
                <w:rFonts w:ascii="Calibri" w:eastAsia="Calibri" w:hAnsi="Calibri" w:cs="Calibri"/>
                <w:b/>
                <w:color w:val="000000"/>
                <w:sz w:val="16"/>
                <w:szCs w:val="16"/>
              </w:rPr>
              <w:t xml:space="preserve"> (c) x (d)</w:t>
            </w:r>
          </w:p>
        </w:tc>
        <w:tc>
          <w:tcPr>
            <w:tcW w:w="1155" w:type="dxa"/>
            <w:tcBorders>
              <w:top w:val="single" w:sz="8" w:space="0" w:color="000000"/>
              <w:left w:val="nil"/>
              <w:bottom w:val="single" w:sz="8" w:space="0" w:color="000000"/>
              <w:right w:val="single" w:sz="8" w:space="0" w:color="000000"/>
            </w:tcBorders>
            <w:shd w:val="clear" w:color="auto" w:fill="BDD7EE"/>
            <w:vAlign w:val="center"/>
          </w:tcPr>
          <w:p w:rsidR="00F26977">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 xml:space="preserve">Hourly Wage </w:t>
            </w:r>
            <w:r>
              <w:rPr>
                <w:rFonts w:ascii="Calibri" w:eastAsia="Calibri" w:hAnsi="Calibri" w:cs="Calibri"/>
                <w:b/>
                <w:color w:val="000000"/>
                <w:sz w:val="16"/>
                <w:szCs w:val="16"/>
              </w:rPr>
              <w:t>Rate  (</w:t>
            </w:r>
            <w:r>
              <w:rPr>
                <w:rFonts w:ascii="Calibri" w:eastAsia="Calibri" w:hAnsi="Calibri" w:cs="Calibri"/>
                <w:b/>
                <w:color w:val="000000"/>
                <w:sz w:val="16"/>
                <w:szCs w:val="16"/>
              </w:rPr>
              <w:t>for Type of Respondent)</w:t>
            </w:r>
            <w:r>
              <w:rPr>
                <w:rFonts w:ascii="Calibri" w:eastAsia="Calibri" w:hAnsi="Calibri" w:cs="Calibri"/>
                <w:b/>
                <w:color w:val="000000"/>
                <w:sz w:val="16"/>
                <w:szCs w:val="16"/>
              </w:rPr>
              <w:br/>
              <w:t>(f)</w:t>
            </w:r>
          </w:p>
        </w:tc>
        <w:tc>
          <w:tcPr>
            <w:tcW w:w="1705" w:type="dxa"/>
            <w:tcBorders>
              <w:top w:val="single" w:sz="8" w:space="0" w:color="000000"/>
              <w:left w:val="nil"/>
              <w:bottom w:val="single" w:sz="8" w:space="0" w:color="000000"/>
              <w:right w:val="single" w:sz="8" w:space="0" w:color="000000"/>
            </w:tcBorders>
            <w:shd w:val="clear" w:color="auto" w:fill="BDD7EE"/>
            <w:vAlign w:val="center"/>
          </w:tcPr>
          <w:p w:rsidR="00F26977" w:rsidP="003525B4">
            <w:pPr>
              <w:widowControl/>
              <w:ind w:right="173"/>
              <w:jc w:val="center"/>
              <w:rPr>
                <w:rFonts w:ascii="Calibri" w:eastAsia="Calibri" w:hAnsi="Calibri" w:cs="Calibri"/>
                <w:b/>
                <w:color w:val="000000"/>
                <w:sz w:val="16"/>
                <w:szCs w:val="16"/>
              </w:rPr>
            </w:pPr>
            <w:r>
              <w:rPr>
                <w:rFonts w:ascii="Calibri" w:eastAsia="Calibri" w:hAnsi="Calibri" w:cs="Calibri"/>
                <w:b/>
                <w:color w:val="000000"/>
                <w:sz w:val="16"/>
                <w:szCs w:val="16"/>
              </w:rPr>
              <w:t>Total Annual Wage Burden Costs</w:t>
            </w:r>
            <w:r>
              <w:rPr>
                <w:rFonts w:ascii="Calibri" w:eastAsia="Calibri" w:hAnsi="Calibri" w:cs="Calibri"/>
                <w:b/>
                <w:color w:val="000000"/>
                <w:sz w:val="16"/>
                <w:szCs w:val="16"/>
              </w:rPr>
              <w:br/>
              <w:t>(g) = (e) x (f)</w:t>
            </w:r>
          </w:p>
        </w:tc>
      </w:tr>
      <w:tr w:rsidTr="003525B4">
        <w:tblPrEx>
          <w:tblW w:w="12970" w:type="dxa"/>
          <w:tblInd w:w="-650" w:type="dxa"/>
          <w:tblLayout w:type="fixed"/>
          <w:tblLook w:val="0400"/>
        </w:tblPrEx>
        <w:trPr>
          <w:trHeight w:val="300"/>
        </w:trPr>
        <w:tc>
          <w:tcPr>
            <w:tcW w:w="2265" w:type="dxa"/>
            <w:tcBorders>
              <w:top w:val="nil"/>
              <w:left w:val="single" w:sz="8" w:space="0" w:color="000000"/>
              <w:bottom w:val="single" w:sz="4" w:space="0" w:color="000000"/>
              <w:right w:val="single" w:sz="4" w:space="0" w:color="000000"/>
            </w:tcBorders>
            <w:shd w:val="clear" w:color="auto" w:fill="auto"/>
            <w:vAlign w:val="bottom"/>
          </w:tcPr>
          <w:p w:rsidR="00F26977">
            <w:pPr>
              <w:widowControl/>
              <w:rPr>
                <w:rFonts w:ascii="Calibri" w:eastAsia="Calibri" w:hAnsi="Calibri" w:cs="Calibri"/>
                <w:color w:val="000000"/>
                <w:sz w:val="16"/>
                <w:szCs w:val="16"/>
              </w:rPr>
            </w:pPr>
            <w:r>
              <w:rPr>
                <w:rFonts w:ascii="Calibri" w:eastAsia="Calibri" w:hAnsi="Calibri" w:cs="Calibri"/>
                <w:color w:val="000000"/>
                <w:sz w:val="16"/>
                <w:szCs w:val="16"/>
              </w:rPr>
              <w:t>StormReady and TsunamiReady Applications</w:t>
            </w:r>
          </w:p>
        </w:tc>
        <w:tc>
          <w:tcPr>
            <w:tcW w:w="1740" w:type="dxa"/>
            <w:tcBorders>
              <w:top w:val="nil"/>
              <w:left w:val="nil"/>
              <w:bottom w:val="single" w:sz="4" w:space="0" w:color="000000"/>
              <w:right w:val="single" w:sz="4" w:space="0" w:color="000000"/>
            </w:tcBorders>
            <w:shd w:val="clear" w:color="auto" w:fill="auto"/>
            <w:vAlign w:val="bottom"/>
          </w:tcPr>
          <w:p w:rsidR="00F26977">
            <w:pPr>
              <w:widowControl/>
              <w:jc w:val="center"/>
              <w:rPr>
                <w:rFonts w:ascii="Calibri" w:eastAsia="Calibri" w:hAnsi="Calibri" w:cs="Calibri"/>
                <w:color w:val="000000"/>
                <w:sz w:val="16"/>
                <w:szCs w:val="16"/>
              </w:rPr>
            </w:pPr>
            <w:r>
              <w:rPr>
                <w:rFonts w:ascii="Calibri" w:eastAsia="Calibri" w:hAnsi="Calibri" w:cs="Calibri"/>
                <w:color w:val="000000"/>
                <w:sz w:val="16"/>
                <w:szCs w:val="16"/>
              </w:rPr>
              <w:t xml:space="preserve">Project </w:t>
            </w:r>
            <w:r>
              <w:rPr>
                <w:rFonts w:ascii="Calibri" w:eastAsia="Calibri" w:hAnsi="Calibri" w:cs="Calibri"/>
                <w:color w:val="000000"/>
                <w:sz w:val="16"/>
                <w:szCs w:val="16"/>
              </w:rPr>
              <w:t>Mgmt</w:t>
            </w:r>
            <w:r>
              <w:rPr>
                <w:rFonts w:ascii="Calibri" w:eastAsia="Calibri" w:hAnsi="Calibri" w:cs="Calibri"/>
                <w:color w:val="000000"/>
                <w:sz w:val="16"/>
                <w:szCs w:val="16"/>
              </w:rPr>
              <w:t xml:space="preserve"> Specialist</w:t>
            </w:r>
          </w:p>
        </w:tc>
        <w:tc>
          <w:tcPr>
            <w:tcW w:w="1350" w:type="dxa"/>
            <w:tcBorders>
              <w:top w:val="nil"/>
              <w:left w:val="nil"/>
              <w:bottom w:val="single" w:sz="4" w:space="0" w:color="000000"/>
              <w:right w:val="single" w:sz="4" w:space="0" w:color="000000"/>
            </w:tcBorders>
            <w:shd w:val="clear" w:color="auto" w:fill="auto"/>
            <w:vAlign w:val="bottom"/>
          </w:tcPr>
          <w:p w:rsidR="00F26977">
            <w:pPr>
              <w:widowControl/>
              <w:jc w:val="center"/>
              <w:rPr>
                <w:rFonts w:ascii="Calibri" w:eastAsia="Calibri" w:hAnsi="Calibri" w:cs="Calibri"/>
                <w:color w:val="000000"/>
                <w:sz w:val="16"/>
                <w:szCs w:val="16"/>
              </w:rPr>
            </w:pPr>
            <w:r>
              <w:rPr>
                <w:rFonts w:ascii="Calibri" w:eastAsia="Calibri" w:hAnsi="Calibri" w:cs="Calibri"/>
                <w:color w:val="000000"/>
                <w:sz w:val="16"/>
                <w:szCs w:val="16"/>
              </w:rPr>
              <w:t>240 </w:t>
            </w:r>
          </w:p>
        </w:tc>
        <w:tc>
          <w:tcPr>
            <w:tcW w:w="1245" w:type="dxa"/>
            <w:tcBorders>
              <w:top w:val="nil"/>
              <w:left w:val="nil"/>
              <w:bottom w:val="single" w:sz="4" w:space="0" w:color="000000"/>
              <w:right w:val="single" w:sz="4" w:space="0" w:color="000000"/>
            </w:tcBorders>
            <w:shd w:val="clear" w:color="auto" w:fill="auto"/>
            <w:vAlign w:val="bottom"/>
          </w:tcPr>
          <w:p w:rsidR="00F26977">
            <w:pPr>
              <w:widowControl/>
              <w:jc w:val="center"/>
              <w:rPr>
                <w:rFonts w:ascii="Calibri" w:eastAsia="Calibri" w:hAnsi="Calibri" w:cs="Calibri"/>
                <w:color w:val="000000"/>
                <w:sz w:val="16"/>
                <w:szCs w:val="16"/>
              </w:rPr>
            </w:pPr>
            <w:r>
              <w:rPr>
                <w:rFonts w:ascii="Calibri" w:eastAsia="Calibri" w:hAnsi="Calibri" w:cs="Calibri"/>
                <w:color w:val="000000"/>
                <w:sz w:val="16"/>
                <w:szCs w:val="16"/>
              </w:rPr>
              <w:t>1</w:t>
            </w:r>
          </w:p>
        </w:tc>
        <w:tc>
          <w:tcPr>
            <w:tcW w:w="1155" w:type="dxa"/>
            <w:tcBorders>
              <w:top w:val="nil"/>
              <w:left w:val="nil"/>
              <w:bottom w:val="single" w:sz="4" w:space="0" w:color="000000"/>
              <w:right w:val="single" w:sz="4" w:space="0" w:color="000000"/>
            </w:tcBorders>
            <w:shd w:val="clear" w:color="auto" w:fill="auto"/>
            <w:vAlign w:val="bottom"/>
          </w:tcPr>
          <w:p w:rsidR="00F26977">
            <w:pPr>
              <w:widowControl/>
              <w:jc w:val="center"/>
              <w:rPr>
                <w:rFonts w:ascii="Calibri" w:eastAsia="Calibri" w:hAnsi="Calibri" w:cs="Calibri"/>
                <w:color w:val="000000"/>
                <w:sz w:val="16"/>
                <w:szCs w:val="16"/>
              </w:rPr>
            </w:pPr>
            <w:r>
              <w:rPr>
                <w:rFonts w:ascii="Calibri" w:eastAsia="Calibri" w:hAnsi="Calibri" w:cs="Calibri"/>
                <w:color w:val="000000"/>
                <w:sz w:val="16"/>
                <w:szCs w:val="16"/>
              </w:rPr>
              <w:t>240</w:t>
            </w:r>
          </w:p>
        </w:tc>
        <w:tc>
          <w:tcPr>
            <w:tcW w:w="1050" w:type="dxa"/>
            <w:tcBorders>
              <w:top w:val="nil"/>
              <w:left w:val="nil"/>
              <w:bottom w:val="single" w:sz="4" w:space="0" w:color="000000"/>
              <w:right w:val="single" w:sz="4" w:space="0" w:color="000000"/>
            </w:tcBorders>
            <w:shd w:val="clear" w:color="auto" w:fill="auto"/>
            <w:vAlign w:val="bottom"/>
          </w:tcPr>
          <w:p w:rsidR="00F26977">
            <w:pPr>
              <w:widowControl/>
              <w:jc w:val="center"/>
              <w:rPr>
                <w:rFonts w:ascii="Calibri" w:eastAsia="Calibri" w:hAnsi="Calibri" w:cs="Calibri"/>
                <w:color w:val="000000"/>
                <w:sz w:val="16"/>
                <w:szCs w:val="16"/>
              </w:rPr>
            </w:pPr>
            <w:r>
              <w:rPr>
                <w:rFonts w:ascii="Calibri" w:eastAsia="Calibri" w:hAnsi="Calibri" w:cs="Calibri"/>
                <w:color w:val="000000"/>
                <w:sz w:val="16"/>
                <w:szCs w:val="16"/>
              </w:rPr>
              <w:t>2</w:t>
            </w:r>
          </w:p>
        </w:tc>
        <w:tc>
          <w:tcPr>
            <w:tcW w:w="1305" w:type="dxa"/>
            <w:tcBorders>
              <w:top w:val="nil"/>
              <w:left w:val="nil"/>
              <w:bottom w:val="single" w:sz="4" w:space="0" w:color="000000"/>
              <w:right w:val="single" w:sz="4" w:space="0" w:color="000000"/>
            </w:tcBorders>
            <w:shd w:val="clear" w:color="auto" w:fill="auto"/>
            <w:vAlign w:val="bottom"/>
          </w:tcPr>
          <w:p w:rsidR="00F26977">
            <w:pPr>
              <w:widowControl/>
              <w:jc w:val="center"/>
              <w:rPr>
                <w:rFonts w:ascii="Calibri" w:eastAsia="Calibri" w:hAnsi="Calibri" w:cs="Calibri"/>
                <w:color w:val="000000"/>
                <w:sz w:val="16"/>
                <w:szCs w:val="16"/>
              </w:rPr>
            </w:pPr>
            <w:r>
              <w:rPr>
                <w:rFonts w:ascii="Calibri" w:eastAsia="Calibri" w:hAnsi="Calibri" w:cs="Calibri"/>
                <w:color w:val="000000"/>
                <w:sz w:val="16"/>
                <w:szCs w:val="16"/>
              </w:rPr>
              <w:t>480</w:t>
            </w:r>
          </w:p>
        </w:tc>
        <w:tc>
          <w:tcPr>
            <w:tcW w:w="1155" w:type="dxa"/>
            <w:tcBorders>
              <w:top w:val="nil"/>
              <w:left w:val="nil"/>
              <w:bottom w:val="single" w:sz="4" w:space="0" w:color="000000"/>
              <w:right w:val="single" w:sz="4" w:space="0" w:color="000000"/>
            </w:tcBorders>
            <w:shd w:val="clear" w:color="auto" w:fill="auto"/>
            <w:vAlign w:val="bottom"/>
          </w:tcPr>
          <w:p w:rsidR="00F26977">
            <w:pPr>
              <w:widowControl/>
              <w:jc w:val="center"/>
              <w:rPr>
                <w:rFonts w:ascii="Calibri" w:eastAsia="Calibri" w:hAnsi="Calibri" w:cs="Calibri"/>
                <w:color w:val="000000"/>
                <w:sz w:val="16"/>
                <w:szCs w:val="16"/>
              </w:rPr>
            </w:pPr>
            <w:r>
              <w:rPr>
                <w:rFonts w:ascii="Calibri" w:eastAsia="Calibri" w:hAnsi="Calibri" w:cs="Calibri"/>
                <w:color w:val="000000"/>
                <w:sz w:val="16"/>
                <w:szCs w:val="16"/>
              </w:rPr>
              <w:t xml:space="preserve">$ </w:t>
            </w:r>
            <w:r w:rsidR="00656B31">
              <w:rPr>
                <w:rFonts w:ascii="Calibri" w:eastAsia="Calibri" w:hAnsi="Calibri" w:cs="Calibri"/>
                <w:color w:val="000000"/>
                <w:sz w:val="16"/>
                <w:szCs w:val="16"/>
              </w:rPr>
              <w:t>50.44</w:t>
            </w:r>
            <w:r>
              <w:rPr>
                <w:rFonts w:ascii="Calibri" w:eastAsia="Calibri" w:hAnsi="Calibri" w:cs="Calibri"/>
                <w:color w:val="000000"/>
                <w:sz w:val="16"/>
                <w:szCs w:val="16"/>
              </w:rPr>
              <w:t> </w:t>
            </w:r>
          </w:p>
        </w:tc>
        <w:tc>
          <w:tcPr>
            <w:tcW w:w="1705" w:type="dxa"/>
            <w:tcBorders>
              <w:top w:val="nil"/>
              <w:left w:val="nil"/>
              <w:bottom w:val="single" w:sz="4" w:space="0" w:color="000000"/>
              <w:right w:val="single" w:sz="8" w:space="0" w:color="000000"/>
            </w:tcBorders>
            <w:shd w:val="clear" w:color="auto" w:fill="auto"/>
            <w:vAlign w:val="bottom"/>
          </w:tcPr>
          <w:p w:rsidR="00F26977" w:rsidP="003525B4">
            <w:pPr>
              <w:widowControl/>
              <w:ind w:right="173"/>
              <w:jc w:val="right"/>
              <w:rPr>
                <w:rFonts w:ascii="Calibri" w:eastAsia="Calibri" w:hAnsi="Calibri" w:cs="Calibri"/>
                <w:color w:val="000000"/>
                <w:sz w:val="16"/>
                <w:szCs w:val="16"/>
              </w:rPr>
            </w:pPr>
            <w:r>
              <w:rPr>
                <w:rFonts w:ascii="Calibri" w:eastAsia="Calibri" w:hAnsi="Calibri" w:cs="Calibri"/>
                <w:color w:val="000000"/>
                <w:sz w:val="16"/>
                <w:szCs w:val="16"/>
              </w:rPr>
              <w:t xml:space="preserve"> $24,211</w:t>
            </w:r>
          </w:p>
        </w:tc>
      </w:tr>
      <w:tr w:rsidTr="003525B4">
        <w:tblPrEx>
          <w:tblW w:w="12970" w:type="dxa"/>
          <w:tblInd w:w="-650" w:type="dxa"/>
          <w:tblLayout w:type="fixed"/>
          <w:tblLook w:val="0400"/>
        </w:tblPrEx>
        <w:trPr>
          <w:trHeight w:val="300"/>
        </w:trPr>
        <w:tc>
          <w:tcPr>
            <w:tcW w:w="2265" w:type="dxa"/>
            <w:tcBorders>
              <w:top w:val="nil"/>
              <w:left w:val="single" w:sz="8" w:space="0" w:color="000000"/>
              <w:bottom w:val="single" w:sz="4" w:space="0" w:color="000000"/>
              <w:right w:val="single" w:sz="4" w:space="0" w:color="000000"/>
            </w:tcBorders>
            <w:shd w:val="clear" w:color="auto" w:fill="auto"/>
            <w:vAlign w:val="bottom"/>
          </w:tcPr>
          <w:p w:rsidR="00656B31" w:rsidP="00656B31">
            <w:pPr>
              <w:widowControl/>
              <w:rPr>
                <w:rFonts w:ascii="Calibri" w:eastAsia="Calibri" w:hAnsi="Calibri" w:cs="Calibri"/>
                <w:color w:val="000000"/>
                <w:sz w:val="16"/>
                <w:szCs w:val="16"/>
              </w:rPr>
            </w:pPr>
            <w:r>
              <w:rPr>
                <w:rFonts w:ascii="Calibri" w:eastAsia="Calibri" w:hAnsi="Calibri" w:cs="Calibri"/>
                <w:color w:val="000000"/>
                <w:sz w:val="16"/>
                <w:szCs w:val="16"/>
              </w:rPr>
              <w:t>StormReady Supporter Application Form</w:t>
            </w:r>
          </w:p>
        </w:tc>
        <w:tc>
          <w:tcPr>
            <w:tcW w:w="1740" w:type="dxa"/>
            <w:tcBorders>
              <w:top w:val="nil"/>
              <w:left w:val="nil"/>
              <w:bottom w:val="single" w:sz="4" w:space="0" w:color="000000"/>
              <w:right w:val="single" w:sz="4" w:space="0" w:color="000000"/>
            </w:tcBorders>
            <w:shd w:val="clear" w:color="auto" w:fill="auto"/>
            <w:vAlign w:val="bottom"/>
          </w:tcPr>
          <w:p w:rsidR="00656B31" w:rsidP="00656B31">
            <w:pPr>
              <w:jc w:val="center"/>
            </w:pPr>
            <w:r w:rsidRPr="005E5E5C">
              <w:rPr>
                <w:rFonts w:ascii="Calibri" w:eastAsia="Calibri" w:hAnsi="Calibri" w:cs="Calibri"/>
                <w:color w:val="000000"/>
                <w:sz w:val="16"/>
                <w:szCs w:val="16"/>
              </w:rPr>
              <w:t xml:space="preserve">Project </w:t>
            </w:r>
            <w:r w:rsidRPr="005E5E5C">
              <w:rPr>
                <w:rFonts w:ascii="Calibri" w:eastAsia="Calibri" w:hAnsi="Calibri" w:cs="Calibri"/>
                <w:color w:val="000000"/>
                <w:sz w:val="16"/>
                <w:szCs w:val="16"/>
              </w:rPr>
              <w:t>Mgmt</w:t>
            </w:r>
            <w:r w:rsidRPr="005E5E5C">
              <w:rPr>
                <w:rFonts w:ascii="Calibri" w:eastAsia="Calibri" w:hAnsi="Calibri" w:cs="Calibri"/>
                <w:color w:val="000000"/>
                <w:sz w:val="16"/>
                <w:szCs w:val="16"/>
              </w:rPr>
              <w:t xml:space="preserve"> Specialist</w:t>
            </w:r>
          </w:p>
        </w:tc>
        <w:tc>
          <w:tcPr>
            <w:tcW w:w="1350" w:type="dxa"/>
            <w:tcBorders>
              <w:top w:val="nil"/>
              <w:left w:val="nil"/>
              <w:bottom w:val="single" w:sz="4" w:space="0" w:color="000000"/>
              <w:right w:val="single" w:sz="4" w:space="0" w:color="000000"/>
            </w:tcBorders>
            <w:shd w:val="clear" w:color="auto" w:fill="auto"/>
            <w:vAlign w:val="bottom"/>
          </w:tcPr>
          <w:p w:rsidR="00656B31" w:rsidP="00656B31">
            <w:pPr>
              <w:widowControl/>
              <w:jc w:val="center"/>
              <w:rPr>
                <w:rFonts w:ascii="Calibri" w:eastAsia="Calibri" w:hAnsi="Calibri" w:cs="Calibri"/>
                <w:color w:val="000000"/>
                <w:sz w:val="16"/>
                <w:szCs w:val="16"/>
              </w:rPr>
            </w:pPr>
            <w:r>
              <w:rPr>
                <w:rFonts w:ascii="Calibri" w:eastAsia="Calibri" w:hAnsi="Calibri" w:cs="Calibri"/>
                <w:color w:val="000000"/>
                <w:sz w:val="16"/>
                <w:szCs w:val="16"/>
              </w:rPr>
              <w:t>25 </w:t>
            </w:r>
          </w:p>
        </w:tc>
        <w:tc>
          <w:tcPr>
            <w:tcW w:w="1245" w:type="dxa"/>
            <w:tcBorders>
              <w:top w:val="nil"/>
              <w:left w:val="nil"/>
              <w:bottom w:val="single" w:sz="4" w:space="0" w:color="000000"/>
              <w:right w:val="single" w:sz="4" w:space="0" w:color="000000"/>
            </w:tcBorders>
            <w:shd w:val="clear" w:color="auto" w:fill="auto"/>
            <w:vAlign w:val="bottom"/>
          </w:tcPr>
          <w:p w:rsidR="00656B31" w:rsidP="00656B31">
            <w:pPr>
              <w:widowControl/>
              <w:jc w:val="center"/>
              <w:rPr>
                <w:rFonts w:ascii="Calibri" w:eastAsia="Calibri" w:hAnsi="Calibri" w:cs="Calibri"/>
                <w:color w:val="000000"/>
                <w:sz w:val="16"/>
                <w:szCs w:val="16"/>
              </w:rPr>
            </w:pPr>
            <w:r>
              <w:rPr>
                <w:rFonts w:ascii="Calibri" w:eastAsia="Calibri" w:hAnsi="Calibri" w:cs="Calibri"/>
                <w:color w:val="000000"/>
                <w:sz w:val="16"/>
                <w:szCs w:val="16"/>
              </w:rPr>
              <w:t>1 </w:t>
            </w:r>
          </w:p>
        </w:tc>
        <w:tc>
          <w:tcPr>
            <w:tcW w:w="1155" w:type="dxa"/>
            <w:tcBorders>
              <w:top w:val="nil"/>
              <w:left w:val="nil"/>
              <w:bottom w:val="single" w:sz="4" w:space="0" w:color="000000"/>
              <w:right w:val="single" w:sz="4" w:space="0" w:color="000000"/>
            </w:tcBorders>
            <w:shd w:val="clear" w:color="auto" w:fill="auto"/>
            <w:vAlign w:val="bottom"/>
          </w:tcPr>
          <w:p w:rsidR="00656B31" w:rsidP="00656B31">
            <w:pPr>
              <w:widowControl/>
              <w:jc w:val="center"/>
              <w:rPr>
                <w:rFonts w:ascii="Calibri" w:eastAsia="Calibri" w:hAnsi="Calibri" w:cs="Calibri"/>
                <w:color w:val="000000"/>
                <w:sz w:val="16"/>
                <w:szCs w:val="16"/>
              </w:rPr>
            </w:pPr>
            <w:r>
              <w:rPr>
                <w:rFonts w:ascii="Calibri" w:eastAsia="Calibri" w:hAnsi="Calibri" w:cs="Calibri"/>
                <w:color w:val="000000"/>
                <w:sz w:val="16"/>
                <w:szCs w:val="16"/>
              </w:rPr>
              <w:t>25 </w:t>
            </w:r>
          </w:p>
        </w:tc>
        <w:tc>
          <w:tcPr>
            <w:tcW w:w="1050" w:type="dxa"/>
            <w:tcBorders>
              <w:top w:val="nil"/>
              <w:left w:val="nil"/>
              <w:bottom w:val="single" w:sz="4" w:space="0" w:color="000000"/>
              <w:right w:val="single" w:sz="4" w:space="0" w:color="000000"/>
            </w:tcBorders>
            <w:shd w:val="clear" w:color="auto" w:fill="auto"/>
            <w:vAlign w:val="bottom"/>
          </w:tcPr>
          <w:p w:rsidR="00656B31" w:rsidP="00656B31">
            <w:pPr>
              <w:widowControl/>
              <w:jc w:val="center"/>
              <w:rPr>
                <w:rFonts w:ascii="Calibri" w:eastAsia="Calibri" w:hAnsi="Calibri" w:cs="Calibri"/>
                <w:color w:val="000000"/>
                <w:sz w:val="16"/>
                <w:szCs w:val="16"/>
              </w:rPr>
            </w:pPr>
            <w:r>
              <w:rPr>
                <w:rFonts w:ascii="Calibri" w:eastAsia="Calibri" w:hAnsi="Calibri" w:cs="Calibri"/>
                <w:color w:val="000000"/>
                <w:sz w:val="16"/>
                <w:szCs w:val="16"/>
              </w:rPr>
              <w:t>1 </w:t>
            </w:r>
          </w:p>
        </w:tc>
        <w:tc>
          <w:tcPr>
            <w:tcW w:w="1305" w:type="dxa"/>
            <w:tcBorders>
              <w:top w:val="nil"/>
              <w:left w:val="nil"/>
              <w:bottom w:val="single" w:sz="4" w:space="0" w:color="000000"/>
              <w:right w:val="single" w:sz="4" w:space="0" w:color="000000"/>
            </w:tcBorders>
            <w:shd w:val="clear" w:color="auto" w:fill="auto"/>
            <w:vAlign w:val="bottom"/>
          </w:tcPr>
          <w:p w:rsidR="00656B31" w:rsidP="00656B31">
            <w:pPr>
              <w:widowControl/>
              <w:jc w:val="center"/>
              <w:rPr>
                <w:rFonts w:ascii="Calibri" w:eastAsia="Calibri" w:hAnsi="Calibri" w:cs="Calibri"/>
                <w:color w:val="000000"/>
                <w:sz w:val="16"/>
                <w:szCs w:val="16"/>
              </w:rPr>
            </w:pPr>
            <w:r>
              <w:rPr>
                <w:rFonts w:ascii="Calibri" w:eastAsia="Calibri" w:hAnsi="Calibri" w:cs="Calibri"/>
                <w:color w:val="000000"/>
                <w:sz w:val="16"/>
                <w:szCs w:val="16"/>
              </w:rPr>
              <w:t>25 </w:t>
            </w:r>
          </w:p>
        </w:tc>
        <w:tc>
          <w:tcPr>
            <w:tcW w:w="1155" w:type="dxa"/>
            <w:tcBorders>
              <w:top w:val="nil"/>
              <w:left w:val="nil"/>
              <w:bottom w:val="single" w:sz="4" w:space="0" w:color="000000"/>
              <w:right w:val="single" w:sz="4" w:space="0" w:color="000000"/>
            </w:tcBorders>
            <w:shd w:val="clear" w:color="auto" w:fill="auto"/>
            <w:vAlign w:val="bottom"/>
          </w:tcPr>
          <w:p w:rsidR="00656B31" w:rsidP="00656B31">
            <w:pPr>
              <w:jc w:val="center"/>
            </w:pPr>
            <w:r w:rsidRPr="0005627C">
              <w:rPr>
                <w:rFonts w:ascii="Calibri" w:eastAsia="Calibri" w:hAnsi="Calibri" w:cs="Calibri"/>
                <w:color w:val="000000"/>
                <w:sz w:val="16"/>
                <w:szCs w:val="16"/>
              </w:rPr>
              <w:t>$ 50.44</w:t>
            </w:r>
          </w:p>
        </w:tc>
        <w:tc>
          <w:tcPr>
            <w:tcW w:w="1705" w:type="dxa"/>
            <w:tcBorders>
              <w:top w:val="nil"/>
              <w:left w:val="nil"/>
              <w:bottom w:val="single" w:sz="4" w:space="0" w:color="000000"/>
              <w:right w:val="single" w:sz="8" w:space="0" w:color="000000"/>
            </w:tcBorders>
            <w:shd w:val="clear" w:color="auto" w:fill="auto"/>
            <w:vAlign w:val="bottom"/>
          </w:tcPr>
          <w:p w:rsidR="00656B31" w:rsidP="003525B4">
            <w:pPr>
              <w:widowControl/>
              <w:ind w:right="173"/>
              <w:jc w:val="right"/>
              <w:rPr>
                <w:rFonts w:ascii="Calibri" w:eastAsia="Calibri" w:hAnsi="Calibri" w:cs="Calibri"/>
                <w:color w:val="000000"/>
                <w:sz w:val="16"/>
                <w:szCs w:val="16"/>
              </w:rPr>
            </w:pPr>
            <w:r>
              <w:rPr>
                <w:rFonts w:ascii="Calibri" w:eastAsia="Calibri" w:hAnsi="Calibri" w:cs="Calibri"/>
                <w:color w:val="000000"/>
                <w:sz w:val="16"/>
                <w:szCs w:val="16"/>
              </w:rPr>
              <w:t>$1,261</w:t>
            </w:r>
          </w:p>
        </w:tc>
      </w:tr>
      <w:tr w:rsidTr="003525B4">
        <w:tblPrEx>
          <w:tblW w:w="12970" w:type="dxa"/>
          <w:tblInd w:w="-650" w:type="dxa"/>
          <w:tblLayout w:type="fixed"/>
          <w:tblLook w:val="0400"/>
        </w:tblPrEx>
        <w:trPr>
          <w:trHeight w:val="300"/>
        </w:trPr>
        <w:tc>
          <w:tcPr>
            <w:tcW w:w="2265" w:type="dxa"/>
            <w:tcBorders>
              <w:top w:val="nil"/>
              <w:left w:val="single" w:sz="8" w:space="0" w:color="000000"/>
              <w:bottom w:val="single" w:sz="4" w:space="0" w:color="000000"/>
              <w:right w:val="single" w:sz="4" w:space="0" w:color="000000"/>
            </w:tcBorders>
            <w:shd w:val="clear" w:color="auto" w:fill="auto"/>
            <w:vAlign w:val="bottom"/>
          </w:tcPr>
          <w:p w:rsidR="00656B31" w:rsidP="00656B31">
            <w:pPr>
              <w:widowControl/>
              <w:rPr>
                <w:rFonts w:ascii="Calibri" w:eastAsia="Calibri" w:hAnsi="Calibri" w:cs="Calibri"/>
                <w:color w:val="000000"/>
                <w:sz w:val="16"/>
                <w:szCs w:val="16"/>
              </w:rPr>
            </w:pPr>
            <w:r>
              <w:rPr>
                <w:rFonts w:ascii="Calibri" w:eastAsia="Calibri" w:hAnsi="Calibri" w:cs="Calibri"/>
                <w:color w:val="000000"/>
                <w:sz w:val="16"/>
                <w:szCs w:val="16"/>
              </w:rPr>
              <w:t>TsunamiReady Supporter Application Form</w:t>
            </w:r>
          </w:p>
        </w:tc>
        <w:tc>
          <w:tcPr>
            <w:tcW w:w="1740" w:type="dxa"/>
            <w:tcBorders>
              <w:top w:val="nil"/>
              <w:left w:val="nil"/>
              <w:bottom w:val="single" w:sz="4" w:space="0" w:color="000000"/>
              <w:right w:val="single" w:sz="4" w:space="0" w:color="000000"/>
            </w:tcBorders>
            <w:shd w:val="clear" w:color="auto" w:fill="auto"/>
            <w:vAlign w:val="bottom"/>
          </w:tcPr>
          <w:p w:rsidR="00656B31" w:rsidP="00656B31">
            <w:pPr>
              <w:jc w:val="center"/>
            </w:pPr>
            <w:r w:rsidRPr="005E5E5C">
              <w:rPr>
                <w:rFonts w:ascii="Calibri" w:eastAsia="Calibri" w:hAnsi="Calibri" w:cs="Calibri"/>
                <w:color w:val="000000"/>
                <w:sz w:val="16"/>
                <w:szCs w:val="16"/>
              </w:rPr>
              <w:t xml:space="preserve">Project </w:t>
            </w:r>
            <w:r w:rsidRPr="005E5E5C">
              <w:rPr>
                <w:rFonts w:ascii="Calibri" w:eastAsia="Calibri" w:hAnsi="Calibri" w:cs="Calibri"/>
                <w:color w:val="000000"/>
                <w:sz w:val="16"/>
                <w:szCs w:val="16"/>
              </w:rPr>
              <w:t>Mgmt</w:t>
            </w:r>
            <w:r w:rsidRPr="005E5E5C">
              <w:rPr>
                <w:rFonts w:ascii="Calibri" w:eastAsia="Calibri" w:hAnsi="Calibri" w:cs="Calibri"/>
                <w:color w:val="000000"/>
                <w:sz w:val="16"/>
                <w:szCs w:val="16"/>
              </w:rPr>
              <w:t xml:space="preserve"> Specialist</w:t>
            </w:r>
          </w:p>
        </w:tc>
        <w:tc>
          <w:tcPr>
            <w:tcW w:w="1350" w:type="dxa"/>
            <w:tcBorders>
              <w:top w:val="nil"/>
              <w:left w:val="nil"/>
              <w:bottom w:val="single" w:sz="4" w:space="0" w:color="000000"/>
              <w:right w:val="single" w:sz="4" w:space="0" w:color="000000"/>
            </w:tcBorders>
            <w:shd w:val="clear" w:color="auto" w:fill="auto"/>
            <w:vAlign w:val="bottom"/>
          </w:tcPr>
          <w:p w:rsidR="00656B31" w:rsidP="00656B31">
            <w:pPr>
              <w:widowControl/>
              <w:jc w:val="center"/>
              <w:rPr>
                <w:rFonts w:ascii="Calibri" w:eastAsia="Calibri" w:hAnsi="Calibri" w:cs="Calibri"/>
                <w:color w:val="000000"/>
                <w:sz w:val="16"/>
                <w:szCs w:val="16"/>
              </w:rPr>
            </w:pPr>
            <w:r>
              <w:rPr>
                <w:rFonts w:ascii="Calibri" w:eastAsia="Calibri" w:hAnsi="Calibri" w:cs="Calibri"/>
                <w:color w:val="000000"/>
                <w:sz w:val="16"/>
                <w:szCs w:val="16"/>
              </w:rPr>
              <w:t>20 </w:t>
            </w:r>
          </w:p>
        </w:tc>
        <w:tc>
          <w:tcPr>
            <w:tcW w:w="1245" w:type="dxa"/>
            <w:tcBorders>
              <w:top w:val="nil"/>
              <w:left w:val="nil"/>
              <w:bottom w:val="single" w:sz="4" w:space="0" w:color="000000"/>
              <w:right w:val="single" w:sz="4" w:space="0" w:color="000000"/>
            </w:tcBorders>
            <w:shd w:val="clear" w:color="auto" w:fill="auto"/>
            <w:vAlign w:val="bottom"/>
          </w:tcPr>
          <w:p w:rsidR="00656B31" w:rsidP="00656B31">
            <w:pPr>
              <w:widowControl/>
              <w:jc w:val="center"/>
              <w:rPr>
                <w:rFonts w:ascii="Calibri" w:eastAsia="Calibri" w:hAnsi="Calibri" w:cs="Calibri"/>
                <w:color w:val="000000"/>
                <w:sz w:val="16"/>
                <w:szCs w:val="16"/>
              </w:rPr>
            </w:pPr>
            <w:r>
              <w:rPr>
                <w:rFonts w:ascii="Calibri" w:eastAsia="Calibri" w:hAnsi="Calibri" w:cs="Calibri"/>
                <w:color w:val="000000"/>
                <w:sz w:val="16"/>
                <w:szCs w:val="16"/>
              </w:rPr>
              <w:t>1 </w:t>
            </w:r>
          </w:p>
        </w:tc>
        <w:tc>
          <w:tcPr>
            <w:tcW w:w="1155" w:type="dxa"/>
            <w:tcBorders>
              <w:top w:val="nil"/>
              <w:left w:val="nil"/>
              <w:bottom w:val="single" w:sz="4" w:space="0" w:color="000000"/>
              <w:right w:val="single" w:sz="4" w:space="0" w:color="000000"/>
            </w:tcBorders>
            <w:shd w:val="clear" w:color="auto" w:fill="auto"/>
            <w:vAlign w:val="bottom"/>
          </w:tcPr>
          <w:p w:rsidR="00656B31" w:rsidP="00656B31">
            <w:pPr>
              <w:widowControl/>
              <w:jc w:val="center"/>
              <w:rPr>
                <w:rFonts w:ascii="Calibri" w:eastAsia="Calibri" w:hAnsi="Calibri" w:cs="Calibri"/>
                <w:color w:val="000000"/>
                <w:sz w:val="16"/>
                <w:szCs w:val="16"/>
              </w:rPr>
            </w:pPr>
            <w:r>
              <w:rPr>
                <w:rFonts w:ascii="Calibri" w:eastAsia="Calibri" w:hAnsi="Calibri" w:cs="Calibri"/>
                <w:color w:val="000000"/>
                <w:sz w:val="16"/>
                <w:szCs w:val="16"/>
              </w:rPr>
              <w:t>20 </w:t>
            </w:r>
          </w:p>
        </w:tc>
        <w:tc>
          <w:tcPr>
            <w:tcW w:w="1050" w:type="dxa"/>
            <w:tcBorders>
              <w:top w:val="nil"/>
              <w:left w:val="nil"/>
              <w:bottom w:val="single" w:sz="4" w:space="0" w:color="000000"/>
              <w:right w:val="single" w:sz="4" w:space="0" w:color="000000"/>
            </w:tcBorders>
            <w:shd w:val="clear" w:color="auto" w:fill="auto"/>
            <w:vAlign w:val="bottom"/>
          </w:tcPr>
          <w:p w:rsidR="00656B31" w:rsidP="00656B31">
            <w:pPr>
              <w:widowControl/>
              <w:jc w:val="center"/>
              <w:rPr>
                <w:rFonts w:ascii="Calibri" w:eastAsia="Calibri" w:hAnsi="Calibri" w:cs="Calibri"/>
                <w:color w:val="000000"/>
                <w:sz w:val="16"/>
                <w:szCs w:val="16"/>
              </w:rPr>
            </w:pPr>
            <w:r>
              <w:rPr>
                <w:rFonts w:ascii="Calibri" w:eastAsia="Calibri" w:hAnsi="Calibri" w:cs="Calibri"/>
                <w:color w:val="000000"/>
                <w:sz w:val="16"/>
                <w:szCs w:val="16"/>
              </w:rPr>
              <w:t>1 </w:t>
            </w:r>
          </w:p>
        </w:tc>
        <w:tc>
          <w:tcPr>
            <w:tcW w:w="1305" w:type="dxa"/>
            <w:tcBorders>
              <w:top w:val="nil"/>
              <w:left w:val="nil"/>
              <w:bottom w:val="single" w:sz="4" w:space="0" w:color="000000"/>
              <w:right w:val="single" w:sz="4" w:space="0" w:color="000000"/>
            </w:tcBorders>
            <w:shd w:val="clear" w:color="auto" w:fill="auto"/>
            <w:vAlign w:val="bottom"/>
          </w:tcPr>
          <w:p w:rsidR="00656B31" w:rsidP="00656B31">
            <w:pPr>
              <w:widowControl/>
              <w:jc w:val="center"/>
              <w:rPr>
                <w:rFonts w:ascii="Calibri" w:eastAsia="Calibri" w:hAnsi="Calibri" w:cs="Calibri"/>
                <w:color w:val="000000"/>
                <w:sz w:val="16"/>
                <w:szCs w:val="16"/>
              </w:rPr>
            </w:pPr>
            <w:r>
              <w:rPr>
                <w:rFonts w:ascii="Calibri" w:eastAsia="Calibri" w:hAnsi="Calibri" w:cs="Calibri"/>
                <w:color w:val="000000"/>
                <w:sz w:val="16"/>
                <w:szCs w:val="16"/>
              </w:rPr>
              <w:t>20 </w:t>
            </w:r>
          </w:p>
        </w:tc>
        <w:tc>
          <w:tcPr>
            <w:tcW w:w="1155" w:type="dxa"/>
            <w:tcBorders>
              <w:top w:val="nil"/>
              <w:left w:val="nil"/>
              <w:bottom w:val="single" w:sz="4" w:space="0" w:color="000000"/>
              <w:right w:val="single" w:sz="4" w:space="0" w:color="000000"/>
            </w:tcBorders>
            <w:shd w:val="clear" w:color="auto" w:fill="auto"/>
            <w:vAlign w:val="bottom"/>
          </w:tcPr>
          <w:p w:rsidR="00656B31" w:rsidP="00656B31">
            <w:pPr>
              <w:jc w:val="center"/>
            </w:pPr>
            <w:r w:rsidRPr="0005627C">
              <w:rPr>
                <w:rFonts w:ascii="Calibri" w:eastAsia="Calibri" w:hAnsi="Calibri" w:cs="Calibri"/>
                <w:color w:val="000000"/>
                <w:sz w:val="16"/>
                <w:szCs w:val="16"/>
              </w:rPr>
              <w:t>$ 50.44</w:t>
            </w:r>
          </w:p>
        </w:tc>
        <w:tc>
          <w:tcPr>
            <w:tcW w:w="1705" w:type="dxa"/>
            <w:tcBorders>
              <w:top w:val="nil"/>
              <w:left w:val="nil"/>
              <w:bottom w:val="single" w:sz="4" w:space="0" w:color="000000"/>
              <w:right w:val="single" w:sz="8" w:space="0" w:color="000000"/>
            </w:tcBorders>
            <w:shd w:val="clear" w:color="auto" w:fill="auto"/>
            <w:vAlign w:val="bottom"/>
          </w:tcPr>
          <w:p w:rsidR="00656B31" w:rsidP="003525B4">
            <w:pPr>
              <w:widowControl/>
              <w:ind w:right="173"/>
              <w:jc w:val="right"/>
              <w:rPr>
                <w:rFonts w:ascii="Calibri" w:eastAsia="Calibri" w:hAnsi="Calibri" w:cs="Calibri"/>
                <w:color w:val="000000"/>
                <w:sz w:val="16"/>
                <w:szCs w:val="16"/>
              </w:rPr>
            </w:pPr>
            <w:r>
              <w:rPr>
                <w:rFonts w:ascii="Calibri" w:eastAsia="Calibri" w:hAnsi="Calibri" w:cs="Calibri"/>
                <w:color w:val="000000"/>
                <w:sz w:val="16"/>
                <w:szCs w:val="16"/>
              </w:rPr>
              <w:t>$1,009</w:t>
            </w:r>
          </w:p>
        </w:tc>
      </w:tr>
      <w:tr w:rsidTr="003525B4">
        <w:tblPrEx>
          <w:tblW w:w="12970" w:type="dxa"/>
          <w:tblInd w:w="-650" w:type="dxa"/>
          <w:tblLayout w:type="fixed"/>
          <w:tblLook w:val="0400"/>
        </w:tblPrEx>
        <w:trPr>
          <w:trHeight w:val="300"/>
        </w:trPr>
        <w:tc>
          <w:tcPr>
            <w:tcW w:w="2265" w:type="dxa"/>
            <w:tcBorders>
              <w:top w:val="nil"/>
              <w:left w:val="single" w:sz="8" w:space="0" w:color="000000"/>
              <w:bottom w:val="single" w:sz="4" w:space="0" w:color="000000"/>
              <w:right w:val="single" w:sz="4" w:space="0" w:color="000000"/>
            </w:tcBorders>
            <w:shd w:val="clear" w:color="auto" w:fill="auto"/>
            <w:vAlign w:val="bottom"/>
          </w:tcPr>
          <w:p w:rsidR="00656B31" w:rsidP="00656B31">
            <w:pPr>
              <w:widowControl/>
              <w:rPr>
                <w:rFonts w:ascii="Calibri" w:eastAsia="Calibri" w:hAnsi="Calibri" w:cs="Calibri"/>
                <w:color w:val="000000"/>
                <w:sz w:val="16"/>
                <w:szCs w:val="16"/>
              </w:rPr>
            </w:pPr>
            <w:r>
              <w:rPr>
                <w:rFonts w:ascii="Calibri" w:eastAsia="Calibri" w:hAnsi="Calibri" w:cs="Calibri"/>
                <w:sz w:val="16"/>
                <w:szCs w:val="16"/>
              </w:rPr>
              <w:t>Weather-Ready Ambassador Application Form</w:t>
            </w:r>
          </w:p>
        </w:tc>
        <w:tc>
          <w:tcPr>
            <w:tcW w:w="1740" w:type="dxa"/>
            <w:tcBorders>
              <w:top w:val="nil"/>
              <w:left w:val="nil"/>
              <w:bottom w:val="single" w:sz="4" w:space="0" w:color="000000"/>
              <w:right w:val="single" w:sz="4" w:space="0" w:color="000000"/>
            </w:tcBorders>
            <w:shd w:val="clear" w:color="auto" w:fill="auto"/>
            <w:vAlign w:val="bottom"/>
          </w:tcPr>
          <w:p w:rsidR="00656B31" w:rsidP="00656B31">
            <w:pPr>
              <w:jc w:val="center"/>
            </w:pPr>
            <w:r w:rsidRPr="005E5E5C">
              <w:rPr>
                <w:rFonts w:ascii="Calibri" w:eastAsia="Calibri" w:hAnsi="Calibri" w:cs="Calibri"/>
                <w:color w:val="000000"/>
                <w:sz w:val="16"/>
                <w:szCs w:val="16"/>
              </w:rPr>
              <w:t xml:space="preserve">Project </w:t>
            </w:r>
            <w:r w:rsidRPr="005E5E5C">
              <w:rPr>
                <w:rFonts w:ascii="Calibri" w:eastAsia="Calibri" w:hAnsi="Calibri" w:cs="Calibri"/>
                <w:color w:val="000000"/>
                <w:sz w:val="16"/>
                <w:szCs w:val="16"/>
              </w:rPr>
              <w:t>Mgmt</w:t>
            </w:r>
            <w:r w:rsidRPr="005E5E5C">
              <w:rPr>
                <w:rFonts w:ascii="Calibri" w:eastAsia="Calibri" w:hAnsi="Calibri" w:cs="Calibri"/>
                <w:color w:val="000000"/>
                <w:sz w:val="16"/>
                <w:szCs w:val="16"/>
              </w:rPr>
              <w:t xml:space="preserve"> Specialist</w:t>
            </w:r>
          </w:p>
        </w:tc>
        <w:tc>
          <w:tcPr>
            <w:tcW w:w="1350" w:type="dxa"/>
            <w:tcBorders>
              <w:top w:val="nil"/>
              <w:left w:val="nil"/>
              <w:bottom w:val="single" w:sz="4" w:space="0" w:color="000000"/>
              <w:right w:val="single" w:sz="4" w:space="0" w:color="000000"/>
            </w:tcBorders>
            <w:shd w:val="clear" w:color="auto" w:fill="auto"/>
            <w:vAlign w:val="bottom"/>
          </w:tcPr>
          <w:p w:rsidR="00656B31" w:rsidP="00656B31">
            <w:pPr>
              <w:widowControl/>
              <w:jc w:val="center"/>
              <w:rPr>
                <w:rFonts w:ascii="Calibri" w:eastAsia="Calibri" w:hAnsi="Calibri" w:cs="Calibri"/>
                <w:color w:val="000000"/>
                <w:sz w:val="16"/>
                <w:szCs w:val="16"/>
              </w:rPr>
            </w:pPr>
            <w:r>
              <w:rPr>
                <w:rFonts w:ascii="Calibri" w:eastAsia="Calibri" w:hAnsi="Calibri" w:cs="Calibri"/>
                <w:sz w:val="16"/>
                <w:szCs w:val="16"/>
              </w:rPr>
              <w:t>400</w:t>
            </w:r>
          </w:p>
        </w:tc>
        <w:tc>
          <w:tcPr>
            <w:tcW w:w="1245" w:type="dxa"/>
            <w:tcBorders>
              <w:top w:val="nil"/>
              <w:left w:val="nil"/>
              <w:bottom w:val="single" w:sz="4" w:space="0" w:color="000000"/>
              <w:right w:val="single" w:sz="4" w:space="0" w:color="000000"/>
            </w:tcBorders>
            <w:shd w:val="clear" w:color="auto" w:fill="auto"/>
            <w:vAlign w:val="bottom"/>
          </w:tcPr>
          <w:p w:rsidR="00656B31" w:rsidP="00656B31">
            <w:pPr>
              <w:widowControl/>
              <w:jc w:val="center"/>
              <w:rPr>
                <w:rFonts w:ascii="Calibri" w:eastAsia="Calibri" w:hAnsi="Calibri" w:cs="Calibri"/>
                <w:color w:val="000000"/>
                <w:sz w:val="16"/>
                <w:szCs w:val="16"/>
              </w:rPr>
            </w:pPr>
            <w:r>
              <w:rPr>
                <w:rFonts w:ascii="Calibri" w:eastAsia="Calibri" w:hAnsi="Calibri" w:cs="Calibri"/>
                <w:sz w:val="16"/>
                <w:szCs w:val="16"/>
              </w:rPr>
              <w:t>1</w:t>
            </w:r>
          </w:p>
        </w:tc>
        <w:tc>
          <w:tcPr>
            <w:tcW w:w="1155" w:type="dxa"/>
            <w:tcBorders>
              <w:top w:val="nil"/>
              <w:left w:val="nil"/>
              <w:bottom w:val="single" w:sz="4" w:space="0" w:color="000000"/>
              <w:right w:val="single" w:sz="4" w:space="0" w:color="000000"/>
            </w:tcBorders>
            <w:shd w:val="clear" w:color="auto" w:fill="auto"/>
            <w:vAlign w:val="bottom"/>
          </w:tcPr>
          <w:p w:rsidR="00656B31" w:rsidP="00656B31">
            <w:pPr>
              <w:widowControl/>
              <w:jc w:val="center"/>
              <w:rPr>
                <w:rFonts w:ascii="Calibri" w:eastAsia="Calibri" w:hAnsi="Calibri" w:cs="Calibri"/>
                <w:color w:val="000000"/>
                <w:sz w:val="16"/>
                <w:szCs w:val="16"/>
              </w:rPr>
            </w:pPr>
            <w:r>
              <w:rPr>
                <w:rFonts w:ascii="Calibri" w:eastAsia="Calibri" w:hAnsi="Calibri" w:cs="Calibri"/>
                <w:sz w:val="16"/>
                <w:szCs w:val="16"/>
              </w:rPr>
              <w:t>400</w:t>
            </w:r>
          </w:p>
        </w:tc>
        <w:tc>
          <w:tcPr>
            <w:tcW w:w="1050" w:type="dxa"/>
            <w:tcBorders>
              <w:top w:val="nil"/>
              <w:left w:val="nil"/>
              <w:bottom w:val="single" w:sz="4" w:space="0" w:color="000000"/>
              <w:right w:val="single" w:sz="4" w:space="0" w:color="000000"/>
            </w:tcBorders>
            <w:shd w:val="clear" w:color="auto" w:fill="auto"/>
            <w:vAlign w:val="bottom"/>
          </w:tcPr>
          <w:p w:rsidR="00656B31" w:rsidP="00656B31">
            <w:pPr>
              <w:widowControl/>
              <w:jc w:val="center"/>
              <w:rPr>
                <w:rFonts w:ascii="Calibri" w:eastAsia="Calibri" w:hAnsi="Calibri" w:cs="Calibri"/>
                <w:color w:val="000000"/>
                <w:sz w:val="16"/>
                <w:szCs w:val="16"/>
              </w:rPr>
            </w:pPr>
            <w:r>
              <w:rPr>
                <w:rFonts w:ascii="Calibri" w:eastAsia="Calibri" w:hAnsi="Calibri" w:cs="Calibri"/>
                <w:sz w:val="16"/>
                <w:szCs w:val="16"/>
              </w:rPr>
              <w:t>0.25</w:t>
            </w:r>
          </w:p>
        </w:tc>
        <w:tc>
          <w:tcPr>
            <w:tcW w:w="1305" w:type="dxa"/>
            <w:tcBorders>
              <w:top w:val="nil"/>
              <w:left w:val="nil"/>
              <w:bottom w:val="single" w:sz="4" w:space="0" w:color="000000"/>
              <w:right w:val="single" w:sz="4" w:space="0" w:color="000000"/>
            </w:tcBorders>
            <w:shd w:val="clear" w:color="auto" w:fill="auto"/>
            <w:vAlign w:val="bottom"/>
          </w:tcPr>
          <w:p w:rsidR="00656B31" w:rsidP="00656B31">
            <w:pPr>
              <w:widowControl/>
              <w:jc w:val="center"/>
              <w:rPr>
                <w:rFonts w:ascii="Calibri" w:eastAsia="Calibri" w:hAnsi="Calibri" w:cs="Calibri"/>
                <w:color w:val="000000"/>
                <w:sz w:val="16"/>
                <w:szCs w:val="16"/>
              </w:rPr>
            </w:pPr>
            <w:r>
              <w:rPr>
                <w:rFonts w:ascii="Calibri" w:eastAsia="Calibri" w:hAnsi="Calibri" w:cs="Calibri"/>
                <w:sz w:val="16"/>
                <w:szCs w:val="16"/>
              </w:rPr>
              <w:t>100</w:t>
            </w:r>
          </w:p>
        </w:tc>
        <w:tc>
          <w:tcPr>
            <w:tcW w:w="1155" w:type="dxa"/>
            <w:tcBorders>
              <w:top w:val="nil"/>
              <w:left w:val="nil"/>
              <w:bottom w:val="single" w:sz="4" w:space="0" w:color="000000"/>
              <w:right w:val="single" w:sz="4" w:space="0" w:color="000000"/>
            </w:tcBorders>
            <w:shd w:val="clear" w:color="auto" w:fill="auto"/>
            <w:vAlign w:val="bottom"/>
          </w:tcPr>
          <w:p w:rsidR="00656B31" w:rsidP="00656B31">
            <w:pPr>
              <w:jc w:val="center"/>
            </w:pPr>
            <w:r w:rsidRPr="0005627C">
              <w:rPr>
                <w:rFonts w:ascii="Calibri" w:eastAsia="Calibri" w:hAnsi="Calibri" w:cs="Calibri"/>
                <w:color w:val="000000"/>
                <w:sz w:val="16"/>
                <w:szCs w:val="16"/>
              </w:rPr>
              <w:t>$ 50.44</w:t>
            </w:r>
          </w:p>
        </w:tc>
        <w:tc>
          <w:tcPr>
            <w:tcW w:w="1705" w:type="dxa"/>
            <w:tcBorders>
              <w:top w:val="nil"/>
              <w:left w:val="nil"/>
              <w:bottom w:val="single" w:sz="4" w:space="0" w:color="000000"/>
              <w:right w:val="single" w:sz="8" w:space="0" w:color="000000"/>
            </w:tcBorders>
            <w:shd w:val="clear" w:color="auto" w:fill="auto"/>
            <w:vAlign w:val="bottom"/>
          </w:tcPr>
          <w:p w:rsidR="00656B31" w:rsidP="003525B4">
            <w:pPr>
              <w:widowControl/>
              <w:ind w:right="173"/>
              <w:jc w:val="right"/>
              <w:rPr>
                <w:rFonts w:ascii="Calibri" w:eastAsia="Calibri" w:hAnsi="Calibri" w:cs="Calibri"/>
                <w:color w:val="000000"/>
                <w:sz w:val="16"/>
                <w:szCs w:val="16"/>
              </w:rPr>
            </w:pPr>
            <w:r>
              <w:rPr>
                <w:rFonts w:ascii="Calibri" w:eastAsia="Calibri" w:hAnsi="Calibri" w:cs="Calibri"/>
                <w:color w:val="000000"/>
                <w:sz w:val="16"/>
                <w:szCs w:val="16"/>
              </w:rPr>
              <w:t>$5,044</w:t>
            </w:r>
          </w:p>
        </w:tc>
      </w:tr>
      <w:tr w:rsidTr="003525B4">
        <w:tblPrEx>
          <w:tblW w:w="12970" w:type="dxa"/>
          <w:tblInd w:w="-650" w:type="dxa"/>
          <w:tblLayout w:type="fixed"/>
          <w:tblLook w:val="0400"/>
        </w:tblPrEx>
        <w:trPr>
          <w:trHeight w:val="368"/>
        </w:trPr>
        <w:tc>
          <w:tcPr>
            <w:tcW w:w="2265" w:type="dxa"/>
            <w:tcBorders>
              <w:top w:val="nil"/>
              <w:left w:val="single" w:sz="8" w:space="0" w:color="000000"/>
              <w:bottom w:val="single" w:sz="8" w:space="0" w:color="000000"/>
              <w:right w:val="single" w:sz="8" w:space="0" w:color="000000"/>
            </w:tcBorders>
            <w:shd w:val="clear" w:color="auto" w:fill="DDEBF7"/>
            <w:vAlign w:val="bottom"/>
          </w:tcPr>
          <w:p w:rsidR="00F26977">
            <w:pPr>
              <w:widowControl/>
              <w:rPr>
                <w:rFonts w:ascii="Calibri" w:eastAsia="Calibri" w:hAnsi="Calibri" w:cs="Calibri"/>
                <w:b/>
                <w:color w:val="000000"/>
              </w:rPr>
            </w:pPr>
            <w:r>
              <w:rPr>
                <w:rFonts w:ascii="Calibri" w:eastAsia="Calibri" w:hAnsi="Calibri" w:cs="Calibri"/>
                <w:b/>
                <w:color w:val="000000"/>
              </w:rPr>
              <w:t>Totals</w:t>
            </w:r>
          </w:p>
        </w:tc>
        <w:tc>
          <w:tcPr>
            <w:tcW w:w="1740" w:type="dxa"/>
            <w:tcBorders>
              <w:top w:val="nil"/>
              <w:left w:val="nil"/>
              <w:bottom w:val="single" w:sz="8" w:space="0" w:color="000000"/>
              <w:right w:val="single" w:sz="8" w:space="0" w:color="000000"/>
            </w:tcBorders>
            <w:shd w:val="clear" w:color="auto" w:fill="000000"/>
            <w:vAlign w:val="bottom"/>
          </w:tcPr>
          <w:p w:rsidR="00F26977">
            <w:pPr>
              <w:widowControl/>
              <w:rPr>
                <w:rFonts w:ascii="Calibri" w:eastAsia="Calibri" w:hAnsi="Calibri" w:cs="Calibri"/>
                <w:b/>
                <w:color w:val="000000"/>
              </w:rPr>
            </w:pPr>
            <w:r>
              <w:rPr>
                <w:rFonts w:ascii="Calibri" w:eastAsia="Calibri" w:hAnsi="Calibri" w:cs="Calibri"/>
                <w:b/>
                <w:color w:val="000000"/>
              </w:rPr>
              <w:t> </w:t>
            </w:r>
          </w:p>
        </w:tc>
        <w:tc>
          <w:tcPr>
            <w:tcW w:w="1350" w:type="dxa"/>
            <w:tcBorders>
              <w:top w:val="nil"/>
              <w:left w:val="nil"/>
              <w:bottom w:val="single" w:sz="8" w:space="0" w:color="000000"/>
              <w:right w:val="single" w:sz="8" w:space="0" w:color="000000"/>
            </w:tcBorders>
            <w:shd w:val="clear" w:color="auto" w:fill="000000"/>
            <w:vAlign w:val="bottom"/>
          </w:tcPr>
          <w:p w:rsidR="00F26977">
            <w:pPr>
              <w:widowControl/>
              <w:rPr>
                <w:rFonts w:ascii="Calibri" w:eastAsia="Calibri" w:hAnsi="Calibri" w:cs="Calibri"/>
                <w:b/>
                <w:color w:val="000000"/>
              </w:rPr>
            </w:pPr>
            <w:r>
              <w:rPr>
                <w:rFonts w:ascii="Calibri" w:eastAsia="Calibri" w:hAnsi="Calibri" w:cs="Calibri"/>
                <w:b/>
                <w:color w:val="000000"/>
              </w:rPr>
              <w:t> </w:t>
            </w:r>
          </w:p>
        </w:tc>
        <w:tc>
          <w:tcPr>
            <w:tcW w:w="1245" w:type="dxa"/>
            <w:tcBorders>
              <w:top w:val="nil"/>
              <w:left w:val="nil"/>
              <w:bottom w:val="single" w:sz="8" w:space="0" w:color="000000"/>
              <w:right w:val="single" w:sz="8" w:space="0" w:color="000000"/>
            </w:tcBorders>
            <w:shd w:val="clear" w:color="auto" w:fill="000000"/>
            <w:vAlign w:val="bottom"/>
          </w:tcPr>
          <w:p w:rsidR="00F26977">
            <w:pPr>
              <w:widowControl/>
              <w:rPr>
                <w:rFonts w:ascii="Calibri" w:eastAsia="Calibri" w:hAnsi="Calibri" w:cs="Calibri"/>
                <w:b/>
                <w:color w:val="000000"/>
              </w:rPr>
            </w:pPr>
            <w:r>
              <w:rPr>
                <w:rFonts w:ascii="Calibri" w:eastAsia="Calibri" w:hAnsi="Calibri" w:cs="Calibri"/>
                <w:b/>
                <w:color w:val="000000"/>
              </w:rPr>
              <w:t> </w:t>
            </w:r>
          </w:p>
        </w:tc>
        <w:tc>
          <w:tcPr>
            <w:tcW w:w="1155" w:type="dxa"/>
            <w:tcBorders>
              <w:top w:val="nil"/>
              <w:left w:val="nil"/>
              <w:bottom w:val="single" w:sz="8" w:space="0" w:color="000000"/>
              <w:right w:val="single" w:sz="8" w:space="0" w:color="000000"/>
            </w:tcBorders>
            <w:shd w:val="clear" w:color="auto" w:fill="DDEBF7"/>
            <w:vAlign w:val="bottom"/>
          </w:tcPr>
          <w:p w:rsidR="00F26977">
            <w:pPr>
              <w:widowControl/>
              <w:jc w:val="center"/>
              <w:rPr>
                <w:rFonts w:ascii="Calibri" w:eastAsia="Calibri" w:hAnsi="Calibri" w:cs="Calibri"/>
                <w:b/>
                <w:color w:val="000000"/>
                <w:sz w:val="20"/>
                <w:szCs w:val="20"/>
              </w:rPr>
            </w:pPr>
            <w:r>
              <w:rPr>
                <w:rFonts w:ascii="Calibri" w:eastAsia="Calibri" w:hAnsi="Calibri" w:cs="Calibri"/>
                <w:b/>
                <w:sz w:val="20"/>
                <w:szCs w:val="20"/>
              </w:rPr>
              <w:t>6</w:t>
            </w:r>
            <w:r>
              <w:rPr>
                <w:rFonts w:ascii="Calibri" w:eastAsia="Calibri" w:hAnsi="Calibri" w:cs="Calibri"/>
                <w:b/>
                <w:color w:val="000000"/>
                <w:sz w:val="20"/>
                <w:szCs w:val="20"/>
              </w:rPr>
              <w:t>85</w:t>
            </w:r>
          </w:p>
        </w:tc>
        <w:tc>
          <w:tcPr>
            <w:tcW w:w="1050" w:type="dxa"/>
            <w:tcBorders>
              <w:top w:val="nil"/>
              <w:left w:val="nil"/>
              <w:bottom w:val="single" w:sz="8" w:space="0" w:color="000000"/>
              <w:right w:val="single" w:sz="8" w:space="0" w:color="000000"/>
            </w:tcBorders>
            <w:shd w:val="clear" w:color="auto" w:fill="000000"/>
            <w:vAlign w:val="bottom"/>
          </w:tcPr>
          <w:p w:rsidR="00F26977">
            <w:pPr>
              <w:widowControl/>
              <w:jc w:val="center"/>
              <w:rPr>
                <w:rFonts w:ascii="Calibri" w:eastAsia="Calibri" w:hAnsi="Calibri" w:cs="Calibri"/>
                <w:b/>
                <w:color w:val="000000"/>
                <w:sz w:val="20"/>
                <w:szCs w:val="20"/>
              </w:rPr>
            </w:pPr>
          </w:p>
        </w:tc>
        <w:tc>
          <w:tcPr>
            <w:tcW w:w="1305" w:type="dxa"/>
            <w:tcBorders>
              <w:top w:val="nil"/>
              <w:left w:val="nil"/>
              <w:bottom w:val="single" w:sz="8" w:space="0" w:color="000000"/>
              <w:right w:val="single" w:sz="8" w:space="0" w:color="000000"/>
            </w:tcBorders>
            <w:shd w:val="clear" w:color="auto" w:fill="DDEBF7"/>
            <w:vAlign w:val="bottom"/>
          </w:tcPr>
          <w:p w:rsidR="00F26977">
            <w:pPr>
              <w:widowControl/>
              <w:jc w:val="center"/>
              <w:rPr>
                <w:rFonts w:ascii="Calibri" w:eastAsia="Calibri" w:hAnsi="Calibri" w:cs="Calibri"/>
                <w:b/>
                <w:color w:val="000000"/>
                <w:sz w:val="20"/>
                <w:szCs w:val="20"/>
              </w:rPr>
            </w:pPr>
            <w:r>
              <w:rPr>
                <w:rFonts w:ascii="Calibri" w:eastAsia="Calibri" w:hAnsi="Calibri" w:cs="Calibri"/>
                <w:b/>
                <w:sz w:val="20"/>
                <w:szCs w:val="20"/>
              </w:rPr>
              <w:t>6</w:t>
            </w:r>
            <w:r>
              <w:rPr>
                <w:rFonts w:ascii="Calibri" w:eastAsia="Calibri" w:hAnsi="Calibri" w:cs="Calibri"/>
                <w:b/>
                <w:color w:val="000000"/>
                <w:sz w:val="20"/>
                <w:szCs w:val="20"/>
              </w:rPr>
              <w:t>25</w:t>
            </w:r>
          </w:p>
        </w:tc>
        <w:tc>
          <w:tcPr>
            <w:tcW w:w="1155" w:type="dxa"/>
            <w:tcBorders>
              <w:top w:val="nil"/>
              <w:left w:val="nil"/>
              <w:bottom w:val="single" w:sz="8" w:space="0" w:color="000000"/>
              <w:right w:val="single" w:sz="8" w:space="0" w:color="000000"/>
            </w:tcBorders>
            <w:shd w:val="clear" w:color="auto" w:fill="000000"/>
            <w:vAlign w:val="bottom"/>
          </w:tcPr>
          <w:p w:rsidR="00F26977">
            <w:pPr>
              <w:widowControl/>
              <w:rPr>
                <w:rFonts w:ascii="Calibri" w:eastAsia="Calibri" w:hAnsi="Calibri" w:cs="Calibri"/>
                <w:b/>
                <w:color w:val="000000"/>
                <w:sz w:val="20"/>
                <w:szCs w:val="20"/>
              </w:rPr>
            </w:pPr>
            <w:r>
              <w:rPr>
                <w:rFonts w:ascii="Calibri" w:eastAsia="Calibri" w:hAnsi="Calibri" w:cs="Calibri"/>
                <w:b/>
                <w:color w:val="000000"/>
                <w:sz w:val="20"/>
                <w:szCs w:val="20"/>
              </w:rPr>
              <w:t> </w:t>
            </w:r>
          </w:p>
        </w:tc>
        <w:tc>
          <w:tcPr>
            <w:tcW w:w="1705" w:type="dxa"/>
            <w:tcBorders>
              <w:top w:val="nil"/>
              <w:left w:val="nil"/>
              <w:bottom w:val="single" w:sz="8" w:space="0" w:color="000000"/>
              <w:right w:val="single" w:sz="8" w:space="0" w:color="000000"/>
            </w:tcBorders>
            <w:shd w:val="clear" w:color="auto" w:fill="DDEBF7"/>
            <w:vAlign w:val="bottom"/>
          </w:tcPr>
          <w:p w:rsidR="00F26977" w:rsidP="003525B4">
            <w:pPr>
              <w:widowControl/>
              <w:ind w:right="173"/>
              <w:jc w:val="right"/>
              <w:rPr>
                <w:rFonts w:ascii="Calibri" w:eastAsia="Calibri" w:hAnsi="Calibri" w:cs="Calibri"/>
                <w:b/>
                <w:color w:val="000000"/>
                <w:sz w:val="20"/>
                <w:szCs w:val="20"/>
              </w:rPr>
            </w:pPr>
            <w:r>
              <w:rPr>
                <w:rFonts w:ascii="Calibri" w:eastAsia="Calibri" w:hAnsi="Calibri" w:cs="Calibri"/>
                <w:b/>
                <w:color w:val="000000"/>
                <w:sz w:val="20"/>
                <w:szCs w:val="20"/>
              </w:rPr>
              <w:t>$31,525</w:t>
            </w:r>
          </w:p>
        </w:tc>
      </w:tr>
    </w:tbl>
    <w:p w:rsidR="00F26977">
      <w:pPr>
        <w:spacing w:line="259" w:lineRule="auto"/>
        <w:rPr>
          <w:b/>
          <w:color w:val="FF0000"/>
        </w:rPr>
      </w:pPr>
    </w:p>
    <w:p w:rsidR="00F26977" w:rsidRPr="00656B31" w:rsidP="00656B31">
      <w:pPr>
        <w:spacing w:line="259" w:lineRule="auto"/>
        <w:ind w:hanging="43"/>
        <w:sectPr>
          <w:type w:val="continuous"/>
          <w:pgSz w:w="15840" w:h="12240" w:orient="landscape"/>
          <w:pgMar w:top="1440" w:right="1440" w:bottom="1440" w:left="1440" w:header="0" w:footer="1014" w:gutter="0"/>
          <w:cols w:space="720"/>
        </w:sectPr>
      </w:pPr>
      <w:r w:rsidRPr="00656B31">
        <w:t>*</w:t>
      </w:r>
      <w:r w:rsidRPr="00656B31" w:rsidR="00656B31">
        <w:t>Occupational Code 13-1082, Project Management Specialists, was used to determine the hourly wage rate.    https://www.bls.gov/oes/current/oes_nat.htm#11-0000</w:t>
      </w:r>
    </w:p>
    <w:p w:rsidR="00F26977">
      <w:pPr>
        <w:numPr>
          <w:ilvl w:val="0"/>
          <w:numId w:val="2"/>
        </w:numPr>
        <w:pBdr>
          <w:top w:val="nil"/>
          <w:left w:val="nil"/>
          <w:bottom w:val="nil"/>
          <w:right w:val="nil"/>
          <w:between w:val="nil"/>
        </w:pBdr>
        <w:tabs>
          <w:tab w:val="left" w:pos="360"/>
        </w:tabs>
        <w:spacing w:before="80"/>
        <w:rPr>
          <w:b/>
          <w:color w:val="000000"/>
        </w:rPr>
      </w:pPr>
      <w:r>
        <w:rPr>
          <w:b/>
          <w:color w:val="000000"/>
        </w:rPr>
        <w:t>Provide an estimate for the total annual cost burden to respondents or record keepers resulting from the collection of information. (Do not inc</w:t>
      </w:r>
      <w:r>
        <w:rPr>
          <w:b/>
          <w:color w:val="000000"/>
        </w:rPr>
        <w:t>lude the cost of any hour burden already reflected on the burden worksheet).</w:t>
      </w:r>
    </w:p>
    <w:p w:rsidR="00F26977">
      <w:pPr>
        <w:pBdr>
          <w:top w:val="nil"/>
          <w:left w:val="nil"/>
          <w:bottom w:val="nil"/>
          <w:right w:val="nil"/>
          <w:between w:val="nil"/>
        </w:pBdr>
        <w:spacing w:before="1"/>
        <w:rPr>
          <w:b/>
          <w:color w:val="000000"/>
        </w:rPr>
      </w:pPr>
    </w:p>
    <w:p w:rsidR="00F269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 xml:space="preserve">No start-up, capital, or operations related costs are expected from this collection.  Applications are submitted electronically, so there are no miscellaneous costs. </w:t>
      </w:r>
    </w:p>
    <w:p w:rsidR="00F26977">
      <w:pPr>
        <w:pBdr>
          <w:top w:val="nil"/>
          <w:left w:val="nil"/>
          <w:bottom w:val="nil"/>
          <w:right w:val="nil"/>
          <w:between w:val="nil"/>
        </w:pBdr>
        <w:spacing w:before="1"/>
        <w:rPr>
          <w:b/>
          <w:color w:val="000000"/>
        </w:rPr>
      </w:pPr>
    </w:p>
    <w:p w:rsidR="00F26977">
      <w:pPr>
        <w:numPr>
          <w:ilvl w:val="0"/>
          <w:numId w:val="2"/>
        </w:numPr>
        <w:pBdr>
          <w:top w:val="nil"/>
          <w:left w:val="nil"/>
          <w:bottom w:val="nil"/>
          <w:right w:val="nil"/>
          <w:between w:val="nil"/>
        </w:pBdr>
        <w:tabs>
          <w:tab w:val="left" w:pos="360"/>
        </w:tabs>
        <w:spacing w:before="80"/>
        <w:rPr>
          <w:b/>
          <w:color w:val="000000"/>
        </w:rPr>
      </w:pPr>
      <w:r>
        <w:rPr>
          <w:b/>
          <w:color w:val="000000"/>
        </w:rPr>
        <w:t xml:space="preserve">Provide estimates of annualized cost to the Federal government. Also, provide a description of the method used to estimate cost, which should include quantification of hours, operational expenses (such as equipment, overhead, printing, and support staff), </w:t>
      </w:r>
      <w:r>
        <w:rPr>
          <w:b/>
          <w:color w:val="000000"/>
        </w:rPr>
        <w:t>and any other expense that would not have been incurred without this collection of information.</w:t>
      </w:r>
    </w:p>
    <w:p w:rsidR="00F26977">
      <w:pPr>
        <w:pBdr>
          <w:top w:val="nil"/>
          <w:left w:val="nil"/>
          <w:bottom w:val="nil"/>
          <w:right w:val="nil"/>
          <w:between w:val="nil"/>
        </w:pBdr>
        <w:spacing w:before="9" w:after="1"/>
        <w:rPr>
          <w:b/>
          <w:color w:val="000000"/>
        </w:rPr>
      </w:pPr>
    </w:p>
    <w:p w:rsidR="00F26977">
      <w:pPr>
        <w:pBdr>
          <w:top w:val="nil"/>
          <w:left w:val="nil"/>
          <w:bottom w:val="nil"/>
          <w:right w:val="nil"/>
          <w:between w:val="nil"/>
        </w:pBdr>
        <w:spacing w:before="9" w:after="1"/>
        <w:rPr>
          <w:b/>
          <w:color w:val="000000"/>
        </w:rPr>
      </w:pPr>
    </w:p>
    <w:tbl>
      <w:tblPr>
        <w:tblStyle w:val="a2"/>
        <w:tblW w:w="8240" w:type="dxa"/>
        <w:tblInd w:w="-25" w:type="dxa"/>
        <w:tblLayout w:type="fixed"/>
        <w:tblLook w:val="0400"/>
      </w:tblPr>
      <w:tblGrid>
        <w:gridCol w:w="2280"/>
        <w:gridCol w:w="1120"/>
        <w:gridCol w:w="1140"/>
        <w:gridCol w:w="1120"/>
        <w:gridCol w:w="1280"/>
        <w:gridCol w:w="1300"/>
      </w:tblGrid>
      <w:tr>
        <w:tblPrEx>
          <w:tblW w:w="8240" w:type="dxa"/>
          <w:tblInd w:w="-25" w:type="dxa"/>
          <w:tblLayout w:type="fixed"/>
          <w:tblLook w:val="0400"/>
        </w:tblPrEx>
        <w:trPr>
          <w:trHeight w:val="450"/>
        </w:trPr>
        <w:tc>
          <w:tcPr>
            <w:tcW w:w="2280" w:type="dxa"/>
            <w:tcBorders>
              <w:top w:val="single" w:sz="8" w:space="0" w:color="000000"/>
              <w:left w:val="single" w:sz="8" w:space="0" w:color="000000"/>
              <w:bottom w:val="nil"/>
              <w:right w:val="single" w:sz="8" w:space="0" w:color="000000"/>
            </w:tcBorders>
            <w:shd w:val="clear" w:color="auto" w:fill="BDD7EE"/>
            <w:vAlign w:val="center"/>
          </w:tcPr>
          <w:p w:rsidR="00F26977">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Cost Descriptions</w:t>
            </w:r>
          </w:p>
        </w:tc>
        <w:tc>
          <w:tcPr>
            <w:tcW w:w="1120" w:type="dxa"/>
            <w:tcBorders>
              <w:top w:val="single" w:sz="8" w:space="0" w:color="000000"/>
              <w:left w:val="nil"/>
              <w:bottom w:val="nil"/>
              <w:right w:val="single" w:sz="8" w:space="0" w:color="000000"/>
            </w:tcBorders>
            <w:shd w:val="clear" w:color="auto" w:fill="BDD7EE"/>
            <w:vAlign w:val="center"/>
          </w:tcPr>
          <w:p w:rsidR="00F26977">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Grade/Step</w:t>
            </w:r>
          </w:p>
        </w:tc>
        <w:tc>
          <w:tcPr>
            <w:tcW w:w="1140" w:type="dxa"/>
            <w:tcBorders>
              <w:top w:val="single" w:sz="8" w:space="0" w:color="000000"/>
              <w:left w:val="nil"/>
              <w:bottom w:val="nil"/>
              <w:right w:val="single" w:sz="8" w:space="0" w:color="000000"/>
            </w:tcBorders>
            <w:shd w:val="clear" w:color="auto" w:fill="BDD7EE"/>
            <w:vAlign w:val="center"/>
          </w:tcPr>
          <w:p w:rsidR="00F26977">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Loaded Salary /Cost</w:t>
            </w:r>
          </w:p>
        </w:tc>
        <w:tc>
          <w:tcPr>
            <w:tcW w:w="1120" w:type="dxa"/>
            <w:tcBorders>
              <w:top w:val="single" w:sz="8" w:space="0" w:color="000000"/>
              <w:left w:val="nil"/>
              <w:bottom w:val="nil"/>
              <w:right w:val="single" w:sz="8" w:space="0" w:color="000000"/>
            </w:tcBorders>
            <w:shd w:val="clear" w:color="auto" w:fill="BDD7EE"/>
            <w:vAlign w:val="center"/>
          </w:tcPr>
          <w:p w:rsidR="00F26977">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 of Effort</w:t>
            </w:r>
          </w:p>
        </w:tc>
        <w:tc>
          <w:tcPr>
            <w:tcW w:w="1280" w:type="dxa"/>
            <w:tcBorders>
              <w:top w:val="single" w:sz="8" w:space="0" w:color="000000"/>
              <w:left w:val="nil"/>
              <w:bottom w:val="nil"/>
              <w:right w:val="single" w:sz="8" w:space="0" w:color="000000"/>
            </w:tcBorders>
            <w:shd w:val="clear" w:color="auto" w:fill="BDD7EE"/>
            <w:vAlign w:val="center"/>
          </w:tcPr>
          <w:p w:rsidR="00F26977">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Fringe (if Applicable)</w:t>
            </w:r>
          </w:p>
        </w:tc>
        <w:tc>
          <w:tcPr>
            <w:tcW w:w="1300" w:type="dxa"/>
            <w:tcBorders>
              <w:top w:val="single" w:sz="8" w:space="0" w:color="000000"/>
              <w:left w:val="nil"/>
              <w:bottom w:val="nil"/>
              <w:right w:val="single" w:sz="8" w:space="0" w:color="000000"/>
            </w:tcBorders>
            <w:shd w:val="clear" w:color="auto" w:fill="BDD7EE"/>
            <w:vAlign w:val="center"/>
          </w:tcPr>
          <w:p w:rsidR="00F26977">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Total Cost to Government</w:t>
            </w:r>
          </w:p>
        </w:tc>
      </w:tr>
      <w:tr>
        <w:tblPrEx>
          <w:tblW w:w="8240" w:type="dxa"/>
          <w:tblInd w:w="-25" w:type="dxa"/>
          <w:tblLayout w:type="fixed"/>
          <w:tblLook w:val="0400"/>
        </w:tblPrEx>
        <w:trPr>
          <w:trHeight w:val="465"/>
        </w:trPr>
        <w:tc>
          <w:tcPr>
            <w:tcW w:w="2280" w:type="dxa"/>
            <w:tcBorders>
              <w:top w:val="single" w:sz="4" w:space="0" w:color="000000"/>
              <w:left w:val="single" w:sz="8" w:space="0" w:color="000000"/>
              <w:bottom w:val="single" w:sz="4" w:space="0" w:color="000000"/>
              <w:right w:val="single" w:sz="8" w:space="0" w:color="000000"/>
            </w:tcBorders>
            <w:shd w:val="clear" w:color="auto" w:fill="auto"/>
            <w:vAlign w:val="bottom"/>
          </w:tcPr>
          <w:p w:rsidR="00F26977">
            <w:pPr>
              <w:widowControl/>
              <w:rPr>
                <w:rFonts w:ascii="Calibri" w:eastAsia="Calibri" w:hAnsi="Calibri" w:cs="Calibri"/>
                <w:b/>
                <w:color w:val="000000"/>
                <w:sz w:val="16"/>
                <w:szCs w:val="16"/>
              </w:rPr>
            </w:pPr>
            <w:r>
              <w:rPr>
                <w:rFonts w:ascii="Calibri" w:eastAsia="Calibri" w:hAnsi="Calibri" w:cs="Calibri"/>
                <w:b/>
                <w:color w:val="000000"/>
                <w:sz w:val="16"/>
                <w:szCs w:val="16"/>
              </w:rPr>
              <w:t>Federal Oversight</w:t>
            </w:r>
          </w:p>
        </w:tc>
        <w:tc>
          <w:tcPr>
            <w:tcW w:w="1120" w:type="dxa"/>
            <w:tcBorders>
              <w:top w:val="single" w:sz="4" w:space="0" w:color="000000"/>
              <w:left w:val="nil"/>
              <w:bottom w:val="single" w:sz="4" w:space="0" w:color="000000"/>
              <w:right w:val="single" w:sz="4" w:space="0" w:color="000000"/>
            </w:tcBorders>
            <w:shd w:val="clear" w:color="auto" w:fill="auto"/>
            <w:vAlign w:val="bottom"/>
          </w:tcPr>
          <w:p w:rsidR="00F26977">
            <w:pPr>
              <w:widowControl/>
              <w:rPr>
                <w:rFonts w:ascii="Calibri" w:eastAsia="Calibri" w:hAnsi="Calibri" w:cs="Calibri"/>
                <w:color w:val="000000"/>
                <w:sz w:val="16"/>
                <w:szCs w:val="16"/>
              </w:rPr>
            </w:pPr>
            <w:r>
              <w:rPr>
                <w:rFonts w:ascii="Calibri" w:eastAsia="Calibri" w:hAnsi="Calibri" w:cs="Calibri"/>
                <w:color w:val="000000"/>
                <w:sz w:val="16"/>
                <w:szCs w:val="16"/>
              </w:rPr>
              <w:t> GS-14/7</w:t>
            </w:r>
          </w:p>
        </w:tc>
        <w:tc>
          <w:tcPr>
            <w:tcW w:w="1140" w:type="dxa"/>
            <w:tcBorders>
              <w:top w:val="single" w:sz="4" w:space="0" w:color="000000"/>
              <w:left w:val="nil"/>
              <w:bottom w:val="single" w:sz="4" w:space="0" w:color="000000"/>
              <w:right w:val="single" w:sz="4" w:space="0" w:color="000000"/>
            </w:tcBorders>
            <w:shd w:val="clear" w:color="auto" w:fill="auto"/>
            <w:vAlign w:val="bottom"/>
          </w:tcPr>
          <w:p w:rsidR="00F26977">
            <w:pPr>
              <w:widowControl/>
              <w:rPr>
                <w:rFonts w:ascii="Calibri" w:eastAsia="Calibri" w:hAnsi="Calibri" w:cs="Calibri"/>
                <w:color w:val="000000"/>
                <w:sz w:val="16"/>
                <w:szCs w:val="16"/>
              </w:rPr>
            </w:pPr>
            <w:r>
              <w:rPr>
                <w:rFonts w:ascii="Calibri" w:eastAsia="Calibri" w:hAnsi="Calibri" w:cs="Calibri"/>
                <w:color w:val="000000"/>
                <w:sz w:val="16"/>
                <w:szCs w:val="16"/>
              </w:rPr>
              <w:t>$219,959</w:t>
            </w:r>
          </w:p>
        </w:tc>
        <w:tc>
          <w:tcPr>
            <w:tcW w:w="1120" w:type="dxa"/>
            <w:tcBorders>
              <w:top w:val="single" w:sz="4" w:space="0" w:color="000000"/>
              <w:left w:val="nil"/>
              <w:bottom w:val="single" w:sz="4" w:space="0" w:color="000000"/>
              <w:right w:val="single" w:sz="4" w:space="0" w:color="000000"/>
            </w:tcBorders>
            <w:shd w:val="clear" w:color="auto" w:fill="auto"/>
            <w:vAlign w:val="bottom"/>
          </w:tcPr>
          <w:p w:rsidR="00F26977">
            <w:pPr>
              <w:widowControl/>
              <w:rPr>
                <w:rFonts w:ascii="Calibri" w:eastAsia="Calibri" w:hAnsi="Calibri" w:cs="Calibri"/>
                <w:color w:val="000000"/>
                <w:sz w:val="16"/>
                <w:szCs w:val="16"/>
              </w:rPr>
            </w:pPr>
            <w:r>
              <w:rPr>
                <w:rFonts w:ascii="Calibri" w:eastAsia="Calibri" w:hAnsi="Calibri" w:cs="Calibri"/>
                <w:sz w:val="16"/>
                <w:szCs w:val="16"/>
              </w:rPr>
              <w:t>50%</w:t>
            </w:r>
          </w:p>
        </w:tc>
        <w:tc>
          <w:tcPr>
            <w:tcW w:w="1280" w:type="dxa"/>
            <w:tcBorders>
              <w:top w:val="single" w:sz="4" w:space="0" w:color="000000"/>
              <w:left w:val="nil"/>
              <w:bottom w:val="single" w:sz="4" w:space="0" w:color="000000"/>
              <w:right w:val="single" w:sz="4" w:space="0" w:color="000000"/>
            </w:tcBorders>
            <w:shd w:val="clear" w:color="auto" w:fill="808080"/>
            <w:vAlign w:val="bottom"/>
          </w:tcPr>
          <w:p w:rsidR="00F26977">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300" w:type="dxa"/>
            <w:tcBorders>
              <w:top w:val="single" w:sz="4" w:space="0" w:color="000000"/>
              <w:left w:val="nil"/>
              <w:bottom w:val="single" w:sz="4" w:space="0" w:color="000000"/>
              <w:right w:val="single" w:sz="8" w:space="0" w:color="000000"/>
            </w:tcBorders>
            <w:shd w:val="clear" w:color="auto" w:fill="auto"/>
            <w:vAlign w:val="bottom"/>
          </w:tcPr>
          <w:p w:rsidR="00F26977">
            <w:pPr>
              <w:widowControl/>
              <w:rPr>
                <w:rFonts w:ascii="Calibri" w:eastAsia="Calibri" w:hAnsi="Calibri" w:cs="Calibri"/>
                <w:color w:val="000000"/>
                <w:sz w:val="16"/>
                <w:szCs w:val="16"/>
              </w:rPr>
            </w:pPr>
            <w:r>
              <w:rPr>
                <w:rFonts w:ascii="Calibri" w:eastAsia="Calibri" w:hAnsi="Calibri" w:cs="Calibri"/>
                <w:color w:val="000000"/>
                <w:sz w:val="16"/>
                <w:szCs w:val="16"/>
              </w:rPr>
              <w:t>$109,980</w:t>
            </w:r>
          </w:p>
        </w:tc>
      </w:tr>
      <w:tr>
        <w:tblPrEx>
          <w:tblW w:w="8240" w:type="dxa"/>
          <w:tblInd w:w="-25" w:type="dxa"/>
          <w:tblLayout w:type="fixed"/>
          <w:tblLook w:val="0400"/>
        </w:tblPrEx>
        <w:trPr>
          <w:trHeight w:val="300"/>
        </w:trPr>
        <w:tc>
          <w:tcPr>
            <w:tcW w:w="2280" w:type="dxa"/>
            <w:tcBorders>
              <w:top w:val="nil"/>
              <w:left w:val="single" w:sz="8" w:space="0" w:color="000000"/>
              <w:bottom w:val="single" w:sz="4" w:space="0" w:color="000000"/>
              <w:right w:val="single" w:sz="8" w:space="0" w:color="000000"/>
            </w:tcBorders>
            <w:shd w:val="clear" w:color="auto" w:fill="auto"/>
            <w:vAlign w:val="bottom"/>
          </w:tcPr>
          <w:p w:rsidR="00F26977">
            <w:pPr>
              <w:widowControl/>
              <w:rPr>
                <w:rFonts w:ascii="Calibri" w:eastAsia="Calibri" w:hAnsi="Calibri" w:cs="Calibri"/>
                <w:color w:val="000000"/>
                <w:sz w:val="16"/>
                <w:szCs w:val="16"/>
              </w:rPr>
            </w:pPr>
            <w:r>
              <w:rPr>
                <w:rFonts w:ascii="Calibri" w:eastAsia="Calibri" w:hAnsi="Calibri" w:cs="Calibri"/>
                <w:color w:val="000000"/>
                <w:sz w:val="16"/>
                <w:szCs w:val="16"/>
              </w:rPr>
              <w:t>Other Federal Positions</w:t>
            </w:r>
          </w:p>
        </w:tc>
        <w:tc>
          <w:tcPr>
            <w:tcW w:w="1120" w:type="dxa"/>
            <w:tcBorders>
              <w:top w:val="nil"/>
              <w:left w:val="nil"/>
              <w:bottom w:val="single" w:sz="4" w:space="0" w:color="000000"/>
              <w:right w:val="single" w:sz="4" w:space="0" w:color="000000"/>
            </w:tcBorders>
            <w:shd w:val="clear" w:color="auto" w:fill="auto"/>
            <w:vAlign w:val="bottom"/>
          </w:tcPr>
          <w:p w:rsidR="00F26977">
            <w:pPr>
              <w:widowControl/>
              <w:rPr>
                <w:rFonts w:ascii="Calibri" w:eastAsia="Calibri" w:hAnsi="Calibri" w:cs="Calibri"/>
                <w:color w:val="000000"/>
                <w:sz w:val="16"/>
                <w:szCs w:val="16"/>
              </w:rPr>
            </w:pPr>
            <w:r>
              <w:rPr>
                <w:rFonts w:ascii="Calibri" w:eastAsia="Calibri" w:hAnsi="Calibri" w:cs="Calibri"/>
                <w:color w:val="000000"/>
                <w:sz w:val="16"/>
                <w:szCs w:val="16"/>
              </w:rPr>
              <w:t>GS-</w:t>
            </w:r>
            <w:r>
              <w:rPr>
                <w:rFonts w:ascii="Calibri" w:eastAsia="Calibri" w:hAnsi="Calibri" w:cs="Calibri"/>
                <w:sz w:val="16"/>
                <w:szCs w:val="16"/>
              </w:rPr>
              <w:t>15</w:t>
            </w:r>
            <w:r>
              <w:rPr>
                <w:rFonts w:ascii="Calibri" w:eastAsia="Calibri" w:hAnsi="Calibri" w:cs="Calibri"/>
                <w:color w:val="000000"/>
                <w:sz w:val="16"/>
                <w:szCs w:val="16"/>
              </w:rPr>
              <w:t>/</w:t>
            </w:r>
            <w:r>
              <w:rPr>
                <w:rFonts w:ascii="Calibri" w:eastAsia="Calibri" w:hAnsi="Calibri" w:cs="Calibri"/>
                <w:sz w:val="16"/>
                <w:szCs w:val="16"/>
              </w:rPr>
              <w:t>2</w:t>
            </w:r>
          </w:p>
        </w:tc>
        <w:tc>
          <w:tcPr>
            <w:tcW w:w="1140" w:type="dxa"/>
            <w:tcBorders>
              <w:top w:val="nil"/>
              <w:left w:val="nil"/>
              <w:bottom w:val="single" w:sz="4" w:space="0" w:color="000000"/>
              <w:right w:val="single" w:sz="4" w:space="0" w:color="000000"/>
            </w:tcBorders>
            <w:shd w:val="clear" w:color="auto" w:fill="auto"/>
            <w:vAlign w:val="bottom"/>
          </w:tcPr>
          <w:p w:rsidR="00F26977">
            <w:pPr>
              <w:widowControl/>
              <w:rPr>
                <w:rFonts w:ascii="Calibri" w:eastAsia="Calibri" w:hAnsi="Calibri" w:cs="Calibri"/>
                <w:color w:val="000000"/>
                <w:sz w:val="16"/>
                <w:szCs w:val="16"/>
              </w:rPr>
            </w:pPr>
            <w:r>
              <w:rPr>
                <w:rFonts w:ascii="Calibri" w:eastAsia="Calibri" w:hAnsi="Calibri" w:cs="Calibri"/>
                <w:color w:val="000000"/>
                <w:sz w:val="16"/>
                <w:szCs w:val="16"/>
              </w:rPr>
              <w:t> </w:t>
            </w:r>
            <w:r w:rsidR="008D6B05">
              <w:rPr>
                <w:rFonts w:ascii="Calibri" w:eastAsia="Calibri" w:hAnsi="Calibri" w:cs="Calibri"/>
                <w:color w:val="000000"/>
                <w:sz w:val="16"/>
                <w:szCs w:val="16"/>
              </w:rPr>
              <w:t>$227,791</w:t>
            </w:r>
          </w:p>
        </w:tc>
        <w:tc>
          <w:tcPr>
            <w:tcW w:w="1120" w:type="dxa"/>
            <w:tcBorders>
              <w:top w:val="nil"/>
              <w:left w:val="nil"/>
              <w:bottom w:val="single" w:sz="4" w:space="0" w:color="000000"/>
              <w:right w:val="single" w:sz="4" w:space="0" w:color="000000"/>
            </w:tcBorders>
            <w:shd w:val="clear" w:color="auto" w:fill="auto"/>
            <w:vAlign w:val="bottom"/>
          </w:tcPr>
          <w:p w:rsidR="00F26977">
            <w:pPr>
              <w:widowControl/>
              <w:rPr>
                <w:rFonts w:ascii="Calibri" w:eastAsia="Calibri" w:hAnsi="Calibri" w:cs="Calibri"/>
                <w:color w:val="000000"/>
                <w:sz w:val="16"/>
                <w:szCs w:val="16"/>
              </w:rPr>
            </w:pPr>
            <w:r>
              <w:rPr>
                <w:rFonts w:ascii="Calibri" w:eastAsia="Calibri" w:hAnsi="Calibri" w:cs="Calibri"/>
                <w:sz w:val="16"/>
                <w:szCs w:val="16"/>
              </w:rPr>
              <w:t>5</w:t>
            </w:r>
            <w:r>
              <w:rPr>
                <w:rFonts w:ascii="Calibri" w:eastAsia="Calibri" w:hAnsi="Calibri" w:cs="Calibri"/>
                <w:color w:val="000000"/>
                <w:sz w:val="16"/>
                <w:szCs w:val="16"/>
              </w:rPr>
              <w:t>%</w:t>
            </w:r>
          </w:p>
        </w:tc>
        <w:tc>
          <w:tcPr>
            <w:tcW w:w="1280" w:type="dxa"/>
            <w:tcBorders>
              <w:top w:val="nil"/>
              <w:left w:val="nil"/>
              <w:bottom w:val="single" w:sz="4" w:space="0" w:color="000000"/>
              <w:right w:val="single" w:sz="4" w:space="0" w:color="000000"/>
            </w:tcBorders>
            <w:shd w:val="clear" w:color="auto" w:fill="808080"/>
            <w:vAlign w:val="bottom"/>
          </w:tcPr>
          <w:p w:rsidR="00F26977">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300" w:type="dxa"/>
            <w:tcBorders>
              <w:top w:val="nil"/>
              <w:left w:val="nil"/>
              <w:bottom w:val="single" w:sz="4" w:space="0" w:color="000000"/>
              <w:right w:val="single" w:sz="8" w:space="0" w:color="000000"/>
            </w:tcBorders>
            <w:shd w:val="clear" w:color="auto" w:fill="auto"/>
            <w:vAlign w:val="bottom"/>
          </w:tcPr>
          <w:p w:rsidR="00F26977">
            <w:pPr>
              <w:widowControl/>
              <w:rPr>
                <w:rFonts w:ascii="Calibri" w:eastAsia="Calibri" w:hAnsi="Calibri" w:cs="Calibri"/>
                <w:color w:val="000000"/>
                <w:sz w:val="16"/>
                <w:szCs w:val="16"/>
              </w:rPr>
            </w:pPr>
            <w:r>
              <w:rPr>
                <w:rFonts w:ascii="Calibri" w:eastAsia="Calibri" w:hAnsi="Calibri" w:cs="Calibri"/>
                <w:color w:val="000000"/>
                <w:sz w:val="16"/>
                <w:szCs w:val="16"/>
              </w:rPr>
              <w:t>$11,390</w:t>
            </w:r>
          </w:p>
        </w:tc>
      </w:tr>
      <w:tr>
        <w:tblPrEx>
          <w:tblW w:w="8240" w:type="dxa"/>
          <w:tblInd w:w="-25" w:type="dxa"/>
          <w:tblLayout w:type="fixed"/>
          <w:tblLook w:val="0400"/>
        </w:tblPrEx>
        <w:trPr>
          <w:trHeight w:val="465"/>
        </w:trPr>
        <w:tc>
          <w:tcPr>
            <w:tcW w:w="2280" w:type="dxa"/>
            <w:tcBorders>
              <w:top w:val="nil"/>
              <w:left w:val="single" w:sz="8" w:space="0" w:color="000000"/>
              <w:bottom w:val="single" w:sz="4" w:space="0" w:color="000000"/>
              <w:right w:val="single" w:sz="8" w:space="0" w:color="000000"/>
            </w:tcBorders>
            <w:shd w:val="clear" w:color="auto" w:fill="auto"/>
            <w:vAlign w:val="bottom"/>
          </w:tcPr>
          <w:p w:rsidR="00F26977">
            <w:pPr>
              <w:widowControl/>
              <w:rPr>
                <w:rFonts w:ascii="Calibri" w:eastAsia="Calibri" w:hAnsi="Calibri" w:cs="Calibri"/>
                <w:b/>
                <w:color w:val="000000"/>
                <w:sz w:val="16"/>
                <w:szCs w:val="16"/>
              </w:rPr>
            </w:pPr>
            <w:r>
              <w:rPr>
                <w:rFonts w:ascii="Calibri" w:eastAsia="Calibri" w:hAnsi="Calibri" w:cs="Calibri"/>
                <w:b/>
                <w:color w:val="000000"/>
                <w:sz w:val="16"/>
                <w:szCs w:val="16"/>
              </w:rPr>
              <w:t>Contractor Cost</w:t>
            </w:r>
          </w:p>
        </w:tc>
        <w:tc>
          <w:tcPr>
            <w:tcW w:w="1120" w:type="dxa"/>
            <w:tcBorders>
              <w:top w:val="nil"/>
              <w:left w:val="nil"/>
              <w:bottom w:val="single" w:sz="4" w:space="0" w:color="000000"/>
              <w:right w:val="single" w:sz="4" w:space="0" w:color="000000"/>
            </w:tcBorders>
            <w:shd w:val="clear" w:color="auto" w:fill="808080"/>
            <w:vAlign w:val="bottom"/>
          </w:tcPr>
          <w:p w:rsidR="00F26977">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140" w:type="dxa"/>
            <w:tcBorders>
              <w:top w:val="nil"/>
              <w:left w:val="nil"/>
              <w:bottom w:val="single" w:sz="4" w:space="0" w:color="000000"/>
              <w:right w:val="single" w:sz="4" w:space="0" w:color="000000"/>
            </w:tcBorders>
            <w:shd w:val="clear" w:color="auto" w:fill="auto"/>
            <w:vAlign w:val="bottom"/>
          </w:tcPr>
          <w:p w:rsidR="00F26977">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120" w:type="dxa"/>
            <w:tcBorders>
              <w:top w:val="nil"/>
              <w:left w:val="nil"/>
              <w:bottom w:val="single" w:sz="4" w:space="0" w:color="000000"/>
              <w:right w:val="single" w:sz="4" w:space="0" w:color="000000"/>
            </w:tcBorders>
            <w:shd w:val="clear" w:color="auto" w:fill="auto"/>
            <w:vAlign w:val="bottom"/>
          </w:tcPr>
          <w:p w:rsidR="00F26977">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280" w:type="dxa"/>
            <w:tcBorders>
              <w:top w:val="nil"/>
              <w:left w:val="nil"/>
              <w:bottom w:val="single" w:sz="4" w:space="0" w:color="000000"/>
              <w:right w:val="single" w:sz="4" w:space="0" w:color="000000"/>
            </w:tcBorders>
            <w:shd w:val="clear" w:color="auto" w:fill="auto"/>
            <w:vAlign w:val="bottom"/>
          </w:tcPr>
          <w:p w:rsidR="00F26977">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300" w:type="dxa"/>
            <w:tcBorders>
              <w:top w:val="nil"/>
              <w:left w:val="nil"/>
              <w:bottom w:val="single" w:sz="4" w:space="0" w:color="000000"/>
              <w:right w:val="single" w:sz="8" w:space="0" w:color="000000"/>
            </w:tcBorders>
            <w:shd w:val="clear" w:color="auto" w:fill="auto"/>
            <w:vAlign w:val="bottom"/>
          </w:tcPr>
          <w:p w:rsidR="00F26977">
            <w:pPr>
              <w:widowControl/>
              <w:rPr>
                <w:rFonts w:ascii="Calibri" w:eastAsia="Calibri" w:hAnsi="Calibri" w:cs="Calibri"/>
                <w:color w:val="000000"/>
                <w:sz w:val="16"/>
                <w:szCs w:val="16"/>
              </w:rPr>
            </w:pPr>
            <w:r>
              <w:rPr>
                <w:rFonts w:ascii="Calibri" w:eastAsia="Calibri" w:hAnsi="Calibri" w:cs="Calibri"/>
                <w:color w:val="000000"/>
                <w:sz w:val="16"/>
                <w:szCs w:val="16"/>
              </w:rPr>
              <w:t> </w:t>
            </w:r>
          </w:p>
        </w:tc>
      </w:tr>
      <w:tr>
        <w:tblPrEx>
          <w:tblW w:w="8240" w:type="dxa"/>
          <w:tblInd w:w="-25" w:type="dxa"/>
          <w:tblLayout w:type="fixed"/>
          <w:tblLook w:val="0400"/>
        </w:tblPrEx>
        <w:trPr>
          <w:trHeight w:val="300"/>
        </w:trPr>
        <w:tc>
          <w:tcPr>
            <w:tcW w:w="2280" w:type="dxa"/>
            <w:tcBorders>
              <w:top w:val="nil"/>
              <w:left w:val="single" w:sz="8" w:space="0" w:color="000000"/>
              <w:bottom w:val="single" w:sz="4" w:space="0" w:color="000000"/>
              <w:right w:val="single" w:sz="8" w:space="0" w:color="000000"/>
            </w:tcBorders>
            <w:shd w:val="clear" w:color="auto" w:fill="auto"/>
            <w:vAlign w:val="bottom"/>
          </w:tcPr>
          <w:p w:rsidR="00F26977">
            <w:pPr>
              <w:widowControl/>
              <w:rPr>
                <w:rFonts w:ascii="Calibri" w:eastAsia="Calibri" w:hAnsi="Calibri" w:cs="Calibri"/>
                <w:b/>
                <w:color w:val="000000"/>
                <w:sz w:val="16"/>
                <w:szCs w:val="16"/>
              </w:rPr>
            </w:pPr>
            <w:r>
              <w:rPr>
                <w:rFonts w:ascii="Calibri" w:eastAsia="Calibri" w:hAnsi="Calibri" w:cs="Calibri"/>
                <w:b/>
                <w:color w:val="000000"/>
                <w:sz w:val="16"/>
                <w:szCs w:val="16"/>
              </w:rPr>
              <w:t>Travel</w:t>
            </w:r>
          </w:p>
        </w:tc>
        <w:tc>
          <w:tcPr>
            <w:tcW w:w="1120" w:type="dxa"/>
            <w:tcBorders>
              <w:top w:val="nil"/>
              <w:left w:val="nil"/>
              <w:bottom w:val="single" w:sz="4" w:space="0" w:color="000000"/>
              <w:right w:val="single" w:sz="4" w:space="0" w:color="000000"/>
            </w:tcBorders>
            <w:shd w:val="clear" w:color="auto" w:fill="808080"/>
            <w:vAlign w:val="bottom"/>
          </w:tcPr>
          <w:p w:rsidR="00F26977">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140" w:type="dxa"/>
            <w:tcBorders>
              <w:top w:val="nil"/>
              <w:left w:val="nil"/>
              <w:bottom w:val="single" w:sz="4" w:space="0" w:color="000000"/>
              <w:right w:val="single" w:sz="4" w:space="0" w:color="000000"/>
            </w:tcBorders>
            <w:shd w:val="clear" w:color="auto" w:fill="808080"/>
            <w:vAlign w:val="bottom"/>
          </w:tcPr>
          <w:p w:rsidR="00F26977">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120" w:type="dxa"/>
            <w:tcBorders>
              <w:top w:val="nil"/>
              <w:left w:val="nil"/>
              <w:bottom w:val="single" w:sz="4" w:space="0" w:color="000000"/>
              <w:right w:val="single" w:sz="4" w:space="0" w:color="000000"/>
            </w:tcBorders>
            <w:shd w:val="clear" w:color="auto" w:fill="808080"/>
            <w:vAlign w:val="bottom"/>
          </w:tcPr>
          <w:p w:rsidR="00F26977">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280" w:type="dxa"/>
            <w:tcBorders>
              <w:top w:val="nil"/>
              <w:left w:val="nil"/>
              <w:bottom w:val="single" w:sz="4" w:space="0" w:color="000000"/>
              <w:right w:val="single" w:sz="4" w:space="0" w:color="000000"/>
            </w:tcBorders>
            <w:shd w:val="clear" w:color="auto" w:fill="808080"/>
            <w:vAlign w:val="bottom"/>
          </w:tcPr>
          <w:p w:rsidR="00F26977">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300" w:type="dxa"/>
            <w:tcBorders>
              <w:top w:val="nil"/>
              <w:left w:val="nil"/>
              <w:bottom w:val="single" w:sz="4" w:space="0" w:color="000000"/>
              <w:right w:val="single" w:sz="8" w:space="0" w:color="000000"/>
            </w:tcBorders>
            <w:shd w:val="clear" w:color="auto" w:fill="auto"/>
            <w:vAlign w:val="bottom"/>
          </w:tcPr>
          <w:p w:rsidR="00F26977">
            <w:pPr>
              <w:widowControl/>
              <w:rPr>
                <w:rFonts w:ascii="Calibri" w:eastAsia="Calibri" w:hAnsi="Calibri" w:cs="Calibri"/>
                <w:color w:val="000000"/>
                <w:sz w:val="16"/>
                <w:szCs w:val="16"/>
              </w:rPr>
            </w:pPr>
            <w:r>
              <w:rPr>
                <w:rFonts w:ascii="Calibri" w:eastAsia="Calibri" w:hAnsi="Calibri" w:cs="Calibri"/>
                <w:color w:val="000000"/>
                <w:sz w:val="16"/>
                <w:szCs w:val="16"/>
              </w:rPr>
              <w:t> </w:t>
            </w:r>
          </w:p>
        </w:tc>
      </w:tr>
      <w:tr>
        <w:tblPrEx>
          <w:tblW w:w="8240" w:type="dxa"/>
          <w:tblInd w:w="-25" w:type="dxa"/>
          <w:tblLayout w:type="fixed"/>
          <w:tblLook w:val="0400"/>
        </w:tblPrEx>
        <w:trPr>
          <w:trHeight w:val="350"/>
        </w:trPr>
        <w:tc>
          <w:tcPr>
            <w:tcW w:w="2280" w:type="dxa"/>
            <w:tcBorders>
              <w:top w:val="nil"/>
              <w:left w:val="single" w:sz="8" w:space="0" w:color="000000"/>
              <w:bottom w:val="nil"/>
              <w:right w:val="single" w:sz="8" w:space="0" w:color="000000"/>
            </w:tcBorders>
            <w:shd w:val="clear" w:color="auto" w:fill="auto"/>
            <w:vAlign w:val="center"/>
          </w:tcPr>
          <w:p w:rsidR="00F26977">
            <w:pPr>
              <w:widowControl/>
              <w:rPr>
                <w:rFonts w:ascii="Calibri" w:eastAsia="Calibri" w:hAnsi="Calibri" w:cs="Calibri"/>
                <w:b/>
                <w:color w:val="000000"/>
                <w:sz w:val="16"/>
                <w:szCs w:val="16"/>
              </w:rPr>
            </w:pPr>
            <w:r>
              <w:rPr>
                <w:rFonts w:ascii="Calibri" w:eastAsia="Calibri" w:hAnsi="Calibri" w:cs="Calibri"/>
                <w:b/>
                <w:color w:val="000000"/>
                <w:sz w:val="16"/>
                <w:szCs w:val="16"/>
              </w:rPr>
              <w:t xml:space="preserve">Other Costs: </w:t>
            </w:r>
          </w:p>
        </w:tc>
        <w:tc>
          <w:tcPr>
            <w:tcW w:w="1120" w:type="dxa"/>
            <w:tcBorders>
              <w:top w:val="nil"/>
              <w:left w:val="nil"/>
              <w:bottom w:val="single" w:sz="4" w:space="0" w:color="000000"/>
              <w:right w:val="single" w:sz="4" w:space="0" w:color="000000"/>
            </w:tcBorders>
            <w:shd w:val="clear" w:color="auto" w:fill="808080"/>
            <w:vAlign w:val="bottom"/>
          </w:tcPr>
          <w:p w:rsidR="00F26977">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140" w:type="dxa"/>
            <w:tcBorders>
              <w:top w:val="nil"/>
              <w:left w:val="nil"/>
              <w:bottom w:val="single" w:sz="4" w:space="0" w:color="000000"/>
              <w:right w:val="single" w:sz="4" w:space="0" w:color="000000"/>
            </w:tcBorders>
            <w:shd w:val="clear" w:color="auto" w:fill="808080"/>
            <w:vAlign w:val="bottom"/>
          </w:tcPr>
          <w:p w:rsidR="00F26977">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120" w:type="dxa"/>
            <w:tcBorders>
              <w:top w:val="nil"/>
              <w:left w:val="nil"/>
              <w:bottom w:val="single" w:sz="4" w:space="0" w:color="000000"/>
              <w:right w:val="single" w:sz="4" w:space="0" w:color="000000"/>
            </w:tcBorders>
            <w:shd w:val="clear" w:color="auto" w:fill="808080"/>
            <w:vAlign w:val="bottom"/>
          </w:tcPr>
          <w:p w:rsidR="00F26977">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280" w:type="dxa"/>
            <w:tcBorders>
              <w:top w:val="nil"/>
              <w:left w:val="nil"/>
              <w:bottom w:val="single" w:sz="4" w:space="0" w:color="000000"/>
              <w:right w:val="single" w:sz="4" w:space="0" w:color="000000"/>
            </w:tcBorders>
            <w:shd w:val="clear" w:color="auto" w:fill="808080"/>
            <w:vAlign w:val="bottom"/>
          </w:tcPr>
          <w:p w:rsidR="00F26977">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300" w:type="dxa"/>
            <w:tcBorders>
              <w:top w:val="nil"/>
              <w:left w:val="nil"/>
              <w:bottom w:val="single" w:sz="4" w:space="0" w:color="000000"/>
              <w:right w:val="single" w:sz="8" w:space="0" w:color="000000"/>
            </w:tcBorders>
            <w:shd w:val="clear" w:color="auto" w:fill="auto"/>
            <w:vAlign w:val="bottom"/>
          </w:tcPr>
          <w:p w:rsidR="00F26977">
            <w:pPr>
              <w:widowControl/>
              <w:rPr>
                <w:rFonts w:ascii="Calibri" w:eastAsia="Calibri" w:hAnsi="Calibri" w:cs="Calibri"/>
                <w:color w:val="000000"/>
                <w:sz w:val="16"/>
                <w:szCs w:val="16"/>
              </w:rPr>
            </w:pPr>
            <w:r>
              <w:rPr>
                <w:rFonts w:ascii="Calibri" w:eastAsia="Calibri" w:hAnsi="Calibri" w:cs="Calibri"/>
                <w:color w:val="000000"/>
                <w:sz w:val="16"/>
                <w:szCs w:val="16"/>
              </w:rPr>
              <w:t> </w:t>
            </w:r>
          </w:p>
        </w:tc>
      </w:tr>
      <w:tr>
        <w:tblPrEx>
          <w:tblW w:w="8240" w:type="dxa"/>
          <w:tblInd w:w="-25" w:type="dxa"/>
          <w:tblLayout w:type="fixed"/>
          <w:tblLook w:val="0400"/>
        </w:tblPrEx>
        <w:trPr>
          <w:trHeight w:val="315"/>
        </w:trPr>
        <w:tc>
          <w:tcPr>
            <w:tcW w:w="2280" w:type="dxa"/>
            <w:tcBorders>
              <w:top w:val="single" w:sz="8" w:space="0" w:color="000000"/>
              <w:left w:val="single" w:sz="8" w:space="0" w:color="000000"/>
              <w:bottom w:val="single" w:sz="8" w:space="0" w:color="000000"/>
              <w:right w:val="single" w:sz="8" w:space="0" w:color="000000"/>
            </w:tcBorders>
            <w:shd w:val="clear" w:color="auto" w:fill="DDEBF7"/>
            <w:vAlign w:val="bottom"/>
          </w:tcPr>
          <w:p w:rsidR="00F26977">
            <w:pPr>
              <w:widowControl/>
              <w:rPr>
                <w:rFonts w:ascii="Calibri" w:eastAsia="Calibri" w:hAnsi="Calibri" w:cs="Calibri"/>
                <w:b/>
                <w:color w:val="000000"/>
                <w:sz w:val="16"/>
                <w:szCs w:val="16"/>
              </w:rPr>
            </w:pPr>
            <w:r>
              <w:rPr>
                <w:rFonts w:ascii="Calibri" w:eastAsia="Calibri" w:hAnsi="Calibri" w:cs="Calibri"/>
                <w:b/>
                <w:color w:val="000000"/>
                <w:sz w:val="16"/>
                <w:szCs w:val="16"/>
              </w:rPr>
              <w:t>TOTAL</w:t>
            </w:r>
          </w:p>
        </w:tc>
        <w:tc>
          <w:tcPr>
            <w:tcW w:w="1120" w:type="dxa"/>
            <w:tcBorders>
              <w:top w:val="single" w:sz="8" w:space="0" w:color="000000"/>
              <w:left w:val="nil"/>
              <w:bottom w:val="single" w:sz="8" w:space="0" w:color="000000"/>
              <w:right w:val="single" w:sz="8" w:space="0" w:color="000000"/>
            </w:tcBorders>
            <w:shd w:val="clear" w:color="auto" w:fill="808080"/>
            <w:vAlign w:val="bottom"/>
          </w:tcPr>
          <w:p w:rsidR="00F26977">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140" w:type="dxa"/>
            <w:tcBorders>
              <w:top w:val="single" w:sz="8" w:space="0" w:color="000000"/>
              <w:left w:val="nil"/>
              <w:bottom w:val="single" w:sz="8" w:space="0" w:color="000000"/>
              <w:right w:val="single" w:sz="8" w:space="0" w:color="000000"/>
            </w:tcBorders>
            <w:shd w:val="clear" w:color="auto" w:fill="808080"/>
            <w:vAlign w:val="bottom"/>
          </w:tcPr>
          <w:p w:rsidR="00F26977">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120" w:type="dxa"/>
            <w:tcBorders>
              <w:top w:val="single" w:sz="8" w:space="0" w:color="000000"/>
              <w:left w:val="nil"/>
              <w:bottom w:val="single" w:sz="8" w:space="0" w:color="000000"/>
              <w:right w:val="single" w:sz="8" w:space="0" w:color="000000"/>
            </w:tcBorders>
            <w:shd w:val="clear" w:color="auto" w:fill="757171"/>
            <w:vAlign w:val="bottom"/>
          </w:tcPr>
          <w:p w:rsidR="00F26977">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280" w:type="dxa"/>
            <w:tcBorders>
              <w:top w:val="single" w:sz="8" w:space="0" w:color="000000"/>
              <w:left w:val="nil"/>
              <w:bottom w:val="single" w:sz="8" w:space="0" w:color="000000"/>
              <w:right w:val="single" w:sz="8" w:space="0" w:color="000000"/>
            </w:tcBorders>
            <w:shd w:val="clear" w:color="auto" w:fill="DDEBF7"/>
            <w:vAlign w:val="bottom"/>
          </w:tcPr>
          <w:p w:rsidR="00F26977">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300" w:type="dxa"/>
            <w:tcBorders>
              <w:top w:val="single" w:sz="8" w:space="0" w:color="000000"/>
              <w:left w:val="nil"/>
              <w:bottom w:val="single" w:sz="8" w:space="0" w:color="000000"/>
              <w:right w:val="single" w:sz="8" w:space="0" w:color="000000"/>
            </w:tcBorders>
            <w:shd w:val="clear" w:color="auto" w:fill="DDEBF7"/>
            <w:vAlign w:val="bottom"/>
          </w:tcPr>
          <w:p w:rsidR="00F26977">
            <w:pPr>
              <w:widowControl/>
              <w:rPr>
                <w:rFonts w:ascii="Calibri" w:eastAsia="Calibri" w:hAnsi="Calibri" w:cs="Calibri"/>
                <w:b/>
                <w:color w:val="000000"/>
                <w:sz w:val="16"/>
                <w:szCs w:val="16"/>
              </w:rPr>
            </w:pPr>
            <w:r>
              <w:rPr>
                <w:rFonts w:ascii="Calibri" w:eastAsia="Calibri" w:hAnsi="Calibri" w:cs="Calibri"/>
                <w:b/>
                <w:color w:val="000000"/>
                <w:sz w:val="16"/>
                <w:szCs w:val="16"/>
              </w:rPr>
              <w:t> </w:t>
            </w:r>
            <w:r w:rsidR="008D6B05">
              <w:rPr>
                <w:rFonts w:ascii="Calibri" w:eastAsia="Calibri" w:hAnsi="Calibri" w:cs="Calibri"/>
                <w:b/>
                <w:color w:val="000000"/>
                <w:sz w:val="16"/>
                <w:szCs w:val="16"/>
              </w:rPr>
              <w:t>$ 121,370</w:t>
            </w:r>
          </w:p>
        </w:tc>
      </w:tr>
    </w:tbl>
    <w:p w:rsidR="00F26977">
      <w:pPr>
        <w:pBdr>
          <w:top w:val="nil"/>
          <w:left w:val="nil"/>
          <w:bottom w:val="nil"/>
          <w:right w:val="nil"/>
          <w:between w:val="nil"/>
        </w:pBdr>
        <w:spacing w:before="9" w:after="1"/>
        <w:rPr>
          <w:b/>
          <w:color w:val="000000"/>
        </w:rPr>
      </w:pPr>
    </w:p>
    <w:p w:rsidR="008D6B05">
      <w:pPr>
        <w:pBdr>
          <w:top w:val="nil"/>
          <w:left w:val="nil"/>
          <w:bottom w:val="nil"/>
          <w:right w:val="nil"/>
          <w:between w:val="nil"/>
        </w:pBdr>
        <w:spacing w:before="9" w:after="1"/>
        <w:rPr>
          <w:color w:val="000000"/>
        </w:rPr>
      </w:pPr>
      <w:r w:rsidRPr="008D6B05">
        <w:rPr>
          <w:color w:val="000000"/>
        </w:rPr>
        <w:t xml:space="preserve">The </w:t>
      </w:r>
      <w:r>
        <w:rPr>
          <w:color w:val="000000"/>
        </w:rPr>
        <w:t>OPM General Schedule</w:t>
      </w:r>
      <w:r w:rsidRPr="008D6B05">
        <w:rPr>
          <w:color w:val="000000"/>
        </w:rPr>
        <w:t xml:space="preserve"> pay tables were used to determine the government cost.  </w:t>
      </w:r>
      <w:hyperlink r:id="rId12" w:history="1">
        <w:r w:rsidRPr="00516059">
          <w:rPr>
            <w:rStyle w:val="Hyperlink"/>
          </w:rPr>
          <w:t>https://www.opm.gov/policy-data-oversight/pay-leave/salaries-wages/salary-tables/pdf/2024/RUS.pdf</w:t>
        </w:r>
      </w:hyperlink>
    </w:p>
    <w:p w:rsidR="008D6B05" w:rsidRPr="008D6B05">
      <w:pPr>
        <w:pBdr>
          <w:top w:val="nil"/>
          <w:left w:val="nil"/>
          <w:bottom w:val="nil"/>
          <w:right w:val="nil"/>
          <w:between w:val="nil"/>
        </w:pBdr>
        <w:spacing w:before="9" w:after="1"/>
        <w:rPr>
          <w:color w:val="000000"/>
        </w:rPr>
      </w:pPr>
    </w:p>
    <w:p w:rsidR="008D6B05">
      <w:pPr>
        <w:pBdr>
          <w:top w:val="nil"/>
          <w:left w:val="nil"/>
          <w:bottom w:val="nil"/>
          <w:right w:val="nil"/>
          <w:between w:val="nil"/>
        </w:pBdr>
        <w:spacing w:before="9" w:after="1"/>
        <w:rPr>
          <w:color w:val="000000"/>
        </w:rPr>
      </w:pPr>
      <w:r>
        <w:rPr>
          <w:color w:val="000000"/>
        </w:rPr>
        <w:t>The Rest of U.S. locality rate was used since NOAA is a geographically dispersed agency.  A 1.5 multiplier was used to determine the loaded salary for each position.</w:t>
      </w:r>
    </w:p>
    <w:p w:rsidR="008D6B05" w:rsidRPr="008D6B05">
      <w:pPr>
        <w:pBdr>
          <w:top w:val="nil"/>
          <w:left w:val="nil"/>
          <w:bottom w:val="nil"/>
          <w:right w:val="nil"/>
          <w:between w:val="nil"/>
        </w:pBdr>
        <w:spacing w:before="9" w:after="1"/>
        <w:rPr>
          <w:color w:val="000000"/>
        </w:rPr>
      </w:pPr>
    </w:p>
    <w:p w:rsidR="00F26977">
      <w:pPr>
        <w:numPr>
          <w:ilvl w:val="0"/>
          <w:numId w:val="2"/>
        </w:numPr>
        <w:pBdr>
          <w:top w:val="nil"/>
          <w:left w:val="nil"/>
          <w:bottom w:val="nil"/>
          <w:right w:val="nil"/>
          <w:between w:val="nil"/>
        </w:pBdr>
        <w:tabs>
          <w:tab w:val="left" w:pos="360"/>
        </w:tabs>
        <w:spacing w:before="80"/>
        <w:rPr>
          <w:b/>
          <w:color w:val="000000"/>
        </w:rPr>
      </w:pPr>
      <w:r>
        <w:rPr>
          <w:b/>
          <w:color w:val="000000"/>
        </w:rPr>
        <w:t>Explain the reasons for any program changes or adjustments reported in ROCIS.</w:t>
      </w:r>
    </w:p>
    <w:p w:rsidR="00F26977">
      <w:pPr>
        <w:pBdr>
          <w:top w:val="nil"/>
          <w:left w:val="nil"/>
          <w:bottom w:val="nil"/>
          <w:right w:val="nil"/>
          <w:between w:val="nil"/>
        </w:pBdr>
        <w:spacing w:before="120"/>
        <w:rPr>
          <w:color w:val="000000"/>
        </w:rPr>
      </w:pPr>
      <w:bookmarkStart w:id="1" w:name="_GoBack"/>
      <w:bookmarkEnd w:id="1"/>
      <w:r>
        <w:rPr>
          <w:color w:val="000000"/>
        </w:rPr>
        <w:t>The Weather</w:t>
      </w:r>
      <w:r w:rsidR="008D6B05">
        <w:rPr>
          <w:color w:val="000000"/>
        </w:rPr>
        <w:t>-</w:t>
      </w:r>
      <w:r>
        <w:t>Ready Nation collection is added to this control number.</w:t>
      </w:r>
    </w:p>
    <w:p w:rsidR="00F26977">
      <w:pPr>
        <w:pBdr>
          <w:top w:val="nil"/>
          <w:left w:val="nil"/>
          <w:bottom w:val="nil"/>
          <w:right w:val="nil"/>
          <w:between w:val="nil"/>
        </w:pBdr>
        <w:spacing w:before="120"/>
        <w:rPr>
          <w:b/>
          <w:color w:val="000000"/>
        </w:rPr>
      </w:pPr>
    </w:p>
    <w:p w:rsidR="00F26977">
      <w:pPr>
        <w:numPr>
          <w:ilvl w:val="0"/>
          <w:numId w:val="2"/>
        </w:numPr>
        <w:pBdr>
          <w:top w:val="nil"/>
          <w:left w:val="nil"/>
          <w:bottom w:val="nil"/>
          <w:right w:val="nil"/>
          <w:between w:val="nil"/>
        </w:pBdr>
        <w:tabs>
          <w:tab w:val="left" w:pos="360"/>
        </w:tabs>
        <w:spacing w:before="80"/>
        <w:rPr>
          <w:b/>
          <w:color w:val="000000"/>
        </w:rPr>
      </w:pPr>
      <w:r>
        <w:rPr>
          <w:b/>
          <w:color w:val="000000"/>
        </w:rPr>
        <w:t>For collections of information whose results will be published, outline plans for tabulation and pu</w:t>
      </w:r>
      <w:r>
        <w:rPr>
          <w:b/>
          <w:color w:val="000000"/>
        </w:rPr>
        <w:t>blication. Address any complex analytical techniques that will be used. Provide the time schedule for the entire project, including beginning and ending dates of the collection of information, completion of report, publication dates, and other actions.</w:t>
      </w:r>
    </w:p>
    <w:p w:rsidR="00F269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pPr>
      <w:r>
        <w:t>The</w:t>
      </w:r>
      <w:r>
        <w:t xml:space="preserve"> individual pieces of information collected are not published.  The NWS maintains a </w:t>
      </w:r>
      <w:hyperlink r:id="rId13">
        <w:r>
          <w:rPr>
            <w:color w:val="0000FF"/>
            <w:u w:val="single"/>
          </w:rPr>
          <w:t>web page</w:t>
        </w:r>
      </w:hyperlink>
      <w:r>
        <w:t xml:space="preserve"> identifying the communities that are recognized as StormReady, TsunamiReady, StormReady Supporter or Tsunami</w:t>
      </w:r>
      <w:r>
        <w:t xml:space="preserve">Ready Supporter. It also maintains a </w:t>
      </w:r>
      <w:hyperlink r:id="rId14">
        <w:r>
          <w:rPr>
            <w:color w:val="1155CC"/>
            <w:u w:val="single"/>
          </w:rPr>
          <w:t>web page</w:t>
        </w:r>
      </w:hyperlink>
      <w:r>
        <w:t xml:space="preserve"> for those recognized as Weather-Ready Nation Ambassadors.</w:t>
      </w:r>
    </w:p>
    <w:p w:rsidR="00F269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pPr>
    </w:p>
    <w:p w:rsidR="00F26977">
      <w:pPr>
        <w:numPr>
          <w:ilvl w:val="0"/>
          <w:numId w:val="2"/>
        </w:numPr>
        <w:pBdr>
          <w:top w:val="nil"/>
          <w:left w:val="nil"/>
          <w:bottom w:val="nil"/>
          <w:right w:val="nil"/>
          <w:between w:val="nil"/>
        </w:pBdr>
        <w:tabs>
          <w:tab w:val="left" w:pos="360"/>
        </w:tabs>
        <w:spacing w:before="80"/>
        <w:rPr>
          <w:b/>
          <w:color w:val="000000"/>
        </w:rPr>
      </w:pPr>
      <w:r>
        <w:rPr>
          <w:b/>
          <w:color w:val="000000"/>
        </w:rPr>
        <w:t>If seeking approval to not display the expiration date for OMB approval of the infor</w:t>
      </w:r>
      <w:r>
        <w:rPr>
          <w:b/>
          <w:color w:val="000000"/>
        </w:rPr>
        <w:t>mation collection, explain the reasons that display would be inappropriate.</w:t>
      </w:r>
    </w:p>
    <w:p w:rsidR="00F269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pPr>
      <w:r>
        <w:t>The agency plans to display the expiration date for OMB approval of the information collection on all instruments.</w:t>
      </w:r>
    </w:p>
    <w:p w:rsidR="00F269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pPr>
    </w:p>
    <w:p w:rsidR="00F26977">
      <w:pPr>
        <w:numPr>
          <w:ilvl w:val="0"/>
          <w:numId w:val="2"/>
        </w:numPr>
        <w:pBdr>
          <w:top w:val="nil"/>
          <w:left w:val="nil"/>
          <w:bottom w:val="nil"/>
          <w:right w:val="nil"/>
          <w:between w:val="nil"/>
        </w:pBdr>
        <w:tabs>
          <w:tab w:val="left" w:pos="360"/>
        </w:tabs>
        <w:spacing w:before="80"/>
        <w:rPr>
          <w:b/>
          <w:color w:val="000000"/>
        </w:rPr>
      </w:pPr>
      <w:r>
        <w:rPr>
          <w:b/>
          <w:color w:val="000000"/>
        </w:rPr>
        <w:t>Explain each exception to the certification statement identified</w:t>
      </w:r>
      <w:r>
        <w:rPr>
          <w:b/>
          <w:color w:val="000000"/>
        </w:rPr>
        <w:t xml:space="preserve"> in “Certification for Paperwork Reduction Act Submissions."</w:t>
      </w:r>
    </w:p>
    <w:p w:rsidR="00F26977">
      <w:pPr>
        <w:spacing w:before="120"/>
        <w:rPr>
          <w:color w:val="1F497D"/>
        </w:rPr>
      </w:pPr>
      <w:r>
        <w:rPr>
          <w:color w:val="000000"/>
        </w:rPr>
        <w:t xml:space="preserve">The agency certifies compliance with </w:t>
      </w:r>
      <w:hyperlink r:id="rId15">
        <w:r>
          <w:rPr>
            <w:color w:val="0563C1"/>
            <w:u w:val="single"/>
          </w:rPr>
          <w:t xml:space="preserve">5 CFR 1320.9 </w:t>
        </w:r>
      </w:hyperlink>
      <w:r>
        <w:rPr>
          <w:color w:val="000000"/>
        </w:rPr>
        <w:t xml:space="preserve">and the related provisions of </w:t>
      </w:r>
      <w:hyperlink r:id="rId16">
        <w:r>
          <w:rPr>
            <w:color w:val="0563C1"/>
            <w:u w:val="single"/>
          </w:rPr>
          <w:t>5 CFR</w:t>
        </w:r>
      </w:hyperlink>
      <w:r>
        <w:rPr>
          <w:color w:val="0563C1"/>
        </w:rPr>
        <w:t xml:space="preserve"> </w:t>
      </w:r>
      <w:hyperlink r:id="rId16">
        <w:r>
          <w:rPr>
            <w:color w:val="0563C1"/>
            <w:u w:val="single"/>
          </w:rPr>
          <w:t>1320.8(b)(3)</w:t>
        </w:r>
      </w:hyperlink>
      <w:r>
        <w:rPr>
          <w:color w:val="000000"/>
        </w:rPr>
        <w:t>.</w:t>
      </w:r>
    </w:p>
    <w:sectPr>
      <w:pgSz w:w="12240" w:h="15840"/>
      <w:pgMar w:top="1440" w:right="1440" w:bottom="1440" w:left="1440" w:header="0" w:footer="1014"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26977">
    <w:pPr>
      <w:pBdr>
        <w:top w:val="nil"/>
        <w:left w:val="nil"/>
        <w:bottom w:val="nil"/>
        <w:right w:val="nil"/>
        <w:between w:val="nil"/>
      </w:pBdr>
      <w:tabs>
        <w:tab w:val="center" w:pos="4680"/>
        <w:tab w:val="right" w:pos="9360"/>
      </w:tabs>
      <w:rPr>
        <w:color w:val="000000"/>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FE16EF0"/>
    <w:multiLevelType w:val="multilevel"/>
    <w:tmpl w:val="6BBA32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ADF6083"/>
    <w:multiLevelType w:val="multilevel"/>
    <w:tmpl w:val="75140414"/>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3F7D587A"/>
    <w:multiLevelType w:val="multilevel"/>
    <w:tmpl w:val="2C74D28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nsid w:val="66C54E36"/>
    <w:multiLevelType w:val="multilevel"/>
    <w:tmpl w:val="5AD61C4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6EFF0138"/>
    <w:multiLevelType w:val="multilevel"/>
    <w:tmpl w:val="6BBA32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6977"/>
    <w:rsid w:val="0005627C"/>
    <w:rsid w:val="00107276"/>
    <w:rsid w:val="001A647B"/>
    <w:rsid w:val="0026166F"/>
    <w:rsid w:val="002641C8"/>
    <w:rsid w:val="003525B4"/>
    <w:rsid w:val="00516059"/>
    <w:rsid w:val="00580A95"/>
    <w:rsid w:val="005C4D4F"/>
    <w:rsid w:val="005E5E5C"/>
    <w:rsid w:val="00656B31"/>
    <w:rsid w:val="008D6B05"/>
    <w:rsid w:val="00915615"/>
    <w:rsid w:val="00B207BE"/>
    <w:rsid w:val="00CE7F56"/>
    <w:rsid w:val="00D3686C"/>
    <w:rsid w:val="00E85190"/>
    <w:rsid w:val="00F2697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2644B40"/>
  <w15:docId w15:val="{F81E67F9-0C84-4AB2-BFB1-E73398D3A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US"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spacing w:before="80"/>
      <w:ind w:left="400"/>
      <w:outlineLvl w:val="0"/>
    </w:pPr>
    <w:rPr>
      <w:b/>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name w:val="a"/>
    <w:basedOn w:val="TableNormal"/>
    <w:tblPr>
      <w:tblStyleRowBandSize w:val="1"/>
      <w:tblStyleColBandSize w:val="1"/>
      <w:tblCellMar>
        <w:left w:w="0" w:type="dxa"/>
        <w:right w:w="0" w:type="dxa"/>
      </w:tblCellMar>
    </w:tblPr>
  </w:style>
  <w:style w:type="table" w:customStyle="1" w:styleId="a0">
    <w:name w:val="a0"/>
    <w:basedOn w:val="TableNormal"/>
    <w:tblPr>
      <w:tblStyleRowBandSize w:val="1"/>
      <w:tblStyleColBandSize w:val="1"/>
      <w:tblCellMar>
        <w:left w:w="0" w:type="dxa"/>
        <w:right w:w="0" w:type="dxa"/>
      </w:tblCellMar>
    </w:tblPr>
  </w:style>
  <w:style w:type="table" w:customStyle="1" w:styleId="a1">
    <w:name w:val="a1"/>
    <w:basedOn w:val="TableNormal"/>
    <w:tblPr>
      <w:tblStyleRowBandSize w:val="1"/>
      <w:tblStyleColBandSize w:val="1"/>
      <w:tblCellMar>
        <w:left w:w="0" w:type="dxa"/>
        <w:right w:w="0" w:type="dxa"/>
      </w:tblCellMar>
    </w:tblPr>
  </w:style>
  <w:style w:type="table" w:customStyle="1" w:styleId="a2">
    <w:name w:val="a2"/>
    <w:basedOn w:val="TableNormal"/>
    <w:tblPr>
      <w:tblStyleRowBandSize w:val="1"/>
      <w:tblStyleColBandSize w:val="1"/>
      <w:tblCellMar>
        <w:left w:w="0" w:type="dxa"/>
        <w:right w:w="0" w:type="dxa"/>
      </w:tblCellMar>
    </w:tblPr>
  </w:style>
  <w:style w:type="character" w:styleId="Hyperlink">
    <w:name w:val="Hyperlink"/>
    <w:basedOn w:val="DefaultParagraphFont"/>
    <w:uiPriority w:val="99"/>
    <w:unhideWhenUsed/>
    <w:rsid w:val="008D6B05"/>
    <w:rPr>
      <w:color w:val="0000FF" w:themeColor="hyperlink"/>
      <w:u w:val="single"/>
    </w:rPr>
  </w:style>
  <w:style w:type="character" w:styleId="UnresolvedMention">
    <w:name w:val="Unresolved Mention"/>
    <w:basedOn w:val="DefaultParagraphFont"/>
    <w:uiPriority w:val="99"/>
    <w:semiHidden/>
    <w:unhideWhenUsed/>
    <w:rsid w:val="008D6B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osec.doc.gov/opog/PrivacyAct/SORNs/noaa-11.html" TargetMode="External" /><Relationship Id="rId11" Type="http://schemas.openxmlformats.org/officeDocument/2006/relationships/footer" Target="footer1.xml" /><Relationship Id="rId12" Type="http://schemas.openxmlformats.org/officeDocument/2006/relationships/hyperlink" Target="https://www.opm.gov/policy-data-oversight/pay-leave/salaries-wages/salary-tables/pdf/2024/RUS.pdf" TargetMode="External" /><Relationship Id="rId13" Type="http://schemas.openxmlformats.org/officeDocument/2006/relationships/hyperlink" Target="https://www.weather.gov/stormready/" TargetMode="External" /><Relationship Id="rId14" Type="http://schemas.openxmlformats.org/officeDocument/2006/relationships/hyperlink" Target="https://www.weather.gov/wrn/current-ambassadors" TargetMode="External" /><Relationship Id="rId15" Type="http://schemas.openxmlformats.org/officeDocument/2006/relationships/hyperlink" Target="http://www.gpo.gov/fdsys/pkg/CFR-2014-title5-vol3/pdf/CFR-2014-title5-vol3-sec1320-9.pdf" TargetMode="External" /><Relationship Id="rId16" Type="http://schemas.openxmlformats.org/officeDocument/2006/relationships/hyperlink" Target="http://www.gpo.gov/fdsys/pkg/CFR-2014-title5-vol3/pdf/CFR-2014-title5-vol3-sec1320-8.pdf" TargetMode="Externa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www.stormready.noaa.gov/supporter.htm" TargetMode="External" /><Relationship Id="rId6" Type="http://schemas.openxmlformats.org/officeDocument/2006/relationships/hyperlink" Target="https://www.weather.gov/tsunamiready/supporters" TargetMode="External" /><Relationship Id="rId7" Type="http://schemas.openxmlformats.org/officeDocument/2006/relationships/hyperlink" Target="https://www.weather.gov/stormready/become" TargetMode="External" /><Relationship Id="rId8" Type="http://schemas.openxmlformats.org/officeDocument/2006/relationships/hyperlink" Target="https://www.weather.gov/tsunamiready/become" TargetMode="External" /><Relationship Id="rId9" Type="http://schemas.openxmlformats.org/officeDocument/2006/relationships/hyperlink" Target="https://www.weather.gov/wrn/amb-tou"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F3MDG99LwQop0tO8c6s9dB5DUQ==">CgMxLjAyCWguMzBqMHpsbDgAciExWng4MWwyc05qZXdodTRlbG51cFk0NEJDS1VQUzRsZlk=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9</Pages>
  <Words>3147</Words>
  <Characters>17940</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Adrienne.Thomas</dc:creator>
  <cp:lastModifiedBy>Adrienne.Thomas</cp:lastModifiedBy>
  <cp:revision>11</cp:revision>
  <dcterms:created xsi:type="dcterms:W3CDTF">2024-10-25T15:51:00Z</dcterms:created>
  <dcterms:modified xsi:type="dcterms:W3CDTF">2024-10-25T16:43:00Z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2020-05-06T00:00:00Z</vt:lpwstr>
  </property>
  <property fmtid="{D5CDD505-2E9C-101B-9397-08002B2CF9AE}" pid="3" name="Creator">
    <vt:lpwstr>Acrobat PDFMaker 17 for Word</vt:lpwstr>
  </property>
  <property fmtid="{D5CDD505-2E9C-101B-9397-08002B2CF9AE}" pid="4" name="LastSaved">
    <vt:lpwstr>2020-05-07T00:00:00Z</vt:lpwstr>
  </property>
</Properties>
</file>