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319" w14:paraId="00000001" w14:textId="6DC16EAD">
      <w:pPr>
        <w:pStyle w:val="Heading1"/>
        <w:keepNext w:val="0"/>
        <w:keepLines w:val="0"/>
        <w:widowControl w:val="0"/>
        <w:spacing w:before="80" w:after="0"/>
        <w:jc w:val="center"/>
        <w:rPr>
          <w:sz w:val="24"/>
          <w:szCs w:val="24"/>
        </w:rPr>
      </w:pPr>
      <w:bookmarkStart w:id="0" w:name="_gjdgxs" w:colFirst="0" w:colLast="0"/>
      <w:bookmarkEnd w:id="0"/>
      <w:r>
        <w:rPr>
          <w:sz w:val="24"/>
          <w:szCs w:val="24"/>
        </w:rPr>
        <w:t>SUPPORTING STATEMENT</w:t>
      </w:r>
      <w:bookmarkStart w:id="1" w:name="_GoBack"/>
      <w:bookmarkEnd w:id="1"/>
    </w:p>
    <w:p w:rsidR="00957319" w14:paraId="00000002" w14:textId="77777777">
      <w:pPr>
        <w:widowControl w:val="0"/>
        <w:spacing w:before="22" w:line="259" w:lineRule="auto"/>
        <w:ind w:firstLine="14"/>
        <w:jc w:val="center"/>
        <w:rPr>
          <w:b/>
        </w:rPr>
      </w:pPr>
      <w:r>
        <w:rPr>
          <w:b/>
        </w:rPr>
        <w:t>U.S. Department of Commerce</w:t>
      </w:r>
    </w:p>
    <w:p w:rsidR="00957319" w14:paraId="00000003" w14:textId="77777777">
      <w:pPr>
        <w:widowControl w:val="0"/>
        <w:spacing w:before="22" w:line="259" w:lineRule="auto"/>
        <w:ind w:firstLine="14"/>
        <w:jc w:val="center"/>
        <w:rPr>
          <w:b/>
        </w:rPr>
      </w:pPr>
      <w:r>
        <w:rPr>
          <w:b/>
        </w:rPr>
        <w:t>National Oceanic &amp; Atmospheric Administration</w:t>
      </w:r>
    </w:p>
    <w:p w:rsidR="00957319" w14:paraId="00000004" w14:textId="77777777">
      <w:pPr>
        <w:jc w:val="center"/>
        <w:rPr>
          <w:b/>
        </w:rPr>
      </w:pPr>
      <w:r>
        <w:rPr>
          <w:b/>
        </w:rPr>
        <w:t xml:space="preserve">Generic Clearance </w:t>
      </w:r>
      <w:r>
        <w:rPr>
          <w:b/>
        </w:rPr>
        <w:t>For</w:t>
      </w:r>
      <w:r>
        <w:rPr>
          <w:b/>
        </w:rPr>
        <w:t xml:space="preserve"> NOAA Social, Behavioral, and Economic Science Studies for Weather, Water, and Climate</w:t>
      </w:r>
    </w:p>
    <w:p w:rsidR="00957319" w14:paraId="00000005" w14:textId="77777777">
      <w:pPr>
        <w:keepNext/>
        <w:pBdr>
          <w:top w:val="nil"/>
          <w:left w:val="nil"/>
          <w:bottom w:val="nil"/>
          <w:right w:val="nil"/>
          <w:between w:val="nil"/>
        </w:pBdr>
        <w:jc w:val="center"/>
        <w:rPr>
          <w:b/>
        </w:rPr>
      </w:pPr>
      <w:r>
        <w:rPr>
          <w:b/>
        </w:rPr>
        <w:t>OMB Control No. 0648-XXXX</w:t>
      </w:r>
    </w:p>
    <w:p w:rsidR="00957319" w14:paraId="00000006" w14:textId="77777777">
      <w:pPr>
        <w:keepNext/>
        <w:jc w:val="center"/>
        <w:rPr>
          <w:b/>
          <w:smallCaps/>
          <w:color w:val="000000"/>
        </w:rPr>
      </w:pPr>
    </w:p>
    <w:p w:rsidR="00957319" w14:paraId="00000007" w14:textId="77777777">
      <w:pPr>
        <w:keepNext/>
        <w:pBdr>
          <w:top w:val="nil"/>
          <w:left w:val="nil"/>
          <w:bottom w:val="nil"/>
          <w:right w:val="nil"/>
          <w:between w:val="nil"/>
        </w:pBdr>
        <w:jc w:val="center"/>
        <w:rPr>
          <w:b/>
          <w:smallCaps/>
          <w:color w:val="000000"/>
        </w:rPr>
      </w:pPr>
    </w:p>
    <w:p w:rsidR="00957319" w14:paraId="00000008" w14:textId="77777777">
      <w:pPr>
        <w:keepNext/>
        <w:pBdr>
          <w:top w:val="nil"/>
          <w:left w:val="nil"/>
          <w:bottom w:val="nil"/>
          <w:right w:val="nil"/>
          <w:between w:val="nil"/>
        </w:pBdr>
        <w:rPr>
          <w:b/>
          <w:color w:val="000000"/>
          <w:highlight w:val="yellow"/>
        </w:rPr>
      </w:pPr>
    </w:p>
    <w:p w:rsidR="00957319" w14:paraId="00000009" w14:textId="77777777">
      <w:pPr>
        <w:tabs>
          <w:tab w:val="left" w:pos="-1440"/>
          <w:tab w:val="left" w:pos="-720"/>
        </w:tabs>
        <w:rPr>
          <w:b/>
          <w:sz w:val="28"/>
          <w:szCs w:val="28"/>
        </w:rPr>
      </w:pPr>
      <w:r>
        <w:rPr>
          <w:b/>
          <w:sz w:val="28"/>
          <w:szCs w:val="28"/>
        </w:rPr>
        <w:t>B. Collections of Information Employing Statistical Methods</w:t>
      </w:r>
    </w:p>
    <w:p w:rsidR="00957319" w14:paraId="0000000A" w14:textId="77777777">
      <w:pPr>
        <w:tabs>
          <w:tab w:val="left" w:pos="-1440"/>
          <w:tab w:val="left" w:pos="-720"/>
        </w:tabs>
      </w:pPr>
    </w:p>
    <w:p w:rsidR="00957319" w14:paraId="0000000B" w14:textId="77777777">
      <w:pPr>
        <w:tabs>
          <w:tab w:val="left" w:pos="-1440"/>
          <w:tab w:val="left" w:pos="-720"/>
          <w:tab w:val="left" w:pos="357"/>
        </w:tabs>
        <w:ind w:left="360" w:hanging="360"/>
        <w:rPr>
          <w:b/>
        </w:rPr>
      </w:pPr>
      <w:r>
        <w:rPr>
          <w:b/>
        </w:rPr>
        <w:t xml:space="preserve">1. </w:t>
      </w:r>
      <w:r>
        <w:rPr>
          <w:b/>
        </w:rPr>
        <w:tab/>
        <w:t>Describe (including a numerical estimate) the potential respondent universe and any sampling or other respondent selection method to be used. Data on the number of entities (e.g., establishme</w:t>
      </w:r>
      <w:r>
        <w:rPr>
          <w:b/>
        </w:rPr>
        <w:t>nts, State and local government units, households, or persons) in the universe covered by the collection and in the corresponding sample are to be provided in tabular form for the universe as a whole and for each of the strata in the proposed sample. Indic</w:t>
      </w:r>
      <w:r>
        <w:rPr>
          <w:b/>
        </w:rPr>
        <w:t>ate expected response rates for the collection as a whole. If the collection had been conducted previously, include the actual response rate achieved during the last collection.</w:t>
      </w:r>
    </w:p>
    <w:p w:rsidR="00957319" w14:paraId="0000000C" w14:textId="77777777">
      <w:pPr>
        <w:tabs>
          <w:tab w:val="left" w:pos="-1440"/>
          <w:tab w:val="left" w:pos="-720"/>
        </w:tabs>
        <w:rPr>
          <w:b/>
        </w:rPr>
      </w:pPr>
    </w:p>
    <w:p w:rsidR="00957319" w14:paraId="0000000D" w14:textId="77777777">
      <w:pPr>
        <w:tabs>
          <w:tab w:val="left" w:pos="-1440"/>
          <w:tab w:val="left" w:pos="-720"/>
        </w:tabs>
        <w:rPr>
          <w:sz w:val="20"/>
          <w:szCs w:val="20"/>
        </w:rPr>
      </w:pPr>
    </w:p>
    <w:p w:rsidR="00957319" w14:paraId="0000000E" w14:textId="77777777">
      <w:pPr>
        <w:tabs>
          <w:tab w:val="left" w:pos="-1440"/>
          <w:tab w:val="left" w:pos="-720"/>
        </w:tabs>
      </w:pPr>
      <w:r>
        <w:t>Data collection and estimation methods and procedures would vary among the individual collections the National Oceanic and Atmospheric Administration (NOAA) National Weather Service (NWS) and the Oceanic and Atmospheric Research (OAR) would conduct under t</w:t>
      </w:r>
      <w:r>
        <w:t xml:space="preserve">he requested generic clearance. Therefore, the information provided below for each of the five items in Part B cannot be very specific. A description of the plans for selecting respondents for each individual study will be provided to OMB at the time each </w:t>
      </w:r>
      <w:r>
        <w:t>instrument is submitted.</w:t>
      </w:r>
    </w:p>
    <w:p w:rsidR="00957319" w14:paraId="0000000F" w14:textId="77777777">
      <w:pPr>
        <w:tabs>
          <w:tab w:val="left" w:pos="-1440"/>
          <w:tab w:val="left" w:pos="-720"/>
        </w:tabs>
      </w:pPr>
    </w:p>
    <w:p w:rsidR="00957319" w14:paraId="00000010" w14:textId="77777777">
      <w:pPr>
        <w:tabs>
          <w:tab w:val="left" w:pos="-1440"/>
          <w:tab w:val="left" w:pos="-720"/>
        </w:tabs>
      </w:pPr>
      <w:r>
        <w:t>The appropriate respondent universe will be determined based on the goal of the specific study. For instance, a collection exploring public response to tsunami alerts may target members of the general public a certain distance fro</w:t>
      </w:r>
      <w:r>
        <w:t>m the coastline. Other collections will likely target NWS/OAR partners and stakeholders rather than the general public, since they serve as primary users and intermediaries in many situations. For example, a respondent universe could be US emergency manage</w:t>
      </w:r>
      <w:r>
        <w:t>rs. The sample within that universe would be selected in a way that ensures diversity in length of service, geographic location, available resources, and other characteristics.</w:t>
      </w:r>
    </w:p>
    <w:p w:rsidR="00957319" w14:paraId="00000011" w14:textId="77777777">
      <w:pPr>
        <w:tabs>
          <w:tab w:val="left" w:pos="-1440"/>
          <w:tab w:val="left" w:pos="-720"/>
        </w:tabs>
      </w:pPr>
    </w:p>
    <w:p w:rsidR="00957319" w14:paraId="00000012" w14:textId="77777777">
      <w:pPr>
        <w:tabs>
          <w:tab w:val="left" w:pos="-1440"/>
          <w:tab w:val="left" w:pos="-720"/>
          <w:tab w:val="left" w:pos="360"/>
        </w:tabs>
        <w:rPr>
          <w:b/>
        </w:rPr>
      </w:pPr>
      <w:r>
        <w:rPr>
          <w:b/>
        </w:rPr>
        <w:t xml:space="preserve">2. </w:t>
      </w:r>
      <w:r>
        <w:rPr>
          <w:b/>
        </w:rPr>
        <w:tab/>
        <w:t>Describe the procedures for the collection of information including:</w:t>
      </w:r>
    </w:p>
    <w:p w:rsidR="00957319" w14:paraId="00000013" w14:textId="77777777">
      <w:pPr>
        <w:widowControl w:val="0"/>
        <w:numPr>
          <w:ilvl w:val="1"/>
          <w:numId w:val="1"/>
        </w:numPr>
        <w:tabs>
          <w:tab w:val="left" w:pos="720"/>
        </w:tabs>
        <w:spacing w:before="120"/>
        <w:ind w:left="360" w:firstLine="0"/>
      </w:pPr>
      <w:r>
        <w:t>Stati</w:t>
      </w:r>
      <w:r>
        <w:t>stical methodology for stratification and sample selection,</w:t>
      </w:r>
    </w:p>
    <w:p w:rsidR="00957319" w14:paraId="00000014" w14:textId="77777777">
      <w:pPr>
        <w:widowControl w:val="0"/>
        <w:numPr>
          <w:ilvl w:val="1"/>
          <w:numId w:val="1"/>
        </w:numPr>
        <w:tabs>
          <w:tab w:val="left" w:pos="720"/>
        </w:tabs>
        <w:spacing w:before="120"/>
        <w:ind w:left="360" w:firstLine="0"/>
      </w:pPr>
      <w:r>
        <w:t>Estimation procedure,</w:t>
      </w:r>
    </w:p>
    <w:p w:rsidR="00957319" w14:paraId="00000015" w14:textId="77777777">
      <w:pPr>
        <w:widowControl w:val="0"/>
        <w:numPr>
          <w:ilvl w:val="1"/>
          <w:numId w:val="1"/>
        </w:numPr>
        <w:tabs>
          <w:tab w:val="left" w:pos="720"/>
        </w:tabs>
        <w:spacing w:before="120"/>
        <w:ind w:left="360" w:firstLine="0"/>
      </w:pPr>
      <w:r>
        <w:t>Degree of accuracy needed for the purpose described in the justification,</w:t>
      </w:r>
    </w:p>
    <w:p w:rsidR="00957319" w14:paraId="00000016" w14:textId="77777777">
      <w:pPr>
        <w:widowControl w:val="0"/>
        <w:numPr>
          <w:ilvl w:val="1"/>
          <w:numId w:val="1"/>
        </w:numPr>
        <w:tabs>
          <w:tab w:val="left" w:pos="720"/>
        </w:tabs>
        <w:spacing w:before="120"/>
        <w:ind w:left="360" w:firstLine="0"/>
      </w:pPr>
      <w:r>
        <w:t>Unusual problems requiring specialized sampling procedures, and</w:t>
      </w:r>
    </w:p>
    <w:p w:rsidR="00957319" w14:paraId="00000017" w14:textId="77777777">
      <w:pPr>
        <w:widowControl w:val="0"/>
        <w:numPr>
          <w:ilvl w:val="1"/>
          <w:numId w:val="1"/>
        </w:numPr>
        <w:tabs>
          <w:tab w:val="left" w:pos="720"/>
        </w:tabs>
        <w:spacing w:before="120"/>
        <w:ind w:left="360" w:firstLine="0"/>
      </w:pPr>
      <w:r>
        <w:t>Any use of periodic (less frequent t</w:t>
      </w:r>
      <w:r>
        <w:t>han annual) data collection cycles to reduce burden.</w:t>
      </w:r>
    </w:p>
    <w:p w:rsidR="00957319" w14:paraId="00000018" w14:textId="77777777">
      <w:pPr>
        <w:tabs>
          <w:tab w:val="left" w:pos="-1440"/>
          <w:tab w:val="left" w:pos="-720"/>
        </w:tabs>
        <w:rPr>
          <w:b/>
        </w:rPr>
      </w:pPr>
    </w:p>
    <w:p w:rsidR="00957319" w14:paraId="00000019" w14:textId="77777777">
      <w:pPr>
        <w:tabs>
          <w:tab w:val="left" w:pos="-1440"/>
          <w:tab w:val="left" w:pos="-720"/>
        </w:tabs>
        <w:rPr>
          <w:sz w:val="20"/>
          <w:szCs w:val="20"/>
        </w:rPr>
      </w:pPr>
    </w:p>
    <w:p w:rsidR="00957319" w14:paraId="0000001A" w14:textId="77777777">
      <w:pPr>
        <w:tabs>
          <w:tab w:val="left" w:pos="-1440"/>
          <w:tab w:val="left" w:pos="-720"/>
        </w:tabs>
      </w:pPr>
      <w:r>
        <w:t xml:space="preserve">Data collection procedures conducted under this clearance will be varied, and will most likely include social network analysis, open, semi-structured and structured interviews, focus groups, </w:t>
      </w:r>
      <w:r>
        <w:t>surveys, a</w:t>
      </w:r>
      <w:r>
        <w:t>nd ethnographies that could include participant observations. Statistical results will generally be limited to response rates, item nonresponse rates, frequency distributions of data items to include cross tabulations, reliability estimates, and analysis o</w:t>
      </w:r>
      <w:r>
        <w:t>f behavior coding and respondent debriefing data. More specific information about data collection procedures will be contained in the description provided to OMB at the time each instrument is submitted.</w:t>
      </w:r>
    </w:p>
    <w:p w:rsidR="00957319" w14:paraId="0000001B" w14:textId="77777777">
      <w:pPr>
        <w:tabs>
          <w:tab w:val="left" w:pos="-1440"/>
          <w:tab w:val="left" w:pos="-720"/>
        </w:tabs>
      </w:pPr>
    </w:p>
    <w:p w:rsidR="00957319" w14:paraId="0000001C" w14:textId="77777777">
      <w:pPr>
        <w:tabs>
          <w:tab w:val="left" w:pos="-1440"/>
          <w:tab w:val="left" w:pos="-720"/>
          <w:tab w:val="left" w:pos="357"/>
        </w:tabs>
        <w:ind w:left="360" w:hanging="360"/>
        <w:rPr>
          <w:b/>
        </w:rPr>
      </w:pPr>
      <w:r>
        <w:rPr>
          <w:b/>
        </w:rPr>
        <w:t xml:space="preserve">3. </w:t>
      </w:r>
      <w:r>
        <w:rPr>
          <w:b/>
        </w:rPr>
        <w:tab/>
        <w:t>Describe methods to maximize response rates and</w:t>
      </w:r>
      <w:r>
        <w:rPr>
          <w:b/>
        </w:rPr>
        <w:t xml:space="preserve"> to deal with issues of non-response. The accuracy and reliability of information collected must be shown to be adequate for intended uses. For collections based on sampling, a special justification must be provided for any collection that will not yield "</w:t>
      </w:r>
      <w:r>
        <w:rPr>
          <w:b/>
        </w:rPr>
        <w:t>reliable" data that can be generalized to the universe studied.</w:t>
      </w:r>
    </w:p>
    <w:p w:rsidR="00957319" w14:paraId="0000001D" w14:textId="77777777">
      <w:pPr>
        <w:tabs>
          <w:tab w:val="left" w:pos="-1440"/>
          <w:tab w:val="left" w:pos="-720"/>
        </w:tabs>
        <w:rPr>
          <w:b/>
        </w:rPr>
      </w:pPr>
    </w:p>
    <w:p w:rsidR="00957319" w14:paraId="0000001E" w14:textId="77777777">
      <w:pPr>
        <w:tabs>
          <w:tab w:val="left" w:pos="-1440"/>
          <w:tab w:val="left" w:pos="-720"/>
        </w:tabs>
        <w:rPr>
          <w:sz w:val="20"/>
          <w:szCs w:val="20"/>
        </w:rPr>
      </w:pPr>
    </w:p>
    <w:p w:rsidR="00957319" w14:paraId="0000001F" w14:textId="77777777">
      <w:pPr>
        <w:tabs>
          <w:tab w:val="left" w:pos="-1440"/>
          <w:tab w:val="left" w:pos="-720"/>
        </w:tabs>
      </w:pPr>
      <w:r>
        <w:t>Standard survey procedures, including multiple contact attempts distributed among different days and times, will be utilized to achieve sufficiently high levels of response. For interviews a</w:t>
      </w:r>
      <w:r>
        <w:t>nd focus groups, existing networks will be utilized where possible. For instance, the NWS Weather Forecast Offices (WFO) are deeply embedded in their local area and have established relationships with partners and stakeholders. Also, reminder phone calls a</w:t>
      </w:r>
      <w:r>
        <w:t>nd/or letters to participants will be used to encourage them to keep their appointments. More specific information will be contained in the description provided to OMB at the time each instrument is submitted.</w:t>
      </w:r>
    </w:p>
    <w:p w:rsidR="00957319" w14:paraId="00000020" w14:textId="77777777">
      <w:pPr>
        <w:tabs>
          <w:tab w:val="left" w:pos="-1440"/>
          <w:tab w:val="left" w:pos="-720"/>
        </w:tabs>
      </w:pPr>
    </w:p>
    <w:p w:rsidR="00957319" w14:paraId="00000021" w14:textId="77777777">
      <w:pPr>
        <w:tabs>
          <w:tab w:val="left" w:pos="-1440"/>
          <w:tab w:val="left" w:pos="-720"/>
          <w:tab w:val="left" w:pos="357"/>
        </w:tabs>
        <w:ind w:left="360" w:hanging="360"/>
        <w:rPr>
          <w:b/>
        </w:rPr>
      </w:pPr>
      <w:r>
        <w:rPr>
          <w:b/>
        </w:rPr>
        <w:t>4.</w:t>
      </w:r>
      <w:r>
        <w:rPr>
          <w:b/>
        </w:rPr>
        <w:tab/>
        <w:t>Describe any tests of procedures or method</w:t>
      </w:r>
      <w:r>
        <w:rPr>
          <w:b/>
        </w:rPr>
        <w:t>s to be undertaken. Testing is encouraged as an effective means of refining collections of information to minimize burden and improve utility. Tests must be approved if they call for answers to identical questions from 10 or more respondents. A proposed te</w:t>
      </w:r>
      <w:r>
        <w:rPr>
          <w:b/>
        </w:rPr>
        <w:t>st or set of tests may be submitted for approval separately or in combination with the main collection of information.</w:t>
      </w:r>
    </w:p>
    <w:p w:rsidR="00957319" w14:paraId="00000022" w14:textId="77777777">
      <w:pPr>
        <w:tabs>
          <w:tab w:val="left" w:pos="-1440"/>
          <w:tab w:val="left" w:pos="-720"/>
          <w:tab w:val="left" w:pos="360"/>
        </w:tabs>
        <w:rPr>
          <w:b/>
        </w:rPr>
      </w:pPr>
    </w:p>
    <w:p w:rsidR="00957319" w14:paraId="00000023" w14:textId="77777777">
      <w:pPr>
        <w:tabs>
          <w:tab w:val="left" w:pos="-1440"/>
          <w:tab w:val="left" w:pos="-720"/>
        </w:tabs>
        <w:rPr>
          <w:sz w:val="20"/>
          <w:szCs w:val="20"/>
        </w:rPr>
      </w:pPr>
    </w:p>
    <w:p w:rsidR="00957319" w14:paraId="00000024" w14:textId="77777777">
      <w:pPr>
        <w:tabs>
          <w:tab w:val="left" w:pos="-1440"/>
          <w:tab w:val="left" w:pos="-720"/>
        </w:tabs>
      </w:pPr>
      <w:r>
        <w:t>Internal cognitive testing will be employed as a first step in identifying burdens and improving utility. For surveys, an external pre-test will also be used to ensure data are coming in correctly and that no changes need to be made to the coded survey. Fo</w:t>
      </w:r>
      <w:r>
        <w:t>r focus groups and interviews, the facilitators and interviewers will conduct practice sessions with federal employees and/or nine or less non-federal individuals to ensure questions are relevant and understandable.</w:t>
      </w:r>
    </w:p>
    <w:p w:rsidR="00957319" w14:paraId="00000025" w14:textId="77777777">
      <w:pPr>
        <w:tabs>
          <w:tab w:val="left" w:pos="-1440"/>
          <w:tab w:val="left" w:pos="-720"/>
        </w:tabs>
      </w:pPr>
    </w:p>
    <w:p w:rsidR="00957319" w14:paraId="00000026" w14:textId="77777777">
      <w:pPr>
        <w:tabs>
          <w:tab w:val="left" w:pos="-1440"/>
          <w:tab w:val="left" w:pos="-720"/>
          <w:tab w:val="left" w:pos="360"/>
        </w:tabs>
        <w:ind w:left="360" w:hanging="360"/>
        <w:rPr>
          <w:b/>
        </w:rPr>
      </w:pPr>
      <w:r>
        <w:rPr>
          <w:b/>
        </w:rPr>
        <w:t>5.</w:t>
      </w:r>
      <w:r>
        <w:rPr>
          <w:b/>
        </w:rPr>
        <w:tab/>
        <w:t>Provide the name and telephone numbe</w:t>
      </w:r>
      <w:r>
        <w:rPr>
          <w:b/>
        </w:rPr>
        <w:t>r of individuals consulted on statistical aspects of the design and the name of the agency unit, contractor(s), grantee(s), or other person(s) who will actually collect and/or analyze the information for the agency.</w:t>
      </w:r>
    </w:p>
    <w:p w:rsidR="00957319" w14:paraId="00000027" w14:textId="77777777">
      <w:pPr>
        <w:tabs>
          <w:tab w:val="left" w:pos="-1440"/>
          <w:tab w:val="left" w:pos="-720"/>
        </w:tabs>
        <w:ind w:left="360" w:hanging="360"/>
        <w:rPr>
          <w:b/>
        </w:rPr>
      </w:pPr>
    </w:p>
    <w:p w:rsidR="00957319" w14:paraId="00000028" w14:textId="77777777">
      <w:pPr>
        <w:tabs>
          <w:tab w:val="left" w:pos="-1440"/>
          <w:tab w:val="left" w:pos="-720"/>
        </w:tabs>
        <w:rPr>
          <w:sz w:val="20"/>
          <w:szCs w:val="20"/>
          <w:u w:val="single"/>
        </w:rPr>
      </w:pPr>
    </w:p>
    <w:p w:rsidR="00957319" w14:paraId="00000029" w14:textId="77777777">
      <w:pPr>
        <w:tabs>
          <w:tab w:val="left" w:pos="-1440"/>
          <w:tab w:val="left" w:pos="-720"/>
        </w:tabs>
      </w:pPr>
      <w:r>
        <w:t xml:space="preserve">Advice on statistical aspects of each </w:t>
      </w:r>
      <w:r>
        <w:t>individual instrument will be sought from subject matter expertise as the research proceeds. Depending on the nature of the research, NOAA/NWS or NOAA/OAR staff from different program areas will have the primary responsibility for data collection and analy</w:t>
      </w:r>
      <w:r>
        <w:t>sis. Each specific research project will also determine whether the data will be collected by NOAA or through a contractor. Contact persons for questions regarding data collection and statistical aspects of the design will be provided to OMB at the time ea</w:t>
      </w:r>
      <w:r>
        <w:t xml:space="preserve">ch instrument is submitted. </w:t>
      </w:r>
    </w:p>
    <w:sectPr w:rsidSect="00EC50F4">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046937"/>
    <w:multiLevelType w:val="multilevel"/>
    <w:tmpl w:val="45F2DEB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19"/>
    <w:rsid w:val="00957319"/>
    <w:rsid w:val="00EC50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84D4C76-76E1-4D59-AAFC-D466ED75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tabs>
        <w:tab w:val="left" w:pos="1152"/>
      </w:tabs>
      <w:spacing w:after="360"/>
      <w:ind w:left="1152" w:hanging="1152"/>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Lines/>
      <w:spacing w:before="360"/>
      <w:jc w:val="center"/>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2024-10-29T14:39:00Z</dcterms:created>
  <dcterms:modified xsi:type="dcterms:W3CDTF">2024-10-29T14:39:00Z</dcterms:modified>
</cp:coreProperties>
</file>