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7716" w14:paraId="07078931" w14:textId="77777777">
      <w:pPr>
        <w:pStyle w:val="Heading1"/>
        <w:ind w:left="0"/>
        <w:jc w:val="center"/>
      </w:pPr>
      <w:r>
        <w:t>SUPPORTING STATEMENT</w:t>
      </w:r>
    </w:p>
    <w:p w:rsidR="00BB7716" w14:paraId="4726E0D6" w14:textId="77777777">
      <w:pPr>
        <w:spacing w:before="22" w:line="259" w:lineRule="auto"/>
        <w:ind w:firstLine="14"/>
        <w:jc w:val="center"/>
        <w:rPr>
          <w:b/>
        </w:rPr>
      </w:pPr>
      <w:r>
        <w:rPr>
          <w:b/>
        </w:rPr>
        <w:t>U.S. Department of Commerce</w:t>
      </w:r>
    </w:p>
    <w:p w:rsidR="00BB7716" w14:paraId="398C48E2" w14:textId="77777777">
      <w:pPr>
        <w:spacing w:before="22" w:line="259" w:lineRule="auto"/>
        <w:ind w:firstLine="14"/>
        <w:jc w:val="center"/>
        <w:rPr>
          <w:b/>
        </w:rPr>
      </w:pPr>
      <w:r>
        <w:rPr>
          <w:b/>
        </w:rPr>
        <w:t>National Oceanic &amp; Atmospheric Administration</w:t>
      </w:r>
    </w:p>
    <w:p w:rsidR="0026614E" w14:paraId="2590B560" w14:textId="77777777">
      <w:pPr>
        <w:spacing w:line="259" w:lineRule="auto"/>
        <w:ind w:hanging="6"/>
        <w:jc w:val="center"/>
        <w:rPr>
          <w:b/>
        </w:rPr>
      </w:pPr>
      <w:r w:rsidRPr="00412A16">
        <w:rPr>
          <w:b/>
          <w:bCs/>
          <w:color w:val="000000"/>
        </w:rPr>
        <w:t>Coastal and Marine Ecological Classification Standard Solicitation for Revisions</w:t>
      </w:r>
      <w:r>
        <w:rPr>
          <w:b/>
        </w:rPr>
        <w:t xml:space="preserve"> </w:t>
      </w:r>
    </w:p>
    <w:p w:rsidR="00BB7716" w14:paraId="640D01CC" w14:textId="49177FDA">
      <w:pPr>
        <w:spacing w:line="259" w:lineRule="auto"/>
        <w:ind w:hanging="6"/>
        <w:jc w:val="center"/>
        <w:rPr>
          <w:b/>
        </w:rPr>
      </w:pPr>
      <w:bookmarkStart w:id="0" w:name="_GoBack"/>
      <w:bookmarkEnd w:id="0"/>
      <w:r>
        <w:rPr>
          <w:b/>
        </w:rPr>
        <w:t>OMB Control No. 0648-0799</w:t>
      </w:r>
    </w:p>
    <w:p w:rsidR="00BB7716" w14:paraId="620AD635" w14:textId="77777777">
      <w:pPr>
        <w:pBdr>
          <w:top w:val="nil"/>
          <w:left w:val="nil"/>
          <w:bottom w:val="nil"/>
          <w:right w:val="nil"/>
          <w:between w:val="nil"/>
        </w:pBdr>
        <w:spacing w:before="1"/>
        <w:jc w:val="center"/>
        <w:rPr>
          <w:b/>
          <w:color w:val="000000"/>
        </w:rPr>
      </w:pPr>
    </w:p>
    <w:p w:rsidR="00BB7716" w14:paraId="54C8AD0F" w14:textId="77777777">
      <w:pPr>
        <w:spacing w:before="1" w:line="398" w:lineRule="auto"/>
        <w:rPr>
          <w:b/>
        </w:rPr>
      </w:pPr>
      <w:r>
        <w:rPr>
          <w:b/>
          <w:color w:val="000000"/>
        </w:rPr>
        <w:t>SUPPORTING STATEMENT PART A</w:t>
      </w:r>
      <w:r>
        <w:rPr>
          <w:b/>
          <w:color w:val="1F497D"/>
        </w:rPr>
        <w:t xml:space="preserve"> -</w:t>
      </w:r>
    </w:p>
    <w:p w:rsidR="00BB7716" w14:paraId="31A3F151" w14:textId="77777777">
      <w:pPr>
        <w:pStyle w:val="Heading1"/>
        <w:spacing w:before="199"/>
        <w:ind w:left="0"/>
      </w:pPr>
      <w:r>
        <w:t>Abstract</w:t>
      </w:r>
    </w:p>
    <w:p w:rsidR="008663E7" w14:paraId="3F597618" w14:textId="77777777">
      <w:r w:rsidRPr="008663E7">
        <w:t>This is a request for renewal of an approved information collection</w:t>
      </w:r>
      <w:r w:rsidR="002976CD">
        <w:t xml:space="preserve">. </w:t>
      </w:r>
    </w:p>
    <w:p w:rsidR="00FF3DC9" w14:paraId="2D52CB0B" w14:textId="77777777"/>
    <w:p w:rsidR="00BB7716" w14:paraId="796D743C" w14:textId="142A1420">
      <w:pPr>
        <w:rPr>
          <w:b/>
        </w:rPr>
      </w:pPr>
      <w:r>
        <w:t>The Coastal and Marine Ecological Classification Standard was endorsed as a national standard by the Federal Geographic Data Committee (FGDC) in 2012 (FGDC-STD-018-2012). The FGDC requires periodic reviews and updates to federal standards. This voluntary electronic form will allow for data collection and suggestions for revisions from the user community.</w:t>
      </w:r>
    </w:p>
    <w:p w:rsidR="00BB7716" w14:paraId="77110A65" w14:textId="77777777">
      <w:pPr>
        <w:pStyle w:val="Heading1"/>
        <w:spacing w:before="124"/>
        <w:ind w:left="0"/>
      </w:pPr>
      <w:r>
        <w:t>Justification</w:t>
      </w:r>
    </w:p>
    <w:p w:rsidR="00BB7716" w14:paraId="63C8B468" w14:textId="77777777">
      <w:pPr>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C6713" w14:paraId="70C659D1" w14:textId="77777777"/>
    <w:p w:rsidR="00BB7716" w14:paraId="25BDF364" w14:textId="4306A3CA">
      <w:r>
        <w:t>The FGDC requires periodic reviews and maintenance of federal standards. Collection of information from users is critical to this process.</w:t>
      </w:r>
    </w:p>
    <w:p w:rsidR="00BB7716" w14:paraId="032F159A" w14:textId="77777777"/>
    <w:p w:rsidR="00BB7716" w14:paraId="405C795B" w14:textId="5BE3B2F8">
      <w:r>
        <w:t xml:space="preserve">NOAA’s Office of Coastal Management (OCM) is </w:t>
      </w:r>
      <w:r w:rsidR="00AC6713">
        <w:t>conducting an</w:t>
      </w:r>
      <w:r>
        <w:t xml:space="preserve"> information collection that allow</w:t>
      </w:r>
      <w:r w:rsidR="00AC6713">
        <w:t>s</w:t>
      </w:r>
      <w:r>
        <w:t xml:space="preserve"> interested parties to submit requests for revisions to update the Coastal and Marine Ecological Classification Standard (CMECS).  CMECS was approved by the </w:t>
      </w:r>
      <w:hyperlink r:id="rId5">
        <w:r>
          <w:rPr>
            <w:color w:val="0000FF"/>
            <w:u w:val="single"/>
          </w:rPr>
          <w:t>Federal Geographic Data Committee</w:t>
        </w:r>
      </w:hyperlink>
      <w:r>
        <w:t xml:space="preserve"> (FGDC) in August 2012 and provides a national standard for consistent descriptions of coastal and marine ecological features.  The primary uses of CMECS are in mapping and classifying the geological, physical, biological, and chemical components of the environment.  Among other applications, the CMECS framework can be used to integrate data from disparate sources, facilitate comparisons among sites, and organize data for regional assessment.  Since its publication in 2012, the CMECS has been used to characterize habitats ranging from coastal wetlands and estuaries to the deep ocean and at local to global scales. Benefits of CMECS include: data collected by different sensors and methods can be integrated into a single database; all the physical, biological, and chemical-forcing functions that collectively determine a habitat type can be captured; and the system has the flexibility to accommodate new units as additional information becomes available.  </w:t>
      </w:r>
    </w:p>
    <w:p w:rsidR="00BB7716" w14:paraId="36A86BAF" w14:textId="77777777">
      <w:pPr>
        <w:pStyle w:val="Heading1"/>
        <w:tabs>
          <w:tab w:val="left" w:pos="360"/>
        </w:tabs>
        <w:spacing w:before="197"/>
        <w:ind w:left="0"/>
        <w:rPr>
          <w:b w:val="0"/>
        </w:rPr>
      </w:pPr>
      <w:bookmarkStart w:id="1" w:name="_heading=h.ezu4lz6e0p2e" w:colFirst="0" w:colLast="0"/>
      <w:bookmarkEnd w:id="1"/>
      <w:r>
        <w:rPr>
          <w:b w:val="0"/>
        </w:rPr>
        <w:t xml:space="preserve">The CMECS was developed as a dynamic standard to allow periodic revisions to continue to meet the needs of the user community and as such, the CMECS can be updated to accommodate the requirements of evolving scientific practices, technology, and coastal and marine resource management. The review process allows the CMECS to retain its consistency, credibility, and rigor through periodic reviews and an orderly, authoritative, and transparent updating process as required by the Federal Geographic Data Committee. Anyone can propose changes, which can include minor edits, such as grammatical or typographical corrections, clarifications of definitions and meaning, or more substantial changes to the hierarchy within components. The CMECS Implementation Group, through the Office for Coastal Management, has determined it is necessary to initiate the dynamic standard process to revise the CMECS. We are soliciting recommendations for revisions to the CMECS through a form to be posted on the CMECS website. All recommendations collected will be reviewed and revisions will be made to </w:t>
      </w:r>
      <w:r>
        <w:rPr>
          <w:b w:val="0"/>
        </w:rPr>
        <w:t>the CMECS to reflect those recommendations found to be valuable for implementation of the CMECS and supportive of the user community needs.</w:t>
      </w:r>
    </w:p>
    <w:p w:rsidR="00BB7716" w14:paraId="7637D7F6" w14:textId="77777777">
      <w:pPr>
        <w:pBdr>
          <w:top w:val="nil"/>
          <w:left w:val="nil"/>
          <w:bottom w:val="nil"/>
          <w:right w:val="nil"/>
          <w:between w:val="nil"/>
        </w:pBdr>
        <w:spacing w:before="159" w:line="259" w:lineRule="auto"/>
        <w:rPr>
          <w:color w:val="2F5496"/>
        </w:rPr>
      </w:pPr>
    </w:p>
    <w:p w:rsidR="00BB7716" w14:paraId="5764EBD5"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FF3DC9" w14:paraId="4167C6B3" w14:textId="77777777"/>
    <w:p w:rsidR="00BB7716" w14:paraId="55B820C5" w14:textId="5C444068">
      <w:r>
        <w:t>Information will be collected from volunteers who are interested in changes to the CMECS standard via a web form. This is the preferred method of collecting this information since the form walks the submitter through the necessary information, though paper forms are accepted as well. Information will be compiled quarterly by the CMECS Implementation Working Group, an interagency group of CMECS technical experts. This information will be used to assess needs for revisions to the CMECS. Information will not be disseminated to the public.</w:t>
      </w:r>
    </w:p>
    <w:p w:rsidR="00BB7716" w14:paraId="13CE0FF8" w14:textId="77777777"/>
    <w:p w:rsidR="00BB7716" w14:paraId="63474DDF" w14:textId="77777777">
      <w:pPr>
        <w:widowControl/>
        <w:rPr>
          <w:b/>
        </w:rPr>
      </w:pPr>
      <w:r>
        <w:rPr>
          <w:b/>
        </w:rPr>
        <w:t>Report contents:</w:t>
      </w:r>
    </w:p>
    <w:p w:rsidR="00BB7716" w14:paraId="4183475E" w14:textId="77777777">
      <w:pPr>
        <w:widowControl/>
        <w:rPr>
          <w:b/>
        </w:rPr>
      </w:pPr>
      <w:r>
        <w:rPr>
          <w:u w:val="single"/>
        </w:rPr>
        <w:t>Mandatory information</w:t>
      </w:r>
    </w:p>
    <w:p w:rsidR="00BB7716" w14:paraId="6455B571" w14:textId="77777777">
      <w:pPr>
        <w:widowControl/>
        <w:numPr>
          <w:ilvl w:val="0"/>
          <w:numId w:val="4"/>
        </w:numPr>
        <w:tabs>
          <w:tab w:val="left" w:pos="360"/>
          <w:tab w:val="left" w:pos="720"/>
          <w:tab w:val="left" w:pos="1080"/>
          <w:tab w:val="left" w:pos="1440"/>
        </w:tabs>
      </w:pPr>
      <w:r>
        <w:t>Respondent’s email address</w:t>
      </w:r>
    </w:p>
    <w:p w:rsidR="00BB7716" w14:paraId="471E9727" w14:textId="77777777">
      <w:pPr>
        <w:widowControl/>
        <w:numPr>
          <w:ilvl w:val="0"/>
          <w:numId w:val="4"/>
        </w:numPr>
        <w:tabs>
          <w:tab w:val="left" w:pos="360"/>
          <w:tab w:val="left" w:pos="720"/>
          <w:tab w:val="left" w:pos="1080"/>
          <w:tab w:val="left" w:pos="1440"/>
        </w:tabs>
      </w:pPr>
      <w:r>
        <w:t>Respondent’s name and affiliation</w:t>
      </w:r>
    </w:p>
    <w:p w:rsidR="00BB7716" w14:paraId="7B998A9B" w14:textId="77777777">
      <w:pPr>
        <w:widowControl/>
        <w:numPr>
          <w:ilvl w:val="0"/>
          <w:numId w:val="4"/>
        </w:numPr>
        <w:tabs>
          <w:tab w:val="left" w:pos="360"/>
          <w:tab w:val="left" w:pos="720"/>
          <w:tab w:val="left" w:pos="1080"/>
          <w:tab w:val="left" w:pos="1440"/>
        </w:tabs>
      </w:pPr>
      <w:r>
        <w:t>Type of change proposed</w:t>
      </w:r>
    </w:p>
    <w:p w:rsidR="00BB7716" w14:paraId="4C675B89" w14:textId="77777777">
      <w:pPr>
        <w:widowControl/>
        <w:numPr>
          <w:ilvl w:val="0"/>
          <w:numId w:val="4"/>
        </w:numPr>
        <w:tabs>
          <w:tab w:val="left" w:pos="360"/>
          <w:tab w:val="left" w:pos="720"/>
          <w:tab w:val="left" w:pos="1080"/>
          <w:tab w:val="left" w:pos="1440"/>
        </w:tabs>
      </w:pPr>
      <w:r>
        <w:t>Primary CMECS setting or component</w:t>
      </w:r>
    </w:p>
    <w:p w:rsidR="00BB7716" w14:paraId="342F8118" w14:textId="77777777">
      <w:pPr>
        <w:widowControl/>
        <w:numPr>
          <w:ilvl w:val="0"/>
          <w:numId w:val="4"/>
        </w:numPr>
        <w:tabs>
          <w:tab w:val="left" w:pos="360"/>
          <w:tab w:val="left" w:pos="720"/>
          <w:tab w:val="left" w:pos="1080"/>
          <w:tab w:val="left" w:pos="1440"/>
        </w:tabs>
      </w:pPr>
      <w:r>
        <w:t>Description of proposed change</w:t>
      </w:r>
    </w:p>
    <w:p w:rsidR="00BB7716" w14:paraId="1D7845E5" w14:textId="77777777">
      <w:pPr>
        <w:widowControl/>
        <w:numPr>
          <w:ilvl w:val="0"/>
          <w:numId w:val="4"/>
        </w:numPr>
        <w:tabs>
          <w:tab w:val="left" w:pos="360"/>
          <w:tab w:val="left" w:pos="720"/>
          <w:tab w:val="left" w:pos="1080"/>
          <w:tab w:val="left" w:pos="1440"/>
        </w:tabs>
      </w:pPr>
      <w:r>
        <w:t>Justification for proposed change</w:t>
      </w:r>
    </w:p>
    <w:p w:rsidR="00BB7716" w14:paraId="2A1E234E" w14:textId="77777777">
      <w:pPr>
        <w:widowControl/>
        <w:numPr>
          <w:ilvl w:val="0"/>
          <w:numId w:val="4"/>
        </w:numPr>
        <w:tabs>
          <w:tab w:val="left" w:pos="360"/>
          <w:tab w:val="left" w:pos="720"/>
          <w:tab w:val="left" w:pos="1080"/>
          <w:tab w:val="left" w:pos="1440"/>
        </w:tabs>
      </w:pPr>
      <w:r>
        <w:t>Geographic range of proposed change</w:t>
      </w:r>
    </w:p>
    <w:p w:rsidR="00BB7716" w14:paraId="613D3B41" w14:textId="77777777">
      <w:pPr>
        <w:widowControl/>
        <w:numPr>
          <w:ilvl w:val="0"/>
          <w:numId w:val="4"/>
        </w:numPr>
        <w:tabs>
          <w:tab w:val="left" w:pos="360"/>
          <w:tab w:val="left" w:pos="720"/>
          <w:tab w:val="left" w:pos="1080"/>
          <w:tab w:val="left" w:pos="1440"/>
        </w:tabs>
      </w:pPr>
      <w:r>
        <w:t>Final check confirmation</w:t>
      </w:r>
    </w:p>
    <w:p w:rsidR="00BB7716" w14:paraId="0517173D" w14:textId="77777777">
      <w:pPr>
        <w:widowControl/>
        <w:tabs>
          <w:tab w:val="left" w:pos="360"/>
          <w:tab w:val="left" w:pos="720"/>
          <w:tab w:val="left" w:pos="1080"/>
          <w:tab w:val="left" w:pos="1440"/>
        </w:tabs>
        <w:rPr>
          <w:u w:val="single"/>
        </w:rPr>
      </w:pPr>
    </w:p>
    <w:p w:rsidR="00BB7716" w14:paraId="61E344D7" w14:textId="77777777">
      <w:pPr>
        <w:widowControl/>
        <w:tabs>
          <w:tab w:val="left" w:pos="360"/>
          <w:tab w:val="left" w:pos="720"/>
          <w:tab w:val="left" w:pos="1080"/>
          <w:tab w:val="left" w:pos="1440"/>
        </w:tabs>
        <w:rPr>
          <w:u w:val="single"/>
        </w:rPr>
      </w:pPr>
      <w:r>
        <w:rPr>
          <w:u w:val="single"/>
        </w:rPr>
        <w:t>Voluntary information</w:t>
      </w:r>
    </w:p>
    <w:p w:rsidR="00BB7716" w14:paraId="66D4E975" w14:textId="77777777">
      <w:pPr>
        <w:widowControl/>
        <w:numPr>
          <w:ilvl w:val="0"/>
          <w:numId w:val="2"/>
        </w:numPr>
        <w:tabs>
          <w:tab w:val="left" w:pos="360"/>
          <w:tab w:val="left" w:pos="720"/>
          <w:tab w:val="left" w:pos="1080"/>
          <w:tab w:val="left" w:pos="1440"/>
        </w:tabs>
        <w:rPr>
          <w:u w:val="single"/>
        </w:rPr>
      </w:pPr>
      <w:r>
        <w:t>Co-respondent’s names and affiliations</w:t>
      </w:r>
    </w:p>
    <w:p w:rsidR="00BB7716" w14:paraId="110D294A" w14:textId="77777777">
      <w:pPr>
        <w:widowControl/>
        <w:numPr>
          <w:ilvl w:val="0"/>
          <w:numId w:val="2"/>
        </w:numPr>
        <w:tabs>
          <w:tab w:val="left" w:pos="360"/>
          <w:tab w:val="left" w:pos="720"/>
          <w:tab w:val="left" w:pos="1080"/>
          <w:tab w:val="left" w:pos="1440"/>
        </w:tabs>
        <w:rPr>
          <w:u w:val="single"/>
        </w:rPr>
      </w:pPr>
      <w:r>
        <w:t>Attached documentation</w:t>
      </w:r>
    </w:p>
    <w:p w:rsidR="00BB7716" w14:paraId="40F5B20E" w14:textId="77777777">
      <w:pPr>
        <w:widowControl/>
        <w:numPr>
          <w:ilvl w:val="0"/>
          <w:numId w:val="2"/>
        </w:numPr>
        <w:tabs>
          <w:tab w:val="left" w:pos="360"/>
          <w:tab w:val="left" w:pos="720"/>
          <w:tab w:val="left" w:pos="1080"/>
          <w:tab w:val="left" w:pos="1440"/>
        </w:tabs>
        <w:rPr>
          <w:u w:val="single"/>
        </w:rPr>
      </w:pPr>
      <w:r>
        <w:t>Option to volunteer as a reviewer</w:t>
      </w:r>
    </w:p>
    <w:p w:rsidR="00BB7716" w14:paraId="2CBCA971" w14:textId="77777777">
      <w:pPr>
        <w:pBdr>
          <w:top w:val="nil"/>
          <w:left w:val="nil"/>
          <w:bottom w:val="nil"/>
          <w:right w:val="nil"/>
          <w:between w:val="nil"/>
        </w:pBdr>
        <w:tabs>
          <w:tab w:val="left" w:pos="360"/>
        </w:tabs>
        <w:spacing w:before="199"/>
        <w:ind w:left="400"/>
        <w:rPr>
          <w:b/>
        </w:rPr>
      </w:pPr>
    </w:p>
    <w:p w:rsidR="00BB7716" w14:paraId="5CBD0C2C" w14:textId="77777777">
      <w:pPr>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F3DC9" w14:paraId="0C3E3A0B" w14:textId="77777777"/>
    <w:p w:rsidR="00BB7716" w14:paraId="5B88CFB2" w14:textId="453E909A">
      <w:r>
        <w:t>This information will be collected by an electronic form posted on the CMECS website.  However, we will also accept paper format for anyone unable to access the form through the internet. Some follow up interviews may occur to better understand recommendations as needed.</w:t>
      </w:r>
    </w:p>
    <w:p w:rsidR="00BB7716" w14:paraId="2A94C618" w14:textId="77777777"/>
    <w:p w:rsidR="00BB7716" w14:paraId="288045C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FF3DC9" w14:paraId="6286C628" w14:textId="77777777"/>
    <w:p w:rsidR="00BB7716" w14:paraId="5C02EDCA" w14:textId="4A456028">
      <w:r>
        <w:t>The information being requested is not currently collected by any other source or any other format.</w:t>
      </w:r>
    </w:p>
    <w:p w:rsidR="00BB7716" w14:paraId="7769452E" w14:textId="77777777">
      <w:pPr>
        <w:pBdr>
          <w:top w:val="nil"/>
          <w:left w:val="nil"/>
          <w:bottom w:val="nil"/>
          <w:right w:val="nil"/>
          <w:between w:val="nil"/>
        </w:pBdr>
        <w:spacing w:before="161"/>
        <w:rPr>
          <w:color w:val="2F5496"/>
        </w:rPr>
      </w:pPr>
    </w:p>
    <w:p w:rsidR="00BB7716" w14:paraId="1C8FFE02"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If the collection of information impacts small businesses or other small entities, describe any </w:t>
      </w:r>
      <w:r>
        <w:rPr>
          <w:b/>
          <w:color w:val="000000"/>
        </w:rPr>
        <w:t>methods used to minimize burden.</w:t>
      </w:r>
    </w:p>
    <w:p w:rsidR="00FF3DC9" w14:paraId="54368E58" w14:textId="77777777"/>
    <w:p w:rsidR="00BB7716" w14:paraId="5B1055C9" w14:textId="676CCE63">
      <w:r>
        <w:t xml:space="preserve">It is unlikely that small businesses will be involved in this information collection. Primary respondents will be researchers from academic institutions and coastal resource managers within federal, state, and tribal government institutions. The change request form has been simplified with dropdown menus and minimal open-ended fields to reduce burden for respondents. </w:t>
      </w:r>
    </w:p>
    <w:p w:rsidR="00BB7716" w14:paraId="1CB7EFAA" w14:textId="77777777"/>
    <w:p w:rsidR="00BB7716" w14:paraId="577218F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F3DC9" w14:paraId="2B79D927" w14:textId="77777777"/>
    <w:p w:rsidR="00BB7716" w14:paraId="4F3464CA" w14:textId="4BFFB2C4">
      <w:r>
        <w:t>If this collection is not conducted, NOAA will be unable to properly assess the need for revisions to CMECS. The CMECS was developed as a dynamic standard to allow periodic revisions to continue to meet the needs of the user community and as such, the CMECS can be updated to accommodate the requirements of evolving scientific practices, technology, and coastal and marine resource management. The review process allows the CMECS to retain its consistency, credibility, and rigor through periodic reviews and an orderly, authoritative, and transparent updating process as required by the Federal Geographic Data Committee.</w:t>
      </w:r>
    </w:p>
    <w:p w:rsidR="00BB7716" w14:paraId="280B87E7" w14:textId="77777777">
      <w:pPr>
        <w:pBdr>
          <w:top w:val="nil"/>
          <w:left w:val="nil"/>
          <w:bottom w:val="nil"/>
          <w:right w:val="nil"/>
          <w:between w:val="nil"/>
        </w:pBdr>
        <w:spacing w:before="115"/>
        <w:rPr>
          <w:color w:val="2F5496"/>
        </w:rPr>
      </w:pPr>
    </w:p>
    <w:p w:rsidR="00BB7716" w14:paraId="5D697FA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BB7716" w14:paraId="33544374" w14:textId="77777777">
      <w:pPr>
        <w:pBdr>
          <w:top w:val="nil"/>
          <w:left w:val="nil"/>
          <w:bottom w:val="nil"/>
          <w:right w:val="nil"/>
          <w:between w:val="nil"/>
        </w:pBdr>
        <w:tabs>
          <w:tab w:val="left" w:pos="360"/>
        </w:tabs>
        <w:spacing w:before="80"/>
        <w:rPr>
          <w:b/>
        </w:rPr>
      </w:pPr>
      <w:r>
        <w:rPr>
          <w:b/>
        </w:rPr>
        <w:t>OMB guidelines</w:t>
      </w:r>
    </w:p>
    <w:p w:rsidR="00BB7716" w14:paraId="42AC7BAD" w14:textId="77777777">
      <w:pPr>
        <w:numPr>
          <w:ilvl w:val="0"/>
          <w:numId w:val="3"/>
        </w:numPr>
        <w:pBdr>
          <w:top w:val="nil"/>
          <w:left w:val="nil"/>
          <w:bottom w:val="nil"/>
          <w:right w:val="nil"/>
          <w:between w:val="nil"/>
        </w:pBdr>
        <w:spacing w:before="120"/>
        <w:ind w:left="720"/>
      </w:pPr>
      <w:r>
        <w:t>requiring respondents to report information to the agency more often than quarterly;</w:t>
      </w:r>
    </w:p>
    <w:p w:rsidR="00BB7716" w14:paraId="6E118113" w14:textId="77777777">
      <w:pPr>
        <w:numPr>
          <w:ilvl w:val="1"/>
          <w:numId w:val="3"/>
        </w:numPr>
        <w:pBdr>
          <w:top w:val="nil"/>
          <w:left w:val="nil"/>
          <w:bottom w:val="nil"/>
          <w:right w:val="nil"/>
          <w:between w:val="nil"/>
        </w:pBdr>
        <w:spacing w:before="120"/>
        <w:rPr>
          <w:color w:val="000000"/>
        </w:rPr>
      </w:pPr>
      <w:r>
        <w:t>There is no need, requirement, or expectation that respondents report information more often than quarterly. Most respondents report information less than once a year.</w:t>
      </w:r>
    </w:p>
    <w:p w:rsidR="00BB7716" w14:paraId="30919EF4" w14:textId="77777777">
      <w:pPr>
        <w:numPr>
          <w:ilvl w:val="0"/>
          <w:numId w:val="3"/>
        </w:numPr>
        <w:pBdr>
          <w:top w:val="nil"/>
          <w:left w:val="nil"/>
          <w:bottom w:val="nil"/>
          <w:right w:val="nil"/>
          <w:between w:val="nil"/>
        </w:pBdr>
        <w:spacing w:before="120"/>
        <w:ind w:left="720"/>
      </w:pPr>
      <w:r>
        <w:t>requiring respondents to prepare a written response to a collection of information in fewer than 30 days after receipt of it;</w:t>
      </w:r>
    </w:p>
    <w:p w:rsidR="00BB7716" w14:paraId="5D8BC397" w14:textId="77777777">
      <w:pPr>
        <w:numPr>
          <w:ilvl w:val="1"/>
          <w:numId w:val="3"/>
        </w:numPr>
        <w:pBdr>
          <w:top w:val="nil"/>
          <w:left w:val="nil"/>
          <w:bottom w:val="nil"/>
          <w:right w:val="nil"/>
          <w:between w:val="nil"/>
        </w:pBdr>
        <w:spacing w:before="120"/>
        <w:rPr>
          <w:color w:val="000000"/>
        </w:rPr>
      </w:pPr>
      <w:r>
        <w:t>There is no need, requirement, or expectation for respondents to prepare a written response in fewer than 30 days after receipt of it.</w:t>
      </w:r>
    </w:p>
    <w:p w:rsidR="00BB7716" w14:paraId="55DB6699" w14:textId="77777777">
      <w:pPr>
        <w:numPr>
          <w:ilvl w:val="0"/>
          <w:numId w:val="3"/>
        </w:numPr>
        <w:pBdr>
          <w:top w:val="nil"/>
          <w:left w:val="nil"/>
          <w:bottom w:val="nil"/>
          <w:right w:val="nil"/>
          <w:between w:val="nil"/>
        </w:pBdr>
        <w:spacing w:before="120"/>
        <w:ind w:left="720"/>
      </w:pPr>
      <w:r>
        <w:t>requiring respondents to submit more than an original and two copies of any document;</w:t>
      </w:r>
    </w:p>
    <w:p w:rsidR="00BB7716" w14:paraId="5CFBE741" w14:textId="77777777">
      <w:pPr>
        <w:numPr>
          <w:ilvl w:val="1"/>
          <w:numId w:val="3"/>
        </w:numPr>
        <w:spacing w:before="120"/>
        <w:rPr>
          <w:color w:val="000000"/>
        </w:rPr>
      </w:pPr>
      <w:r>
        <w:t>There is no need, requirement, or expectation for respondents to submit more than an original and two copies of any document. All submissions to date have been electronically submitted.</w:t>
      </w:r>
    </w:p>
    <w:p w:rsidR="00BB7716" w14:paraId="46E38320" w14:textId="77777777">
      <w:pPr>
        <w:numPr>
          <w:ilvl w:val="0"/>
          <w:numId w:val="3"/>
        </w:numPr>
        <w:pBdr>
          <w:top w:val="nil"/>
          <w:left w:val="nil"/>
          <w:bottom w:val="nil"/>
          <w:right w:val="nil"/>
          <w:between w:val="nil"/>
        </w:pBdr>
        <w:spacing w:before="120"/>
        <w:ind w:left="720"/>
      </w:pPr>
      <w:r>
        <w:t>requiring respondents to retain records, other than health, medical, government contract, grant-in- aid, or tax records for more than three years;</w:t>
      </w:r>
    </w:p>
    <w:p w:rsidR="00BB7716" w14:paraId="212A4CA7" w14:textId="77777777">
      <w:pPr>
        <w:numPr>
          <w:ilvl w:val="1"/>
          <w:numId w:val="3"/>
        </w:numPr>
        <w:spacing w:before="120"/>
        <w:rPr>
          <w:color w:val="000000"/>
        </w:rPr>
      </w:pPr>
      <w:r>
        <w:t>There is no need, requirement, or expectation for respondents to requiring respondents to retain records, other than health, medical, government contract, grant-in- aid, or tax records for more than three years.</w:t>
      </w:r>
    </w:p>
    <w:p w:rsidR="00BB7716" w14:paraId="6ECB56F7" w14:textId="77777777">
      <w:pPr>
        <w:numPr>
          <w:ilvl w:val="0"/>
          <w:numId w:val="3"/>
        </w:numPr>
        <w:pBdr>
          <w:top w:val="nil"/>
          <w:left w:val="nil"/>
          <w:bottom w:val="nil"/>
          <w:right w:val="nil"/>
          <w:between w:val="nil"/>
        </w:pBdr>
        <w:spacing w:before="120"/>
        <w:ind w:left="720"/>
      </w:pPr>
      <w:r>
        <w:t>in connection with a statistical survey, that is not designed to produce valid and reliable results that can be generalized to the universe of study;</w:t>
      </w:r>
    </w:p>
    <w:p w:rsidR="00BB7716" w14:paraId="09D439B2" w14:textId="77777777">
      <w:pPr>
        <w:numPr>
          <w:ilvl w:val="1"/>
          <w:numId w:val="3"/>
        </w:numPr>
        <w:spacing w:before="120"/>
        <w:rPr>
          <w:color w:val="000000"/>
        </w:rPr>
      </w:pPr>
      <w:r>
        <w:t>No, this is not a statistical survey.</w:t>
      </w:r>
    </w:p>
    <w:p w:rsidR="00BB7716" w14:paraId="2DB60DCC" w14:textId="77777777">
      <w:pPr>
        <w:numPr>
          <w:ilvl w:val="0"/>
          <w:numId w:val="3"/>
        </w:numPr>
        <w:pBdr>
          <w:top w:val="nil"/>
          <w:left w:val="nil"/>
          <w:bottom w:val="nil"/>
          <w:right w:val="nil"/>
          <w:between w:val="nil"/>
        </w:pBdr>
        <w:spacing w:before="120"/>
        <w:ind w:left="720"/>
      </w:pPr>
      <w:r>
        <w:t>requiring the use of a statistical data classification that has not been reviewed and approved by OMB;</w:t>
      </w:r>
    </w:p>
    <w:p w:rsidR="00BB7716" w14:paraId="3C3C246D" w14:textId="77777777">
      <w:pPr>
        <w:numPr>
          <w:ilvl w:val="1"/>
          <w:numId w:val="3"/>
        </w:numPr>
        <w:spacing w:before="120"/>
        <w:rPr>
          <w:color w:val="000000"/>
        </w:rPr>
      </w:pPr>
      <w:r>
        <w:t>No, this is not a statistical study.</w:t>
      </w:r>
    </w:p>
    <w:p w:rsidR="00BB7716" w14:paraId="6A4E30DA" w14:textId="77777777">
      <w:pPr>
        <w:numPr>
          <w:ilvl w:val="0"/>
          <w:numId w:val="3"/>
        </w:numPr>
        <w:pBdr>
          <w:top w:val="nil"/>
          <w:left w:val="nil"/>
          <w:bottom w:val="nil"/>
          <w:right w:val="nil"/>
          <w:between w:val="nil"/>
        </w:pBdr>
        <w:spacing w:before="120"/>
        <w:ind w:left="720"/>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B7716" w14:paraId="54B5116E" w14:textId="77777777">
      <w:pPr>
        <w:numPr>
          <w:ilvl w:val="1"/>
          <w:numId w:val="3"/>
        </w:numPr>
        <w:spacing w:before="120"/>
        <w:rPr>
          <w:color w:val="000000"/>
        </w:rPr>
      </w:pPr>
      <w:r>
        <w:t>There is no need, requirement, or expectation for respondents to include a pledge of confidentiality.</w:t>
      </w:r>
    </w:p>
    <w:p w:rsidR="00BB7716" w14:paraId="416A9AED" w14:textId="77777777">
      <w:pPr>
        <w:numPr>
          <w:ilvl w:val="0"/>
          <w:numId w:val="3"/>
        </w:numPr>
        <w:pBdr>
          <w:top w:val="nil"/>
          <w:left w:val="nil"/>
          <w:bottom w:val="nil"/>
          <w:right w:val="nil"/>
          <w:between w:val="nil"/>
        </w:pBdr>
        <w:spacing w:before="120"/>
        <w:ind w:left="720"/>
      </w:pPr>
      <w:r>
        <w:t>requiring respondents to submit proprietary trade secrets, or other confidential information unless the agency can demonstrate that it has instituted procedures to protect the information's confidentiality to the extent permitted by law.</w:t>
      </w:r>
    </w:p>
    <w:p w:rsidR="00BB7716" w14:paraId="31C65A81" w14:textId="77777777">
      <w:pPr>
        <w:numPr>
          <w:ilvl w:val="1"/>
          <w:numId w:val="3"/>
        </w:numPr>
        <w:spacing w:before="120"/>
        <w:rPr>
          <w:color w:val="000000"/>
        </w:rPr>
      </w:pPr>
      <w:r>
        <w:t>There is no need, requirement, or expectation for respondents to submit proprietary trade secrets, or other confidential information. CMECS is based on open science standards and cannot incorporate proprietary information.</w:t>
      </w:r>
    </w:p>
    <w:p w:rsidR="00BB7716" w14:paraId="218AC9A0" w14:textId="77777777">
      <w:pPr>
        <w:pBdr>
          <w:top w:val="nil"/>
          <w:left w:val="nil"/>
          <w:bottom w:val="nil"/>
          <w:right w:val="nil"/>
          <w:between w:val="nil"/>
        </w:pBdr>
        <w:spacing w:before="80"/>
        <w:rPr>
          <w:color w:val="000000"/>
        </w:rPr>
      </w:pPr>
    </w:p>
    <w:p w:rsidR="00BB7716" w14:paraId="6465D2E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A45E7" w14:paraId="04271ED6" w14:textId="77777777"/>
    <w:p w:rsidR="006A45E7" w14:paraId="274D9FAE" w14:textId="77777777">
      <w:r>
        <w:t xml:space="preserve">A </w:t>
      </w:r>
      <w:r>
        <w:rPr>
          <w:i/>
        </w:rPr>
        <w:t>Federal Register</w:t>
      </w:r>
      <w:r>
        <w:t xml:space="preserve"> Notice was published on June 26, 2024 (</w:t>
      </w:r>
      <w:r>
        <w:rPr>
          <w:color w:val="222222"/>
          <w:highlight w:val="white"/>
        </w:rPr>
        <w:t>0648-0799</w:t>
      </w:r>
      <w:r>
        <w:t xml:space="preserve">), to solicit public comments.  No comments were received. </w:t>
      </w:r>
    </w:p>
    <w:p w:rsidR="006A45E7" w14:paraId="067CE506" w14:textId="77777777"/>
    <w:p w:rsidR="00BB7716" w14:paraId="315877E1" w14:textId="5A7FD113">
      <w:pPr>
        <w:rPr>
          <w:color w:val="000000"/>
        </w:rPr>
      </w:pPr>
      <w:r>
        <w:t xml:space="preserve">The form was circulated for review to the CMECS Implementation Group, which includes USGS, NOAA, BOEM, and NPS, </w:t>
      </w:r>
      <w:r w:rsidRPr="006A45E7">
        <w:rPr>
          <w:bCs/>
          <w:iCs/>
        </w:rPr>
        <w:t>on the usefulness of the information you collect, clarity of instructions and whether burden and cost are accurate and reasonable</w:t>
      </w:r>
      <w:r>
        <w:t>. No comments</w:t>
      </w:r>
      <w:r>
        <w:rPr>
          <w:rFonts w:ascii="Arial" w:eastAsia="Arial" w:hAnsi="Arial" w:cs="Arial"/>
        </w:rPr>
        <w:t xml:space="preserve"> </w:t>
      </w:r>
      <w:r>
        <w:t>were received from this group.</w:t>
      </w:r>
    </w:p>
    <w:p w:rsidR="00BB7716" w14:paraId="29FBC0AA" w14:textId="77777777">
      <w:pPr>
        <w:pBdr>
          <w:top w:val="nil"/>
          <w:left w:val="nil"/>
          <w:bottom w:val="nil"/>
          <w:right w:val="nil"/>
          <w:between w:val="nil"/>
        </w:pBdr>
        <w:spacing w:before="159"/>
        <w:rPr>
          <w:color w:val="000000"/>
        </w:rPr>
      </w:pPr>
    </w:p>
    <w:p w:rsidR="00BB7716" w14:paraId="3A1B1000"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BB7716" w14:paraId="3B41AC76" w14:textId="77777777">
      <w:pPr>
        <w:tabs>
          <w:tab w:val="left" w:pos="360"/>
        </w:tabs>
        <w:spacing w:before="80"/>
      </w:pPr>
      <w:r>
        <w:t>No payment or gift is provided under this program.</w:t>
      </w:r>
    </w:p>
    <w:p w:rsidR="00BB7716" w14:paraId="61820A40" w14:textId="77777777">
      <w:pPr>
        <w:tabs>
          <w:tab w:val="left" w:pos="360"/>
        </w:tabs>
        <w:spacing w:before="80"/>
      </w:pPr>
    </w:p>
    <w:p w:rsidR="00BB7716" w14:paraId="54D01BDB"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6A45E7" w14:paraId="226665DD" w14:textId="77777777"/>
    <w:p w:rsidR="00BB7716" w14:paraId="4EC97BE5" w14:textId="7484B6D1">
      <w:r>
        <w:t>No confidentiality is provided to the respondent.  This information will not be disseminated to the public.  The only personally identifiable information collected is the respondent’s name, e-mail address, and affiliation, all of which are available in the public domain.</w:t>
      </w:r>
    </w:p>
    <w:p w:rsidR="005B04F6" w14:paraId="64454D76" w14:textId="77777777">
      <w:pPr>
        <w:rPr>
          <w:color w:val="2F5496"/>
        </w:rPr>
      </w:pPr>
    </w:p>
    <w:p w:rsidR="00BB7716" w14:paraId="22A2EA24"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7716" w14:paraId="5EFD3AC5" w14:textId="77777777">
      <w:pPr>
        <w:spacing w:line="259" w:lineRule="auto"/>
      </w:pPr>
    </w:p>
    <w:p w:rsidR="00BB7716" w14:paraId="33C493A6" w14:textId="77777777">
      <w:pPr>
        <w:spacing w:line="259" w:lineRule="auto"/>
        <w:rPr>
          <w:color w:val="2F5496"/>
        </w:rPr>
        <w:sectPr>
          <w:footerReference w:type="default" r:id="rId6"/>
          <w:pgSz w:w="12240" w:h="15840"/>
          <w:pgMar w:top="640" w:right="1080" w:bottom="1200" w:left="1080" w:header="0" w:footer="714" w:gutter="0"/>
          <w:pgNumType w:start="1"/>
          <w:cols w:space="720"/>
        </w:sectPr>
      </w:pPr>
      <w:r>
        <w:t>This information collection does not involve information of a sensitive nature.</w:t>
      </w:r>
    </w:p>
    <w:p w:rsidR="00BB7716" w14:paraId="1761195B" w14:textId="77777777">
      <w:pPr>
        <w:spacing w:line="259" w:lineRule="auto"/>
        <w:rPr>
          <w:color w:val="2F5496"/>
        </w:rPr>
      </w:pPr>
    </w:p>
    <w:p w:rsidR="00BB7716" w14:paraId="0316679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BB7716" w14:paraId="0D8FDF4D" w14:textId="77777777">
      <w:pPr>
        <w:spacing w:line="259" w:lineRule="auto"/>
        <w:ind w:hanging="43"/>
        <w:jc w:val="center"/>
        <w:rPr>
          <w:b/>
          <w:color w:val="FF0000"/>
        </w:rPr>
      </w:pPr>
    </w:p>
    <w:tbl>
      <w:tblPr>
        <w:tblStyle w:val="a6"/>
        <w:tblW w:w="14415" w:type="dxa"/>
        <w:tblInd w:w="-25" w:type="dxa"/>
        <w:tblLayout w:type="fixed"/>
        <w:tblLook w:val="0400"/>
      </w:tblPr>
      <w:tblGrid>
        <w:gridCol w:w="3560"/>
        <w:gridCol w:w="1945"/>
        <w:gridCol w:w="1441"/>
        <w:gridCol w:w="1349"/>
        <w:gridCol w:w="1170"/>
        <w:gridCol w:w="1080"/>
        <w:gridCol w:w="1137"/>
        <w:gridCol w:w="1066"/>
        <w:gridCol w:w="1667"/>
      </w:tblGrid>
      <w:tr w14:paraId="0DC57759" w14:textId="77777777">
        <w:tblPrEx>
          <w:tblW w:w="14415" w:type="dxa"/>
          <w:tblInd w:w="-25" w:type="dxa"/>
          <w:tblLayout w:type="fixed"/>
          <w:tblLook w:val="0400"/>
        </w:tblPrEx>
        <w:trPr>
          <w:trHeight w:val="1168"/>
        </w:trPr>
        <w:tc>
          <w:tcPr>
            <w:tcW w:w="356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B7716" w14:paraId="6376343C" w14:textId="77777777">
            <w:pPr>
              <w:widowControl/>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1945" w:type="dxa"/>
            <w:tcBorders>
              <w:top w:val="single" w:sz="8" w:space="0" w:color="000000"/>
              <w:left w:val="nil"/>
              <w:bottom w:val="single" w:sz="8" w:space="0" w:color="000000"/>
              <w:right w:val="single" w:sz="8" w:space="0" w:color="000000"/>
            </w:tcBorders>
            <w:shd w:val="clear" w:color="auto" w:fill="BDD7EE"/>
            <w:vAlign w:val="center"/>
          </w:tcPr>
          <w:p w:rsidR="00BB7716" w14:paraId="48BED988" w14:textId="77777777">
            <w:pPr>
              <w:widowControl/>
              <w:jc w:val="center"/>
              <w:rPr>
                <w:rFonts w:ascii="Calibri" w:eastAsia="Calibri" w:hAnsi="Calibri" w:cs="Calibri"/>
                <w:b/>
                <w:sz w:val="16"/>
                <w:szCs w:val="16"/>
              </w:rPr>
            </w:pPr>
            <w:r>
              <w:rPr>
                <w:rFonts w:ascii="Calibri" w:eastAsia="Calibri" w:hAnsi="Calibri" w:cs="Calibri"/>
                <w:b/>
                <w:sz w:val="16"/>
                <w:szCs w:val="16"/>
              </w:rPr>
              <w:t>Type of Respondent (e.g., Occupational Title)</w:t>
            </w:r>
          </w:p>
        </w:tc>
        <w:tc>
          <w:tcPr>
            <w:tcW w:w="1441" w:type="dxa"/>
            <w:tcBorders>
              <w:top w:val="single" w:sz="8" w:space="0" w:color="000000"/>
              <w:left w:val="nil"/>
              <w:bottom w:val="single" w:sz="8" w:space="0" w:color="000000"/>
              <w:right w:val="single" w:sz="8" w:space="0" w:color="000000"/>
            </w:tcBorders>
            <w:shd w:val="clear" w:color="auto" w:fill="BDD7EE"/>
            <w:vAlign w:val="center"/>
          </w:tcPr>
          <w:p w:rsidR="00BB7716" w14:paraId="5CAC1A49" w14:textId="77777777">
            <w:pPr>
              <w:widowControl/>
              <w:jc w:val="center"/>
              <w:rPr>
                <w:rFonts w:ascii="Calibri" w:eastAsia="Calibri" w:hAnsi="Calibri" w:cs="Calibri"/>
                <w:b/>
                <w:sz w:val="16"/>
                <w:szCs w:val="16"/>
              </w:rPr>
            </w:pPr>
            <w:r>
              <w:rPr>
                <w:rFonts w:ascii="Calibri" w:eastAsia="Calibri" w:hAnsi="Calibri" w:cs="Calibri"/>
                <w:b/>
                <w:sz w:val="16"/>
                <w:szCs w:val="16"/>
              </w:rPr>
              <w:t># of Respondents/year</w:t>
            </w:r>
            <w:r>
              <w:rPr>
                <w:rFonts w:ascii="Calibri" w:eastAsia="Calibri" w:hAnsi="Calibri" w:cs="Calibri"/>
                <w:b/>
                <w:sz w:val="16"/>
                <w:szCs w:val="16"/>
              </w:rPr>
              <w:br/>
              <w:t>(a)</w:t>
            </w:r>
          </w:p>
        </w:tc>
        <w:tc>
          <w:tcPr>
            <w:tcW w:w="1349" w:type="dxa"/>
            <w:tcBorders>
              <w:top w:val="single" w:sz="8" w:space="0" w:color="000000"/>
              <w:left w:val="nil"/>
              <w:bottom w:val="single" w:sz="8" w:space="0" w:color="000000"/>
              <w:right w:val="single" w:sz="8" w:space="0" w:color="000000"/>
            </w:tcBorders>
            <w:shd w:val="clear" w:color="auto" w:fill="BDD7EE"/>
            <w:vAlign w:val="center"/>
          </w:tcPr>
          <w:p w:rsidR="00BB7716" w14:paraId="5179413A" w14:textId="77777777">
            <w:pPr>
              <w:widowControl/>
              <w:jc w:val="center"/>
              <w:rPr>
                <w:rFonts w:ascii="Calibri" w:eastAsia="Calibri" w:hAnsi="Calibri" w:cs="Calibri"/>
                <w:b/>
                <w:sz w:val="16"/>
                <w:szCs w:val="16"/>
              </w:rPr>
            </w:pPr>
            <w:r>
              <w:rPr>
                <w:rFonts w:ascii="Calibri" w:eastAsia="Calibri" w:hAnsi="Calibri" w:cs="Calibri"/>
                <w:b/>
                <w:sz w:val="16"/>
                <w:szCs w:val="16"/>
              </w:rPr>
              <w:t>Annual # of Responses / Respondent</w:t>
            </w:r>
            <w:r>
              <w:rPr>
                <w:rFonts w:ascii="Calibri" w:eastAsia="Calibri" w:hAnsi="Calibri" w:cs="Calibri"/>
                <w:b/>
                <w:sz w:val="16"/>
                <w:szCs w:val="16"/>
              </w:rPr>
              <w:br/>
              <w:t>(b)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BB7716" w14:paraId="33C83EB0" w14:textId="77777777">
            <w:pPr>
              <w:widowControl/>
              <w:jc w:val="center"/>
              <w:rPr>
                <w:rFonts w:ascii="Calibri" w:eastAsia="Calibri" w:hAnsi="Calibri" w:cs="Calibri"/>
                <w:b/>
                <w:sz w:val="16"/>
                <w:szCs w:val="16"/>
              </w:rPr>
            </w:pPr>
            <w:r>
              <w:rPr>
                <w:rFonts w:ascii="Calibri" w:eastAsia="Calibri" w:hAnsi="Calibri" w:cs="Calibri"/>
                <w:b/>
                <w:sz w:val="16"/>
                <w:szCs w:val="16"/>
              </w:rPr>
              <w:t xml:space="preserve"> Total # of Annual Responses</w:t>
            </w:r>
            <w:r>
              <w:rPr>
                <w:rFonts w:ascii="Calibri" w:eastAsia="Calibri" w:hAnsi="Calibri" w:cs="Calibri"/>
                <w:b/>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BB7716" w14:paraId="2419C001" w14:textId="77777777">
            <w:pPr>
              <w:widowControl/>
              <w:jc w:val="center"/>
              <w:rPr>
                <w:rFonts w:ascii="Calibri" w:eastAsia="Calibri" w:hAnsi="Calibri" w:cs="Calibri"/>
                <w:b/>
                <w:sz w:val="16"/>
                <w:szCs w:val="16"/>
              </w:rPr>
            </w:pPr>
            <w:r>
              <w:rPr>
                <w:rFonts w:ascii="Calibri" w:eastAsia="Calibri" w:hAnsi="Calibri" w:cs="Calibri"/>
                <w:b/>
                <w:sz w:val="16"/>
                <w:szCs w:val="16"/>
              </w:rPr>
              <w:t>Burden Hrs / Response</w:t>
            </w:r>
            <w:r>
              <w:rPr>
                <w:rFonts w:ascii="Calibri" w:eastAsia="Calibri" w:hAnsi="Calibri" w:cs="Calibri"/>
                <w:b/>
                <w:sz w:val="16"/>
                <w:szCs w:val="16"/>
              </w:rPr>
              <w:br/>
              <w:t>(d)</w:t>
            </w:r>
          </w:p>
        </w:tc>
        <w:tc>
          <w:tcPr>
            <w:tcW w:w="1137" w:type="dxa"/>
            <w:tcBorders>
              <w:top w:val="single" w:sz="8" w:space="0" w:color="000000"/>
              <w:left w:val="nil"/>
              <w:bottom w:val="single" w:sz="8" w:space="0" w:color="000000"/>
              <w:right w:val="single" w:sz="8" w:space="0" w:color="000000"/>
            </w:tcBorders>
            <w:shd w:val="clear" w:color="auto" w:fill="BDD7EE"/>
            <w:vAlign w:val="center"/>
          </w:tcPr>
          <w:p w:rsidR="00BB7716" w14:paraId="0AE7A695" w14:textId="77777777">
            <w:pPr>
              <w:widowControl/>
              <w:jc w:val="center"/>
              <w:rPr>
                <w:rFonts w:ascii="Calibri" w:eastAsia="Calibri" w:hAnsi="Calibri" w:cs="Calibri"/>
                <w:b/>
                <w:sz w:val="16"/>
                <w:szCs w:val="16"/>
              </w:rPr>
            </w:pPr>
            <w:r>
              <w:rPr>
                <w:rFonts w:ascii="Calibri" w:eastAsia="Calibri" w:hAnsi="Calibri" w:cs="Calibri"/>
                <w:b/>
                <w:sz w:val="16"/>
                <w:szCs w:val="16"/>
              </w:rPr>
              <w:t>Total Annual Burden Hrs</w:t>
            </w:r>
            <w:r>
              <w:rPr>
                <w:rFonts w:ascii="Calibri" w:eastAsia="Calibri" w:hAnsi="Calibri" w:cs="Calibri"/>
                <w:b/>
                <w:sz w:val="16"/>
                <w:szCs w:val="16"/>
              </w:rPr>
              <w:br/>
              <w:t>(e)  = (c) x (d)</w:t>
            </w:r>
          </w:p>
        </w:tc>
        <w:tc>
          <w:tcPr>
            <w:tcW w:w="1066" w:type="dxa"/>
            <w:tcBorders>
              <w:top w:val="single" w:sz="8" w:space="0" w:color="000000"/>
              <w:left w:val="nil"/>
              <w:bottom w:val="single" w:sz="8" w:space="0" w:color="000000"/>
              <w:right w:val="single" w:sz="8" w:space="0" w:color="000000"/>
            </w:tcBorders>
            <w:shd w:val="clear" w:color="auto" w:fill="BDD7EE"/>
            <w:vAlign w:val="center"/>
          </w:tcPr>
          <w:p w:rsidR="00BB7716" w14:paraId="73EE48CA" w14:textId="77777777">
            <w:pPr>
              <w:widowControl/>
              <w:jc w:val="center"/>
              <w:rPr>
                <w:rFonts w:ascii="Calibri" w:eastAsia="Calibri" w:hAnsi="Calibri" w:cs="Calibri"/>
                <w:b/>
                <w:sz w:val="16"/>
                <w:szCs w:val="16"/>
              </w:rPr>
            </w:pPr>
            <w:r>
              <w:rPr>
                <w:rFonts w:ascii="Calibri" w:eastAsia="Calibri" w:hAnsi="Calibri" w:cs="Calibri"/>
                <w:b/>
                <w:sz w:val="16"/>
                <w:szCs w:val="16"/>
              </w:rPr>
              <w:t>Hourly Wage Rate  (for Type of Respondent)</w:t>
            </w:r>
            <w:r>
              <w:rPr>
                <w:rFonts w:ascii="Calibri" w:eastAsia="Calibri" w:hAnsi="Calibri" w:cs="Calibri"/>
                <w:b/>
                <w:sz w:val="16"/>
                <w:szCs w:val="16"/>
              </w:rPr>
              <w:br/>
              <w:t>(f)</w:t>
            </w:r>
          </w:p>
        </w:tc>
        <w:tc>
          <w:tcPr>
            <w:tcW w:w="1667" w:type="dxa"/>
            <w:tcBorders>
              <w:top w:val="single" w:sz="8" w:space="0" w:color="000000"/>
              <w:left w:val="nil"/>
              <w:bottom w:val="single" w:sz="8" w:space="0" w:color="000000"/>
              <w:right w:val="single" w:sz="8" w:space="0" w:color="000000"/>
            </w:tcBorders>
            <w:shd w:val="clear" w:color="auto" w:fill="BDD7EE"/>
            <w:vAlign w:val="center"/>
          </w:tcPr>
          <w:p w:rsidR="00BB7716" w14:paraId="176B6319" w14:textId="77777777">
            <w:pPr>
              <w:widowControl/>
              <w:jc w:val="center"/>
              <w:rPr>
                <w:rFonts w:ascii="Calibri" w:eastAsia="Calibri" w:hAnsi="Calibri" w:cs="Calibri"/>
                <w:b/>
                <w:sz w:val="16"/>
                <w:szCs w:val="16"/>
              </w:rPr>
            </w:pPr>
            <w:r>
              <w:rPr>
                <w:rFonts w:ascii="Calibri" w:eastAsia="Calibri" w:hAnsi="Calibri" w:cs="Calibri"/>
                <w:b/>
                <w:sz w:val="16"/>
                <w:szCs w:val="16"/>
              </w:rPr>
              <w:t>Total Annual Wage Burden Costs</w:t>
            </w:r>
            <w:r>
              <w:rPr>
                <w:rFonts w:ascii="Calibri" w:eastAsia="Calibri" w:hAnsi="Calibri" w:cs="Calibri"/>
                <w:b/>
                <w:sz w:val="16"/>
                <w:szCs w:val="16"/>
              </w:rPr>
              <w:br/>
              <w:t>(g) = (e) x (f)</w:t>
            </w:r>
          </w:p>
        </w:tc>
      </w:tr>
      <w:tr w14:paraId="4A4ED0E9" w14:textId="77777777">
        <w:tblPrEx>
          <w:tblW w:w="14415" w:type="dxa"/>
          <w:tblInd w:w="-25" w:type="dxa"/>
          <w:tblLayout w:type="fixed"/>
          <w:tblLook w:val="0400"/>
        </w:tblPrEx>
        <w:trPr>
          <w:trHeight w:val="300"/>
        </w:trPr>
        <w:tc>
          <w:tcPr>
            <w:tcW w:w="3560" w:type="dxa"/>
            <w:tcBorders>
              <w:top w:val="nil"/>
              <w:left w:val="single" w:sz="8" w:space="0" w:color="000000"/>
              <w:bottom w:val="single" w:sz="4" w:space="0" w:color="000000"/>
              <w:right w:val="single" w:sz="4" w:space="0" w:color="000000"/>
            </w:tcBorders>
            <w:shd w:val="clear" w:color="auto" w:fill="auto"/>
            <w:vAlign w:val="bottom"/>
          </w:tcPr>
          <w:p w:rsidR="00BB7716" w14:paraId="6B804CD3" w14:textId="77777777">
            <w:pPr>
              <w:widowControl/>
              <w:rPr>
                <w:rFonts w:ascii="Calibri" w:eastAsia="Calibri" w:hAnsi="Calibri" w:cs="Calibri"/>
                <w:sz w:val="16"/>
                <w:szCs w:val="16"/>
              </w:rPr>
            </w:pPr>
            <w:r>
              <w:rPr>
                <w:rFonts w:ascii="Calibri" w:eastAsia="Calibri" w:hAnsi="Calibri" w:cs="Calibri"/>
                <w:sz w:val="16"/>
                <w:szCs w:val="16"/>
              </w:rPr>
              <w:t>Coastal &amp; Marine Ecological Classification Standard Solicitation for Revisions </w:t>
            </w:r>
          </w:p>
        </w:tc>
        <w:tc>
          <w:tcPr>
            <w:tcW w:w="1945" w:type="dxa"/>
            <w:tcBorders>
              <w:top w:val="nil"/>
              <w:left w:val="nil"/>
              <w:bottom w:val="single" w:sz="4" w:space="0" w:color="000000"/>
              <w:right w:val="single" w:sz="4" w:space="0" w:color="000000"/>
            </w:tcBorders>
            <w:shd w:val="clear" w:color="auto" w:fill="auto"/>
            <w:vAlign w:val="bottom"/>
          </w:tcPr>
          <w:p w:rsidR="00BB7716" w14:paraId="34101D09" w14:textId="77777777">
            <w:pPr>
              <w:widowControl/>
              <w:jc w:val="center"/>
              <w:rPr>
                <w:rFonts w:ascii="Calibri" w:eastAsia="Calibri" w:hAnsi="Calibri" w:cs="Calibri"/>
                <w:sz w:val="16"/>
                <w:szCs w:val="16"/>
              </w:rPr>
            </w:pPr>
            <w:r>
              <w:rPr>
                <w:rFonts w:ascii="Calibri" w:eastAsia="Calibri" w:hAnsi="Calibri" w:cs="Calibri"/>
                <w:sz w:val="16"/>
                <w:szCs w:val="16"/>
              </w:rPr>
              <w:t>Academic Researchers and Coastal Resource Managers</w:t>
            </w:r>
          </w:p>
        </w:tc>
        <w:tc>
          <w:tcPr>
            <w:tcW w:w="1441" w:type="dxa"/>
            <w:tcBorders>
              <w:top w:val="nil"/>
              <w:left w:val="nil"/>
              <w:bottom w:val="single" w:sz="4" w:space="0" w:color="000000"/>
              <w:right w:val="single" w:sz="4" w:space="0" w:color="000000"/>
            </w:tcBorders>
            <w:shd w:val="clear" w:color="auto" w:fill="auto"/>
            <w:vAlign w:val="bottom"/>
          </w:tcPr>
          <w:p w:rsidR="00BB7716" w14:paraId="6936A8C6" w14:textId="77777777">
            <w:pPr>
              <w:widowControl/>
              <w:jc w:val="right"/>
              <w:rPr>
                <w:rFonts w:ascii="Calibri" w:eastAsia="Calibri" w:hAnsi="Calibri" w:cs="Calibri"/>
                <w:sz w:val="16"/>
                <w:szCs w:val="16"/>
              </w:rPr>
            </w:pPr>
            <w:r>
              <w:rPr>
                <w:rFonts w:ascii="Calibri" w:eastAsia="Calibri" w:hAnsi="Calibri" w:cs="Calibri"/>
                <w:sz w:val="16"/>
                <w:szCs w:val="16"/>
              </w:rPr>
              <w:t>100</w:t>
            </w:r>
          </w:p>
        </w:tc>
        <w:tc>
          <w:tcPr>
            <w:tcW w:w="1349" w:type="dxa"/>
            <w:tcBorders>
              <w:top w:val="nil"/>
              <w:left w:val="nil"/>
              <w:bottom w:val="single" w:sz="4" w:space="0" w:color="000000"/>
              <w:right w:val="single" w:sz="4" w:space="0" w:color="000000"/>
            </w:tcBorders>
            <w:shd w:val="clear" w:color="auto" w:fill="auto"/>
            <w:vAlign w:val="bottom"/>
          </w:tcPr>
          <w:p w:rsidR="00BB7716" w14:paraId="70F5B135" w14:textId="77777777">
            <w:pPr>
              <w:widowControl/>
              <w:jc w:val="right"/>
              <w:rPr>
                <w:rFonts w:ascii="Calibri" w:eastAsia="Calibri" w:hAnsi="Calibri" w:cs="Calibri"/>
                <w:sz w:val="16"/>
                <w:szCs w:val="16"/>
              </w:rPr>
            </w:pPr>
            <w:r>
              <w:rPr>
                <w:rFonts w:ascii="Calibri" w:eastAsia="Calibri" w:hAnsi="Calibri" w:cs="Calibri"/>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BB7716" w14:paraId="1C9C3312" w14:textId="77777777">
            <w:pPr>
              <w:widowControl/>
              <w:jc w:val="right"/>
              <w:rPr>
                <w:rFonts w:ascii="Calibri" w:eastAsia="Calibri" w:hAnsi="Calibri" w:cs="Calibri"/>
                <w:sz w:val="16"/>
                <w:szCs w:val="16"/>
              </w:rPr>
            </w:pPr>
            <w:r>
              <w:rPr>
                <w:rFonts w:ascii="Calibri" w:eastAsia="Calibri" w:hAnsi="Calibri" w:cs="Calibri"/>
                <w:sz w:val="16"/>
                <w:szCs w:val="16"/>
              </w:rPr>
              <w:t>100</w:t>
            </w:r>
          </w:p>
        </w:tc>
        <w:tc>
          <w:tcPr>
            <w:tcW w:w="1080" w:type="dxa"/>
            <w:tcBorders>
              <w:top w:val="nil"/>
              <w:left w:val="nil"/>
              <w:bottom w:val="single" w:sz="4" w:space="0" w:color="000000"/>
              <w:right w:val="single" w:sz="4" w:space="0" w:color="000000"/>
            </w:tcBorders>
            <w:shd w:val="clear" w:color="auto" w:fill="auto"/>
            <w:vAlign w:val="bottom"/>
          </w:tcPr>
          <w:p w:rsidR="00BB7716" w14:paraId="2F5FF3E9" w14:textId="77777777">
            <w:pPr>
              <w:widowControl/>
              <w:jc w:val="right"/>
              <w:rPr>
                <w:rFonts w:ascii="Calibri" w:eastAsia="Calibri" w:hAnsi="Calibri" w:cs="Calibri"/>
                <w:sz w:val="16"/>
                <w:szCs w:val="16"/>
              </w:rPr>
            </w:pPr>
            <w:r>
              <w:rPr>
                <w:rFonts w:ascii="Calibri" w:eastAsia="Calibri" w:hAnsi="Calibri" w:cs="Calibri"/>
                <w:sz w:val="16"/>
                <w:szCs w:val="16"/>
              </w:rPr>
              <w:t>1</w:t>
            </w:r>
          </w:p>
        </w:tc>
        <w:tc>
          <w:tcPr>
            <w:tcW w:w="1137" w:type="dxa"/>
            <w:tcBorders>
              <w:top w:val="nil"/>
              <w:left w:val="nil"/>
              <w:bottom w:val="single" w:sz="4" w:space="0" w:color="000000"/>
              <w:right w:val="single" w:sz="4" w:space="0" w:color="000000"/>
            </w:tcBorders>
            <w:shd w:val="clear" w:color="auto" w:fill="auto"/>
            <w:vAlign w:val="bottom"/>
          </w:tcPr>
          <w:p w:rsidR="00BB7716" w14:paraId="0F1CF83B" w14:textId="77777777">
            <w:pPr>
              <w:widowControl/>
              <w:jc w:val="right"/>
              <w:rPr>
                <w:rFonts w:ascii="Calibri" w:eastAsia="Calibri" w:hAnsi="Calibri" w:cs="Calibri"/>
                <w:sz w:val="16"/>
                <w:szCs w:val="16"/>
              </w:rPr>
            </w:pPr>
            <w:r>
              <w:rPr>
                <w:rFonts w:ascii="Calibri" w:eastAsia="Calibri" w:hAnsi="Calibri" w:cs="Calibri"/>
                <w:sz w:val="16"/>
                <w:szCs w:val="16"/>
              </w:rPr>
              <w:t>100</w:t>
            </w:r>
          </w:p>
        </w:tc>
        <w:tc>
          <w:tcPr>
            <w:tcW w:w="1066" w:type="dxa"/>
            <w:tcBorders>
              <w:top w:val="nil"/>
              <w:left w:val="nil"/>
              <w:bottom w:val="single" w:sz="4" w:space="0" w:color="000000"/>
              <w:right w:val="single" w:sz="4" w:space="0" w:color="000000"/>
            </w:tcBorders>
            <w:shd w:val="clear" w:color="auto" w:fill="auto"/>
            <w:vAlign w:val="bottom"/>
          </w:tcPr>
          <w:p w:rsidR="00BB7716" w14:paraId="656BA6F4" w14:textId="77777777">
            <w:pPr>
              <w:widowControl/>
              <w:jc w:val="right"/>
              <w:rPr>
                <w:rFonts w:ascii="Calibri" w:eastAsia="Calibri" w:hAnsi="Calibri" w:cs="Calibri"/>
                <w:sz w:val="16"/>
                <w:szCs w:val="16"/>
              </w:rPr>
            </w:pPr>
            <w:r>
              <w:rPr>
                <w:rFonts w:ascii="Calibri" w:eastAsia="Calibri" w:hAnsi="Calibri" w:cs="Calibri"/>
                <w:sz w:val="16"/>
                <w:szCs w:val="16"/>
              </w:rPr>
              <w:t>$28.85</w:t>
            </w:r>
          </w:p>
        </w:tc>
        <w:tc>
          <w:tcPr>
            <w:tcW w:w="1667" w:type="dxa"/>
            <w:tcBorders>
              <w:top w:val="nil"/>
              <w:left w:val="nil"/>
              <w:bottom w:val="single" w:sz="4" w:space="0" w:color="000000"/>
              <w:right w:val="single" w:sz="8" w:space="0" w:color="000000"/>
            </w:tcBorders>
            <w:shd w:val="clear" w:color="auto" w:fill="auto"/>
            <w:vAlign w:val="bottom"/>
          </w:tcPr>
          <w:p w:rsidR="00BB7716" w14:paraId="6DF0CF55" w14:textId="77777777">
            <w:pPr>
              <w:widowControl/>
              <w:jc w:val="right"/>
              <w:rPr>
                <w:rFonts w:ascii="Calibri" w:eastAsia="Calibri" w:hAnsi="Calibri" w:cs="Calibri"/>
                <w:sz w:val="16"/>
                <w:szCs w:val="16"/>
              </w:rPr>
            </w:pPr>
            <w:r>
              <w:rPr>
                <w:rFonts w:ascii="Calibri" w:eastAsia="Calibri" w:hAnsi="Calibri" w:cs="Calibri"/>
                <w:sz w:val="16"/>
                <w:szCs w:val="16"/>
              </w:rPr>
              <w:t>$2,885.00</w:t>
            </w:r>
          </w:p>
        </w:tc>
      </w:tr>
      <w:tr w14:paraId="44CADC72" w14:textId="77777777">
        <w:tblPrEx>
          <w:tblW w:w="14415" w:type="dxa"/>
          <w:tblInd w:w="-25" w:type="dxa"/>
          <w:tblLayout w:type="fixed"/>
          <w:tblLook w:val="0400"/>
        </w:tblPrEx>
        <w:trPr>
          <w:trHeight w:val="350"/>
        </w:trPr>
        <w:tc>
          <w:tcPr>
            <w:tcW w:w="3560" w:type="dxa"/>
            <w:tcBorders>
              <w:top w:val="nil"/>
              <w:left w:val="single" w:sz="8" w:space="0" w:color="000000"/>
              <w:bottom w:val="single" w:sz="8" w:space="0" w:color="000000"/>
              <w:right w:val="single" w:sz="8" w:space="0" w:color="000000"/>
            </w:tcBorders>
            <w:shd w:val="clear" w:color="auto" w:fill="DDEBF7"/>
            <w:vAlign w:val="bottom"/>
          </w:tcPr>
          <w:p w:rsidR="00BB7716" w14:paraId="4CB15D2D" w14:textId="77777777">
            <w:pPr>
              <w:widowControl/>
              <w:rPr>
                <w:rFonts w:ascii="Calibri" w:eastAsia="Calibri" w:hAnsi="Calibri" w:cs="Calibri"/>
                <w:b/>
                <w:sz w:val="22"/>
                <w:szCs w:val="22"/>
              </w:rPr>
            </w:pPr>
            <w:r>
              <w:rPr>
                <w:rFonts w:ascii="Calibri" w:eastAsia="Calibri" w:hAnsi="Calibri" w:cs="Calibri"/>
                <w:b/>
                <w:sz w:val="22"/>
                <w:szCs w:val="22"/>
              </w:rPr>
              <w:t>Totals</w:t>
            </w:r>
          </w:p>
        </w:tc>
        <w:tc>
          <w:tcPr>
            <w:tcW w:w="1945" w:type="dxa"/>
            <w:tcBorders>
              <w:top w:val="nil"/>
              <w:left w:val="nil"/>
              <w:bottom w:val="single" w:sz="8" w:space="0" w:color="000000"/>
              <w:right w:val="single" w:sz="8" w:space="0" w:color="000000"/>
            </w:tcBorders>
            <w:shd w:val="clear" w:color="auto" w:fill="000000"/>
            <w:vAlign w:val="bottom"/>
          </w:tcPr>
          <w:p w:rsidR="00BB7716" w14:paraId="4B505BB7" w14:textId="77777777">
            <w:pPr>
              <w:widowControl/>
              <w:rPr>
                <w:rFonts w:ascii="Calibri" w:eastAsia="Calibri" w:hAnsi="Calibri" w:cs="Calibri"/>
                <w:b/>
                <w:sz w:val="22"/>
                <w:szCs w:val="22"/>
              </w:rPr>
            </w:pPr>
            <w:r>
              <w:rPr>
                <w:rFonts w:ascii="Calibri" w:eastAsia="Calibri" w:hAnsi="Calibri" w:cs="Calibri"/>
                <w:b/>
                <w:sz w:val="22"/>
                <w:szCs w:val="22"/>
              </w:rPr>
              <w:t> </w:t>
            </w:r>
          </w:p>
        </w:tc>
        <w:tc>
          <w:tcPr>
            <w:tcW w:w="1441" w:type="dxa"/>
            <w:tcBorders>
              <w:top w:val="nil"/>
              <w:left w:val="nil"/>
              <w:bottom w:val="single" w:sz="8" w:space="0" w:color="000000"/>
              <w:right w:val="single" w:sz="8" w:space="0" w:color="000000"/>
            </w:tcBorders>
            <w:shd w:val="clear" w:color="auto" w:fill="000000"/>
            <w:vAlign w:val="bottom"/>
          </w:tcPr>
          <w:p w:rsidR="00BB7716" w14:paraId="64DB698C" w14:textId="77777777">
            <w:pPr>
              <w:widowControl/>
              <w:rPr>
                <w:rFonts w:ascii="Calibri" w:eastAsia="Calibri" w:hAnsi="Calibri" w:cs="Calibri"/>
                <w:b/>
                <w:sz w:val="22"/>
                <w:szCs w:val="22"/>
              </w:rPr>
            </w:pPr>
            <w:r>
              <w:rPr>
                <w:rFonts w:ascii="Calibri" w:eastAsia="Calibri" w:hAnsi="Calibri" w:cs="Calibri"/>
                <w:b/>
                <w:sz w:val="22"/>
                <w:szCs w:val="22"/>
              </w:rPr>
              <w:t> </w:t>
            </w:r>
          </w:p>
        </w:tc>
        <w:tc>
          <w:tcPr>
            <w:tcW w:w="1349" w:type="dxa"/>
            <w:tcBorders>
              <w:top w:val="nil"/>
              <w:left w:val="nil"/>
              <w:bottom w:val="single" w:sz="8" w:space="0" w:color="000000"/>
              <w:right w:val="single" w:sz="8" w:space="0" w:color="000000"/>
            </w:tcBorders>
            <w:shd w:val="clear" w:color="auto" w:fill="000000"/>
            <w:vAlign w:val="bottom"/>
          </w:tcPr>
          <w:p w:rsidR="00BB7716" w14:paraId="506D198B" w14:textId="77777777">
            <w:pPr>
              <w:widowControl/>
              <w:rPr>
                <w:rFonts w:ascii="Calibri" w:eastAsia="Calibri" w:hAnsi="Calibri" w:cs="Calibri"/>
                <w:b/>
                <w:sz w:val="22"/>
                <w:szCs w:val="22"/>
              </w:rPr>
            </w:pPr>
            <w:r>
              <w:rPr>
                <w:rFonts w:ascii="Calibri" w:eastAsia="Calibri" w:hAnsi="Calibri" w:cs="Calibri"/>
                <w:b/>
                <w:sz w:val="22"/>
                <w:szCs w:val="22"/>
              </w:rPr>
              <w:t> </w:t>
            </w:r>
          </w:p>
        </w:tc>
        <w:tc>
          <w:tcPr>
            <w:tcW w:w="1170" w:type="dxa"/>
            <w:tcBorders>
              <w:top w:val="nil"/>
              <w:left w:val="nil"/>
              <w:bottom w:val="single" w:sz="8" w:space="0" w:color="000000"/>
              <w:right w:val="single" w:sz="8" w:space="0" w:color="000000"/>
            </w:tcBorders>
            <w:shd w:val="clear" w:color="auto" w:fill="DDEBF7"/>
            <w:vAlign w:val="bottom"/>
          </w:tcPr>
          <w:p w:rsidR="00BB7716" w14:paraId="0479C2BD" w14:textId="77777777">
            <w:pPr>
              <w:widowControl/>
              <w:jc w:val="center"/>
              <w:rPr>
                <w:rFonts w:ascii="Calibri" w:eastAsia="Calibri" w:hAnsi="Calibri" w:cs="Calibri"/>
                <w:b/>
                <w:sz w:val="22"/>
                <w:szCs w:val="22"/>
              </w:rPr>
            </w:pPr>
            <w:r>
              <w:rPr>
                <w:rFonts w:ascii="Calibri" w:eastAsia="Calibri" w:hAnsi="Calibri" w:cs="Calibri"/>
                <w:b/>
                <w:sz w:val="22"/>
                <w:szCs w:val="22"/>
              </w:rPr>
              <w:t>100</w:t>
            </w:r>
          </w:p>
        </w:tc>
        <w:tc>
          <w:tcPr>
            <w:tcW w:w="1080" w:type="dxa"/>
            <w:tcBorders>
              <w:top w:val="nil"/>
              <w:left w:val="nil"/>
              <w:bottom w:val="single" w:sz="8" w:space="0" w:color="000000"/>
              <w:right w:val="single" w:sz="8" w:space="0" w:color="000000"/>
            </w:tcBorders>
            <w:shd w:val="clear" w:color="auto" w:fill="000000"/>
            <w:vAlign w:val="bottom"/>
          </w:tcPr>
          <w:p w:rsidR="00BB7716" w14:paraId="4E308CF3" w14:textId="77777777">
            <w:pPr>
              <w:widowControl/>
              <w:jc w:val="center"/>
              <w:rPr>
                <w:rFonts w:ascii="Calibri" w:eastAsia="Calibri" w:hAnsi="Calibri" w:cs="Calibri"/>
                <w:b/>
                <w:sz w:val="22"/>
                <w:szCs w:val="22"/>
              </w:rPr>
            </w:pPr>
          </w:p>
        </w:tc>
        <w:tc>
          <w:tcPr>
            <w:tcW w:w="1137" w:type="dxa"/>
            <w:tcBorders>
              <w:top w:val="nil"/>
              <w:left w:val="nil"/>
              <w:bottom w:val="single" w:sz="8" w:space="0" w:color="000000"/>
              <w:right w:val="single" w:sz="8" w:space="0" w:color="000000"/>
            </w:tcBorders>
            <w:shd w:val="clear" w:color="auto" w:fill="DDEBF7"/>
            <w:vAlign w:val="bottom"/>
          </w:tcPr>
          <w:p w:rsidR="00BB7716" w14:paraId="379C1A46" w14:textId="77777777">
            <w:pPr>
              <w:widowControl/>
              <w:jc w:val="center"/>
              <w:rPr>
                <w:rFonts w:ascii="Calibri" w:eastAsia="Calibri" w:hAnsi="Calibri" w:cs="Calibri"/>
                <w:b/>
                <w:sz w:val="22"/>
                <w:szCs w:val="22"/>
              </w:rPr>
            </w:pPr>
            <w:r>
              <w:rPr>
                <w:rFonts w:ascii="Calibri" w:eastAsia="Calibri" w:hAnsi="Calibri" w:cs="Calibri"/>
                <w:b/>
                <w:sz w:val="22"/>
                <w:szCs w:val="22"/>
              </w:rPr>
              <w:t>100</w:t>
            </w:r>
          </w:p>
        </w:tc>
        <w:tc>
          <w:tcPr>
            <w:tcW w:w="1066" w:type="dxa"/>
            <w:tcBorders>
              <w:top w:val="nil"/>
              <w:left w:val="nil"/>
              <w:bottom w:val="single" w:sz="8" w:space="0" w:color="000000"/>
              <w:right w:val="single" w:sz="8" w:space="0" w:color="000000"/>
            </w:tcBorders>
            <w:shd w:val="clear" w:color="auto" w:fill="000000"/>
            <w:vAlign w:val="bottom"/>
          </w:tcPr>
          <w:p w:rsidR="00BB7716" w14:paraId="7AA8BAA8" w14:textId="77777777">
            <w:pPr>
              <w:widowControl/>
              <w:rPr>
                <w:rFonts w:ascii="Calibri" w:eastAsia="Calibri" w:hAnsi="Calibri" w:cs="Calibri"/>
                <w:b/>
                <w:sz w:val="22"/>
                <w:szCs w:val="22"/>
              </w:rPr>
            </w:pPr>
            <w:r>
              <w:rPr>
                <w:rFonts w:ascii="Calibri" w:eastAsia="Calibri" w:hAnsi="Calibri" w:cs="Calibri"/>
                <w:b/>
                <w:sz w:val="22"/>
                <w:szCs w:val="22"/>
              </w:rPr>
              <w:t> </w:t>
            </w:r>
          </w:p>
        </w:tc>
        <w:tc>
          <w:tcPr>
            <w:tcW w:w="1667" w:type="dxa"/>
            <w:tcBorders>
              <w:top w:val="nil"/>
              <w:left w:val="nil"/>
              <w:bottom w:val="single" w:sz="8" w:space="0" w:color="000000"/>
              <w:right w:val="single" w:sz="8" w:space="0" w:color="000000"/>
            </w:tcBorders>
            <w:shd w:val="clear" w:color="auto" w:fill="DDEBF7"/>
            <w:vAlign w:val="bottom"/>
          </w:tcPr>
          <w:p w:rsidR="00BB7716" w14:paraId="360DA6F5" w14:textId="77777777">
            <w:pPr>
              <w:widowControl/>
              <w:jc w:val="right"/>
              <w:rPr>
                <w:rFonts w:ascii="Calibri" w:eastAsia="Calibri" w:hAnsi="Calibri" w:cs="Calibri"/>
                <w:b/>
                <w:sz w:val="22"/>
                <w:szCs w:val="22"/>
              </w:rPr>
            </w:pPr>
            <w:r>
              <w:rPr>
                <w:rFonts w:ascii="Calibri" w:eastAsia="Calibri" w:hAnsi="Calibri" w:cs="Calibri"/>
                <w:b/>
                <w:sz w:val="22"/>
                <w:szCs w:val="22"/>
              </w:rPr>
              <w:t> $2,885.00</w:t>
            </w:r>
          </w:p>
        </w:tc>
      </w:tr>
    </w:tbl>
    <w:p w:rsidR="00BB7716" w14:paraId="3577DA48" w14:textId="77777777">
      <w:pPr>
        <w:spacing w:line="259" w:lineRule="auto"/>
        <w:ind w:hanging="43"/>
        <w:rPr>
          <w:b/>
          <w:color w:val="1F497D"/>
        </w:rPr>
        <w:sectPr>
          <w:pgSz w:w="15840" w:h="12240" w:orient="landscape"/>
          <w:pgMar w:top="640" w:right="1080" w:bottom="1200" w:left="1080" w:header="0" w:footer="714" w:gutter="0"/>
          <w:cols w:space="720"/>
        </w:sectPr>
      </w:pPr>
      <w:r>
        <w:rPr>
          <w:b/>
          <w:sz w:val="20"/>
          <w:szCs w:val="20"/>
        </w:rPr>
        <w:t xml:space="preserve">* The hourly wage rate for mid-level coastal resource managers and post-doc researchers was obtained from BLS’s </w:t>
      </w:r>
      <w:r>
        <w:rPr>
          <w:b/>
          <w:i/>
          <w:sz w:val="20"/>
          <w:szCs w:val="20"/>
        </w:rPr>
        <w:t xml:space="preserve">Occupational Outlook Handbook </w:t>
      </w:r>
      <w:r>
        <w:rPr>
          <w:b/>
          <w:sz w:val="20"/>
          <w:szCs w:val="20"/>
        </w:rPr>
        <w:t xml:space="preserve"> </w:t>
      </w:r>
      <w:hyperlink r:id="rId7">
        <w:r>
          <w:rPr>
            <w:b/>
            <w:sz w:val="20"/>
            <w:szCs w:val="20"/>
            <w:u w:val="single"/>
          </w:rPr>
          <w:t>https://www.bls.gov/bls/blswage.htm</w:t>
        </w:r>
      </w:hyperlink>
    </w:p>
    <w:p w:rsidR="00BB7716" w14:paraId="51FDBFF7" w14:textId="77777777">
      <w:pPr>
        <w:spacing w:line="259" w:lineRule="auto"/>
        <w:ind w:hanging="43"/>
        <w:rPr>
          <w:b/>
          <w:highlight w:val="yellow"/>
        </w:rPr>
      </w:pPr>
    </w:p>
    <w:p w:rsidR="00BB7716" w14:paraId="0EBA4F5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6A45E7" w14:paraId="43010881" w14:textId="77777777">
      <w:pPr>
        <w:spacing w:before="1"/>
      </w:pPr>
    </w:p>
    <w:p w:rsidR="00BB7716" w14:paraId="1C82393C" w14:textId="4D5EA587">
      <w:pPr>
        <w:spacing w:before="1"/>
        <w:rPr>
          <w:b/>
          <w:color w:val="1F497D"/>
        </w:rPr>
      </w:pPr>
      <w:r>
        <w:t>There is no cost to the respondent or record keepers as a result of this information collection.  The solicitation for revision is submitted online.</w:t>
      </w:r>
    </w:p>
    <w:p w:rsidR="00BB7716" w14:paraId="4ADA85F8" w14:textId="77777777">
      <w:pPr>
        <w:rPr>
          <w:b/>
        </w:rPr>
      </w:pPr>
    </w:p>
    <w:p w:rsidR="00BB7716" w14:paraId="3C524666" w14:textId="77777777">
      <w:pPr>
        <w:pBdr>
          <w:top w:val="nil"/>
          <w:left w:val="nil"/>
          <w:bottom w:val="nil"/>
          <w:right w:val="nil"/>
          <w:between w:val="nil"/>
        </w:pBdr>
        <w:spacing w:before="7"/>
        <w:rPr>
          <w:b/>
          <w:color w:val="000000"/>
        </w:rPr>
      </w:pPr>
    </w:p>
    <w:p w:rsidR="00BB7716" w14:paraId="3B637F96"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B7716" w14:paraId="732270BC" w14:textId="14387F7F">
      <w:pPr>
        <w:spacing w:before="161" w:line="259" w:lineRule="auto"/>
      </w:pPr>
      <w:r>
        <w:t xml:space="preserve">Federal government costs only include the labor of employee monitoring the CMECS responses and cataloging them into the appropriate categories to be addressed in routine updates to the standard. This is a fairly simple task that takes a few minutes to complete. No materials, travel, or contractor services are required. </w:t>
      </w:r>
    </w:p>
    <w:p w:rsidR="006A45E7" w14:paraId="567FE01C" w14:textId="0080FEC6">
      <w:pPr>
        <w:spacing w:before="161" w:line="259" w:lineRule="auto"/>
      </w:pPr>
      <w:r>
        <w:t>The Commerce Alternate Pay System (CAPS) pay tables were used to determine the base salary.  (</w:t>
      </w:r>
      <w:r w:rsidRPr="006A45E7">
        <w:t>https://www.commerce.gov/sites/default/files/2024-01/CAPS_rpStandard_2024.pdf</w:t>
      </w:r>
      <w:r>
        <w:t>)  The Rest of U.S. locality rate was used since NOAA employees are geographically dispersed.  A 1.5 multiplier was used to calculate the loaded salary.</w:t>
      </w:r>
    </w:p>
    <w:p w:rsidR="00BB7716" w14:paraId="0B4BD4EF" w14:textId="77777777">
      <w:pPr>
        <w:pBdr>
          <w:top w:val="nil"/>
          <w:left w:val="nil"/>
          <w:bottom w:val="nil"/>
          <w:right w:val="nil"/>
          <w:between w:val="nil"/>
        </w:pBdr>
        <w:spacing w:before="9" w:after="1"/>
        <w:rPr>
          <w:b/>
          <w:color w:val="000000"/>
        </w:rPr>
      </w:pPr>
    </w:p>
    <w:tbl>
      <w:tblPr>
        <w:tblStyle w:val="a7"/>
        <w:tblW w:w="8240" w:type="dxa"/>
        <w:tblInd w:w="-140" w:type="dxa"/>
        <w:tblLayout w:type="fixed"/>
        <w:tblLook w:val="0400"/>
      </w:tblPr>
      <w:tblGrid>
        <w:gridCol w:w="2280"/>
        <w:gridCol w:w="1120"/>
        <w:gridCol w:w="1140"/>
        <w:gridCol w:w="1120"/>
        <w:gridCol w:w="1280"/>
        <w:gridCol w:w="1300"/>
      </w:tblGrid>
      <w:tr w14:paraId="5670B9B8" w14:textId="77777777">
        <w:tblPrEx>
          <w:tblW w:w="824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BB7716" w14:paraId="7734996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BB7716" w14:paraId="37ED262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BB7716" w14:paraId="1FDDB98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BB7716" w14:paraId="18243B1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BB7716" w14:paraId="40FB347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BB7716" w14:paraId="0018E75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11C9DE47" w14:textId="77777777">
        <w:tblPrEx>
          <w:tblW w:w="8240" w:type="dxa"/>
          <w:tblInd w:w="-140"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BB7716" w14:paraId="3D91A701"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BB7716" w14:paraId="17C0ACB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ZP-</w:t>
            </w:r>
            <w:r>
              <w:rPr>
                <w:rFonts w:ascii="Calibri" w:eastAsia="Calibri" w:hAnsi="Calibri" w:cs="Calibri"/>
                <w:sz w:val="16"/>
                <w:szCs w:val="16"/>
              </w:rPr>
              <w:t>4</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BB7716" w14:paraId="55AE38FA" w14:textId="26DD5756">
            <w:pPr>
              <w:widowControl/>
              <w:rPr>
                <w:rFonts w:ascii="Calibri" w:eastAsia="Calibri" w:hAnsi="Calibri" w:cs="Calibri"/>
                <w:color w:val="000000"/>
                <w:sz w:val="16"/>
                <w:szCs w:val="16"/>
              </w:rPr>
            </w:pPr>
            <w:r>
              <w:rPr>
                <w:rFonts w:ascii="Calibri" w:eastAsia="Calibri" w:hAnsi="Calibri" w:cs="Calibri"/>
                <w:sz w:val="16"/>
                <w:szCs w:val="16"/>
              </w:rPr>
              <w:t>$238,290</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BB7716" w14:paraId="17CCA285" w14:textId="77777777">
            <w:pPr>
              <w:widowControl/>
              <w:rPr>
                <w:rFonts w:ascii="Calibri" w:eastAsia="Calibri" w:hAnsi="Calibri" w:cs="Calibri"/>
                <w:color w:val="000000"/>
                <w:sz w:val="16"/>
                <w:szCs w:val="16"/>
              </w:rPr>
            </w:pPr>
            <w:r>
              <w:rPr>
                <w:rFonts w:ascii="Calibri" w:eastAsia="Calibri" w:hAnsi="Calibri" w:cs="Calibri"/>
                <w:sz w:val="16"/>
                <w:szCs w:val="16"/>
              </w:rPr>
              <w:t>10%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BB7716" w14:paraId="208377A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BB7716" w14:paraId="6E92D387" w14:textId="4D89113E">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23,829</w:t>
            </w:r>
          </w:p>
        </w:tc>
      </w:tr>
      <w:tr w14:paraId="3EBBE11C" w14:textId="77777777">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BB7716" w14:paraId="0861039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808080"/>
            <w:vAlign w:val="bottom"/>
          </w:tcPr>
          <w:p w:rsidR="00BB7716" w14:paraId="0CD286E1" w14:textId="77777777">
            <w:pPr>
              <w:widowControl/>
              <w:rPr>
                <w:rFonts w:ascii="Calibri" w:eastAsia="Calibri" w:hAnsi="Calibri" w:cs="Calibri"/>
                <w:sz w:val="16"/>
                <w:szCs w:val="16"/>
              </w:rPr>
            </w:pPr>
            <w:r>
              <w:rPr>
                <w:rFonts w:ascii="Calibri" w:eastAsia="Calibri" w:hAnsi="Calibri" w:cs="Calibri"/>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BB7716" w14:paraId="038D17DF" w14:textId="77777777">
            <w:pPr>
              <w:widowControl/>
              <w:rPr>
                <w:rFonts w:ascii="Calibri" w:eastAsia="Calibri" w:hAnsi="Calibri" w:cs="Calibri"/>
                <w:sz w:val="16"/>
                <w:szCs w:val="16"/>
              </w:rPr>
            </w:pPr>
            <w:r>
              <w:rPr>
                <w:rFonts w:ascii="Calibri" w:eastAsia="Calibri" w:hAnsi="Calibri" w:cs="Calibri"/>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BB7716" w14:paraId="56D966FB" w14:textId="77777777">
            <w:pPr>
              <w:widowControl/>
              <w:rPr>
                <w:rFonts w:ascii="Calibri" w:eastAsia="Calibri" w:hAnsi="Calibri" w:cs="Calibri"/>
                <w:sz w:val="16"/>
                <w:szCs w:val="16"/>
              </w:rPr>
            </w:pPr>
            <w:r>
              <w:rPr>
                <w:rFonts w:ascii="Calibri" w:eastAsia="Calibri" w:hAnsi="Calibri" w:cs="Calibri"/>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BB7716" w14:paraId="6D50820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BB7716" w14:paraId="44990E0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2AF9FF41" w14:textId="77777777">
        <w:tblPrEx>
          <w:tblW w:w="8240" w:type="dxa"/>
          <w:tblInd w:w="-140"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BB7716" w14:paraId="48B7BC59"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BB7716" w14:paraId="4BC17F9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BB7716" w14:paraId="5949AFB5" w14:textId="77777777">
            <w:pPr>
              <w:widowControl/>
              <w:rPr>
                <w:rFonts w:ascii="Calibri" w:eastAsia="Calibri" w:hAnsi="Calibri" w:cs="Calibri"/>
                <w:sz w:val="16"/>
                <w:szCs w:val="16"/>
              </w:rPr>
            </w:pPr>
            <w:r>
              <w:rPr>
                <w:rFonts w:ascii="Calibri" w:eastAsia="Calibri" w:hAnsi="Calibri" w:cs="Calibri"/>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BB7716" w14:paraId="7AE68E63" w14:textId="77777777">
            <w:pPr>
              <w:widowControl/>
              <w:rPr>
                <w:rFonts w:ascii="Calibri" w:eastAsia="Calibri" w:hAnsi="Calibri" w:cs="Calibri"/>
                <w:sz w:val="16"/>
                <w:szCs w:val="16"/>
              </w:rPr>
            </w:pPr>
            <w:r>
              <w:rPr>
                <w:rFonts w:ascii="Calibri" w:eastAsia="Calibri" w:hAnsi="Calibri" w:cs="Calibri"/>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BB7716" w14:paraId="79F171C9" w14:textId="77777777">
            <w:pPr>
              <w:widowControl/>
              <w:rPr>
                <w:rFonts w:ascii="Calibri" w:eastAsia="Calibri" w:hAnsi="Calibri" w:cs="Calibri"/>
                <w:sz w:val="16"/>
                <w:szCs w:val="16"/>
              </w:rPr>
            </w:pPr>
            <w:r>
              <w:rPr>
                <w:rFonts w:ascii="Calibri" w:eastAsia="Calibri" w:hAnsi="Calibri" w:cs="Calibri"/>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BB7716" w14:paraId="3EA715B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67810DD8" w14:textId="77777777">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BB7716" w14:paraId="53C2234C"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BB7716" w14:paraId="59D10DC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BB7716" w14:paraId="440A45B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BB7716" w14:paraId="5922313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BB7716" w14:paraId="0FC6BE6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BB7716" w14:paraId="5682804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56764F88" w14:textId="77777777">
        <w:tblPrEx>
          <w:tblW w:w="8240" w:type="dxa"/>
          <w:tblInd w:w="-140"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BB7716" w14:paraId="5CFD0BAE"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BB7716" w14:paraId="72B607D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BB7716" w14:paraId="4C57F06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BB7716" w14:paraId="64AEF19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BB7716" w14:paraId="26771AF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BB7716" w14:paraId="4251C81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3B29E0B4" w14:textId="77777777">
        <w:tblPrEx>
          <w:tblW w:w="824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BB7716" w14:paraId="13D5F631"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BB7716" w14:paraId="12526AD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BB7716" w14:paraId="7ED9F7B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BB7716" w14:paraId="0B02505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BB7716" w14:paraId="72D0566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BB7716" w:rsidRPr="006A45E7" w14:paraId="3D8F3D27" w14:textId="23D2D0F9">
            <w:pPr>
              <w:widowControl/>
              <w:rPr>
                <w:rFonts w:ascii="Calibri" w:eastAsia="Calibri" w:hAnsi="Calibri" w:cs="Calibri"/>
                <w:b/>
                <w:color w:val="000000"/>
                <w:sz w:val="16"/>
                <w:szCs w:val="16"/>
              </w:rPr>
            </w:pPr>
            <w:r>
              <w:rPr>
                <w:rFonts w:ascii="Calibri" w:eastAsia="Calibri" w:hAnsi="Calibri" w:cs="Calibri"/>
                <w:color w:val="000000"/>
                <w:sz w:val="16"/>
                <w:szCs w:val="16"/>
              </w:rPr>
              <w:t> </w:t>
            </w:r>
            <w:r w:rsidRPr="006A45E7">
              <w:rPr>
                <w:rFonts w:ascii="Calibri" w:eastAsia="Calibri" w:hAnsi="Calibri" w:cs="Calibri"/>
                <w:b/>
                <w:sz w:val="16"/>
                <w:szCs w:val="16"/>
              </w:rPr>
              <w:t>$23,829</w:t>
            </w:r>
          </w:p>
        </w:tc>
      </w:tr>
    </w:tbl>
    <w:p w:rsidR="00BB7716" w14:paraId="509E2392" w14:textId="77777777">
      <w:pPr>
        <w:pBdr>
          <w:top w:val="nil"/>
          <w:left w:val="nil"/>
          <w:bottom w:val="nil"/>
          <w:right w:val="nil"/>
          <w:between w:val="nil"/>
        </w:pBdr>
        <w:spacing w:before="9" w:after="1"/>
        <w:rPr>
          <w:b/>
          <w:color w:val="000000"/>
        </w:rPr>
      </w:pPr>
    </w:p>
    <w:p w:rsidR="00BB7716" w14:paraId="5DC76B22"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BB7716" w14:paraId="4665E20D" w14:textId="77777777">
      <w:pPr>
        <w:spacing w:before="161"/>
      </w:pPr>
      <w:r>
        <w:t>There have been no changes to the information collection since the last OMB approval.</w:t>
      </w:r>
    </w:p>
    <w:p w:rsidR="00BB7716" w14:paraId="4D9DD960" w14:textId="77777777">
      <w:pPr>
        <w:spacing w:before="161"/>
        <w:rPr>
          <w:b/>
          <w:i/>
          <w:color w:val="2F5496"/>
        </w:rPr>
      </w:pPr>
    </w:p>
    <w:p w:rsidR="00BB7716" w14:paraId="3BA90AB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B7716" w14:paraId="5F0E172E" w14:textId="77777777">
      <w:pPr>
        <w:widowControl/>
        <w:spacing w:before="280" w:after="280"/>
      </w:pPr>
      <w:r>
        <w:t xml:space="preserve">It is anticipated that results will be published through the Federal Register in the form of a revised CMECS. NOAA Office for Coastal Management will retain control over the information and safeguard it from improper access, modification, and destruction, consistent with NOAA standards for confidentiality, privacy, and electronic information. See response to Question 10 of this Supporting </w:t>
      </w:r>
      <w:r>
        <w:t>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BB7716" w14:paraId="3A9C18B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BB7716" w14:paraId="116D6952" w14:textId="77777777">
      <w:pPr>
        <w:spacing w:before="161"/>
        <w:rPr>
          <w:i/>
          <w:color w:val="2F5496"/>
        </w:rPr>
      </w:pPr>
      <w:r>
        <w:t>The agency plans to display the expiration date for OMB approval of the information collection on all instruments.</w:t>
      </w:r>
    </w:p>
    <w:p w:rsidR="00BB7716" w14:paraId="2D6E28C9" w14:textId="77777777">
      <w:pPr>
        <w:spacing w:before="161"/>
        <w:rPr>
          <w:i/>
        </w:rPr>
      </w:pPr>
    </w:p>
    <w:p w:rsidR="00BB7716" w14:paraId="761F711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BB7716" w:rsidP="006A45E7" w14:paraId="2F43A4C1" w14:textId="77777777">
      <w:pPr>
        <w:spacing w:before="221" w:line="259" w:lineRule="auto"/>
      </w:pPr>
      <w:r>
        <w:t xml:space="preserve">The agency certifies compliance with </w:t>
      </w:r>
      <w:hyperlink r:id="rId8">
        <w:r>
          <w:rPr>
            <w:color w:val="0563C1"/>
            <w:u w:val="single"/>
          </w:rPr>
          <w:t>5 CFR 1320.9</w:t>
        </w:r>
      </w:hyperlink>
      <w:hyperlink r:id="rId8">
        <w:r>
          <w:rPr>
            <w:color w:val="0563C1"/>
          </w:rPr>
          <w:t xml:space="preserve"> </w:t>
        </w:r>
      </w:hyperlink>
      <w:r>
        <w:t xml:space="preserve">and the related provisions of </w:t>
      </w:r>
      <w:hyperlink r:id="rId9">
        <w:r>
          <w:rPr>
            <w:color w:val="0563C1"/>
            <w:u w:val="single"/>
          </w:rPr>
          <w:t>5 CFR</w:t>
        </w:r>
      </w:hyperlink>
      <w:r>
        <w:rPr>
          <w:color w:val="0563C1"/>
        </w:rPr>
        <w:t xml:space="preserve"> </w:t>
      </w:r>
      <w:hyperlink r:id="rId9">
        <w:r>
          <w:rPr>
            <w:color w:val="0563C1"/>
            <w:u w:val="single"/>
          </w:rPr>
          <w:t>1320.8(b)(3)</w:t>
        </w:r>
      </w:hyperlink>
      <w:r>
        <w:t>.</w:t>
      </w:r>
    </w:p>
    <w:p w:rsidR="00BB7716" w14:paraId="51144891" w14:textId="77777777">
      <w:pPr>
        <w:spacing w:before="221" w:line="259" w:lineRule="auto"/>
        <w:jc w:val="both"/>
        <w:rPr>
          <w:color w:val="1F497D"/>
        </w:rPr>
      </w:pPr>
      <w:bookmarkStart w:id="2" w:name="_heading=h.gjdgxs" w:colFirst="0" w:colLast="0"/>
      <w:bookmarkEnd w:id="2"/>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716" w14:paraId="03C1D286"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2D1EB4"/>
    <w:multiLevelType w:val="multilevel"/>
    <w:tmpl w:val="2FFAE50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4D7A01F6"/>
    <w:multiLevelType w:val="multilevel"/>
    <w:tmpl w:val="CA70A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nsid w:val="5429666D"/>
    <w:multiLevelType w:val="multilevel"/>
    <w:tmpl w:val="53FC5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nsid w:val="7BCA3BBF"/>
    <w:multiLevelType w:val="multilevel"/>
    <w:tmpl w:val="A5C8973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16"/>
    <w:rsid w:val="0026614E"/>
    <w:rsid w:val="002976CD"/>
    <w:rsid w:val="00412A16"/>
    <w:rsid w:val="00513E98"/>
    <w:rsid w:val="005B04F6"/>
    <w:rsid w:val="006A45E7"/>
    <w:rsid w:val="008663E7"/>
    <w:rsid w:val="0089021C"/>
    <w:rsid w:val="00AC6713"/>
    <w:rsid w:val="00BB7716"/>
    <w:rsid w:val="00C62AEF"/>
    <w:rsid w:val="00E17907"/>
    <w:rsid w:val="00FF3D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DF2295"/>
  <w15:docId w15:val="{3688690D-9A97-4D01-8560-0451582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gdc.gov/standards/projects/FGDC-standards-projects/cmecs-folder/fgdc-endorses-CMECS/?searchterm=cmecs" TargetMode="External" /><Relationship Id="rId6" Type="http://schemas.openxmlformats.org/officeDocument/2006/relationships/footer" Target="footer1.xml" /><Relationship Id="rId7" Type="http://schemas.openxmlformats.org/officeDocument/2006/relationships/hyperlink" Target="https://www.bls.gov/bls/blswage.htm" TargetMode="Externa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aCjH50HMwXkDPW+DTnxE05kg==">CgMxLjAyDmguZXp1NGx6NmUwcDJlMghoLmdqZGd4czIIaC5namRneHM4AHIhMVJhaVVWcHN3Zm1VOElwZ3FGZFdDVEdCWFNCZHpDSTUw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Monica S. Waddell</cp:lastModifiedBy>
  <cp:revision>4</cp:revision>
  <dcterms:created xsi:type="dcterms:W3CDTF">2024-10-31T16:54:00Z</dcterms:created>
  <dcterms:modified xsi:type="dcterms:W3CDTF">2024-11-05T13:26:00Z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