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3564" w:rsidRPr="00B14C51" w:rsidP="00193564" w14:paraId="7A30747A" w14:textId="77777777">
      <w:pPr>
        <w:pStyle w:val="NoSpacing"/>
        <w:jc w:val="center"/>
        <w:rPr>
          <w:rFonts w:ascii="Arial" w:hAnsi="Arial" w:cs="Arial"/>
          <w:b/>
          <w:sz w:val="24"/>
          <w:szCs w:val="24"/>
        </w:rPr>
      </w:pPr>
      <w:r w:rsidRPr="00B14C51">
        <w:rPr>
          <w:rFonts w:ascii="Arial" w:hAnsi="Arial" w:cs="Arial"/>
          <w:b/>
          <w:sz w:val="24"/>
          <w:szCs w:val="24"/>
        </w:rPr>
        <w:t>SUPPORTING STATEMENT</w:t>
      </w:r>
    </w:p>
    <w:p w:rsidR="00193564" w:rsidRPr="00B14C51" w:rsidP="00193564" w14:paraId="2FF16C73" w14:textId="77777777">
      <w:pPr>
        <w:pStyle w:val="NoSpacing"/>
        <w:jc w:val="center"/>
        <w:rPr>
          <w:rFonts w:ascii="Arial" w:hAnsi="Arial" w:cs="Arial"/>
          <w:b/>
          <w:sz w:val="24"/>
          <w:szCs w:val="24"/>
        </w:rPr>
      </w:pPr>
      <w:r w:rsidRPr="00B14C51">
        <w:rPr>
          <w:rFonts w:ascii="Arial" w:hAnsi="Arial" w:cs="Arial"/>
          <w:b/>
          <w:sz w:val="24"/>
          <w:szCs w:val="24"/>
        </w:rPr>
        <w:t>United States Patent and Trademark Office</w:t>
      </w:r>
    </w:p>
    <w:p w:rsidR="00193564" w:rsidRPr="00B14C51" w:rsidP="786EC198" w14:paraId="5BDA42A1" w14:textId="58227C2C">
      <w:pPr>
        <w:pStyle w:val="NoSpacing"/>
        <w:jc w:val="center"/>
        <w:rPr>
          <w:rFonts w:ascii="Arial" w:eastAsia="Arial" w:hAnsi="Arial" w:cs="Arial"/>
          <w:sz w:val="24"/>
          <w:szCs w:val="24"/>
        </w:rPr>
      </w:pPr>
      <w:r w:rsidRPr="786EC198">
        <w:rPr>
          <w:rFonts w:ascii="Arial" w:hAnsi="Arial" w:cs="Arial"/>
          <w:b/>
          <w:bCs/>
          <w:sz w:val="24"/>
          <w:szCs w:val="24"/>
        </w:rPr>
        <w:t>DOCX Submission Requirements</w:t>
      </w:r>
    </w:p>
    <w:p w:rsidR="00193564" w:rsidRPr="00B14C51" w:rsidP="00193564" w14:paraId="5F3B05EF" w14:textId="4D42B398">
      <w:pPr>
        <w:pStyle w:val="NoSpacing"/>
        <w:jc w:val="center"/>
        <w:rPr>
          <w:rFonts w:ascii="Arial" w:hAnsi="Arial" w:cs="Arial"/>
          <w:b/>
          <w:sz w:val="24"/>
          <w:szCs w:val="24"/>
        </w:rPr>
      </w:pPr>
      <w:r w:rsidRPr="00B14C51">
        <w:rPr>
          <w:rFonts w:ascii="Arial" w:hAnsi="Arial" w:cs="Arial"/>
          <w:b/>
          <w:sz w:val="24"/>
          <w:szCs w:val="24"/>
        </w:rPr>
        <w:t>OMB CONTROL NUMBER 0651-00</w:t>
      </w:r>
      <w:r w:rsidR="00065514">
        <w:rPr>
          <w:rFonts w:ascii="Arial" w:hAnsi="Arial" w:cs="Arial"/>
          <w:b/>
          <w:sz w:val="24"/>
          <w:szCs w:val="24"/>
        </w:rPr>
        <w:t>xx</w:t>
      </w:r>
    </w:p>
    <w:p w:rsidR="00193564" w:rsidRPr="00B14C51" w:rsidP="00193564" w14:paraId="765F8DCB" w14:textId="325E8CBF">
      <w:pPr>
        <w:pStyle w:val="NoSpacing"/>
        <w:jc w:val="center"/>
        <w:rPr>
          <w:rFonts w:ascii="Arial" w:hAnsi="Arial" w:cs="Arial"/>
          <w:b/>
          <w:sz w:val="24"/>
          <w:szCs w:val="24"/>
        </w:rPr>
      </w:pPr>
      <w:r w:rsidRPr="00B14C51">
        <w:rPr>
          <w:rFonts w:ascii="Arial" w:hAnsi="Arial" w:cs="Arial"/>
          <w:b/>
          <w:sz w:val="24"/>
          <w:szCs w:val="24"/>
        </w:rPr>
        <w:t>202</w:t>
      </w:r>
      <w:r w:rsidR="00490DC8">
        <w:rPr>
          <w:rFonts w:ascii="Arial" w:hAnsi="Arial" w:cs="Arial"/>
          <w:b/>
          <w:sz w:val="24"/>
          <w:szCs w:val="24"/>
        </w:rPr>
        <w:t>3</w:t>
      </w:r>
    </w:p>
    <w:p w:rsidR="00193564" w:rsidRPr="00B14C51" w:rsidP="00193564" w14:paraId="4ACF9B22" w14:textId="77777777">
      <w:pPr>
        <w:pStyle w:val="NoSpacing"/>
        <w:rPr>
          <w:rFonts w:ascii="Arial" w:hAnsi="Arial" w:cs="Arial"/>
          <w:sz w:val="24"/>
          <w:szCs w:val="24"/>
        </w:rPr>
      </w:pPr>
    </w:p>
    <w:p w:rsidR="00193564" w:rsidRPr="00B14C51" w:rsidP="00193564" w14:paraId="197F40E5" w14:textId="77777777">
      <w:pPr>
        <w:pStyle w:val="NoSpacing"/>
        <w:rPr>
          <w:rFonts w:ascii="Arial" w:hAnsi="Arial" w:cs="Arial"/>
          <w:b/>
          <w:sz w:val="24"/>
          <w:szCs w:val="24"/>
        </w:rPr>
      </w:pPr>
      <w:r w:rsidRPr="00B14C51">
        <w:rPr>
          <w:rFonts w:ascii="Arial" w:hAnsi="Arial" w:cs="Arial"/>
          <w:b/>
          <w:sz w:val="24"/>
          <w:szCs w:val="24"/>
        </w:rPr>
        <w:t>A.</w:t>
      </w:r>
      <w:r w:rsidRPr="00B14C51">
        <w:rPr>
          <w:rFonts w:ascii="Arial" w:hAnsi="Arial" w:cs="Arial"/>
          <w:b/>
          <w:sz w:val="24"/>
          <w:szCs w:val="24"/>
        </w:rPr>
        <w:tab/>
        <w:t>Justification</w:t>
      </w:r>
    </w:p>
    <w:p w:rsidR="00193564" w:rsidRPr="00B14C51" w:rsidP="00193564" w14:paraId="41E946FD" w14:textId="77777777">
      <w:pPr>
        <w:pStyle w:val="NoSpacing"/>
        <w:tabs>
          <w:tab w:val="left" w:pos="3268"/>
        </w:tabs>
        <w:rPr>
          <w:rFonts w:ascii="Arial" w:hAnsi="Arial" w:cs="Arial"/>
          <w:sz w:val="24"/>
          <w:szCs w:val="24"/>
        </w:rPr>
      </w:pPr>
      <w:r>
        <w:rPr>
          <w:rFonts w:ascii="Arial" w:hAnsi="Arial" w:cs="Arial"/>
          <w:sz w:val="24"/>
          <w:szCs w:val="24"/>
        </w:rPr>
        <w:tab/>
      </w:r>
    </w:p>
    <w:p w:rsidR="00193564" w:rsidRPr="00B14C51" w:rsidP="00385CF6" w14:paraId="2D5541C9" w14:textId="77777777">
      <w:pPr>
        <w:pStyle w:val="NoSpacing"/>
        <w:numPr>
          <w:ilvl w:val="0"/>
          <w:numId w:val="12"/>
        </w:numPr>
        <w:ind w:left="720" w:hanging="720"/>
        <w:rPr>
          <w:rFonts w:ascii="Arial" w:hAnsi="Arial" w:cs="Arial"/>
          <w:b/>
          <w:sz w:val="24"/>
          <w:szCs w:val="24"/>
        </w:rPr>
      </w:pPr>
      <w:r w:rsidRPr="00B14C51">
        <w:rPr>
          <w:rFonts w:ascii="Arial" w:hAnsi="Arial" w:cs="Arial"/>
          <w:b/>
          <w:sz w:val="24"/>
          <w:szCs w:val="24"/>
        </w:rPr>
        <w:t xml:space="preserve">Explain the circumstances that make the collection of information necessary. Identify any legal or administrative requirements that necessitate the </w:t>
      </w:r>
      <w:r>
        <w:rPr>
          <w:rFonts w:ascii="Arial" w:hAnsi="Arial" w:cs="Arial"/>
          <w:b/>
          <w:sz w:val="24"/>
          <w:szCs w:val="24"/>
        </w:rPr>
        <w:t xml:space="preserve">information </w:t>
      </w:r>
      <w:r w:rsidRPr="00B14C51">
        <w:rPr>
          <w:rFonts w:ascii="Arial" w:hAnsi="Arial" w:cs="Arial"/>
          <w:b/>
          <w:sz w:val="24"/>
          <w:szCs w:val="24"/>
        </w:rPr>
        <w:t xml:space="preserve">collection. Attach a copy of the appropriate section of each statute and regulation mandating or authorizing the collection of information. </w:t>
      </w:r>
    </w:p>
    <w:p w:rsidR="00193564" w:rsidRPr="00B14C51" w:rsidP="00193564" w14:paraId="3AC988BF" w14:textId="77777777">
      <w:pPr>
        <w:pStyle w:val="NoSpacing"/>
        <w:rPr>
          <w:rFonts w:ascii="Arial" w:hAnsi="Arial" w:cs="Arial"/>
          <w:sz w:val="24"/>
          <w:szCs w:val="24"/>
        </w:rPr>
      </w:pPr>
    </w:p>
    <w:p w:rsidR="00390497" w:rsidP="001501EC" w14:paraId="0F5B2422" w14:textId="3F060369">
      <w:pPr>
        <w:pStyle w:val="NoSpacing"/>
        <w:jc w:val="both"/>
        <w:rPr>
          <w:rFonts w:ascii="Arial" w:hAnsi="Arial" w:cs="Arial"/>
          <w:bCs/>
          <w:sz w:val="24"/>
          <w:szCs w:val="24"/>
        </w:rPr>
      </w:pPr>
      <w:r w:rsidRPr="00390497">
        <w:rPr>
          <w:rFonts w:ascii="Arial" w:hAnsi="Arial" w:cs="Arial"/>
          <w:bCs/>
          <w:sz w:val="24"/>
          <w:szCs w:val="24"/>
        </w:rPr>
        <w:t>On August 3, 2020, the USPTO published a final rule in the Federal Register that included a new fee set forth in 37 CFR 1.16(u). See Setting and Adjusting Patent Fees in Fiscal Year 2020, 85 FR 46932</w:t>
      </w:r>
      <w:r w:rsidR="00BE25D1">
        <w:rPr>
          <w:rFonts w:ascii="Arial" w:hAnsi="Arial" w:cs="Arial"/>
          <w:bCs/>
          <w:sz w:val="24"/>
          <w:szCs w:val="24"/>
        </w:rPr>
        <w:t xml:space="preserve"> (Patent Fee Rule)</w:t>
      </w:r>
      <w:r w:rsidRPr="00390497">
        <w:rPr>
          <w:rFonts w:ascii="Arial" w:hAnsi="Arial" w:cs="Arial"/>
          <w:bCs/>
          <w:sz w:val="24"/>
          <w:szCs w:val="24"/>
        </w:rPr>
        <w:t>. Although that final rule indicated the new fee at §1.16(u) would go into effect on January 1, 2022, the effective date of the new fee was delayed to give applicants more time to adjust to filing patent applications in the DOCX format.</w:t>
      </w:r>
      <w:r w:rsidR="000E4C45">
        <w:rPr>
          <w:rFonts w:ascii="Arial" w:hAnsi="Arial" w:cs="Arial"/>
          <w:bCs/>
          <w:sz w:val="24"/>
          <w:szCs w:val="24"/>
        </w:rPr>
        <w:t xml:space="preserve"> The fee is scheduled to go into effect on January 17, 2024. See</w:t>
      </w:r>
      <w:r w:rsidRPr="000E4C45" w:rsidR="000E4C45">
        <w:rPr>
          <w:rFonts w:ascii="Arial" w:hAnsi="Arial" w:cs="Arial"/>
          <w:bCs/>
          <w:sz w:val="24"/>
          <w:szCs w:val="24"/>
        </w:rPr>
        <w:t xml:space="preserve"> Setting and Adjusting Patent Fees during Fiscal Year 2020, 8</w:t>
      </w:r>
      <w:r w:rsidR="00BE25D1">
        <w:rPr>
          <w:rFonts w:ascii="Arial" w:hAnsi="Arial" w:cs="Arial"/>
          <w:bCs/>
          <w:sz w:val="24"/>
          <w:szCs w:val="24"/>
        </w:rPr>
        <w:t>8</w:t>
      </w:r>
      <w:r w:rsidRPr="000E4C45" w:rsidR="000E4C45">
        <w:rPr>
          <w:rFonts w:ascii="Arial" w:hAnsi="Arial" w:cs="Arial"/>
          <w:bCs/>
          <w:sz w:val="24"/>
          <w:szCs w:val="24"/>
        </w:rPr>
        <w:t xml:space="preserve"> FR </w:t>
      </w:r>
      <w:r w:rsidR="00BE25D1">
        <w:rPr>
          <w:rFonts w:ascii="Arial" w:hAnsi="Arial" w:cs="Arial"/>
          <w:bCs/>
          <w:sz w:val="24"/>
          <w:szCs w:val="24"/>
        </w:rPr>
        <w:t>36956</w:t>
      </w:r>
      <w:r w:rsidRPr="000E4C45" w:rsidR="000E4C45">
        <w:rPr>
          <w:rFonts w:ascii="Arial" w:hAnsi="Arial" w:cs="Arial"/>
          <w:bCs/>
          <w:sz w:val="24"/>
          <w:szCs w:val="24"/>
        </w:rPr>
        <w:t xml:space="preserve"> (</w:t>
      </w:r>
      <w:r w:rsidR="00BE25D1">
        <w:rPr>
          <w:rFonts w:ascii="Arial" w:hAnsi="Arial" w:cs="Arial"/>
          <w:bCs/>
          <w:sz w:val="24"/>
          <w:szCs w:val="24"/>
        </w:rPr>
        <w:t>June 6</w:t>
      </w:r>
      <w:r w:rsidRPr="000E4C45" w:rsidR="000E4C45">
        <w:rPr>
          <w:rFonts w:ascii="Arial" w:hAnsi="Arial" w:cs="Arial"/>
          <w:bCs/>
          <w:sz w:val="24"/>
          <w:szCs w:val="24"/>
        </w:rPr>
        <w:t>, 202</w:t>
      </w:r>
      <w:r w:rsidR="00BE25D1">
        <w:rPr>
          <w:rFonts w:ascii="Arial" w:hAnsi="Arial" w:cs="Arial"/>
          <w:bCs/>
          <w:sz w:val="24"/>
          <w:szCs w:val="24"/>
        </w:rPr>
        <w:t>3</w:t>
      </w:r>
      <w:r w:rsidRPr="000E4C45" w:rsidR="000E4C45">
        <w:rPr>
          <w:rFonts w:ascii="Arial" w:hAnsi="Arial" w:cs="Arial"/>
          <w:bCs/>
          <w:sz w:val="24"/>
          <w:szCs w:val="24"/>
        </w:rPr>
        <w:t>)</w:t>
      </w:r>
      <w:r w:rsidR="00BE25D1">
        <w:rPr>
          <w:rFonts w:ascii="Arial" w:hAnsi="Arial" w:cs="Arial"/>
          <w:bCs/>
          <w:sz w:val="24"/>
          <w:szCs w:val="24"/>
        </w:rPr>
        <w:t>.</w:t>
      </w:r>
    </w:p>
    <w:p w:rsidR="00390497" w:rsidRPr="00390497" w:rsidP="00390497" w14:paraId="6AA5D92F" w14:textId="77777777">
      <w:pPr>
        <w:pStyle w:val="NoSpacing"/>
        <w:ind w:firstLine="720"/>
        <w:jc w:val="both"/>
        <w:rPr>
          <w:rFonts w:ascii="Arial" w:hAnsi="Arial" w:cs="Arial"/>
          <w:bCs/>
          <w:sz w:val="24"/>
          <w:szCs w:val="24"/>
        </w:rPr>
      </w:pPr>
    </w:p>
    <w:p w:rsidR="00390497" w:rsidP="001501EC" w14:paraId="3685D4BD" w14:textId="7789C094">
      <w:pPr>
        <w:pStyle w:val="NoSpacing"/>
        <w:jc w:val="both"/>
        <w:rPr>
          <w:rFonts w:ascii="Arial" w:hAnsi="Arial" w:cs="Arial"/>
          <w:bCs/>
          <w:sz w:val="24"/>
          <w:szCs w:val="24"/>
        </w:rPr>
      </w:pPr>
      <w:r w:rsidRPr="00390497">
        <w:rPr>
          <w:rFonts w:ascii="Arial" w:hAnsi="Arial" w:cs="Arial"/>
          <w:bCs/>
          <w:sz w:val="24"/>
          <w:szCs w:val="24"/>
        </w:rPr>
        <w:t>As specified in §1.16(u), the fee is due for any application filed under 35 U.S.C. 111 for an original patent—except design, plant, or provisional applications—where the specification, claims, and/or abstract do not conform to the USPTO requirements for submission in the DOCX format. Therefore, the fee is due for nonprovisional utility applications filed under 35 U.S.C. 111, including continuing applications, that are not filed in the DOCX format.</w:t>
      </w:r>
    </w:p>
    <w:p w:rsidR="00390497" w:rsidRPr="00390497" w:rsidP="00390497" w14:paraId="7AADEC2B" w14:textId="77777777">
      <w:pPr>
        <w:pStyle w:val="NoSpacing"/>
        <w:ind w:firstLine="720"/>
        <w:jc w:val="both"/>
        <w:rPr>
          <w:rFonts w:ascii="Arial" w:hAnsi="Arial" w:cs="Arial"/>
          <w:bCs/>
          <w:sz w:val="24"/>
          <w:szCs w:val="24"/>
        </w:rPr>
      </w:pPr>
    </w:p>
    <w:p w:rsidR="00390497" w:rsidP="00B92A56" w14:paraId="473F2CD4" w14:textId="52F3C6E5">
      <w:pPr>
        <w:pStyle w:val="NoSpacing"/>
        <w:jc w:val="both"/>
        <w:rPr>
          <w:rFonts w:ascii="Arial" w:hAnsi="Arial" w:cs="Arial"/>
          <w:sz w:val="24"/>
          <w:szCs w:val="24"/>
        </w:rPr>
      </w:pPr>
      <w:r w:rsidRPr="6A9BA041">
        <w:rPr>
          <w:rFonts w:ascii="Arial" w:hAnsi="Arial" w:cs="Arial"/>
          <w:sz w:val="24"/>
          <w:szCs w:val="24"/>
        </w:rPr>
        <w:t xml:space="preserve">The USPTO conducted two pilot programs for filing applications in the DOCX format. The eMod Text Pilot Program was conducted between August 2016 and September 2017. The USPTO then expanded the ability to file patent applications in the DOCX format in EFS-Web to all users in September 2017. In 2018, the USPTO launched the Patent Center and conducted the Patent Center Text Pilot Program from June 2018 through April 2020. All applicants have been able to file applications in the DOCX format in the Patent Center since April 2020. Information about the Patent Center is available at </w:t>
      </w:r>
      <w:hyperlink r:id="rId9">
        <w:r w:rsidRPr="6A9BA041">
          <w:rPr>
            <w:rStyle w:val="Hyperlink"/>
            <w:rFonts w:ascii="Arial" w:hAnsi="Arial" w:cs="Arial"/>
            <w:sz w:val="24"/>
            <w:szCs w:val="24"/>
          </w:rPr>
          <w:t>www.uspto.gov/PatentCenter</w:t>
        </w:r>
      </w:hyperlink>
      <w:r w:rsidRPr="6A9BA041">
        <w:rPr>
          <w:rFonts w:ascii="Arial" w:hAnsi="Arial" w:cs="Arial"/>
          <w:sz w:val="24"/>
          <w:szCs w:val="24"/>
        </w:rPr>
        <w:t>. The USPTO continues to hold many discussions and training sessions with stakeholders to ensure a fair and reasonable transition to the DOCX format.</w:t>
      </w:r>
      <w:r w:rsidRPr="6A9BA041" w:rsidR="00D44396">
        <w:rPr>
          <w:rFonts w:ascii="Arial" w:hAnsi="Arial" w:cs="Arial"/>
          <w:sz w:val="24"/>
          <w:szCs w:val="24"/>
        </w:rPr>
        <w:t xml:space="preserve"> In addition, to further ensure a fair and reasonable transition to the DOCX format, the USPTO has, since April 2022, provided patent applicants with the option to submit a back-up applicant-generated PDF version of the application along with the</w:t>
      </w:r>
      <w:r w:rsidRPr="6A9BA041" w:rsidR="002069C2">
        <w:rPr>
          <w:rFonts w:ascii="Arial" w:hAnsi="Arial" w:cs="Arial"/>
          <w:sz w:val="24"/>
          <w:szCs w:val="24"/>
        </w:rPr>
        <w:t xml:space="preserve"> DOCX file(s) when filing an application in Patent Center. See </w:t>
      </w:r>
      <w:r w:rsidRPr="00B92A56" w:rsidR="00B92A56">
        <w:rPr>
          <w:rFonts w:ascii="Arial" w:hAnsi="Arial" w:cs="Arial"/>
          <w:sz w:val="24"/>
          <w:szCs w:val="24"/>
        </w:rPr>
        <w:t>Extension of the Option for</w:t>
      </w:r>
      <w:r w:rsidR="00B92A56">
        <w:rPr>
          <w:rFonts w:ascii="Arial" w:hAnsi="Arial" w:cs="Arial"/>
          <w:sz w:val="24"/>
          <w:szCs w:val="24"/>
        </w:rPr>
        <w:t xml:space="preserve"> </w:t>
      </w:r>
      <w:r w:rsidRPr="00B92A56" w:rsidR="00B92A56">
        <w:rPr>
          <w:rFonts w:ascii="Arial" w:hAnsi="Arial" w:cs="Arial"/>
          <w:sz w:val="24"/>
          <w:szCs w:val="24"/>
        </w:rPr>
        <w:t>Submission of a PDF With a Patent</w:t>
      </w:r>
      <w:r w:rsidR="00B92A56">
        <w:rPr>
          <w:rFonts w:ascii="Arial" w:hAnsi="Arial" w:cs="Arial"/>
          <w:sz w:val="24"/>
          <w:szCs w:val="24"/>
        </w:rPr>
        <w:t xml:space="preserve"> </w:t>
      </w:r>
      <w:r w:rsidRPr="00B92A56" w:rsidR="00B92A56">
        <w:rPr>
          <w:rFonts w:ascii="Arial" w:hAnsi="Arial" w:cs="Arial"/>
          <w:sz w:val="24"/>
          <w:szCs w:val="24"/>
        </w:rPr>
        <w:t>Application Filed in DOCX Format</w:t>
      </w:r>
      <w:r w:rsidR="00B92A56">
        <w:rPr>
          <w:rFonts w:ascii="Arial" w:hAnsi="Arial" w:cs="Arial"/>
          <w:sz w:val="24"/>
          <w:szCs w:val="24"/>
        </w:rPr>
        <w:t xml:space="preserve">, </w:t>
      </w:r>
      <w:r w:rsidRPr="00B92A56" w:rsidR="00B92A56">
        <w:rPr>
          <w:rFonts w:ascii="Arial" w:hAnsi="Arial" w:cs="Arial"/>
          <w:sz w:val="24"/>
          <w:szCs w:val="24"/>
        </w:rPr>
        <w:t>88 FR 37036 (Jun</w:t>
      </w:r>
      <w:r w:rsidR="00366F11">
        <w:rPr>
          <w:rFonts w:ascii="Arial" w:hAnsi="Arial" w:cs="Arial"/>
          <w:sz w:val="24"/>
          <w:szCs w:val="24"/>
        </w:rPr>
        <w:t>e</w:t>
      </w:r>
      <w:r w:rsidRPr="00B92A56" w:rsidR="00B92A56">
        <w:rPr>
          <w:rFonts w:ascii="Arial" w:hAnsi="Arial" w:cs="Arial"/>
          <w:sz w:val="24"/>
          <w:szCs w:val="24"/>
        </w:rPr>
        <w:t xml:space="preserve"> 6, 2023).</w:t>
      </w:r>
    </w:p>
    <w:p w:rsidR="00390497" w:rsidRPr="00390497" w:rsidP="00390497" w14:paraId="1E856F2A" w14:textId="77777777">
      <w:pPr>
        <w:pStyle w:val="NoSpacing"/>
        <w:ind w:firstLine="720"/>
        <w:jc w:val="both"/>
        <w:rPr>
          <w:rFonts w:ascii="Arial" w:hAnsi="Arial" w:cs="Arial"/>
          <w:bCs/>
          <w:sz w:val="24"/>
          <w:szCs w:val="24"/>
        </w:rPr>
      </w:pPr>
    </w:p>
    <w:p w:rsidR="002069C2" w:rsidP="00390497" w14:paraId="072B75DC" w14:textId="62A9A903">
      <w:pPr>
        <w:pStyle w:val="NoSpacing"/>
        <w:jc w:val="both"/>
        <w:rPr>
          <w:rFonts w:ascii="Arial" w:hAnsi="Arial" w:cs="Arial"/>
          <w:sz w:val="24"/>
          <w:szCs w:val="24"/>
        </w:rPr>
      </w:pPr>
      <w:r w:rsidRPr="00390497">
        <w:rPr>
          <w:rFonts w:ascii="Arial" w:hAnsi="Arial" w:cs="Arial"/>
          <w:sz w:val="24"/>
          <w:szCs w:val="24"/>
        </w:rPr>
        <w:t xml:space="preserve">The items in this new information collection relate solely to the impacts of the § 1.16(u) non-DOCX filing surcharge fee on the filing of nonprovisional utility applications under 35 </w:t>
      </w:r>
      <w:r w:rsidRPr="00390497">
        <w:rPr>
          <w:rFonts w:ascii="Arial" w:hAnsi="Arial" w:cs="Arial"/>
          <w:sz w:val="24"/>
          <w:szCs w:val="24"/>
        </w:rPr>
        <w:t xml:space="preserve">U.S.C. 111, including continuing applications. In particular, this new information collection accounts for the § 1.16(u) non-DOCX filing surcharge fee itself, as well as an additional 30 minutes of time </w:t>
      </w:r>
      <w:r>
        <w:rPr>
          <w:rFonts w:ascii="Arial" w:hAnsi="Arial" w:cs="Arial"/>
          <w:sz w:val="24"/>
          <w:szCs w:val="24"/>
        </w:rPr>
        <w:t xml:space="preserve">to accommodate (i) </w:t>
      </w:r>
      <w:r w:rsidRPr="00390497">
        <w:rPr>
          <w:rFonts w:ascii="Arial" w:hAnsi="Arial" w:cs="Arial"/>
          <w:sz w:val="24"/>
          <w:szCs w:val="24"/>
        </w:rPr>
        <w:t xml:space="preserve">the extra review that some </w:t>
      </w:r>
      <w:r>
        <w:rPr>
          <w:rFonts w:ascii="Arial" w:hAnsi="Arial" w:cs="Arial"/>
          <w:sz w:val="24"/>
          <w:szCs w:val="24"/>
        </w:rPr>
        <w:t xml:space="preserve">respondents may undertake as they start to become more familiar with </w:t>
      </w:r>
      <w:r w:rsidRPr="00390497">
        <w:rPr>
          <w:rFonts w:ascii="Arial" w:hAnsi="Arial" w:cs="Arial"/>
          <w:sz w:val="24"/>
          <w:szCs w:val="24"/>
        </w:rPr>
        <w:t>the DOCX format</w:t>
      </w:r>
      <w:r>
        <w:rPr>
          <w:rFonts w:ascii="Arial" w:hAnsi="Arial" w:cs="Arial"/>
          <w:sz w:val="24"/>
          <w:szCs w:val="24"/>
        </w:rPr>
        <w:t xml:space="preserve"> and (ii) submission of the back-up applicant-generated PDF that some respondents will opt to submit</w:t>
      </w:r>
      <w:r w:rsidRPr="00390497">
        <w:rPr>
          <w:rFonts w:ascii="Arial" w:hAnsi="Arial" w:cs="Arial"/>
          <w:sz w:val="24"/>
          <w:szCs w:val="24"/>
        </w:rPr>
        <w:t>.</w:t>
      </w:r>
    </w:p>
    <w:p w:rsidR="002069C2" w:rsidP="00390497" w14:paraId="4583807C" w14:textId="77777777">
      <w:pPr>
        <w:pStyle w:val="NoSpacing"/>
        <w:jc w:val="both"/>
        <w:rPr>
          <w:rFonts w:ascii="Arial" w:hAnsi="Arial" w:cs="Arial"/>
          <w:sz w:val="24"/>
          <w:szCs w:val="24"/>
        </w:rPr>
      </w:pPr>
    </w:p>
    <w:p w:rsidR="00193564" w:rsidRPr="00390497" w:rsidP="00390497" w14:paraId="7BBFF1BB" w14:textId="5A2C7908">
      <w:pPr>
        <w:pStyle w:val="NoSpacing"/>
        <w:jc w:val="both"/>
        <w:rPr>
          <w:rFonts w:ascii="Arial" w:hAnsi="Arial" w:cs="Arial"/>
          <w:sz w:val="24"/>
          <w:szCs w:val="24"/>
        </w:rPr>
      </w:pPr>
      <w:r w:rsidRPr="6A9BA041">
        <w:rPr>
          <w:rFonts w:ascii="Arial" w:hAnsi="Arial" w:cs="Arial"/>
          <w:sz w:val="24"/>
          <w:szCs w:val="24"/>
        </w:rPr>
        <w:t xml:space="preserve">The estimated volumes for the items in this new information collection are based from the estimates for the corresponding nonprovisional utility applications filed under 35 U.S.C. 111, including continuing applications, that are covered under an existing </w:t>
      </w:r>
      <w:r w:rsidR="00B92A56">
        <w:rPr>
          <w:rFonts w:ascii="Arial" w:hAnsi="Arial" w:cs="Arial"/>
          <w:sz w:val="24"/>
          <w:szCs w:val="24"/>
        </w:rPr>
        <w:t xml:space="preserve">information collection </w:t>
      </w:r>
      <w:r w:rsidRPr="6A9BA041">
        <w:rPr>
          <w:rFonts w:ascii="Arial" w:hAnsi="Arial" w:cs="Arial"/>
          <w:sz w:val="24"/>
          <w:szCs w:val="24"/>
        </w:rPr>
        <w:t>(</w:t>
      </w:r>
      <w:r w:rsidR="00B92A56">
        <w:rPr>
          <w:rFonts w:ascii="Arial" w:hAnsi="Arial" w:cs="Arial"/>
          <w:sz w:val="24"/>
          <w:szCs w:val="24"/>
        </w:rPr>
        <w:t xml:space="preserve">OMB </w:t>
      </w:r>
      <w:r w:rsidR="008C1259">
        <w:rPr>
          <w:rFonts w:ascii="Arial" w:hAnsi="Arial" w:cs="Arial"/>
          <w:sz w:val="24"/>
          <w:szCs w:val="24"/>
        </w:rPr>
        <w:t>c</w:t>
      </w:r>
      <w:r w:rsidR="00B92A56">
        <w:rPr>
          <w:rFonts w:ascii="Arial" w:hAnsi="Arial" w:cs="Arial"/>
          <w:sz w:val="24"/>
          <w:szCs w:val="24"/>
        </w:rPr>
        <w:t xml:space="preserve">ontrol </w:t>
      </w:r>
      <w:r w:rsidR="008C1259">
        <w:rPr>
          <w:rFonts w:ascii="Arial" w:hAnsi="Arial" w:cs="Arial"/>
          <w:sz w:val="24"/>
          <w:szCs w:val="24"/>
        </w:rPr>
        <w:t>number</w:t>
      </w:r>
      <w:r w:rsidR="00B92A56">
        <w:rPr>
          <w:rFonts w:ascii="Arial" w:hAnsi="Arial" w:cs="Arial"/>
          <w:sz w:val="24"/>
          <w:szCs w:val="24"/>
        </w:rPr>
        <w:t xml:space="preserve"> </w:t>
      </w:r>
      <w:r w:rsidRPr="6A9BA041">
        <w:rPr>
          <w:rFonts w:ascii="Arial" w:hAnsi="Arial" w:cs="Arial"/>
          <w:sz w:val="24"/>
          <w:szCs w:val="24"/>
        </w:rPr>
        <w:t>0651-0032; Initial Patent Applications).</w:t>
      </w:r>
      <w:r w:rsidRPr="6A9BA041" w:rsidR="1BEA86A1">
        <w:rPr>
          <w:rFonts w:ascii="Arial" w:hAnsi="Arial" w:cs="Arial"/>
          <w:sz w:val="24"/>
          <w:szCs w:val="24"/>
        </w:rPr>
        <w:t xml:space="preserve"> Respondents for the items in the new information collection will either take an extra </w:t>
      </w:r>
      <w:r w:rsidRPr="6A9BA041" w:rsidR="3DFDD8B4">
        <w:rPr>
          <w:rFonts w:ascii="Arial" w:hAnsi="Arial" w:cs="Arial"/>
          <w:sz w:val="24"/>
          <w:szCs w:val="24"/>
        </w:rPr>
        <w:t>30 minutes</w:t>
      </w:r>
      <w:r w:rsidRPr="6A9BA041" w:rsidR="1BEA86A1">
        <w:rPr>
          <w:rFonts w:ascii="Arial" w:hAnsi="Arial" w:cs="Arial"/>
          <w:sz w:val="24"/>
          <w:szCs w:val="24"/>
        </w:rPr>
        <w:t xml:space="preserve"> to file their applications in DOCX format or they will pay the non-DOCX surcharge, they will not do both.</w:t>
      </w:r>
    </w:p>
    <w:p w:rsidR="00390497" w:rsidP="00193564" w14:paraId="7031D429" w14:textId="77777777">
      <w:pPr>
        <w:pStyle w:val="NoSpacing"/>
        <w:jc w:val="both"/>
        <w:rPr>
          <w:rFonts w:ascii="Arial" w:hAnsi="Arial" w:cs="Arial"/>
          <w:sz w:val="24"/>
          <w:szCs w:val="24"/>
        </w:rPr>
      </w:pPr>
    </w:p>
    <w:p w:rsidR="00193564" w:rsidRPr="00933E52" w:rsidP="00193564" w14:paraId="3C0406C8" w14:textId="0F27EBBF">
      <w:pPr>
        <w:pStyle w:val="NoSpacing"/>
        <w:jc w:val="both"/>
        <w:rPr>
          <w:rFonts w:ascii="Arial" w:hAnsi="Arial" w:cs="Arial"/>
          <w:sz w:val="24"/>
          <w:szCs w:val="24"/>
        </w:rPr>
      </w:pPr>
      <w:r w:rsidRPr="6A9BA041">
        <w:rPr>
          <w:rFonts w:ascii="Arial" w:hAnsi="Arial" w:cs="Arial"/>
          <w:sz w:val="24"/>
          <w:szCs w:val="24"/>
        </w:rPr>
        <w:t>Table 1 provides the specific statutes and regulations authorizing the USPTO to collect the information discussed above:</w:t>
      </w:r>
    </w:p>
    <w:p w:rsidR="00193564" w:rsidRPr="00933E52" w:rsidP="00193564" w14:paraId="0184F70F" w14:textId="77777777">
      <w:pPr>
        <w:widowControl/>
        <w:jc w:val="both"/>
        <w:rPr>
          <w:rFonts w:ascii="Arial" w:hAnsi="Arial" w:cs="Arial"/>
          <w:b/>
          <w:bCs/>
          <w:highlight w:val="yellow"/>
        </w:rPr>
      </w:pPr>
    </w:p>
    <w:p w:rsidR="00193564" w:rsidRPr="001501EC" w:rsidP="00193564" w14:paraId="6506AA1A" w14:textId="77777777">
      <w:pPr>
        <w:widowControl/>
        <w:jc w:val="both"/>
        <w:rPr>
          <w:rFonts w:ascii="Arial" w:hAnsi="Arial" w:cs="Arial"/>
          <w:b/>
          <w:bCs/>
          <w:sz w:val="20"/>
        </w:rPr>
      </w:pPr>
      <w:r w:rsidRPr="001501EC">
        <w:rPr>
          <w:rFonts w:ascii="Arial" w:hAnsi="Arial" w:cs="Arial"/>
          <w:b/>
          <w:bCs/>
          <w:sz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3713"/>
        <w:gridCol w:w="2700"/>
        <w:gridCol w:w="2070"/>
      </w:tblGrid>
      <w:tr w14:paraId="3C97B737" w14:textId="77777777" w:rsidTr="3C0202C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877" w:type="dxa"/>
            <w:shd w:val="clear" w:color="auto" w:fill="BDD6EE" w:themeFill="accent5" w:themeFillTint="66"/>
            <w:vAlign w:val="center"/>
          </w:tcPr>
          <w:p w:rsidR="00193564" w:rsidRPr="00834FDD" w:rsidP="00193564" w14:paraId="4BB8955E" w14:textId="77777777">
            <w:pPr>
              <w:widowControl/>
              <w:autoSpaceDE/>
              <w:autoSpaceDN/>
              <w:adjustRightInd/>
              <w:jc w:val="center"/>
              <w:rPr>
                <w:rFonts w:ascii="Arial" w:hAnsi="Arial" w:cs="Arial"/>
                <w:b/>
                <w:sz w:val="16"/>
                <w:szCs w:val="16"/>
              </w:rPr>
            </w:pPr>
            <w:r w:rsidRPr="00834FDD">
              <w:rPr>
                <w:rFonts w:ascii="Arial" w:hAnsi="Arial" w:cs="Arial"/>
                <w:b/>
                <w:sz w:val="16"/>
                <w:szCs w:val="16"/>
              </w:rPr>
              <w:t>Item No.</w:t>
            </w:r>
          </w:p>
        </w:tc>
        <w:tc>
          <w:tcPr>
            <w:tcW w:w="3713" w:type="dxa"/>
            <w:shd w:val="clear" w:color="auto" w:fill="BDD6EE" w:themeFill="accent5" w:themeFillTint="66"/>
            <w:vAlign w:val="center"/>
          </w:tcPr>
          <w:p w:rsidR="00193564" w:rsidRPr="00834FDD" w:rsidP="00193564" w14:paraId="03470800" w14:textId="77777777">
            <w:pPr>
              <w:widowControl/>
              <w:autoSpaceDE/>
              <w:autoSpaceDN/>
              <w:adjustRightInd/>
              <w:jc w:val="center"/>
              <w:rPr>
                <w:rFonts w:ascii="Arial" w:hAnsi="Arial" w:cs="Arial"/>
                <w:b/>
                <w:sz w:val="16"/>
                <w:szCs w:val="16"/>
              </w:rPr>
            </w:pPr>
            <w:r w:rsidRPr="00834FDD">
              <w:rPr>
                <w:rFonts w:ascii="Arial" w:hAnsi="Arial" w:cs="Arial"/>
                <w:b/>
                <w:sz w:val="16"/>
                <w:szCs w:val="16"/>
              </w:rPr>
              <w:t>Requirement</w:t>
            </w:r>
          </w:p>
        </w:tc>
        <w:tc>
          <w:tcPr>
            <w:tcW w:w="2700" w:type="dxa"/>
            <w:shd w:val="clear" w:color="auto" w:fill="BDD6EE" w:themeFill="accent5" w:themeFillTint="66"/>
            <w:vAlign w:val="center"/>
          </w:tcPr>
          <w:p w:rsidR="00193564" w:rsidRPr="00834FDD" w:rsidP="00193564" w14:paraId="570A9B1A" w14:textId="77777777">
            <w:pPr>
              <w:widowControl/>
              <w:autoSpaceDE/>
              <w:autoSpaceDN/>
              <w:adjustRightInd/>
              <w:jc w:val="center"/>
              <w:rPr>
                <w:rFonts w:ascii="Arial" w:hAnsi="Arial" w:cs="Arial"/>
                <w:b/>
                <w:sz w:val="16"/>
                <w:szCs w:val="16"/>
              </w:rPr>
            </w:pPr>
            <w:r w:rsidRPr="00834FDD">
              <w:rPr>
                <w:rFonts w:ascii="Arial" w:hAnsi="Arial" w:cs="Arial"/>
                <w:b/>
                <w:sz w:val="16"/>
                <w:szCs w:val="16"/>
              </w:rPr>
              <w:t>Statute</w:t>
            </w:r>
          </w:p>
        </w:tc>
        <w:tc>
          <w:tcPr>
            <w:tcW w:w="2070" w:type="dxa"/>
            <w:shd w:val="clear" w:color="auto" w:fill="BDD6EE" w:themeFill="accent5" w:themeFillTint="66"/>
            <w:vAlign w:val="center"/>
          </w:tcPr>
          <w:p w:rsidR="00193564" w:rsidRPr="00834FDD" w:rsidP="00193564" w14:paraId="4CED09A4" w14:textId="77777777">
            <w:pPr>
              <w:widowControl/>
              <w:autoSpaceDE/>
              <w:autoSpaceDN/>
              <w:adjustRightInd/>
              <w:jc w:val="center"/>
              <w:rPr>
                <w:rFonts w:ascii="Arial" w:hAnsi="Arial" w:cs="Arial"/>
                <w:b/>
                <w:sz w:val="16"/>
                <w:szCs w:val="16"/>
              </w:rPr>
            </w:pPr>
            <w:r w:rsidRPr="00834FDD">
              <w:rPr>
                <w:rFonts w:ascii="Arial" w:hAnsi="Arial" w:cs="Arial"/>
                <w:b/>
                <w:sz w:val="16"/>
                <w:szCs w:val="16"/>
              </w:rPr>
              <w:t>Regulation</w:t>
            </w:r>
          </w:p>
        </w:tc>
      </w:tr>
      <w:tr w14:paraId="661D7026" w14:textId="77777777" w:rsidTr="3C0202C9">
        <w:tblPrEx>
          <w:tblW w:w="9360" w:type="dxa"/>
          <w:tblInd w:w="108" w:type="dxa"/>
          <w:tblLayout w:type="fixed"/>
          <w:tblLook w:val="0000"/>
        </w:tblPrEx>
        <w:trPr>
          <w:cantSplit/>
        </w:trPr>
        <w:tc>
          <w:tcPr>
            <w:tcW w:w="877" w:type="dxa"/>
            <w:vAlign w:val="center"/>
          </w:tcPr>
          <w:p w:rsidR="00390497" w:rsidRPr="00834FDD" w:rsidP="00390497" w14:paraId="235C7C45" w14:textId="4BDF832E">
            <w:pPr>
              <w:widowControl/>
              <w:autoSpaceDE/>
              <w:autoSpaceDN/>
              <w:adjustRightInd/>
              <w:jc w:val="center"/>
              <w:rPr>
                <w:rFonts w:ascii="Arial" w:hAnsi="Arial" w:cs="Arial"/>
                <w:b/>
                <w:sz w:val="16"/>
                <w:szCs w:val="16"/>
              </w:rPr>
            </w:pPr>
            <w:r w:rsidRPr="00B97EAF">
              <w:rPr>
                <w:rFonts w:ascii="Arial" w:hAnsi="Arial" w:cs="Arial"/>
                <w:b/>
                <w:sz w:val="16"/>
                <w:szCs w:val="16"/>
              </w:rPr>
              <w:t>1</w:t>
            </w:r>
          </w:p>
        </w:tc>
        <w:tc>
          <w:tcPr>
            <w:tcW w:w="3713" w:type="dxa"/>
            <w:vAlign w:val="center"/>
          </w:tcPr>
          <w:p w:rsidR="00390497" w:rsidRPr="00834FDD" w:rsidP="00390497" w14:paraId="2E181AE4" w14:textId="6F3FDA80">
            <w:pPr>
              <w:widowControl/>
              <w:rPr>
                <w:rFonts w:ascii="Arial" w:hAnsi="Arial" w:cs="Arial"/>
                <w:sz w:val="16"/>
                <w:szCs w:val="16"/>
              </w:rPr>
            </w:pPr>
            <w:r w:rsidRPr="3C0202C9">
              <w:rPr>
                <w:rFonts w:ascii="Arial" w:hAnsi="Arial" w:eastAsiaTheme="minorEastAsia" w:cs="Arial"/>
                <w:sz w:val="16"/>
                <w:szCs w:val="16"/>
              </w:rPr>
              <w:t xml:space="preserve">DOCX </w:t>
            </w:r>
            <w:r w:rsidRPr="3C0202C9" w:rsidR="00FA3538">
              <w:rPr>
                <w:rFonts w:ascii="Arial" w:hAnsi="Arial" w:eastAsiaTheme="minorEastAsia" w:cs="Arial"/>
                <w:sz w:val="16"/>
                <w:szCs w:val="16"/>
              </w:rPr>
              <w:t>s</w:t>
            </w:r>
            <w:r w:rsidRPr="3C0202C9">
              <w:rPr>
                <w:rFonts w:ascii="Arial" w:hAnsi="Arial" w:eastAsiaTheme="minorEastAsia" w:cs="Arial"/>
                <w:sz w:val="16"/>
                <w:szCs w:val="16"/>
              </w:rPr>
              <w:t>ubmission of Original New Utility Applications</w:t>
            </w:r>
          </w:p>
        </w:tc>
        <w:tc>
          <w:tcPr>
            <w:tcW w:w="2700" w:type="dxa"/>
            <w:vAlign w:val="center"/>
          </w:tcPr>
          <w:p w:rsidR="00390497" w:rsidRPr="00834FDD" w:rsidP="00390497" w14:paraId="6DCC5CAA" w14:textId="0D395724">
            <w:pPr>
              <w:widowControl/>
              <w:spacing w:after="58"/>
              <w:rPr>
                <w:rFonts w:ascii="Arial" w:hAnsi="Arial" w:cs="Arial"/>
                <w:sz w:val="16"/>
                <w:szCs w:val="16"/>
              </w:rPr>
            </w:pPr>
            <w:r w:rsidRPr="001501EC">
              <w:rPr>
                <w:rFonts w:ascii="Arial" w:hAnsi="Arial" w:cs="Arial"/>
                <w:sz w:val="16"/>
                <w:szCs w:val="16"/>
              </w:rPr>
              <w:t>35 U.S.C. §§ 41 and 111</w:t>
            </w:r>
          </w:p>
        </w:tc>
        <w:tc>
          <w:tcPr>
            <w:tcW w:w="2070" w:type="dxa"/>
            <w:vAlign w:val="center"/>
          </w:tcPr>
          <w:p w:rsidR="00390497" w:rsidRPr="00834FDD" w:rsidP="00390497" w14:paraId="540BDCAB" w14:textId="33F24D81">
            <w:pPr>
              <w:widowControl/>
              <w:spacing w:after="58"/>
              <w:rPr>
                <w:rFonts w:ascii="Arial" w:hAnsi="Arial" w:cs="Arial"/>
                <w:sz w:val="16"/>
                <w:szCs w:val="16"/>
              </w:rPr>
            </w:pPr>
            <w:r w:rsidRPr="001501EC">
              <w:rPr>
                <w:rFonts w:ascii="Arial" w:hAnsi="Arial" w:cs="Arial"/>
                <w:sz w:val="16"/>
                <w:szCs w:val="16"/>
              </w:rPr>
              <w:t>37 CFR 1.16(u)</w:t>
            </w:r>
            <w:r w:rsidR="000A3E39">
              <w:rPr>
                <w:rFonts w:ascii="Arial" w:hAnsi="Arial" w:cs="Arial"/>
                <w:sz w:val="16"/>
                <w:szCs w:val="16"/>
              </w:rPr>
              <w:t xml:space="preserve"> and 1.51</w:t>
            </w:r>
          </w:p>
        </w:tc>
      </w:tr>
      <w:tr w14:paraId="36FB8D06" w14:textId="77777777" w:rsidTr="3C0202C9">
        <w:tblPrEx>
          <w:tblW w:w="9360" w:type="dxa"/>
          <w:tblInd w:w="108" w:type="dxa"/>
          <w:tblLayout w:type="fixed"/>
          <w:tblLook w:val="0000"/>
        </w:tblPrEx>
        <w:trPr>
          <w:cantSplit/>
        </w:trPr>
        <w:tc>
          <w:tcPr>
            <w:tcW w:w="877" w:type="dxa"/>
            <w:vAlign w:val="center"/>
          </w:tcPr>
          <w:p w:rsidR="00390497" w:rsidRPr="00834FDD" w:rsidP="00390497" w14:paraId="12644E74" w14:textId="06731D17">
            <w:pPr>
              <w:widowControl/>
              <w:autoSpaceDE/>
              <w:autoSpaceDN/>
              <w:adjustRightInd/>
              <w:jc w:val="center"/>
              <w:rPr>
                <w:rFonts w:ascii="Arial" w:hAnsi="Arial" w:cs="Arial"/>
                <w:b/>
                <w:sz w:val="16"/>
                <w:szCs w:val="16"/>
              </w:rPr>
            </w:pPr>
            <w:r w:rsidRPr="00B97EAF">
              <w:rPr>
                <w:rFonts w:ascii="Arial" w:hAnsi="Arial" w:cs="Arial"/>
                <w:b/>
                <w:sz w:val="16"/>
                <w:szCs w:val="16"/>
              </w:rPr>
              <w:t>2</w:t>
            </w:r>
          </w:p>
        </w:tc>
        <w:tc>
          <w:tcPr>
            <w:tcW w:w="3713" w:type="dxa"/>
            <w:vAlign w:val="center"/>
          </w:tcPr>
          <w:p w:rsidR="00390497" w:rsidRPr="00834FDD" w:rsidP="3C0202C9" w14:paraId="2D227A27" w14:textId="4257C6AE">
            <w:pPr>
              <w:widowControl/>
              <w:tabs>
                <w:tab w:val="left" w:pos="420"/>
                <w:tab w:val="left" w:pos="1440"/>
              </w:tabs>
              <w:spacing w:after="58"/>
              <w:rPr>
                <w:rFonts w:ascii="Arial" w:hAnsi="Arial" w:cs="Arial"/>
                <w:sz w:val="16"/>
                <w:szCs w:val="16"/>
              </w:rPr>
            </w:pPr>
            <w:r w:rsidRPr="3C0202C9">
              <w:rPr>
                <w:rFonts w:ascii="Arial" w:hAnsi="Arial" w:eastAsiaTheme="minorEastAsia" w:cs="Arial"/>
                <w:sz w:val="16"/>
                <w:szCs w:val="16"/>
              </w:rPr>
              <w:t xml:space="preserve">DOCX submission </w:t>
            </w:r>
            <w:r w:rsidRPr="3C0202C9" w:rsidR="004311D9">
              <w:rPr>
                <w:rFonts w:ascii="Arial" w:hAnsi="Arial" w:eastAsiaTheme="minorEastAsia" w:cs="Arial"/>
                <w:sz w:val="16"/>
                <w:szCs w:val="16"/>
              </w:rPr>
              <w:t xml:space="preserve">of </w:t>
            </w:r>
            <w:r w:rsidR="00AA06FD">
              <w:rPr>
                <w:rFonts w:ascii="Arial" w:hAnsi="Arial" w:eastAsiaTheme="minorEastAsia" w:cs="Arial"/>
                <w:sz w:val="16"/>
                <w:szCs w:val="16"/>
              </w:rPr>
              <w:t xml:space="preserve">Utility </w:t>
            </w:r>
            <w:r w:rsidRPr="3C0202C9">
              <w:rPr>
                <w:rFonts w:ascii="Arial" w:hAnsi="Arial" w:eastAsiaTheme="minorEastAsia" w:cs="Arial"/>
                <w:sz w:val="16"/>
                <w:szCs w:val="16"/>
              </w:rPr>
              <w:t>Continuation/Divisional of an International Application</w:t>
            </w:r>
          </w:p>
        </w:tc>
        <w:tc>
          <w:tcPr>
            <w:tcW w:w="2700" w:type="dxa"/>
            <w:vAlign w:val="center"/>
          </w:tcPr>
          <w:p w:rsidR="00390497" w:rsidRPr="00834FDD" w:rsidP="00390497" w14:paraId="1EB504FC" w14:textId="284507BD">
            <w:pPr>
              <w:widowControl/>
              <w:tabs>
                <w:tab w:val="left" w:pos="-1440"/>
                <w:tab w:val="left" w:pos="-720"/>
                <w:tab w:val="left" w:pos="0"/>
                <w:tab w:val="left" w:pos="420"/>
                <w:tab w:val="left" w:pos="1440"/>
              </w:tabs>
              <w:spacing w:after="58"/>
              <w:rPr>
                <w:rFonts w:ascii="Arial" w:hAnsi="Arial" w:cs="Arial"/>
                <w:color w:val="0070C0"/>
                <w:sz w:val="16"/>
                <w:szCs w:val="16"/>
              </w:rPr>
            </w:pPr>
            <w:r w:rsidRPr="00B97EAF">
              <w:rPr>
                <w:rFonts w:ascii="Arial" w:hAnsi="Arial" w:cs="Arial"/>
                <w:sz w:val="16"/>
                <w:szCs w:val="16"/>
              </w:rPr>
              <w:t>35 U.S.C. §§ 41 and 111</w:t>
            </w:r>
          </w:p>
        </w:tc>
        <w:tc>
          <w:tcPr>
            <w:tcW w:w="2070" w:type="dxa"/>
            <w:vAlign w:val="center"/>
          </w:tcPr>
          <w:p w:rsidR="00390497" w:rsidRPr="00834FDD" w:rsidP="00390497" w14:paraId="218CF0B8" w14:textId="44A3B0CA">
            <w:pPr>
              <w:widowControl/>
              <w:tabs>
                <w:tab w:val="left" w:pos="-1440"/>
                <w:tab w:val="left" w:pos="-720"/>
                <w:tab w:val="left" w:pos="0"/>
                <w:tab w:val="left" w:pos="420"/>
                <w:tab w:val="left" w:pos="1440"/>
              </w:tabs>
              <w:spacing w:after="58"/>
              <w:rPr>
                <w:rFonts w:ascii="Arial" w:hAnsi="Arial" w:cs="Arial"/>
                <w:color w:val="0070C0"/>
                <w:sz w:val="16"/>
                <w:szCs w:val="16"/>
              </w:rPr>
            </w:pPr>
            <w:r w:rsidRPr="00B97EAF">
              <w:rPr>
                <w:rFonts w:ascii="Arial" w:hAnsi="Arial" w:cs="Arial"/>
                <w:sz w:val="16"/>
                <w:szCs w:val="16"/>
              </w:rPr>
              <w:t>37 CFR 1.16(u)</w:t>
            </w:r>
            <w:r w:rsidR="009A0743">
              <w:rPr>
                <w:rFonts w:ascii="Arial" w:hAnsi="Arial" w:cs="Arial"/>
                <w:sz w:val="16"/>
                <w:szCs w:val="16"/>
              </w:rPr>
              <w:t xml:space="preserve"> and 1.51</w:t>
            </w:r>
          </w:p>
        </w:tc>
      </w:tr>
      <w:tr w14:paraId="5DD1E792" w14:textId="77777777" w:rsidTr="3C0202C9">
        <w:tblPrEx>
          <w:tblW w:w="9360" w:type="dxa"/>
          <w:tblInd w:w="108" w:type="dxa"/>
          <w:tblLayout w:type="fixed"/>
          <w:tblLook w:val="0000"/>
        </w:tblPrEx>
        <w:trPr>
          <w:cantSplit/>
        </w:trPr>
        <w:tc>
          <w:tcPr>
            <w:tcW w:w="877" w:type="dxa"/>
            <w:vAlign w:val="center"/>
          </w:tcPr>
          <w:p w:rsidR="00390497" w:rsidRPr="00834FDD" w:rsidP="00390497" w14:paraId="6B5DF246" w14:textId="519C8CF8">
            <w:pPr>
              <w:widowControl/>
              <w:autoSpaceDE/>
              <w:autoSpaceDN/>
              <w:adjustRightInd/>
              <w:jc w:val="center"/>
              <w:rPr>
                <w:rFonts w:ascii="Arial" w:hAnsi="Arial" w:cs="Arial"/>
                <w:b/>
                <w:sz w:val="16"/>
                <w:szCs w:val="16"/>
              </w:rPr>
            </w:pPr>
            <w:r w:rsidRPr="00B97EAF">
              <w:rPr>
                <w:rFonts w:ascii="Arial" w:hAnsi="Arial" w:cs="Arial"/>
                <w:b/>
                <w:sz w:val="16"/>
                <w:szCs w:val="16"/>
              </w:rPr>
              <w:t>3</w:t>
            </w:r>
          </w:p>
        </w:tc>
        <w:tc>
          <w:tcPr>
            <w:tcW w:w="3713" w:type="dxa"/>
            <w:vAlign w:val="center"/>
          </w:tcPr>
          <w:p w:rsidR="00390497" w:rsidRPr="00834FDD" w:rsidP="3C0202C9" w14:paraId="0E245222" w14:textId="7DB90BBA">
            <w:pPr>
              <w:widowControl/>
              <w:tabs>
                <w:tab w:val="left" w:pos="420"/>
                <w:tab w:val="left" w:pos="1440"/>
              </w:tabs>
              <w:spacing w:after="58"/>
              <w:rPr>
                <w:rFonts w:ascii="Arial" w:hAnsi="Arial" w:cs="Arial"/>
                <w:sz w:val="16"/>
                <w:szCs w:val="16"/>
              </w:rPr>
            </w:pPr>
            <w:r w:rsidRPr="3C0202C9">
              <w:rPr>
                <w:rFonts w:ascii="Arial" w:hAnsi="Arial" w:eastAsiaTheme="minorEastAsia" w:cs="Arial"/>
                <w:sz w:val="16"/>
                <w:szCs w:val="16"/>
              </w:rPr>
              <w:t>DOCX submission</w:t>
            </w:r>
            <w:r w:rsidRPr="3C0202C9" w:rsidR="004311D9">
              <w:rPr>
                <w:rFonts w:ascii="Arial" w:hAnsi="Arial" w:eastAsiaTheme="minorEastAsia" w:cs="Arial"/>
                <w:sz w:val="16"/>
                <w:szCs w:val="16"/>
              </w:rPr>
              <w:t xml:space="preserve"> of</w:t>
            </w:r>
            <w:r w:rsidRPr="3C0202C9">
              <w:rPr>
                <w:rFonts w:ascii="Arial" w:hAnsi="Arial" w:eastAsiaTheme="minorEastAsia" w:cs="Arial"/>
                <w:sz w:val="16"/>
                <w:szCs w:val="16"/>
              </w:rPr>
              <w:t xml:space="preserve"> Utility Continuation/Divisional Applications</w:t>
            </w:r>
          </w:p>
        </w:tc>
        <w:tc>
          <w:tcPr>
            <w:tcW w:w="2700" w:type="dxa"/>
            <w:vAlign w:val="center"/>
          </w:tcPr>
          <w:p w:rsidR="00390497" w:rsidRPr="00834FDD" w:rsidP="00390497" w14:paraId="226F88A4" w14:textId="396B7961">
            <w:pPr>
              <w:widowControl/>
              <w:tabs>
                <w:tab w:val="left" w:pos="-1440"/>
                <w:tab w:val="left" w:pos="-720"/>
                <w:tab w:val="left" w:pos="0"/>
                <w:tab w:val="left" w:pos="420"/>
                <w:tab w:val="left" w:pos="1440"/>
              </w:tabs>
              <w:spacing w:after="58"/>
              <w:rPr>
                <w:rFonts w:ascii="Arial" w:hAnsi="Arial" w:cs="Arial"/>
                <w:sz w:val="16"/>
                <w:szCs w:val="16"/>
              </w:rPr>
            </w:pPr>
            <w:r w:rsidRPr="00B97EAF">
              <w:rPr>
                <w:rFonts w:ascii="Arial" w:hAnsi="Arial" w:cs="Arial"/>
                <w:sz w:val="16"/>
                <w:szCs w:val="16"/>
              </w:rPr>
              <w:t>35 U.S.C. §§ 41 and 111</w:t>
            </w:r>
          </w:p>
        </w:tc>
        <w:tc>
          <w:tcPr>
            <w:tcW w:w="2070" w:type="dxa"/>
            <w:vAlign w:val="center"/>
          </w:tcPr>
          <w:p w:rsidR="00390497" w:rsidRPr="00834FDD" w:rsidP="00390497" w14:paraId="2BD9CE73" w14:textId="621BF677">
            <w:pPr>
              <w:widowControl/>
              <w:tabs>
                <w:tab w:val="left" w:pos="-1440"/>
                <w:tab w:val="left" w:pos="-720"/>
                <w:tab w:val="left" w:pos="0"/>
                <w:tab w:val="left" w:pos="420"/>
                <w:tab w:val="left" w:pos="1440"/>
              </w:tabs>
              <w:spacing w:after="58"/>
              <w:rPr>
                <w:rFonts w:ascii="Arial" w:hAnsi="Arial" w:cs="Arial"/>
                <w:sz w:val="16"/>
                <w:szCs w:val="16"/>
              </w:rPr>
            </w:pPr>
            <w:r w:rsidRPr="00B97EAF">
              <w:rPr>
                <w:rFonts w:ascii="Arial" w:hAnsi="Arial" w:cs="Arial"/>
                <w:sz w:val="16"/>
                <w:szCs w:val="16"/>
              </w:rPr>
              <w:t>37 CFR 1.16(u)</w:t>
            </w:r>
            <w:r w:rsidR="009A0743">
              <w:rPr>
                <w:rFonts w:ascii="Arial" w:hAnsi="Arial" w:cs="Arial"/>
                <w:sz w:val="16"/>
                <w:szCs w:val="16"/>
              </w:rPr>
              <w:t xml:space="preserve"> and 1.51</w:t>
            </w:r>
          </w:p>
        </w:tc>
      </w:tr>
      <w:tr w14:paraId="5F8D0154" w14:textId="77777777" w:rsidTr="3C0202C9">
        <w:tblPrEx>
          <w:tblW w:w="9360" w:type="dxa"/>
          <w:tblInd w:w="108" w:type="dxa"/>
          <w:tblLayout w:type="fixed"/>
          <w:tblLook w:val="0000"/>
        </w:tblPrEx>
        <w:trPr>
          <w:cantSplit/>
        </w:trPr>
        <w:tc>
          <w:tcPr>
            <w:tcW w:w="877" w:type="dxa"/>
            <w:vAlign w:val="center"/>
          </w:tcPr>
          <w:p w:rsidR="00390497" w:rsidRPr="00834FDD" w:rsidP="00390497" w14:paraId="58ADA50D" w14:textId="56E7C8FC">
            <w:pPr>
              <w:widowControl/>
              <w:autoSpaceDE/>
              <w:autoSpaceDN/>
              <w:adjustRightInd/>
              <w:jc w:val="center"/>
              <w:rPr>
                <w:rFonts w:ascii="Arial" w:hAnsi="Arial" w:cs="Arial"/>
                <w:b/>
                <w:sz w:val="16"/>
                <w:szCs w:val="16"/>
              </w:rPr>
            </w:pPr>
            <w:r w:rsidRPr="00B97EAF">
              <w:rPr>
                <w:rFonts w:ascii="Arial" w:hAnsi="Arial" w:cs="Arial"/>
                <w:b/>
                <w:sz w:val="16"/>
                <w:szCs w:val="16"/>
              </w:rPr>
              <w:t>4</w:t>
            </w:r>
          </w:p>
        </w:tc>
        <w:tc>
          <w:tcPr>
            <w:tcW w:w="3713" w:type="dxa"/>
            <w:vAlign w:val="center"/>
          </w:tcPr>
          <w:p w:rsidR="00390497" w:rsidRPr="00834FDD" w:rsidP="3C0202C9" w14:paraId="18A1DBD6" w14:textId="567DA7F2">
            <w:pPr>
              <w:widowControl/>
              <w:tabs>
                <w:tab w:val="left" w:pos="420"/>
                <w:tab w:val="left" w:pos="1440"/>
              </w:tabs>
              <w:rPr>
                <w:rFonts w:ascii="Arial" w:hAnsi="Arial" w:cs="Arial"/>
                <w:sz w:val="16"/>
                <w:szCs w:val="16"/>
              </w:rPr>
            </w:pPr>
            <w:r w:rsidRPr="3C0202C9">
              <w:rPr>
                <w:rFonts w:ascii="Arial" w:hAnsi="Arial" w:eastAsiaTheme="minorEastAsia" w:cs="Arial"/>
                <w:sz w:val="16"/>
                <w:szCs w:val="16"/>
              </w:rPr>
              <w:t xml:space="preserve">DOCX submission </w:t>
            </w:r>
            <w:r w:rsidRPr="3C0202C9" w:rsidR="004311D9">
              <w:rPr>
                <w:rFonts w:ascii="Arial" w:hAnsi="Arial" w:eastAsiaTheme="minorEastAsia" w:cs="Arial"/>
                <w:sz w:val="16"/>
                <w:szCs w:val="16"/>
              </w:rPr>
              <w:t xml:space="preserve">of </w:t>
            </w:r>
            <w:r w:rsidRPr="3C0202C9">
              <w:rPr>
                <w:rFonts w:ascii="Arial" w:hAnsi="Arial" w:eastAsiaTheme="minorEastAsia" w:cs="Arial"/>
                <w:sz w:val="16"/>
                <w:szCs w:val="16"/>
              </w:rPr>
              <w:t>Utility Continuation-in-Part Applications</w:t>
            </w:r>
          </w:p>
        </w:tc>
        <w:tc>
          <w:tcPr>
            <w:tcW w:w="2700" w:type="dxa"/>
            <w:vAlign w:val="center"/>
          </w:tcPr>
          <w:p w:rsidR="00390497" w:rsidRPr="00834FDD" w:rsidP="00390497" w14:paraId="147B5ABD" w14:textId="4EC2F7CD">
            <w:pPr>
              <w:widowControl/>
              <w:tabs>
                <w:tab w:val="left" w:pos="-1440"/>
                <w:tab w:val="left" w:pos="-720"/>
                <w:tab w:val="left" w:pos="0"/>
                <w:tab w:val="left" w:pos="420"/>
                <w:tab w:val="left" w:pos="1440"/>
              </w:tabs>
              <w:spacing w:after="58"/>
              <w:rPr>
                <w:rFonts w:ascii="Arial" w:hAnsi="Arial" w:cs="Arial"/>
                <w:sz w:val="16"/>
                <w:szCs w:val="16"/>
              </w:rPr>
            </w:pPr>
            <w:r w:rsidRPr="00B97EAF">
              <w:rPr>
                <w:rFonts w:ascii="Arial" w:hAnsi="Arial" w:cs="Arial"/>
                <w:sz w:val="16"/>
                <w:szCs w:val="16"/>
              </w:rPr>
              <w:t>35 U.S.C. §§ 41 and 111</w:t>
            </w:r>
          </w:p>
        </w:tc>
        <w:tc>
          <w:tcPr>
            <w:tcW w:w="2070" w:type="dxa"/>
            <w:vAlign w:val="center"/>
          </w:tcPr>
          <w:p w:rsidR="00390497" w:rsidRPr="00834FDD" w:rsidP="00390497" w14:paraId="5B54CEC3" w14:textId="0F30C860">
            <w:pPr>
              <w:widowControl/>
              <w:tabs>
                <w:tab w:val="left" w:pos="-1440"/>
                <w:tab w:val="left" w:pos="-720"/>
                <w:tab w:val="left" w:pos="0"/>
                <w:tab w:val="left" w:pos="420"/>
                <w:tab w:val="left" w:pos="1440"/>
              </w:tabs>
              <w:spacing w:after="58"/>
              <w:rPr>
                <w:rFonts w:ascii="Arial" w:hAnsi="Arial" w:cs="Arial"/>
                <w:sz w:val="16"/>
                <w:szCs w:val="16"/>
              </w:rPr>
            </w:pPr>
            <w:r w:rsidRPr="00B97EAF">
              <w:rPr>
                <w:rFonts w:ascii="Arial" w:hAnsi="Arial" w:cs="Arial"/>
                <w:sz w:val="16"/>
                <w:szCs w:val="16"/>
              </w:rPr>
              <w:t>37 CFR 1.16(u)</w:t>
            </w:r>
            <w:r w:rsidR="009A0743">
              <w:rPr>
                <w:rFonts w:ascii="Arial" w:hAnsi="Arial" w:cs="Arial"/>
                <w:sz w:val="16"/>
                <w:szCs w:val="16"/>
              </w:rPr>
              <w:t xml:space="preserve"> and 1.51</w:t>
            </w:r>
          </w:p>
        </w:tc>
      </w:tr>
    </w:tbl>
    <w:p w:rsidR="00193564" w:rsidRPr="00933E52" w:rsidP="00193564" w14:paraId="660A504C" w14:textId="77777777">
      <w:pPr>
        <w:pStyle w:val="NoSpacing"/>
        <w:jc w:val="both"/>
        <w:rPr>
          <w:rFonts w:ascii="Arial" w:hAnsi="Arial" w:cs="Arial"/>
          <w:sz w:val="24"/>
          <w:szCs w:val="24"/>
          <w:highlight w:val="yellow"/>
        </w:rPr>
      </w:pPr>
    </w:p>
    <w:p w:rsidR="00193564" w:rsidRPr="00933E52" w:rsidP="00385CF6" w14:paraId="34B75CCF" w14:textId="77777777">
      <w:pPr>
        <w:pStyle w:val="NoSpacing"/>
        <w:numPr>
          <w:ilvl w:val="0"/>
          <w:numId w:val="12"/>
        </w:numPr>
        <w:ind w:left="720" w:hanging="720"/>
        <w:jc w:val="both"/>
        <w:rPr>
          <w:rFonts w:ascii="Arial" w:hAnsi="Arial" w:cs="Arial"/>
          <w:b/>
          <w:sz w:val="24"/>
          <w:szCs w:val="24"/>
        </w:rPr>
      </w:pPr>
      <w:r w:rsidRPr="00933E52">
        <w:rPr>
          <w:rFonts w:ascii="Arial" w:hAnsi="Arial" w:cs="Arial"/>
          <w:b/>
          <w:sz w:val="24"/>
          <w:szCs w:val="24"/>
        </w:rPr>
        <w:t>Indicate how, by whom, and for what purpose the information is to be used. Except for a new information collection, indicate the actual use the agency has made of the information received from the current information collection.</w:t>
      </w:r>
    </w:p>
    <w:p w:rsidR="00193564" w:rsidRPr="00933E52" w:rsidP="00193564" w14:paraId="79704BEF" w14:textId="77777777">
      <w:pPr>
        <w:pStyle w:val="NoSpacing"/>
        <w:jc w:val="both"/>
        <w:rPr>
          <w:rFonts w:ascii="Arial" w:hAnsi="Arial" w:cs="Arial"/>
          <w:sz w:val="24"/>
          <w:szCs w:val="24"/>
        </w:rPr>
      </w:pPr>
    </w:p>
    <w:p w:rsidR="00193564" w:rsidRPr="00933E52" w:rsidP="00193564" w14:paraId="7028D090" w14:textId="6F463826">
      <w:pPr>
        <w:pStyle w:val="NoSpacing"/>
        <w:jc w:val="both"/>
        <w:rPr>
          <w:rFonts w:ascii="Arial" w:hAnsi="Arial" w:cs="Arial"/>
          <w:sz w:val="24"/>
          <w:szCs w:val="24"/>
        </w:rPr>
      </w:pPr>
      <w:r>
        <w:rPr>
          <w:rFonts w:ascii="Arial" w:hAnsi="Arial" w:cs="Arial"/>
          <w:sz w:val="24"/>
          <w:szCs w:val="24"/>
        </w:rPr>
        <w:t>The majority of the patent application process is</w:t>
      </w:r>
      <w:r w:rsidRPr="00390497">
        <w:rPr>
          <w:rFonts w:ascii="Arial" w:hAnsi="Arial" w:cs="Arial"/>
          <w:sz w:val="24"/>
          <w:szCs w:val="24"/>
        </w:rPr>
        <w:t xml:space="preserve"> covered under an existing </w:t>
      </w:r>
      <w:r w:rsidR="00B92A56">
        <w:rPr>
          <w:rFonts w:ascii="Arial" w:hAnsi="Arial" w:cs="Arial"/>
          <w:sz w:val="24"/>
          <w:szCs w:val="24"/>
        </w:rPr>
        <w:t xml:space="preserve">information collection </w:t>
      </w:r>
      <w:r w:rsidRPr="00390497">
        <w:rPr>
          <w:rFonts w:ascii="Arial" w:hAnsi="Arial" w:cs="Arial"/>
          <w:sz w:val="24"/>
          <w:szCs w:val="24"/>
        </w:rPr>
        <w:t>(</w:t>
      </w:r>
      <w:r w:rsidR="008C1259">
        <w:rPr>
          <w:rFonts w:ascii="Arial" w:hAnsi="Arial" w:cs="Arial"/>
          <w:sz w:val="24"/>
          <w:szCs w:val="24"/>
        </w:rPr>
        <w:t>c</w:t>
      </w:r>
      <w:r w:rsidR="00B92A56">
        <w:rPr>
          <w:rFonts w:ascii="Arial" w:hAnsi="Arial" w:cs="Arial"/>
          <w:sz w:val="24"/>
          <w:szCs w:val="24"/>
        </w:rPr>
        <w:t xml:space="preserve">ontrol </w:t>
      </w:r>
      <w:r w:rsidR="008C1259">
        <w:rPr>
          <w:rFonts w:ascii="Arial" w:hAnsi="Arial" w:cs="Arial"/>
          <w:sz w:val="24"/>
          <w:szCs w:val="24"/>
        </w:rPr>
        <w:t>number</w:t>
      </w:r>
      <w:r w:rsidR="00B92A56">
        <w:rPr>
          <w:rFonts w:ascii="Arial" w:hAnsi="Arial" w:cs="Arial"/>
          <w:sz w:val="24"/>
          <w:szCs w:val="24"/>
        </w:rPr>
        <w:t xml:space="preserve"> </w:t>
      </w:r>
      <w:r w:rsidRPr="00390497">
        <w:rPr>
          <w:rFonts w:ascii="Arial" w:hAnsi="Arial" w:cs="Arial"/>
          <w:sz w:val="24"/>
          <w:szCs w:val="24"/>
        </w:rPr>
        <w:t>0651-0032; Initial Patent Applications)</w:t>
      </w:r>
      <w:r>
        <w:rPr>
          <w:rFonts w:ascii="Arial" w:hAnsi="Arial" w:cs="Arial"/>
          <w:sz w:val="24"/>
          <w:szCs w:val="24"/>
        </w:rPr>
        <w:t xml:space="preserve">. </w:t>
      </w:r>
      <w:r w:rsidRPr="00933E52" w:rsidR="00383D86">
        <w:rPr>
          <w:rFonts w:ascii="Arial" w:hAnsi="Arial" w:cs="Arial"/>
          <w:sz w:val="24"/>
          <w:szCs w:val="24"/>
        </w:rPr>
        <w:t xml:space="preserve">The public uses this information collection </w:t>
      </w:r>
      <w:r>
        <w:rPr>
          <w:rFonts w:ascii="Arial" w:hAnsi="Arial" w:cs="Arial"/>
          <w:sz w:val="24"/>
          <w:szCs w:val="24"/>
        </w:rPr>
        <w:t xml:space="preserve">only </w:t>
      </w:r>
      <w:r w:rsidRPr="00933E52" w:rsidR="00383D86">
        <w:rPr>
          <w:rFonts w:ascii="Arial" w:hAnsi="Arial" w:cs="Arial"/>
          <w:sz w:val="24"/>
          <w:szCs w:val="24"/>
        </w:rPr>
        <w:t xml:space="preserve">to </w:t>
      </w:r>
      <w:r w:rsidR="00191A91">
        <w:rPr>
          <w:rFonts w:ascii="Arial" w:hAnsi="Arial" w:cs="Arial"/>
          <w:sz w:val="24"/>
          <w:szCs w:val="24"/>
        </w:rPr>
        <w:t xml:space="preserve">file </w:t>
      </w:r>
      <w:r w:rsidR="00F76374">
        <w:rPr>
          <w:rFonts w:ascii="Arial" w:hAnsi="Arial" w:cs="Arial"/>
          <w:sz w:val="24"/>
          <w:szCs w:val="24"/>
        </w:rPr>
        <w:t xml:space="preserve">nonprovisional utility patent </w:t>
      </w:r>
      <w:r w:rsidR="00191A91">
        <w:rPr>
          <w:rFonts w:ascii="Arial" w:hAnsi="Arial" w:cs="Arial"/>
          <w:sz w:val="24"/>
          <w:szCs w:val="24"/>
        </w:rPr>
        <w:t xml:space="preserve">applications in </w:t>
      </w:r>
      <w:r w:rsidR="00F76374">
        <w:rPr>
          <w:rFonts w:ascii="Arial" w:hAnsi="Arial" w:cs="Arial"/>
          <w:sz w:val="24"/>
          <w:szCs w:val="24"/>
        </w:rPr>
        <w:t xml:space="preserve">the </w:t>
      </w:r>
      <w:r w:rsidR="00191A91">
        <w:rPr>
          <w:rFonts w:ascii="Arial" w:hAnsi="Arial" w:cs="Arial"/>
          <w:sz w:val="24"/>
          <w:szCs w:val="24"/>
        </w:rPr>
        <w:t xml:space="preserve">DOCX format or to pay </w:t>
      </w:r>
      <w:r w:rsidR="00F76374">
        <w:rPr>
          <w:rFonts w:ascii="Arial" w:hAnsi="Arial" w:cs="Arial"/>
          <w:sz w:val="24"/>
          <w:szCs w:val="24"/>
        </w:rPr>
        <w:t xml:space="preserve">the </w:t>
      </w:r>
      <w:r w:rsidR="00191A91">
        <w:rPr>
          <w:rFonts w:ascii="Arial" w:hAnsi="Arial" w:cs="Arial"/>
          <w:sz w:val="24"/>
          <w:szCs w:val="24"/>
        </w:rPr>
        <w:t xml:space="preserve">fee </w:t>
      </w:r>
      <w:r>
        <w:rPr>
          <w:rFonts w:ascii="Arial" w:hAnsi="Arial" w:cs="Arial"/>
          <w:sz w:val="24"/>
          <w:szCs w:val="24"/>
        </w:rPr>
        <w:t xml:space="preserve">for </w:t>
      </w:r>
      <w:r w:rsidR="00F76374">
        <w:rPr>
          <w:rFonts w:ascii="Arial" w:hAnsi="Arial" w:cs="Arial"/>
          <w:sz w:val="24"/>
          <w:szCs w:val="24"/>
        </w:rPr>
        <w:t>not filing the applications in the DOCX format</w:t>
      </w:r>
      <w:r w:rsidR="00191A91">
        <w:rPr>
          <w:rFonts w:ascii="Arial" w:hAnsi="Arial" w:cs="Arial"/>
          <w:sz w:val="24"/>
          <w:szCs w:val="24"/>
        </w:rPr>
        <w:t>.</w:t>
      </w:r>
    </w:p>
    <w:p w:rsidR="00193564" w:rsidRPr="00933E52" w:rsidP="00193564" w14:paraId="68D604F8" w14:textId="75244E7C">
      <w:pPr>
        <w:pStyle w:val="NoSpacing"/>
        <w:jc w:val="both"/>
        <w:rPr>
          <w:rFonts w:ascii="Arial" w:hAnsi="Arial" w:cs="Arial"/>
          <w:sz w:val="24"/>
          <w:szCs w:val="24"/>
        </w:rPr>
      </w:pPr>
    </w:p>
    <w:p w:rsidR="00193564" w:rsidRPr="00933E52" w:rsidP="00193564" w14:paraId="37A2484A" w14:textId="32621BA2">
      <w:pPr>
        <w:pStyle w:val="NoSpacing"/>
        <w:jc w:val="both"/>
        <w:rPr>
          <w:rFonts w:ascii="Arial" w:hAnsi="Arial" w:cs="Arial"/>
          <w:sz w:val="24"/>
          <w:szCs w:val="24"/>
        </w:rPr>
      </w:pPr>
      <w:r w:rsidRPr="00933E52">
        <w:rPr>
          <w:rFonts w:ascii="Arial" w:hAnsi="Arial" w:cs="Arial"/>
          <w:sz w:val="24"/>
          <w:szCs w:val="24"/>
        </w:rPr>
        <w:t>The information collected, maintained, and used in this information collection is based on OMB and USPTO guidelines. This includes the basic information quality standards established in the Paperwork Reduction Act (44 U.S.C. Chapter 35), OMB Circular A-130, and the USPTO</w:t>
      </w:r>
      <w:r w:rsidR="00C2494E">
        <w:rPr>
          <w:rFonts w:ascii="Arial" w:hAnsi="Arial" w:cs="Arial"/>
          <w:sz w:val="24"/>
          <w:szCs w:val="24"/>
        </w:rPr>
        <w:t xml:space="preserve"> and</w:t>
      </w:r>
      <w:r w:rsidRPr="00933E52">
        <w:rPr>
          <w:rFonts w:ascii="Arial" w:hAnsi="Arial" w:cs="Arial"/>
          <w:sz w:val="24"/>
          <w:szCs w:val="24"/>
        </w:rPr>
        <w:t xml:space="preserve"> OMB</w:t>
      </w:r>
      <w:r w:rsidR="00C2494E">
        <w:rPr>
          <w:rFonts w:ascii="Arial" w:hAnsi="Arial" w:cs="Arial"/>
          <w:sz w:val="24"/>
          <w:szCs w:val="24"/>
        </w:rPr>
        <w:t>’s</w:t>
      </w:r>
      <w:r w:rsidRPr="00933E52">
        <w:rPr>
          <w:rFonts w:ascii="Arial" w:hAnsi="Arial" w:cs="Arial"/>
          <w:sz w:val="24"/>
          <w:szCs w:val="24"/>
        </w:rPr>
        <w:t xml:space="preserve"> </w:t>
      </w:r>
      <w:r w:rsidR="00C2494E">
        <w:rPr>
          <w:rFonts w:ascii="Arial" w:hAnsi="Arial" w:cs="Arial"/>
          <w:sz w:val="24"/>
          <w:szCs w:val="24"/>
        </w:rPr>
        <w:t xml:space="preserve">information </w:t>
      </w:r>
      <w:r w:rsidRPr="00933E52">
        <w:rPr>
          <w:rFonts w:ascii="Arial" w:hAnsi="Arial" w:cs="Arial"/>
          <w:sz w:val="24"/>
          <w:szCs w:val="24"/>
        </w:rPr>
        <w:t>quality guidelines.</w:t>
      </w:r>
    </w:p>
    <w:p w:rsidR="00193564" w:rsidRPr="00933E52" w:rsidP="00193564" w14:paraId="67BC00BE" w14:textId="77777777">
      <w:pPr>
        <w:pStyle w:val="NoSpacing"/>
        <w:jc w:val="both"/>
        <w:rPr>
          <w:rFonts w:ascii="Arial" w:hAnsi="Arial" w:cs="Arial"/>
          <w:sz w:val="24"/>
          <w:szCs w:val="24"/>
        </w:rPr>
      </w:pPr>
    </w:p>
    <w:p w:rsidR="00193564" w:rsidRPr="00933E52" w:rsidP="00193564" w14:paraId="32756C44" w14:textId="77777777">
      <w:pPr>
        <w:pStyle w:val="NoSpacing"/>
        <w:jc w:val="both"/>
        <w:rPr>
          <w:rFonts w:ascii="Arial" w:hAnsi="Arial" w:cs="Arial"/>
          <w:sz w:val="24"/>
          <w:szCs w:val="24"/>
        </w:rPr>
      </w:pPr>
      <w:r w:rsidRPr="00933E52">
        <w:rPr>
          <w:rFonts w:ascii="Arial" w:hAnsi="Arial" w:cs="Arial"/>
          <w:sz w:val="24"/>
          <w:szCs w:val="24"/>
        </w:rPr>
        <w:t>Table 2 outlines how this collection of information is used by the public and the USPTO:</w:t>
      </w:r>
    </w:p>
    <w:p w:rsidR="00193564" w:rsidRPr="00933E52" w:rsidP="00193564" w14:paraId="5DC72E1D" w14:textId="77777777">
      <w:pPr>
        <w:pStyle w:val="NoSpacing"/>
        <w:jc w:val="both"/>
        <w:rPr>
          <w:rFonts w:ascii="Arial" w:hAnsi="Arial" w:cs="Arial"/>
          <w:sz w:val="24"/>
          <w:szCs w:val="24"/>
        </w:rPr>
      </w:pPr>
    </w:p>
    <w:p w:rsidR="00193564" w:rsidRPr="00B97EAF" w:rsidP="00193564" w14:paraId="3D40FE54" w14:textId="77777777">
      <w:pPr>
        <w:pStyle w:val="NoSpacing"/>
        <w:jc w:val="both"/>
        <w:rPr>
          <w:rFonts w:ascii="Arial" w:hAnsi="Arial" w:cs="Arial"/>
          <w:sz w:val="20"/>
          <w:szCs w:val="24"/>
        </w:rPr>
      </w:pPr>
      <w:r w:rsidRPr="00B97EAF">
        <w:rPr>
          <w:rFonts w:ascii="Arial" w:hAnsi="Arial" w:cs="Arial"/>
          <w:b/>
          <w:bCs/>
          <w:sz w:val="20"/>
          <w:szCs w:val="24"/>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02DE396D" w14:textId="77777777" w:rsidTr="4CC9A0B2">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BDD6EE" w:themeFill="accent5" w:themeFillTint="66"/>
          </w:tcPr>
          <w:p w:rsidR="00193564" w:rsidRPr="00834FDD" w:rsidP="002C2216" w14:paraId="0169B6A9" w14:textId="77777777">
            <w:pPr>
              <w:widowControl/>
              <w:tabs>
                <w:tab w:val="left" w:pos="720"/>
              </w:tabs>
              <w:autoSpaceDE/>
              <w:autoSpaceDN/>
              <w:adjustRightInd/>
              <w:jc w:val="center"/>
              <w:rPr>
                <w:rFonts w:ascii="Arial" w:hAnsi="Arial" w:cs="Arial"/>
                <w:b/>
                <w:sz w:val="16"/>
                <w:szCs w:val="16"/>
              </w:rPr>
            </w:pPr>
          </w:p>
          <w:p w:rsidR="00193564" w:rsidRPr="003B160B" w:rsidP="002C2216" w14:paraId="4F911236" w14:textId="77777777">
            <w:pPr>
              <w:widowControl/>
              <w:tabs>
                <w:tab w:val="left" w:pos="720"/>
              </w:tabs>
              <w:autoSpaceDE/>
              <w:autoSpaceDN/>
              <w:adjustRightInd/>
              <w:jc w:val="center"/>
              <w:rPr>
                <w:rFonts w:ascii="Arial" w:hAnsi="Arial" w:cs="Arial"/>
                <w:b/>
                <w:sz w:val="16"/>
                <w:szCs w:val="16"/>
              </w:rPr>
            </w:pPr>
            <w:r w:rsidRPr="00834FDD">
              <w:rPr>
                <w:rFonts w:ascii="Arial" w:hAnsi="Arial" w:cs="Arial"/>
                <w:b/>
                <w:sz w:val="16"/>
                <w:szCs w:val="16"/>
              </w:rPr>
              <w:t>Item No.</w:t>
            </w:r>
          </w:p>
        </w:tc>
        <w:tc>
          <w:tcPr>
            <w:tcW w:w="2340" w:type="dxa"/>
            <w:shd w:val="clear" w:color="auto" w:fill="BDD6EE" w:themeFill="accent5" w:themeFillTint="66"/>
          </w:tcPr>
          <w:p w:rsidR="00193564" w:rsidRPr="003B160B" w:rsidP="002C2216" w14:paraId="0B7490E4" w14:textId="77777777">
            <w:pPr>
              <w:widowControl/>
              <w:tabs>
                <w:tab w:val="left" w:pos="720"/>
              </w:tabs>
              <w:autoSpaceDE/>
              <w:autoSpaceDN/>
              <w:adjustRightInd/>
              <w:jc w:val="center"/>
              <w:rPr>
                <w:rFonts w:ascii="Arial" w:hAnsi="Arial" w:cs="Arial"/>
                <w:b/>
                <w:sz w:val="16"/>
                <w:szCs w:val="16"/>
              </w:rPr>
            </w:pPr>
          </w:p>
          <w:p w:rsidR="00193564" w:rsidRPr="003B160B" w:rsidP="002C2216" w14:paraId="11E72FA8" w14:textId="77777777">
            <w:pPr>
              <w:widowControl/>
              <w:tabs>
                <w:tab w:val="left" w:pos="720"/>
              </w:tabs>
              <w:autoSpaceDE/>
              <w:autoSpaceDN/>
              <w:adjustRightInd/>
              <w:jc w:val="center"/>
              <w:rPr>
                <w:rFonts w:ascii="Arial" w:hAnsi="Arial" w:cs="Arial"/>
                <w:b/>
                <w:sz w:val="16"/>
                <w:szCs w:val="16"/>
              </w:rPr>
            </w:pPr>
            <w:r w:rsidRPr="003B160B">
              <w:rPr>
                <w:rFonts w:ascii="Arial" w:hAnsi="Arial" w:cs="Arial"/>
                <w:b/>
                <w:sz w:val="16"/>
                <w:szCs w:val="16"/>
              </w:rPr>
              <w:t>Form and Function</w:t>
            </w:r>
          </w:p>
        </w:tc>
        <w:tc>
          <w:tcPr>
            <w:tcW w:w="1620" w:type="dxa"/>
            <w:shd w:val="clear" w:color="auto" w:fill="BDD6EE" w:themeFill="accent5" w:themeFillTint="66"/>
          </w:tcPr>
          <w:p w:rsidR="00193564" w:rsidRPr="003B160B" w:rsidP="002C2216" w14:paraId="6D1BF5AD" w14:textId="77777777">
            <w:pPr>
              <w:widowControl/>
              <w:tabs>
                <w:tab w:val="left" w:pos="720"/>
              </w:tabs>
              <w:autoSpaceDE/>
              <w:autoSpaceDN/>
              <w:adjustRightInd/>
              <w:jc w:val="center"/>
              <w:rPr>
                <w:rFonts w:ascii="Arial" w:hAnsi="Arial" w:cs="Arial"/>
                <w:b/>
                <w:sz w:val="16"/>
                <w:szCs w:val="16"/>
              </w:rPr>
            </w:pPr>
          </w:p>
          <w:p w:rsidR="00193564" w:rsidRPr="003B160B" w:rsidP="002C2216" w14:paraId="64ACF025" w14:textId="3A16BA94">
            <w:pPr>
              <w:keepNext/>
              <w:widowControl/>
              <w:tabs>
                <w:tab w:val="left" w:pos="720"/>
              </w:tabs>
              <w:autoSpaceDE/>
              <w:autoSpaceDN/>
              <w:adjustRightInd/>
              <w:jc w:val="center"/>
              <w:outlineLvl w:val="6"/>
              <w:rPr>
                <w:rFonts w:ascii="Arial" w:hAnsi="Arial" w:cs="Arial"/>
                <w:b/>
                <w:sz w:val="16"/>
                <w:szCs w:val="16"/>
              </w:rPr>
            </w:pPr>
            <w:r w:rsidRPr="003B160B">
              <w:rPr>
                <w:rFonts w:ascii="Arial" w:hAnsi="Arial" w:cs="Arial"/>
                <w:b/>
                <w:sz w:val="16"/>
                <w:szCs w:val="16"/>
              </w:rPr>
              <w:t xml:space="preserve">Form </w:t>
            </w:r>
            <w:r w:rsidRPr="003B160B" w:rsidR="00511A03">
              <w:rPr>
                <w:rFonts w:ascii="Arial" w:hAnsi="Arial" w:cs="Arial"/>
                <w:b/>
                <w:sz w:val="16"/>
                <w:szCs w:val="16"/>
              </w:rPr>
              <w:t>No.</w:t>
            </w:r>
          </w:p>
        </w:tc>
        <w:tc>
          <w:tcPr>
            <w:tcW w:w="4230" w:type="dxa"/>
            <w:shd w:val="clear" w:color="auto" w:fill="BDD6EE" w:themeFill="accent5" w:themeFillTint="66"/>
          </w:tcPr>
          <w:p w:rsidR="00193564" w:rsidRPr="003B160B" w:rsidP="002C2216" w14:paraId="5985B6D9" w14:textId="77777777">
            <w:pPr>
              <w:widowControl/>
              <w:tabs>
                <w:tab w:val="left" w:pos="720"/>
              </w:tabs>
              <w:autoSpaceDE/>
              <w:autoSpaceDN/>
              <w:adjustRightInd/>
              <w:jc w:val="center"/>
              <w:rPr>
                <w:rFonts w:ascii="Arial" w:hAnsi="Arial" w:cs="Arial"/>
                <w:b/>
                <w:sz w:val="16"/>
                <w:szCs w:val="16"/>
              </w:rPr>
            </w:pPr>
          </w:p>
          <w:p w:rsidR="00193564" w:rsidRPr="003B160B" w:rsidP="002C2216" w14:paraId="79C482E3" w14:textId="77777777">
            <w:pPr>
              <w:widowControl/>
              <w:tabs>
                <w:tab w:val="left" w:pos="720"/>
              </w:tabs>
              <w:autoSpaceDE/>
              <w:autoSpaceDN/>
              <w:adjustRightInd/>
              <w:jc w:val="center"/>
              <w:rPr>
                <w:rFonts w:ascii="Arial" w:hAnsi="Arial" w:cs="Arial"/>
                <w:b/>
                <w:sz w:val="16"/>
                <w:szCs w:val="16"/>
              </w:rPr>
            </w:pPr>
            <w:r w:rsidRPr="003B160B">
              <w:rPr>
                <w:rFonts w:ascii="Arial" w:hAnsi="Arial" w:cs="Arial"/>
                <w:b/>
                <w:sz w:val="16"/>
                <w:szCs w:val="16"/>
              </w:rPr>
              <w:t>Needs and Uses</w:t>
            </w:r>
          </w:p>
        </w:tc>
      </w:tr>
      <w:tr w14:paraId="4BAFD440" w14:textId="77777777" w:rsidTr="4CC9A0B2">
        <w:tblPrEx>
          <w:tblW w:w="9360" w:type="dxa"/>
          <w:tblInd w:w="108" w:type="dxa"/>
          <w:tblLayout w:type="fixed"/>
          <w:tblLook w:val="0000"/>
        </w:tblPrEx>
        <w:trPr>
          <w:cantSplit/>
        </w:trPr>
        <w:tc>
          <w:tcPr>
            <w:tcW w:w="1170" w:type="dxa"/>
            <w:vAlign w:val="center"/>
          </w:tcPr>
          <w:p w:rsidR="00987334" w:rsidRPr="00834FDD" w:rsidP="00987334" w14:paraId="224DC0EC" w14:textId="4FAF65F8">
            <w:pPr>
              <w:widowControl/>
              <w:tabs>
                <w:tab w:val="left" w:pos="720"/>
              </w:tabs>
              <w:autoSpaceDE/>
              <w:autoSpaceDN/>
              <w:adjustRightInd/>
              <w:jc w:val="center"/>
              <w:rPr>
                <w:rFonts w:ascii="Arial" w:hAnsi="Arial" w:cs="Arial"/>
                <w:b/>
                <w:sz w:val="16"/>
                <w:szCs w:val="16"/>
              </w:rPr>
            </w:pPr>
            <w:r w:rsidRPr="00B97EAF">
              <w:rPr>
                <w:rFonts w:ascii="Arial" w:hAnsi="Arial" w:cs="Arial"/>
                <w:b/>
                <w:sz w:val="16"/>
                <w:szCs w:val="16"/>
              </w:rPr>
              <w:t>1</w:t>
            </w:r>
          </w:p>
        </w:tc>
        <w:tc>
          <w:tcPr>
            <w:tcW w:w="2340" w:type="dxa"/>
            <w:vAlign w:val="center"/>
          </w:tcPr>
          <w:p w:rsidR="00987334" w:rsidRPr="00834FDD" w:rsidP="00987334" w14:paraId="1BEEEBAA" w14:textId="194EF00C">
            <w:pPr>
              <w:widowControl/>
              <w:rPr>
                <w:rFonts w:ascii="Arial" w:hAnsi="Arial" w:cs="Arial"/>
                <w:sz w:val="16"/>
                <w:szCs w:val="16"/>
              </w:rPr>
            </w:pPr>
            <w:r w:rsidRPr="4CC9A0B2">
              <w:rPr>
                <w:rFonts w:ascii="Arial" w:hAnsi="Arial" w:eastAsiaTheme="minorEastAsia" w:cs="Arial"/>
                <w:sz w:val="16"/>
                <w:szCs w:val="16"/>
              </w:rPr>
              <w:t xml:space="preserve">DOCX </w:t>
            </w:r>
            <w:r w:rsidRPr="4CC9A0B2" w:rsidR="7E01D0C9">
              <w:rPr>
                <w:rFonts w:ascii="Arial" w:hAnsi="Arial" w:eastAsiaTheme="minorEastAsia" w:cs="Arial"/>
                <w:sz w:val="16"/>
                <w:szCs w:val="16"/>
              </w:rPr>
              <w:t>s</w:t>
            </w:r>
            <w:r w:rsidRPr="4CC9A0B2">
              <w:rPr>
                <w:rFonts w:ascii="Arial" w:hAnsi="Arial" w:eastAsiaTheme="minorEastAsia" w:cs="Arial"/>
                <w:sz w:val="16"/>
                <w:szCs w:val="16"/>
              </w:rPr>
              <w:t xml:space="preserve">ubmission of </w:t>
            </w:r>
            <w:r w:rsidRPr="4CC9A0B2" w:rsidR="78BCFBD7">
              <w:rPr>
                <w:rFonts w:ascii="Arial" w:hAnsi="Arial" w:eastAsiaTheme="minorEastAsia" w:cs="Arial"/>
                <w:sz w:val="16"/>
                <w:szCs w:val="16"/>
              </w:rPr>
              <w:t>O</w:t>
            </w:r>
            <w:r w:rsidRPr="4CC9A0B2">
              <w:rPr>
                <w:rFonts w:ascii="Arial" w:hAnsi="Arial" w:eastAsiaTheme="minorEastAsia" w:cs="Arial"/>
                <w:sz w:val="16"/>
                <w:szCs w:val="16"/>
              </w:rPr>
              <w:t xml:space="preserve">riginal </w:t>
            </w:r>
            <w:r w:rsidRPr="4CC9A0B2" w:rsidR="0DC71B92">
              <w:rPr>
                <w:rFonts w:ascii="Arial" w:hAnsi="Arial" w:eastAsiaTheme="minorEastAsia" w:cs="Arial"/>
                <w:sz w:val="16"/>
                <w:szCs w:val="16"/>
              </w:rPr>
              <w:t>N</w:t>
            </w:r>
            <w:r w:rsidRPr="4CC9A0B2">
              <w:rPr>
                <w:rFonts w:ascii="Arial" w:hAnsi="Arial" w:eastAsiaTheme="minorEastAsia" w:cs="Arial"/>
                <w:sz w:val="16"/>
                <w:szCs w:val="16"/>
              </w:rPr>
              <w:t xml:space="preserve">ew </w:t>
            </w:r>
            <w:r w:rsidRPr="4CC9A0B2" w:rsidR="50465F29">
              <w:rPr>
                <w:rFonts w:ascii="Arial" w:hAnsi="Arial" w:eastAsiaTheme="minorEastAsia" w:cs="Arial"/>
                <w:sz w:val="16"/>
                <w:szCs w:val="16"/>
              </w:rPr>
              <w:t>U</w:t>
            </w:r>
            <w:r w:rsidRPr="4CC9A0B2">
              <w:rPr>
                <w:rFonts w:ascii="Arial" w:hAnsi="Arial" w:eastAsiaTheme="minorEastAsia" w:cs="Arial"/>
                <w:sz w:val="16"/>
                <w:szCs w:val="16"/>
              </w:rPr>
              <w:t xml:space="preserve">tility </w:t>
            </w:r>
            <w:r w:rsidRPr="4CC9A0B2" w:rsidR="609DA639">
              <w:rPr>
                <w:rFonts w:ascii="Arial" w:hAnsi="Arial" w:eastAsiaTheme="minorEastAsia" w:cs="Arial"/>
                <w:sz w:val="16"/>
                <w:szCs w:val="16"/>
              </w:rPr>
              <w:t>A</w:t>
            </w:r>
            <w:r w:rsidRPr="4CC9A0B2">
              <w:rPr>
                <w:rFonts w:ascii="Arial" w:hAnsi="Arial" w:eastAsiaTheme="minorEastAsia" w:cs="Arial"/>
                <w:sz w:val="16"/>
                <w:szCs w:val="16"/>
              </w:rPr>
              <w:t>pplications</w:t>
            </w:r>
          </w:p>
        </w:tc>
        <w:tc>
          <w:tcPr>
            <w:tcW w:w="1620" w:type="dxa"/>
            <w:vAlign w:val="center"/>
          </w:tcPr>
          <w:p w:rsidR="00987334" w:rsidRPr="00834FDD" w:rsidP="00987334" w14:paraId="37D39FA4" w14:textId="7FCF4C99">
            <w:pPr>
              <w:widowControl/>
              <w:spacing w:after="58"/>
              <w:rPr>
                <w:rFonts w:ascii="Arial" w:hAnsi="Arial" w:cs="Arial"/>
                <w:sz w:val="16"/>
                <w:szCs w:val="16"/>
              </w:rPr>
            </w:pPr>
            <w:r w:rsidRPr="00834FDD">
              <w:rPr>
                <w:rFonts w:ascii="Arial" w:hAnsi="Arial" w:cs="Arial"/>
                <w:sz w:val="16"/>
                <w:szCs w:val="16"/>
              </w:rPr>
              <w:t>No Form Associated</w:t>
            </w:r>
          </w:p>
        </w:tc>
        <w:tc>
          <w:tcPr>
            <w:tcW w:w="4230" w:type="dxa"/>
            <w:vAlign w:val="center"/>
          </w:tcPr>
          <w:p w:rsidR="00987334" w:rsidRPr="00B97EAF" w:rsidP="00987334" w14:paraId="4EBA7B9F" w14:textId="77777777">
            <w:pPr>
              <w:pStyle w:val="NoSpacing"/>
              <w:rPr>
                <w:rFonts w:ascii="Arial" w:hAnsi="Arial" w:cs="Arial"/>
                <w:sz w:val="16"/>
                <w:szCs w:val="16"/>
              </w:rPr>
            </w:pPr>
          </w:p>
          <w:p w:rsidR="00987334" w:rsidP="00395125" w14:paraId="63256E48" w14:textId="1F870B59">
            <w:pPr>
              <w:widowControl/>
              <w:numPr>
                <w:ilvl w:val="0"/>
                <w:numId w:val="23"/>
              </w:numPr>
              <w:tabs>
                <w:tab w:val="num" w:pos="406"/>
              </w:tabs>
              <w:autoSpaceDE/>
              <w:autoSpaceDN/>
              <w:adjustRightInd/>
              <w:ind w:left="316" w:hanging="316"/>
              <w:rPr>
                <w:rFonts w:ascii="Arial" w:hAnsi="Arial" w:cs="Arial"/>
                <w:sz w:val="16"/>
                <w:szCs w:val="16"/>
              </w:rPr>
            </w:pPr>
            <w:r w:rsidRPr="00B97EAF">
              <w:rPr>
                <w:rFonts w:ascii="Arial" w:hAnsi="Arial" w:cs="Arial"/>
                <w:sz w:val="16"/>
                <w:szCs w:val="16"/>
              </w:rPr>
              <w:t xml:space="preserve">Used by </w:t>
            </w:r>
            <w:r w:rsidR="00EE45F7">
              <w:rPr>
                <w:rFonts w:ascii="Arial" w:hAnsi="Arial" w:cs="Arial"/>
                <w:sz w:val="16"/>
                <w:szCs w:val="16"/>
              </w:rPr>
              <w:t xml:space="preserve">patent applicants </w:t>
            </w:r>
            <w:r w:rsidRPr="00B97EAF">
              <w:rPr>
                <w:rFonts w:ascii="Arial" w:hAnsi="Arial" w:cs="Arial"/>
                <w:sz w:val="16"/>
                <w:szCs w:val="16"/>
              </w:rPr>
              <w:t xml:space="preserve">to file an original new utility application with the USPTO </w:t>
            </w:r>
            <w:r w:rsidR="00EE45F7">
              <w:rPr>
                <w:rFonts w:ascii="Arial" w:hAnsi="Arial" w:cs="Arial"/>
                <w:sz w:val="16"/>
                <w:szCs w:val="16"/>
              </w:rPr>
              <w:t>in the DOCX format</w:t>
            </w:r>
            <w:r w:rsidRPr="00B97EAF">
              <w:rPr>
                <w:rFonts w:ascii="Arial" w:hAnsi="Arial" w:cs="Arial"/>
                <w:sz w:val="16"/>
                <w:szCs w:val="16"/>
              </w:rPr>
              <w:t>.</w:t>
            </w:r>
          </w:p>
          <w:p w:rsidR="00DD3A00" w:rsidRPr="00B97EAF" w:rsidP="00395125" w14:paraId="5C408370" w14:textId="19C02BCC">
            <w:pPr>
              <w:widowControl/>
              <w:numPr>
                <w:ilvl w:val="0"/>
                <w:numId w:val="23"/>
              </w:numPr>
              <w:tabs>
                <w:tab w:val="num" w:pos="406"/>
              </w:tabs>
              <w:autoSpaceDE/>
              <w:autoSpaceDN/>
              <w:adjustRightInd/>
              <w:ind w:left="316" w:hanging="316"/>
              <w:rPr>
                <w:rFonts w:ascii="Arial" w:hAnsi="Arial" w:cs="Arial"/>
                <w:sz w:val="16"/>
                <w:szCs w:val="16"/>
              </w:rPr>
            </w:pPr>
            <w:r>
              <w:rPr>
                <w:rFonts w:ascii="Arial" w:hAnsi="Arial" w:cs="Arial"/>
                <w:sz w:val="16"/>
                <w:szCs w:val="16"/>
              </w:rPr>
              <w:t xml:space="preserve">Used by patent applicants to pay </w:t>
            </w:r>
            <w:r w:rsidRPr="00DD3A00">
              <w:rPr>
                <w:rFonts w:ascii="Arial" w:hAnsi="Arial" w:cs="Arial"/>
                <w:sz w:val="16"/>
                <w:szCs w:val="16"/>
              </w:rPr>
              <w:t>the non-DOCX filing surcharge fee</w:t>
            </w:r>
            <w:r>
              <w:rPr>
                <w:rFonts w:ascii="Arial" w:hAnsi="Arial" w:cs="Arial"/>
                <w:sz w:val="16"/>
                <w:szCs w:val="16"/>
              </w:rPr>
              <w:t xml:space="preserve"> when not filing </w:t>
            </w:r>
            <w:r w:rsidRPr="00B97EAF">
              <w:rPr>
                <w:rFonts w:ascii="Arial" w:hAnsi="Arial" w:cs="Arial"/>
                <w:sz w:val="16"/>
                <w:szCs w:val="16"/>
              </w:rPr>
              <w:t>an original new utility application with the USPTO</w:t>
            </w:r>
            <w:r>
              <w:rPr>
                <w:rFonts w:ascii="Arial" w:hAnsi="Arial" w:cs="Arial"/>
                <w:sz w:val="16"/>
                <w:szCs w:val="16"/>
              </w:rPr>
              <w:t xml:space="preserve"> in the DOCX format.</w:t>
            </w:r>
          </w:p>
          <w:p w:rsidR="00987334" w:rsidRPr="00B97EAF" w:rsidP="00395125" w14:paraId="2E04B319" w14:textId="7227B2C7">
            <w:pPr>
              <w:widowControl/>
              <w:numPr>
                <w:ilvl w:val="0"/>
                <w:numId w:val="23"/>
              </w:numPr>
              <w:tabs>
                <w:tab w:val="num" w:pos="406"/>
              </w:tabs>
              <w:autoSpaceDE/>
              <w:autoSpaceDN/>
              <w:adjustRightInd/>
              <w:ind w:left="316" w:hanging="316"/>
              <w:rPr>
                <w:rFonts w:ascii="Arial" w:hAnsi="Arial" w:cs="Arial"/>
                <w:sz w:val="16"/>
                <w:szCs w:val="16"/>
              </w:rPr>
            </w:pPr>
            <w:r w:rsidRPr="00B97EAF">
              <w:rPr>
                <w:rFonts w:ascii="Arial" w:hAnsi="Arial" w:cs="Arial"/>
                <w:sz w:val="16"/>
                <w:szCs w:val="16"/>
              </w:rPr>
              <w:t>Used by the USPTO to process an application for patent.</w:t>
            </w:r>
          </w:p>
          <w:p w:rsidR="00987334" w:rsidRPr="00B97EAF" w:rsidP="00987334" w14:paraId="6E86FD49" w14:textId="543BE24A">
            <w:pPr>
              <w:pStyle w:val="a"/>
              <w:keepNext/>
              <w:keepLines/>
              <w:widowControl/>
              <w:tabs>
                <w:tab w:val="left" w:pos="-1440"/>
                <w:tab w:val="left" w:pos="-720"/>
                <w:tab w:val="left" w:pos="0"/>
                <w:tab w:val="left" w:pos="240"/>
                <w:tab w:val="left" w:pos="1440"/>
              </w:tabs>
              <w:ind w:left="240" w:firstLine="0"/>
              <w:rPr>
                <w:rFonts w:ascii="Arial" w:hAnsi="Arial" w:cs="Arial"/>
                <w:sz w:val="16"/>
                <w:szCs w:val="16"/>
              </w:rPr>
            </w:pPr>
          </w:p>
        </w:tc>
      </w:tr>
      <w:tr w14:paraId="234F5C32" w14:textId="77777777" w:rsidTr="4CC9A0B2">
        <w:tblPrEx>
          <w:tblW w:w="9360" w:type="dxa"/>
          <w:tblInd w:w="108" w:type="dxa"/>
          <w:tblLayout w:type="fixed"/>
          <w:tblLook w:val="0000"/>
        </w:tblPrEx>
        <w:trPr>
          <w:cantSplit/>
        </w:trPr>
        <w:tc>
          <w:tcPr>
            <w:tcW w:w="1170" w:type="dxa"/>
            <w:vAlign w:val="center"/>
          </w:tcPr>
          <w:p w:rsidR="00987334" w:rsidRPr="00834FDD" w:rsidP="00987334" w14:paraId="336E8978" w14:textId="30B1BC53">
            <w:pPr>
              <w:widowControl/>
              <w:tabs>
                <w:tab w:val="left" w:pos="720"/>
              </w:tabs>
              <w:autoSpaceDE/>
              <w:autoSpaceDN/>
              <w:adjustRightInd/>
              <w:jc w:val="center"/>
              <w:rPr>
                <w:rFonts w:ascii="Arial" w:hAnsi="Arial" w:cs="Arial"/>
                <w:b/>
                <w:sz w:val="16"/>
                <w:szCs w:val="16"/>
              </w:rPr>
            </w:pPr>
            <w:r w:rsidRPr="00B97EAF">
              <w:rPr>
                <w:rFonts w:ascii="Arial" w:hAnsi="Arial" w:cs="Arial"/>
                <w:b/>
                <w:sz w:val="16"/>
                <w:szCs w:val="16"/>
              </w:rPr>
              <w:t>2</w:t>
            </w:r>
          </w:p>
        </w:tc>
        <w:tc>
          <w:tcPr>
            <w:tcW w:w="2340" w:type="dxa"/>
            <w:vAlign w:val="center"/>
          </w:tcPr>
          <w:p w:rsidR="00987334" w:rsidRPr="00834FDD" w:rsidP="4CC9A0B2" w14:paraId="329CA1DA" w14:textId="5E56A96F">
            <w:pPr>
              <w:widowControl/>
              <w:tabs>
                <w:tab w:val="left" w:pos="420"/>
                <w:tab w:val="left" w:pos="1440"/>
              </w:tabs>
              <w:spacing w:after="58"/>
              <w:rPr>
                <w:rFonts w:ascii="Arial" w:hAnsi="Arial" w:eastAsiaTheme="minorEastAsia" w:cs="Arial"/>
                <w:sz w:val="16"/>
                <w:szCs w:val="16"/>
              </w:rPr>
            </w:pPr>
            <w:r w:rsidRPr="4CC9A0B2">
              <w:rPr>
                <w:rFonts w:ascii="Arial" w:hAnsi="Arial" w:eastAsiaTheme="minorEastAsia" w:cs="Arial"/>
                <w:sz w:val="16"/>
                <w:szCs w:val="16"/>
              </w:rPr>
              <w:t xml:space="preserve">DOCX </w:t>
            </w:r>
            <w:r w:rsidRPr="4CC9A0B2" w:rsidR="7E01D0C9">
              <w:rPr>
                <w:rFonts w:ascii="Arial" w:hAnsi="Arial" w:eastAsiaTheme="minorEastAsia" w:cs="Arial"/>
                <w:sz w:val="16"/>
                <w:szCs w:val="16"/>
              </w:rPr>
              <w:t>s</w:t>
            </w:r>
            <w:r w:rsidRPr="4CC9A0B2">
              <w:rPr>
                <w:rFonts w:ascii="Arial" w:hAnsi="Arial" w:eastAsiaTheme="minorEastAsia" w:cs="Arial"/>
                <w:sz w:val="16"/>
                <w:szCs w:val="16"/>
              </w:rPr>
              <w:t xml:space="preserve">ubmission </w:t>
            </w:r>
            <w:r w:rsidRPr="4CC9A0B2" w:rsidR="2EAC6402">
              <w:rPr>
                <w:rFonts w:ascii="Arial" w:hAnsi="Arial" w:eastAsiaTheme="minorEastAsia" w:cs="Arial"/>
                <w:sz w:val="16"/>
                <w:szCs w:val="16"/>
              </w:rPr>
              <w:t xml:space="preserve">of </w:t>
            </w:r>
            <w:r w:rsidRPr="4CC9A0B2" w:rsidR="37AB3825">
              <w:rPr>
                <w:rFonts w:ascii="Arial" w:hAnsi="Arial" w:eastAsiaTheme="minorEastAsia" w:cs="Arial"/>
                <w:sz w:val="16"/>
                <w:szCs w:val="16"/>
              </w:rPr>
              <w:t>U</w:t>
            </w:r>
            <w:r w:rsidRPr="4CC9A0B2" w:rsidR="2EAC6402">
              <w:rPr>
                <w:rFonts w:ascii="Arial" w:hAnsi="Arial" w:eastAsiaTheme="minorEastAsia" w:cs="Arial"/>
                <w:sz w:val="16"/>
                <w:szCs w:val="16"/>
              </w:rPr>
              <w:t>tility</w:t>
            </w:r>
            <w:r w:rsidR="00AA06FD">
              <w:rPr>
                <w:rFonts w:ascii="Arial" w:hAnsi="Arial" w:eastAsiaTheme="minorEastAsia" w:cs="Arial"/>
                <w:sz w:val="16"/>
                <w:szCs w:val="16"/>
              </w:rPr>
              <w:t xml:space="preserve"> </w:t>
            </w:r>
            <w:r w:rsidRPr="4CC9A0B2" w:rsidR="4F50EDB4">
              <w:rPr>
                <w:rFonts w:ascii="Arial" w:hAnsi="Arial" w:eastAsiaTheme="minorEastAsia" w:cs="Arial"/>
                <w:sz w:val="16"/>
                <w:szCs w:val="16"/>
              </w:rPr>
              <w:t>C</w:t>
            </w:r>
            <w:r w:rsidRPr="4CC9A0B2">
              <w:rPr>
                <w:rFonts w:ascii="Arial" w:hAnsi="Arial" w:eastAsiaTheme="minorEastAsia" w:cs="Arial"/>
                <w:sz w:val="16"/>
                <w:szCs w:val="16"/>
              </w:rPr>
              <w:t>ontinuation/</w:t>
            </w:r>
            <w:r w:rsidRPr="4CC9A0B2" w:rsidR="3B092C84">
              <w:rPr>
                <w:rFonts w:ascii="Arial" w:hAnsi="Arial" w:eastAsiaTheme="minorEastAsia" w:cs="Arial"/>
                <w:sz w:val="16"/>
                <w:szCs w:val="16"/>
              </w:rPr>
              <w:t>D</w:t>
            </w:r>
            <w:r w:rsidRPr="4CC9A0B2">
              <w:rPr>
                <w:rFonts w:ascii="Arial" w:hAnsi="Arial" w:eastAsiaTheme="minorEastAsia" w:cs="Arial"/>
                <w:sz w:val="16"/>
                <w:szCs w:val="16"/>
              </w:rPr>
              <w:t xml:space="preserve">ivisional of </w:t>
            </w:r>
            <w:r w:rsidRPr="4CC9A0B2" w:rsidR="58029972">
              <w:rPr>
                <w:rFonts w:ascii="Arial" w:hAnsi="Arial" w:eastAsiaTheme="minorEastAsia" w:cs="Arial"/>
                <w:sz w:val="16"/>
                <w:szCs w:val="16"/>
              </w:rPr>
              <w:t>an I</w:t>
            </w:r>
            <w:r w:rsidRPr="4CC9A0B2">
              <w:rPr>
                <w:rFonts w:ascii="Arial" w:hAnsi="Arial" w:eastAsiaTheme="minorEastAsia" w:cs="Arial"/>
                <w:sz w:val="16"/>
                <w:szCs w:val="16"/>
              </w:rPr>
              <w:t xml:space="preserve">nternational </w:t>
            </w:r>
            <w:r w:rsidRPr="4CC9A0B2" w:rsidR="12C454B7">
              <w:rPr>
                <w:rFonts w:ascii="Arial" w:hAnsi="Arial" w:eastAsiaTheme="minorEastAsia" w:cs="Arial"/>
                <w:sz w:val="16"/>
                <w:szCs w:val="16"/>
              </w:rPr>
              <w:t>A</w:t>
            </w:r>
            <w:r w:rsidRPr="4CC9A0B2">
              <w:rPr>
                <w:rFonts w:ascii="Arial" w:hAnsi="Arial" w:eastAsiaTheme="minorEastAsia" w:cs="Arial"/>
                <w:sz w:val="16"/>
                <w:szCs w:val="16"/>
              </w:rPr>
              <w:t>pplication</w:t>
            </w:r>
          </w:p>
        </w:tc>
        <w:tc>
          <w:tcPr>
            <w:tcW w:w="1620" w:type="dxa"/>
            <w:shd w:val="clear" w:color="auto" w:fill="auto"/>
            <w:vAlign w:val="center"/>
          </w:tcPr>
          <w:p w:rsidR="00987334" w:rsidRPr="00834FDD" w:rsidP="00987334" w14:paraId="3DF9F931" w14:textId="61DC4E4A">
            <w:pPr>
              <w:widowControl/>
              <w:tabs>
                <w:tab w:val="left" w:pos="-1440"/>
                <w:tab w:val="left" w:pos="-720"/>
                <w:tab w:val="left" w:pos="0"/>
                <w:tab w:val="left" w:pos="420"/>
                <w:tab w:val="left" w:pos="1440"/>
              </w:tabs>
              <w:spacing w:after="58"/>
              <w:rPr>
                <w:rFonts w:ascii="Arial" w:hAnsi="Arial" w:cs="Arial"/>
                <w:sz w:val="16"/>
                <w:szCs w:val="16"/>
              </w:rPr>
            </w:pPr>
            <w:r w:rsidRPr="00834FDD">
              <w:rPr>
                <w:rFonts w:ascii="Arial" w:hAnsi="Arial" w:cs="Arial"/>
                <w:sz w:val="16"/>
                <w:szCs w:val="16"/>
              </w:rPr>
              <w:t>No Form Associated</w:t>
            </w:r>
          </w:p>
        </w:tc>
        <w:tc>
          <w:tcPr>
            <w:tcW w:w="4230" w:type="dxa"/>
            <w:vAlign w:val="center"/>
          </w:tcPr>
          <w:p w:rsidR="00987334" w:rsidP="00DD3A00" w14:paraId="674952F1" w14:textId="18867C01">
            <w:pPr>
              <w:widowControl/>
              <w:numPr>
                <w:ilvl w:val="0"/>
                <w:numId w:val="9"/>
              </w:numPr>
              <w:autoSpaceDE/>
              <w:autoSpaceDN/>
              <w:adjustRightInd/>
              <w:rPr>
                <w:rFonts w:ascii="Arial" w:hAnsi="Arial" w:cs="Arial"/>
                <w:sz w:val="16"/>
                <w:szCs w:val="16"/>
              </w:rPr>
            </w:pPr>
            <w:r w:rsidRPr="00B97EAF">
              <w:rPr>
                <w:rFonts w:ascii="Arial" w:hAnsi="Arial" w:cs="Arial"/>
                <w:sz w:val="16"/>
                <w:szCs w:val="16"/>
              </w:rPr>
              <w:t xml:space="preserve">Used by </w:t>
            </w:r>
            <w:r w:rsidR="00127563">
              <w:rPr>
                <w:rFonts w:ascii="Arial" w:hAnsi="Arial" w:cs="Arial"/>
                <w:sz w:val="16"/>
                <w:szCs w:val="16"/>
              </w:rPr>
              <w:t xml:space="preserve">patent applicants </w:t>
            </w:r>
            <w:r w:rsidRPr="00B97EAF">
              <w:rPr>
                <w:rFonts w:ascii="Arial" w:hAnsi="Arial" w:cs="Arial"/>
                <w:sz w:val="16"/>
                <w:szCs w:val="16"/>
              </w:rPr>
              <w:t xml:space="preserve">to file a </w:t>
            </w:r>
            <w:r w:rsidR="00127563">
              <w:rPr>
                <w:rFonts w:ascii="Arial" w:hAnsi="Arial" w:cs="Arial"/>
                <w:sz w:val="16"/>
                <w:szCs w:val="16"/>
              </w:rPr>
              <w:t>utility c</w:t>
            </w:r>
            <w:r w:rsidRPr="00B97EAF">
              <w:rPr>
                <w:rFonts w:ascii="Arial" w:hAnsi="Arial" w:eastAsiaTheme="minorHAnsi" w:cs="Arial"/>
                <w:bCs/>
                <w:sz w:val="16"/>
                <w:szCs w:val="16"/>
              </w:rPr>
              <w:t>ontinuation</w:t>
            </w:r>
            <w:r w:rsidR="00127563">
              <w:rPr>
                <w:rFonts w:ascii="Arial" w:hAnsi="Arial" w:eastAsiaTheme="minorHAnsi" w:cs="Arial"/>
                <w:bCs/>
                <w:sz w:val="16"/>
                <w:szCs w:val="16"/>
              </w:rPr>
              <w:t xml:space="preserve"> or d</w:t>
            </w:r>
            <w:r w:rsidRPr="00B97EAF">
              <w:rPr>
                <w:rFonts w:ascii="Arial" w:hAnsi="Arial" w:eastAsiaTheme="minorHAnsi" w:cs="Arial"/>
                <w:bCs/>
                <w:sz w:val="16"/>
                <w:szCs w:val="16"/>
              </w:rPr>
              <w:t xml:space="preserve">ivisional of an </w:t>
            </w:r>
            <w:r w:rsidR="00127563">
              <w:rPr>
                <w:rFonts w:ascii="Arial" w:hAnsi="Arial" w:eastAsiaTheme="minorHAnsi" w:cs="Arial"/>
                <w:bCs/>
                <w:sz w:val="16"/>
                <w:szCs w:val="16"/>
              </w:rPr>
              <w:t>i</w:t>
            </w:r>
            <w:r w:rsidRPr="00B97EAF">
              <w:rPr>
                <w:rFonts w:ascii="Arial" w:hAnsi="Arial" w:eastAsiaTheme="minorHAnsi" w:cs="Arial"/>
                <w:bCs/>
                <w:sz w:val="16"/>
                <w:szCs w:val="16"/>
              </w:rPr>
              <w:t xml:space="preserve">nternational </w:t>
            </w:r>
            <w:r w:rsidR="00665625">
              <w:rPr>
                <w:rFonts w:ascii="Arial" w:hAnsi="Arial" w:eastAsiaTheme="minorHAnsi" w:cs="Arial"/>
                <w:bCs/>
                <w:sz w:val="16"/>
                <w:szCs w:val="16"/>
              </w:rPr>
              <w:t>a</w:t>
            </w:r>
            <w:r w:rsidRPr="00B97EAF">
              <w:rPr>
                <w:rFonts w:ascii="Arial" w:hAnsi="Arial" w:eastAsiaTheme="minorHAnsi" w:cs="Arial"/>
                <w:bCs/>
                <w:sz w:val="16"/>
                <w:szCs w:val="16"/>
              </w:rPr>
              <w:t>pplication</w:t>
            </w:r>
            <w:r w:rsidRPr="00B97EAF">
              <w:rPr>
                <w:rFonts w:ascii="Arial" w:hAnsi="Arial" w:cs="Arial"/>
                <w:sz w:val="16"/>
                <w:szCs w:val="16"/>
              </w:rPr>
              <w:t xml:space="preserve"> with the USPTO </w:t>
            </w:r>
            <w:r w:rsidR="00127563">
              <w:rPr>
                <w:rFonts w:ascii="Arial" w:hAnsi="Arial" w:cs="Arial"/>
                <w:sz w:val="16"/>
                <w:szCs w:val="16"/>
              </w:rPr>
              <w:t>in the DOCX format</w:t>
            </w:r>
            <w:r w:rsidRPr="00B97EAF">
              <w:rPr>
                <w:rFonts w:ascii="Arial" w:hAnsi="Arial" w:cs="Arial"/>
                <w:sz w:val="16"/>
                <w:szCs w:val="16"/>
              </w:rPr>
              <w:t>.</w:t>
            </w:r>
          </w:p>
          <w:p w:rsidR="00DD3A00" w:rsidRPr="00DD3A00" w:rsidP="00DD3A00" w14:paraId="39096176" w14:textId="49ADD70D">
            <w:pPr>
              <w:widowControl/>
              <w:numPr>
                <w:ilvl w:val="0"/>
                <w:numId w:val="9"/>
              </w:numPr>
              <w:autoSpaceDE/>
              <w:autoSpaceDN/>
              <w:adjustRightInd/>
              <w:rPr>
                <w:rFonts w:ascii="Arial" w:hAnsi="Arial" w:cs="Arial"/>
                <w:sz w:val="16"/>
                <w:szCs w:val="16"/>
              </w:rPr>
            </w:pPr>
            <w:r w:rsidRPr="00DD3A00">
              <w:rPr>
                <w:rFonts w:ascii="Arial" w:hAnsi="Arial" w:cs="Arial"/>
                <w:sz w:val="16"/>
                <w:szCs w:val="16"/>
              </w:rPr>
              <w:t xml:space="preserve">Used by patent applicants to pay the non-DOCX filing surcharge fee when not filing </w:t>
            </w:r>
            <w:r>
              <w:rPr>
                <w:rFonts w:ascii="Arial" w:hAnsi="Arial" w:cs="Arial"/>
                <w:sz w:val="16"/>
                <w:szCs w:val="16"/>
              </w:rPr>
              <w:t xml:space="preserve">a </w:t>
            </w:r>
            <w:r w:rsidRPr="00DD3A00">
              <w:rPr>
                <w:rFonts w:ascii="Arial" w:hAnsi="Arial" w:cs="Arial"/>
                <w:sz w:val="16"/>
                <w:szCs w:val="16"/>
              </w:rPr>
              <w:t xml:space="preserve">utility </w:t>
            </w:r>
            <w:r>
              <w:rPr>
                <w:rFonts w:ascii="Arial" w:hAnsi="Arial" w:cs="Arial"/>
                <w:sz w:val="16"/>
                <w:szCs w:val="16"/>
              </w:rPr>
              <w:t xml:space="preserve">continuation or divisional of an international </w:t>
            </w:r>
            <w:r w:rsidRPr="00DD3A00">
              <w:rPr>
                <w:rFonts w:ascii="Arial" w:hAnsi="Arial" w:cs="Arial"/>
                <w:sz w:val="16"/>
                <w:szCs w:val="16"/>
              </w:rPr>
              <w:t>application with the USPTO in the DOCX format.</w:t>
            </w:r>
          </w:p>
          <w:p w:rsidR="00987334" w:rsidRPr="00B97EAF" w:rsidP="00DD3A00" w14:paraId="02FFDDCB" w14:textId="77777777">
            <w:pPr>
              <w:widowControl/>
              <w:numPr>
                <w:ilvl w:val="0"/>
                <w:numId w:val="9"/>
              </w:numPr>
              <w:autoSpaceDE/>
              <w:autoSpaceDN/>
              <w:adjustRightInd/>
              <w:rPr>
                <w:rFonts w:ascii="Arial" w:hAnsi="Arial" w:cs="Arial"/>
                <w:sz w:val="16"/>
                <w:szCs w:val="16"/>
              </w:rPr>
            </w:pPr>
            <w:r w:rsidRPr="00B97EAF">
              <w:rPr>
                <w:rFonts w:ascii="Arial" w:hAnsi="Arial" w:cs="Arial"/>
                <w:sz w:val="16"/>
                <w:szCs w:val="16"/>
              </w:rPr>
              <w:t>Used by the USPTO to process an application for patent.</w:t>
            </w:r>
          </w:p>
          <w:p w:rsidR="00987334" w:rsidRPr="00B97EAF" w:rsidP="00987334" w14:paraId="5FBE51A7" w14:textId="76567884">
            <w:pPr>
              <w:pStyle w:val="a"/>
              <w:keepNext/>
              <w:keepLines/>
              <w:widowControl/>
              <w:tabs>
                <w:tab w:val="left" w:pos="-1440"/>
                <w:tab w:val="left" w:pos="-720"/>
                <w:tab w:val="left" w:pos="0"/>
                <w:tab w:val="left" w:pos="240"/>
                <w:tab w:val="left" w:pos="1440"/>
              </w:tabs>
              <w:ind w:left="360" w:firstLine="0"/>
              <w:rPr>
                <w:rFonts w:ascii="Arial" w:hAnsi="Arial" w:cs="Arial"/>
                <w:sz w:val="16"/>
                <w:szCs w:val="16"/>
              </w:rPr>
            </w:pPr>
          </w:p>
        </w:tc>
      </w:tr>
      <w:tr w14:paraId="31A375E4" w14:textId="77777777" w:rsidTr="4CC9A0B2">
        <w:tblPrEx>
          <w:tblW w:w="9360" w:type="dxa"/>
          <w:tblInd w:w="108" w:type="dxa"/>
          <w:tblLayout w:type="fixed"/>
          <w:tblLook w:val="0000"/>
        </w:tblPrEx>
        <w:trPr>
          <w:cantSplit/>
        </w:trPr>
        <w:tc>
          <w:tcPr>
            <w:tcW w:w="1170" w:type="dxa"/>
            <w:vAlign w:val="center"/>
          </w:tcPr>
          <w:p w:rsidR="00987334" w:rsidRPr="00834FDD" w:rsidP="00987334" w14:paraId="3690AC8D" w14:textId="77CADCEF">
            <w:pPr>
              <w:widowControl/>
              <w:tabs>
                <w:tab w:val="left" w:pos="720"/>
              </w:tabs>
              <w:autoSpaceDE/>
              <w:autoSpaceDN/>
              <w:adjustRightInd/>
              <w:jc w:val="center"/>
              <w:rPr>
                <w:rFonts w:ascii="Arial" w:hAnsi="Arial" w:cs="Arial"/>
                <w:b/>
                <w:sz w:val="16"/>
                <w:szCs w:val="16"/>
              </w:rPr>
            </w:pPr>
            <w:r w:rsidRPr="00B97EAF">
              <w:rPr>
                <w:rFonts w:ascii="Arial" w:hAnsi="Arial" w:cs="Arial"/>
                <w:b/>
                <w:sz w:val="16"/>
                <w:szCs w:val="16"/>
              </w:rPr>
              <w:t>3</w:t>
            </w:r>
          </w:p>
        </w:tc>
        <w:tc>
          <w:tcPr>
            <w:tcW w:w="2340" w:type="dxa"/>
            <w:vAlign w:val="center"/>
          </w:tcPr>
          <w:p w:rsidR="00987334" w:rsidRPr="00834FDD" w:rsidP="4CC9A0B2" w14:paraId="67387483" w14:textId="087A0AD6">
            <w:pPr>
              <w:widowControl/>
              <w:tabs>
                <w:tab w:val="left" w:pos="420"/>
                <w:tab w:val="left" w:pos="1440"/>
              </w:tabs>
              <w:spacing w:after="58"/>
              <w:rPr>
                <w:rFonts w:ascii="Arial" w:hAnsi="Arial" w:cs="Arial"/>
                <w:sz w:val="16"/>
                <w:szCs w:val="16"/>
              </w:rPr>
            </w:pPr>
            <w:r w:rsidRPr="4CC9A0B2">
              <w:rPr>
                <w:rFonts w:ascii="Arial" w:hAnsi="Arial" w:eastAsiaTheme="minorEastAsia" w:cs="Arial"/>
                <w:sz w:val="16"/>
                <w:szCs w:val="16"/>
              </w:rPr>
              <w:t xml:space="preserve">DOCX submission </w:t>
            </w:r>
            <w:r w:rsidRPr="4CC9A0B2" w:rsidR="2EAC6402">
              <w:rPr>
                <w:rFonts w:ascii="Arial" w:hAnsi="Arial" w:eastAsiaTheme="minorEastAsia" w:cs="Arial"/>
                <w:sz w:val="16"/>
                <w:szCs w:val="16"/>
              </w:rPr>
              <w:t xml:space="preserve">of </w:t>
            </w:r>
            <w:r w:rsidRPr="4CC9A0B2" w:rsidR="7E01D0C9">
              <w:rPr>
                <w:rFonts w:ascii="Arial" w:hAnsi="Arial" w:eastAsiaTheme="minorEastAsia" w:cs="Arial"/>
                <w:sz w:val="16"/>
                <w:szCs w:val="16"/>
              </w:rPr>
              <w:t>U</w:t>
            </w:r>
            <w:r w:rsidRPr="4CC9A0B2">
              <w:rPr>
                <w:rFonts w:ascii="Arial" w:hAnsi="Arial" w:eastAsiaTheme="minorEastAsia" w:cs="Arial"/>
                <w:sz w:val="16"/>
                <w:szCs w:val="16"/>
              </w:rPr>
              <w:t xml:space="preserve">tility </w:t>
            </w:r>
            <w:r w:rsidRPr="4CC9A0B2" w:rsidR="7E01D0C9">
              <w:rPr>
                <w:rFonts w:ascii="Arial" w:hAnsi="Arial" w:eastAsiaTheme="minorEastAsia" w:cs="Arial"/>
                <w:sz w:val="16"/>
                <w:szCs w:val="16"/>
              </w:rPr>
              <w:t>C</w:t>
            </w:r>
            <w:r w:rsidRPr="4CC9A0B2">
              <w:rPr>
                <w:rFonts w:ascii="Arial" w:hAnsi="Arial" w:eastAsiaTheme="minorEastAsia" w:cs="Arial"/>
                <w:sz w:val="16"/>
                <w:szCs w:val="16"/>
              </w:rPr>
              <w:t>ontinuation/</w:t>
            </w:r>
            <w:r w:rsidRPr="4CC9A0B2" w:rsidR="5FC3DB7E">
              <w:rPr>
                <w:rFonts w:ascii="Arial" w:hAnsi="Arial" w:eastAsiaTheme="minorEastAsia" w:cs="Arial"/>
                <w:sz w:val="16"/>
                <w:szCs w:val="16"/>
              </w:rPr>
              <w:t>D</w:t>
            </w:r>
            <w:r w:rsidRPr="4CC9A0B2">
              <w:rPr>
                <w:rFonts w:ascii="Arial" w:hAnsi="Arial" w:eastAsiaTheme="minorEastAsia" w:cs="Arial"/>
                <w:sz w:val="16"/>
                <w:szCs w:val="16"/>
              </w:rPr>
              <w:t xml:space="preserve">ivisional </w:t>
            </w:r>
            <w:r w:rsidRPr="4CC9A0B2" w:rsidR="5FC3DB7E">
              <w:rPr>
                <w:rFonts w:ascii="Arial" w:hAnsi="Arial" w:eastAsiaTheme="minorEastAsia" w:cs="Arial"/>
                <w:sz w:val="16"/>
                <w:szCs w:val="16"/>
              </w:rPr>
              <w:t>A</w:t>
            </w:r>
            <w:r w:rsidRPr="4CC9A0B2">
              <w:rPr>
                <w:rFonts w:ascii="Arial" w:hAnsi="Arial" w:eastAsiaTheme="minorEastAsia" w:cs="Arial"/>
                <w:sz w:val="16"/>
                <w:szCs w:val="16"/>
              </w:rPr>
              <w:t>pplications</w:t>
            </w:r>
          </w:p>
        </w:tc>
        <w:tc>
          <w:tcPr>
            <w:tcW w:w="1620" w:type="dxa"/>
            <w:vAlign w:val="center"/>
          </w:tcPr>
          <w:p w:rsidR="00987334" w:rsidRPr="00834FDD" w:rsidP="00987334" w14:paraId="10A6C828" w14:textId="5BB455C8">
            <w:pPr>
              <w:widowControl/>
              <w:tabs>
                <w:tab w:val="left" w:pos="-1440"/>
                <w:tab w:val="left" w:pos="-720"/>
                <w:tab w:val="left" w:pos="0"/>
                <w:tab w:val="left" w:pos="420"/>
                <w:tab w:val="left" w:pos="1440"/>
              </w:tabs>
              <w:spacing w:after="58"/>
              <w:rPr>
                <w:rFonts w:ascii="Arial" w:hAnsi="Arial" w:cs="Arial"/>
                <w:sz w:val="16"/>
                <w:szCs w:val="16"/>
              </w:rPr>
            </w:pPr>
            <w:r w:rsidRPr="00834FDD">
              <w:rPr>
                <w:rFonts w:ascii="Arial" w:hAnsi="Arial" w:cs="Arial"/>
                <w:sz w:val="16"/>
                <w:szCs w:val="16"/>
              </w:rPr>
              <w:t>No Form Associated</w:t>
            </w:r>
          </w:p>
        </w:tc>
        <w:tc>
          <w:tcPr>
            <w:tcW w:w="4230" w:type="dxa"/>
            <w:vAlign w:val="center"/>
          </w:tcPr>
          <w:p w:rsidR="00987334" w:rsidP="00DD3A00" w14:paraId="4C826438" w14:textId="7F783057">
            <w:pPr>
              <w:widowControl/>
              <w:numPr>
                <w:ilvl w:val="0"/>
                <w:numId w:val="9"/>
              </w:numPr>
              <w:autoSpaceDE/>
              <w:autoSpaceDN/>
              <w:adjustRightInd/>
              <w:rPr>
                <w:rFonts w:ascii="Arial" w:hAnsi="Arial" w:cs="Arial"/>
                <w:sz w:val="16"/>
                <w:szCs w:val="16"/>
              </w:rPr>
            </w:pPr>
            <w:r w:rsidRPr="00B97EAF">
              <w:rPr>
                <w:rFonts w:ascii="Arial" w:hAnsi="Arial" w:cs="Arial"/>
                <w:sz w:val="16"/>
                <w:szCs w:val="16"/>
              </w:rPr>
              <w:t xml:space="preserve">Used by </w:t>
            </w:r>
            <w:r w:rsidR="00127563">
              <w:rPr>
                <w:rFonts w:ascii="Arial" w:hAnsi="Arial" w:cs="Arial"/>
                <w:sz w:val="16"/>
                <w:szCs w:val="16"/>
              </w:rPr>
              <w:t xml:space="preserve">patent applicants </w:t>
            </w:r>
            <w:r w:rsidRPr="00B97EAF">
              <w:rPr>
                <w:rFonts w:ascii="Arial" w:hAnsi="Arial" w:cs="Arial"/>
                <w:sz w:val="16"/>
                <w:szCs w:val="16"/>
              </w:rPr>
              <w:t xml:space="preserve">to file a </w:t>
            </w:r>
            <w:r w:rsidR="00665625">
              <w:rPr>
                <w:rFonts w:ascii="Arial" w:hAnsi="Arial" w:cs="Arial"/>
                <w:sz w:val="16"/>
                <w:szCs w:val="16"/>
              </w:rPr>
              <w:t>u</w:t>
            </w:r>
            <w:r w:rsidRPr="00B97EAF">
              <w:rPr>
                <w:rFonts w:ascii="Arial" w:hAnsi="Arial" w:eastAsiaTheme="minorHAnsi" w:cs="Arial"/>
                <w:bCs/>
                <w:sz w:val="16"/>
                <w:szCs w:val="16"/>
              </w:rPr>
              <w:t xml:space="preserve">tility </w:t>
            </w:r>
            <w:r w:rsidR="00665625">
              <w:rPr>
                <w:rFonts w:ascii="Arial" w:hAnsi="Arial" w:eastAsiaTheme="minorHAnsi" w:cs="Arial"/>
                <w:bCs/>
                <w:sz w:val="16"/>
                <w:szCs w:val="16"/>
              </w:rPr>
              <w:t>c</w:t>
            </w:r>
            <w:r w:rsidRPr="00B97EAF">
              <w:rPr>
                <w:rFonts w:ascii="Arial" w:hAnsi="Arial" w:eastAsiaTheme="minorHAnsi" w:cs="Arial"/>
                <w:bCs/>
                <w:sz w:val="16"/>
                <w:szCs w:val="16"/>
              </w:rPr>
              <w:t>ontinuation</w:t>
            </w:r>
            <w:r w:rsidR="00665625">
              <w:rPr>
                <w:rFonts w:ascii="Arial" w:hAnsi="Arial" w:eastAsiaTheme="minorHAnsi" w:cs="Arial"/>
                <w:bCs/>
                <w:sz w:val="16"/>
                <w:szCs w:val="16"/>
              </w:rPr>
              <w:t xml:space="preserve"> or d</w:t>
            </w:r>
            <w:r w:rsidRPr="00B97EAF">
              <w:rPr>
                <w:rFonts w:ascii="Arial" w:hAnsi="Arial" w:eastAsiaTheme="minorHAnsi" w:cs="Arial"/>
                <w:bCs/>
                <w:sz w:val="16"/>
                <w:szCs w:val="16"/>
              </w:rPr>
              <w:t xml:space="preserve">ivisional </w:t>
            </w:r>
            <w:r w:rsidR="00665625">
              <w:rPr>
                <w:rFonts w:ascii="Arial" w:hAnsi="Arial" w:eastAsiaTheme="minorHAnsi" w:cs="Arial"/>
                <w:bCs/>
                <w:sz w:val="16"/>
                <w:szCs w:val="16"/>
              </w:rPr>
              <w:t>a</w:t>
            </w:r>
            <w:r w:rsidRPr="00B97EAF">
              <w:rPr>
                <w:rFonts w:ascii="Arial" w:hAnsi="Arial" w:eastAsiaTheme="minorHAnsi" w:cs="Arial"/>
                <w:bCs/>
                <w:sz w:val="16"/>
                <w:szCs w:val="16"/>
              </w:rPr>
              <w:t>pplication</w:t>
            </w:r>
            <w:r w:rsidRPr="00B97EAF">
              <w:rPr>
                <w:rFonts w:ascii="Arial" w:hAnsi="Arial" w:cs="Arial"/>
                <w:sz w:val="16"/>
                <w:szCs w:val="16"/>
              </w:rPr>
              <w:t xml:space="preserve"> with the USPTO </w:t>
            </w:r>
            <w:r w:rsidR="00665625">
              <w:rPr>
                <w:rFonts w:ascii="Arial" w:hAnsi="Arial" w:cs="Arial"/>
                <w:sz w:val="16"/>
                <w:szCs w:val="16"/>
              </w:rPr>
              <w:t>in the DOCX format</w:t>
            </w:r>
            <w:r w:rsidRPr="00B97EAF">
              <w:rPr>
                <w:rFonts w:ascii="Arial" w:hAnsi="Arial" w:cs="Arial"/>
                <w:sz w:val="16"/>
                <w:szCs w:val="16"/>
              </w:rPr>
              <w:t>.</w:t>
            </w:r>
          </w:p>
          <w:p w:rsidR="00DD3A00" w:rsidRPr="00DD3A00" w:rsidP="00DD3A00" w14:paraId="3E3C7761" w14:textId="3777C3E8">
            <w:pPr>
              <w:widowControl/>
              <w:numPr>
                <w:ilvl w:val="0"/>
                <w:numId w:val="9"/>
              </w:numPr>
              <w:autoSpaceDE/>
              <w:autoSpaceDN/>
              <w:adjustRightInd/>
              <w:rPr>
                <w:rFonts w:ascii="Arial" w:hAnsi="Arial" w:cs="Arial"/>
                <w:sz w:val="16"/>
                <w:szCs w:val="16"/>
              </w:rPr>
            </w:pPr>
            <w:r w:rsidRPr="00DD3A00">
              <w:rPr>
                <w:rFonts w:ascii="Arial" w:hAnsi="Arial" w:cs="Arial"/>
                <w:sz w:val="16"/>
                <w:szCs w:val="16"/>
              </w:rPr>
              <w:t xml:space="preserve">Used by patent applicants to pay the non-DOCX filing surcharge fee when not filing </w:t>
            </w:r>
            <w:r>
              <w:rPr>
                <w:rFonts w:ascii="Arial" w:hAnsi="Arial" w:cs="Arial"/>
                <w:sz w:val="16"/>
                <w:szCs w:val="16"/>
              </w:rPr>
              <w:t xml:space="preserve">a </w:t>
            </w:r>
            <w:r w:rsidRPr="00DD3A00">
              <w:rPr>
                <w:rFonts w:ascii="Arial" w:hAnsi="Arial" w:cs="Arial"/>
                <w:sz w:val="16"/>
                <w:szCs w:val="16"/>
              </w:rPr>
              <w:t xml:space="preserve">utility </w:t>
            </w:r>
            <w:r>
              <w:rPr>
                <w:rFonts w:ascii="Arial" w:hAnsi="Arial" w:cs="Arial"/>
                <w:sz w:val="16"/>
                <w:szCs w:val="16"/>
              </w:rPr>
              <w:t xml:space="preserve">continuation or divisional </w:t>
            </w:r>
            <w:r w:rsidRPr="00DD3A00">
              <w:rPr>
                <w:rFonts w:ascii="Arial" w:hAnsi="Arial" w:cs="Arial"/>
                <w:sz w:val="16"/>
                <w:szCs w:val="16"/>
              </w:rPr>
              <w:t>application with the USPTO in the DOCX format.</w:t>
            </w:r>
          </w:p>
          <w:p w:rsidR="00987334" w:rsidRPr="00B97EAF" w:rsidP="00DD3A00" w14:paraId="414B9062" w14:textId="77777777">
            <w:pPr>
              <w:widowControl/>
              <w:numPr>
                <w:ilvl w:val="0"/>
                <w:numId w:val="9"/>
              </w:numPr>
              <w:autoSpaceDE/>
              <w:autoSpaceDN/>
              <w:adjustRightInd/>
              <w:rPr>
                <w:rFonts w:ascii="Arial" w:hAnsi="Arial" w:cs="Arial"/>
                <w:sz w:val="16"/>
                <w:szCs w:val="16"/>
              </w:rPr>
            </w:pPr>
            <w:r w:rsidRPr="00B97EAF">
              <w:rPr>
                <w:rFonts w:ascii="Arial" w:hAnsi="Arial" w:cs="Arial"/>
                <w:sz w:val="16"/>
                <w:szCs w:val="16"/>
              </w:rPr>
              <w:t>Used by the USPTO to process an application for patent.</w:t>
            </w:r>
          </w:p>
          <w:p w:rsidR="00987334" w:rsidRPr="00B97EAF" w:rsidP="00987334" w14:paraId="25FB3816" w14:textId="1A2DC70B">
            <w:pPr>
              <w:pStyle w:val="a"/>
              <w:keepNext/>
              <w:keepLines/>
              <w:widowControl/>
              <w:tabs>
                <w:tab w:val="left" w:pos="-1440"/>
                <w:tab w:val="left" w:pos="-720"/>
                <w:tab w:val="left" w:pos="0"/>
                <w:tab w:val="left" w:pos="240"/>
                <w:tab w:val="left" w:pos="1440"/>
              </w:tabs>
              <w:ind w:left="240" w:firstLine="0"/>
              <w:rPr>
                <w:rFonts w:ascii="Arial" w:hAnsi="Arial" w:cs="Arial"/>
                <w:sz w:val="16"/>
                <w:szCs w:val="16"/>
              </w:rPr>
            </w:pPr>
          </w:p>
        </w:tc>
      </w:tr>
      <w:tr w14:paraId="0B9E78D1" w14:textId="77777777" w:rsidTr="4CC9A0B2">
        <w:tblPrEx>
          <w:tblW w:w="9360" w:type="dxa"/>
          <w:tblInd w:w="108" w:type="dxa"/>
          <w:tblLayout w:type="fixed"/>
          <w:tblLook w:val="0000"/>
        </w:tblPrEx>
        <w:trPr>
          <w:cantSplit/>
        </w:trPr>
        <w:tc>
          <w:tcPr>
            <w:tcW w:w="1170" w:type="dxa"/>
            <w:vAlign w:val="center"/>
          </w:tcPr>
          <w:p w:rsidR="00987334" w:rsidRPr="00834FDD" w:rsidP="00987334" w14:paraId="66EE73C2" w14:textId="7132D19A">
            <w:pPr>
              <w:widowControl/>
              <w:tabs>
                <w:tab w:val="left" w:pos="720"/>
              </w:tabs>
              <w:autoSpaceDE/>
              <w:autoSpaceDN/>
              <w:adjustRightInd/>
              <w:jc w:val="center"/>
              <w:rPr>
                <w:rFonts w:ascii="Arial" w:hAnsi="Arial" w:cs="Arial"/>
                <w:b/>
                <w:sz w:val="16"/>
                <w:szCs w:val="16"/>
              </w:rPr>
            </w:pPr>
            <w:r w:rsidRPr="00B97EAF">
              <w:rPr>
                <w:rFonts w:ascii="Arial" w:hAnsi="Arial" w:cs="Arial"/>
                <w:b/>
                <w:sz w:val="16"/>
                <w:szCs w:val="16"/>
              </w:rPr>
              <w:t>4</w:t>
            </w:r>
          </w:p>
        </w:tc>
        <w:tc>
          <w:tcPr>
            <w:tcW w:w="2340" w:type="dxa"/>
            <w:vAlign w:val="center"/>
          </w:tcPr>
          <w:p w:rsidR="00987334" w:rsidRPr="00834FDD" w:rsidP="4CC9A0B2" w14:paraId="64DBC1B3" w14:textId="054D0345">
            <w:pPr>
              <w:widowControl/>
              <w:tabs>
                <w:tab w:val="left" w:pos="420"/>
                <w:tab w:val="left" w:pos="1440"/>
              </w:tabs>
              <w:rPr>
                <w:rFonts w:ascii="Arial" w:hAnsi="Arial" w:cs="Arial"/>
                <w:sz w:val="16"/>
                <w:szCs w:val="16"/>
              </w:rPr>
            </w:pPr>
            <w:r w:rsidRPr="4CC9A0B2">
              <w:rPr>
                <w:rFonts w:ascii="Arial" w:hAnsi="Arial" w:eastAsiaTheme="minorEastAsia" w:cs="Arial"/>
                <w:sz w:val="16"/>
                <w:szCs w:val="16"/>
              </w:rPr>
              <w:t xml:space="preserve">DOCX submission </w:t>
            </w:r>
            <w:r w:rsidRPr="4CC9A0B2" w:rsidR="2EAC6402">
              <w:rPr>
                <w:rFonts w:ascii="Arial" w:hAnsi="Arial" w:eastAsiaTheme="minorEastAsia" w:cs="Arial"/>
                <w:sz w:val="16"/>
                <w:szCs w:val="16"/>
              </w:rPr>
              <w:t xml:space="preserve">of </w:t>
            </w:r>
            <w:r w:rsidRPr="4CC9A0B2" w:rsidR="5FC3DB7E">
              <w:rPr>
                <w:rFonts w:ascii="Arial" w:hAnsi="Arial" w:eastAsiaTheme="minorEastAsia" w:cs="Arial"/>
                <w:sz w:val="16"/>
                <w:szCs w:val="16"/>
              </w:rPr>
              <w:t>U</w:t>
            </w:r>
            <w:r w:rsidRPr="4CC9A0B2">
              <w:rPr>
                <w:rFonts w:ascii="Arial" w:hAnsi="Arial" w:eastAsiaTheme="minorEastAsia" w:cs="Arial"/>
                <w:sz w:val="16"/>
                <w:szCs w:val="16"/>
              </w:rPr>
              <w:t xml:space="preserve">tility </w:t>
            </w:r>
            <w:r w:rsidRPr="4CC9A0B2" w:rsidR="5FC3DB7E">
              <w:rPr>
                <w:rFonts w:ascii="Arial" w:hAnsi="Arial" w:eastAsiaTheme="minorEastAsia" w:cs="Arial"/>
                <w:sz w:val="16"/>
                <w:szCs w:val="16"/>
              </w:rPr>
              <w:t>C</w:t>
            </w:r>
            <w:r w:rsidRPr="4CC9A0B2">
              <w:rPr>
                <w:rFonts w:ascii="Arial" w:hAnsi="Arial" w:eastAsiaTheme="minorEastAsia" w:cs="Arial"/>
                <w:sz w:val="16"/>
                <w:szCs w:val="16"/>
              </w:rPr>
              <w:t>ontinuation-in-</w:t>
            </w:r>
            <w:r w:rsidRPr="4CC9A0B2" w:rsidR="5FC3DB7E">
              <w:rPr>
                <w:rFonts w:ascii="Arial" w:hAnsi="Arial" w:eastAsiaTheme="minorEastAsia" w:cs="Arial"/>
                <w:sz w:val="16"/>
                <w:szCs w:val="16"/>
              </w:rPr>
              <w:t>P</w:t>
            </w:r>
            <w:r w:rsidRPr="4CC9A0B2">
              <w:rPr>
                <w:rFonts w:ascii="Arial" w:hAnsi="Arial" w:eastAsiaTheme="minorEastAsia" w:cs="Arial"/>
                <w:sz w:val="16"/>
                <w:szCs w:val="16"/>
              </w:rPr>
              <w:t xml:space="preserve">art </w:t>
            </w:r>
            <w:r w:rsidRPr="4CC9A0B2" w:rsidR="5FC3DB7E">
              <w:rPr>
                <w:rFonts w:ascii="Arial" w:hAnsi="Arial" w:eastAsiaTheme="minorEastAsia" w:cs="Arial"/>
                <w:sz w:val="16"/>
                <w:szCs w:val="16"/>
              </w:rPr>
              <w:t>A</w:t>
            </w:r>
            <w:r w:rsidRPr="4CC9A0B2">
              <w:rPr>
                <w:rFonts w:ascii="Arial" w:hAnsi="Arial" w:eastAsiaTheme="minorEastAsia" w:cs="Arial"/>
                <w:sz w:val="16"/>
                <w:szCs w:val="16"/>
              </w:rPr>
              <w:t>pplications</w:t>
            </w:r>
          </w:p>
        </w:tc>
        <w:tc>
          <w:tcPr>
            <w:tcW w:w="1620" w:type="dxa"/>
            <w:vAlign w:val="center"/>
          </w:tcPr>
          <w:p w:rsidR="00987334" w:rsidRPr="00834FDD" w:rsidP="00987334" w14:paraId="038E2B1E" w14:textId="304BBEE3">
            <w:pPr>
              <w:widowControl/>
              <w:tabs>
                <w:tab w:val="left" w:pos="-1440"/>
                <w:tab w:val="left" w:pos="-720"/>
                <w:tab w:val="left" w:pos="0"/>
                <w:tab w:val="left" w:pos="420"/>
                <w:tab w:val="left" w:pos="1440"/>
              </w:tabs>
              <w:spacing w:after="58"/>
              <w:rPr>
                <w:rFonts w:ascii="Arial" w:hAnsi="Arial" w:cs="Arial"/>
                <w:sz w:val="16"/>
                <w:szCs w:val="16"/>
              </w:rPr>
            </w:pPr>
            <w:r w:rsidRPr="00834FDD">
              <w:rPr>
                <w:rFonts w:ascii="Arial" w:hAnsi="Arial" w:cs="Arial"/>
                <w:sz w:val="16"/>
                <w:szCs w:val="16"/>
              </w:rPr>
              <w:t>No Form Associated</w:t>
            </w:r>
          </w:p>
        </w:tc>
        <w:tc>
          <w:tcPr>
            <w:tcW w:w="4230" w:type="dxa"/>
            <w:vAlign w:val="center"/>
          </w:tcPr>
          <w:p w:rsidR="00987334" w:rsidP="00DD3A00" w14:paraId="0AEEE9DA" w14:textId="39AC0A39">
            <w:pPr>
              <w:widowControl/>
              <w:numPr>
                <w:ilvl w:val="0"/>
                <w:numId w:val="9"/>
              </w:numPr>
              <w:autoSpaceDE/>
              <w:autoSpaceDN/>
              <w:adjustRightInd/>
              <w:rPr>
                <w:rFonts w:ascii="Arial" w:hAnsi="Arial" w:cs="Arial"/>
                <w:sz w:val="16"/>
                <w:szCs w:val="16"/>
              </w:rPr>
            </w:pPr>
            <w:r w:rsidRPr="00B97EAF">
              <w:rPr>
                <w:rFonts w:ascii="Arial" w:hAnsi="Arial" w:cs="Arial"/>
                <w:sz w:val="16"/>
                <w:szCs w:val="16"/>
              </w:rPr>
              <w:t xml:space="preserve">Used by </w:t>
            </w:r>
            <w:r w:rsidR="00665625">
              <w:rPr>
                <w:rFonts w:ascii="Arial" w:hAnsi="Arial" w:cs="Arial"/>
                <w:sz w:val="16"/>
                <w:szCs w:val="16"/>
              </w:rPr>
              <w:t xml:space="preserve">patent applicants </w:t>
            </w:r>
            <w:r w:rsidRPr="00B97EAF">
              <w:rPr>
                <w:rFonts w:ascii="Arial" w:hAnsi="Arial" w:cs="Arial"/>
                <w:sz w:val="16"/>
                <w:szCs w:val="16"/>
              </w:rPr>
              <w:t xml:space="preserve">to file a </w:t>
            </w:r>
            <w:r w:rsidR="00665625">
              <w:rPr>
                <w:rFonts w:ascii="Arial" w:hAnsi="Arial" w:cs="Arial"/>
                <w:sz w:val="16"/>
                <w:szCs w:val="16"/>
              </w:rPr>
              <w:t>u</w:t>
            </w:r>
            <w:r w:rsidRPr="00B97EAF">
              <w:rPr>
                <w:rFonts w:ascii="Arial" w:hAnsi="Arial" w:eastAsiaTheme="minorHAnsi" w:cs="Arial"/>
                <w:bCs/>
                <w:sz w:val="16"/>
                <w:szCs w:val="16"/>
              </w:rPr>
              <w:t xml:space="preserve">tility </w:t>
            </w:r>
            <w:r w:rsidR="00665625">
              <w:rPr>
                <w:rFonts w:ascii="Arial" w:hAnsi="Arial" w:eastAsiaTheme="minorHAnsi" w:cs="Arial"/>
                <w:bCs/>
                <w:sz w:val="16"/>
                <w:szCs w:val="16"/>
              </w:rPr>
              <w:t>c</w:t>
            </w:r>
            <w:r w:rsidRPr="00B97EAF">
              <w:rPr>
                <w:rFonts w:ascii="Arial" w:hAnsi="Arial" w:eastAsiaTheme="minorHAnsi" w:cs="Arial"/>
                <w:bCs/>
                <w:sz w:val="16"/>
                <w:szCs w:val="16"/>
              </w:rPr>
              <w:t>ontinuation-in-</w:t>
            </w:r>
            <w:r w:rsidR="00665625">
              <w:rPr>
                <w:rFonts w:ascii="Arial" w:hAnsi="Arial" w:eastAsiaTheme="minorHAnsi" w:cs="Arial"/>
                <w:bCs/>
                <w:sz w:val="16"/>
                <w:szCs w:val="16"/>
              </w:rPr>
              <w:t>p</w:t>
            </w:r>
            <w:r w:rsidRPr="00B97EAF">
              <w:rPr>
                <w:rFonts w:ascii="Arial" w:hAnsi="Arial" w:eastAsiaTheme="minorHAnsi" w:cs="Arial"/>
                <w:bCs/>
                <w:sz w:val="16"/>
                <w:szCs w:val="16"/>
              </w:rPr>
              <w:t xml:space="preserve">art </w:t>
            </w:r>
            <w:r w:rsidR="00665625">
              <w:rPr>
                <w:rFonts w:ascii="Arial" w:hAnsi="Arial" w:eastAsiaTheme="minorHAnsi" w:cs="Arial"/>
                <w:bCs/>
                <w:sz w:val="16"/>
                <w:szCs w:val="16"/>
              </w:rPr>
              <w:t>a</w:t>
            </w:r>
            <w:r w:rsidRPr="00B97EAF">
              <w:rPr>
                <w:rFonts w:ascii="Arial" w:hAnsi="Arial" w:eastAsiaTheme="minorHAnsi" w:cs="Arial"/>
                <w:bCs/>
                <w:sz w:val="16"/>
                <w:szCs w:val="16"/>
              </w:rPr>
              <w:t>pplication</w:t>
            </w:r>
            <w:r w:rsidRPr="00B97EAF">
              <w:rPr>
                <w:rFonts w:ascii="Arial" w:hAnsi="Arial" w:cs="Arial"/>
                <w:sz w:val="16"/>
                <w:szCs w:val="16"/>
              </w:rPr>
              <w:t xml:space="preserve"> with the USPTO </w:t>
            </w:r>
            <w:r w:rsidR="00665625">
              <w:rPr>
                <w:rFonts w:ascii="Arial" w:hAnsi="Arial" w:cs="Arial"/>
                <w:sz w:val="16"/>
                <w:szCs w:val="16"/>
              </w:rPr>
              <w:t>in the DOCX format</w:t>
            </w:r>
            <w:r w:rsidRPr="00B97EAF">
              <w:rPr>
                <w:rFonts w:ascii="Arial" w:hAnsi="Arial" w:cs="Arial"/>
                <w:sz w:val="16"/>
                <w:szCs w:val="16"/>
              </w:rPr>
              <w:t>.</w:t>
            </w:r>
          </w:p>
          <w:p w:rsidR="00DD3A00" w:rsidRPr="00DD3A00" w:rsidP="00DD3A00" w14:paraId="033567E7" w14:textId="7880ACB1">
            <w:pPr>
              <w:widowControl/>
              <w:numPr>
                <w:ilvl w:val="0"/>
                <w:numId w:val="9"/>
              </w:numPr>
              <w:autoSpaceDE/>
              <w:autoSpaceDN/>
              <w:adjustRightInd/>
              <w:rPr>
                <w:rFonts w:ascii="Arial" w:hAnsi="Arial" w:cs="Arial"/>
                <w:sz w:val="16"/>
                <w:szCs w:val="16"/>
              </w:rPr>
            </w:pPr>
            <w:r w:rsidRPr="00DD3A00">
              <w:rPr>
                <w:rFonts w:ascii="Arial" w:hAnsi="Arial" w:cs="Arial"/>
                <w:sz w:val="16"/>
                <w:szCs w:val="16"/>
              </w:rPr>
              <w:t xml:space="preserve">Used by patent applicants to pay the non-DOCX filing surcharge fee when not filing </w:t>
            </w:r>
            <w:r>
              <w:rPr>
                <w:rFonts w:ascii="Arial" w:hAnsi="Arial" w:cs="Arial"/>
                <w:sz w:val="16"/>
                <w:szCs w:val="16"/>
              </w:rPr>
              <w:t xml:space="preserve">a </w:t>
            </w:r>
            <w:r w:rsidRPr="00DD3A00">
              <w:rPr>
                <w:rFonts w:ascii="Arial" w:hAnsi="Arial" w:cs="Arial"/>
                <w:sz w:val="16"/>
                <w:szCs w:val="16"/>
              </w:rPr>
              <w:t xml:space="preserve">utility </w:t>
            </w:r>
            <w:r>
              <w:rPr>
                <w:rFonts w:ascii="Arial" w:hAnsi="Arial" w:cs="Arial"/>
                <w:sz w:val="16"/>
                <w:szCs w:val="16"/>
              </w:rPr>
              <w:t xml:space="preserve">continuation-in-part </w:t>
            </w:r>
            <w:r w:rsidRPr="00DD3A00">
              <w:rPr>
                <w:rFonts w:ascii="Arial" w:hAnsi="Arial" w:cs="Arial"/>
                <w:sz w:val="16"/>
                <w:szCs w:val="16"/>
              </w:rPr>
              <w:t>application with the USPTO in the DOCX format.</w:t>
            </w:r>
          </w:p>
          <w:p w:rsidR="00987334" w:rsidRPr="00B97EAF" w:rsidP="00DD3A00" w14:paraId="0A8E1967" w14:textId="77777777">
            <w:pPr>
              <w:widowControl/>
              <w:numPr>
                <w:ilvl w:val="0"/>
                <w:numId w:val="9"/>
              </w:numPr>
              <w:autoSpaceDE/>
              <w:autoSpaceDN/>
              <w:adjustRightInd/>
              <w:rPr>
                <w:rFonts w:ascii="Arial" w:hAnsi="Arial" w:cs="Arial"/>
                <w:sz w:val="16"/>
                <w:szCs w:val="16"/>
              </w:rPr>
            </w:pPr>
            <w:r w:rsidRPr="00B97EAF">
              <w:rPr>
                <w:rFonts w:ascii="Arial" w:hAnsi="Arial" w:cs="Arial"/>
                <w:sz w:val="16"/>
                <w:szCs w:val="16"/>
              </w:rPr>
              <w:t>Used by the USPTO to process an application for patent.</w:t>
            </w:r>
          </w:p>
          <w:p w:rsidR="00987334" w:rsidRPr="00B97EAF" w:rsidP="00987334" w14:paraId="5330A107" w14:textId="63DA8274">
            <w:pPr>
              <w:pStyle w:val="a"/>
              <w:keepNext/>
              <w:keepLines/>
              <w:widowControl/>
              <w:tabs>
                <w:tab w:val="left" w:pos="-1440"/>
                <w:tab w:val="left" w:pos="-720"/>
                <w:tab w:val="left" w:pos="0"/>
                <w:tab w:val="left" w:pos="240"/>
                <w:tab w:val="left" w:pos="1440"/>
              </w:tabs>
              <w:ind w:left="240" w:firstLine="0"/>
              <w:rPr>
                <w:rFonts w:ascii="Arial" w:hAnsi="Arial" w:cs="Arial"/>
                <w:sz w:val="16"/>
                <w:szCs w:val="16"/>
              </w:rPr>
            </w:pPr>
          </w:p>
        </w:tc>
      </w:tr>
    </w:tbl>
    <w:p w:rsidR="00193564" w:rsidRPr="00933E52" w:rsidP="00193564" w14:paraId="1ED0A9F4" w14:textId="77777777">
      <w:pPr>
        <w:pStyle w:val="NoSpacing"/>
        <w:jc w:val="both"/>
        <w:rPr>
          <w:rFonts w:ascii="Arial" w:hAnsi="Arial" w:cs="Arial"/>
          <w:sz w:val="24"/>
          <w:szCs w:val="24"/>
          <w:highlight w:val="yellow"/>
        </w:rPr>
      </w:pPr>
    </w:p>
    <w:p w:rsidR="00193564" w:rsidRPr="00933E52" w:rsidP="00385CF6" w14:paraId="4614B840" w14:textId="77777777">
      <w:pPr>
        <w:pStyle w:val="NoSpacing"/>
        <w:numPr>
          <w:ilvl w:val="0"/>
          <w:numId w:val="12"/>
        </w:numPr>
        <w:ind w:left="720" w:hanging="720"/>
        <w:jc w:val="both"/>
        <w:rPr>
          <w:rFonts w:ascii="Arial" w:hAnsi="Arial" w:cs="Arial"/>
          <w:b/>
          <w:sz w:val="24"/>
          <w:szCs w:val="24"/>
        </w:rPr>
      </w:pPr>
      <w:r w:rsidRPr="00933E52">
        <w:rPr>
          <w:rFonts w:ascii="Arial" w:hAnsi="Arial" w:cs="Arial"/>
          <w:b/>
          <w:sz w:val="24"/>
          <w:szCs w:val="24"/>
        </w:rPr>
        <w:t>Describe whether, and to what extent, the collection of information involves the use of automated, electronic, mechanical, or other technological information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193564" w:rsidP="00193564" w14:paraId="23ED5B73" w14:textId="13A6BDC8">
      <w:pPr>
        <w:pStyle w:val="NoSpacing"/>
        <w:jc w:val="both"/>
        <w:rPr>
          <w:rFonts w:ascii="Arial" w:hAnsi="Arial" w:cs="Arial"/>
          <w:sz w:val="24"/>
          <w:szCs w:val="24"/>
          <w:highlight w:val="yellow"/>
        </w:rPr>
      </w:pPr>
    </w:p>
    <w:p w:rsidR="00802712" w:rsidP="00310AF7" w14:paraId="068AEDD9" w14:textId="666963DB">
      <w:pPr>
        <w:pStyle w:val="NoSpacing"/>
        <w:jc w:val="both"/>
        <w:rPr>
          <w:rFonts w:ascii="Arial" w:hAnsi="Arial" w:cs="Arial"/>
          <w:sz w:val="24"/>
          <w:szCs w:val="24"/>
        </w:rPr>
      </w:pPr>
      <w:r>
        <w:rPr>
          <w:rFonts w:ascii="Arial" w:hAnsi="Arial" w:cs="Arial"/>
          <w:sz w:val="24"/>
          <w:szCs w:val="24"/>
        </w:rPr>
        <w:t xml:space="preserve">DOCX submission of the applications in this collection must be undertaken </w:t>
      </w:r>
      <w:r w:rsidRPr="00A83AC8" w:rsidR="00310AF7">
        <w:rPr>
          <w:rFonts w:ascii="Arial" w:hAnsi="Arial" w:cs="Arial"/>
          <w:sz w:val="24"/>
          <w:szCs w:val="24"/>
        </w:rPr>
        <w:t xml:space="preserve">electronically through </w:t>
      </w:r>
      <w:r w:rsidR="0042746A">
        <w:rPr>
          <w:rFonts w:ascii="Arial" w:hAnsi="Arial" w:cs="Arial"/>
          <w:sz w:val="24"/>
          <w:szCs w:val="24"/>
        </w:rPr>
        <w:t>the USPTO patent electronic filing system (</w:t>
      </w:r>
      <w:r>
        <w:rPr>
          <w:rFonts w:ascii="Arial" w:hAnsi="Arial" w:cs="Arial"/>
          <w:sz w:val="24"/>
          <w:szCs w:val="24"/>
        </w:rPr>
        <w:t>Patent Center</w:t>
      </w:r>
      <w:r w:rsidR="0042746A">
        <w:rPr>
          <w:rFonts w:ascii="Arial" w:hAnsi="Arial" w:cs="Arial"/>
          <w:sz w:val="24"/>
          <w:szCs w:val="24"/>
        </w:rPr>
        <w:t>)</w:t>
      </w:r>
      <w:r w:rsidRPr="00A83AC8" w:rsidR="00310AF7">
        <w:rPr>
          <w:rFonts w:ascii="Arial" w:hAnsi="Arial" w:cs="Arial"/>
          <w:sz w:val="24"/>
          <w:szCs w:val="24"/>
        </w:rPr>
        <w:t>, the USPTO’s online filing</w:t>
      </w:r>
      <w:r w:rsidR="00310AF7">
        <w:rPr>
          <w:rFonts w:ascii="Arial" w:hAnsi="Arial" w:cs="Arial"/>
          <w:sz w:val="24"/>
          <w:szCs w:val="24"/>
        </w:rPr>
        <w:t xml:space="preserve"> and viewing</w:t>
      </w:r>
      <w:r w:rsidRPr="00A83AC8" w:rsidR="00310AF7">
        <w:rPr>
          <w:rFonts w:ascii="Arial" w:hAnsi="Arial" w:cs="Arial"/>
          <w:sz w:val="24"/>
          <w:szCs w:val="24"/>
        </w:rPr>
        <w:t xml:space="preserve"> system for patent applications and related documents. </w:t>
      </w:r>
      <w:r>
        <w:rPr>
          <w:rFonts w:ascii="Arial" w:hAnsi="Arial" w:cs="Arial"/>
          <w:sz w:val="24"/>
          <w:szCs w:val="24"/>
        </w:rPr>
        <w:t xml:space="preserve">For those respondents who choose </w:t>
      </w:r>
      <w:r w:rsidRPr="00EC5249">
        <w:rPr>
          <w:rFonts w:ascii="Arial" w:hAnsi="Arial" w:cs="Arial"/>
          <w:sz w:val="24"/>
          <w:szCs w:val="24"/>
        </w:rPr>
        <w:t xml:space="preserve">to </w:t>
      </w:r>
      <w:r>
        <w:rPr>
          <w:rFonts w:ascii="Arial" w:hAnsi="Arial" w:cs="Arial"/>
          <w:sz w:val="24"/>
          <w:szCs w:val="24"/>
        </w:rPr>
        <w:t xml:space="preserve">not </w:t>
      </w:r>
      <w:r w:rsidRPr="00EC5249">
        <w:rPr>
          <w:rFonts w:ascii="Arial" w:hAnsi="Arial" w:cs="Arial"/>
          <w:sz w:val="24"/>
          <w:szCs w:val="24"/>
        </w:rPr>
        <w:t xml:space="preserve">file </w:t>
      </w:r>
      <w:r>
        <w:rPr>
          <w:rFonts w:ascii="Arial" w:hAnsi="Arial" w:cs="Arial"/>
          <w:sz w:val="24"/>
          <w:szCs w:val="24"/>
        </w:rPr>
        <w:t xml:space="preserve">the </w:t>
      </w:r>
      <w:r w:rsidRPr="00EC5249">
        <w:rPr>
          <w:rFonts w:ascii="Arial" w:hAnsi="Arial" w:cs="Arial"/>
          <w:sz w:val="24"/>
          <w:szCs w:val="24"/>
        </w:rPr>
        <w:t xml:space="preserve">applications in </w:t>
      </w:r>
      <w:r>
        <w:rPr>
          <w:rFonts w:ascii="Arial" w:hAnsi="Arial" w:cs="Arial"/>
          <w:sz w:val="24"/>
          <w:szCs w:val="24"/>
        </w:rPr>
        <w:t xml:space="preserve">this collection in the </w:t>
      </w:r>
      <w:r w:rsidRPr="00EC5249">
        <w:rPr>
          <w:rFonts w:ascii="Arial" w:hAnsi="Arial" w:cs="Arial"/>
          <w:sz w:val="24"/>
          <w:szCs w:val="24"/>
        </w:rPr>
        <w:t xml:space="preserve">DOCX format </w:t>
      </w:r>
      <w:r>
        <w:rPr>
          <w:rFonts w:ascii="Arial" w:hAnsi="Arial" w:cs="Arial"/>
          <w:sz w:val="24"/>
          <w:szCs w:val="24"/>
        </w:rPr>
        <w:t xml:space="preserve">and </w:t>
      </w:r>
      <w:r w:rsidRPr="00EC5249">
        <w:rPr>
          <w:rFonts w:ascii="Arial" w:hAnsi="Arial" w:cs="Arial"/>
          <w:sz w:val="24"/>
          <w:szCs w:val="24"/>
        </w:rPr>
        <w:t xml:space="preserve">pay the non-DOCX </w:t>
      </w:r>
      <w:r>
        <w:rPr>
          <w:rFonts w:ascii="Arial" w:hAnsi="Arial" w:cs="Arial"/>
          <w:sz w:val="24"/>
          <w:szCs w:val="24"/>
        </w:rPr>
        <w:t xml:space="preserve">filing </w:t>
      </w:r>
      <w:r w:rsidRPr="00EC5249">
        <w:rPr>
          <w:rFonts w:ascii="Arial" w:hAnsi="Arial" w:cs="Arial"/>
          <w:sz w:val="24"/>
          <w:szCs w:val="24"/>
        </w:rPr>
        <w:t>surcharge</w:t>
      </w:r>
      <w:r>
        <w:rPr>
          <w:rFonts w:ascii="Arial" w:hAnsi="Arial" w:cs="Arial"/>
          <w:sz w:val="24"/>
          <w:szCs w:val="24"/>
        </w:rPr>
        <w:t xml:space="preserve"> fee, the applications and fee may be </w:t>
      </w:r>
      <w:r w:rsidRPr="00B23437" w:rsidR="00B23437">
        <w:rPr>
          <w:rFonts w:ascii="Arial" w:hAnsi="Arial" w:cs="Arial"/>
          <w:sz w:val="24"/>
          <w:szCs w:val="24"/>
        </w:rPr>
        <w:t xml:space="preserve">submitted </w:t>
      </w:r>
      <w:r w:rsidR="00B23437">
        <w:rPr>
          <w:rFonts w:ascii="Arial" w:hAnsi="Arial" w:cs="Arial"/>
          <w:sz w:val="24"/>
          <w:szCs w:val="24"/>
        </w:rPr>
        <w:t xml:space="preserve">electronically </w:t>
      </w:r>
      <w:r w:rsidRPr="00B23437" w:rsidR="00B23437">
        <w:rPr>
          <w:rFonts w:ascii="Arial" w:hAnsi="Arial" w:cs="Arial"/>
          <w:sz w:val="24"/>
          <w:szCs w:val="24"/>
        </w:rPr>
        <w:t xml:space="preserve">by </w:t>
      </w:r>
      <w:r w:rsidR="00B23437">
        <w:rPr>
          <w:rFonts w:ascii="Arial" w:hAnsi="Arial" w:cs="Arial"/>
          <w:sz w:val="24"/>
          <w:szCs w:val="24"/>
        </w:rPr>
        <w:t>Patent Center</w:t>
      </w:r>
      <w:r w:rsidR="00395125">
        <w:rPr>
          <w:rFonts w:ascii="Arial" w:hAnsi="Arial" w:cs="Arial"/>
          <w:sz w:val="24"/>
          <w:szCs w:val="24"/>
        </w:rPr>
        <w:t>,</w:t>
      </w:r>
      <w:r w:rsidRPr="00B23437" w:rsidR="00B23437">
        <w:rPr>
          <w:rFonts w:ascii="Arial" w:hAnsi="Arial" w:cs="Arial"/>
          <w:sz w:val="24"/>
          <w:szCs w:val="24"/>
        </w:rPr>
        <w:t xml:space="preserve"> </w:t>
      </w:r>
      <w:r w:rsidR="00B23437">
        <w:rPr>
          <w:rFonts w:ascii="Arial" w:hAnsi="Arial" w:cs="Arial"/>
          <w:sz w:val="24"/>
          <w:szCs w:val="24"/>
        </w:rPr>
        <w:t>mail</w:t>
      </w:r>
      <w:r w:rsidR="00395125">
        <w:rPr>
          <w:rFonts w:ascii="Arial" w:hAnsi="Arial" w:cs="Arial"/>
          <w:sz w:val="24"/>
          <w:szCs w:val="24"/>
        </w:rPr>
        <w:t>,</w:t>
      </w:r>
      <w:r w:rsidR="00B23437">
        <w:rPr>
          <w:rFonts w:ascii="Arial" w:hAnsi="Arial" w:cs="Arial"/>
          <w:sz w:val="24"/>
          <w:szCs w:val="24"/>
        </w:rPr>
        <w:t xml:space="preserve"> or </w:t>
      </w:r>
      <w:r w:rsidRPr="00B23437" w:rsidR="00B23437">
        <w:rPr>
          <w:rFonts w:ascii="Arial" w:hAnsi="Arial" w:cs="Arial"/>
          <w:sz w:val="24"/>
          <w:szCs w:val="24"/>
        </w:rPr>
        <w:t>hand delivery.</w:t>
      </w:r>
    </w:p>
    <w:p w:rsidR="00802712" w:rsidP="00310AF7" w14:paraId="3625896B" w14:textId="77777777">
      <w:pPr>
        <w:pStyle w:val="NoSpacing"/>
        <w:jc w:val="both"/>
        <w:rPr>
          <w:rFonts w:ascii="Arial" w:hAnsi="Arial" w:cs="Arial"/>
          <w:sz w:val="24"/>
          <w:szCs w:val="24"/>
        </w:rPr>
      </w:pPr>
    </w:p>
    <w:p w:rsidR="00310AF7" w:rsidP="00310AF7" w14:paraId="103D0285" w14:textId="39B23D7A">
      <w:pPr>
        <w:pStyle w:val="NoSpacing"/>
        <w:jc w:val="both"/>
        <w:rPr>
          <w:rFonts w:ascii="Arial" w:hAnsi="Arial" w:cs="Arial"/>
          <w:sz w:val="24"/>
          <w:szCs w:val="24"/>
        </w:rPr>
      </w:pPr>
      <w:r>
        <w:rPr>
          <w:rFonts w:ascii="Arial" w:hAnsi="Arial" w:cs="Arial"/>
          <w:sz w:val="24"/>
          <w:szCs w:val="24"/>
        </w:rPr>
        <w:t xml:space="preserve">Patent Center </w:t>
      </w:r>
      <w:r w:rsidRPr="00A83AC8">
        <w:rPr>
          <w:rFonts w:ascii="Arial" w:hAnsi="Arial" w:cs="Arial"/>
          <w:sz w:val="24"/>
          <w:szCs w:val="24"/>
        </w:rPr>
        <w:t xml:space="preserve">allows customers to </w:t>
      </w:r>
      <w:r w:rsidR="00E53F89">
        <w:rPr>
          <w:rFonts w:ascii="Arial" w:hAnsi="Arial" w:cs="Arial"/>
          <w:sz w:val="24"/>
          <w:szCs w:val="24"/>
        </w:rPr>
        <w:t xml:space="preserve">electronically </w:t>
      </w:r>
      <w:r w:rsidRPr="00A83AC8">
        <w:rPr>
          <w:rFonts w:ascii="Arial" w:hAnsi="Arial" w:cs="Arial"/>
          <w:sz w:val="24"/>
          <w:szCs w:val="24"/>
        </w:rPr>
        <w:t>file patent applications and associated documents through their standard Web browser without downloading special software, changing their documentation preparation tools, or altering their workflow processes.</w:t>
      </w:r>
    </w:p>
    <w:p w:rsidR="00673ADD" w:rsidP="00310AF7" w14:paraId="05ED5068" w14:textId="7C326C83">
      <w:pPr>
        <w:pStyle w:val="NoSpacing"/>
        <w:jc w:val="both"/>
        <w:rPr>
          <w:rFonts w:ascii="Arial" w:hAnsi="Arial" w:cs="Arial"/>
          <w:sz w:val="24"/>
          <w:szCs w:val="24"/>
        </w:rPr>
      </w:pPr>
    </w:p>
    <w:p w:rsidR="00673ADD" w:rsidRPr="00A83AC8" w:rsidP="00310AF7" w14:paraId="3579C96A" w14:textId="2A546476">
      <w:pPr>
        <w:pStyle w:val="NoSpacing"/>
        <w:jc w:val="both"/>
        <w:rPr>
          <w:rFonts w:ascii="Arial" w:hAnsi="Arial" w:cs="Arial"/>
          <w:sz w:val="24"/>
          <w:szCs w:val="24"/>
        </w:rPr>
      </w:pPr>
      <w:r>
        <w:rPr>
          <w:rFonts w:ascii="Arial" w:hAnsi="Arial" w:cs="Arial"/>
          <w:sz w:val="24"/>
          <w:szCs w:val="24"/>
        </w:rPr>
        <w:t xml:space="preserve">The USPTO is adopting the DOCX format </w:t>
      </w:r>
      <w:r w:rsidR="00B80A23">
        <w:rPr>
          <w:rFonts w:ascii="Arial" w:hAnsi="Arial" w:cs="Arial"/>
          <w:sz w:val="24"/>
          <w:szCs w:val="24"/>
        </w:rPr>
        <w:t xml:space="preserve">because it </w:t>
      </w:r>
      <w:r w:rsidRPr="00B80A23" w:rsidR="00B80A23">
        <w:rPr>
          <w:rFonts w:ascii="Arial" w:hAnsi="Arial" w:cs="Arial"/>
          <w:sz w:val="24"/>
          <w:szCs w:val="24"/>
        </w:rPr>
        <w:t>aligns with the USPTO’s plans to expand automation of the patent application process, which will increase efficiencies and reduce costs for applicants and the USPTO</w:t>
      </w:r>
      <w:r w:rsidR="00E00B2E">
        <w:rPr>
          <w:rFonts w:ascii="Arial" w:hAnsi="Arial" w:cs="Arial"/>
          <w:sz w:val="24"/>
          <w:szCs w:val="24"/>
        </w:rPr>
        <w:t>.</w:t>
      </w:r>
    </w:p>
    <w:p w:rsidR="00193564" w:rsidRPr="00933E52" w:rsidP="00193564" w14:paraId="3ED8105C" w14:textId="77777777">
      <w:pPr>
        <w:pStyle w:val="NoSpacing"/>
        <w:jc w:val="both"/>
        <w:rPr>
          <w:rFonts w:ascii="Arial" w:hAnsi="Arial" w:cs="Arial"/>
          <w:sz w:val="24"/>
          <w:szCs w:val="24"/>
          <w:highlight w:val="yellow"/>
        </w:rPr>
      </w:pPr>
    </w:p>
    <w:p w:rsidR="00193564" w:rsidRPr="00933E52" w:rsidP="00385CF6" w14:paraId="01F85D63" w14:textId="5841844E">
      <w:pPr>
        <w:pStyle w:val="NoSpacing"/>
        <w:numPr>
          <w:ilvl w:val="0"/>
          <w:numId w:val="12"/>
        </w:numPr>
        <w:ind w:left="720" w:hanging="720"/>
        <w:jc w:val="both"/>
        <w:rPr>
          <w:rFonts w:ascii="Arial" w:hAnsi="Arial" w:cs="Arial"/>
          <w:b/>
          <w:sz w:val="24"/>
          <w:szCs w:val="24"/>
        </w:rPr>
      </w:pPr>
      <w:r w:rsidRPr="00933E52">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193564" w:rsidRPr="00933E52" w:rsidP="00193564" w14:paraId="302348C7" w14:textId="77777777">
      <w:pPr>
        <w:pStyle w:val="NoSpacing"/>
        <w:jc w:val="both"/>
        <w:rPr>
          <w:rFonts w:ascii="Arial" w:hAnsi="Arial" w:cs="Arial"/>
          <w:sz w:val="24"/>
          <w:szCs w:val="24"/>
        </w:rPr>
      </w:pPr>
    </w:p>
    <w:p w:rsidR="003975F5" w:rsidP="5AAEE1B4" w14:paraId="46750554" w14:textId="6DFDFE44">
      <w:pPr>
        <w:widowControl/>
        <w:tabs>
          <w:tab w:val="left" w:pos="720"/>
        </w:tabs>
        <w:jc w:val="both"/>
        <w:rPr>
          <w:rFonts w:ascii="Arial" w:hAnsi="Arial" w:cs="Arial"/>
        </w:rPr>
      </w:pPr>
      <w:r w:rsidRPr="4CC9A0B2">
        <w:rPr>
          <w:rFonts w:ascii="Arial" w:hAnsi="Arial" w:cs="Arial"/>
        </w:rPr>
        <w:t xml:space="preserve">This information is collected only when an applicant (or representative) submits </w:t>
      </w:r>
      <w:r w:rsidR="00E62AB9">
        <w:rPr>
          <w:rFonts w:ascii="Arial" w:hAnsi="Arial" w:cs="Arial"/>
        </w:rPr>
        <w:t xml:space="preserve">one of the following </w:t>
      </w:r>
      <w:r w:rsidRPr="4CC9A0B2">
        <w:rPr>
          <w:rFonts w:ascii="Arial" w:hAnsi="Arial" w:cs="Arial"/>
        </w:rPr>
        <w:t xml:space="preserve">patent application </w:t>
      </w:r>
      <w:r w:rsidR="00E62AB9">
        <w:rPr>
          <w:rFonts w:ascii="Arial" w:hAnsi="Arial" w:cs="Arial"/>
        </w:rPr>
        <w:t xml:space="preserve">types </w:t>
      </w:r>
      <w:r w:rsidRPr="4CC9A0B2">
        <w:rPr>
          <w:rFonts w:ascii="Arial" w:hAnsi="Arial" w:cs="Arial"/>
        </w:rPr>
        <w:t>in DOCX format</w:t>
      </w:r>
      <w:r w:rsidR="00E62AB9">
        <w:rPr>
          <w:rFonts w:ascii="Arial" w:hAnsi="Arial" w:cs="Arial"/>
        </w:rPr>
        <w:t>: an original new utility application</w:t>
      </w:r>
      <w:r w:rsidRPr="4CC9A0B2">
        <w:rPr>
          <w:rFonts w:ascii="Arial" w:hAnsi="Arial" w:cs="Arial"/>
        </w:rPr>
        <w:t xml:space="preserve">; a </w:t>
      </w:r>
      <w:r w:rsidR="00E62AB9">
        <w:rPr>
          <w:rFonts w:ascii="Arial" w:hAnsi="Arial" w:cs="Arial"/>
        </w:rPr>
        <w:t xml:space="preserve">utility </w:t>
      </w:r>
      <w:r w:rsidRPr="4CC9A0B2">
        <w:rPr>
          <w:rFonts w:ascii="Arial" w:hAnsi="Arial" w:cs="Arial"/>
        </w:rPr>
        <w:t xml:space="preserve">continuation or divisional of an international application; </w:t>
      </w:r>
      <w:r w:rsidRPr="4CC9A0B2" w:rsidR="6CA77F3B">
        <w:rPr>
          <w:rFonts w:ascii="Arial" w:hAnsi="Arial" w:cs="Arial"/>
        </w:rPr>
        <w:t xml:space="preserve">a </w:t>
      </w:r>
      <w:r w:rsidRPr="4CC9A0B2">
        <w:rPr>
          <w:rFonts w:ascii="Arial" w:hAnsi="Arial" w:cs="Arial"/>
        </w:rPr>
        <w:t>utility continuation or divisional application</w:t>
      </w:r>
      <w:r w:rsidRPr="4CC9A0B2" w:rsidR="56CB430C">
        <w:rPr>
          <w:rFonts w:ascii="Arial" w:hAnsi="Arial" w:cs="Arial"/>
        </w:rPr>
        <w:t>;</w:t>
      </w:r>
      <w:r w:rsidRPr="4CC9A0B2">
        <w:rPr>
          <w:rFonts w:ascii="Arial" w:hAnsi="Arial" w:cs="Arial"/>
        </w:rPr>
        <w:t xml:space="preserve"> and </w:t>
      </w:r>
      <w:r w:rsidRPr="4CC9A0B2" w:rsidR="648AD7B3">
        <w:rPr>
          <w:rFonts w:ascii="Arial" w:hAnsi="Arial" w:cs="Arial"/>
        </w:rPr>
        <w:t xml:space="preserve">a </w:t>
      </w:r>
      <w:r w:rsidRPr="4CC9A0B2">
        <w:rPr>
          <w:rFonts w:ascii="Arial" w:hAnsi="Arial" w:cs="Arial"/>
        </w:rPr>
        <w:t>utility continuation-in-part application. The item</w:t>
      </w:r>
      <w:r w:rsidRPr="4CC9A0B2" w:rsidR="2B4C646D">
        <w:rPr>
          <w:rFonts w:ascii="Arial" w:hAnsi="Arial" w:cs="Arial"/>
        </w:rPr>
        <w:t>s</w:t>
      </w:r>
      <w:r w:rsidRPr="4CC9A0B2">
        <w:rPr>
          <w:rFonts w:ascii="Arial" w:hAnsi="Arial" w:cs="Arial"/>
        </w:rPr>
        <w:t xml:space="preserve"> in this information collection </w:t>
      </w:r>
      <w:r w:rsidR="0064303C">
        <w:rPr>
          <w:rFonts w:ascii="Arial" w:hAnsi="Arial" w:cs="Arial"/>
        </w:rPr>
        <w:t>are</w:t>
      </w:r>
      <w:r w:rsidRPr="4CC9A0B2">
        <w:rPr>
          <w:rFonts w:ascii="Arial" w:hAnsi="Arial" w:cs="Arial"/>
        </w:rPr>
        <w:t xml:space="preserve"> related to, and part of</w:t>
      </w:r>
      <w:r w:rsidRPr="4CC9A0B2" w:rsidR="7624DACC">
        <w:rPr>
          <w:rFonts w:ascii="Arial" w:hAnsi="Arial" w:cs="Arial"/>
        </w:rPr>
        <w:t>,</w:t>
      </w:r>
      <w:r w:rsidRPr="4CC9A0B2">
        <w:rPr>
          <w:rFonts w:ascii="Arial" w:hAnsi="Arial" w:cs="Arial"/>
        </w:rPr>
        <w:t xml:space="preserve"> the actions taken to submit patent applications under OMB control number 0651-0032 (Initial Patent Applications). This information collection covers </w:t>
      </w:r>
      <w:r w:rsidRPr="4CC9A0B2" w:rsidR="42DD25D3">
        <w:rPr>
          <w:rFonts w:ascii="Arial" w:hAnsi="Arial" w:cs="Arial"/>
        </w:rPr>
        <w:t xml:space="preserve">any </w:t>
      </w:r>
      <w:r w:rsidRPr="4CC9A0B2">
        <w:rPr>
          <w:rFonts w:ascii="Arial" w:hAnsi="Arial" w:cs="Arial"/>
        </w:rPr>
        <w:t>extra review applicants take in submitting DOCX files to USPTO</w:t>
      </w:r>
      <w:r w:rsidRPr="4CC9A0B2" w:rsidR="13AD69ED">
        <w:rPr>
          <w:rFonts w:ascii="Arial" w:hAnsi="Arial" w:cs="Arial"/>
        </w:rPr>
        <w:t>,</w:t>
      </w:r>
      <w:r w:rsidRPr="4CC9A0B2">
        <w:rPr>
          <w:rFonts w:ascii="Arial" w:hAnsi="Arial" w:cs="Arial"/>
        </w:rPr>
        <w:t xml:space="preserve"> </w:t>
      </w:r>
      <w:r w:rsidRPr="4CC9A0B2" w:rsidR="13AD69ED">
        <w:rPr>
          <w:rFonts w:ascii="Arial" w:hAnsi="Arial" w:cs="Arial"/>
        </w:rPr>
        <w:t xml:space="preserve">which is </w:t>
      </w:r>
      <w:r w:rsidRPr="4CC9A0B2">
        <w:rPr>
          <w:rFonts w:ascii="Arial" w:hAnsi="Arial" w:cs="Arial"/>
        </w:rPr>
        <w:t xml:space="preserve">a review step not included within the burden estimates of </w:t>
      </w:r>
      <w:r w:rsidR="00C2494E">
        <w:rPr>
          <w:rFonts w:ascii="Arial" w:hAnsi="Arial" w:cs="Arial"/>
        </w:rPr>
        <w:t xml:space="preserve">OMB control number </w:t>
      </w:r>
      <w:r w:rsidRPr="4CC9A0B2">
        <w:rPr>
          <w:rFonts w:ascii="Arial" w:hAnsi="Arial" w:cs="Arial"/>
        </w:rPr>
        <w:t xml:space="preserve">0651-0032. </w:t>
      </w:r>
      <w:r w:rsidR="00556615">
        <w:rPr>
          <w:rFonts w:ascii="Arial" w:hAnsi="Arial" w:cs="Arial"/>
        </w:rPr>
        <w:t>Additionally, the submission of auxiliary PDFs, at the voluntary discretion of the applica</w:t>
      </w:r>
      <w:r w:rsidR="00514867">
        <w:rPr>
          <w:rFonts w:ascii="Arial" w:hAnsi="Arial" w:cs="Arial"/>
        </w:rPr>
        <w:t>nt</w:t>
      </w:r>
      <w:r w:rsidR="00556615">
        <w:rPr>
          <w:rFonts w:ascii="Arial" w:hAnsi="Arial" w:cs="Arial"/>
        </w:rPr>
        <w:t>, is covered by this information collection.</w:t>
      </w:r>
      <w:r w:rsidRPr="008C1259" w:rsidR="008C1259">
        <w:t xml:space="preserve"> </w:t>
      </w:r>
      <w:r w:rsidR="008C1259">
        <w:rPr>
          <w:rFonts w:ascii="Arial" w:hAnsi="Arial" w:cs="Arial"/>
        </w:rPr>
        <w:t>The auxiliar</w:t>
      </w:r>
      <w:r w:rsidR="00785BE2">
        <w:rPr>
          <w:rFonts w:ascii="Arial" w:hAnsi="Arial" w:cs="Arial"/>
        </w:rPr>
        <w:t>y</w:t>
      </w:r>
      <w:r w:rsidR="008C1259">
        <w:rPr>
          <w:rFonts w:ascii="Arial" w:hAnsi="Arial" w:cs="Arial"/>
        </w:rPr>
        <w:t xml:space="preserve"> PDF s</w:t>
      </w:r>
      <w:r w:rsidRPr="008C1259" w:rsidR="008C1259">
        <w:rPr>
          <w:rFonts w:ascii="Arial" w:hAnsi="Arial" w:cs="Arial"/>
        </w:rPr>
        <w:t>erve</w:t>
      </w:r>
      <w:r w:rsidR="008C1259">
        <w:rPr>
          <w:rFonts w:ascii="Arial" w:hAnsi="Arial" w:cs="Arial"/>
        </w:rPr>
        <w:t>s</w:t>
      </w:r>
      <w:r w:rsidRPr="008C1259" w:rsidR="008C1259">
        <w:rPr>
          <w:rFonts w:ascii="Arial" w:hAnsi="Arial" w:cs="Arial"/>
        </w:rPr>
        <w:t xml:space="preserve"> as a safeguard for the application in the unlikely event that any correction is needed later in the process</w:t>
      </w:r>
      <w:r w:rsidR="008C1259">
        <w:rPr>
          <w:rFonts w:ascii="Arial" w:hAnsi="Arial" w:cs="Arial"/>
        </w:rPr>
        <w:t>.</w:t>
      </w:r>
      <w:r w:rsidR="00556615">
        <w:rPr>
          <w:rFonts w:ascii="Arial" w:hAnsi="Arial" w:cs="Arial"/>
        </w:rPr>
        <w:t xml:space="preserve"> </w:t>
      </w:r>
      <w:r w:rsidRPr="4CC9A0B2">
        <w:rPr>
          <w:rFonts w:ascii="Arial" w:hAnsi="Arial" w:cs="Arial"/>
        </w:rPr>
        <w:t xml:space="preserve">This information collection also covers the fee for those </w:t>
      </w:r>
      <w:r w:rsidRPr="4CC9A0B2" w:rsidR="265CFAF7">
        <w:rPr>
          <w:rFonts w:ascii="Arial" w:hAnsi="Arial" w:cs="Arial"/>
        </w:rPr>
        <w:t xml:space="preserve">applicants </w:t>
      </w:r>
      <w:r w:rsidRPr="4CC9A0B2">
        <w:rPr>
          <w:rFonts w:ascii="Arial" w:hAnsi="Arial" w:cs="Arial"/>
        </w:rPr>
        <w:t>who do not file a DOCX application. Therefore, this information collection does not create a duplication of effort or collection of data.</w:t>
      </w:r>
    </w:p>
    <w:p w:rsidR="00193564" w:rsidRPr="00933E52" w:rsidP="00193564" w14:paraId="5B416FB4" w14:textId="77777777">
      <w:pPr>
        <w:pStyle w:val="NoSpacing"/>
        <w:jc w:val="both"/>
        <w:rPr>
          <w:rFonts w:ascii="Arial" w:hAnsi="Arial" w:cs="Arial"/>
          <w:sz w:val="24"/>
          <w:szCs w:val="24"/>
          <w:highlight w:val="yellow"/>
        </w:rPr>
      </w:pPr>
    </w:p>
    <w:p w:rsidR="00193564" w:rsidRPr="00A83AC8" w:rsidP="00385CF6" w14:paraId="78672DF2" w14:textId="77777777">
      <w:pPr>
        <w:pStyle w:val="NoSpacing"/>
        <w:numPr>
          <w:ilvl w:val="0"/>
          <w:numId w:val="12"/>
        </w:numPr>
        <w:ind w:left="720" w:hanging="720"/>
        <w:jc w:val="both"/>
        <w:rPr>
          <w:rFonts w:ascii="Arial" w:hAnsi="Arial" w:cs="Arial"/>
          <w:b/>
          <w:sz w:val="24"/>
          <w:szCs w:val="24"/>
        </w:rPr>
      </w:pPr>
      <w:r w:rsidRPr="00A83AC8">
        <w:rPr>
          <w:rFonts w:ascii="Arial" w:hAnsi="Arial" w:cs="Arial"/>
          <w:b/>
          <w:sz w:val="24"/>
          <w:szCs w:val="24"/>
        </w:rPr>
        <w:t>If the collection of information impacts small businesses or other small entities, describe any methods used to minimize burden.</w:t>
      </w:r>
    </w:p>
    <w:p w:rsidR="00193564" w:rsidRPr="00A83AC8" w:rsidP="00193564" w14:paraId="295A89C9" w14:textId="3D04A5F0">
      <w:pPr>
        <w:pStyle w:val="NoSpacing"/>
        <w:jc w:val="both"/>
        <w:rPr>
          <w:rFonts w:ascii="Arial" w:hAnsi="Arial" w:cs="Arial"/>
          <w:sz w:val="24"/>
          <w:szCs w:val="24"/>
        </w:rPr>
      </w:pPr>
      <w:r w:rsidRPr="00A83AC8">
        <w:rPr>
          <w:rFonts w:ascii="Arial" w:hAnsi="Arial" w:cs="Arial"/>
          <w:bCs/>
          <w:sz w:val="24"/>
          <w:szCs w:val="24"/>
        </w:rPr>
        <w:br/>
        <w:t xml:space="preserve">USPTO estimates that approximately 25% of this information collection will be submitted by small businesses or other small entities (of which 3% are micro entities). </w:t>
      </w:r>
      <w:r w:rsidRPr="00A83AC8">
        <w:rPr>
          <w:rFonts w:ascii="Arial" w:hAnsi="Arial" w:cs="Arial"/>
          <w:sz w:val="24"/>
          <w:szCs w:val="24"/>
        </w:rPr>
        <w:t xml:space="preserve">Pursuant to section 10(b) of the Leahy-Smith America Invents Act (AIA), </w:t>
      </w:r>
      <w:r w:rsidR="00785BE2">
        <w:rPr>
          <w:rFonts w:ascii="Arial" w:hAnsi="Arial" w:cs="Arial"/>
          <w:sz w:val="24"/>
          <w:szCs w:val="24"/>
        </w:rPr>
        <w:t xml:space="preserve">Pub. L. 112-29, as amended by the </w:t>
      </w:r>
      <w:r w:rsidRPr="00785BE2" w:rsidR="00785BE2">
        <w:rPr>
          <w:rFonts w:ascii="Arial" w:hAnsi="Arial" w:cs="Arial"/>
          <w:sz w:val="24"/>
          <w:szCs w:val="24"/>
        </w:rPr>
        <w:t>Unleashing American Innovators Act of 2022 (UAIA)</w:t>
      </w:r>
      <w:r w:rsidR="00785BE2">
        <w:rPr>
          <w:rFonts w:ascii="Arial" w:hAnsi="Arial" w:cs="Arial"/>
          <w:sz w:val="24"/>
          <w:szCs w:val="24"/>
        </w:rPr>
        <w:t xml:space="preserve">, Pub. L. 117-103, </w:t>
      </w:r>
      <w:r w:rsidRPr="00A83AC8">
        <w:rPr>
          <w:rFonts w:ascii="Arial" w:hAnsi="Arial" w:cs="Arial"/>
          <w:sz w:val="24"/>
          <w:szCs w:val="24"/>
        </w:rPr>
        <w:t xml:space="preserve">the USPTO provides a </w:t>
      </w:r>
      <w:r w:rsidR="00A522EA">
        <w:rPr>
          <w:rFonts w:ascii="Arial" w:hAnsi="Arial" w:cs="Arial"/>
          <w:sz w:val="24"/>
          <w:szCs w:val="24"/>
        </w:rPr>
        <w:t>60</w:t>
      </w:r>
      <w:r w:rsidRPr="00A83AC8">
        <w:rPr>
          <w:rFonts w:ascii="Arial" w:hAnsi="Arial" w:cs="Arial"/>
          <w:sz w:val="24"/>
          <w:szCs w:val="24"/>
        </w:rPr>
        <w:t xml:space="preserve">% reduction in the fees for certain patent filings by small entity applicants, such as </w:t>
      </w:r>
      <w:r w:rsidR="00E257AC">
        <w:rPr>
          <w:rFonts w:ascii="Arial" w:hAnsi="Arial" w:cs="Arial"/>
          <w:sz w:val="24"/>
          <w:szCs w:val="24"/>
        </w:rPr>
        <w:t>persons</w:t>
      </w:r>
      <w:r w:rsidRPr="00A83AC8">
        <w:rPr>
          <w:rFonts w:ascii="Arial" w:hAnsi="Arial" w:cs="Arial"/>
          <w:sz w:val="24"/>
          <w:szCs w:val="24"/>
        </w:rPr>
        <w:t>, small businesses, and nonprofit organizations who meet the definition of a small entity provided at 37 CFR 1.27</w:t>
      </w:r>
      <w:r w:rsidR="00E257AC">
        <w:rPr>
          <w:rFonts w:ascii="Arial" w:hAnsi="Arial" w:cs="Arial"/>
          <w:sz w:val="24"/>
          <w:szCs w:val="24"/>
        </w:rPr>
        <w:t>(a)</w:t>
      </w:r>
      <w:r w:rsidRPr="00A83AC8">
        <w:rPr>
          <w:rFonts w:ascii="Arial" w:hAnsi="Arial" w:cs="Arial"/>
          <w:sz w:val="24"/>
          <w:szCs w:val="24"/>
        </w:rPr>
        <w:t xml:space="preserve">. Also pursuant to section 10(b) of the AIA, the USPTO provides a </w:t>
      </w:r>
      <w:r w:rsidR="00A522EA">
        <w:rPr>
          <w:rFonts w:ascii="Arial" w:hAnsi="Arial" w:cs="Arial"/>
          <w:sz w:val="24"/>
          <w:szCs w:val="24"/>
        </w:rPr>
        <w:t>80</w:t>
      </w:r>
      <w:r w:rsidRPr="00A83AC8">
        <w:rPr>
          <w:rFonts w:ascii="Arial" w:hAnsi="Arial" w:cs="Arial"/>
          <w:sz w:val="24"/>
          <w:szCs w:val="24"/>
        </w:rPr>
        <w:t>% reduction in the fees set or adjusted under section 10(a) of the Act for certain patent filings by applicants who meet the definition of a micro entity provided at 35 U.S.C. § 123 and 37 CFR 1.29.</w:t>
      </w:r>
    </w:p>
    <w:p w:rsidR="00193564" w:rsidRPr="00A83AC8" w:rsidP="00193564" w14:paraId="1164BB04" w14:textId="77777777">
      <w:pPr>
        <w:pStyle w:val="NoSpacing"/>
        <w:jc w:val="both"/>
        <w:rPr>
          <w:rFonts w:ascii="Arial" w:hAnsi="Arial" w:cs="Arial"/>
          <w:sz w:val="24"/>
          <w:szCs w:val="24"/>
        </w:rPr>
      </w:pPr>
    </w:p>
    <w:p w:rsidR="00193564" w:rsidRPr="00A83AC8" w:rsidP="00193564" w14:paraId="60673782" w14:textId="7B1C0AFD">
      <w:pPr>
        <w:pStyle w:val="NoSpacing"/>
        <w:jc w:val="both"/>
        <w:rPr>
          <w:rFonts w:ascii="Arial" w:hAnsi="Arial" w:cs="Arial"/>
          <w:bCs/>
          <w:sz w:val="24"/>
          <w:szCs w:val="24"/>
        </w:rPr>
      </w:pPr>
      <w:r w:rsidRPr="00A83AC8">
        <w:rPr>
          <w:rFonts w:ascii="Arial" w:hAnsi="Arial" w:cs="Arial"/>
          <w:sz w:val="24"/>
          <w:szCs w:val="24"/>
        </w:rPr>
        <w:t>This information collection involves payment of fees by customers who may qualify as small entities or micro entities. No significant burden is placed on small or micro entities</w:t>
      </w:r>
      <w:r w:rsidR="00C026AF">
        <w:rPr>
          <w:rFonts w:ascii="Arial" w:hAnsi="Arial" w:cs="Arial"/>
          <w:sz w:val="24"/>
          <w:szCs w:val="24"/>
        </w:rPr>
        <w:t xml:space="preserve"> to establish their status </w:t>
      </w:r>
      <w:r w:rsidR="00C7588F">
        <w:rPr>
          <w:rFonts w:ascii="Arial" w:hAnsi="Arial" w:cs="Arial"/>
          <w:sz w:val="24"/>
          <w:szCs w:val="24"/>
        </w:rPr>
        <w:t>and pay the discounted fee.</w:t>
      </w:r>
      <w:r w:rsidRPr="00A83AC8">
        <w:rPr>
          <w:rFonts w:ascii="Arial" w:hAnsi="Arial" w:cs="Arial"/>
          <w:sz w:val="24"/>
          <w:szCs w:val="24"/>
        </w:rPr>
        <w:t xml:space="preserve"> </w:t>
      </w:r>
      <w:r w:rsidR="00C7588F">
        <w:rPr>
          <w:rFonts w:ascii="Arial" w:hAnsi="Arial" w:cs="Arial"/>
          <w:sz w:val="24"/>
          <w:szCs w:val="24"/>
        </w:rPr>
        <w:t>S</w:t>
      </w:r>
      <w:r w:rsidRPr="00A83AC8">
        <w:rPr>
          <w:rFonts w:ascii="Arial" w:hAnsi="Arial" w:cs="Arial"/>
          <w:sz w:val="24"/>
          <w:szCs w:val="24"/>
        </w:rPr>
        <w:t xml:space="preserve">mall entities must only </w:t>
      </w:r>
      <w:r w:rsidRPr="00C7588F" w:rsidR="00C7588F">
        <w:rPr>
          <w:rFonts w:ascii="Arial" w:hAnsi="Arial" w:cs="Arial"/>
          <w:sz w:val="24"/>
          <w:szCs w:val="24"/>
        </w:rPr>
        <w:t>make an assertion of entitlement to small entity status in the manner set forth in 37 CFR 1.27(c)(1) or (c)(3)</w:t>
      </w:r>
      <w:r w:rsidR="00C7588F">
        <w:rPr>
          <w:rFonts w:ascii="Arial" w:hAnsi="Arial" w:cs="Arial"/>
          <w:sz w:val="24"/>
          <w:szCs w:val="24"/>
        </w:rPr>
        <w:t>. M</w:t>
      </w:r>
      <w:r w:rsidRPr="00A83AC8">
        <w:rPr>
          <w:rFonts w:ascii="Arial" w:hAnsi="Arial" w:cs="Arial"/>
          <w:sz w:val="24"/>
          <w:szCs w:val="24"/>
        </w:rPr>
        <w:t>icro entities must only provide a</w:t>
      </w:r>
      <w:r w:rsidR="00E257AC">
        <w:rPr>
          <w:rFonts w:ascii="Arial" w:hAnsi="Arial" w:cs="Arial"/>
          <w:sz w:val="24"/>
          <w:szCs w:val="24"/>
        </w:rPr>
        <w:t xml:space="preserve"> </w:t>
      </w:r>
      <w:r w:rsidRPr="00A83AC8">
        <w:rPr>
          <w:rFonts w:ascii="Arial" w:hAnsi="Arial" w:cs="Arial"/>
          <w:sz w:val="24"/>
          <w:szCs w:val="24"/>
        </w:rPr>
        <w:t>certification of micro entity status</w:t>
      </w:r>
      <w:r w:rsidR="00C7588F">
        <w:rPr>
          <w:rFonts w:ascii="Arial" w:hAnsi="Arial" w:cs="Arial"/>
          <w:sz w:val="24"/>
          <w:szCs w:val="24"/>
        </w:rPr>
        <w:t xml:space="preserve"> complying with the requirements of either </w:t>
      </w:r>
      <w:r w:rsidRPr="00C7588F" w:rsidR="00C7588F">
        <w:rPr>
          <w:rFonts w:ascii="Arial" w:hAnsi="Arial" w:cs="Arial"/>
          <w:sz w:val="24"/>
          <w:szCs w:val="24"/>
        </w:rPr>
        <w:t>37 CFR 1.2</w:t>
      </w:r>
      <w:r w:rsidR="00C7588F">
        <w:rPr>
          <w:rFonts w:ascii="Arial" w:hAnsi="Arial" w:cs="Arial"/>
          <w:sz w:val="24"/>
          <w:szCs w:val="24"/>
        </w:rPr>
        <w:t>9</w:t>
      </w:r>
      <w:r w:rsidRPr="00C7588F" w:rsidR="00C7588F">
        <w:rPr>
          <w:rFonts w:ascii="Arial" w:hAnsi="Arial" w:cs="Arial"/>
          <w:sz w:val="24"/>
          <w:szCs w:val="24"/>
        </w:rPr>
        <w:t>(</w:t>
      </w:r>
      <w:r w:rsidR="00C7588F">
        <w:rPr>
          <w:rFonts w:ascii="Arial" w:hAnsi="Arial" w:cs="Arial"/>
          <w:sz w:val="24"/>
          <w:szCs w:val="24"/>
        </w:rPr>
        <w:t>a</w:t>
      </w:r>
      <w:r w:rsidRPr="00C7588F" w:rsidR="00C7588F">
        <w:rPr>
          <w:rFonts w:ascii="Arial" w:hAnsi="Arial" w:cs="Arial"/>
          <w:sz w:val="24"/>
          <w:szCs w:val="24"/>
        </w:rPr>
        <w:t>) or (</w:t>
      </w:r>
      <w:r w:rsidR="00C7588F">
        <w:rPr>
          <w:rFonts w:ascii="Arial" w:hAnsi="Arial" w:cs="Arial"/>
          <w:sz w:val="24"/>
          <w:szCs w:val="24"/>
        </w:rPr>
        <w:t>d</w:t>
      </w:r>
      <w:r w:rsidRPr="00C7588F" w:rsidR="00C7588F">
        <w:rPr>
          <w:rFonts w:ascii="Arial" w:hAnsi="Arial" w:cs="Arial"/>
          <w:sz w:val="24"/>
          <w:szCs w:val="24"/>
        </w:rPr>
        <w:t>)</w:t>
      </w:r>
      <w:r w:rsidRPr="00A83AC8">
        <w:rPr>
          <w:rFonts w:ascii="Arial" w:hAnsi="Arial" w:cs="Arial"/>
          <w:sz w:val="24"/>
          <w:szCs w:val="24"/>
        </w:rPr>
        <w:t xml:space="preserve">. </w:t>
      </w:r>
    </w:p>
    <w:p w:rsidR="00193564" w:rsidRPr="00933E52" w:rsidP="00193564" w14:paraId="72C952C3" w14:textId="77777777">
      <w:pPr>
        <w:pStyle w:val="NoSpacing"/>
        <w:jc w:val="both"/>
        <w:rPr>
          <w:rFonts w:ascii="Arial" w:hAnsi="Arial" w:cs="Arial"/>
          <w:bCs/>
          <w:sz w:val="24"/>
          <w:szCs w:val="24"/>
        </w:rPr>
      </w:pPr>
    </w:p>
    <w:p w:rsidR="00193564" w:rsidRPr="00933E52" w:rsidP="00385CF6" w14:paraId="3078E931" w14:textId="77777777">
      <w:pPr>
        <w:pStyle w:val="NoSpacing"/>
        <w:numPr>
          <w:ilvl w:val="0"/>
          <w:numId w:val="12"/>
        </w:numPr>
        <w:ind w:left="720" w:hanging="720"/>
        <w:jc w:val="both"/>
        <w:rPr>
          <w:rFonts w:ascii="Arial" w:hAnsi="Arial" w:cs="Arial"/>
          <w:b/>
          <w:bCs/>
          <w:sz w:val="24"/>
          <w:szCs w:val="24"/>
        </w:rPr>
      </w:pPr>
      <w:r w:rsidRPr="00933E52">
        <w:rPr>
          <w:rFonts w:ascii="Arial" w:hAnsi="Arial" w:cs="Arial"/>
          <w:b/>
          <w:bCs/>
          <w:sz w:val="24"/>
          <w:szCs w:val="24"/>
        </w:rPr>
        <w:t>Describe the consequence to Federal program or policy activities if the information collection is not conducted or is conducted less frequently, as well as any technical or legal obstacles to reducing burden.</w:t>
      </w:r>
    </w:p>
    <w:p w:rsidR="00193564" w:rsidRPr="00933E52" w:rsidP="00193564" w14:paraId="2996DB70" w14:textId="77777777">
      <w:pPr>
        <w:pStyle w:val="NoSpacing"/>
        <w:jc w:val="both"/>
        <w:rPr>
          <w:rFonts w:ascii="Arial" w:hAnsi="Arial" w:cs="Arial"/>
          <w:bCs/>
          <w:sz w:val="24"/>
          <w:szCs w:val="24"/>
        </w:rPr>
      </w:pPr>
    </w:p>
    <w:p w:rsidR="0011346A" w:rsidP="00A522EA" w14:paraId="465190BF" w14:textId="45005BEC">
      <w:pPr>
        <w:pStyle w:val="NoSpacing"/>
        <w:jc w:val="both"/>
        <w:rPr>
          <w:rFonts w:ascii="Arial" w:hAnsi="Arial" w:cs="Arial"/>
          <w:sz w:val="24"/>
          <w:szCs w:val="24"/>
        </w:rPr>
      </w:pPr>
      <w:r w:rsidRPr="786EC198">
        <w:rPr>
          <w:rFonts w:ascii="Arial" w:hAnsi="Arial" w:cs="Arial"/>
          <w:sz w:val="24"/>
          <w:szCs w:val="24"/>
        </w:rPr>
        <w:t xml:space="preserve">This information </w:t>
      </w:r>
      <w:r w:rsidRPr="786EC198" w:rsidR="00E74F5B">
        <w:rPr>
          <w:rFonts w:ascii="Arial" w:hAnsi="Arial" w:cs="Arial"/>
          <w:sz w:val="24"/>
          <w:szCs w:val="24"/>
        </w:rPr>
        <w:t xml:space="preserve">collection relates solely to the impacts of </w:t>
      </w:r>
      <w:r w:rsidRPr="786EC198" w:rsidR="00E00B2E">
        <w:rPr>
          <w:rFonts w:ascii="Arial" w:hAnsi="Arial" w:cs="Arial"/>
          <w:sz w:val="24"/>
          <w:szCs w:val="24"/>
        </w:rPr>
        <w:t>filing nonprovisional utility applications under 35 U.S.C. 111, including continuing applications</w:t>
      </w:r>
      <w:r w:rsidR="00E00B2E">
        <w:rPr>
          <w:rFonts w:ascii="Arial" w:hAnsi="Arial" w:cs="Arial"/>
          <w:sz w:val="24"/>
          <w:szCs w:val="24"/>
        </w:rPr>
        <w:t>, in the DOCX format and</w:t>
      </w:r>
      <w:r w:rsidRPr="786EC198" w:rsidR="00E00B2E">
        <w:rPr>
          <w:rFonts w:ascii="Arial" w:hAnsi="Arial" w:cs="Arial"/>
          <w:sz w:val="24"/>
          <w:szCs w:val="24"/>
        </w:rPr>
        <w:t xml:space="preserve"> </w:t>
      </w:r>
      <w:r w:rsidRPr="786EC198" w:rsidR="00E74F5B">
        <w:rPr>
          <w:rFonts w:ascii="Arial" w:hAnsi="Arial" w:cs="Arial"/>
          <w:sz w:val="24"/>
          <w:szCs w:val="24"/>
        </w:rPr>
        <w:t xml:space="preserve">the non-DOCX filing surcharge fee. Patent applicants will either take an extra </w:t>
      </w:r>
      <w:r w:rsidRPr="786EC198" w:rsidR="0A400311">
        <w:rPr>
          <w:rFonts w:ascii="Arial" w:hAnsi="Arial" w:cs="Arial"/>
          <w:sz w:val="24"/>
          <w:szCs w:val="24"/>
        </w:rPr>
        <w:t xml:space="preserve">30 minutes </w:t>
      </w:r>
      <w:r w:rsidRPr="786EC198" w:rsidR="00E74F5B">
        <w:rPr>
          <w:rFonts w:ascii="Arial" w:hAnsi="Arial" w:cs="Arial"/>
          <w:sz w:val="24"/>
          <w:szCs w:val="24"/>
        </w:rPr>
        <w:t>to file their applications in DOCX format or they will pay the non-DOCX surcharge, they will not do both.</w:t>
      </w:r>
      <w:r w:rsidRPr="786EC198" w:rsidR="00274F9E">
        <w:rPr>
          <w:rFonts w:ascii="Arial" w:hAnsi="Arial" w:cs="Arial"/>
          <w:sz w:val="24"/>
          <w:szCs w:val="24"/>
        </w:rPr>
        <w:t xml:space="preserve"> Furthermore, the USPTO provides the 30-minute estimate out of an abundance of caution for the initial period after the effective date of the non-DOCX filing surcharge fee. </w:t>
      </w:r>
      <w:r w:rsidRPr="000E5CFB" w:rsidR="000E5CFB">
        <w:rPr>
          <w:rFonts w:ascii="Arial" w:hAnsi="Arial" w:cs="Arial"/>
          <w:sz w:val="24"/>
          <w:szCs w:val="24"/>
        </w:rPr>
        <w:t>The USPTO expects to decrease the 30-minute estimate by the first renewal of this collection as the public more fully comprehends the nature of, and how to comply with, the DOCX format.</w:t>
      </w:r>
    </w:p>
    <w:p w:rsidR="0011346A" w:rsidP="00A522EA" w14:paraId="7C9C3D14" w14:textId="77777777">
      <w:pPr>
        <w:pStyle w:val="NoSpacing"/>
        <w:jc w:val="both"/>
        <w:rPr>
          <w:rFonts w:ascii="Arial" w:hAnsi="Arial" w:cs="Arial"/>
          <w:sz w:val="24"/>
          <w:szCs w:val="24"/>
        </w:rPr>
      </w:pPr>
    </w:p>
    <w:p w:rsidR="00A522EA" w:rsidP="00A522EA" w14:paraId="1F26A9A5" w14:textId="37844CF1">
      <w:pPr>
        <w:pStyle w:val="NoSpacing"/>
        <w:jc w:val="both"/>
        <w:rPr>
          <w:rFonts w:ascii="Arial" w:hAnsi="Arial" w:cs="Arial"/>
          <w:sz w:val="24"/>
          <w:szCs w:val="24"/>
        </w:rPr>
      </w:pPr>
      <w:r>
        <w:rPr>
          <w:rFonts w:ascii="Arial" w:hAnsi="Arial" w:cs="Arial"/>
          <w:sz w:val="24"/>
          <w:szCs w:val="24"/>
        </w:rPr>
        <w:t>T</w:t>
      </w:r>
      <w:r w:rsidRPr="00E00B2E">
        <w:rPr>
          <w:rFonts w:ascii="Arial" w:hAnsi="Arial" w:cs="Arial"/>
          <w:sz w:val="24"/>
          <w:szCs w:val="24"/>
        </w:rPr>
        <w:t>he DOCX format aligns with the USPTO’s plans to expand automation of the patent application process, which will increase efficiencies and reduce costs for applicants and the USPTO</w:t>
      </w:r>
      <w:r>
        <w:rPr>
          <w:rFonts w:ascii="Arial" w:hAnsi="Arial" w:cs="Arial"/>
          <w:sz w:val="24"/>
          <w:szCs w:val="24"/>
        </w:rPr>
        <w:t xml:space="preserve">. </w:t>
      </w:r>
      <w:r w:rsidR="00B62685">
        <w:rPr>
          <w:rFonts w:ascii="Arial" w:hAnsi="Arial" w:cs="Arial"/>
          <w:sz w:val="24"/>
          <w:szCs w:val="24"/>
        </w:rPr>
        <w:t>The non-DOCX filing surcharge fee is intended t</w:t>
      </w:r>
      <w:r w:rsidRPr="00B62685" w:rsidR="00B62685">
        <w:rPr>
          <w:rFonts w:ascii="Arial" w:hAnsi="Arial" w:cs="Arial"/>
          <w:sz w:val="24"/>
          <w:szCs w:val="24"/>
        </w:rPr>
        <w:t xml:space="preserve">o encourage the filing of more applications in </w:t>
      </w:r>
      <w:r w:rsidR="00B62685">
        <w:rPr>
          <w:rFonts w:ascii="Arial" w:hAnsi="Arial" w:cs="Arial"/>
          <w:sz w:val="24"/>
          <w:szCs w:val="24"/>
        </w:rPr>
        <w:t>DOCX format.</w:t>
      </w:r>
      <w:r w:rsidRPr="000E5CFB" w:rsidR="000E5CFB">
        <w:rPr>
          <w:rFonts w:ascii="Arial" w:hAnsi="Arial" w:cs="Arial"/>
          <w:sz w:val="24"/>
          <w:szCs w:val="24"/>
        </w:rPr>
        <w:t xml:space="preserve"> </w:t>
      </w:r>
      <w:r w:rsidR="000E5CFB">
        <w:rPr>
          <w:rFonts w:ascii="Arial" w:hAnsi="Arial" w:cs="Arial"/>
          <w:sz w:val="24"/>
          <w:szCs w:val="24"/>
        </w:rPr>
        <w:t>Not conducting this collection of information would slow the adoption of DOCX filing and thereby would impede applicants, the USPTO and the public from reaping its maximum benefit.</w:t>
      </w:r>
      <w:r w:rsidRPr="000E5CFB" w:rsidR="000E5CFB">
        <w:rPr>
          <w:rFonts w:ascii="Arial" w:hAnsi="Arial" w:cs="Arial"/>
          <w:sz w:val="24"/>
          <w:szCs w:val="24"/>
        </w:rPr>
        <w:t xml:space="preserve"> </w:t>
      </w:r>
      <w:r w:rsidR="000E5CFB">
        <w:rPr>
          <w:rFonts w:ascii="Arial" w:hAnsi="Arial" w:cs="Arial"/>
          <w:sz w:val="24"/>
          <w:szCs w:val="24"/>
        </w:rPr>
        <w:t xml:space="preserve">More information on the benefits of submitting patent applications in DOCX format is available at </w:t>
      </w:r>
      <w:r w:rsidRPr="009E6A05" w:rsidR="000E5CFB">
        <w:rPr>
          <w:rFonts w:ascii="Arial" w:hAnsi="Arial" w:cs="Arial"/>
          <w:sz w:val="24"/>
          <w:szCs w:val="24"/>
        </w:rPr>
        <w:t>www.uspto.gov/patents/docx</w:t>
      </w:r>
      <w:r w:rsidR="000E5CFB">
        <w:rPr>
          <w:rFonts w:ascii="Arial" w:hAnsi="Arial" w:cs="Arial"/>
          <w:sz w:val="24"/>
          <w:szCs w:val="24"/>
        </w:rPr>
        <w:t>.</w:t>
      </w:r>
    </w:p>
    <w:p w:rsidR="00193564" w:rsidRPr="00933E52" w:rsidP="00193564" w14:paraId="43B0A0A4" w14:textId="77777777">
      <w:pPr>
        <w:pStyle w:val="NoSpacing"/>
        <w:jc w:val="both"/>
        <w:rPr>
          <w:rFonts w:ascii="Arial" w:hAnsi="Arial" w:cs="Arial"/>
          <w:bCs/>
          <w:sz w:val="24"/>
          <w:szCs w:val="24"/>
          <w:highlight w:val="yellow"/>
        </w:rPr>
      </w:pPr>
    </w:p>
    <w:p w:rsidR="00193564" w:rsidRPr="00933E52" w:rsidP="00385CF6" w14:paraId="6A0F99C7" w14:textId="69888680">
      <w:pPr>
        <w:pStyle w:val="NoSpacing"/>
        <w:numPr>
          <w:ilvl w:val="0"/>
          <w:numId w:val="12"/>
        </w:numPr>
        <w:ind w:left="720" w:hanging="720"/>
        <w:jc w:val="both"/>
        <w:rPr>
          <w:rFonts w:ascii="Arial" w:hAnsi="Arial" w:cs="Arial"/>
          <w:b/>
          <w:bCs/>
          <w:sz w:val="24"/>
          <w:szCs w:val="24"/>
        </w:rPr>
      </w:pPr>
      <w:r w:rsidRPr="00933E52">
        <w:rPr>
          <w:rFonts w:ascii="Arial" w:hAnsi="Arial" w:cs="Arial"/>
          <w:b/>
          <w:bCs/>
          <w:sz w:val="24"/>
          <w:szCs w:val="24"/>
        </w:rPr>
        <w:t>Explain any special circumstances that would cause an information collection to be conducted in a manner:</w:t>
      </w:r>
    </w:p>
    <w:p w:rsidR="00193564" w:rsidRPr="00933E52" w:rsidP="00385CF6" w14:paraId="738B5E34" w14:textId="359CCB3F">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report information to the agency more often than quarterly;</w:t>
      </w:r>
    </w:p>
    <w:p w:rsidR="00193564" w:rsidRPr="00933E52" w:rsidP="00385CF6" w14:paraId="44A9D4D8" w14:textId="5B2DF532">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prepare a written response to a collection of information in fewer than 30 days after receipt of it;</w:t>
      </w:r>
    </w:p>
    <w:p w:rsidR="00193564" w:rsidRPr="00933E52" w:rsidP="00385CF6" w14:paraId="4257484C" w14:textId="46912BDF">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submit more than an original and two copies of any document</w:t>
      </w:r>
    </w:p>
    <w:p w:rsidR="00193564" w:rsidRPr="00933E52" w:rsidP="00385CF6" w14:paraId="297D5FAE" w14:textId="4A4CE4AD">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respondents to retain records, other than health, medical, government contract, grant-in-aid, or tax records, for more than three years;</w:t>
      </w:r>
    </w:p>
    <w:p w:rsidR="00193564" w:rsidRPr="00933E52" w:rsidP="00385CF6" w14:paraId="49CC6868" w14:textId="77777777">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 xml:space="preserve">in connection with a statistical survey, that is not designed to produce valid and reliable results that can be generalized to the universe of study; </w:t>
      </w:r>
    </w:p>
    <w:p w:rsidR="00193564" w:rsidP="00385CF6" w14:paraId="41CE4196" w14:textId="02ED9273">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requiring the use of a statistical data classification that has not been reviewed and approved by OMB;</w:t>
      </w:r>
    </w:p>
    <w:p w:rsidR="00193564" w:rsidRPr="00933E52" w:rsidP="00385CF6" w14:paraId="20B6EF3C" w14:textId="6F17F1D5">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93564" w:rsidRPr="00933E52" w:rsidP="00385CF6" w14:paraId="25049F2D" w14:textId="77777777">
      <w:pPr>
        <w:pStyle w:val="NoSpacing"/>
        <w:numPr>
          <w:ilvl w:val="0"/>
          <w:numId w:val="13"/>
        </w:numPr>
        <w:ind w:left="1080"/>
        <w:jc w:val="both"/>
        <w:rPr>
          <w:rFonts w:ascii="Arial" w:hAnsi="Arial" w:cs="Arial"/>
          <w:b/>
          <w:bCs/>
          <w:sz w:val="24"/>
          <w:szCs w:val="24"/>
        </w:rPr>
      </w:pPr>
      <w:r w:rsidRPr="00933E52">
        <w:rPr>
          <w:rFonts w:ascii="Arial" w:hAnsi="Arial" w:cs="Arial"/>
          <w:b/>
          <w:bCs/>
          <w:sz w:val="24"/>
          <w:szCs w:val="24"/>
        </w:rPr>
        <w:t xml:space="preserve">requiring respondents to submit proprietary trade secrets, or other confidential information unless the agency can demonstrate that it has </w:t>
      </w:r>
      <w:r w:rsidRPr="00933E52">
        <w:rPr>
          <w:rFonts w:ascii="Arial" w:hAnsi="Arial" w:cs="Arial"/>
          <w:b/>
          <w:bCs/>
          <w:sz w:val="24"/>
          <w:szCs w:val="24"/>
        </w:rPr>
        <w:t>instituted procedures to protect the information's confidentiality to the extent permitted by law.</w:t>
      </w:r>
    </w:p>
    <w:p w:rsidR="00193564" w:rsidRPr="00933E52" w:rsidP="00193564" w14:paraId="3D5B34AD" w14:textId="77777777">
      <w:pPr>
        <w:pStyle w:val="NoSpacing"/>
        <w:jc w:val="both"/>
        <w:rPr>
          <w:rFonts w:ascii="Arial" w:hAnsi="Arial" w:cs="Arial"/>
          <w:bCs/>
          <w:sz w:val="24"/>
          <w:szCs w:val="24"/>
        </w:rPr>
      </w:pPr>
    </w:p>
    <w:p w:rsidR="00193564" w:rsidRPr="00933E52" w:rsidP="00193564" w14:paraId="6F009495" w14:textId="77777777">
      <w:pPr>
        <w:pStyle w:val="NoSpacing"/>
        <w:jc w:val="both"/>
        <w:rPr>
          <w:rFonts w:ascii="Arial" w:hAnsi="Arial" w:cs="Arial"/>
          <w:bCs/>
          <w:sz w:val="24"/>
          <w:szCs w:val="24"/>
        </w:rPr>
      </w:pPr>
      <w:r w:rsidRPr="00933E52">
        <w:rPr>
          <w:rFonts w:ascii="Arial" w:hAnsi="Arial" w:cs="Arial"/>
          <w:bCs/>
          <w:sz w:val="24"/>
          <w:szCs w:val="24"/>
        </w:rPr>
        <w:t>There are no special circumstances associated with this collection of information.</w:t>
      </w:r>
    </w:p>
    <w:p w:rsidR="00193564" w:rsidRPr="00AD423E" w:rsidP="00193564" w14:paraId="0450F9C4" w14:textId="77777777">
      <w:pPr>
        <w:pStyle w:val="NoSpacing"/>
        <w:jc w:val="both"/>
        <w:rPr>
          <w:rFonts w:ascii="Arial" w:hAnsi="Arial" w:cs="Arial"/>
          <w:bCs/>
          <w:sz w:val="24"/>
          <w:szCs w:val="24"/>
        </w:rPr>
      </w:pPr>
    </w:p>
    <w:p w:rsidR="00193564" w:rsidRPr="00AD423E" w:rsidP="00385CF6" w14:paraId="318A7B64" w14:textId="77777777">
      <w:pPr>
        <w:pStyle w:val="NoSpacing"/>
        <w:numPr>
          <w:ilvl w:val="0"/>
          <w:numId w:val="12"/>
        </w:numPr>
        <w:ind w:left="720" w:hanging="720"/>
        <w:jc w:val="both"/>
        <w:rPr>
          <w:rFonts w:ascii="Arial" w:hAnsi="Arial" w:cs="Arial"/>
          <w:b/>
          <w:bCs/>
          <w:sz w:val="24"/>
          <w:szCs w:val="24"/>
        </w:rPr>
      </w:pPr>
      <w:r w:rsidRPr="00AD423E">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93564" w:rsidRPr="007D02CC" w:rsidP="00193564" w14:paraId="28AC8518" w14:textId="77777777">
      <w:pPr>
        <w:pStyle w:val="NoSpacing"/>
        <w:jc w:val="both"/>
        <w:rPr>
          <w:rFonts w:ascii="Arial" w:hAnsi="Arial" w:cs="Arial"/>
          <w:bCs/>
          <w:sz w:val="24"/>
          <w:szCs w:val="24"/>
        </w:rPr>
      </w:pPr>
    </w:p>
    <w:p w:rsidR="00193564" w:rsidRPr="00AD423E" w:rsidP="786EC198" w14:paraId="4893469D" w14:textId="0A98B8CF">
      <w:pPr>
        <w:tabs>
          <w:tab w:val="left" w:pos="1820"/>
        </w:tabs>
        <w:jc w:val="both"/>
        <w:rPr>
          <w:rFonts w:ascii="Arial" w:eastAsia="Arial" w:hAnsi="Arial" w:cs="Arial"/>
          <w:color w:val="333333"/>
        </w:rPr>
      </w:pPr>
      <w:bookmarkStart w:id="0" w:name="_Hlk146633697"/>
      <w:r w:rsidRPr="4CC9A0B2">
        <w:rPr>
          <w:rFonts w:ascii="Arial" w:eastAsia="Arial" w:hAnsi="Arial" w:cs="Arial"/>
          <w:color w:val="333333"/>
        </w:rPr>
        <w:t>On June 6, 2023, the USPTO published its 60-day notice soliciting public comments on this information collection (88 FR 37039). In response, the USPTO received a total of nine comments. A summary of comments, grouped by subject matter, and the USPTO’s responses follow below.</w:t>
      </w:r>
    </w:p>
    <w:p w:rsidR="00193564" w:rsidRPr="00AD423E" w:rsidP="4CC9A0B2" w14:paraId="059DC04F" w14:textId="2F4D1ABC">
      <w:pPr>
        <w:tabs>
          <w:tab w:val="left" w:pos="1820"/>
        </w:tabs>
        <w:jc w:val="both"/>
        <w:rPr>
          <w:rFonts w:ascii="Arial" w:eastAsia="Arial" w:hAnsi="Arial" w:cs="Arial"/>
          <w:color w:val="333333"/>
        </w:rPr>
      </w:pPr>
    </w:p>
    <w:p w:rsidR="00193564" w:rsidRPr="00AD423E" w:rsidP="4CC9A0B2" w14:paraId="2CC55F41" w14:textId="6B815EFE">
      <w:pPr>
        <w:jc w:val="both"/>
        <w:rPr>
          <w:rFonts w:ascii="Arial" w:eastAsia="Arial" w:hAnsi="Arial" w:cs="Arial"/>
          <w:color w:val="333333"/>
        </w:rPr>
      </w:pPr>
      <w:r w:rsidRPr="5D3F3A68">
        <w:rPr>
          <w:rFonts w:ascii="Arial" w:eastAsia="Arial" w:hAnsi="Arial" w:cs="Arial"/>
        </w:rPr>
        <w:t>In addition, a 30-day notice was published in the Federal Register on September 2</w:t>
      </w:r>
      <w:r w:rsidRPr="5D3F3A68" w:rsidR="2CA6F00A">
        <w:rPr>
          <w:rFonts w:ascii="Arial" w:eastAsia="Arial" w:hAnsi="Arial" w:cs="Arial"/>
        </w:rPr>
        <w:t>7</w:t>
      </w:r>
      <w:r w:rsidRPr="5D3F3A68">
        <w:rPr>
          <w:rFonts w:ascii="Arial" w:eastAsia="Arial" w:hAnsi="Arial" w:cs="Arial"/>
        </w:rPr>
        <w:t xml:space="preserve">, 2023 (88 FR </w:t>
      </w:r>
      <w:r w:rsidR="00366F11">
        <w:rPr>
          <w:rFonts w:ascii="Arial" w:eastAsia="Arial" w:hAnsi="Arial" w:cs="Arial"/>
        </w:rPr>
        <w:t>66414</w:t>
      </w:r>
      <w:r w:rsidRPr="5D3F3A68">
        <w:rPr>
          <w:rFonts w:ascii="Arial" w:eastAsia="Arial" w:hAnsi="Arial" w:cs="Arial"/>
        </w:rPr>
        <w:t xml:space="preserve">). </w:t>
      </w:r>
      <w:r w:rsidR="008830B6">
        <w:rPr>
          <w:rFonts w:ascii="Arial" w:eastAsia="Arial" w:hAnsi="Arial" w:cs="Arial"/>
        </w:rPr>
        <w:t>Responses to those public comments appear after the USPTO’s responses to the public comments received in response to the 60-day notice</w:t>
      </w:r>
      <w:r w:rsidRPr="5D3F3A68">
        <w:rPr>
          <w:rFonts w:ascii="Arial" w:eastAsia="Arial" w:hAnsi="Arial" w:cs="Arial"/>
        </w:rPr>
        <w:t>.</w:t>
      </w:r>
    </w:p>
    <w:p w:rsidR="008830B6" w:rsidP="008830B6" w14:paraId="345C92F4" w14:textId="77777777">
      <w:pPr>
        <w:tabs>
          <w:tab w:val="left" w:pos="1820"/>
        </w:tabs>
        <w:jc w:val="both"/>
        <w:rPr>
          <w:rFonts w:ascii="Arial" w:eastAsia="Arial" w:hAnsi="Arial" w:cs="Arial"/>
          <w:b/>
          <w:bCs/>
          <w:color w:val="333333"/>
        </w:rPr>
      </w:pPr>
    </w:p>
    <w:p w:rsidR="008830B6" w:rsidRPr="008830B6" w:rsidP="008830B6" w14:paraId="43B79B09" w14:textId="69351467">
      <w:pPr>
        <w:tabs>
          <w:tab w:val="left" w:pos="1820"/>
        </w:tabs>
        <w:jc w:val="both"/>
        <w:rPr>
          <w:rFonts w:ascii="Arial" w:eastAsia="Arial" w:hAnsi="Arial" w:cs="Arial"/>
          <w:b/>
          <w:bCs/>
          <w:color w:val="333333"/>
        </w:rPr>
      </w:pPr>
      <w:r w:rsidRPr="008830B6">
        <w:rPr>
          <w:rFonts w:ascii="Arial" w:eastAsia="Arial" w:hAnsi="Arial" w:cs="Arial"/>
          <w:b/>
          <w:bCs/>
          <w:color w:val="333333"/>
        </w:rPr>
        <w:t>Public Feedback on USPTO 60-day Notice</w:t>
      </w:r>
    </w:p>
    <w:p w:rsidR="5D3F3A68" w:rsidP="5D3F3A68" w14:paraId="01A2ECC6" w14:textId="57C6BA82">
      <w:pPr>
        <w:jc w:val="both"/>
        <w:rPr>
          <w:rFonts w:ascii="Arial" w:eastAsia="Arial" w:hAnsi="Arial" w:cs="Arial"/>
        </w:rPr>
      </w:pPr>
    </w:p>
    <w:p w:rsidR="00193564" w:rsidRPr="00AD423E" w:rsidP="786EC198" w14:paraId="6E5CFBE9" w14:textId="62353E9A">
      <w:pPr>
        <w:tabs>
          <w:tab w:val="left" w:pos="1820"/>
        </w:tabs>
        <w:jc w:val="both"/>
        <w:rPr>
          <w:rFonts w:ascii="Arial" w:eastAsia="Arial" w:hAnsi="Arial" w:cs="Arial"/>
          <w:b/>
          <w:bCs/>
        </w:rPr>
      </w:pPr>
      <w:r w:rsidRPr="786EC198">
        <w:rPr>
          <w:rFonts w:ascii="Arial" w:eastAsia="Arial" w:hAnsi="Arial" w:cs="Arial"/>
          <w:b/>
          <w:bCs/>
        </w:rPr>
        <w:t>Comment on the Necessity and Utility of DOCX</w:t>
      </w:r>
    </w:p>
    <w:p w:rsidR="00193564" w:rsidRPr="00AD423E" w:rsidP="786EC198" w14:paraId="36722BC1" w14:textId="1B69D613">
      <w:pPr>
        <w:tabs>
          <w:tab w:val="left" w:pos="1820"/>
        </w:tabs>
        <w:jc w:val="both"/>
        <w:rPr>
          <w:rFonts w:ascii="Arial" w:eastAsia="Arial" w:hAnsi="Arial" w:cs="Arial"/>
        </w:rPr>
      </w:pPr>
    </w:p>
    <w:p w:rsidR="00193564" w:rsidRPr="00AD423E" w:rsidP="786EC198" w14:paraId="26200113" w14:textId="15AF2766">
      <w:pPr>
        <w:tabs>
          <w:tab w:val="left" w:pos="1820"/>
        </w:tabs>
        <w:jc w:val="both"/>
        <w:rPr>
          <w:rFonts w:ascii="Arial" w:eastAsia="Arial" w:hAnsi="Arial" w:cs="Arial"/>
          <w:b/>
          <w:bCs/>
        </w:rPr>
      </w:pPr>
      <w:r w:rsidRPr="786EC198">
        <w:rPr>
          <w:rFonts w:ascii="Arial" w:eastAsia="Arial" w:hAnsi="Arial" w:cs="Arial"/>
          <w:b/>
          <w:bCs/>
        </w:rPr>
        <w:t>Comment 1:</w:t>
      </w:r>
    </w:p>
    <w:p w:rsidR="00193564" w:rsidRPr="00AD423E" w:rsidP="786EC198" w14:paraId="3BA4E9D9" w14:textId="6EE422AF">
      <w:pPr>
        <w:tabs>
          <w:tab w:val="left" w:pos="1820"/>
        </w:tabs>
        <w:jc w:val="both"/>
        <w:rPr>
          <w:rFonts w:ascii="Arial" w:eastAsia="Arial" w:hAnsi="Arial" w:cs="Arial"/>
        </w:rPr>
      </w:pPr>
      <w:r w:rsidRPr="786EC198">
        <w:rPr>
          <w:rFonts w:ascii="Arial" w:eastAsia="Arial" w:hAnsi="Arial" w:cs="Arial"/>
        </w:rPr>
        <w:t>Several commenters appreciated the goal of moving towards a more structured text application driven process. However, commenters asserted that submitting applications in the DOCX format is not necessary for the performance of the functions of the agency. They asserted that the USPTO is currently able to scan PDFs and perform text recognition on the document, and that changing to a new format is not necessary.</w:t>
      </w:r>
    </w:p>
    <w:p w:rsidR="00193564" w:rsidRPr="00AD423E" w:rsidP="786EC198" w14:paraId="42471395" w14:textId="68E5B6C6">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AF773B9" w14:textId="15F03C24">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201384C7" w14:textId="1E04CD6E">
      <w:pPr>
        <w:tabs>
          <w:tab w:val="left" w:pos="1820"/>
        </w:tabs>
        <w:jc w:val="both"/>
        <w:rPr>
          <w:rFonts w:ascii="Arial" w:eastAsia="Arial" w:hAnsi="Arial" w:cs="Arial"/>
        </w:rPr>
      </w:pPr>
      <w:r w:rsidRPr="786EC198">
        <w:rPr>
          <w:rFonts w:ascii="Arial" w:eastAsia="Arial" w:hAnsi="Arial" w:cs="Arial"/>
        </w:rPr>
        <w:t xml:space="preserve">The USPTO is continuing to modernize and streamline its patent application systems to support robust and reliable patent rights, speed the issuance of patents, and reduce the costs and barriers of global patent protection. The submission of patent applications in </w:t>
      </w:r>
      <w:r w:rsidRPr="786EC198">
        <w:rPr>
          <w:rFonts w:ascii="Arial" w:eastAsia="Arial" w:hAnsi="Arial" w:cs="Arial"/>
        </w:rPr>
        <w:t xml:space="preserve">DOCX format facilitates the USPTO’s ongoing efforts. For example, filing in DOCX format: </w:t>
      </w:r>
    </w:p>
    <w:p w:rsidR="00193564" w:rsidRPr="00AD423E" w:rsidP="786EC198" w14:paraId="29EBAB43" w14:textId="5D549826">
      <w:pPr>
        <w:pStyle w:val="ListParagraph"/>
        <w:numPr>
          <w:ilvl w:val="0"/>
          <w:numId w:val="8"/>
        </w:numPr>
        <w:jc w:val="both"/>
        <w:rPr>
          <w:rFonts w:ascii="Arial" w:eastAsia="Arial" w:hAnsi="Arial" w:cs="Arial"/>
        </w:rPr>
      </w:pPr>
      <w:r w:rsidRPr="786EC198">
        <w:rPr>
          <w:rFonts w:ascii="Arial" w:eastAsia="Arial" w:hAnsi="Arial" w:cs="Arial"/>
        </w:rPr>
        <w:t xml:space="preserve">Improves patent application quality by providing content-based validations prior to submission; </w:t>
      </w:r>
    </w:p>
    <w:p w:rsidR="00193564" w:rsidRPr="00AD423E" w:rsidP="786EC198" w14:paraId="4369902D" w14:textId="13C59E3D">
      <w:pPr>
        <w:pStyle w:val="ListParagraph"/>
        <w:numPr>
          <w:ilvl w:val="0"/>
          <w:numId w:val="8"/>
        </w:numPr>
        <w:jc w:val="both"/>
        <w:rPr>
          <w:rFonts w:ascii="Arial" w:eastAsia="Arial" w:hAnsi="Arial" w:cs="Arial"/>
        </w:rPr>
      </w:pPr>
      <w:r w:rsidRPr="786EC198">
        <w:rPr>
          <w:rFonts w:ascii="Arial" w:eastAsia="Arial" w:hAnsi="Arial" w:cs="Arial"/>
        </w:rPr>
        <w:t xml:space="preserve">Provides automated document indexing; </w:t>
      </w:r>
    </w:p>
    <w:p w:rsidR="00193564" w:rsidRPr="00AD423E" w:rsidP="786EC198" w14:paraId="04D6CDDB" w14:textId="519991DD">
      <w:pPr>
        <w:pStyle w:val="ListParagraph"/>
        <w:numPr>
          <w:ilvl w:val="0"/>
          <w:numId w:val="8"/>
        </w:numPr>
        <w:jc w:val="both"/>
        <w:rPr>
          <w:rFonts w:ascii="Arial" w:eastAsia="Arial" w:hAnsi="Arial" w:cs="Arial"/>
        </w:rPr>
      </w:pPr>
      <w:r w:rsidRPr="786EC198">
        <w:rPr>
          <w:rFonts w:ascii="Arial" w:eastAsia="Arial" w:hAnsi="Arial" w:cs="Arial"/>
        </w:rPr>
        <w:t xml:space="preserve">Improves downstream reuse of content by applicants and the USPTO; </w:t>
      </w:r>
    </w:p>
    <w:p w:rsidR="00193564" w:rsidRPr="00AD423E" w:rsidP="786EC198" w14:paraId="13537B74" w14:textId="751345FF">
      <w:pPr>
        <w:pStyle w:val="ListParagraph"/>
        <w:numPr>
          <w:ilvl w:val="0"/>
          <w:numId w:val="8"/>
        </w:numPr>
        <w:jc w:val="both"/>
        <w:rPr>
          <w:rFonts w:ascii="Arial" w:eastAsia="Arial" w:hAnsi="Arial" w:cs="Arial"/>
        </w:rPr>
      </w:pPr>
      <w:r w:rsidRPr="786EC198">
        <w:rPr>
          <w:rFonts w:ascii="Arial" w:eastAsia="Arial" w:hAnsi="Arial" w:cs="Arial"/>
        </w:rPr>
        <w:t xml:space="preserve">Improves searches for patent applications; and </w:t>
      </w:r>
    </w:p>
    <w:p w:rsidR="00193564" w:rsidRPr="00AD423E" w:rsidP="786EC198" w14:paraId="533BFA11" w14:textId="6945462A">
      <w:pPr>
        <w:pStyle w:val="ListParagraph"/>
        <w:numPr>
          <w:ilvl w:val="0"/>
          <w:numId w:val="8"/>
        </w:numPr>
        <w:jc w:val="both"/>
        <w:rPr>
          <w:rFonts w:ascii="Arial" w:eastAsia="Arial" w:hAnsi="Arial" w:cs="Arial"/>
        </w:rPr>
      </w:pPr>
      <w:r w:rsidRPr="786EC198">
        <w:rPr>
          <w:rFonts w:ascii="Arial" w:eastAsia="Arial" w:hAnsi="Arial" w:cs="Arial"/>
        </w:rPr>
        <w:t xml:space="preserve">Eliminates the need for patent applicants to convert structured text to PDF format. </w:t>
      </w:r>
    </w:p>
    <w:p w:rsidR="00193564" w:rsidRPr="00AD423E" w:rsidP="786EC198" w14:paraId="6119A39A" w14:textId="4E88B1B4">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0CC5686E" w14:textId="37FE9F27">
      <w:pPr>
        <w:tabs>
          <w:tab w:val="left" w:pos="1820"/>
        </w:tabs>
        <w:jc w:val="both"/>
        <w:rPr>
          <w:rFonts w:ascii="Arial" w:eastAsia="Arial" w:hAnsi="Arial" w:cs="Arial"/>
          <w:color w:val="333333"/>
        </w:rPr>
      </w:pPr>
      <w:r w:rsidRPr="786EC198">
        <w:rPr>
          <w:rFonts w:ascii="Arial" w:eastAsia="Arial" w:hAnsi="Arial" w:cs="Arial"/>
          <w:color w:val="333333"/>
        </w:rPr>
        <w:t>The DOCX filing format aligns with the USPTO’s plans to expand automation of the patent application process, which will increase efficiencies and reduce costs for applicants and the USPTO.</w:t>
      </w:r>
    </w:p>
    <w:p w:rsidR="00193564" w:rsidRPr="00AD423E" w:rsidP="786EC198" w14:paraId="096FF4A8" w14:textId="56F075F9">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3AFFC7F8" w14:textId="38D9F12B">
      <w:pPr>
        <w:tabs>
          <w:tab w:val="left" w:pos="1820"/>
        </w:tabs>
        <w:jc w:val="both"/>
        <w:rPr>
          <w:rFonts w:ascii="Arial" w:eastAsia="Arial" w:hAnsi="Arial" w:cs="Arial"/>
          <w:b/>
          <w:bCs/>
        </w:rPr>
      </w:pPr>
      <w:r w:rsidRPr="786EC198">
        <w:rPr>
          <w:rFonts w:ascii="Arial" w:eastAsia="Arial" w:hAnsi="Arial" w:cs="Arial"/>
          <w:b/>
          <w:bCs/>
        </w:rPr>
        <w:t>Concerns with DOCX File Format</w:t>
      </w:r>
    </w:p>
    <w:p w:rsidR="00193564" w:rsidRPr="00AD423E" w:rsidP="786EC198" w14:paraId="3166A9ED" w14:textId="01F730BA">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6F4E0B60" w14:textId="16AE54AE">
      <w:pPr>
        <w:tabs>
          <w:tab w:val="left" w:pos="1820"/>
        </w:tabs>
        <w:jc w:val="both"/>
        <w:rPr>
          <w:rFonts w:ascii="Arial" w:eastAsia="Arial" w:hAnsi="Arial" w:cs="Arial"/>
          <w:b/>
          <w:bCs/>
        </w:rPr>
      </w:pPr>
      <w:r w:rsidRPr="786EC198">
        <w:rPr>
          <w:rFonts w:ascii="Arial" w:eastAsia="Arial" w:hAnsi="Arial" w:cs="Arial"/>
          <w:b/>
          <w:bCs/>
        </w:rPr>
        <w:t>Comment 2:</w:t>
      </w:r>
    </w:p>
    <w:p w:rsidR="00193564" w:rsidRPr="00AD423E" w:rsidP="786EC198" w14:paraId="1D371B53" w14:textId="67F786AC">
      <w:pPr>
        <w:tabs>
          <w:tab w:val="left" w:pos="1820"/>
        </w:tabs>
        <w:jc w:val="both"/>
        <w:rPr>
          <w:rFonts w:ascii="Arial" w:eastAsia="Arial" w:hAnsi="Arial" w:cs="Arial"/>
        </w:rPr>
      </w:pPr>
      <w:r w:rsidRPr="786EC198">
        <w:rPr>
          <w:rFonts w:ascii="Arial" w:eastAsia="Arial" w:hAnsi="Arial" w:cs="Arial"/>
        </w:rPr>
        <w:t xml:space="preserve">Some commenters asserted the DOCX was not a static format. They were concerned about Microsoft Corporation owning the file format, thus making it subject to changes by that corporate entity. One commenter asserted that there does not exist a single “DOCX format.” Also, another commenter asserted that the DOCX format is not part of the Office Open XML (OOXML) standard. The preference of these commenters is the PDF format, which they viewed as more stable. Some commenters expressed concern that only 80% of patent applicants use Microsoft Word as the software supporting their document creation. </w:t>
      </w:r>
    </w:p>
    <w:p w:rsidR="00193564" w:rsidRPr="00AD423E" w:rsidP="786EC198" w14:paraId="29161AC6" w14:textId="0C77E480">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352839ED" w14:textId="7D8989D2">
      <w:pPr>
        <w:tabs>
          <w:tab w:val="left" w:pos="1820"/>
        </w:tabs>
        <w:jc w:val="both"/>
        <w:rPr>
          <w:rFonts w:ascii="Arial" w:eastAsia="Arial" w:hAnsi="Arial" w:cs="Arial"/>
          <w:b/>
          <w:bCs/>
        </w:rPr>
      </w:pPr>
      <w:r w:rsidRPr="786EC198">
        <w:rPr>
          <w:rFonts w:ascii="Arial" w:eastAsia="Arial" w:hAnsi="Arial" w:cs="Arial"/>
          <w:b/>
          <w:bCs/>
        </w:rPr>
        <w:t xml:space="preserve">Response: </w:t>
      </w:r>
    </w:p>
    <w:p w:rsidR="00193564" w:rsidRPr="00AD423E" w:rsidP="786EC198" w14:paraId="6E155AEC" w14:textId="04943C72">
      <w:pPr>
        <w:tabs>
          <w:tab w:val="left" w:pos="1820"/>
        </w:tabs>
        <w:jc w:val="both"/>
        <w:rPr>
          <w:rFonts w:ascii="Arial" w:eastAsia="Arial" w:hAnsi="Arial" w:cs="Arial"/>
        </w:rPr>
      </w:pPr>
      <w:r w:rsidRPr="786EC198">
        <w:rPr>
          <w:rFonts w:ascii="Arial" w:eastAsia="Arial" w:hAnsi="Arial" w:cs="Arial"/>
        </w:rPr>
        <w:t xml:space="preserve">DOCX is a word-processing file format that is part of OOXML, an XML-based open standard approved by the Ecma International® consortium and subsequently by the ISO/IEC joint technical committee. For more information about the OOXML standard, please see: </w:t>
      </w:r>
    </w:p>
    <w:p w:rsidR="005973F2" w:rsidRPr="005973F2" w:rsidP="005973F2" w14:paraId="54DEDCDD" w14:textId="382C668A">
      <w:pPr>
        <w:pStyle w:val="ListParagraph"/>
        <w:numPr>
          <w:ilvl w:val="0"/>
          <w:numId w:val="3"/>
        </w:numPr>
        <w:rPr>
          <w:rFonts w:ascii="Arial" w:eastAsia="Arial" w:hAnsi="Arial" w:cs="Arial"/>
        </w:rPr>
      </w:pPr>
      <w:r w:rsidRPr="005973F2">
        <w:rPr>
          <w:rFonts w:ascii="Arial" w:eastAsia="Arial" w:hAnsi="Arial" w:cs="Arial"/>
        </w:rPr>
        <w:t xml:space="preserve">ECMA–376 at </w:t>
      </w:r>
      <w:hyperlink r:id="rId10" w:history="1">
        <w:r w:rsidRPr="005973F2">
          <w:rPr>
            <w:rStyle w:val="Hyperlink"/>
            <w:rFonts w:ascii="Arial" w:hAnsi="Arial" w:cs="Arial"/>
          </w:rPr>
          <w:t>https://www.ecma-international.org/publications-and-standards/standards/ecma-376/</w:t>
        </w:r>
      </w:hyperlink>
      <w:r>
        <w:rPr>
          <w:rFonts w:ascii="Arial" w:hAnsi="Arial" w:cs="Arial"/>
        </w:rPr>
        <w:t>;</w:t>
      </w:r>
    </w:p>
    <w:p w:rsidR="005973F2" w:rsidRPr="005973F2" w:rsidP="005973F2" w14:paraId="2D9FBD7A" w14:textId="4376C7AB">
      <w:pPr>
        <w:pStyle w:val="ListParagraph"/>
        <w:numPr>
          <w:ilvl w:val="0"/>
          <w:numId w:val="3"/>
        </w:numPr>
        <w:rPr>
          <w:rFonts w:ascii="Arial" w:eastAsia="Arial" w:hAnsi="Arial" w:cs="Arial"/>
        </w:rPr>
      </w:pPr>
      <w:r w:rsidRPr="005973F2">
        <w:rPr>
          <w:rFonts w:ascii="Arial" w:eastAsia="Arial" w:hAnsi="Arial" w:cs="Arial"/>
        </w:rPr>
        <w:t xml:space="preserve">ISO/IEC 29500 at </w:t>
      </w:r>
      <w:hyperlink r:id="rId11" w:history="1">
        <w:r w:rsidRPr="005973F2">
          <w:rPr>
            <w:rStyle w:val="Hyperlink"/>
            <w:rFonts w:ascii="Arial" w:eastAsia="Arial" w:hAnsi="Arial" w:cs="Arial"/>
          </w:rPr>
          <w:t>https://www.iso.org/committee/45374/x/catalogue/</w:t>
        </w:r>
      </w:hyperlink>
      <w:r>
        <w:rPr>
          <w:rFonts w:ascii="Arial" w:eastAsia="Arial" w:hAnsi="Arial" w:cs="Arial"/>
        </w:rPr>
        <w:t>; and</w:t>
      </w:r>
    </w:p>
    <w:p w:rsidR="00193564" w:rsidRPr="005973F2" w:rsidP="005973F2" w14:paraId="13D401EA" w14:textId="440275EA">
      <w:pPr>
        <w:pStyle w:val="ListParagraph"/>
        <w:numPr>
          <w:ilvl w:val="0"/>
          <w:numId w:val="3"/>
        </w:numPr>
        <w:rPr>
          <w:rFonts w:ascii="Arial" w:eastAsia="Arial" w:hAnsi="Arial" w:cs="Arial"/>
          <w:u w:val="single"/>
        </w:rPr>
      </w:pPr>
      <w:r w:rsidRPr="005973F2">
        <w:rPr>
          <w:rFonts w:ascii="Arial" w:eastAsia="Arial" w:hAnsi="Arial" w:cs="Arial"/>
          <w:i/>
          <w:iCs/>
        </w:rPr>
        <w:t xml:space="preserve">NIST </w:t>
      </w:r>
      <w:r w:rsidRPr="005973F2" w:rsidR="005973F2">
        <w:rPr>
          <w:rFonts w:ascii="Arial" w:eastAsia="Arial" w:hAnsi="Arial" w:cs="Arial"/>
          <w:i/>
          <w:iCs/>
        </w:rPr>
        <w:t>V</w:t>
      </w:r>
      <w:r w:rsidRPr="005973F2">
        <w:rPr>
          <w:rFonts w:ascii="Arial" w:eastAsia="Arial" w:hAnsi="Arial" w:cs="Arial"/>
          <w:i/>
          <w:iCs/>
        </w:rPr>
        <w:t>otes for U</w:t>
      </w:r>
      <w:r w:rsidRPr="005973F2" w:rsidR="005973F2">
        <w:rPr>
          <w:rFonts w:ascii="Arial" w:eastAsia="Arial" w:hAnsi="Arial" w:cs="Arial"/>
          <w:i/>
          <w:iCs/>
        </w:rPr>
        <w:t>.</w:t>
      </w:r>
      <w:r w:rsidRPr="005973F2">
        <w:rPr>
          <w:rFonts w:ascii="Arial" w:eastAsia="Arial" w:hAnsi="Arial" w:cs="Arial"/>
          <w:i/>
          <w:iCs/>
        </w:rPr>
        <w:t xml:space="preserve">S. Approval of </w:t>
      </w:r>
      <w:r w:rsidRPr="005973F2" w:rsidR="005973F2">
        <w:rPr>
          <w:rFonts w:ascii="Arial" w:eastAsia="Arial" w:hAnsi="Arial" w:cs="Arial"/>
          <w:i/>
          <w:iCs/>
        </w:rPr>
        <w:t xml:space="preserve">the Modified </w:t>
      </w:r>
      <w:r w:rsidRPr="005973F2">
        <w:rPr>
          <w:rFonts w:ascii="Arial" w:eastAsia="Arial" w:hAnsi="Arial" w:cs="Arial"/>
          <w:i/>
          <w:iCs/>
        </w:rPr>
        <w:t xml:space="preserve">OOXML </w:t>
      </w:r>
      <w:r w:rsidRPr="005973F2" w:rsidR="005973F2">
        <w:rPr>
          <w:rFonts w:ascii="Arial" w:eastAsia="Arial" w:hAnsi="Arial" w:cs="Arial"/>
          <w:i/>
          <w:iCs/>
        </w:rPr>
        <w:t>Standard</w:t>
      </w:r>
      <w:r w:rsidRPr="005973F2" w:rsidR="005973F2">
        <w:rPr>
          <w:rFonts w:ascii="Arial" w:eastAsia="Arial" w:hAnsi="Arial" w:cs="Arial"/>
        </w:rPr>
        <w:t xml:space="preserve"> </w:t>
      </w:r>
      <w:r w:rsidRPr="005973F2">
        <w:rPr>
          <w:rFonts w:ascii="Arial" w:eastAsia="Arial" w:hAnsi="Arial" w:cs="Arial"/>
        </w:rPr>
        <w:t xml:space="preserve">at </w:t>
      </w:r>
      <w:hyperlink r:id="rId12" w:history="1">
        <w:r w:rsidRPr="005973F2">
          <w:rPr>
            <w:rStyle w:val="Hyperlink"/>
            <w:rFonts w:ascii="Arial" w:eastAsia="Arial" w:hAnsi="Arial" w:cs="Arial"/>
            <w:color w:val="auto"/>
          </w:rPr>
          <w:t>https://www.nist.gov/news-events/news/2008/03/nist-votes-us-approval-modified-office-open-xml-standard</w:t>
        </w:r>
      </w:hyperlink>
      <w:r w:rsidR="005973F2">
        <w:t>.</w:t>
      </w:r>
    </w:p>
    <w:p w:rsidR="00193564" w:rsidRPr="00AD423E" w:rsidP="786EC198" w14:paraId="20813257" w14:textId="7475CE70">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007CF18A" w14:textId="0115530F">
      <w:pPr>
        <w:tabs>
          <w:tab w:val="left" w:pos="1820"/>
        </w:tabs>
        <w:jc w:val="both"/>
        <w:rPr>
          <w:rFonts w:ascii="Arial" w:eastAsia="Arial" w:hAnsi="Arial" w:cs="Arial"/>
        </w:rPr>
      </w:pPr>
      <w:r w:rsidRPr="786EC198">
        <w:rPr>
          <w:rFonts w:ascii="Arial" w:eastAsia="Arial" w:hAnsi="Arial" w:cs="Arial"/>
        </w:rPr>
        <w:t xml:space="preserve">Like the PDF standard, DOCX presents documents, including text and formatting, in a manner that is independent of software, hardware, or operating system. A particular operating system will have its own process for interpreting and showing those text and format elements. However, the DOCX file is itself a stable carrier for the textual elements of the document. The open standard means that anyone has access to the information that guides the DOCX standard’s use of information. This is similar to the PDF format which also has corporate ownership and has an ISO standard. This means that both PDF and DOCX present documents, including text and formatting, in a manner independent of software, hardware or operating systems. The DOCX format, being open source, is available to users of most every document processing application or software options </w:t>
      </w:r>
      <w:r w:rsidRPr="786EC198">
        <w:rPr>
          <w:rFonts w:ascii="Arial" w:eastAsia="Arial" w:hAnsi="Arial" w:cs="Arial"/>
        </w:rPr>
        <w:t>including Google docs and Apple products. DOCX is backward compatible and supported by many popular word processing applications, such as Microsoft Word 2007 or higher, Google Docs, Office Online, LibreOffice, and Pages for Mac. The USPTO</w:t>
      </w:r>
      <w:r w:rsidRPr="786EC198">
        <w:rPr>
          <w:rFonts w:ascii="Arial" w:eastAsia="Arial" w:hAnsi="Arial" w:cs="Arial"/>
          <w:color w:val="333333"/>
        </w:rPr>
        <w:t xml:space="preserve"> performs regular regression testing using different DOCX documents, including different versions of Microsoft Word, Google Docs, Pages for Mac, to ensure that these options are available for patent applicants. </w:t>
      </w:r>
      <w:r w:rsidRPr="786EC198">
        <w:rPr>
          <w:rFonts w:ascii="Arial" w:eastAsia="Arial" w:hAnsi="Arial" w:cs="Arial"/>
        </w:rPr>
        <w:t>Thus, an applicant does not have to use Microsoft Word in order to create a DOCX file, nor be concerned about using a specific version of DOCX.</w:t>
      </w:r>
    </w:p>
    <w:p w:rsidR="00193564" w:rsidRPr="00AD423E" w:rsidP="786EC198" w14:paraId="6B9987D3" w14:textId="2DEDB66D">
      <w:pPr>
        <w:tabs>
          <w:tab w:val="left" w:pos="1820"/>
        </w:tabs>
        <w:jc w:val="both"/>
        <w:rPr>
          <w:rFonts w:ascii="Arial" w:eastAsia="Arial" w:hAnsi="Arial" w:cs="Arial"/>
          <w:color w:val="333333"/>
        </w:rPr>
      </w:pPr>
      <w:r w:rsidRPr="786EC198">
        <w:rPr>
          <w:rFonts w:ascii="Arial" w:eastAsia="Arial" w:hAnsi="Arial" w:cs="Arial"/>
          <w:color w:val="333333"/>
        </w:rPr>
        <w:t xml:space="preserve"> </w:t>
      </w:r>
    </w:p>
    <w:p w:rsidR="00193564" w:rsidRPr="00AD423E" w:rsidP="786EC198" w14:paraId="175FD1AB" w14:textId="0EECE41B">
      <w:pPr>
        <w:tabs>
          <w:tab w:val="left" w:pos="1820"/>
        </w:tabs>
        <w:jc w:val="both"/>
        <w:rPr>
          <w:rFonts w:ascii="Arial" w:eastAsia="Arial" w:hAnsi="Arial" w:cs="Arial"/>
          <w:b/>
          <w:bCs/>
        </w:rPr>
      </w:pPr>
      <w:r w:rsidRPr="786EC198">
        <w:rPr>
          <w:rFonts w:ascii="Arial" w:eastAsia="Arial" w:hAnsi="Arial" w:cs="Arial"/>
          <w:b/>
          <w:bCs/>
        </w:rPr>
        <w:t xml:space="preserve">Comment 3: </w:t>
      </w:r>
    </w:p>
    <w:p w:rsidR="00193564" w:rsidRPr="00AD423E" w:rsidP="786EC198" w14:paraId="7E8C86A1" w14:textId="04C60FF4">
      <w:pPr>
        <w:tabs>
          <w:tab w:val="left" w:pos="1820"/>
        </w:tabs>
        <w:jc w:val="both"/>
        <w:rPr>
          <w:rFonts w:ascii="Arial" w:eastAsia="Arial" w:hAnsi="Arial" w:cs="Arial"/>
        </w:rPr>
      </w:pPr>
      <w:r w:rsidRPr="786EC198">
        <w:rPr>
          <w:rFonts w:ascii="Arial" w:eastAsia="Arial" w:hAnsi="Arial" w:cs="Arial"/>
        </w:rPr>
        <w:t>Some commenters expressed concern that errors would be introduced into applications submitted in the DOCX file format because USPTO systems are unable to recognize various technical symbols and characters, and thus may render them incorrectly. For example, commenters expressed concern that DOCX files containing mathematical equations, chemical formulas, tables, or special fonts may get corrupted.</w:t>
      </w:r>
    </w:p>
    <w:p w:rsidR="00193564" w:rsidRPr="00AD423E" w:rsidP="786EC198" w14:paraId="110C81B3" w14:textId="096195C8">
      <w:pPr>
        <w:tabs>
          <w:tab w:val="left" w:pos="1820"/>
        </w:tabs>
        <w:jc w:val="both"/>
        <w:rPr>
          <w:rFonts w:ascii="Arial" w:eastAsia="Arial" w:hAnsi="Arial" w:cs="Arial"/>
        </w:rPr>
      </w:pPr>
    </w:p>
    <w:p w:rsidR="00193564" w:rsidRPr="00AD423E" w:rsidP="786EC198" w14:paraId="0F85F2FF" w14:textId="1A8F3F32">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541866FA" w14:textId="5F0FEC1C">
      <w:pPr>
        <w:tabs>
          <w:tab w:val="left" w:pos="1820"/>
        </w:tabs>
        <w:jc w:val="both"/>
        <w:rPr>
          <w:rFonts w:ascii="Arial" w:eastAsia="Arial" w:hAnsi="Arial" w:cs="Arial"/>
        </w:rPr>
      </w:pPr>
      <w:r w:rsidRPr="786EC198">
        <w:rPr>
          <w:rFonts w:ascii="Arial" w:eastAsia="Arial" w:hAnsi="Arial" w:cs="Arial"/>
        </w:rPr>
        <w:t xml:space="preserve">The USPTO performs continuous testing of DOCX format files, including sample files that include mathematical equations, chemical formulas, tables, and special fonts. Recent results have shown very few issues with the conversion of these data types, and as of </w:t>
      </w:r>
      <w:r w:rsidR="00CF5F46">
        <w:rPr>
          <w:rFonts w:ascii="Arial" w:eastAsia="Arial" w:hAnsi="Arial" w:cs="Arial"/>
        </w:rPr>
        <w:t xml:space="preserve">December </w:t>
      </w:r>
      <w:r w:rsidRPr="786EC198">
        <w:rPr>
          <w:rFonts w:ascii="Arial" w:eastAsia="Arial" w:hAnsi="Arial" w:cs="Arial"/>
        </w:rPr>
        <w:t xml:space="preserve">2023, only </w:t>
      </w:r>
      <w:r w:rsidR="00CF5F46">
        <w:rPr>
          <w:rFonts w:ascii="Arial" w:eastAsia="Arial" w:hAnsi="Arial" w:cs="Arial"/>
        </w:rPr>
        <w:t xml:space="preserve">seven </w:t>
      </w:r>
      <w:r w:rsidRPr="786EC198">
        <w:rPr>
          <w:rFonts w:ascii="Arial" w:eastAsia="Arial" w:hAnsi="Arial" w:cs="Arial"/>
        </w:rPr>
        <w:t xml:space="preserve">petitions have been received relating to a conversion of data type error out of 183,685 total applications </w:t>
      </w:r>
      <w:r w:rsidR="00952510">
        <w:rPr>
          <w:rFonts w:ascii="Arial" w:eastAsia="Arial" w:hAnsi="Arial" w:cs="Arial"/>
        </w:rPr>
        <w:t xml:space="preserve">(including national stage entry applications and provisional applications, in addition to utility nonprovisional </w:t>
      </w:r>
      <w:r w:rsidR="00155675">
        <w:rPr>
          <w:rFonts w:ascii="Arial" w:eastAsia="Arial" w:hAnsi="Arial" w:cs="Arial"/>
        </w:rPr>
        <w:t xml:space="preserve">111(a) </w:t>
      </w:r>
      <w:r w:rsidR="00952510">
        <w:rPr>
          <w:rFonts w:ascii="Arial" w:eastAsia="Arial" w:hAnsi="Arial" w:cs="Arial"/>
        </w:rPr>
        <w:t xml:space="preserve">applications) </w:t>
      </w:r>
      <w:r w:rsidRPr="786EC198">
        <w:rPr>
          <w:rFonts w:ascii="Arial" w:eastAsia="Arial" w:hAnsi="Arial" w:cs="Arial"/>
        </w:rPr>
        <w:t>submitted in DOCX</w:t>
      </w:r>
      <w:r w:rsidR="002E0249">
        <w:rPr>
          <w:rFonts w:ascii="Arial" w:eastAsia="Arial" w:hAnsi="Arial" w:cs="Arial"/>
        </w:rPr>
        <w:t xml:space="preserve"> since the USPTO began accepting new applications in the DOCX format</w:t>
      </w:r>
      <w:r w:rsidRPr="786EC198">
        <w:rPr>
          <w:rFonts w:ascii="Arial" w:eastAsia="Arial" w:hAnsi="Arial" w:cs="Arial"/>
        </w:rPr>
        <w:t xml:space="preserve">. </w:t>
      </w:r>
    </w:p>
    <w:p w:rsidR="00193564" w:rsidRPr="00AD423E" w:rsidP="786EC198" w14:paraId="1C39DAAB" w14:textId="476746FD">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0B54B09" w14:textId="366C9D58">
      <w:pPr>
        <w:tabs>
          <w:tab w:val="left" w:pos="1820"/>
        </w:tabs>
        <w:jc w:val="both"/>
        <w:rPr>
          <w:rFonts w:ascii="Arial" w:eastAsia="Arial" w:hAnsi="Arial" w:cs="Arial"/>
        </w:rPr>
      </w:pPr>
      <w:r w:rsidRPr="786EC198">
        <w:rPr>
          <w:rFonts w:ascii="Arial" w:eastAsia="Arial" w:hAnsi="Arial" w:cs="Arial"/>
        </w:rPr>
        <w:t xml:space="preserve">The USPTO has addressed many past issues with mathematical equations, complicated structures in chemical and biochemical patent applications, and tables so that they are properly rendered. </w:t>
      </w:r>
      <w:r w:rsidR="00BC4024">
        <w:rPr>
          <w:rFonts w:ascii="Arial" w:eastAsia="Arial" w:hAnsi="Arial" w:cs="Arial"/>
        </w:rPr>
        <w:t xml:space="preserve">For example, </w:t>
      </w:r>
      <w:r w:rsidR="00343147">
        <w:rPr>
          <w:rFonts w:ascii="Arial" w:eastAsia="Arial" w:hAnsi="Arial" w:cs="Arial"/>
        </w:rPr>
        <w:t>for a brief period of time</w:t>
      </w:r>
      <w:r w:rsidR="006D3D88">
        <w:rPr>
          <w:rFonts w:ascii="Arial" w:eastAsia="Arial" w:hAnsi="Arial" w:cs="Arial"/>
        </w:rPr>
        <w:t xml:space="preserve">, some applicants may have encountered </w:t>
      </w:r>
      <w:r w:rsidR="003D7F6F">
        <w:rPr>
          <w:rFonts w:ascii="Arial" w:eastAsia="Arial" w:hAnsi="Arial" w:cs="Arial"/>
        </w:rPr>
        <w:t xml:space="preserve">an </w:t>
      </w:r>
      <w:r w:rsidR="006D3D88">
        <w:rPr>
          <w:rFonts w:ascii="Arial" w:eastAsia="Arial" w:hAnsi="Arial" w:cs="Arial"/>
        </w:rPr>
        <w:t xml:space="preserve">issue in which equations </w:t>
      </w:r>
      <w:r w:rsidR="003D7F6F">
        <w:rPr>
          <w:rFonts w:ascii="Arial" w:eastAsia="Arial" w:hAnsi="Arial" w:cs="Arial"/>
        </w:rPr>
        <w:t xml:space="preserve">presented in certain fonts in DOCX filings </w:t>
      </w:r>
      <w:r w:rsidR="006D3D88">
        <w:rPr>
          <w:rFonts w:ascii="Arial" w:eastAsia="Arial" w:hAnsi="Arial" w:cs="Arial"/>
        </w:rPr>
        <w:t xml:space="preserve">were not rendered accurately in the </w:t>
      </w:r>
      <w:r w:rsidR="003D7F6F">
        <w:rPr>
          <w:rFonts w:ascii="Arial" w:eastAsia="Arial" w:hAnsi="Arial" w:cs="Arial"/>
        </w:rPr>
        <w:t xml:space="preserve">downstream </w:t>
      </w:r>
      <w:r w:rsidR="006D3D88">
        <w:rPr>
          <w:rFonts w:ascii="Arial" w:eastAsia="Arial" w:hAnsi="Arial" w:cs="Arial"/>
        </w:rPr>
        <w:t>documents generated by the USPTO</w:t>
      </w:r>
      <w:r w:rsidR="00343147">
        <w:rPr>
          <w:rFonts w:ascii="Arial" w:eastAsia="Arial" w:hAnsi="Arial" w:cs="Arial"/>
        </w:rPr>
        <w:t xml:space="preserve">. </w:t>
      </w:r>
      <w:r w:rsidR="003D7F6F">
        <w:rPr>
          <w:rFonts w:ascii="Arial" w:eastAsia="Arial" w:hAnsi="Arial" w:cs="Arial"/>
        </w:rPr>
        <w:t xml:space="preserve">At no time was there an issue with the DOCX filing which served as the authoritative document. </w:t>
      </w:r>
      <w:r w:rsidR="00343147">
        <w:rPr>
          <w:rFonts w:ascii="Arial" w:eastAsia="Arial" w:hAnsi="Arial" w:cs="Arial"/>
        </w:rPr>
        <w:t>A</w:t>
      </w:r>
      <w:r w:rsidR="009C0DCA">
        <w:rPr>
          <w:rFonts w:ascii="Arial" w:eastAsia="Arial" w:hAnsi="Arial" w:cs="Arial"/>
        </w:rPr>
        <w:t xml:space="preserve">s of May 2023, </w:t>
      </w:r>
      <w:r w:rsidR="003D7F6F">
        <w:rPr>
          <w:rFonts w:ascii="Arial" w:eastAsia="Arial" w:hAnsi="Arial" w:cs="Arial"/>
        </w:rPr>
        <w:t xml:space="preserve">the USPTO resolved this issue and </w:t>
      </w:r>
      <w:r w:rsidR="009C0DCA">
        <w:rPr>
          <w:rFonts w:ascii="Arial" w:eastAsia="Arial" w:hAnsi="Arial" w:cs="Arial"/>
        </w:rPr>
        <w:t xml:space="preserve">all supported fonts can be used in equations included within a DOCX filing without creating a rendering issue in downstream documents generated by the USPTO. As another example, in </w:t>
      </w:r>
      <w:r w:rsidR="00BC4024">
        <w:rPr>
          <w:rFonts w:ascii="Arial" w:eastAsia="Arial" w:hAnsi="Arial" w:cs="Arial"/>
        </w:rPr>
        <w:t>September 2023, the USPTO resolved an issue with i</w:t>
      </w:r>
      <w:r w:rsidRPr="00BC4024" w:rsidR="00BC4024">
        <w:rPr>
          <w:rFonts w:ascii="Arial" w:eastAsia="Arial" w:hAnsi="Arial" w:cs="Arial"/>
        </w:rPr>
        <w:t>mages</w:t>
      </w:r>
      <w:r w:rsidR="003D7F6F">
        <w:rPr>
          <w:rFonts w:ascii="Arial" w:eastAsia="Arial" w:hAnsi="Arial" w:cs="Arial"/>
        </w:rPr>
        <w:t xml:space="preserve">, including images of equations and formulas embedded as </w:t>
      </w:r>
      <w:r w:rsidR="00BC4024">
        <w:rPr>
          <w:rFonts w:ascii="Arial" w:eastAsia="Arial" w:hAnsi="Arial" w:cs="Arial"/>
        </w:rPr>
        <w:t xml:space="preserve">Scalable Vector Graphics (SVG) </w:t>
      </w:r>
      <w:r w:rsidRPr="00BC4024" w:rsidR="00BC4024">
        <w:rPr>
          <w:rFonts w:ascii="Arial" w:eastAsia="Arial" w:hAnsi="Arial" w:cs="Arial"/>
        </w:rPr>
        <w:t>format</w:t>
      </w:r>
      <w:r w:rsidR="003D7F6F">
        <w:rPr>
          <w:rFonts w:ascii="Arial" w:eastAsia="Arial" w:hAnsi="Arial" w:cs="Arial"/>
        </w:rPr>
        <w:t>,</w:t>
      </w:r>
      <w:r w:rsidR="00BC4024">
        <w:rPr>
          <w:rFonts w:ascii="Arial" w:eastAsia="Arial" w:hAnsi="Arial" w:cs="Arial"/>
        </w:rPr>
        <w:t xml:space="preserve"> that</w:t>
      </w:r>
      <w:r w:rsidRPr="00BC4024" w:rsidR="00BC4024">
        <w:rPr>
          <w:rFonts w:ascii="Arial" w:eastAsia="Arial" w:hAnsi="Arial" w:cs="Arial"/>
        </w:rPr>
        <w:t xml:space="preserve"> were not supported in multi-section DOCX documents. </w:t>
      </w:r>
      <w:r w:rsidRPr="786EC198">
        <w:rPr>
          <w:rFonts w:ascii="Arial" w:eastAsia="Arial" w:hAnsi="Arial" w:cs="Arial"/>
        </w:rPr>
        <w:t>The USPTO continuously performs rigorous testing to ensure that document integrity is preserved across document format types. Any applicant who previously tried to file using DOCX and encountered any issues, reported or otherwise, should find those issues resolved if they use the DOCX filing option again.</w:t>
      </w:r>
    </w:p>
    <w:p w:rsidR="00193564" w:rsidRPr="00AD423E" w:rsidP="786EC198" w14:paraId="1020C96F" w14:textId="2DF7E9D0">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4DE76581" w14:textId="789AA58A">
      <w:pPr>
        <w:tabs>
          <w:tab w:val="left" w:pos="1820"/>
        </w:tabs>
        <w:jc w:val="both"/>
        <w:rPr>
          <w:rFonts w:ascii="Arial" w:eastAsia="Arial" w:hAnsi="Arial" w:cs="Arial"/>
        </w:rPr>
      </w:pPr>
      <w:r w:rsidRPr="786EC198">
        <w:rPr>
          <w:rFonts w:ascii="Arial" w:eastAsia="Arial" w:hAnsi="Arial" w:cs="Arial"/>
        </w:rPr>
        <w:t xml:space="preserve">The USPTO’s DOCX support web page, located at </w:t>
      </w:r>
      <w:hyperlink r:id="rId13" w:history="1">
        <w:r w:rsidRPr="786EC198">
          <w:rPr>
            <w:rStyle w:val="Hyperlink"/>
            <w:rFonts w:ascii="Arial" w:eastAsia="Arial" w:hAnsi="Arial" w:cs="Arial"/>
          </w:rPr>
          <w:t>https://www.uspto.gov/patent/docx</w:t>
        </w:r>
      </w:hyperlink>
      <w:r w:rsidRPr="786EC198">
        <w:rPr>
          <w:rFonts w:ascii="Arial" w:eastAsia="Arial" w:hAnsi="Arial" w:cs="Arial"/>
        </w:rPr>
        <w:t xml:space="preserve">, contains a complete list of </w:t>
      </w:r>
      <w:r w:rsidR="00415B06">
        <w:rPr>
          <w:rFonts w:ascii="Arial" w:eastAsia="Arial" w:hAnsi="Arial" w:cs="Arial"/>
        </w:rPr>
        <w:t>3</w:t>
      </w:r>
      <w:r w:rsidR="002252D4">
        <w:rPr>
          <w:rFonts w:ascii="Arial" w:eastAsia="Arial" w:hAnsi="Arial" w:cs="Arial"/>
        </w:rPr>
        <w:t>2</w:t>
      </w:r>
      <w:r w:rsidR="00415B06">
        <w:rPr>
          <w:rFonts w:ascii="Arial" w:eastAsia="Arial" w:hAnsi="Arial" w:cs="Arial"/>
        </w:rPr>
        <w:t xml:space="preserve"> </w:t>
      </w:r>
      <w:r w:rsidRPr="786EC198">
        <w:rPr>
          <w:rFonts w:ascii="Arial" w:eastAsia="Arial" w:hAnsi="Arial" w:cs="Arial"/>
        </w:rPr>
        <w:t>supported fonts</w:t>
      </w:r>
      <w:r w:rsidR="00415B06">
        <w:rPr>
          <w:rFonts w:ascii="Arial" w:eastAsia="Arial" w:hAnsi="Arial" w:cs="Arial"/>
        </w:rPr>
        <w:t>, 1</w:t>
      </w:r>
      <w:r w:rsidR="002252D4">
        <w:rPr>
          <w:rFonts w:ascii="Arial" w:eastAsia="Arial" w:hAnsi="Arial" w:cs="Arial"/>
        </w:rPr>
        <w:t>0</w:t>
      </w:r>
      <w:r w:rsidR="00415B06">
        <w:rPr>
          <w:rFonts w:ascii="Arial" w:eastAsia="Arial" w:hAnsi="Arial" w:cs="Arial"/>
        </w:rPr>
        <w:t xml:space="preserve"> of which were added in 2020 or later</w:t>
      </w:r>
      <w:r w:rsidRPr="786EC198">
        <w:rPr>
          <w:rFonts w:ascii="Arial" w:eastAsia="Arial" w:hAnsi="Arial" w:cs="Arial"/>
        </w:rPr>
        <w:t xml:space="preserve">. </w:t>
      </w:r>
      <w:r w:rsidR="00415B06">
        <w:rPr>
          <w:rFonts w:ascii="Arial" w:eastAsia="Arial" w:hAnsi="Arial" w:cs="Arial"/>
        </w:rPr>
        <w:t xml:space="preserve">Moreover, the USPTO is in the process of adding a number of additional fonts. </w:t>
      </w:r>
      <w:r w:rsidRPr="786EC198">
        <w:rPr>
          <w:rFonts w:ascii="Arial" w:eastAsia="Arial" w:hAnsi="Arial" w:cs="Arial"/>
        </w:rPr>
        <w:t xml:space="preserve">If there is a font that is not currently supported by the conversion and validation system, applicants should contact the Electronic Business Center and the proposed font may be added to </w:t>
      </w:r>
      <w:r w:rsidRPr="786EC198">
        <w:rPr>
          <w:rFonts w:ascii="Arial" w:eastAsia="Arial" w:hAnsi="Arial" w:cs="Arial"/>
        </w:rPr>
        <w:t>the supported font list as allowable following a thorough analysis by the USPTO.</w:t>
      </w:r>
    </w:p>
    <w:p w:rsidR="00415B06" w:rsidP="786EC198" w14:paraId="7CDB53BC" w14:textId="77777777">
      <w:pPr>
        <w:tabs>
          <w:tab w:val="left" w:pos="1820"/>
        </w:tabs>
        <w:jc w:val="both"/>
        <w:rPr>
          <w:rFonts w:ascii="Arial" w:eastAsia="Arial" w:hAnsi="Arial" w:cs="Arial"/>
        </w:rPr>
      </w:pPr>
    </w:p>
    <w:p w:rsidR="00415B06" w:rsidP="786EC198" w14:paraId="7751A4A8" w14:textId="53E760E6">
      <w:pPr>
        <w:tabs>
          <w:tab w:val="left" w:pos="1820"/>
        </w:tabs>
        <w:jc w:val="both"/>
        <w:rPr>
          <w:rFonts w:ascii="Arial" w:eastAsia="Arial" w:hAnsi="Arial" w:cs="Arial"/>
        </w:rPr>
      </w:pPr>
      <w:r w:rsidRPr="00557638">
        <w:rPr>
          <w:rFonts w:ascii="Arial" w:eastAsia="Arial" w:hAnsi="Arial" w:cs="Arial"/>
        </w:rPr>
        <w:t xml:space="preserve">The use of </w:t>
      </w:r>
      <w:r w:rsidRPr="00557638" w:rsidR="00BC1AF2">
        <w:rPr>
          <w:rFonts w:ascii="Arial" w:eastAsia="Arial" w:hAnsi="Arial" w:cs="Arial"/>
        </w:rPr>
        <w:t xml:space="preserve">fonts not on the USPTO’s supported font list, such as </w:t>
      </w:r>
      <w:r w:rsidRPr="00557638">
        <w:rPr>
          <w:rFonts w:ascii="Arial" w:eastAsia="Arial" w:hAnsi="Arial" w:cs="Arial"/>
        </w:rPr>
        <w:t>specialized fonts, custom fonts, particularly uncommon fonts</w:t>
      </w:r>
      <w:r w:rsidRPr="00557638" w:rsidR="00BC1AF2">
        <w:rPr>
          <w:rFonts w:ascii="Arial" w:eastAsia="Arial" w:hAnsi="Arial" w:cs="Arial"/>
        </w:rPr>
        <w:t>, or internal fonts that have similar labels but use different glyphs from standard font typeface,</w:t>
      </w:r>
      <w:r w:rsidRPr="00557638">
        <w:rPr>
          <w:rFonts w:ascii="Arial" w:eastAsia="Arial" w:hAnsi="Arial" w:cs="Arial"/>
        </w:rPr>
        <w:t xml:space="preserve"> creates discrepancies during the document validation </w:t>
      </w:r>
      <w:r w:rsidRPr="00557638" w:rsidR="00557638">
        <w:rPr>
          <w:rFonts w:ascii="Arial" w:eastAsia="Arial" w:hAnsi="Arial" w:cs="Arial"/>
        </w:rPr>
        <w:t xml:space="preserve">and conversion </w:t>
      </w:r>
      <w:r w:rsidRPr="00557638">
        <w:rPr>
          <w:rFonts w:ascii="Arial" w:eastAsia="Arial" w:hAnsi="Arial" w:cs="Arial"/>
        </w:rPr>
        <w:t>process</w:t>
      </w:r>
      <w:r w:rsidRPr="00557638" w:rsidR="00557638">
        <w:rPr>
          <w:rFonts w:ascii="Arial" w:eastAsia="Arial" w:hAnsi="Arial" w:cs="Arial"/>
        </w:rPr>
        <w:t>es</w:t>
      </w:r>
      <w:r w:rsidRPr="00557638">
        <w:rPr>
          <w:rFonts w:ascii="Arial" w:eastAsia="Arial" w:hAnsi="Arial" w:cs="Arial"/>
        </w:rPr>
        <w:t xml:space="preserve">. The validation </w:t>
      </w:r>
      <w:r w:rsidRPr="00557638" w:rsidR="00557638">
        <w:rPr>
          <w:rFonts w:ascii="Arial" w:eastAsia="Arial" w:hAnsi="Arial" w:cs="Arial"/>
        </w:rPr>
        <w:t xml:space="preserve">and conversion </w:t>
      </w:r>
      <w:r w:rsidRPr="00557638">
        <w:rPr>
          <w:rFonts w:ascii="Arial" w:eastAsia="Arial" w:hAnsi="Arial" w:cs="Arial"/>
        </w:rPr>
        <w:t>syste</w:t>
      </w:r>
      <w:r w:rsidRPr="00557638" w:rsidR="00557638">
        <w:rPr>
          <w:rFonts w:ascii="Arial" w:eastAsia="Arial" w:hAnsi="Arial" w:cs="Arial"/>
        </w:rPr>
        <w:t>m</w:t>
      </w:r>
      <w:r w:rsidRPr="00557638">
        <w:rPr>
          <w:rFonts w:ascii="Arial" w:eastAsia="Arial" w:hAnsi="Arial" w:cs="Arial"/>
        </w:rPr>
        <w:t xml:space="preserve"> that the USPTO uses to render the structured text from the DOCX file has been tested on a wide variety of fonts, but will not accept a font outside those it has been programmed to read</w:t>
      </w:r>
      <w:r w:rsidRPr="00557638" w:rsidR="00557638">
        <w:rPr>
          <w:rFonts w:ascii="Arial" w:eastAsia="Arial" w:hAnsi="Arial" w:cs="Arial"/>
        </w:rPr>
        <w:t>,</w:t>
      </w:r>
      <w:r w:rsidRPr="00557638">
        <w:rPr>
          <w:rFonts w:ascii="Arial" w:eastAsia="Arial" w:hAnsi="Arial" w:cs="Arial"/>
        </w:rPr>
        <w:t xml:space="preserve"> </w:t>
      </w:r>
      <w:r w:rsidRPr="00557638" w:rsidR="00557638">
        <w:rPr>
          <w:rFonts w:ascii="Arial" w:eastAsia="Arial" w:hAnsi="Arial" w:cs="Arial"/>
        </w:rPr>
        <w:t>i.e., those on the supported list</w:t>
      </w:r>
      <w:r w:rsidRPr="00557638">
        <w:rPr>
          <w:rFonts w:ascii="Arial" w:eastAsia="Arial" w:hAnsi="Arial" w:cs="Arial"/>
        </w:rPr>
        <w:t>.</w:t>
      </w:r>
    </w:p>
    <w:p w:rsidR="00193564" w:rsidRPr="00AD423E" w:rsidP="786EC198" w14:paraId="150A9F52" w14:textId="6E7D3477">
      <w:pPr>
        <w:tabs>
          <w:tab w:val="left" w:pos="1820"/>
        </w:tabs>
        <w:jc w:val="both"/>
        <w:rPr>
          <w:rFonts w:ascii="Arial" w:eastAsia="Arial" w:hAnsi="Arial" w:cs="Arial"/>
        </w:rPr>
      </w:pPr>
    </w:p>
    <w:p w:rsidR="00193564" w:rsidRPr="00AD423E" w:rsidP="786EC198" w14:paraId="3AC14A7C" w14:textId="53B5560A">
      <w:pPr>
        <w:tabs>
          <w:tab w:val="left" w:pos="1820"/>
        </w:tabs>
        <w:jc w:val="both"/>
        <w:rPr>
          <w:rFonts w:ascii="Arial" w:eastAsia="Arial" w:hAnsi="Arial" w:cs="Arial"/>
          <w:b/>
          <w:bCs/>
        </w:rPr>
      </w:pPr>
      <w:r w:rsidRPr="786EC198">
        <w:rPr>
          <w:rFonts w:ascii="Arial" w:eastAsia="Arial" w:hAnsi="Arial" w:cs="Arial"/>
          <w:b/>
          <w:bCs/>
        </w:rPr>
        <w:t>Comment 4:</w:t>
      </w:r>
    </w:p>
    <w:p w:rsidR="00193564" w:rsidRPr="00AD423E" w:rsidP="786EC198" w14:paraId="3B8126F4" w14:textId="1AA0000A">
      <w:pPr>
        <w:tabs>
          <w:tab w:val="left" w:pos="1820"/>
        </w:tabs>
        <w:jc w:val="both"/>
        <w:rPr>
          <w:rFonts w:ascii="Arial" w:eastAsia="Arial" w:hAnsi="Arial" w:cs="Arial"/>
        </w:rPr>
      </w:pPr>
      <w:r w:rsidRPr="786EC198">
        <w:rPr>
          <w:rFonts w:ascii="Arial" w:eastAsia="Arial" w:hAnsi="Arial" w:cs="Arial"/>
        </w:rPr>
        <w:t>Several commenters asserted that the USPTO conversion tool and validation system are “unreliable and error-laden.”</w:t>
      </w:r>
    </w:p>
    <w:p w:rsidR="00193564" w:rsidRPr="00AD423E" w:rsidP="786EC198" w14:paraId="64C2D466" w14:textId="797CC960">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61B1378E" w14:textId="235FC431">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4CDB4A6D" w14:textId="213633EA">
      <w:pPr>
        <w:jc w:val="both"/>
        <w:rPr>
          <w:rFonts w:ascii="Arial" w:eastAsia="Arial" w:hAnsi="Arial" w:cs="Arial"/>
        </w:rPr>
      </w:pPr>
      <w:r w:rsidRPr="786EC198">
        <w:rPr>
          <w:rFonts w:ascii="Arial" w:eastAsia="Arial" w:hAnsi="Arial" w:cs="Arial"/>
        </w:rPr>
        <w:t>As a part of the DOCX intake process, preliminary validation is performed on DOCX documents at the time of upload. The system immediately detects and supplies the applicant with useful error and warning messages, allowing for adjustments to patent applications earlier in the process. This saves time, reduces potential costs to applicants and the USPTO, and prevents delays in processing by minimizing notices of missing parts or incomplete applications from the Office of Patent Application Processing (OPAP). An advantage of submitting in DOCX format directly is that submitted files from all applicants are validated and converted to PDF by USPTO systems in a consistent manner. The USPTO continuously performs rigorous testing to ensure that document integrity is preserved.</w:t>
      </w:r>
    </w:p>
    <w:p w:rsidR="00193564" w:rsidRPr="00AD423E" w:rsidP="786EC198" w14:paraId="7F568817" w14:textId="637347D0">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40ACE024" w14:textId="63FDDB49">
      <w:pPr>
        <w:tabs>
          <w:tab w:val="left" w:pos="1820"/>
        </w:tabs>
        <w:jc w:val="both"/>
        <w:rPr>
          <w:rFonts w:ascii="Arial" w:eastAsia="Arial" w:hAnsi="Arial" w:cs="Arial"/>
        </w:rPr>
      </w:pPr>
      <w:r w:rsidRPr="786EC198">
        <w:rPr>
          <w:rFonts w:ascii="Arial" w:eastAsia="Arial" w:hAnsi="Arial" w:cs="Arial"/>
        </w:rPr>
        <w:t>The validation features are new to the submission process and made available due to the structured data in DOCX files; this is not a feature that is available for PDF submissions. The validation step helps applicants identify issues with their application prior to submission. Currently less than 2% of all help desk tickets involve a DOCX submission, indicating that applicants may be benefiting from these system improvements.</w:t>
      </w:r>
    </w:p>
    <w:p w:rsidR="00193564" w:rsidRPr="00AD423E" w:rsidP="786EC198" w14:paraId="041B878E" w14:textId="08C312EE">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28C6D4F2" w14:textId="5EAA1075">
      <w:pPr>
        <w:tabs>
          <w:tab w:val="left" w:pos="1820"/>
        </w:tabs>
        <w:jc w:val="both"/>
        <w:rPr>
          <w:rFonts w:ascii="Arial" w:eastAsia="Arial" w:hAnsi="Arial" w:cs="Arial"/>
          <w:b/>
          <w:bCs/>
        </w:rPr>
      </w:pPr>
      <w:r w:rsidRPr="786EC198">
        <w:rPr>
          <w:rFonts w:ascii="Arial" w:eastAsia="Arial" w:hAnsi="Arial" w:cs="Arial"/>
          <w:b/>
          <w:bCs/>
        </w:rPr>
        <w:t>Comment 5:</w:t>
      </w:r>
    </w:p>
    <w:p w:rsidR="00193564" w:rsidRPr="00AD423E" w:rsidP="786EC198" w14:paraId="75DB9107" w14:textId="72060973">
      <w:pPr>
        <w:tabs>
          <w:tab w:val="left" w:pos="1820"/>
        </w:tabs>
        <w:jc w:val="both"/>
        <w:rPr>
          <w:rFonts w:ascii="Arial" w:eastAsia="Arial" w:hAnsi="Arial" w:cs="Arial"/>
        </w:rPr>
      </w:pPr>
      <w:r w:rsidRPr="786EC198">
        <w:rPr>
          <w:rFonts w:ascii="Arial" w:eastAsia="Arial" w:hAnsi="Arial" w:cs="Arial"/>
        </w:rPr>
        <w:t>One commenter expressed concern that the USPTO’s “DOCX rendering engine” changes over time and requires them to review document both upon submission and at the 18-month mark.</w:t>
      </w:r>
    </w:p>
    <w:p w:rsidR="00193564" w:rsidRPr="00AD423E" w:rsidP="786EC198" w14:paraId="5981F275" w14:textId="53E021EC">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4378AA89" w14:textId="36B31A99">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76AD0A6B" w14:textId="54529C0F">
      <w:pPr>
        <w:tabs>
          <w:tab w:val="left" w:pos="1820"/>
        </w:tabs>
        <w:jc w:val="both"/>
        <w:rPr>
          <w:rFonts w:ascii="Arial" w:eastAsia="Arial" w:hAnsi="Arial" w:cs="Arial"/>
        </w:rPr>
      </w:pPr>
      <w:r w:rsidRPr="786EC198">
        <w:rPr>
          <w:rFonts w:ascii="Arial" w:eastAsia="Arial" w:hAnsi="Arial" w:cs="Arial"/>
        </w:rPr>
        <w:t xml:space="preserve">The USPTO has not received specific instances where the application system developed textual discrepancies between the DOCX file at submission and the PDF file at the 18-month mark prior to publication. The application system stores the initial submitted documents, and it is the same file which is returned to users seeking to view their documents later in the process. The DOCX system does not double back and perform second conversion and validation of items, therefore it is not possible for errors to be introduced into the USPTO generated PDF. The USPTO is not aware of any particular reason why review of documents at the 18-month mark would be any different with DOCX </w:t>
      </w:r>
      <w:r w:rsidRPr="786EC198">
        <w:rPr>
          <w:rFonts w:ascii="Arial" w:eastAsia="Arial" w:hAnsi="Arial" w:cs="Arial"/>
        </w:rPr>
        <w:t xml:space="preserve">or PDF formats. If there is an instance in which an error occurs, the </w:t>
      </w:r>
      <w:r w:rsidR="002E0249">
        <w:rPr>
          <w:rFonts w:ascii="Arial" w:eastAsia="Arial" w:hAnsi="Arial" w:cs="Arial"/>
        </w:rPr>
        <w:t xml:space="preserve">Electronic Business Center </w:t>
      </w:r>
      <w:r w:rsidRPr="786EC198">
        <w:rPr>
          <w:rFonts w:ascii="Arial" w:eastAsia="Arial" w:hAnsi="Arial" w:cs="Arial"/>
        </w:rPr>
        <w:t>should be contacted for investigation and resolution.</w:t>
      </w:r>
    </w:p>
    <w:p w:rsidR="00193564" w:rsidRPr="00AD423E" w:rsidP="786EC198" w14:paraId="25FA2303" w14:textId="7F255CB0">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7B2137F" w14:textId="2C3EEFF3">
      <w:pPr>
        <w:tabs>
          <w:tab w:val="left" w:pos="1820"/>
        </w:tabs>
        <w:jc w:val="both"/>
        <w:rPr>
          <w:rFonts w:ascii="Arial" w:eastAsia="Arial" w:hAnsi="Arial" w:cs="Arial"/>
          <w:b/>
          <w:bCs/>
        </w:rPr>
      </w:pPr>
      <w:r w:rsidRPr="786EC198">
        <w:rPr>
          <w:rFonts w:ascii="Arial" w:eastAsia="Arial" w:hAnsi="Arial" w:cs="Arial"/>
          <w:b/>
          <w:bCs/>
        </w:rPr>
        <w:t>Comment 6:</w:t>
      </w:r>
    </w:p>
    <w:p w:rsidR="00193564" w:rsidRPr="00AD423E" w:rsidP="786EC198" w14:paraId="1417BDAA" w14:textId="49AE4198">
      <w:pPr>
        <w:tabs>
          <w:tab w:val="left" w:pos="1820"/>
        </w:tabs>
        <w:jc w:val="both"/>
        <w:rPr>
          <w:rFonts w:ascii="Arial" w:eastAsia="Arial" w:hAnsi="Arial" w:cs="Arial"/>
        </w:rPr>
      </w:pPr>
      <w:r w:rsidRPr="786EC198">
        <w:rPr>
          <w:rFonts w:ascii="Arial" w:eastAsia="Arial" w:hAnsi="Arial" w:cs="Arial"/>
        </w:rPr>
        <w:t>At least one commenter mentioned that the USPTO has not provided the source code for the conversion and validation system. They suggested that doing so would provide meaningful help for applicants to understand the process and reduce much of their confusion about how the system renders documents.</w:t>
      </w:r>
    </w:p>
    <w:p w:rsidR="00193564" w:rsidRPr="00AD423E" w:rsidP="786EC198" w14:paraId="4F69F86F" w14:textId="04A92E6D">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458F6A6B" w14:textId="19D69BD7">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7B46EA9A" w14:textId="2AB6131C">
      <w:pPr>
        <w:tabs>
          <w:tab w:val="left" w:pos="1820"/>
        </w:tabs>
        <w:jc w:val="both"/>
        <w:rPr>
          <w:rFonts w:ascii="Arial" w:eastAsia="Arial" w:hAnsi="Arial" w:cs="Arial"/>
        </w:rPr>
      </w:pPr>
      <w:r w:rsidRPr="786EC198">
        <w:rPr>
          <w:rFonts w:ascii="Arial" w:eastAsia="Arial" w:hAnsi="Arial" w:cs="Arial"/>
        </w:rPr>
        <w:t xml:space="preserve">While the entire code of the conversion and optical character recognition (OCR) tools has not been made public, extensive resources have been produced to guide users through the application process and to understand how their text is used and rendered by the system. This includes information about the section headers that are needed for the system to detect the information for a field and the fonts that are supported by the conversion tool. This information is available through the USPTO website at: </w:t>
      </w:r>
      <w:r w:rsidRPr="786EC198">
        <w:rPr>
          <w:rFonts w:ascii="Arial Nova" w:eastAsia="Arial Nova" w:hAnsi="Arial Nova" w:cs="Arial Nova"/>
        </w:rPr>
        <w:t xml:space="preserve">htts://www.uspto.gov/patents/docx. </w:t>
      </w:r>
      <w:r w:rsidRPr="786EC198">
        <w:rPr>
          <w:rFonts w:ascii="Arial" w:eastAsia="Arial" w:hAnsi="Arial" w:cs="Arial"/>
        </w:rPr>
        <w:t xml:space="preserve">Applicants can always examine the XML schema information to understand the elements, attributes, and data types located at </w:t>
      </w:r>
      <w:hyperlink r:id="rId14" w:history="1">
        <w:r w:rsidRPr="786EC198">
          <w:rPr>
            <w:rStyle w:val="Hyperlink"/>
            <w:rFonts w:ascii="Arial" w:eastAsia="Arial" w:hAnsi="Arial" w:cs="Arial"/>
          </w:rPr>
          <w:t>https://www.uspto.gov/sites/default/files/documents/XML4IP_V7_1.zip</w:t>
        </w:r>
      </w:hyperlink>
      <w:r w:rsidRPr="786EC198">
        <w:rPr>
          <w:rFonts w:ascii="Arial" w:eastAsia="Arial" w:hAnsi="Arial" w:cs="Arial"/>
        </w:rPr>
        <w:t>.</w:t>
      </w:r>
    </w:p>
    <w:p w:rsidR="00193564" w:rsidRPr="00AD423E" w:rsidP="786EC198" w14:paraId="5C959F10" w14:textId="7387D586">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E687F35" w14:textId="3BB6FDF9">
      <w:pPr>
        <w:tabs>
          <w:tab w:val="left" w:pos="1820"/>
        </w:tabs>
        <w:jc w:val="both"/>
        <w:rPr>
          <w:rFonts w:ascii="Arial" w:eastAsia="Arial" w:hAnsi="Arial" w:cs="Arial"/>
          <w:b/>
          <w:bCs/>
        </w:rPr>
      </w:pPr>
      <w:r w:rsidRPr="786EC198">
        <w:rPr>
          <w:rFonts w:ascii="Arial" w:eastAsia="Arial" w:hAnsi="Arial" w:cs="Arial"/>
          <w:b/>
          <w:bCs/>
        </w:rPr>
        <w:t>Comment 7:</w:t>
      </w:r>
    </w:p>
    <w:p w:rsidR="00193564" w:rsidRPr="00AD423E" w:rsidP="786EC198" w14:paraId="6AEFB2E2" w14:textId="231666BB">
      <w:pPr>
        <w:tabs>
          <w:tab w:val="left" w:pos="1820"/>
        </w:tabs>
        <w:jc w:val="both"/>
        <w:rPr>
          <w:rFonts w:ascii="Arial" w:eastAsia="Arial" w:hAnsi="Arial" w:cs="Arial"/>
        </w:rPr>
      </w:pPr>
      <w:r w:rsidRPr="786EC198">
        <w:rPr>
          <w:rFonts w:ascii="Arial" w:eastAsia="Arial" w:hAnsi="Arial" w:cs="Arial"/>
        </w:rPr>
        <w:t>Some commenters noted that a DOCX file created on one computer may not appear the same when viewed with a different program on a different computer because the file may have been generated in a foreign country or due to different software configurations. These discrepancies make it seem to commenters that the DOCX submission process is not trustworthy, thus leading commenters to conclude that only PDFs are able to hold the format and be the authoritative document.</w:t>
      </w:r>
    </w:p>
    <w:p w:rsidR="00193564" w:rsidRPr="00AD423E" w:rsidP="786EC198" w14:paraId="20D47AF8" w14:textId="580DFCAD">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2D4A685E" w14:textId="10CC9542">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6C3AE011" w14:textId="0BA7A2E9">
      <w:pPr>
        <w:tabs>
          <w:tab w:val="left" w:pos="1820"/>
        </w:tabs>
        <w:jc w:val="both"/>
        <w:rPr>
          <w:rFonts w:ascii="Arial" w:eastAsia="Arial" w:hAnsi="Arial" w:cs="Arial"/>
        </w:rPr>
      </w:pPr>
      <w:r w:rsidRPr="786EC198">
        <w:rPr>
          <w:rFonts w:ascii="Arial" w:eastAsia="Arial" w:hAnsi="Arial" w:cs="Arial"/>
        </w:rPr>
        <w:t>The USPTO has not experienced the issue raised by commenters. The DOCX file acts as an effective vehicle for sending the structured text to the USPTO. Like the PDF standard, DOCX presents documents, including text and formatting, in a manner that is independent of software, hardware, or operating systems. If you experience any issues with viewing the DOCX on a different computer, please report it to the Electronic Business Center.</w:t>
      </w:r>
    </w:p>
    <w:p w:rsidR="00193564" w:rsidRPr="00AD423E" w:rsidP="786EC198" w14:paraId="77CD0AD7" w14:textId="6CB121EE">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029E71BD" w14:textId="67A5E124">
      <w:pPr>
        <w:tabs>
          <w:tab w:val="left" w:pos="1820"/>
        </w:tabs>
        <w:jc w:val="both"/>
        <w:rPr>
          <w:rFonts w:ascii="Arial" w:eastAsia="Arial" w:hAnsi="Arial" w:cs="Arial"/>
          <w:b/>
          <w:bCs/>
        </w:rPr>
      </w:pPr>
      <w:r w:rsidRPr="786EC198">
        <w:rPr>
          <w:rFonts w:ascii="Arial" w:eastAsia="Arial" w:hAnsi="Arial" w:cs="Arial"/>
          <w:b/>
          <w:bCs/>
        </w:rPr>
        <w:t>Comment 8:</w:t>
      </w:r>
    </w:p>
    <w:p w:rsidR="00193564" w:rsidRPr="00AD423E" w:rsidP="786EC198" w14:paraId="5D2CAEE6" w14:textId="2420EC6A">
      <w:pPr>
        <w:spacing w:line="257" w:lineRule="auto"/>
        <w:jc w:val="both"/>
        <w:rPr>
          <w:rFonts w:ascii="Arial" w:eastAsia="Arial" w:hAnsi="Arial" w:cs="Arial"/>
        </w:rPr>
      </w:pPr>
      <w:r w:rsidRPr="786EC198">
        <w:rPr>
          <w:rFonts w:ascii="Arial" w:eastAsia="Arial" w:hAnsi="Arial" w:cs="Arial"/>
        </w:rPr>
        <w:t>Some commenters questioned why the USPTO requires the removal of various standard Word document features in DOCX files that are submitted to the USPTO. They suggest that it forces non-standard usage of DOCX files and that the USPTO is making its own standard.</w:t>
      </w:r>
    </w:p>
    <w:p w:rsidR="00193564" w:rsidRPr="00AD423E" w:rsidP="786EC198" w14:paraId="2E5F6DF9" w14:textId="28024334">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F3E30FD" w14:textId="6A8138F6">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69F0A3E6" w14:textId="6ADBF142">
      <w:pPr>
        <w:tabs>
          <w:tab w:val="left" w:pos="1820"/>
        </w:tabs>
        <w:jc w:val="both"/>
        <w:rPr>
          <w:rFonts w:ascii="Arial" w:eastAsia="Arial" w:hAnsi="Arial" w:cs="Arial"/>
        </w:rPr>
      </w:pPr>
      <w:r w:rsidRPr="786EC198">
        <w:rPr>
          <w:rFonts w:ascii="Arial" w:eastAsia="Arial" w:hAnsi="Arial" w:cs="Arial"/>
        </w:rPr>
        <w:t xml:space="preserve">The USPTO’s parameters for filing in the DOCX format do not amount to the creation of a new DOCX standard. For security, the USPTO’s system rejects DOCX with macros and implements virus detection software to prevent malware. Additionally, the USPTO’s </w:t>
      </w:r>
      <w:r w:rsidRPr="786EC198">
        <w:rPr>
          <w:rFonts w:ascii="Arial" w:eastAsia="Arial" w:hAnsi="Arial" w:cs="Arial"/>
        </w:rPr>
        <w:t xml:space="preserve">system removes certain other unnecessary document properties that may affect USPTO processes, such as metadata, if not already removed by applicants prior to submission. </w:t>
      </w:r>
      <w:r w:rsidR="002E0249">
        <w:rPr>
          <w:rFonts w:ascii="Arial" w:eastAsia="Arial" w:hAnsi="Arial" w:cs="Arial"/>
        </w:rPr>
        <w:t>Please see the DOCX Feedback E</w:t>
      </w:r>
      <w:r w:rsidRPr="002E0249">
        <w:rPr>
          <w:rFonts w:ascii="Arial" w:eastAsia="Arial" w:hAnsi="Arial" w:cs="Arial"/>
        </w:rPr>
        <w:t xml:space="preserve">rrors and </w:t>
      </w:r>
      <w:r w:rsidR="002E0249">
        <w:rPr>
          <w:rFonts w:ascii="Arial" w:eastAsia="Arial" w:hAnsi="Arial" w:cs="Arial"/>
        </w:rPr>
        <w:t>W</w:t>
      </w:r>
      <w:r w:rsidRPr="002E0249">
        <w:rPr>
          <w:rFonts w:ascii="Arial" w:eastAsia="Arial" w:hAnsi="Arial" w:cs="Arial"/>
        </w:rPr>
        <w:t>arnings</w:t>
      </w:r>
      <w:r w:rsidR="00C15E89">
        <w:rPr>
          <w:rFonts w:ascii="Arial" w:eastAsia="Arial" w:hAnsi="Arial" w:cs="Arial"/>
        </w:rPr>
        <w:t xml:space="preserve"> document available at </w:t>
      </w:r>
      <w:hyperlink r:id="rId15" w:history="1">
        <w:r w:rsidRPr="00C15E89">
          <w:rPr>
            <w:rStyle w:val="Hyperlink"/>
            <w:rFonts w:ascii="Arial" w:hAnsi="Arial" w:cs="Arial"/>
          </w:rPr>
          <w:t>https://www.uspto.gov/sites/default/files/documents/Docx_Errors_and_Warning_Brand_Update_May_31_2023.docx</w:t>
        </w:r>
      </w:hyperlink>
      <w:r w:rsidR="005D3C17">
        <w:rPr>
          <w:rFonts w:ascii="Arial" w:hAnsi="Arial" w:cs="Arial"/>
        </w:rPr>
        <w:t xml:space="preserve"> for a complete list of errors and warnings</w:t>
      </w:r>
      <w:r w:rsidRPr="002E0249">
        <w:rPr>
          <w:rFonts w:ascii="Arial" w:eastAsia="Arial" w:hAnsi="Arial" w:cs="Arial"/>
        </w:rPr>
        <w:t>. The USPTO is continuously reexamining its processes to reduce the errors that would prohibit</w:t>
      </w:r>
      <w:r w:rsidRPr="786EC198">
        <w:rPr>
          <w:rFonts w:ascii="Arial" w:eastAsia="Arial" w:hAnsi="Arial" w:cs="Arial"/>
        </w:rPr>
        <w:t xml:space="preserve"> filing. </w:t>
      </w:r>
    </w:p>
    <w:p w:rsidR="00193564" w:rsidRPr="00AD423E" w:rsidP="786EC198" w14:paraId="3C74E9A6" w14:textId="5B589412">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0ED12E3C" w14:textId="3A690ADA">
      <w:pPr>
        <w:tabs>
          <w:tab w:val="left" w:pos="1820"/>
        </w:tabs>
        <w:jc w:val="both"/>
        <w:rPr>
          <w:rFonts w:ascii="Arial" w:eastAsia="Arial" w:hAnsi="Arial" w:cs="Arial"/>
          <w:b/>
          <w:bCs/>
        </w:rPr>
      </w:pPr>
      <w:r w:rsidRPr="786EC198">
        <w:rPr>
          <w:rFonts w:ascii="Arial" w:eastAsia="Arial" w:hAnsi="Arial" w:cs="Arial"/>
          <w:b/>
          <w:bCs/>
        </w:rPr>
        <w:t>Alternatives to Submitting in DOCX Format</w:t>
      </w:r>
    </w:p>
    <w:p w:rsidR="00193564" w:rsidRPr="00AD423E" w:rsidP="786EC198" w14:paraId="782DFE47" w14:textId="26053A27">
      <w:pPr>
        <w:tabs>
          <w:tab w:val="left" w:pos="1820"/>
        </w:tabs>
        <w:jc w:val="both"/>
        <w:rPr>
          <w:rFonts w:ascii="Arial" w:eastAsia="Arial" w:hAnsi="Arial" w:cs="Arial"/>
          <w:b/>
          <w:bCs/>
        </w:rPr>
      </w:pPr>
      <w:r w:rsidRPr="786EC198">
        <w:rPr>
          <w:rFonts w:ascii="Arial" w:eastAsia="Arial" w:hAnsi="Arial" w:cs="Arial"/>
          <w:b/>
          <w:bCs/>
        </w:rPr>
        <w:t xml:space="preserve"> </w:t>
      </w:r>
    </w:p>
    <w:p w:rsidR="00193564" w:rsidRPr="00AD423E" w:rsidP="786EC198" w14:paraId="23FAF521" w14:textId="3FD75FD8">
      <w:pPr>
        <w:tabs>
          <w:tab w:val="left" w:pos="1820"/>
        </w:tabs>
        <w:jc w:val="both"/>
        <w:rPr>
          <w:rFonts w:ascii="Arial" w:eastAsia="Arial" w:hAnsi="Arial" w:cs="Arial"/>
          <w:b/>
          <w:bCs/>
        </w:rPr>
      </w:pPr>
      <w:r w:rsidRPr="786EC198">
        <w:rPr>
          <w:rFonts w:ascii="Arial" w:eastAsia="Arial" w:hAnsi="Arial" w:cs="Arial"/>
          <w:b/>
          <w:bCs/>
        </w:rPr>
        <w:t>Comment 9:</w:t>
      </w:r>
    </w:p>
    <w:p w:rsidR="00193564" w:rsidRPr="00AD423E" w:rsidP="786EC198" w14:paraId="61E68C94" w14:textId="390A92F9">
      <w:pPr>
        <w:tabs>
          <w:tab w:val="left" w:pos="1820"/>
        </w:tabs>
        <w:jc w:val="both"/>
        <w:rPr>
          <w:rFonts w:ascii="Arial" w:eastAsia="Arial" w:hAnsi="Arial" w:cs="Arial"/>
        </w:rPr>
      </w:pPr>
      <w:r w:rsidRPr="786EC198">
        <w:rPr>
          <w:rFonts w:ascii="Arial" w:eastAsia="Arial" w:hAnsi="Arial" w:cs="Arial"/>
        </w:rPr>
        <w:t>Some commenters offered a solution that the USPTO address its needs by adopting the Federal courts practice of accepting rich text formatted PDFs. The commenters suggested that this would allow the USPTO to accept PDFs as provided by the applicant.</w:t>
      </w:r>
    </w:p>
    <w:p w:rsidR="00193564" w:rsidRPr="00AD423E" w:rsidP="786EC198" w14:paraId="75981254" w14:textId="048FE737">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313FA685" w14:textId="500F0B13">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6C0B3E8E" w14:textId="332C6999">
      <w:pPr>
        <w:tabs>
          <w:tab w:val="left" w:pos="1820"/>
        </w:tabs>
        <w:jc w:val="both"/>
        <w:rPr>
          <w:rFonts w:ascii="Arial" w:eastAsia="Arial" w:hAnsi="Arial" w:cs="Arial"/>
        </w:rPr>
      </w:pPr>
      <w:r w:rsidRPr="786EC198">
        <w:rPr>
          <w:rFonts w:ascii="Arial" w:eastAsia="Arial" w:hAnsi="Arial" w:cs="Arial"/>
        </w:rPr>
        <w:t>The USPTO acknowledges that Federal courts accept rich text formatted PDF file submissions. However, in order to better support the patent examination process, the USPTO prefers the use of structured text to speed examination times and provide more accurate text searchable solutions for applicants and the general public. In comparison to DOCX, rich text formatted PDF does not provide a reliable source of structured text. Although rich text formatted PDF files may convey some textual information, they are not substitutes for the quantity and quality of information provided by a DOCX submission. The DOCX file submission has benefits for both internal processes and the submission process that are not available with even a rich text formatted PDF filing.</w:t>
      </w:r>
    </w:p>
    <w:p w:rsidR="00193564" w:rsidRPr="00AD423E" w:rsidP="786EC198" w14:paraId="453115A6" w14:textId="4FE96CAA">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37834C25" w14:textId="3D094222">
      <w:pPr>
        <w:tabs>
          <w:tab w:val="left" w:pos="1820"/>
        </w:tabs>
        <w:jc w:val="both"/>
        <w:rPr>
          <w:rFonts w:ascii="Arial" w:eastAsia="Arial" w:hAnsi="Arial" w:cs="Arial"/>
          <w:b/>
          <w:bCs/>
        </w:rPr>
      </w:pPr>
      <w:r w:rsidRPr="786EC198">
        <w:rPr>
          <w:rFonts w:ascii="Arial" w:eastAsia="Arial" w:hAnsi="Arial" w:cs="Arial"/>
          <w:b/>
          <w:bCs/>
        </w:rPr>
        <w:t>Comment 10:</w:t>
      </w:r>
    </w:p>
    <w:p w:rsidR="00193564" w:rsidRPr="00AD423E" w:rsidP="786EC198" w14:paraId="4AAA275A" w14:textId="55950515">
      <w:pPr>
        <w:tabs>
          <w:tab w:val="left" w:pos="1820"/>
        </w:tabs>
        <w:jc w:val="both"/>
        <w:rPr>
          <w:rFonts w:ascii="Arial" w:eastAsia="Arial" w:hAnsi="Arial" w:cs="Arial"/>
        </w:rPr>
      </w:pPr>
      <w:r w:rsidRPr="786EC198">
        <w:rPr>
          <w:rFonts w:ascii="Arial" w:eastAsia="Arial" w:hAnsi="Arial" w:cs="Arial"/>
        </w:rPr>
        <w:t>Some commenters suggested that the USPTO accept the auxiliary PDF submitted by applicants as the authoritative document when submitting applications in the agency-preferred DOCX format. These c</w:t>
      </w:r>
      <w:r w:rsidRPr="786EC198">
        <w:rPr>
          <w:rFonts w:ascii="Arial" w:eastAsia="Arial" w:hAnsi="Arial" w:cs="Arial"/>
          <w:color w:val="323232"/>
        </w:rPr>
        <w:t xml:space="preserve">ommenters stated that they are currently permitted to submit PDFs, but the system requires applicants to agree that the DOCX document will be the authoritative document. </w:t>
      </w:r>
      <w:r w:rsidRPr="786EC198">
        <w:rPr>
          <w:rFonts w:ascii="Arial" w:eastAsia="Arial" w:hAnsi="Arial" w:cs="Arial"/>
        </w:rPr>
        <w:t>Some of the commenters who suggested that the USPTO treat the PDF as the authoritative document also suggested that the USPTO could collect a DOCX formatted version as an “auxiliary” document to facilitate internal USPTO processes. Those applicants who submit this “auxiliary DOCX” file could be given a discount in filing fees as an incentive.</w:t>
      </w:r>
    </w:p>
    <w:p w:rsidR="00193564" w:rsidRPr="00AD423E" w:rsidP="786EC198" w14:paraId="3F9D8D4B" w14:textId="36CE9855">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36F14ADD" w14:textId="1158627F">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03C804C9" w14:textId="4C3012DA">
      <w:pPr>
        <w:jc w:val="both"/>
        <w:rPr>
          <w:rFonts w:ascii="Arial" w:eastAsia="Arial" w:hAnsi="Arial" w:cs="Arial"/>
        </w:rPr>
      </w:pPr>
      <w:r w:rsidRPr="786EC198">
        <w:rPr>
          <w:rFonts w:ascii="Arial" w:eastAsia="Arial" w:hAnsi="Arial" w:cs="Arial"/>
          <w:color w:val="000000" w:themeColor="text1"/>
        </w:rPr>
        <w:t xml:space="preserve">As stated in the April 2022 notice, the USPTO considers the validated DOCX file(s) submitted by the applicant to be the authoritative document and that applicants may rely on the validated DOCX file(s) as the source or evidentiary copy of the application to make corrections to the record when any discrepancies are identified between the source or evidentiary copy and the documents the USPTO has converted. Although the USPTO is not making the applicant-generated PDF the source or evidentiary copy, as requested by commenters, the USPTO has made two changes in response to stakeholder requests. First, the USPTO will keep copies of the applicant-generated PDF as part of the permanent record, regardless of whether a petition is filed. </w:t>
      </w:r>
      <w:r w:rsidRPr="786EC198">
        <w:rPr>
          <w:rFonts w:ascii="Arial" w:eastAsia="Arial" w:hAnsi="Arial" w:cs="Arial"/>
        </w:rPr>
        <w:t xml:space="preserve">See Extension of the Option </w:t>
      </w:r>
      <w:r w:rsidRPr="786EC198">
        <w:rPr>
          <w:rFonts w:ascii="Arial" w:eastAsia="Arial" w:hAnsi="Arial" w:cs="Arial"/>
        </w:rPr>
        <w:t xml:space="preserve">for Submission of a PDF With a Patent Application Filed in DOCX Format, 88 FR 37036 (June 6, 2023). </w:t>
      </w:r>
      <w:r w:rsidRPr="786EC198">
        <w:rPr>
          <w:rFonts w:ascii="Arial" w:eastAsia="Arial" w:hAnsi="Arial" w:cs="Arial"/>
          <w:color w:val="000000" w:themeColor="text1"/>
        </w:rPr>
        <w:t xml:space="preserve">For example, for granted patents, the USPTO will keep copies of the applicant-generated PDF for at least 25 years after the patent grant before transferring it to the National Archives and Records Administration. Second, the USPTO has extended indefinitely the option to submit an applicant-generated PDF of the application along with the validated DOCX file(s) when filing an application in Patent Center. </w:t>
      </w:r>
      <w:r w:rsidRPr="786EC198">
        <w:rPr>
          <w:rFonts w:ascii="Arial" w:eastAsia="Arial" w:hAnsi="Arial" w:cs="Arial"/>
        </w:rPr>
        <w:t>See Extension of the Option for Submission of a PDF With a Patent Application Filed in DOCX Format, 88 FR 37036 (June, 6, 2023). These two changes better ensure patent applicants choosing to submit an applicant-generated PDF with the validated DOCX file(s) when filing an application in Patent Center will have an ongoing safeguard should any unexpected conversion discrepancies occur during the filing process.</w:t>
      </w:r>
    </w:p>
    <w:p w:rsidR="00193564" w:rsidRPr="00AD423E" w:rsidP="786EC198" w14:paraId="77A75F3C" w14:textId="30D27ED5">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7ACE5925" w14:textId="2E4ECE44">
      <w:pPr>
        <w:tabs>
          <w:tab w:val="left" w:pos="1820"/>
        </w:tabs>
        <w:jc w:val="both"/>
        <w:rPr>
          <w:rFonts w:ascii="Arial" w:eastAsia="Arial" w:hAnsi="Arial" w:cs="Arial"/>
        </w:rPr>
      </w:pPr>
      <w:r w:rsidRPr="786EC198">
        <w:rPr>
          <w:rFonts w:ascii="Arial" w:eastAsia="Arial" w:hAnsi="Arial" w:cs="Arial"/>
        </w:rPr>
        <w:t>As for t</w:t>
      </w:r>
      <w:r w:rsidRPr="786EC198">
        <w:rPr>
          <w:rFonts w:ascii="Arial" w:eastAsia="Arial" w:hAnsi="Arial" w:cs="Arial"/>
          <w:color w:val="333333"/>
        </w:rPr>
        <w:t xml:space="preserve">he commenters’ suggestion that the USPTO use a voluntarily submitted auxiliary DOCX file to facilitate internal USPTO processes, while keeping a concurrently submitted PDF as the authoritative document, any document used to facilitate internal USPTO processes must be the authoritative document. </w:t>
      </w:r>
      <w:r w:rsidRPr="786EC198">
        <w:rPr>
          <w:rFonts w:ascii="Arial" w:eastAsia="Arial" w:hAnsi="Arial" w:cs="Arial"/>
        </w:rPr>
        <w:t>For reasons stated, the USPTO has determined that documents submitted in the DOCX format better facilitate internal USPTO processes. PDF submissions, even rich text formatted PDF submissions, do not provide the same benefits to internal processes as filing in the DOCX format. Therefore, t</w:t>
      </w:r>
      <w:r w:rsidRPr="786EC198">
        <w:rPr>
          <w:rFonts w:ascii="Arial" w:eastAsia="Arial" w:hAnsi="Arial" w:cs="Arial"/>
          <w:color w:val="333333"/>
        </w:rPr>
        <w:t xml:space="preserve">he USPTO is implementing a DOCX filing format to align with its plans to </w:t>
      </w:r>
      <w:r w:rsidRPr="786EC198">
        <w:rPr>
          <w:rFonts w:ascii="Arial" w:eastAsia="Arial" w:hAnsi="Arial" w:cs="Arial"/>
        </w:rPr>
        <w:t>modernize and streamline its patent application systems. In such a system, the DOCX formatted submission must be the authoritative document.</w:t>
      </w:r>
    </w:p>
    <w:p w:rsidR="00193564" w:rsidRPr="00AD423E" w:rsidP="786EC198" w14:paraId="7C76BEBD" w14:textId="6FC9F174">
      <w:pPr>
        <w:tabs>
          <w:tab w:val="left" w:pos="1820"/>
        </w:tabs>
        <w:jc w:val="both"/>
        <w:rPr>
          <w:rFonts w:ascii="Arial" w:eastAsia="Arial" w:hAnsi="Arial" w:cs="Arial"/>
          <w:b/>
          <w:bCs/>
        </w:rPr>
      </w:pPr>
      <w:r w:rsidRPr="786EC198">
        <w:rPr>
          <w:rFonts w:ascii="Arial" w:eastAsia="Arial" w:hAnsi="Arial" w:cs="Arial"/>
          <w:b/>
          <w:bCs/>
        </w:rPr>
        <w:t xml:space="preserve"> </w:t>
      </w:r>
    </w:p>
    <w:p w:rsidR="00193564" w:rsidRPr="00AD423E" w:rsidP="786EC198" w14:paraId="2BF02BA4" w14:textId="6C4B4403">
      <w:pPr>
        <w:tabs>
          <w:tab w:val="left" w:pos="1820"/>
        </w:tabs>
        <w:jc w:val="both"/>
        <w:rPr>
          <w:rFonts w:ascii="Arial" w:eastAsia="Arial" w:hAnsi="Arial" w:cs="Arial"/>
          <w:b/>
          <w:bCs/>
        </w:rPr>
      </w:pPr>
      <w:r w:rsidRPr="786EC198">
        <w:rPr>
          <w:rFonts w:ascii="Arial" w:eastAsia="Arial" w:hAnsi="Arial" w:cs="Arial"/>
          <w:b/>
          <w:bCs/>
        </w:rPr>
        <w:t>PDF Study</w:t>
      </w:r>
    </w:p>
    <w:p w:rsidR="00193564" w:rsidRPr="00AD423E" w:rsidP="786EC198" w14:paraId="18D6650C" w14:textId="3512F093">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4630FFCA" w14:textId="429B864B">
      <w:pPr>
        <w:tabs>
          <w:tab w:val="left" w:pos="1820"/>
        </w:tabs>
        <w:jc w:val="both"/>
        <w:rPr>
          <w:rFonts w:ascii="Arial" w:eastAsia="Arial" w:hAnsi="Arial" w:cs="Arial"/>
          <w:b/>
          <w:bCs/>
        </w:rPr>
      </w:pPr>
      <w:r w:rsidRPr="786EC198">
        <w:rPr>
          <w:rFonts w:ascii="Arial" w:eastAsia="Arial" w:hAnsi="Arial" w:cs="Arial"/>
          <w:b/>
          <w:bCs/>
        </w:rPr>
        <w:t>Comment 11:</w:t>
      </w:r>
    </w:p>
    <w:p w:rsidR="00193564" w:rsidRPr="00AD423E" w:rsidP="786EC198" w14:paraId="24EFD98F" w14:textId="6A768A08">
      <w:pPr>
        <w:tabs>
          <w:tab w:val="left" w:pos="1820"/>
        </w:tabs>
        <w:jc w:val="both"/>
        <w:rPr>
          <w:rFonts w:ascii="Arial" w:eastAsia="Arial" w:hAnsi="Arial" w:cs="Arial"/>
        </w:rPr>
      </w:pPr>
      <w:r w:rsidRPr="786EC198">
        <w:rPr>
          <w:rFonts w:ascii="Arial" w:eastAsia="Arial" w:hAnsi="Arial" w:cs="Arial"/>
        </w:rPr>
        <w:t>Some commenters discussed</w:t>
      </w:r>
      <w:r w:rsidRPr="786EC198">
        <w:rPr>
          <w:rFonts w:ascii="Arial" w:eastAsia="Arial" w:hAnsi="Arial" w:cs="Arial"/>
          <w:b/>
          <w:bCs/>
        </w:rPr>
        <w:t xml:space="preserve"> </w:t>
      </w:r>
      <w:r w:rsidRPr="786EC198">
        <w:rPr>
          <w:rFonts w:ascii="Arial" w:eastAsia="Arial" w:hAnsi="Arial" w:cs="Arial"/>
        </w:rPr>
        <w:t>a previous USPTO study which investigated the use of PDFs and their application to USPTO processes. These commenters claim that the USPTO has been misrepresenting the findings of the</w:t>
      </w:r>
      <w:r w:rsidRPr="786EC198">
        <w:rPr>
          <w:rFonts w:ascii="Arial" w:eastAsia="Arial" w:hAnsi="Arial" w:cs="Arial"/>
          <w:color w:val="498205"/>
        </w:rPr>
        <w:t xml:space="preserve"> </w:t>
      </w:r>
      <w:r w:rsidRPr="786EC198">
        <w:rPr>
          <w:rFonts w:ascii="Arial" w:eastAsia="Arial" w:hAnsi="Arial" w:cs="Arial"/>
        </w:rPr>
        <w:t>study as supportive of the DOCX standard; the commenters assert that the study shows the benefits of the PDF standard. The commenters believe that the USPTO should have disclosed this study in our previous rulemaking. As a result, the commenters say that our nondisclosure of the study did not follow the Administrative Procedure Act (APA).</w:t>
      </w:r>
    </w:p>
    <w:p w:rsidR="00193564" w:rsidRPr="00AD423E" w:rsidP="786EC198" w14:paraId="2EC62FA3" w14:textId="00A244BC">
      <w:pPr>
        <w:jc w:val="both"/>
        <w:rPr>
          <w:rFonts w:ascii="Arial" w:eastAsia="Arial" w:hAnsi="Arial" w:cs="Arial"/>
          <w:b/>
          <w:bCs/>
        </w:rPr>
      </w:pPr>
      <w:r>
        <w:br/>
      </w:r>
      <w:r w:rsidRPr="786EC198" w:rsidR="551C1419">
        <w:rPr>
          <w:rFonts w:ascii="Arial" w:eastAsia="Arial" w:hAnsi="Arial" w:cs="Arial"/>
          <w:b/>
          <w:bCs/>
        </w:rPr>
        <w:t>Response:</w:t>
      </w:r>
    </w:p>
    <w:p w:rsidR="00193564" w:rsidRPr="00AD423E" w:rsidP="786EC198" w14:paraId="3E5C7854" w14:textId="6EABC586">
      <w:pPr>
        <w:tabs>
          <w:tab w:val="left" w:pos="1820"/>
        </w:tabs>
        <w:jc w:val="both"/>
        <w:rPr>
          <w:rFonts w:ascii="Arial" w:eastAsia="Arial" w:hAnsi="Arial" w:cs="Arial"/>
        </w:rPr>
      </w:pPr>
      <w:r w:rsidRPr="786EC198">
        <w:rPr>
          <w:rFonts w:ascii="Arial" w:eastAsia="Arial" w:hAnsi="Arial" w:cs="Arial"/>
        </w:rPr>
        <w:t xml:space="preserve">The USPTO made the decision to encourage submissions of applicant files via DOCX format in order to leverage the structured text and not rely upon the OCR process of the PDF conversion. This decision was reached based on internal IT considerations and initiatives, external sources, and industry practices, not solely based on any one study. The USPTO referenced the study in its </w:t>
      </w:r>
      <w:r w:rsidRPr="786EC198">
        <w:rPr>
          <w:rFonts w:ascii="Arial" w:eastAsia="Arial" w:hAnsi="Arial" w:cs="Arial"/>
          <w:color w:val="222222"/>
        </w:rPr>
        <w:t xml:space="preserve">Patent Fee Rule </w:t>
      </w:r>
      <w:r w:rsidRPr="786EC198">
        <w:rPr>
          <w:rFonts w:ascii="Arial" w:eastAsia="Arial" w:hAnsi="Arial" w:cs="Arial"/>
        </w:rPr>
        <w:t>as part of responses to comments received</w:t>
      </w:r>
      <w:r w:rsidR="00BE25D1">
        <w:rPr>
          <w:rFonts w:ascii="Arial" w:eastAsia="Arial" w:hAnsi="Arial" w:cs="Arial"/>
        </w:rPr>
        <w:t xml:space="preserve"> (88 FR at 46957)</w:t>
      </w:r>
      <w:r w:rsidRPr="786EC198">
        <w:rPr>
          <w:rFonts w:ascii="Arial" w:eastAsia="Arial" w:hAnsi="Arial" w:cs="Arial"/>
        </w:rPr>
        <w:t>.</w:t>
      </w:r>
    </w:p>
    <w:p w:rsidR="00193564" w:rsidRPr="00AD423E" w:rsidP="786EC198" w14:paraId="60A54A46" w14:textId="263DB437">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03F7C39D" w14:textId="2BA7633C">
      <w:pPr>
        <w:tabs>
          <w:tab w:val="left" w:pos="1820"/>
        </w:tabs>
        <w:jc w:val="both"/>
        <w:rPr>
          <w:rFonts w:ascii="Arial" w:eastAsia="Arial" w:hAnsi="Arial" w:cs="Arial"/>
        </w:rPr>
      </w:pPr>
      <w:r w:rsidRPr="786EC198">
        <w:rPr>
          <w:rFonts w:ascii="Arial" w:eastAsia="Arial" w:hAnsi="Arial" w:cs="Arial"/>
        </w:rPr>
        <w:t xml:space="preserve">The USPTO did not misrepresent the yearlong study of the feasibility of processing text in PDF documents. The results showed that searchable text data is available in some PDFs, but the order and accuracy of the content could not be preserved. With DOCX, the USPTO is able to use the text directly and pass it to our downstream systems, which </w:t>
      </w:r>
      <w:r w:rsidRPr="786EC198">
        <w:rPr>
          <w:rFonts w:ascii="Arial" w:eastAsia="Arial" w:hAnsi="Arial" w:cs="Arial"/>
        </w:rPr>
        <w:t>results in increased data accuracy and a more streamlined patent process.</w:t>
      </w:r>
    </w:p>
    <w:p w:rsidR="00193564" w:rsidRPr="00AD423E" w:rsidP="786EC198" w14:paraId="15988413" w14:textId="1693159E">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6AC26760" w14:textId="084AC9AE">
      <w:pPr>
        <w:tabs>
          <w:tab w:val="left" w:pos="1820"/>
        </w:tabs>
        <w:jc w:val="both"/>
        <w:rPr>
          <w:rFonts w:ascii="Arial" w:eastAsia="Arial" w:hAnsi="Arial" w:cs="Arial"/>
          <w:b/>
          <w:bCs/>
        </w:rPr>
      </w:pPr>
      <w:r w:rsidRPr="786EC198">
        <w:rPr>
          <w:rFonts w:ascii="Arial" w:eastAsia="Arial" w:hAnsi="Arial" w:cs="Arial"/>
          <w:b/>
          <w:bCs/>
        </w:rPr>
        <w:t>Non-DOCX Filing Surcharge Fee</w:t>
      </w:r>
    </w:p>
    <w:p w:rsidR="00193564" w:rsidRPr="00AD423E" w:rsidP="786EC198" w14:paraId="7EBB8008" w14:textId="6CFBAA88">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9D6851E" w14:textId="67E69287">
      <w:pPr>
        <w:tabs>
          <w:tab w:val="left" w:pos="1820"/>
        </w:tabs>
        <w:jc w:val="both"/>
        <w:rPr>
          <w:rFonts w:ascii="Arial" w:eastAsia="Arial" w:hAnsi="Arial" w:cs="Arial"/>
          <w:b/>
          <w:bCs/>
        </w:rPr>
      </w:pPr>
      <w:r w:rsidRPr="786EC198">
        <w:rPr>
          <w:rFonts w:ascii="Arial" w:eastAsia="Arial" w:hAnsi="Arial" w:cs="Arial"/>
          <w:b/>
          <w:bCs/>
        </w:rPr>
        <w:t>Comment 12:</w:t>
      </w:r>
    </w:p>
    <w:p w:rsidR="00193564" w:rsidRPr="00AD423E" w:rsidP="786EC198" w14:paraId="7A130CC3" w14:textId="4542E432">
      <w:pPr>
        <w:tabs>
          <w:tab w:val="left" w:pos="1820"/>
        </w:tabs>
        <w:jc w:val="both"/>
        <w:rPr>
          <w:rFonts w:ascii="Arial" w:eastAsia="Arial" w:hAnsi="Arial" w:cs="Arial"/>
        </w:rPr>
      </w:pPr>
      <w:r w:rsidRPr="786EC198">
        <w:rPr>
          <w:rFonts w:ascii="Arial" w:eastAsia="Arial" w:hAnsi="Arial" w:cs="Arial"/>
        </w:rPr>
        <w:t>Most commenters expressed their desire for the USPTO to reduce or withdraw the $400 fee for applicants filing a document in a non-DOCX format. Some of the commenters expressed confusion or concern that the fee is much higher than the costs associated with the OCR process. These commenters asserted that, based on previous documentation from the USPTO, the cost to OCR documents was estimated to be $3.15 and the non-DOCX fee is exponentially greater than that cost. The commenters concluded that this showed that the fee associated with filing a document in a non-DOCX format is not justified and should be much lower than the $400 fee amount.</w:t>
      </w:r>
    </w:p>
    <w:p w:rsidR="00193564" w:rsidRPr="00AD423E" w:rsidP="786EC198" w14:paraId="45FE5E4E" w14:textId="4075F46E">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5DC28621" w14:textId="479D1631">
      <w:pPr>
        <w:tabs>
          <w:tab w:val="left" w:pos="1820"/>
        </w:tabs>
        <w:jc w:val="both"/>
        <w:rPr>
          <w:rFonts w:ascii="Arial" w:eastAsia="Arial" w:hAnsi="Arial" w:cs="Arial"/>
        </w:rPr>
      </w:pPr>
      <w:r w:rsidRPr="786EC198">
        <w:rPr>
          <w:rFonts w:ascii="Arial" w:eastAsia="Arial" w:hAnsi="Arial" w:cs="Arial"/>
          <w:b/>
          <w:bCs/>
        </w:rPr>
        <w:t>Response</w:t>
      </w:r>
      <w:r w:rsidRPr="786EC198">
        <w:rPr>
          <w:rFonts w:ascii="Arial" w:eastAsia="Arial" w:hAnsi="Arial" w:cs="Arial"/>
        </w:rPr>
        <w:t>:</w:t>
      </w:r>
    </w:p>
    <w:p w:rsidR="00193564" w:rsidRPr="00AD423E" w:rsidP="786EC198" w14:paraId="6330C073" w14:textId="432BBA90">
      <w:pPr>
        <w:tabs>
          <w:tab w:val="left" w:pos="1820"/>
        </w:tabs>
        <w:jc w:val="both"/>
        <w:rPr>
          <w:rFonts w:ascii="Arial" w:eastAsia="Arial" w:hAnsi="Arial" w:cs="Arial"/>
        </w:rPr>
      </w:pPr>
      <w:r w:rsidRPr="786EC198">
        <w:rPr>
          <w:rFonts w:ascii="Arial" w:eastAsia="Arial" w:hAnsi="Arial" w:cs="Arial"/>
        </w:rPr>
        <w:t>The USPTO acknowledges that the cost to OCR documents was previously explained to be $3.15. However, this amount does not include other costs incurred in processing these documents. The use of image-based PDFs incurs many costs over the lifetime of an application. There are large costs associated with the USPTO’s systems and personnel—from preexamination, examination, and publication—due to the need to apply OCR to convert image-based PDFs into structured text that can be leveraged by downstream systems, and in many cases for staff to manually review the changes. The surcharge is applied not only to account for these costs, but also to address rising expenses.</w:t>
      </w:r>
    </w:p>
    <w:p w:rsidR="00193564" w:rsidRPr="00AD423E" w:rsidP="786EC198" w14:paraId="4D60F595" w14:textId="1CFDFE83">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12710B73" w14:textId="425E58BC">
      <w:pPr>
        <w:tabs>
          <w:tab w:val="left" w:pos="1820"/>
        </w:tabs>
        <w:jc w:val="both"/>
        <w:rPr>
          <w:rFonts w:ascii="Arial" w:eastAsia="Arial" w:hAnsi="Arial" w:cs="Arial"/>
        </w:rPr>
      </w:pPr>
      <w:r w:rsidRPr="786EC198">
        <w:rPr>
          <w:rFonts w:ascii="Arial" w:eastAsia="Arial" w:hAnsi="Arial" w:cs="Arial"/>
        </w:rPr>
        <w:t xml:space="preserve">Additionally, USPTO fee setting is not limited to the exact cost of a particular item. As explained in the </w:t>
      </w:r>
      <w:r w:rsidRPr="786EC198">
        <w:rPr>
          <w:rFonts w:ascii="Arial" w:eastAsia="Arial" w:hAnsi="Arial" w:cs="Arial"/>
          <w:color w:val="222222"/>
        </w:rPr>
        <w:t xml:space="preserve">Patent Fee Rule, </w:t>
      </w:r>
      <w:r w:rsidRPr="786EC198">
        <w:rPr>
          <w:rFonts w:ascii="Arial" w:eastAsia="Arial" w:hAnsi="Arial" w:cs="Arial"/>
        </w:rPr>
        <w:t>individual fees are not necessarily set equal to the estimated cost of performing the activities related to the fee. Instead, some of the individual fees are set at, above, or below their unit costs to balance several key fee setting policy factors: promoting innovation strategies, aligning fees with the full cost of products and services, facilitating effective administration of the patent system, and offering patent processing options to applicants.</w:t>
      </w:r>
    </w:p>
    <w:p w:rsidR="00193564" w:rsidRPr="00AD423E" w:rsidP="786EC198" w14:paraId="634FD169" w14:textId="35274F6F">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2B0B3692" w14:textId="19666AB1">
      <w:pPr>
        <w:tabs>
          <w:tab w:val="left" w:pos="1820"/>
        </w:tabs>
        <w:jc w:val="both"/>
        <w:rPr>
          <w:rFonts w:ascii="Arial" w:eastAsia="Arial" w:hAnsi="Arial" w:cs="Arial"/>
        </w:rPr>
      </w:pPr>
      <w:r w:rsidRPr="786EC198">
        <w:rPr>
          <w:rFonts w:ascii="Arial" w:eastAsia="Arial" w:hAnsi="Arial" w:cs="Arial"/>
        </w:rPr>
        <w:t>The USPTO implements the non-DOCX filing surcharge fee because filing in the DOCX format (1) provides advantages to examiners during examination; (2) focuses patent resources on providing meaningful benefits to patent applicants (immediate feedback during submission, etc.) rather than diffusing those resources across many IT initiatives; and (3) yields structured text that enhances the ability and speed at which items are searchable and disseminated.</w:t>
      </w:r>
    </w:p>
    <w:p w:rsidR="00193564" w:rsidRPr="00AD423E" w:rsidP="786EC198" w14:paraId="7F1B6309" w14:textId="52F0C1B8">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2E0322D6" w14:textId="3B8F26C6">
      <w:pPr>
        <w:jc w:val="both"/>
        <w:rPr>
          <w:rFonts w:ascii="Arial" w:eastAsia="Arial" w:hAnsi="Arial" w:cs="Arial"/>
          <w:b/>
          <w:bCs/>
        </w:rPr>
      </w:pPr>
      <w:r w:rsidRPr="786EC198">
        <w:rPr>
          <w:rFonts w:ascii="Arial" w:eastAsia="Arial" w:hAnsi="Arial" w:cs="Arial"/>
          <w:b/>
          <w:bCs/>
        </w:rPr>
        <w:t>Estimated Time Burden for Filing in DOCX</w:t>
      </w:r>
    </w:p>
    <w:p w:rsidR="00193564" w:rsidRPr="00AD423E" w:rsidP="786EC198" w14:paraId="275D9CEC" w14:textId="1FBC6D16">
      <w:pPr>
        <w:jc w:val="both"/>
        <w:rPr>
          <w:rFonts w:ascii="Arial" w:eastAsia="Arial" w:hAnsi="Arial" w:cs="Arial"/>
          <w:b/>
          <w:bCs/>
        </w:rPr>
      </w:pPr>
      <w:r w:rsidRPr="786EC198">
        <w:rPr>
          <w:rFonts w:ascii="Arial" w:eastAsia="Arial" w:hAnsi="Arial" w:cs="Arial"/>
          <w:b/>
          <w:bCs/>
        </w:rPr>
        <w:t xml:space="preserve"> </w:t>
      </w:r>
    </w:p>
    <w:p w:rsidR="00193564" w:rsidRPr="00AD423E" w:rsidP="786EC198" w14:paraId="401E1254" w14:textId="414F4010">
      <w:pPr>
        <w:jc w:val="both"/>
        <w:rPr>
          <w:rFonts w:ascii="Arial" w:eastAsia="Arial" w:hAnsi="Arial" w:cs="Arial"/>
          <w:b/>
          <w:bCs/>
        </w:rPr>
      </w:pPr>
      <w:r w:rsidRPr="786EC198">
        <w:rPr>
          <w:rFonts w:ascii="Arial" w:eastAsia="Arial" w:hAnsi="Arial" w:cs="Arial"/>
          <w:b/>
          <w:bCs/>
        </w:rPr>
        <w:t>Comment 13:</w:t>
      </w:r>
    </w:p>
    <w:p w:rsidR="00193564" w:rsidRPr="00AD423E" w:rsidP="786EC198" w14:paraId="1DD8856D" w14:textId="1B6EDE61">
      <w:pPr>
        <w:jc w:val="both"/>
        <w:rPr>
          <w:rFonts w:ascii="Arial" w:eastAsia="Arial" w:hAnsi="Arial" w:cs="Arial"/>
        </w:rPr>
      </w:pPr>
      <w:r w:rsidRPr="786EC198">
        <w:rPr>
          <w:rFonts w:ascii="Arial" w:eastAsia="Arial" w:hAnsi="Arial" w:cs="Arial"/>
        </w:rPr>
        <w:t xml:space="preserve">Several commenters expressed concerns that the time estimate given in this proposed information collection does not account for the time that they will spend reviewing the documents in light of all the issues raised with submitting in DOCX format. They assert that the USPTO’s proposed estimate of an additional 0.5 hour (30 minutes) for those </w:t>
      </w:r>
      <w:r w:rsidRPr="786EC198">
        <w:rPr>
          <w:rFonts w:ascii="Arial" w:eastAsia="Arial" w:hAnsi="Arial" w:cs="Arial"/>
        </w:rPr>
        <w:t>users who are filling applications in DOCX format is too low. Commenters estimated that they needed between 3 to 6 additional hours to review a single application filed in DOCX, including time spent consulting with their client and reviewing the documents both upon submission and at the 18-month mark.</w:t>
      </w:r>
    </w:p>
    <w:p w:rsidR="00193564" w:rsidRPr="00AD423E" w:rsidP="786EC198" w14:paraId="0B7822A7" w14:textId="02655C73">
      <w:pPr>
        <w:jc w:val="both"/>
        <w:rPr>
          <w:rFonts w:ascii="Arial" w:eastAsia="Arial" w:hAnsi="Arial" w:cs="Arial"/>
        </w:rPr>
      </w:pPr>
      <w:r w:rsidRPr="786EC198">
        <w:rPr>
          <w:rFonts w:ascii="Arial" w:eastAsia="Arial" w:hAnsi="Arial" w:cs="Arial"/>
        </w:rPr>
        <w:t xml:space="preserve"> </w:t>
      </w:r>
    </w:p>
    <w:p w:rsidR="00193564" w:rsidRPr="00AD423E" w:rsidP="786EC198" w14:paraId="1ACFB248" w14:textId="368605CB">
      <w:pPr>
        <w:jc w:val="both"/>
        <w:rPr>
          <w:rFonts w:ascii="Arial" w:eastAsia="Arial" w:hAnsi="Arial" w:cs="Arial"/>
          <w:b/>
          <w:bCs/>
        </w:rPr>
      </w:pPr>
      <w:r w:rsidRPr="786EC198">
        <w:rPr>
          <w:rFonts w:ascii="Arial" w:eastAsia="Arial" w:hAnsi="Arial" w:cs="Arial"/>
          <w:b/>
          <w:bCs/>
        </w:rPr>
        <w:t>Response:</w:t>
      </w:r>
    </w:p>
    <w:p w:rsidR="00193564" w:rsidRPr="00AD423E" w:rsidP="786EC198" w14:paraId="47650D96" w14:textId="489A8A8A">
      <w:pPr>
        <w:jc w:val="both"/>
        <w:rPr>
          <w:rFonts w:ascii="Arial" w:eastAsia="Arial" w:hAnsi="Arial" w:cs="Arial"/>
        </w:rPr>
      </w:pPr>
      <w:r w:rsidRPr="786EC198">
        <w:rPr>
          <w:rFonts w:ascii="Arial" w:eastAsia="Arial" w:hAnsi="Arial" w:cs="Arial"/>
        </w:rPr>
        <w:t xml:space="preserve">This information collection covers any extra review for DOCX filers due to either validation issues or conversion concerns. Regarding the estimated time for applicants to review their documents, the USPTO considered the most recent feedback received and maintains that the estimated time burden of 30 minutes is an adequate amount of time and does not warrant a further increase. The 30-minute estimate is an average of the time needed across all patent applications submitted in the DOCX format. For this estimate, the USPTO took into account suggestions from commenters on the additional time needed for review of DOCX filings during the renewal of 0651-0032 in 2020-2021. </w:t>
      </w:r>
    </w:p>
    <w:p w:rsidR="00193564" w:rsidRPr="00AD423E" w:rsidP="786EC198" w14:paraId="233BD5B6" w14:textId="17B9285F">
      <w:pPr>
        <w:jc w:val="both"/>
        <w:rPr>
          <w:rFonts w:ascii="Arial" w:eastAsia="Arial" w:hAnsi="Arial" w:cs="Arial"/>
        </w:rPr>
      </w:pPr>
      <w:r w:rsidRPr="786EC198">
        <w:rPr>
          <w:rFonts w:ascii="Arial" w:eastAsia="Arial" w:hAnsi="Arial" w:cs="Arial"/>
        </w:rPr>
        <w:t xml:space="preserve"> </w:t>
      </w:r>
    </w:p>
    <w:p w:rsidR="00193564" w:rsidRPr="00AD423E" w:rsidP="786EC198" w14:paraId="02F49522" w14:textId="234910A9">
      <w:pPr>
        <w:jc w:val="both"/>
        <w:rPr>
          <w:rFonts w:ascii="Arial" w:eastAsia="Arial" w:hAnsi="Arial" w:cs="Arial"/>
        </w:rPr>
      </w:pPr>
      <w:r w:rsidRPr="786EC198">
        <w:rPr>
          <w:rFonts w:ascii="Arial" w:eastAsia="Arial" w:hAnsi="Arial" w:cs="Arial"/>
        </w:rPr>
        <w:t>Most filers will not need any additional time under this information collection to review documents. The USPTO acknowledges that some filers submitting complex and technical applications could take longer than the estimated 30 minutes to review the documents. However, the USPTO believes that the 30 minutes of additional time is a reasonable average for the entire applicant pool.</w:t>
      </w:r>
    </w:p>
    <w:p w:rsidR="00193564" w:rsidRPr="00AD423E" w:rsidP="786EC198" w14:paraId="6A8ADC9E" w14:textId="64305E20">
      <w:pPr>
        <w:jc w:val="both"/>
        <w:rPr>
          <w:rFonts w:ascii="Arial" w:eastAsia="Arial" w:hAnsi="Arial" w:cs="Arial"/>
        </w:rPr>
      </w:pPr>
      <w:r w:rsidRPr="786EC198">
        <w:rPr>
          <w:rFonts w:ascii="Arial" w:eastAsia="Arial" w:hAnsi="Arial" w:cs="Arial"/>
        </w:rPr>
        <w:t xml:space="preserve"> </w:t>
      </w:r>
    </w:p>
    <w:p w:rsidR="00193564" w:rsidRPr="00AD423E" w:rsidP="786EC198" w14:paraId="226B64C4" w14:textId="04FA46BE">
      <w:pPr>
        <w:jc w:val="both"/>
        <w:rPr>
          <w:rFonts w:ascii="Arial" w:eastAsia="Arial" w:hAnsi="Arial" w:cs="Arial"/>
        </w:rPr>
      </w:pPr>
      <w:r w:rsidRPr="786EC198">
        <w:rPr>
          <w:rFonts w:ascii="Arial" w:eastAsia="Arial" w:hAnsi="Arial" w:cs="Arial"/>
        </w:rPr>
        <w:t>Some commenters suggested that time spent consulting with clients and training activities be included in the estimated time burden, however those actions are outside the definition of burden under the Paperwork Reduction Act (PRA). The USPTO’s estimate for this information collection includes the time spent to review and submit patent applications in DOCX format to the USPTO. While legal deliberation about the choices leading up to submission is critical in developing a patent application, such actions are outside the scope of this information collection.</w:t>
      </w:r>
    </w:p>
    <w:p w:rsidR="00193564" w:rsidRPr="00AD423E" w:rsidP="786EC198" w14:paraId="2C3431B8" w14:textId="28BFE36C">
      <w:pPr>
        <w:jc w:val="both"/>
        <w:rPr>
          <w:rFonts w:ascii="Arial" w:eastAsia="Arial" w:hAnsi="Arial" w:cs="Arial"/>
        </w:rPr>
      </w:pPr>
      <w:r w:rsidRPr="786EC198">
        <w:rPr>
          <w:rFonts w:ascii="Arial" w:eastAsia="Arial" w:hAnsi="Arial" w:cs="Arial"/>
        </w:rPr>
        <w:t xml:space="preserve"> </w:t>
      </w:r>
    </w:p>
    <w:p w:rsidR="00193564" w:rsidRPr="00AD423E" w:rsidP="786EC198" w14:paraId="682A787D" w14:textId="4EC5A19C">
      <w:pPr>
        <w:tabs>
          <w:tab w:val="left" w:pos="1820"/>
        </w:tabs>
        <w:jc w:val="both"/>
        <w:rPr>
          <w:rFonts w:ascii="Arial" w:eastAsia="Arial" w:hAnsi="Arial" w:cs="Arial"/>
        </w:rPr>
      </w:pPr>
      <w:r w:rsidRPr="786EC198">
        <w:rPr>
          <w:rFonts w:ascii="Arial" w:eastAsia="Arial" w:hAnsi="Arial" w:cs="Arial"/>
        </w:rPr>
        <w:t>In addition, DOCX will provide for efficiencies and time savings both at the time of filing and during prosecution. For example, at the time of filing, applicants who choose to file in PDF through Patent Center may convert their DOCX document into a single PDF document, but must identify for the system which part of the PDF document corresponds to the specification, claims, and abstract (and drawings, if provided) portions. Filing in DOCX permits applicants to avoid these steps because Patent Center automatically indexes the specification, claims, and abstract (and drawings, if provided) portions of the DOCX document. During prosecution, efficiencies include improved downstream reuse of content by applicants and the USPTO, and improved searches for patent applications.</w:t>
      </w:r>
    </w:p>
    <w:p w:rsidR="00193564" w:rsidRPr="00AD423E" w:rsidP="786EC198" w14:paraId="3A5CE589" w14:textId="40F577DF">
      <w:pPr>
        <w:jc w:val="both"/>
        <w:rPr>
          <w:rFonts w:ascii="Arial" w:eastAsia="Arial" w:hAnsi="Arial" w:cs="Arial"/>
        </w:rPr>
      </w:pPr>
      <w:r w:rsidRPr="786EC198">
        <w:rPr>
          <w:rFonts w:ascii="Arial" w:eastAsia="Arial" w:hAnsi="Arial" w:cs="Arial"/>
        </w:rPr>
        <w:t xml:space="preserve"> </w:t>
      </w:r>
    </w:p>
    <w:p w:rsidR="00193564" w:rsidRPr="00AD423E" w:rsidP="786EC198" w14:paraId="643FFCEF" w14:textId="2115ED46">
      <w:pPr>
        <w:tabs>
          <w:tab w:val="left" w:pos="1820"/>
        </w:tabs>
        <w:jc w:val="both"/>
        <w:rPr>
          <w:rFonts w:ascii="Arial" w:eastAsia="Arial" w:hAnsi="Arial" w:cs="Arial"/>
          <w:b/>
          <w:bCs/>
        </w:rPr>
      </w:pPr>
      <w:r w:rsidRPr="786EC198">
        <w:rPr>
          <w:rFonts w:ascii="Arial" w:eastAsia="Arial" w:hAnsi="Arial" w:cs="Arial"/>
          <w:b/>
          <w:bCs/>
        </w:rPr>
        <w:t>Comment 14:</w:t>
      </w:r>
    </w:p>
    <w:p w:rsidR="00193564" w:rsidRPr="00AD423E" w:rsidP="786EC198" w14:paraId="08B67299" w14:textId="17AA51CD">
      <w:pPr>
        <w:tabs>
          <w:tab w:val="left" w:pos="1820"/>
        </w:tabs>
        <w:jc w:val="both"/>
        <w:rPr>
          <w:rFonts w:ascii="Arial" w:eastAsia="Arial" w:hAnsi="Arial" w:cs="Arial"/>
        </w:rPr>
      </w:pPr>
      <w:r w:rsidRPr="786EC198">
        <w:rPr>
          <w:rFonts w:ascii="Arial" w:eastAsia="Arial" w:hAnsi="Arial" w:cs="Arial"/>
        </w:rPr>
        <w:t xml:space="preserve">One commenter expressed concern that the USPTO guidance on the use of preferred fonts for patent applications “imposes additional burden” that is not approved by OMB under the PRA, and contains requirements that are not codified in regulations. </w:t>
      </w:r>
    </w:p>
    <w:p w:rsidR="00193564" w:rsidRPr="00AD423E" w:rsidP="786EC198" w14:paraId="2FDC5DBA" w14:textId="1E630965">
      <w:pPr>
        <w:tabs>
          <w:tab w:val="left" w:pos="1820"/>
        </w:tabs>
        <w:jc w:val="both"/>
        <w:rPr>
          <w:rFonts w:ascii="Arial" w:eastAsia="Arial" w:hAnsi="Arial" w:cs="Arial"/>
          <w:b/>
          <w:bCs/>
        </w:rPr>
      </w:pPr>
      <w:r w:rsidRPr="786EC198">
        <w:rPr>
          <w:rFonts w:ascii="Arial" w:eastAsia="Arial" w:hAnsi="Arial" w:cs="Arial"/>
          <w:b/>
          <w:bCs/>
        </w:rPr>
        <w:t xml:space="preserve"> </w:t>
      </w:r>
    </w:p>
    <w:p w:rsidR="00193564" w:rsidRPr="00AD423E" w:rsidP="786EC198" w14:paraId="01FF073F" w14:textId="2E04C6FA">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46E06A7A" w14:textId="3A71D14B">
      <w:pPr>
        <w:tabs>
          <w:tab w:val="left" w:pos="1820"/>
        </w:tabs>
        <w:jc w:val="both"/>
        <w:rPr>
          <w:rFonts w:ascii="Arial" w:eastAsia="Arial" w:hAnsi="Arial" w:cs="Arial"/>
        </w:rPr>
      </w:pPr>
      <w:r w:rsidRPr="786EC198">
        <w:rPr>
          <w:rFonts w:ascii="Arial" w:eastAsia="Arial" w:hAnsi="Arial" w:cs="Arial"/>
        </w:rPr>
        <w:t xml:space="preserve">The USPTO disagrees that the identified guidance documents impose any additional </w:t>
      </w:r>
      <w:r w:rsidRPr="786EC198">
        <w:rPr>
          <w:rFonts w:ascii="Arial" w:eastAsia="Arial" w:hAnsi="Arial" w:cs="Arial"/>
        </w:rPr>
        <w:t xml:space="preserve">burdens that need to be accounted for in this information collection. The guidance documents identified by the commenter provide information and instructions to assist users as they interact with USPTO systems. Among the guidance is the list of supported fonts (currently </w:t>
      </w:r>
      <w:r w:rsidR="00161559">
        <w:rPr>
          <w:rFonts w:ascii="Arial" w:eastAsia="Arial" w:hAnsi="Arial" w:cs="Arial"/>
        </w:rPr>
        <w:t>3</w:t>
      </w:r>
      <w:r w:rsidR="002252D4">
        <w:rPr>
          <w:rFonts w:ascii="Arial" w:eastAsia="Arial" w:hAnsi="Arial" w:cs="Arial"/>
        </w:rPr>
        <w:t>2</w:t>
      </w:r>
      <w:r w:rsidRPr="786EC198">
        <w:rPr>
          <w:rFonts w:ascii="Arial" w:eastAsia="Arial" w:hAnsi="Arial" w:cs="Arial"/>
        </w:rPr>
        <w:t xml:space="preserve">), which is based on the most commonly used fonts by applicants and are confirmed by the USPTO as not causing a rendering issue. The USPTO actively works to expand the list of supported fonts. If an applicant wishes to use a font that is not currently supported by the system, applicants may contact the </w:t>
      </w:r>
      <w:r w:rsidR="002E0249">
        <w:rPr>
          <w:rFonts w:ascii="Arial" w:eastAsia="Arial" w:hAnsi="Arial" w:cs="Arial"/>
        </w:rPr>
        <w:t xml:space="preserve">Electronic Business Center </w:t>
      </w:r>
      <w:r w:rsidRPr="786EC198">
        <w:rPr>
          <w:rFonts w:ascii="Arial" w:eastAsia="Arial" w:hAnsi="Arial" w:cs="Arial"/>
        </w:rPr>
        <w:t xml:space="preserve">and the proposed font may be added to the supported font list, as allowable following a thorough analysis of that font by the USPTO. </w:t>
      </w:r>
    </w:p>
    <w:p w:rsidR="00193564" w:rsidRPr="00AD423E" w:rsidP="786EC198" w14:paraId="73601D09" w14:textId="35581319">
      <w:pPr>
        <w:jc w:val="both"/>
        <w:rPr>
          <w:rFonts w:ascii="Arial" w:eastAsia="Arial" w:hAnsi="Arial" w:cs="Arial"/>
        </w:rPr>
      </w:pPr>
      <w:r w:rsidRPr="786EC198">
        <w:rPr>
          <w:rFonts w:ascii="Arial" w:eastAsia="Arial" w:hAnsi="Arial" w:cs="Arial"/>
        </w:rPr>
        <w:t xml:space="preserve"> </w:t>
      </w:r>
    </w:p>
    <w:p w:rsidR="00193564" w:rsidRPr="00AD423E" w:rsidP="786EC198" w14:paraId="43A0B7E7" w14:textId="08369587">
      <w:pPr>
        <w:tabs>
          <w:tab w:val="left" w:pos="1820"/>
        </w:tabs>
        <w:jc w:val="both"/>
        <w:rPr>
          <w:rFonts w:ascii="Arial" w:eastAsia="Arial" w:hAnsi="Arial" w:cs="Arial"/>
          <w:b/>
          <w:bCs/>
        </w:rPr>
      </w:pPr>
      <w:r w:rsidRPr="786EC198">
        <w:rPr>
          <w:rFonts w:ascii="Arial" w:eastAsia="Arial" w:hAnsi="Arial" w:cs="Arial"/>
          <w:b/>
          <w:bCs/>
        </w:rPr>
        <w:t>Comment 15:</w:t>
      </w:r>
    </w:p>
    <w:p w:rsidR="00193564" w:rsidRPr="00AD423E" w:rsidP="786EC198" w14:paraId="6973A320" w14:textId="416E67DB">
      <w:pPr>
        <w:tabs>
          <w:tab w:val="left" w:pos="1820"/>
        </w:tabs>
        <w:jc w:val="both"/>
        <w:rPr>
          <w:rFonts w:ascii="Arial" w:eastAsia="Arial" w:hAnsi="Arial" w:cs="Arial"/>
        </w:rPr>
      </w:pPr>
      <w:r w:rsidRPr="786EC198">
        <w:rPr>
          <w:rFonts w:ascii="Arial" w:eastAsia="Arial" w:hAnsi="Arial" w:cs="Arial"/>
        </w:rPr>
        <w:t>One commenter asserted that the USPTO’s solution to allow applicants to submit the auxiliary PDF, in addition to the DOCX formatted file, is unnecessarily duplicative.</w:t>
      </w:r>
    </w:p>
    <w:p w:rsidR="00193564" w:rsidRPr="00AD423E" w:rsidP="786EC198" w14:paraId="3CD25D29" w14:textId="598E507B">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2B9727A9" w14:textId="5AE163BE">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776F0FC3" w14:textId="32E5ADAA">
      <w:pPr>
        <w:tabs>
          <w:tab w:val="left" w:pos="1820"/>
        </w:tabs>
        <w:jc w:val="both"/>
        <w:rPr>
          <w:rFonts w:ascii="Arial" w:eastAsia="Arial" w:hAnsi="Arial" w:cs="Arial"/>
        </w:rPr>
      </w:pPr>
      <w:r w:rsidRPr="786EC198">
        <w:rPr>
          <w:rFonts w:ascii="Arial" w:eastAsia="Arial" w:hAnsi="Arial" w:cs="Arial"/>
        </w:rPr>
        <w:t xml:space="preserve">The submission of an auxiliary PDF is a voluntary action on the part of the applicant. The USPTO does not require submission of the auxiliary PDF. For those applicants who choose to submit an auxiliary PDF, the purpose of that document is to serve as a safeguard for the application in the unlikely event that any correction is needed later in the process. Recent results have shown very few issues with conversion of data type errors. As of </w:t>
      </w:r>
      <w:r w:rsidR="00BD3BE7">
        <w:rPr>
          <w:rFonts w:ascii="Arial" w:eastAsia="Arial" w:hAnsi="Arial" w:cs="Arial"/>
        </w:rPr>
        <w:t xml:space="preserve">December </w:t>
      </w:r>
      <w:r w:rsidRPr="786EC198">
        <w:rPr>
          <w:rFonts w:ascii="Arial" w:eastAsia="Arial" w:hAnsi="Arial" w:cs="Arial"/>
        </w:rPr>
        <w:t xml:space="preserve">2023, only </w:t>
      </w:r>
      <w:r w:rsidR="00BD3BE7">
        <w:rPr>
          <w:rFonts w:ascii="Arial" w:eastAsia="Arial" w:hAnsi="Arial" w:cs="Arial"/>
        </w:rPr>
        <w:t xml:space="preserve">seven </w:t>
      </w:r>
      <w:r w:rsidRPr="786EC198">
        <w:rPr>
          <w:rFonts w:ascii="Arial" w:eastAsia="Arial" w:hAnsi="Arial" w:cs="Arial"/>
        </w:rPr>
        <w:t>petitions have been received relating to a conversion of data type error out of 183,685 total applications submitted in DOCX</w:t>
      </w:r>
      <w:r w:rsidR="00161559">
        <w:rPr>
          <w:rFonts w:ascii="Arial" w:eastAsia="Arial" w:hAnsi="Arial" w:cs="Arial"/>
        </w:rPr>
        <w:t xml:space="preserve"> since the USPTO began accepting new applications in the DOCX format</w:t>
      </w:r>
      <w:r w:rsidRPr="786EC198">
        <w:rPr>
          <w:rFonts w:ascii="Arial" w:eastAsia="Arial" w:hAnsi="Arial" w:cs="Arial"/>
        </w:rPr>
        <w:t>.</w:t>
      </w:r>
    </w:p>
    <w:p w:rsidR="00193564" w:rsidRPr="00AD423E" w:rsidP="786EC198" w14:paraId="669A42D1" w14:textId="2AFF2F39">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67967FE1" w14:textId="6AA009D4">
      <w:pPr>
        <w:jc w:val="both"/>
        <w:rPr>
          <w:rFonts w:ascii="Arial" w:eastAsia="Arial" w:hAnsi="Arial" w:cs="Arial"/>
          <w:b/>
          <w:bCs/>
        </w:rPr>
      </w:pPr>
      <w:r w:rsidRPr="786EC198">
        <w:rPr>
          <w:rFonts w:ascii="Arial" w:eastAsia="Arial" w:hAnsi="Arial" w:cs="Arial"/>
          <w:b/>
          <w:bCs/>
        </w:rPr>
        <w:t>Comment 16:</w:t>
      </w:r>
    </w:p>
    <w:p w:rsidR="00193564" w:rsidRPr="00AD423E" w:rsidP="786EC198" w14:paraId="37CB5865" w14:textId="29C9ED17">
      <w:pPr>
        <w:jc w:val="both"/>
        <w:rPr>
          <w:rFonts w:ascii="Arial" w:eastAsia="Arial" w:hAnsi="Arial" w:cs="Arial"/>
        </w:rPr>
      </w:pPr>
      <w:r w:rsidRPr="786EC198">
        <w:rPr>
          <w:rFonts w:ascii="Arial" w:eastAsia="Arial" w:hAnsi="Arial" w:cs="Arial"/>
        </w:rPr>
        <w:t>Some commenters felt that the time needed to submit to the USPTO any error reports identifying application issues, font errors, and rendering and display concerns, and the time needed to resolve those issues, should be accounted for in this information collection, pursuant to the PRA.</w:t>
      </w:r>
    </w:p>
    <w:p w:rsidR="00193564" w:rsidRPr="00AD423E" w:rsidP="786EC198" w14:paraId="3849B74F" w14:textId="770CDBB8">
      <w:pPr>
        <w:jc w:val="both"/>
        <w:rPr>
          <w:rFonts w:ascii="Arial" w:eastAsia="Arial" w:hAnsi="Arial" w:cs="Arial"/>
        </w:rPr>
      </w:pPr>
      <w:r w:rsidRPr="786EC198">
        <w:rPr>
          <w:rFonts w:ascii="Arial" w:eastAsia="Arial" w:hAnsi="Arial" w:cs="Arial"/>
        </w:rPr>
        <w:t xml:space="preserve"> </w:t>
      </w:r>
    </w:p>
    <w:p w:rsidR="00193564" w:rsidRPr="00AD423E" w:rsidP="786EC198" w14:paraId="0F599111" w14:textId="051DAE1E">
      <w:pPr>
        <w:jc w:val="both"/>
        <w:rPr>
          <w:rFonts w:ascii="Arial" w:eastAsia="Arial" w:hAnsi="Arial" w:cs="Arial"/>
          <w:b/>
          <w:bCs/>
        </w:rPr>
      </w:pPr>
      <w:r w:rsidRPr="786EC198">
        <w:rPr>
          <w:rFonts w:ascii="Arial" w:eastAsia="Arial" w:hAnsi="Arial" w:cs="Arial"/>
          <w:b/>
          <w:bCs/>
        </w:rPr>
        <w:t>Response:</w:t>
      </w:r>
    </w:p>
    <w:p w:rsidR="00193564" w:rsidRPr="00AD423E" w:rsidP="786EC198" w14:paraId="52F8211F" w14:textId="5F775694">
      <w:pPr>
        <w:jc w:val="both"/>
        <w:rPr>
          <w:rFonts w:ascii="Arial" w:eastAsia="Arial" w:hAnsi="Arial" w:cs="Arial"/>
        </w:rPr>
      </w:pPr>
      <w:r w:rsidRPr="786EC198">
        <w:rPr>
          <w:rFonts w:ascii="Arial" w:eastAsia="Arial" w:hAnsi="Arial" w:cs="Arial"/>
        </w:rPr>
        <w:t xml:space="preserve">The USPTO appreciates all error reports that are submitted. These items allow the USPTO to learn from our customers and focus resources on solving problems. Applicants are encouraged to reach out to the </w:t>
      </w:r>
      <w:r w:rsidR="002E0249">
        <w:rPr>
          <w:rFonts w:ascii="Arial" w:eastAsia="Arial" w:hAnsi="Arial" w:cs="Arial"/>
        </w:rPr>
        <w:t xml:space="preserve">Electronic Business Center </w:t>
      </w:r>
      <w:r w:rsidRPr="786EC198">
        <w:rPr>
          <w:rFonts w:ascii="Arial" w:eastAsia="Arial" w:hAnsi="Arial" w:cs="Arial"/>
        </w:rPr>
        <w:t xml:space="preserve">or any of the USPTO help desks as needed to support their submissions. However, the submission of error reports to the </w:t>
      </w:r>
      <w:r w:rsidR="002E0249">
        <w:rPr>
          <w:rFonts w:ascii="Arial" w:eastAsia="Arial" w:hAnsi="Arial" w:cs="Arial"/>
        </w:rPr>
        <w:t xml:space="preserve">Electronic Business Center </w:t>
      </w:r>
      <w:r w:rsidRPr="786EC198">
        <w:rPr>
          <w:rFonts w:ascii="Arial" w:eastAsia="Arial" w:hAnsi="Arial" w:cs="Arial"/>
        </w:rPr>
        <w:t>or the USPTO help desks is not generally included in the time burden estimates as those submissions are outside of the scope of the PRA.</w:t>
      </w:r>
    </w:p>
    <w:p w:rsidR="00193564" w:rsidRPr="00AD423E" w:rsidP="786EC198" w14:paraId="199B897A" w14:textId="0CAC46A2">
      <w:pPr>
        <w:jc w:val="both"/>
        <w:rPr>
          <w:rFonts w:ascii="Arial" w:eastAsia="Arial" w:hAnsi="Arial" w:cs="Arial"/>
        </w:rPr>
      </w:pPr>
      <w:r w:rsidRPr="786EC198">
        <w:rPr>
          <w:rFonts w:ascii="Arial" w:eastAsia="Arial" w:hAnsi="Arial" w:cs="Arial"/>
        </w:rPr>
        <w:t xml:space="preserve"> </w:t>
      </w:r>
    </w:p>
    <w:p w:rsidR="00193564" w:rsidRPr="00AD423E" w:rsidP="786EC198" w14:paraId="70A70E9B" w14:textId="37BBF740">
      <w:pPr>
        <w:jc w:val="both"/>
        <w:rPr>
          <w:rFonts w:ascii="Arial" w:eastAsia="Arial" w:hAnsi="Arial" w:cs="Arial"/>
          <w:b/>
          <w:bCs/>
        </w:rPr>
      </w:pPr>
      <w:r w:rsidRPr="786EC198">
        <w:rPr>
          <w:rFonts w:ascii="Arial" w:eastAsia="Arial" w:hAnsi="Arial" w:cs="Arial"/>
          <w:b/>
          <w:bCs/>
        </w:rPr>
        <w:t>Comment 17:</w:t>
      </w:r>
    </w:p>
    <w:p w:rsidR="00193564" w:rsidRPr="00AD423E" w:rsidP="786EC198" w14:paraId="7BCDF55C" w14:textId="72262BB3">
      <w:pPr>
        <w:jc w:val="both"/>
        <w:rPr>
          <w:rFonts w:ascii="Arial" w:eastAsia="Arial" w:hAnsi="Arial" w:cs="Arial"/>
        </w:rPr>
      </w:pPr>
      <w:r w:rsidRPr="786EC198">
        <w:rPr>
          <w:rFonts w:ascii="Arial" w:eastAsia="Arial" w:hAnsi="Arial" w:cs="Arial"/>
        </w:rPr>
        <w:t>One commenter expressed concern that the USPTO has offered no burden estimate for petitions that seek correction of errors introduced into a patent application based upon the supplemental PDF file.</w:t>
      </w:r>
    </w:p>
    <w:p w:rsidR="00193564" w:rsidRPr="00AD423E" w:rsidP="786EC198" w14:paraId="79F35853" w14:textId="0A5BF190">
      <w:pPr>
        <w:jc w:val="both"/>
        <w:rPr>
          <w:rFonts w:ascii="Arial" w:eastAsia="Arial" w:hAnsi="Arial" w:cs="Arial"/>
        </w:rPr>
      </w:pPr>
      <w:r w:rsidRPr="786EC198">
        <w:rPr>
          <w:rFonts w:ascii="Arial" w:eastAsia="Arial" w:hAnsi="Arial" w:cs="Arial"/>
        </w:rPr>
        <w:t xml:space="preserve"> </w:t>
      </w:r>
    </w:p>
    <w:p w:rsidR="00193564" w:rsidRPr="00AD423E" w:rsidP="786EC198" w14:paraId="7B307678" w14:textId="4D4BE8C8">
      <w:pPr>
        <w:jc w:val="both"/>
        <w:rPr>
          <w:rFonts w:ascii="Arial" w:eastAsia="Arial" w:hAnsi="Arial" w:cs="Arial"/>
          <w:b/>
          <w:bCs/>
        </w:rPr>
      </w:pPr>
      <w:r w:rsidRPr="786EC198">
        <w:rPr>
          <w:rFonts w:ascii="Arial" w:eastAsia="Arial" w:hAnsi="Arial" w:cs="Arial"/>
          <w:b/>
          <w:bCs/>
        </w:rPr>
        <w:t>Response:</w:t>
      </w:r>
    </w:p>
    <w:p w:rsidR="00193564" w:rsidRPr="00AD423E" w:rsidP="786EC198" w14:paraId="654D6B72" w14:textId="3035F6F9">
      <w:pPr>
        <w:jc w:val="both"/>
        <w:rPr>
          <w:rFonts w:ascii="Arial" w:eastAsia="Arial" w:hAnsi="Arial" w:cs="Arial"/>
        </w:rPr>
      </w:pPr>
      <w:r w:rsidRPr="786EC198">
        <w:rPr>
          <w:rFonts w:ascii="Arial" w:eastAsia="Arial" w:hAnsi="Arial" w:cs="Arial"/>
        </w:rPr>
        <w:t xml:space="preserve">The USPTO will continue to waive the petition fee under 37 CFR 1.17(f) for a petition under 37 CFR 1.182 that relies on an applicant-generated PDF that was filed in the Patent </w:t>
      </w:r>
      <w:r w:rsidRPr="786EC198">
        <w:rPr>
          <w:rFonts w:ascii="Arial" w:eastAsia="Arial" w:hAnsi="Arial" w:cs="Arial"/>
        </w:rPr>
        <w:t xml:space="preserve">Center as the source to make a correction to the record. These 37 CFR 1.182 petitions are covered under an existing OMB approved information collection 0651-0059 (Patent Petitions Related to Application and Reexamination Processing Fees). The USPTO currently provides an estimated time for response of four hours for these petitions. As of </w:t>
      </w:r>
      <w:r w:rsidR="00BD3BE7">
        <w:rPr>
          <w:rFonts w:ascii="Arial" w:eastAsia="Arial" w:hAnsi="Arial" w:cs="Arial"/>
        </w:rPr>
        <w:t xml:space="preserve">December </w:t>
      </w:r>
      <w:r w:rsidRPr="786EC198">
        <w:rPr>
          <w:rFonts w:ascii="Arial" w:eastAsia="Arial" w:hAnsi="Arial" w:cs="Arial"/>
        </w:rPr>
        <w:t xml:space="preserve">2023, only </w:t>
      </w:r>
      <w:r w:rsidR="00BD3BE7">
        <w:rPr>
          <w:rFonts w:ascii="Arial" w:eastAsia="Arial" w:hAnsi="Arial" w:cs="Arial"/>
        </w:rPr>
        <w:t xml:space="preserve">seven </w:t>
      </w:r>
      <w:r w:rsidRPr="786EC198">
        <w:rPr>
          <w:rFonts w:ascii="Arial" w:eastAsia="Arial" w:hAnsi="Arial" w:cs="Arial"/>
        </w:rPr>
        <w:t>petitions have been received relating to a conversion of data type error out of 183,685 total applications submitted in DOCX</w:t>
      </w:r>
      <w:r w:rsidRPr="00161559" w:rsidR="00161559">
        <w:rPr>
          <w:rFonts w:ascii="Arial" w:eastAsia="Arial" w:hAnsi="Arial" w:cs="Arial"/>
        </w:rPr>
        <w:t xml:space="preserve"> </w:t>
      </w:r>
      <w:r w:rsidR="00161559">
        <w:rPr>
          <w:rFonts w:ascii="Arial" w:eastAsia="Arial" w:hAnsi="Arial" w:cs="Arial"/>
        </w:rPr>
        <w:t>since the USPTO began accepting new applications in the DOCX format</w:t>
      </w:r>
      <w:r w:rsidRPr="786EC198">
        <w:rPr>
          <w:rFonts w:ascii="Arial" w:eastAsia="Arial" w:hAnsi="Arial" w:cs="Arial"/>
        </w:rPr>
        <w:t>. When the 0651-0059 information collection is renewed in 2024, the USPTO will consider increasing the number of petitions estimated under the 37 CFR 1.17(f) grouping as needed and will seek public comment regarding burden estimates.</w:t>
      </w:r>
    </w:p>
    <w:p w:rsidR="00193564" w:rsidRPr="00AD423E" w:rsidP="786EC198" w14:paraId="775E6A0A" w14:textId="0D11B465">
      <w:pPr>
        <w:jc w:val="both"/>
        <w:rPr>
          <w:rFonts w:ascii="Arial" w:eastAsia="Arial" w:hAnsi="Arial" w:cs="Arial"/>
        </w:rPr>
      </w:pPr>
      <w:r w:rsidRPr="786EC198">
        <w:rPr>
          <w:rFonts w:ascii="Arial" w:eastAsia="Arial" w:hAnsi="Arial" w:cs="Arial"/>
        </w:rPr>
        <w:t xml:space="preserve"> </w:t>
      </w:r>
    </w:p>
    <w:p w:rsidR="00193564" w:rsidRPr="00AD423E" w:rsidP="786EC198" w14:paraId="45BD96C5" w14:textId="3FCA3374">
      <w:pPr>
        <w:tabs>
          <w:tab w:val="left" w:pos="1820"/>
        </w:tabs>
        <w:jc w:val="both"/>
        <w:rPr>
          <w:rFonts w:ascii="Arial" w:eastAsia="Arial" w:hAnsi="Arial" w:cs="Arial"/>
          <w:b/>
          <w:bCs/>
        </w:rPr>
      </w:pPr>
      <w:r w:rsidRPr="786EC198">
        <w:rPr>
          <w:rFonts w:ascii="Arial" w:eastAsia="Arial" w:hAnsi="Arial" w:cs="Arial"/>
          <w:b/>
          <w:bCs/>
        </w:rPr>
        <w:t>Questions About Information Collection Scope and Timing</w:t>
      </w:r>
    </w:p>
    <w:p w:rsidR="00193564" w:rsidRPr="00AD423E" w:rsidP="786EC198" w14:paraId="1591E2B4" w14:textId="56B13B47">
      <w:pPr>
        <w:tabs>
          <w:tab w:val="left" w:pos="1820"/>
        </w:tabs>
        <w:jc w:val="both"/>
        <w:rPr>
          <w:rFonts w:ascii="Arial" w:eastAsia="Arial" w:hAnsi="Arial" w:cs="Arial"/>
          <w:b/>
          <w:bCs/>
        </w:rPr>
      </w:pPr>
      <w:r w:rsidRPr="786EC198">
        <w:rPr>
          <w:rFonts w:ascii="Arial" w:eastAsia="Arial" w:hAnsi="Arial" w:cs="Arial"/>
          <w:b/>
          <w:bCs/>
        </w:rPr>
        <w:t xml:space="preserve"> </w:t>
      </w:r>
    </w:p>
    <w:p w:rsidR="00193564" w:rsidRPr="00AD423E" w:rsidP="786EC198" w14:paraId="13A91E5D" w14:textId="252FC13A">
      <w:pPr>
        <w:tabs>
          <w:tab w:val="left" w:pos="1820"/>
        </w:tabs>
        <w:jc w:val="both"/>
        <w:rPr>
          <w:rFonts w:ascii="Arial" w:eastAsia="Arial" w:hAnsi="Arial" w:cs="Arial"/>
          <w:b/>
          <w:bCs/>
        </w:rPr>
      </w:pPr>
      <w:r w:rsidRPr="786EC198">
        <w:rPr>
          <w:rFonts w:ascii="Arial" w:eastAsia="Arial" w:hAnsi="Arial" w:cs="Arial"/>
          <w:b/>
          <w:bCs/>
        </w:rPr>
        <w:t>Comment 18:</w:t>
      </w:r>
    </w:p>
    <w:p w:rsidR="00193564" w:rsidRPr="00AD423E" w:rsidP="786EC198" w14:paraId="643361B2" w14:textId="213B4AFB">
      <w:pPr>
        <w:tabs>
          <w:tab w:val="left" w:pos="1820"/>
        </w:tabs>
        <w:jc w:val="both"/>
        <w:rPr>
          <w:rFonts w:ascii="Arial" w:eastAsia="Arial" w:hAnsi="Arial" w:cs="Arial"/>
        </w:rPr>
      </w:pPr>
      <w:r w:rsidRPr="786EC198">
        <w:rPr>
          <w:rFonts w:ascii="Arial" w:eastAsia="Arial" w:hAnsi="Arial" w:cs="Arial"/>
        </w:rPr>
        <w:t>Commenters questioned why the USPTO submitted an information collection request after publishing the Patent Fee Rule. Some commenters further suggested that the USPTO was hiding burdens and requirements from the public and the OMB through the proposal of this item separate from other information collections.</w:t>
      </w:r>
    </w:p>
    <w:p w:rsidR="00193564" w:rsidRPr="00AD423E" w:rsidP="786EC198" w14:paraId="6A53E34E" w14:textId="40EDB5A8">
      <w:pPr>
        <w:tabs>
          <w:tab w:val="left" w:pos="1820"/>
        </w:tabs>
        <w:jc w:val="both"/>
        <w:rPr>
          <w:rFonts w:ascii="Arial" w:eastAsia="Arial" w:hAnsi="Arial" w:cs="Arial"/>
        </w:rPr>
      </w:pPr>
      <w:r w:rsidRPr="786EC198">
        <w:rPr>
          <w:rFonts w:ascii="Arial" w:eastAsia="Arial" w:hAnsi="Arial" w:cs="Arial"/>
        </w:rPr>
        <w:t xml:space="preserve"> </w:t>
      </w:r>
    </w:p>
    <w:p w:rsidR="00193564" w:rsidRPr="00AD423E" w:rsidP="786EC198" w14:paraId="3D52C3D9" w14:textId="23E023D7">
      <w:pPr>
        <w:tabs>
          <w:tab w:val="left" w:pos="1820"/>
        </w:tabs>
        <w:jc w:val="both"/>
        <w:rPr>
          <w:rFonts w:ascii="Arial" w:eastAsia="Arial" w:hAnsi="Arial" w:cs="Arial"/>
          <w:b/>
          <w:bCs/>
        </w:rPr>
      </w:pPr>
      <w:r w:rsidRPr="786EC198">
        <w:rPr>
          <w:rFonts w:ascii="Arial" w:eastAsia="Arial" w:hAnsi="Arial" w:cs="Arial"/>
          <w:b/>
          <w:bCs/>
        </w:rPr>
        <w:t>Response:</w:t>
      </w:r>
    </w:p>
    <w:p w:rsidR="00193564" w:rsidRPr="00AD423E" w:rsidP="786EC198" w14:paraId="13A61E63" w14:textId="04028FDF">
      <w:pPr>
        <w:tabs>
          <w:tab w:val="left" w:pos="1820"/>
        </w:tabs>
        <w:jc w:val="both"/>
        <w:rPr>
          <w:rFonts w:ascii="Arial" w:eastAsia="Arial" w:hAnsi="Arial" w:cs="Arial"/>
        </w:rPr>
      </w:pPr>
      <w:r w:rsidRPr="786EC198">
        <w:rPr>
          <w:rFonts w:ascii="Arial" w:eastAsia="Arial" w:hAnsi="Arial" w:cs="Arial"/>
        </w:rPr>
        <w:t>The USPTO submitted an information collection request after publishing the Patent Fee Rule, because the USPTO delayed the effective date of the non-DOCX filing surcharge fee in order to respond to concerns and allow stakeholders more time to become familiar with DOCX submissions.</w:t>
      </w:r>
    </w:p>
    <w:p w:rsidR="00193564" w:rsidRPr="00AD423E" w:rsidP="786EC198" w14:paraId="5D0BFD85" w14:textId="1CE4CA86">
      <w:pPr>
        <w:tabs>
          <w:tab w:val="left" w:pos="1820"/>
        </w:tabs>
        <w:jc w:val="both"/>
        <w:rPr>
          <w:rFonts w:ascii="Arial" w:eastAsia="Arial" w:hAnsi="Arial" w:cs="Arial"/>
          <w:b/>
          <w:bCs/>
        </w:rPr>
      </w:pPr>
      <w:r w:rsidRPr="786EC198">
        <w:rPr>
          <w:rFonts w:ascii="Arial" w:eastAsia="Arial" w:hAnsi="Arial" w:cs="Arial"/>
          <w:b/>
          <w:bCs/>
        </w:rPr>
        <w:t xml:space="preserve"> </w:t>
      </w:r>
    </w:p>
    <w:p w:rsidR="00193564" w:rsidRPr="00AD423E" w:rsidP="786EC198" w14:paraId="496548A0" w14:textId="46EF5C12">
      <w:pPr>
        <w:tabs>
          <w:tab w:val="left" w:pos="1820"/>
        </w:tabs>
        <w:jc w:val="both"/>
        <w:rPr>
          <w:rFonts w:ascii="Arial" w:eastAsia="Arial" w:hAnsi="Arial" w:cs="Arial"/>
        </w:rPr>
      </w:pPr>
      <w:r w:rsidRPr="786EC198">
        <w:rPr>
          <w:rFonts w:ascii="Arial" w:eastAsia="Arial" w:hAnsi="Arial" w:cs="Arial"/>
        </w:rPr>
        <w:t>This new information collection addresses DOCX filings separately from 0651-0032 for efficiency due to the large size of 0651-0032 and to allow the public and the OMB to consider this collection on its own terms. It is likely that in the future this collection will be merged into 0651-0032.</w:t>
      </w:r>
    </w:p>
    <w:p w:rsidR="00193564" w:rsidRPr="00AD423E" w:rsidP="786EC198" w14:paraId="676870BE" w14:textId="4F4F1150">
      <w:pPr>
        <w:pStyle w:val="NoSpacing"/>
        <w:jc w:val="both"/>
        <w:rPr>
          <w:rFonts w:ascii="Arial" w:hAnsi="Arial" w:cs="Arial"/>
          <w:sz w:val="24"/>
          <w:szCs w:val="24"/>
        </w:rPr>
      </w:pPr>
    </w:p>
    <w:p w:rsidR="00193564" w:rsidRPr="00AD423E" w:rsidP="00193564" w14:paraId="2CBA1D3D" w14:textId="0041484E">
      <w:pPr>
        <w:pStyle w:val="NoSpacing"/>
        <w:jc w:val="both"/>
        <w:rPr>
          <w:rFonts w:ascii="Arial" w:hAnsi="Arial" w:cs="Arial"/>
          <w:bCs/>
          <w:sz w:val="24"/>
          <w:szCs w:val="24"/>
        </w:rPr>
      </w:pPr>
      <w:r w:rsidRPr="00AD423E">
        <w:rPr>
          <w:rFonts w:ascii="Arial" w:hAnsi="Arial" w:cs="Arial"/>
          <w:bCs/>
          <w:sz w:val="24"/>
          <w:szCs w:val="24"/>
        </w:rPr>
        <w:t xml:space="preserve">The USPTO has long-standing relationships with groups from whom patent application information is collected, such as patent bar associations, independent inventor groups, and users of our public search facilities. Their views are expressed in regularly scheduled meetings and considered in developing proposals for information collection requirements.  </w:t>
      </w:r>
    </w:p>
    <w:bookmarkEnd w:id="0"/>
    <w:p w:rsidR="00193564" w:rsidP="00193564" w14:paraId="7B007C6E" w14:textId="46464DE6">
      <w:pPr>
        <w:pStyle w:val="NoSpacing"/>
        <w:jc w:val="both"/>
        <w:rPr>
          <w:rFonts w:ascii="Arial" w:hAnsi="Arial" w:cs="Arial"/>
          <w:bCs/>
          <w:sz w:val="24"/>
          <w:szCs w:val="24"/>
          <w:highlight w:val="yellow"/>
        </w:rPr>
      </w:pPr>
    </w:p>
    <w:p w:rsidR="008830B6" w:rsidRPr="008830B6" w:rsidP="008830B6" w14:paraId="13CB993C" w14:textId="5008F5C0">
      <w:pPr>
        <w:tabs>
          <w:tab w:val="left" w:pos="1820"/>
        </w:tabs>
        <w:jc w:val="both"/>
        <w:rPr>
          <w:rFonts w:ascii="Arial" w:eastAsia="Arial" w:hAnsi="Arial" w:cs="Arial"/>
          <w:b/>
          <w:bCs/>
          <w:color w:val="333333"/>
        </w:rPr>
      </w:pPr>
      <w:r w:rsidRPr="008830B6">
        <w:rPr>
          <w:rFonts w:ascii="Arial" w:eastAsia="Arial" w:hAnsi="Arial" w:cs="Arial"/>
          <w:b/>
          <w:bCs/>
          <w:color w:val="333333"/>
        </w:rPr>
        <w:t xml:space="preserve">Public Feedback on USPTO </w:t>
      </w:r>
      <w:r>
        <w:rPr>
          <w:rFonts w:ascii="Arial" w:eastAsia="Arial" w:hAnsi="Arial" w:cs="Arial"/>
          <w:b/>
          <w:bCs/>
          <w:color w:val="333333"/>
        </w:rPr>
        <w:t>30</w:t>
      </w:r>
      <w:r w:rsidRPr="008830B6">
        <w:rPr>
          <w:rFonts w:ascii="Arial" w:eastAsia="Arial" w:hAnsi="Arial" w:cs="Arial"/>
          <w:b/>
          <w:bCs/>
          <w:color w:val="333333"/>
        </w:rPr>
        <w:t>-day Notice</w:t>
      </w:r>
    </w:p>
    <w:p w:rsidR="008830B6" w:rsidP="00193564" w14:paraId="149E3107" w14:textId="77777777">
      <w:pPr>
        <w:pStyle w:val="NoSpacing"/>
        <w:jc w:val="both"/>
        <w:rPr>
          <w:rFonts w:ascii="Arial" w:hAnsi="Arial" w:cs="Arial"/>
          <w:bCs/>
          <w:sz w:val="24"/>
          <w:szCs w:val="24"/>
          <w:highlight w:val="yellow"/>
        </w:rPr>
      </w:pPr>
    </w:p>
    <w:p w:rsidR="008830B6" w:rsidRPr="00E76B20" w:rsidP="008830B6" w14:paraId="4E8F5C64" w14:textId="1BDA1453">
      <w:pPr>
        <w:rPr>
          <w:rFonts w:ascii="Arial" w:hAnsi="Arial"/>
        </w:rPr>
      </w:pPr>
      <w:r w:rsidRPr="5D3F3A68">
        <w:rPr>
          <w:rFonts w:ascii="Arial" w:eastAsia="Arial" w:hAnsi="Arial" w:cs="Arial"/>
        </w:rPr>
        <w:t>In addition, on September 27, 2023</w:t>
      </w:r>
      <w:r>
        <w:rPr>
          <w:rFonts w:ascii="Arial" w:eastAsia="Arial" w:hAnsi="Arial" w:cs="Arial"/>
        </w:rPr>
        <w:t>,</w:t>
      </w:r>
      <w:r w:rsidRPr="5D3F3A68">
        <w:rPr>
          <w:rFonts w:ascii="Arial" w:eastAsia="Arial" w:hAnsi="Arial" w:cs="Arial"/>
        </w:rPr>
        <w:t xml:space="preserve"> </w:t>
      </w:r>
      <w:r>
        <w:rPr>
          <w:rFonts w:ascii="Arial" w:eastAsia="Arial" w:hAnsi="Arial" w:cs="Arial"/>
        </w:rPr>
        <w:t xml:space="preserve">the USPTO published its </w:t>
      </w:r>
      <w:r w:rsidRPr="5D3F3A68">
        <w:rPr>
          <w:rFonts w:ascii="Arial" w:eastAsia="Arial" w:hAnsi="Arial" w:cs="Arial"/>
        </w:rPr>
        <w:t>30-day notice</w:t>
      </w:r>
      <w:r>
        <w:rPr>
          <w:rFonts w:ascii="Arial" w:eastAsia="Arial" w:hAnsi="Arial" w:cs="Arial"/>
        </w:rPr>
        <w:t xml:space="preserve"> and provided</w:t>
      </w:r>
      <w:r w:rsidRPr="5D3F3A68">
        <w:rPr>
          <w:rFonts w:ascii="Arial" w:eastAsia="Arial" w:hAnsi="Arial" w:cs="Arial"/>
        </w:rPr>
        <w:t xml:space="preserve"> </w:t>
      </w:r>
      <w:r>
        <w:rPr>
          <w:rFonts w:ascii="Arial" w:eastAsia="Arial" w:hAnsi="Arial" w:cs="Arial"/>
        </w:rPr>
        <w:t xml:space="preserve">the public an additional 30 days for public comment </w:t>
      </w:r>
      <w:r w:rsidRPr="5D3F3A68">
        <w:rPr>
          <w:rFonts w:ascii="Arial" w:eastAsia="Arial" w:hAnsi="Arial" w:cs="Arial"/>
        </w:rPr>
        <w:t xml:space="preserve">(88 FR </w:t>
      </w:r>
      <w:r>
        <w:rPr>
          <w:rFonts w:ascii="Arial" w:eastAsia="Arial" w:hAnsi="Arial" w:cs="Arial"/>
        </w:rPr>
        <w:t>66414</w:t>
      </w:r>
      <w:r w:rsidRPr="5D3F3A68">
        <w:rPr>
          <w:rFonts w:ascii="Arial" w:eastAsia="Arial" w:hAnsi="Arial" w:cs="Arial"/>
        </w:rPr>
        <w:t>).</w:t>
      </w:r>
      <w:r>
        <w:rPr>
          <w:rStyle w:val="FootnoteReference"/>
          <w:rFonts w:ascii="Arial" w:eastAsia="Arial" w:hAnsi="Arial" w:cs="Arial"/>
        </w:rPr>
        <w:footnoteReference w:id="2"/>
      </w:r>
      <w:r w:rsidRPr="5D3F3A68">
        <w:rPr>
          <w:rFonts w:ascii="Arial" w:eastAsia="Arial" w:hAnsi="Arial" w:cs="Arial"/>
        </w:rPr>
        <w:t xml:space="preserve"> </w:t>
      </w:r>
      <w:r>
        <w:rPr>
          <w:rFonts w:ascii="Arial" w:eastAsia="Arial" w:hAnsi="Arial" w:cs="Arial"/>
        </w:rPr>
        <w:t xml:space="preserve">An additional six comments were received during this second comment period. Some of the comments received repeat concerns that were raised in response to the 60-day notice. For example, commenters repeated their concerns that the non-DOCX fee is unduly burdensome and unjustified, that the USPTO has underestimated the time burdens for reviewing a DOCX file, that the DOCX format is not a standard, that </w:t>
      </w:r>
      <w:r w:rsidR="007048C8">
        <w:rPr>
          <w:rFonts w:ascii="Arial" w:eastAsia="Arial" w:hAnsi="Arial" w:cs="Arial"/>
        </w:rPr>
        <w:t xml:space="preserve">the USPTO’s DOCX filing system is unreliable and may potentially introduce </w:t>
      </w:r>
      <w:r>
        <w:rPr>
          <w:rFonts w:ascii="Arial" w:eastAsia="Arial" w:hAnsi="Arial" w:cs="Arial"/>
        </w:rPr>
        <w:t xml:space="preserve">errors into an application </w:t>
      </w:r>
      <w:r>
        <w:rPr>
          <w:rFonts w:ascii="Arial" w:eastAsia="Arial" w:hAnsi="Arial" w:cs="Arial"/>
        </w:rPr>
        <w:t xml:space="preserve">during the validation/conversion process, </w:t>
      </w:r>
      <w:r w:rsidR="007048C8">
        <w:rPr>
          <w:rFonts w:ascii="Arial" w:eastAsia="Arial" w:hAnsi="Arial" w:cs="Arial"/>
        </w:rPr>
        <w:t xml:space="preserve">and </w:t>
      </w:r>
      <w:r>
        <w:rPr>
          <w:rFonts w:ascii="Arial" w:eastAsia="Arial" w:hAnsi="Arial" w:cs="Arial"/>
        </w:rPr>
        <w:t xml:space="preserve">that the USPTO should agree to allow the submitted PDF to be considered the official and authoritative version of the patent application. The </w:t>
      </w:r>
      <w:r w:rsidRPr="001D4BB0">
        <w:rPr>
          <w:rFonts w:ascii="Arial" w:eastAsia="Arial" w:hAnsi="Arial" w:cs="Arial"/>
        </w:rPr>
        <w:t xml:space="preserve">USPTO maintains its </w:t>
      </w:r>
      <w:r w:rsidRPr="000D344E">
        <w:rPr>
          <w:rFonts w:ascii="Arial" w:eastAsia="Arial" w:hAnsi="Arial" w:cs="Arial"/>
        </w:rPr>
        <w:t xml:space="preserve">responses to those comments. </w:t>
      </w:r>
      <w:r>
        <w:rPr>
          <w:rFonts w:ascii="Arial" w:eastAsia="Arial" w:hAnsi="Arial" w:cs="Arial"/>
        </w:rPr>
        <w:t>In this response, the USPTO provides some additional details to some of the previously raised comments. The USPTO also provides responses t</w:t>
      </w:r>
      <w:r w:rsidRPr="000D344E">
        <w:rPr>
          <w:rFonts w:ascii="Arial" w:eastAsia="Arial" w:hAnsi="Arial" w:cs="Arial"/>
        </w:rPr>
        <w:t>o comments rais</w:t>
      </w:r>
      <w:r>
        <w:rPr>
          <w:rFonts w:ascii="Arial" w:eastAsia="Arial" w:hAnsi="Arial" w:cs="Arial"/>
        </w:rPr>
        <w:t xml:space="preserve">ing </w:t>
      </w:r>
      <w:r w:rsidRPr="000D344E">
        <w:rPr>
          <w:rFonts w:ascii="Arial" w:eastAsia="Arial" w:hAnsi="Arial" w:cs="Arial"/>
        </w:rPr>
        <w:t>concerns that were not previously raised.</w:t>
      </w:r>
    </w:p>
    <w:p w:rsidR="008830B6" w:rsidRPr="004F258D" w:rsidP="008830B6" w14:paraId="6CD83A26" w14:textId="77777777">
      <w:pPr>
        <w:rPr>
          <w:rFonts w:ascii="Arial" w:hAnsi="Arial" w:cs="Arial"/>
        </w:rPr>
      </w:pPr>
    </w:p>
    <w:p w:rsidR="008830B6" w:rsidP="008830B6" w14:paraId="3E3BAB22" w14:textId="77777777">
      <w:pPr>
        <w:rPr>
          <w:rFonts w:ascii="Arial" w:eastAsia="Arial" w:hAnsi="Arial" w:cs="Arial"/>
        </w:rPr>
      </w:pPr>
      <w:r w:rsidRPr="001D4BB0">
        <w:rPr>
          <w:rFonts w:ascii="Arial" w:eastAsia="Arial" w:hAnsi="Arial" w:cs="Arial"/>
          <w:b/>
          <w:bCs/>
        </w:rPr>
        <w:t>Comment 1</w:t>
      </w:r>
      <w:r w:rsidRPr="000D344E">
        <w:rPr>
          <w:rFonts w:ascii="Arial" w:eastAsia="Arial" w:hAnsi="Arial" w:cs="Arial"/>
        </w:rPr>
        <w:t>: One commenter asserted that the 183,685 total number of DOCX filers cited by the USPTO in a response to a public comment is evidence that few applicants are choosing to file in DOCX because the DOCX filing process is unreliable and is a risk to applicants’ patent rights. This commenter asserted that they estimate that over 2,000,000 utility applicants have been filed since the non-DOCX surcharge was proposed in 2019</w:t>
      </w:r>
      <w:r w:rsidRPr="008259FE">
        <w:rPr>
          <w:rFonts w:ascii="Arial" w:eastAsia="Arial" w:hAnsi="Arial" w:cs="Arial"/>
        </w:rPr>
        <w:t xml:space="preserve">, which suggests that only 10% of filers are submitting DOCX applications. </w:t>
      </w:r>
      <w:r>
        <w:rPr>
          <w:rFonts w:ascii="Arial" w:eastAsia="Arial" w:hAnsi="Arial" w:cs="Arial"/>
        </w:rPr>
        <w:t xml:space="preserve">Another commenter was </w:t>
      </w:r>
      <w:r w:rsidRPr="008259FE">
        <w:rPr>
          <w:rFonts w:ascii="Arial" w:eastAsia="Arial" w:hAnsi="Arial" w:cs="Arial"/>
        </w:rPr>
        <w:t>concerned that for the 20% of filers who were not creating documents in DOCX, the USPTO was ignoring the requirements of 44 U.S.C. 3506(c)(3)(E), that patent application filing be “implemented in ways consistent and compatible, to the maximum extent practicable, with the existing reporting and recordkeeping practices.”</w:t>
      </w:r>
    </w:p>
    <w:p w:rsidR="008830B6" w:rsidP="008830B6" w14:paraId="1220FD6A" w14:textId="77777777">
      <w:pPr>
        <w:rPr>
          <w:rFonts w:ascii="Arial" w:eastAsia="Arial" w:hAnsi="Arial" w:cs="Arial"/>
        </w:rPr>
      </w:pPr>
    </w:p>
    <w:p w:rsidR="008830B6" w:rsidP="008830B6" w14:paraId="16A6789E" w14:textId="5C216B71">
      <w:pPr>
        <w:rPr>
          <w:rFonts w:ascii="Arial" w:eastAsia="Arial" w:hAnsi="Arial" w:cs="Arial"/>
        </w:rPr>
      </w:pPr>
      <w:r w:rsidRPr="002F305B">
        <w:rPr>
          <w:rFonts w:ascii="Arial" w:eastAsia="Arial" w:hAnsi="Arial" w:cs="Arial"/>
          <w:b/>
          <w:bCs/>
        </w:rPr>
        <w:t>Response</w:t>
      </w:r>
      <w:r>
        <w:rPr>
          <w:rFonts w:ascii="Arial" w:eastAsia="Arial" w:hAnsi="Arial" w:cs="Arial"/>
        </w:rPr>
        <w:t xml:space="preserve">: The percentage of utility nonprovisional </w:t>
      </w:r>
      <w:r w:rsidR="007F4715">
        <w:rPr>
          <w:rFonts w:ascii="Arial" w:eastAsia="Arial" w:hAnsi="Arial" w:cs="Arial"/>
        </w:rPr>
        <w:t xml:space="preserve">111(a) </w:t>
      </w:r>
      <w:r>
        <w:rPr>
          <w:rFonts w:ascii="Arial" w:eastAsia="Arial" w:hAnsi="Arial" w:cs="Arial"/>
        </w:rPr>
        <w:t xml:space="preserve">applications filed in the DOCX format continues to increase. As of October 2023, the </w:t>
      </w:r>
      <w:r w:rsidR="007F4715">
        <w:rPr>
          <w:rFonts w:ascii="Arial" w:eastAsia="Arial" w:hAnsi="Arial" w:cs="Arial"/>
        </w:rPr>
        <w:t xml:space="preserve">2023 </w:t>
      </w:r>
      <w:r>
        <w:rPr>
          <w:rFonts w:ascii="Arial" w:eastAsia="Arial" w:hAnsi="Arial" w:cs="Arial"/>
        </w:rPr>
        <w:t xml:space="preserve">DOCX adoption rate for </w:t>
      </w:r>
      <w:r w:rsidR="007F4715">
        <w:rPr>
          <w:rFonts w:ascii="Arial" w:eastAsia="Arial" w:hAnsi="Arial" w:cs="Arial"/>
        </w:rPr>
        <w:t xml:space="preserve">utility nonprovisional 111(a) applications </w:t>
      </w:r>
      <w:r>
        <w:rPr>
          <w:rFonts w:ascii="Arial" w:eastAsia="Arial" w:hAnsi="Arial" w:cs="Arial"/>
        </w:rPr>
        <w:t>is 41.02% (see table below), and the USPTO estimates that this trend will continue.</w:t>
      </w:r>
    </w:p>
    <w:p w:rsidR="008830B6" w:rsidP="008830B6" w14:paraId="0B6E0637" w14:textId="77777777">
      <w:pPr>
        <w:rPr>
          <w:rFonts w:ascii="Arial" w:eastAsia="Arial" w:hAnsi="Arial" w:cs="Arial"/>
        </w:rPr>
      </w:pPr>
    </w:p>
    <w:tbl>
      <w:tblPr>
        <w:tblW w:w="7185" w:type="dxa"/>
        <w:jc w:val="center"/>
        <w:tblCellMar>
          <w:left w:w="0" w:type="dxa"/>
          <w:right w:w="0" w:type="dxa"/>
        </w:tblCellMar>
        <w:tblLook w:val="04A0"/>
      </w:tblPr>
      <w:tblGrid>
        <w:gridCol w:w="1605"/>
        <w:gridCol w:w="5580"/>
      </w:tblGrid>
      <w:tr w14:paraId="6571DC11" w14:textId="77777777" w:rsidTr="007F4715">
        <w:tblPrEx>
          <w:tblW w:w="7185" w:type="dxa"/>
          <w:jc w:val="center"/>
          <w:tblCellMar>
            <w:left w:w="0" w:type="dxa"/>
            <w:right w:w="0" w:type="dxa"/>
          </w:tblCellMar>
          <w:tblLook w:val="04A0"/>
        </w:tblPrEx>
        <w:trPr>
          <w:trHeight w:val="330"/>
          <w:jc w:val="center"/>
        </w:trPr>
        <w:tc>
          <w:tcPr>
            <w:tcW w:w="1605" w:type="dxa"/>
            <w:tcBorders>
              <w:top w:val="single" w:sz="12" w:space="0" w:color="auto"/>
              <w:left w:val="single" w:sz="12" w:space="0" w:color="auto"/>
              <w:bottom w:val="single" w:sz="12" w:space="0" w:color="auto"/>
              <w:right w:val="single" w:sz="12" w:space="0" w:color="auto"/>
            </w:tcBorders>
            <w:noWrap/>
            <w:tcMar>
              <w:top w:w="0" w:type="dxa"/>
              <w:left w:w="108" w:type="dxa"/>
              <w:bottom w:w="0" w:type="dxa"/>
              <w:right w:w="108" w:type="dxa"/>
            </w:tcMar>
            <w:vAlign w:val="center"/>
            <w:hideMark/>
          </w:tcPr>
          <w:p w:rsidR="008830B6" w:rsidRPr="00711340" w:rsidP="005B7973" w14:paraId="16F12408" w14:textId="77777777">
            <w:pPr>
              <w:jc w:val="center"/>
              <w:rPr>
                <w:rFonts w:ascii="Arial" w:eastAsia="Arial" w:hAnsi="Arial" w:cs="Arial"/>
                <w:b/>
                <w:bCs/>
              </w:rPr>
            </w:pPr>
            <w:r w:rsidRPr="00711340">
              <w:rPr>
                <w:rFonts w:ascii="Arial" w:eastAsia="Arial" w:hAnsi="Arial" w:cs="Arial"/>
                <w:b/>
                <w:bCs/>
              </w:rPr>
              <w:t>Calendar Year</w:t>
            </w:r>
          </w:p>
        </w:tc>
        <w:tc>
          <w:tcPr>
            <w:tcW w:w="5580" w:type="dxa"/>
            <w:tcBorders>
              <w:top w:val="single" w:sz="12" w:space="0" w:color="auto"/>
              <w:left w:val="nil"/>
              <w:bottom w:val="single" w:sz="12" w:space="0" w:color="auto"/>
              <w:right w:val="single" w:sz="12" w:space="0" w:color="auto"/>
            </w:tcBorders>
            <w:noWrap/>
            <w:tcMar>
              <w:top w:w="0" w:type="dxa"/>
              <w:left w:w="108" w:type="dxa"/>
              <w:bottom w:w="0" w:type="dxa"/>
              <w:right w:w="108" w:type="dxa"/>
            </w:tcMar>
            <w:vAlign w:val="bottom"/>
            <w:hideMark/>
          </w:tcPr>
          <w:p w:rsidR="008830B6" w:rsidRPr="00711340" w:rsidP="005B7973" w14:paraId="3BFFF54A" w14:textId="1A44FB8B">
            <w:pPr>
              <w:jc w:val="center"/>
              <w:rPr>
                <w:rFonts w:ascii="Arial" w:eastAsia="Arial" w:hAnsi="Arial" w:cs="Arial"/>
                <w:b/>
                <w:bCs/>
              </w:rPr>
            </w:pPr>
            <w:r w:rsidRPr="00711340">
              <w:rPr>
                <w:rFonts w:ascii="Arial" w:eastAsia="Arial" w:hAnsi="Arial" w:cs="Arial"/>
                <w:b/>
                <w:bCs/>
              </w:rPr>
              <w:t>utility non-provisional 111(a)</w:t>
            </w:r>
            <w:r>
              <w:rPr>
                <w:rFonts w:ascii="Arial" w:eastAsia="Arial" w:hAnsi="Arial" w:cs="Arial"/>
                <w:b/>
                <w:bCs/>
              </w:rPr>
              <w:t xml:space="preserve"> applications </w:t>
            </w:r>
            <w:r w:rsidRPr="00711340">
              <w:rPr>
                <w:rFonts w:ascii="Arial" w:eastAsia="Arial" w:hAnsi="Arial" w:cs="Arial"/>
                <w:b/>
                <w:bCs/>
              </w:rPr>
              <w:t>filed in DOCX</w:t>
            </w:r>
            <w:r>
              <w:rPr>
                <w:rFonts w:ascii="Arial" w:eastAsia="Arial" w:hAnsi="Arial" w:cs="Arial"/>
                <w:b/>
                <w:bCs/>
              </w:rPr>
              <w:t xml:space="preserve"> (and as a percentage </w:t>
            </w:r>
            <w:r w:rsidR="007F4715">
              <w:rPr>
                <w:rFonts w:ascii="Arial" w:eastAsia="Arial" w:hAnsi="Arial" w:cs="Arial"/>
                <w:b/>
                <w:bCs/>
              </w:rPr>
              <w:t xml:space="preserve">of total </w:t>
            </w:r>
            <w:r w:rsidRPr="00711340" w:rsidR="007F4715">
              <w:rPr>
                <w:rFonts w:ascii="Arial" w:eastAsia="Arial" w:hAnsi="Arial" w:cs="Arial"/>
                <w:b/>
                <w:bCs/>
              </w:rPr>
              <w:t>utility non-provisional 111(a)</w:t>
            </w:r>
            <w:r w:rsidR="007F4715">
              <w:rPr>
                <w:rFonts w:ascii="Arial" w:eastAsia="Arial" w:hAnsi="Arial" w:cs="Arial"/>
                <w:b/>
                <w:bCs/>
              </w:rPr>
              <w:t xml:space="preserve"> applications </w:t>
            </w:r>
            <w:r w:rsidRPr="00711340" w:rsidR="007F4715">
              <w:rPr>
                <w:rFonts w:ascii="Arial" w:eastAsia="Arial" w:hAnsi="Arial" w:cs="Arial"/>
                <w:b/>
                <w:bCs/>
              </w:rPr>
              <w:t>filed</w:t>
            </w:r>
            <w:r>
              <w:rPr>
                <w:rFonts w:ascii="Arial" w:eastAsia="Arial" w:hAnsi="Arial" w:cs="Arial"/>
                <w:b/>
                <w:bCs/>
              </w:rPr>
              <w:t>)</w:t>
            </w:r>
          </w:p>
        </w:tc>
      </w:tr>
      <w:tr w14:paraId="0493F19E" w14:textId="77777777" w:rsidTr="007F4715">
        <w:tblPrEx>
          <w:tblW w:w="7185" w:type="dxa"/>
          <w:jc w:val="center"/>
          <w:tblCellMar>
            <w:left w:w="0" w:type="dxa"/>
            <w:right w:w="0" w:type="dxa"/>
          </w:tblCellMar>
          <w:tblLook w:val="04A0"/>
        </w:tblPrEx>
        <w:trPr>
          <w:trHeight w:val="330"/>
          <w:jc w:val="center"/>
        </w:trPr>
        <w:tc>
          <w:tcPr>
            <w:tcW w:w="1605" w:type="dxa"/>
            <w:tcBorders>
              <w:top w:val="nil"/>
              <w:left w:val="single" w:sz="12" w:space="0" w:color="auto"/>
              <w:bottom w:val="single" w:sz="12" w:space="0" w:color="auto"/>
              <w:right w:val="single" w:sz="12" w:space="0" w:color="auto"/>
            </w:tcBorders>
            <w:noWrap/>
            <w:tcMar>
              <w:top w:w="0" w:type="dxa"/>
              <w:left w:w="108" w:type="dxa"/>
              <w:bottom w:w="0" w:type="dxa"/>
              <w:right w:w="108" w:type="dxa"/>
            </w:tcMar>
            <w:vAlign w:val="bottom"/>
            <w:hideMark/>
          </w:tcPr>
          <w:p w:rsidR="008830B6" w:rsidRPr="00070C2A" w:rsidP="005B7973" w14:paraId="5C145D41" w14:textId="77777777">
            <w:pPr>
              <w:jc w:val="center"/>
              <w:rPr>
                <w:rFonts w:ascii="Arial" w:eastAsia="Arial" w:hAnsi="Arial" w:cs="Arial"/>
              </w:rPr>
            </w:pPr>
            <w:r w:rsidRPr="00070C2A">
              <w:rPr>
                <w:rFonts w:ascii="Arial" w:eastAsia="Arial" w:hAnsi="Arial" w:cs="Arial"/>
              </w:rPr>
              <w:t>20</w:t>
            </w:r>
          </w:p>
        </w:tc>
        <w:tc>
          <w:tcPr>
            <w:tcW w:w="5580"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rsidR="008830B6" w:rsidRPr="00711340" w:rsidP="005B7973" w14:paraId="144A61BB" w14:textId="77777777">
            <w:pPr>
              <w:jc w:val="center"/>
              <w:rPr>
                <w:rFonts w:ascii="Arial" w:eastAsia="Arial" w:hAnsi="Arial" w:cs="Arial"/>
              </w:rPr>
            </w:pPr>
            <w:r>
              <w:rPr>
                <w:rFonts w:ascii="Arial" w:eastAsia="Arial" w:hAnsi="Arial" w:cs="Arial"/>
              </w:rPr>
              <w:t>3,738 (</w:t>
            </w:r>
            <w:r w:rsidRPr="00711340">
              <w:rPr>
                <w:rFonts w:ascii="Arial" w:eastAsia="Arial" w:hAnsi="Arial" w:cs="Arial"/>
              </w:rPr>
              <w:t>1.06%</w:t>
            </w:r>
            <w:r>
              <w:rPr>
                <w:rFonts w:ascii="Arial" w:eastAsia="Arial" w:hAnsi="Arial" w:cs="Arial"/>
              </w:rPr>
              <w:t>)</w:t>
            </w:r>
          </w:p>
        </w:tc>
      </w:tr>
      <w:tr w14:paraId="370A06AD" w14:textId="77777777" w:rsidTr="007F4715">
        <w:tblPrEx>
          <w:tblW w:w="7185" w:type="dxa"/>
          <w:jc w:val="center"/>
          <w:tblCellMar>
            <w:left w:w="0" w:type="dxa"/>
            <w:right w:w="0" w:type="dxa"/>
          </w:tblCellMar>
          <w:tblLook w:val="04A0"/>
        </w:tblPrEx>
        <w:trPr>
          <w:trHeight w:val="330"/>
          <w:jc w:val="center"/>
        </w:trPr>
        <w:tc>
          <w:tcPr>
            <w:tcW w:w="1605" w:type="dxa"/>
            <w:tcBorders>
              <w:top w:val="nil"/>
              <w:left w:val="single" w:sz="12" w:space="0" w:color="auto"/>
              <w:bottom w:val="single" w:sz="12" w:space="0" w:color="auto"/>
              <w:right w:val="single" w:sz="12" w:space="0" w:color="auto"/>
            </w:tcBorders>
            <w:noWrap/>
            <w:tcMar>
              <w:top w:w="0" w:type="dxa"/>
              <w:left w:w="108" w:type="dxa"/>
              <w:bottom w:w="0" w:type="dxa"/>
              <w:right w:w="108" w:type="dxa"/>
            </w:tcMar>
            <w:vAlign w:val="bottom"/>
            <w:hideMark/>
          </w:tcPr>
          <w:p w:rsidR="008830B6" w:rsidRPr="00070C2A" w:rsidP="005B7973" w14:paraId="3AA8F418" w14:textId="77777777">
            <w:pPr>
              <w:jc w:val="center"/>
              <w:rPr>
                <w:rFonts w:ascii="Arial" w:eastAsia="Arial" w:hAnsi="Arial" w:cs="Arial"/>
              </w:rPr>
            </w:pPr>
            <w:r w:rsidRPr="00070C2A">
              <w:rPr>
                <w:rFonts w:ascii="Arial" w:eastAsia="Arial" w:hAnsi="Arial" w:cs="Arial"/>
              </w:rPr>
              <w:t>21</w:t>
            </w:r>
          </w:p>
        </w:tc>
        <w:tc>
          <w:tcPr>
            <w:tcW w:w="5580"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rsidR="008830B6" w:rsidRPr="00711340" w:rsidP="005B7973" w14:paraId="7EA9114F" w14:textId="77777777">
            <w:pPr>
              <w:jc w:val="center"/>
              <w:rPr>
                <w:rFonts w:ascii="Arial" w:eastAsia="Arial" w:hAnsi="Arial" w:cs="Arial"/>
              </w:rPr>
            </w:pPr>
            <w:r>
              <w:rPr>
                <w:rFonts w:ascii="Arial" w:eastAsia="Arial" w:hAnsi="Arial" w:cs="Arial"/>
              </w:rPr>
              <w:t>12,502 (</w:t>
            </w:r>
            <w:r w:rsidRPr="00711340">
              <w:rPr>
                <w:rFonts w:ascii="Arial" w:eastAsia="Arial" w:hAnsi="Arial" w:cs="Arial"/>
              </w:rPr>
              <w:t>3.71%</w:t>
            </w:r>
            <w:r>
              <w:rPr>
                <w:rFonts w:ascii="Arial" w:eastAsia="Arial" w:hAnsi="Arial" w:cs="Arial"/>
              </w:rPr>
              <w:t>)</w:t>
            </w:r>
          </w:p>
        </w:tc>
      </w:tr>
      <w:tr w14:paraId="41D85E9D" w14:textId="77777777" w:rsidTr="007F4715">
        <w:tblPrEx>
          <w:tblW w:w="7185" w:type="dxa"/>
          <w:jc w:val="center"/>
          <w:tblCellMar>
            <w:left w:w="0" w:type="dxa"/>
            <w:right w:w="0" w:type="dxa"/>
          </w:tblCellMar>
          <w:tblLook w:val="04A0"/>
        </w:tblPrEx>
        <w:trPr>
          <w:trHeight w:val="330"/>
          <w:jc w:val="center"/>
        </w:trPr>
        <w:tc>
          <w:tcPr>
            <w:tcW w:w="1605" w:type="dxa"/>
            <w:tcBorders>
              <w:top w:val="nil"/>
              <w:left w:val="single" w:sz="12" w:space="0" w:color="auto"/>
              <w:bottom w:val="single" w:sz="12" w:space="0" w:color="auto"/>
              <w:right w:val="single" w:sz="12" w:space="0" w:color="auto"/>
            </w:tcBorders>
            <w:noWrap/>
            <w:tcMar>
              <w:top w:w="0" w:type="dxa"/>
              <w:left w:w="108" w:type="dxa"/>
              <w:bottom w:w="0" w:type="dxa"/>
              <w:right w:w="108" w:type="dxa"/>
            </w:tcMar>
            <w:vAlign w:val="bottom"/>
            <w:hideMark/>
          </w:tcPr>
          <w:p w:rsidR="008830B6" w:rsidRPr="00070C2A" w:rsidP="005B7973" w14:paraId="16AEE1CF" w14:textId="77777777">
            <w:pPr>
              <w:jc w:val="center"/>
              <w:rPr>
                <w:rFonts w:ascii="Arial" w:eastAsia="Arial" w:hAnsi="Arial" w:cs="Arial"/>
              </w:rPr>
            </w:pPr>
            <w:r w:rsidRPr="00070C2A">
              <w:rPr>
                <w:rFonts w:ascii="Arial" w:eastAsia="Arial" w:hAnsi="Arial" w:cs="Arial"/>
              </w:rPr>
              <w:t>22</w:t>
            </w:r>
          </w:p>
        </w:tc>
        <w:tc>
          <w:tcPr>
            <w:tcW w:w="5580"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rsidR="008830B6" w:rsidRPr="00711340" w:rsidP="005B7973" w14:paraId="4E197633" w14:textId="77777777">
            <w:pPr>
              <w:jc w:val="center"/>
              <w:rPr>
                <w:rFonts w:ascii="Arial" w:eastAsia="Arial" w:hAnsi="Arial" w:cs="Arial"/>
              </w:rPr>
            </w:pPr>
            <w:r>
              <w:rPr>
                <w:rFonts w:ascii="Arial" w:eastAsia="Arial" w:hAnsi="Arial" w:cs="Arial"/>
              </w:rPr>
              <w:t>39,472 (</w:t>
            </w:r>
            <w:r w:rsidRPr="00711340">
              <w:rPr>
                <w:rFonts w:ascii="Arial" w:eastAsia="Arial" w:hAnsi="Arial" w:cs="Arial"/>
              </w:rPr>
              <w:t>10.91%</w:t>
            </w:r>
            <w:r>
              <w:rPr>
                <w:rFonts w:ascii="Arial" w:eastAsia="Arial" w:hAnsi="Arial" w:cs="Arial"/>
              </w:rPr>
              <w:t>)</w:t>
            </w:r>
          </w:p>
        </w:tc>
      </w:tr>
      <w:tr w14:paraId="13FBDF86" w14:textId="77777777" w:rsidTr="007F4715">
        <w:tblPrEx>
          <w:tblW w:w="7185" w:type="dxa"/>
          <w:jc w:val="center"/>
          <w:tblCellMar>
            <w:left w:w="0" w:type="dxa"/>
            <w:right w:w="0" w:type="dxa"/>
          </w:tblCellMar>
          <w:tblLook w:val="04A0"/>
        </w:tblPrEx>
        <w:trPr>
          <w:trHeight w:val="330"/>
          <w:jc w:val="center"/>
        </w:trPr>
        <w:tc>
          <w:tcPr>
            <w:tcW w:w="1605" w:type="dxa"/>
            <w:tcBorders>
              <w:top w:val="nil"/>
              <w:left w:val="single" w:sz="12" w:space="0" w:color="auto"/>
              <w:bottom w:val="single" w:sz="12" w:space="0" w:color="auto"/>
              <w:right w:val="single" w:sz="12" w:space="0" w:color="auto"/>
            </w:tcBorders>
            <w:noWrap/>
            <w:tcMar>
              <w:top w:w="0" w:type="dxa"/>
              <w:left w:w="108" w:type="dxa"/>
              <w:bottom w:w="0" w:type="dxa"/>
              <w:right w:w="108" w:type="dxa"/>
            </w:tcMar>
            <w:vAlign w:val="bottom"/>
            <w:hideMark/>
          </w:tcPr>
          <w:p w:rsidR="008830B6" w:rsidRPr="00070C2A" w:rsidP="005B7973" w14:paraId="24B28FF1" w14:textId="77777777">
            <w:pPr>
              <w:jc w:val="center"/>
              <w:rPr>
                <w:rFonts w:ascii="Arial" w:eastAsia="Arial" w:hAnsi="Arial" w:cs="Arial"/>
              </w:rPr>
            </w:pPr>
            <w:r w:rsidRPr="00070C2A">
              <w:rPr>
                <w:rFonts w:ascii="Arial" w:eastAsia="Arial" w:hAnsi="Arial" w:cs="Arial"/>
              </w:rPr>
              <w:t>23*</w:t>
            </w:r>
          </w:p>
        </w:tc>
        <w:tc>
          <w:tcPr>
            <w:tcW w:w="5580"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rsidR="008830B6" w:rsidRPr="00711340" w:rsidP="005B7973" w14:paraId="7148E165" w14:textId="77777777">
            <w:pPr>
              <w:jc w:val="center"/>
              <w:rPr>
                <w:rFonts w:ascii="Arial" w:eastAsia="Arial" w:hAnsi="Arial" w:cs="Arial"/>
              </w:rPr>
            </w:pPr>
            <w:r>
              <w:rPr>
                <w:rFonts w:ascii="Arial" w:eastAsia="Arial" w:hAnsi="Arial" w:cs="Arial"/>
              </w:rPr>
              <w:t>105,001 (</w:t>
            </w:r>
            <w:r w:rsidRPr="00711340">
              <w:rPr>
                <w:rFonts w:ascii="Arial" w:eastAsia="Arial" w:hAnsi="Arial" w:cs="Arial"/>
              </w:rPr>
              <w:t>41.02%</w:t>
            </w:r>
            <w:r>
              <w:rPr>
                <w:rFonts w:ascii="Arial" w:eastAsia="Arial" w:hAnsi="Arial" w:cs="Arial"/>
              </w:rPr>
              <w:t>)</w:t>
            </w:r>
          </w:p>
        </w:tc>
      </w:tr>
      <w:tr w14:paraId="586416F6" w14:textId="77777777" w:rsidTr="007F4715">
        <w:tblPrEx>
          <w:tblW w:w="7185" w:type="dxa"/>
          <w:jc w:val="center"/>
          <w:tblCellMar>
            <w:left w:w="0" w:type="dxa"/>
            <w:right w:w="0" w:type="dxa"/>
          </w:tblCellMar>
          <w:tblLook w:val="04A0"/>
        </w:tblPrEx>
        <w:trPr>
          <w:trHeight w:val="300"/>
          <w:jc w:val="center"/>
        </w:trPr>
        <w:tc>
          <w:tcPr>
            <w:tcW w:w="7185" w:type="dxa"/>
            <w:gridSpan w:val="2"/>
            <w:noWrap/>
            <w:tcMar>
              <w:top w:w="0" w:type="dxa"/>
              <w:left w:w="108" w:type="dxa"/>
              <w:bottom w:w="0" w:type="dxa"/>
              <w:right w:w="108" w:type="dxa"/>
            </w:tcMar>
            <w:vAlign w:val="bottom"/>
            <w:hideMark/>
          </w:tcPr>
          <w:p w:rsidR="008830B6" w:rsidRPr="00711340" w:rsidP="005B7973" w14:paraId="40BAC6A9" w14:textId="77777777">
            <w:pPr>
              <w:rPr>
                <w:rFonts w:ascii="Arial" w:eastAsia="Arial" w:hAnsi="Arial" w:cs="Arial"/>
              </w:rPr>
            </w:pPr>
            <w:r w:rsidRPr="00711340">
              <w:rPr>
                <w:rFonts w:ascii="Arial" w:eastAsia="Arial" w:hAnsi="Arial" w:cs="Arial"/>
              </w:rPr>
              <w:t>** as of 10/12/23</w:t>
            </w:r>
          </w:p>
        </w:tc>
      </w:tr>
    </w:tbl>
    <w:p w:rsidR="008830B6" w:rsidP="008830B6" w14:paraId="12D1C5D8" w14:textId="77777777">
      <w:pPr>
        <w:rPr>
          <w:rFonts w:ascii="Arial" w:eastAsia="Arial" w:hAnsi="Arial" w:cs="Arial"/>
        </w:rPr>
      </w:pPr>
    </w:p>
    <w:p w:rsidR="008830B6" w:rsidP="008830B6" w14:paraId="149FA738" w14:textId="77777777">
      <w:pPr>
        <w:rPr>
          <w:rFonts w:ascii="Arial" w:eastAsia="Arial" w:hAnsi="Arial" w:cs="Arial"/>
        </w:rPr>
      </w:pPr>
      <w:r>
        <w:rPr>
          <w:rFonts w:ascii="Arial" w:eastAsia="Arial" w:hAnsi="Arial" w:cs="Arial"/>
        </w:rPr>
        <w:t xml:space="preserve">As for the estimated 20% filers who do not currently author their applications in the DOCX format, the </w:t>
      </w:r>
      <w:r w:rsidRPr="00711340">
        <w:rPr>
          <w:rFonts w:ascii="Arial" w:eastAsia="Arial" w:hAnsi="Arial" w:cs="Arial"/>
        </w:rPr>
        <w:t xml:space="preserve">DOCX </w:t>
      </w:r>
      <w:r>
        <w:rPr>
          <w:rFonts w:ascii="Arial" w:eastAsia="Arial" w:hAnsi="Arial" w:cs="Arial"/>
        </w:rPr>
        <w:t xml:space="preserve">format </w:t>
      </w:r>
      <w:r w:rsidRPr="00711340">
        <w:rPr>
          <w:rFonts w:ascii="Arial" w:eastAsia="Arial" w:hAnsi="Arial" w:cs="Arial"/>
        </w:rPr>
        <w:t>is supported by many popular word processing applications, such as Google Docs, LibreOffice and Pages for Mac</w:t>
      </w:r>
      <w:r>
        <w:rPr>
          <w:rFonts w:ascii="Arial" w:eastAsia="Arial" w:hAnsi="Arial" w:cs="Arial"/>
        </w:rPr>
        <w:t>.</w:t>
      </w:r>
    </w:p>
    <w:p w:rsidR="008830B6" w:rsidP="008830B6" w14:paraId="4BDEC837" w14:textId="77777777">
      <w:pPr>
        <w:rPr>
          <w:rFonts w:ascii="Arial" w:eastAsia="Arial" w:hAnsi="Arial" w:cs="Arial"/>
        </w:rPr>
      </w:pPr>
    </w:p>
    <w:p w:rsidR="008830B6" w:rsidRPr="004F258D" w:rsidP="008830B6" w14:paraId="3CB3BAA6" w14:textId="77777777">
      <w:pPr>
        <w:rPr>
          <w:rFonts w:ascii="Arial" w:hAnsi="Arial" w:cs="Arial"/>
          <w:b/>
          <w:bCs/>
        </w:rPr>
      </w:pPr>
      <w:r w:rsidRPr="004F258D">
        <w:rPr>
          <w:rFonts w:ascii="Arial" w:hAnsi="Arial" w:cs="Arial"/>
          <w:b/>
          <w:bCs/>
        </w:rPr>
        <w:t xml:space="preserve">Comment </w:t>
      </w:r>
      <w:r>
        <w:rPr>
          <w:rFonts w:ascii="Arial" w:hAnsi="Arial" w:cs="Arial"/>
          <w:b/>
          <w:bCs/>
        </w:rPr>
        <w:t>2</w:t>
      </w:r>
      <w:r w:rsidRPr="00E76B20">
        <w:rPr>
          <w:rFonts w:ascii="Arial" w:hAnsi="Arial"/>
          <w:b/>
        </w:rPr>
        <w:t>:</w:t>
      </w:r>
      <w:r w:rsidRPr="004F258D">
        <w:rPr>
          <w:rFonts w:ascii="Arial" w:hAnsi="Arial" w:cs="Arial"/>
        </w:rPr>
        <w:t xml:space="preserve"> </w:t>
      </w:r>
      <w:r>
        <w:rPr>
          <w:rFonts w:ascii="Arial" w:hAnsi="Arial" w:cs="Arial"/>
        </w:rPr>
        <w:t xml:space="preserve">One commenter alleged that the USPTO’s DOCX filing system did not accept his DOCX document </w:t>
      </w:r>
      <w:r w:rsidRPr="00B429AC">
        <w:rPr>
          <w:rFonts w:ascii="Arial" w:hAnsi="Arial" w:cs="Arial"/>
        </w:rPr>
        <w:t>containing chemical structures</w:t>
      </w:r>
      <w:r>
        <w:rPr>
          <w:rFonts w:ascii="Arial" w:hAnsi="Arial" w:cs="Arial"/>
        </w:rPr>
        <w:t>. According to the commenter, the system provided an error message stating that the submitted document was “not a DOCX document.”</w:t>
      </w:r>
    </w:p>
    <w:p w:rsidR="008830B6" w:rsidRPr="00E76B20" w:rsidP="008830B6" w14:paraId="560C55E2" w14:textId="77777777">
      <w:pPr>
        <w:rPr>
          <w:rFonts w:ascii="Arial" w:hAnsi="Arial"/>
        </w:rPr>
      </w:pPr>
    </w:p>
    <w:p w:rsidR="008830B6" w:rsidRPr="004F258D" w:rsidP="008830B6" w14:paraId="3247A84D" w14:textId="7330AA1E">
      <w:pPr>
        <w:rPr>
          <w:rFonts w:ascii="Arial" w:hAnsi="Arial" w:cs="Arial"/>
          <w:b/>
          <w:bCs/>
        </w:rPr>
      </w:pPr>
      <w:r w:rsidRPr="00E76B20">
        <w:rPr>
          <w:rFonts w:ascii="Arial" w:hAnsi="Arial"/>
          <w:b/>
        </w:rPr>
        <w:t>Response:</w:t>
      </w:r>
      <w:r w:rsidRPr="00E76B20">
        <w:rPr>
          <w:rFonts w:ascii="Arial" w:hAnsi="Arial"/>
        </w:rPr>
        <w:t xml:space="preserve"> </w:t>
      </w:r>
      <w:r>
        <w:rPr>
          <w:rFonts w:ascii="Arial" w:hAnsi="Arial" w:cs="Arial"/>
        </w:rPr>
        <w:t xml:space="preserve">The USPTO’s DOCX filing system </w:t>
      </w:r>
      <w:r w:rsidRPr="001D4BB0">
        <w:rPr>
          <w:rFonts w:ascii="Arial" w:hAnsi="Arial" w:cs="Arial"/>
        </w:rPr>
        <w:t xml:space="preserve">does not include </w:t>
      </w:r>
      <w:r>
        <w:rPr>
          <w:rFonts w:ascii="Arial" w:hAnsi="Arial" w:cs="Arial"/>
        </w:rPr>
        <w:t xml:space="preserve">an error message stating that a document cannot be accepted solely because it is “not a DOCX document.” The USPTO believes that the commenter may be referring to its error </w:t>
      </w:r>
      <w:r>
        <w:rPr>
          <w:rFonts w:ascii="Arial" w:hAnsi="Arial" w:cs="Arial"/>
        </w:rPr>
        <w:t>message stating that “[t]</w:t>
      </w:r>
      <w:r w:rsidRPr="004F258D">
        <w:rPr>
          <w:rFonts w:ascii="Arial" w:hAnsi="Arial" w:cs="Arial"/>
        </w:rPr>
        <w:t>he provided document is corrupt or not a DOCX file</w:t>
      </w:r>
      <w:r>
        <w:rPr>
          <w:rFonts w:ascii="Arial" w:hAnsi="Arial" w:cs="Arial"/>
        </w:rPr>
        <w:t xml:space="preserve">.” It is unlikely that the commenter’s DOCX document was rejected </w:t>
      </w:r>
      <w:r w:rsidR="007048C8">
        <w:rPr>
          <w:rFonts w:ascii="Arial" w:hAnsi="Arial" w:cs="Arial"/>
        </w:rPr>
        <w:t xml:space="preserve">because it was </w:t>
      </w:r>
      <w:r>
        <w:rPr>
          <w:rFonts w:ascii="Arial" w:hAnsi="Arial" w:cs="Arial"/>
        </w:rPr>
        <w:t>“not a DOCX document.” T</w:t>
      </w:r>
      <w:r w:rsidRPr="00E13FA4">
        <w:rPr>
          <w:rFonts w:ascii="Arial" w:hAnsi="Arial" w:cs="Arial"/>
        </w:rPr>
        <w:t>he USPTO system accepts any DOCX document, regardless of the particular word processing application used to create it, and regardless of whether it contains chemical structures, so long as it complies with the USPTO’s filing guidelines.</w:t>
      </w:r>
    </w:p>
    <w:p w:rsidR="008830B6" w:rsidP="008830B6" w14:paraId="02106CB7" w14:textId="77777777">
      <w:pPr>
        <w:tabs>
          <w:tab w:val="left" w:pos="1820"/>
        </w:tabs>
        <w:jc w:val="both"/>
        <w:rPr>
          <w:rFonts w:ascii="Arial" w:eastAsia="Arial" w:hAnsi="Arial" w:cs="Arial"/>
          <w:b/>
          <w:bCs/>
        </w:rPr>
      </w:pPr>
    </w:p>
    <w:p w:rsidR="008830B6" w:rsidRPr="004F258D" w:rsidP="008830B6" w14:paraId="4B275AAF" w14:textId="25EDD248">
      <w:pPr>
        <w:tabs>
          <w:tab w:val="left" w:pos="1820"/>
        </w:tabs>
        <w:jc w:val="both"/>
        <w:rPr>
          <w:rFonts w:ascii="Arial" w:eastAsia="Arial" w:hAnsi="Arial" w:cs="Arial"/>
        </w:rPr>
      </w:pPr>
      <w:r>
        <w:rPr>
          <w:rFonts w:ascii="Arial" w:eastAsia="Arial" w:hAnsi="Arial" w:cs="Arial"/>
          <w:b/>
          <w:bCs/>
        </w:rPr>
        <w:t>Comment 3:</w:t>
      </w:r>
      <w:r>
        <w:rPr>
          <w:rFonts w:ascii="Arial" w:eastAsia="Arial" w:hAnsi="Arial" w:cs="Arial"/>
        </w:rPr>
        <w:t xml:space="preserve"> One commenter </w:t>
      </w:r>
      <w:r w:rsidR="007048C8">
        <w:rPr>
          <w:rFonts w:ascii="Arial" w:eastAsia="Arial" w:hAnsi="Arial" w:cs="Arial"/>
        </w:rPr>
        <w:t>re-</w:t>
      </w:r>
      <w:r>
        <w:rPr>
          <w:rFonts w:ascii="Arial" w:eastAsia="Arial" w:hAnsi="Arial" w:cs="Arial"/>
        </w:rPr>
        <w:t>raise</w:t>
      </w:r>
      <w:r w:rsidR="007048C8">
        <w:rPr>
          <w:rFonts w:ascii="Arial" w:eastAsia="Arial" w:hAnsi="Arial" w:cs="Arial"/>
        </w:rPr>
        <w:t>d</w:t>
      </w:r>
      <w:r>
        <w:rPr>
          <w:rFonts w:ascii="Arial" w:eastAsia="Arial" w:hAnsi="Arial" w:cs="Arial"/>
        </w:rPr>
        <w:t xml:space="preserve"> three specific examples </w:t>
      </w:r>
      <w:r w:rsidR="007048C8">
        <w:rPr>
          <w:rFonts w:ascii="Arial" w:eastAsia="Arial" w:hAnsi="Arial" w:cs="Arial"/>
        </w:rPr>
        <w:t xml:space="preserve">of errors that were </w:t>
      </w:r>
      <w:r>
        <w:rPr>
          <w:rFonts w:ascii="Arial" w:eastAsia="Arial" w:hAnsi="Arial" w:cs="Arial"/>
        </w:rPr>
        <w:t xml:space="preserve">first raised in </w:t>
      </w:r>
      <w:r w:rsidR="007048C8">
        <w:rPr>
          <w:rFonts w:ascii="Arial" w:eastAsia="Arial" w:hAnsi="Arial" w:cs="Arial"/>
        </w:rPr>
        <w:t xml:space="preserve">their comment </w:t>
      </w:r>
      <w:r>
        <w:rPr>
          <w:rFonts w:ascii="Arial" w:eastAsia="Arial" w:hAnsi="Arial" w:cs="Arial"/>
        </w:rPr>
        <w:t xml:space="preserve">to the 60-day notice. The examples </w:t>
      </w:r>
      <w:r w:rsidR="007048C8">
        <w:rPr>
          <w:rFonts w:ascii="Arial" w:eastAsia="Arial" w:hAnsi="Arial" w:cs="Arial"/>
        </w:rPr>
        <w:t xml:space="preserve">were </w:t>
      </w:r>
      <w:r>
        <w:rPr>
          <w:rFonts w:ascii="Arial" w:eastAsia="Arial" w:hAnsi="Arial" w:cs="Arial"/>
        </w:rPr>
        <w:t xml:space="preserve">from issues </w:t>
      </w:r>
      <w:r w:rsidR="007048C8">
        <w:rPr>
          <w:rFonts w:ascii="Arial" w:eastAsia="Arial" w:hAnsi="Arial" w:cs="Arial"/>
        </w:rPr>
        <w:t xml:space="preserve">encountered between </w:t>
      </w:r>
      <w:r>
        <w:rPr>
          <w:rFonts w:ascii="Arial" w:eastAsia="Arial" w:hAnsi="Arial" w:cs="Arial"/>
        </w:rPr>
        <w:t>September 2022-March 2023 and include</w:t>
      </w:r>
      <w:r w:rsidR="007048C8">
        <w:rPr>
          <w:rFonts w:ascii="Arial" w:eastAsia="Arial" w:hAnsi="Arial" w:cs="Arial"/>
        </w:rPr>
        <w:t>d</w:t>
      </w:r>
      <w:r>
        <w:rPr>
          <w:rFonts w:ascii="Arial" w:eastAsia="Arial" w:hAnsi="Arial" w:cs="Arial"/>
        </w:rPr>
        <w:t xml:space="preserve"> </w:t>
      </w:r>
      <w:r w:rsidR="007048C8">
        <w:rPr>
          <w:rFonts w:ascii="Arial" w:eastAsia="Arial" w:hAnsi="Arial" w:cs="Arial"/>
        </w:rPr>
        <w:t xml:space="preserve">one </w:t>
      </w:r>
      <w:r>
        <w:rPr>
          <w:rFonts w:ascii="Arial" w:eastAsia="Arial" w:hAnsi="Arial" w:cs="Arial"/>
        </w:rPr>
        <w:t xml:space="preserve">application </w:t>
      </w:r>
      <w:r w:rsidR="007048C8">
        <w:rPr>
          <w:rFonts w:ascii="Arial" w:eastAsia="Arial" w:hAnsi="Arial" w:cs="Arial"/>
        </w:rPr>
        <w:t xml:space="preserve">that was allegedly not accepted by the USPTO’s system because the application contained </w:t>
      </w:r>
      <w:r>
        <w:rPr>
          <w:rFonts w:ascii="Arial" w:eastAsia="Arial" w:hAnsi="Arial" w:cs="Arial"/>
        </w:rPr>
        <w:t xml:space="preserve">an equation, and two other applications </w:t>
      </w:r>
      <w:r w:rsidR="007048C8">
        <w:rPr>
          <w:rFonts w:ascii="Arial" w:eastAsia="Arial" w:hAnsi="Arial" w:cs="Arial"/>
        </w:rPr>
        <w:t xml:space="preserve">that </w:t>
      </w:r>
      <w:r>
        <w:rPr>
          <w:rFonts w:ascii="Arial" w:eastAsia="Arial" w:hAnsi="Arial" w:cs="Arial"/>
        </w:rPr>
        <w:t>passed USPTO validation</w:t>
      </w:r>
      <w:r w:rsidR="007048C8">
        <w:rPr>
          <w:rFonts w:ascii="Arial" w:eastAsia="Arial" w:hAnsi="Arial" w:cs="Arial"/>
        </w:rPr>
        <w:t>,</w:t>
      </w:r>
      <w:r>
        <w:rPr>
          <w:rFonts w:ascii="Arial" w:eastAsia="Arial" w:hAnsi="Arial" w:cs="Arial"/>
        </w:rPr>
        <w:t xml:space="preserve"> but </w:t>
      </w:r>
      <w:r w:rsidR="007048C8">
        <w:rPr>
          <w:rFonts w:ascii="Arial" w:eastAsia="Arial" w:hAnsi="Arial" w:cs="Arial"/>
        </w:rPr>
        <w:t xml:space="preserve">became corrupted because </w:t>
      </w:r>
      <w:r>
        <w:rPr>
          <w:rFonts w:ascii="Arial" w:eastAsia="Arial" w:hAnsi="Arial" w:cs="Arial"/>
        </w:rPr>
        <w:t>the USPTO</w:t>
      </w:r>
      <w:r w:rsidR="007048C8">
        <w:rPr>
          <w:rFonts w:ascii="Arial" w:eastAsia="Arial" w:hAnsi="Arial" w:cs="Arial"/>
        </w:rPr>
        <w:t>’s</w:t>
      </w:r>
      <w:r>
        <w:rPr>
          <w:rFonts w:ascii="Arial" w:eastAsia="Arial" w:hAnsi="Arial" w:cs="Arial"/>
        </w:rPr>
        <w:t xml:space="preserve"> software “mangled equations” or “blanked out the text in the drawings.”</w:t>
      </w:r>
    </w:p>
    <w:p w:rsidR="008830B6" w:rsidP="008830B6" w14:paraId="3FCEB9E1" w14:textId="77777777">
      <w:pPr>
        <w:tabs>
          <w:tab w:val="left" w:pos="1820"/>
        </w:tabs>
        <w:jc w:val="both"/>
        <w:rPr>
          <w:rFonts w:ascii="Arial" w:eastAsia="Arial" w:hAnsi="Arial" w:cs="Arial"/>
          <w:b/>
          <w:bCs/>
        </w:rPr>
      </w:pPr>
    </w:p>
    <w:p w:rsidR="008830B6" w:rsidRPr="004F258D" w:rsidP="008830B6" w14:paraId="78BDB018" w14:textId="03752ED0">
      <w:pPr>
        <w:tabs>
          <w:tab w:val="left" w:pos="1820"/>
        </w:tabs>
        <w:jc w:val="both"/>
        <w:rPr>
          <w:rFonts w:ascii="Arial" w:eastAsia="Arial" w:hAnsi="Arial" w:cs="Arial"/>
          <w:b/>
          <w:bCs/>
        </w:rPr>
      </w:pPr>
      <w:r w:rsidRPr="004F258D">
        <w:rPr>
          <w:rFonts w:ascii="Arial" w:eastAsia="Arial" w:hAnsi="Arial" w:cs="Arial"/>
          <w:b/>
          <w:bCs/>
        </w:rPr>
        <w:t>Response:</w:t>
      </w:r>
      <w:r w:rsidRPr="00F41944">
        <w:rPr>
          <w:rFonts w:ascii="Arial" w:eastAsia="Arial" w:hAnsi="Arial" w:cs="Arial"/>
        </w:rPr>
        <w:t xml:space="preserve"> </w:t>
      </w:r>
      <w:r w:rsidR="007048C8">
        <w:rPr>
          <w:rFonts w:ascii="Arial" w:eastAsia="Arial" w:hAnsi="Arial" w:cs="Arial"/>
        </w:rPr>
        <w:t xml:space="preserve">Regarding the application containing an equation that was not accepted by the USPTO’s DOCX filing system, this application was not accepted because the equation in question </w:t>
      </w:r>
      <w:r w:rsidR="007048C8">
        <w:rPr>
          <w:rFonts w:ascii="Arial" w:eastAsia="Arial" w:hAnsi="Arial" w:cs="Arial"/>
        </w:rPr>
        <w:t xml:space="preserve">was within a </w:t>
      </w:r>
      <w:r w:rsidRPr="00CB7476" w:rsidR="007048C8">
        <w:rPr>
          <w:rFonts w:ascii="Arial" w:eastAsia="Arial" w:hAnsi="Arial" w:cs="Arial"/>
        </w:rPr>
        <w:t>quote field</w:t>
      </w:r>
      <w:r w:rsidR="007048C8">
        <w:rPr>
          <w:rFonts w:ascii="Arial" w:eastAsia="Arial" w:hAnsi="Arial" w:cs="Arial"/>
        </w:rPr>
        <w:t>.</w:t>
      </w:r>
      <w:r w:rsidRPr="786EC198" w:rsidR="007048C8">
        <w:rPr>
          <w:rFonts w:ascii="Arial" w:eastAsia="Arial" w:hAnsi="Arial" w:cs="Arial"/>
        </w:rPr>
        <w:t xml:space="preserve"> </w:t>
      </w:r>
      <w:r w:rsidRPr="786EC198">
        <w:rPr>
          <w:rFonts w:ascii="Arial" w:eastAsia="Arial" w:hAnsi="Arial" w:cs="Arial"/>
        </w:rPr>
        <w:t xml:space="preserve">The USPTO’s DOCX support web page, located at </w:t>
      </w:r>
      <w:hyperlink r:id="rId13" w:history="1">
        <w:r w:rsidRPr="786EC198">
          <w:rPr>
            <w:rStyle w:val="Hyperlink"/>
            <w:rFonts w:ascii="Arial" w:eastAsia="Arial" w:hAnsi="Arial" w:cs="Arial"/>
          </w:rPr>
          <w:t>https://www.uspto.gov/patent/docx</w:t>
        </w:r>
      </w:hyperlink>
      <w:r w:rsidRPr="786EC198">
        <w:rPr>
          <w:rFonts w:ascii="Arial" w:eastAsia="Arial" w:hAnsi="Arial" w:cs="Arial"/>
        </w:rPr>
        <w:t>,</w:t>
      </w:r>
      <w:r>
        <w:rPr>
          <w:rFonts w:ascii="Arial" w:eastAsia="Arial" w:hAnsi="Arial" w:cs="Arial"/>
        </w:rPr>
        <w:t xml:space="preserve"> incudes a June 2021 quick start guide titled “DOCX intake in Patent Center.” The guide makes clear that </w:t>
      </w:r>
      <w:r>
        <w:rPr>
          <w:rFonts w:ascii="Arial" w:hAnsi="Arial" w:cs="Arial"/>
        </w:rPr>
        <w:t xml:space="preserve">the USPTO’s DOCX filing system does not accept documents containing quote fields. When the USPTO’s system encounters a document containing a quote field, it generates a feedback document during the validation process identifying the location within the document of the improper quote field. As for the application </w:t>
      </w:r>
      <w:r w:rsidR="007048C8">
        <w:rPr>
          <w:rFonts w:ascii="Arial" w:hAnsi="Arial" w:cs="Arial"/>
        </w:rPr>
        <w:t xml:space="preserve">containing </w:t>
      </w:r>
      <w:r>
        <w:rPr>
          <w:rFonts w:ascii="Arial" w:hAnsi="Arial" w:cs="Arial"/>
        </w:rPr>
        <w:t xml:space="preserve">the </w:t>
      </w:r>
      <w:r w:rsidR="007048C8">
        <w:rPr>
          <w:rFonts w:ascii="Arial" w:hAnsi="Arial" w:cs="Arial"/>
        </w:rPr>
        <w:t>“</w:t>
      </w:r>
      <w:r>
        <w:rPr>
          <w:rFonts w:ascii="Arial" w:hAnsi="Arial" w:cs="Arial"/>
        </w:rPr>
        <w:t>mangled equation,</w:t>
      </w:r>
      <w:r w:rsidR="007048C8">
        <w:rPr>
          <w:rFonts w:ascii="Arial" w:hAnsi="Arial" w:cs="Arial"/>
        </w:rPr>
        <w:t>”</w:t>
      </w:r>
      <w:r>
        <w:rPr>
          <w:rFonts w:ascii="Arial" w:hAnsi="Arial" w:cs="Arial"/>
        </w:rPr>
        <w:t xml:space="preserve"> </w:t>
      </w:r>
      <w:r w:rsidR="007048C8">
        <w:rPr>
          <w:rFonts w:ascii="Arial" w:hAnsi="Arial" w:cs="Arial"/>
        </w:rPr>
        <w:t xml:space="preserve">this </w:t>
      </w:r>
      <w:r>
        <w:rPr>
          <w:rFonts w:ascii="Arial" w:hAnsi="Arial" w:cs="Arial"/>
        </w:rPr>
        <w:t xml:space="preserve">is an example of the issue mentioned earlier herein </w:t>
      </w:r>
      <w:r>
        <w:rPr>
          <w:rFonts w:ascii="Arial" w:eastAsia="Arial" w:hAnsi="Arial" w:cs="Arial"/>
        </w:rPr>
        <w:t xml:space="preserve">in which equations presented in certain fonts in DOCX filings </w:t>
      </w:r>
      <w:r w:rsidR="007048C8">
        <w:rPr>
          <w:rFonts w:ascii="Arial" w:eastAsia="Arial" w:hAnsi="Arial" w:cs="Arial"/>
        </w:rPr>
        <w:t xml:space="preserve">may </w:t>
      </w:r>
      <w:r>
        <w:rPr>
          <w:rFonts w:ascii="Arial" w:eastAsia="Arial" w:hAnsi="Arial" w:cs="Arial"/>
        </w:rPr>
        <w:t xml:space="preserve">not render accurately in the downstream documents generated by the USPTO. At no time was there an issue with the DOCX filing which served as the authoritative document. As of May 2023, the USPTO resolved this issue and all supported fonts can be used in equations included within a DOCX filing without creating a rendering issue in downstream documents generated by the USPTO. Finally, </w:t>
      </w:r>
      <w:r w:rsidR="007048C8">
        <w:rPr>
          <w:rFonts w:ascii="Arial" w:eastAsia="Arial" w:hAnsi="Arial" w:cs="Arial"/>
        </w:rPr>
        <w:t xml:space="preserve">regarding the application that contained “blanked out” text in a </w:t>
      </w:r>
      <w:r w:rsidRPr="005F5E52">
        <w:rPr>
          <w:rFonts w:ascii="Arial" w:eastAsia="Arial" w:hAnsi="Arial" w:cs="Arial"/>
        </w:rPr>
        <w:t>drawing</w:t>
      </w:r>
      <w:r w:rsidR="007048C8">
        <w:rPr>
          <w:rFonts w:ascii="Arial" w:eastAsia="Arial" w:hAnsi="Arial" w:cs="Arial"/>
        </w:rPr>
        <w:t>, the drawing was</w:t>
      </w:r>
      <w:r w:rsidRPr="005F5E52">
        <w:rPr>
          <w:rFonts w:ascii="Arial" w:eastAsia="Arial" w:hAnsi="Arial" w:cs="Arial"/>
        </w:rPr>
        <w:t xml:space="preserve"> </w:t>
      </w:r>
      <w:r>
        <w:rPr>
          <w:rFonts w:ascii="Arial" w:eastAsia="Arial" w:hAnsi="Arial" w:cs="Arial"/>
        </w:rPr>
        <w:t xml:space="preserve">filed in the PDF format and </w:t>
      </w:r>
      <w:r w:rsidR="007048C8">
        <w:rPr>
          <w:rFonts w:ascii="Arial" w:eastAsia="Arial" w:hAnsi="Arial" w:cs="Arial"/>
        </w:rPr>
        <w:t xml:space="preserve">thus did not involve </w:t>
      </w:r>
      <w:r w:rsidRPr="005F5E52">
        <w:rPr>
          <w:rFonts w:ascii="Arial" w:eastAsia="Arial" w:hAnsi="Arial" w:cs="Arial"/>
        </w:rPr>
        <w:t xml:space="preserve">a DOCX </w:t>
      </w:r>
      <w:r w:rsidR="005415DD">
        <w:rPr>
          <w:rFonts w:ascii="Arial" w:eastAsia="Arial" w:hAnsi="Arial" w:cs="Arial"/>
        </w:rPr>
        <w:t>filing</w:t>
      </w:r>
      <w:r w:rsidRPr="005F5E52">
        <w:rPr>
          <w:rFonts w:ascii="Arial" w:eastAsia="Arial" w:hAnsi="Arial" w:cs="Arial"/>
        </w:rPr>
        <w:t xml:space="preserve">. </w:t>
      </w:r>
      <w:r w:rsidR="005415DD">
        <w:rPr>
          <w:rFonts w:ascii="Arial" w:eastAsia="Arial" w:hAnsi="Arial" w:cs="Arial"/>
        </w:rPr>
        <w:t xml:space="preserve">In this particular instance, </w:t>
      </w:r>
      <w:r w:rsidRPr="005F5E52">
        <w:rPr>
          <w:rFonts w:ascii="Arial" w:eastAsia="Arial" w:hAnsi="Arial" w:cs="Arial"/>
        </w:rPr>
        <w:t xml:space="preserve">the preview </w:t>
      </w:r>
      <w:r w:rsidR="005415DD">
        <w:rPr>
          <w:rFonts w:ascii="Arial" w:eastAsia="Arial" w:hAnsi="Arial" w:cs="Arial"/>
        </w:rPr>
        <w:t xml:space="preserve">function did not properly display certain text of the </w:t>
      </w:r>
      <w:r w:rsidRPr="005F5E52">
        <w:rPr>
          <w:rFonts w:ascii="Arial" w:eastAsia="Arial" w:hAnsi="Arial" w:cs="Arial"/>
        </w:rPr>
        <w:t xml:space="preserve">uploaded PDF. The </w:t>
      </w:r>
      <w:r>
        <w:rPr>
          <w:rFonts w:ascii="Arial" w:eastAsia="Arial" w:hAnsi="Arial" w:cs="Arial"/>
        </w:rPr>
        <w:t xml:space="preserve">USPTO provided a </w:t>
      </w:r>
      <w:r w:rsidRPr="005F5E52">
        <w:rPr>
          <w:rFonts w:ascii="Arial" w:eastAsia="Arial" w:hAnsi="Arial" w:cs="Arial"/>
        </w:rPr>
        <w:t xml:space="preserve">workaround to the </w:t>
      </w:r>
      <w:r>
        <w:rPr>
          <w:rFonts w:ascii="Arial" w:eastAsia="Arial" w:hAnsi="Arial" w:cs="Arial"/>
        </w:rPr>
        <w:t>filer</w:t>
      </w:r>
      <w:r w:rsidR="005415DD">
        <w:rPr>
          <w:rFonts w:ascii="Arial" w:eastAsia="Arial" w:hAnsi="Arial" w:cs="Arial"/>
        </w:rPr>
        <w:t xml:space="preserve">, which was to </w:t>
      </w:r>
      <w:r w:rsidRPr="005F5E52">
        <w:rPr>
          <w:rFonts w:ascii="Arial" w:eastAsia="Arial" w:hAnsi="Arial" w:cs="Arial"/>
        </w:rPr>
        <w:t xml:space="preserve">download the document </w:t>
      </w:r>
      <w:r w:rsidR="005415DD">
        <w:rPr>
          <w:rFonts w:ascii="Arial" w:eastAsia="Arial" w:hAnsi="Arial" w:cs="Arial"/>
        </w:rPr>
        <w:t xml:space="preserve">to view the text for the drawing </w:t>
      </w:r>
      <w:r w:rsidRPr="005F5E52">
        <w:rPr>
          <w:rFonts w:ascii="Arial" w:eastAsia="Arial" w:hAnsi="Arial" w:cs="Arial"/>
        </w:rPr>
        <w:t xml:space="preserve">instead of utilizing the preview function. The issue </w:t>
      </w:r>
      <w:r w:rsidR="005415DD">
        <w:rPr>
          <w:rFonts w:ascii="Arial" w:eastAsia="Arial" w:hAnsi="Arial" w:cs="Arial"/>
        </w:rPr>
        <w:t xml:space="preserve">with the preview function </w:t>
      </w:r>
      <w:r w:rsidRPr="005F5E52">
        <w:rPr>
          <w:rFonts w:ascii="Arial" w:eastAsia="Arial" w:hAnsi="Arial" w:cs="Arial"/>
        </w:rPr>
        <w:t>is now fixed</w:t>
      </w:r>
      <w:r>
        <w:rPr>
          <w:rFonts w:ascii="Arial" w:eastAsia="Arial" w:hAnsi="Arial" w:cs="Arial"/>
        </w:rPr>
        <w:t xml:space="preserve">, which the USPTO recently confirmed by using the same document </w:t>
      </w:r>
      <w:r w:rsidR="005415DD">
        <w:rPr>
          <w:rFonts w:ascii="Arial" w:eastAsia="Arial" w:hAnsi="Arial" w:cs="Arial"/>
        </w:rPr>
        <w:t xml:space="preserve">that </w:t>
      </w:r>
      <w:r>
        <w:rPr>
          <w:rFonts w:ascii="Arial" w:eastAsia="Arial" w:hAnsi="Arial" w:cs="Arial"/>
        </w:rPr>
        <w:t>was filed and verifying the presence of the drawing text through the PDF preview function.</w:t>
      </w:r>
    </w:p>
    <w:p w:rsidR="008830B6" w:rsidP="008830B6" w14:paraId="2019943D" w14:textId="77777777">
      <w:pPr>
        <w:tabs>
          <w:tab w:val="left" w:pos="1820"/>
        </w:tabs>
        <w:jc w:val="both"/>
        <w:rPr>
          <w:rFonts w:ascii="Arial" w:eastAsia="Arial" w:hAnsi="Arial" w:cs="Arial"/>
        </w:rPr>
      </w:pPr>
    </w:p>
    <w:p w:rsidR="008830B6" w:rsidRPr="004F258D" w:rsidP="008830B6" w14:paraId="1058A408" w14:textId="4C57D976">
      <w:pPr>
        <w:tabs>
          <w:tab w:val="left" w:pos="1820"/>
        </w:tabs>
        <w:jc w:val="both"/>
        <w:rPr>
          <w:rFonts w:ascii="Arial" w:eastAsia="Arial" w:hAnsi="Arial" w:cs="Arial"/>
          <w:b/>
          <w:bCs/>
        </w:rPr>
      </w:pPr>
      <w:r w:rsidRPr="004F258D">
        <w:rPr>
          <w:rFonts w:ascii="Arial" w:eastAsia="Arial" w:hAnsi="Arial" w:cs="Arial"/>
          <w:b/>
          <w:bCs/>
        </w:rPr>
        <w:t xml:space="preserve">Comment </w:t>
      </w:r>
      <w:r>
        <w:rPr>
          <w:rFonts w:ascii="Arial" w:eastAsia="Arial" w:hAnsi="Arial" w:cs="Arial"/>
          <w:b/>
          <w:bCs/>
        </w:rPr>
        <w:t>4</w:t>
      </w:r>
      <w:r w:rsidRPr="004F258D">
        <w:rPr>
          <w:rFonts w:ascii="Arial" w:eastAsia="Arial" w:hAnsi="Arial" w:cs="Arial"/>
          <w:b/>
          <w:bCs/>
        </w:rPr>
        <w:t>:</w:t>
      </w:r>
      <w:r w:rsidRPr="001D4BB0">
        <w:rPr>
          <w:rFonts w:ascii="Arial" w:eastAsia="Arial" w:hAnsi="Arial" w:cs="Arial"/>
        </w:rPr>
        <w:t xml:space="preserve"> </w:t>
      </w:r>
      <w:r>
        <w:rPr>
          <w:rFonts w:ascii="Arial" w:eastAsia="Arial" w:hAnsi="Arial" w:cs="Arial"/>
        </w:rPr>
        <w:t>One commenter reiterate</w:t>
      </w:r>
      <w:r w:rsidR="00952510">
        <w:rPr>
          <w:rFonts w:ascii="Arial" w:eastAsia="Arial" w:hAnsi="Arial" w:cs="Arial"/>
        </w:rPr>
        <w:t>d</w:t>
      </w:r>
      <w:r>
        <w:rPr>
          <w:rFonts w:ascii="Arial" w:eastAsia="Arial" w:hAnsi="Arial" w:cs="Arial"/>
        </w:rPr>
        <w:t xml:space="preserve"> </w:t>
      </w:r>
      <w:r w:rsidR="00952510">
        <w:rPr>
          <w:rFonts w:ascii="Arial" w:eastAsia="Arial" w:hAnsi="Arial" w:cs="Arial"/>
        </w:rPr>
        <w:t xml:space="preserve">their previous concern </w:t>
      </w:r>
      <w:r w:rsidRPr="786EC198">
        <w:rPr>
          <w:rFonts w:ascii="Arial" w:eastAsia="Arial" w:hAnsi="Arial" w:cs="Arial"/>
        </w:rPr>
        <w:t>that the USPTO</w:t>
      </w:r>
      <w:r>
        <w:rPr>
          <w:rFonts w:ascii="Arial" w:eastAsia="Arial" w:hAnsi="Arial" w:cs="Arial"/>
        </w:rPr>
        <w:t>’s</w:t>
      </w:r>
      <w:r w:rsidRPr="786EC198">
        <w:rPr>
          <w:rFonts w:ascii="Arial" w:eastAsia="Arial" w:hAnsi="Arial" w:cs="Arial"/>
        </w:rPr>
        <w:t xml:space="preserve"> </w:t>
      </w:r>
      <w:r>
        <w:rPr>
          <w:rFonts w:ascii="Arial" w:eastAsia="Arial" w:hAnsi="Arial" w:cs="Arial"/>
        </w:rPr>
        <w:t>DOCX filing process is unreliable. The commenter state</w:t>
      </w:r>
      <w:r w:rsidR="00952510">
        <w:rPr>
          <w:rFonts w:ascii="Arial" w:eastAsia="Arial" w:hAnsi="Arial" w:cs="Arial"/>
        </w:rPr>
        <w:t>d</w:t>
      </w:r>
      <w:r>
        <w:rPr>
          <w:rFonts w:ascii="Arial" w:eastAsia="Arial" w:hAnsi="Arial" w:cs="Arial"/>
        </w:rPr>
        <w:t xml:space="preserve"> that </w:t>
      </w:r>
      <w:r w:rsidRPr="00553550">
        <w:rPr>
          <w:rFonts w:ascii="Arial" w:eastAsia="Arial" w:hAnsi="Arial" w:cs="Arial"/>
        </w:rPr>
        <w:t>the process substantively changes the content of the document</w:t>
      </w:r>
      <w:r>
        <w:rPr>
          <w:rFonts w:ascii="Arial" w:eastAsia="Arial" w:hAnsi="Arial" w:cs="Arial"/>
        </w:rPr>
        <w:t xml:space="preserve"> with no opportunity for the applicant to control the changes. The commenter assert</w:t>
      </w:r>
      <w:r w:rsidR="00952510">
        <w:rPr>
          <w:rFonts w:ascii="Arial" w:eastAsia="Arial" w:hAnsi="Arial" w:cs="Arial"/>
        </w:rPr>
        <w:t>ed</w:t>
      </w:r>
      <w:r>
        <w:rPr>
          <w:rFonts w:ascii="Arial" w:eastAsia="Arial" w:hAnsi="Arial" w:cs="Arial"/>
        </w:rPr>
        <w:t xml:space="preserve"> that it is unfair to force </w:t>
      </w:r>
      <w:r w:rsidRPr="00BA4B12">
        <w:rPr>
          <w:rFonts w:ascii="Arial" w:eastAsia="Arial" w:hAnsi="Arial" w:cs="Arial"/>
        </w:rPr>
        <w:t xml:space="preserve">the public to pay a </w:t>
      </w:r>
      <w:r>
        <w:rPr>
          <w:rFonts w:ascii="Arial" w:eastAsia="Arial" w:hAnsi="Arial" w:cs="Arial"/>
        </w:rPr>
        <w:t xml:space="preserve">$400 surcharge </w:t>
      </w:r>
      <w:r w:rsidRPr="00BA4B12">
        <w:rPr>
          <w:rFonts w:ascii="Arial" w:eastAsia="Arial" w:hAnsi="Arial" w:cs="Arial"/>
        </w:rPr>
        <w:t xml:space="preserve">fee due to </w:t>
      </w:r>
      <w:r>
        <w:rPr>
          <w:rFonts w:ascii="Arial" w:eastAsia="Arial" w:hAnsi="Arial" w:cs="Arial"/>
        </w:rPr>
        <w:t xml:space="preserve">alleged </w:t>
      </w:r>
      <w:r w:rsidRPr="00BA4B12">
        <w:rPr>
          <w:rFonts w:ascii="Arial" w:eastAsia="Arial" w:hAnsi="Arial" w:cs="Arial"/>
        </w:rPr>
        <w:t xml:space="preserve">defects in </w:t>
      </w:r>
      <w:r>
        <w:rPr>
          <w:rFonts w:ascii="Arial" w:eastAsia="Arial" w:hAnsi="Arial" w:cs="Arial"/>
        </w:rPr>
        <w:t>the agency’s DOCX filing process.</w:t>
      </w:r>
      <w:r w:rsidRPr="00125618">
        <w:rPr>
          <w:rFonts w:ascii="Arial" w:eastAsia="Arial" w:hAnsi="Arial" w:cs="Arial"/>
        </w:rPr>
        <w:t xml:space="preserve"> </w:t>
      </w:r>
      <w:r>
        <w:rPr>
          <w:rFonts w:ascii="Arial" w:eastAsia="Arial" w:hAnsi="Arial" w:cs="Arial"/>
        </w:rPr>
        <w:t xml:space="preserve">The commenter disputes the USPTO’s response that it has addressed many past issues and </w:t>
      </w:r>
      <w:r>
        <w:rPr>
          <w:rFonts w:ascii="Arial" w:eastAsia="Arial" w:hAnsi="Arial" w:cs="Arial"/>
        </w:rPr>
        <w:t>that recent results</w:t>
      </w:r>
      <w:r>
        <w:rPr>
          <w:rFonts w:ascii="Arial" w:eastAsia="Arial" w:hAnsi="Arial" w:cs="Arial"/>
        </w:rPr>
        <w:t xml:space="preserve"> have shown very few issues.</w:t>
      </w:r>
    </w:p>
    <w:p w:rsidR="008830B6" w:rsidP="008830B6" w14:paraId="33997F67" w14:textId="77777777">
      <w:pPr>
        <w:tabs>
          <w:tab w:val="left" w:pos="1820"/>
        </w:tabs>
        <w:jc w:val="both"/>
        <w:rPr>
          <w:rFonts w:ascii="Arial" w:eastAsia="Arial" w:hAnsi="Arial" w:cs="Arial"/>
        </w:rPr>
      </w:pPr>
    </w:p>
    <w:p w:rsidR="008830B6" w:rsidRPr="004F258D" w:rsidP="008830B6" w14:paraId="22B96A9C" w14:textId="18FE9561">
      <w:pPr>
        <w:tabs>
          <w:tab w:val="left" w:pos="1820"/>
        </w:tabs>
        <w:jc w:val="both"/>
        <w:rPr>
          <w:rFonts w:ascii="Arial" w:eastAsia="Arial" w:hAnsi="Arial" w:cs="Arial"/>
          <w:b/>
          <w:bCs/>
        </w:rPr>
      </w:pPr>
      <w:r w:rsidRPr="004F258D">
        <w:rPr>
          <w:rFonts w:ascii="Arial" w:eastAsia="Arial" w:hAnsi="Arial" w:cs="Arial"/>
          <w:b/>
          <w:bCs/>
        </w:rPr>
        <w:t>Response:</w:t>
      </w:r>
      <w:r w:rsidRPr="001D4BB0">
        <w:rPr>
          <w:rFonts w:ascii="Arial" w:eastAsia="Arial" w:hAnsi="Arial" w:cs="Arial"/>
        </w:rPr>
        <w:t xml:space="preserve"> </w:t>
      </w:r>
      <w:r>
        <w:rPr>
          <w:rFonts w:ascii="Arial" w:eastAsia="Arial" w:hAnsi="Arial" w:cs="Arial"/>
        </w:rPr>
        <w:t xml:space="preserve">As of October 2023, approximately 105,000 </w:t>
      </w:r>
      <w:r w:rsidR="007F4715">
        <w:rPr>
          <w:rFonts w:ascii="Arial" w:eastAsia="Arial" w:hAnsi="Arial" w:cs="Arial"/>
        </w:rPr>
        <w:t xml:space="preserve">utility nonprovisional 111(a) </w:t>
      </w:r>
      <w:r>
        <w:rPr>
          <w:rFonts w:ascii="Arial" w:eastAsia="Arial" w:hAnsi="Arial" w:cs="Arial"/>
        </w:rPr>
        <w:t xml:space="preserve">applications (41.02% of </w:t>
      </w:r>
      <w:r w:rsidR="007F4715">
        <w:rPr>
          <w:rFonts w:ascii="Arial" w:eastAsia="Arial" w:hAnsi="Arial" w:cs="Arial"/>
        </w:rPr>
        <w:t xml:space="preserve">total </w:t>
      </w:r>
      <w:r w:rsidR="007F4715">
        <w:rPr>
          <w:rFonts w:ascii="Arial" w:eastAsia="Arial" w:hAnsi="Arial" w:cs="Arial"/>
        </w:rPr>
        <w:t xml:space="preserve">utility nonprovisional 111(a) </w:t>
      </w:r>
      <w:r>
        <w:rPr>
          <w:rFonts w:ascii="Arial" w:eastAsia="Arial" w:hAnsi="Arial" w:cs="Arial"/>
        </w:rPr>
        <w:t xml:space="preserve">applications) have been successfully filed in the DOCX format. The USPTO is simply not seeing the unreliability asserted by the commenter. Furthermore, the USPTO has for several years offered multiple public training sessions per month. The sessions include </w:t>
      </w:r>
      <w:r w:rsidRPr="00125618">
        <w:rPr>
          <w:rFonts w:ascii="Arial" w:eastAsia="Arial" w:hAnsi="Arial" w:cs="Arial"/>
        </w:rPr>
        <w:t xml:space="preserve">time for </w:t>
      </w:r>
      <w:r>
        <w:rPr>
          <w:rFonts w:ascii="Arial" w:eastAsia="Arial" w:hAnsi="Arial" w:cs="Arial"/>
        </w:rPr>
        <w:t xml:space="preserve">particular </w:t>
      </w:r>
      <w:r w:rsidRPr="00125618">
        <w:rPr>
          <w:rFonts w:ascii="Arial" w:eastAsia="Arial" w:hAnsi="Arial" w:cs="Arial"/>
        </w:rPr>
        <w:t>questions</w:t>
      </w:r>
      <w:r>
        <w:rPr>
          <w:rFonts w:ascii="Arial" w:eastAsia="Arial" w:hAnsi="Arial" w:cs="Arial"/>
        </w:rPr>
        <w:t xml:space="preserve"> about the USPTO’s DOCX filing process, including questions regarding validation and conversion errors. The USPTO will resume these sessions in December 2023. For more information, visit </w:t>
      </w:r>
      <w:hyperlink r:id="rId16" w:history="1">
        <w:r w:rsidRPr="00266977">
          <w:rPr>
            <w:rStyle w:val="Hyperlink"/>
            <w:rFonts w:ascii="Arial" w:eastAsia="Arial" w:hAnsi="Arial" w:cs="Arial"/>
          </w:rPr>
          <w:t>https://www.uspto.gov/about-us/events/patents-docx-filing</w:t>
        </w:r>
      </w:hyperlink>
      <w:r>
        <w:rPr>
          <w:rFonts w:ascii="Arial" w:eastAsia="Arial" w:hAnsi="Arial" w:cs="Arial"/>
        </w:rPr>
        <w:t xml:space="preserve">. In addition, </w:t>
      </w:r>
      <w:r w:rsidRPr="786EC198">
        <w:rPr>
          <w:rFonts w:ascii="Arial" w:eastAsia="Arial" w:hAnsi="Arial" w:cs="Arial"/>
          <w:color w:val="000000" w:themeColor="text1"/>
        </w:rPr>
        <w:t>the USPTO has extended indefinitely the option to submit an applicant-generated PDF of the application along with the validated DOCX file(s)</w:t>
      </w:r>
      <w:r>
        <w:rPr>
          <w:rFonts w:ascii="Arial" w:eastAsia="Arial" w:hAnsi="Arial" w:cs="Arial"/>
          <w:color w:val="000000" w:themeColor="text1"/>
        </w:rPr>
        <w:t>. A</w:t>
      </w:r>
      <w:r w:rsidRPr="786EC198">
        <w:rPr>
          <w:rFonts w:ascii="Arial" w:eastAsia="Arial" w:hAnsi="Arial" w:cs="Arial"/>
        </w:rPr>
        <w:t xml:space="preserve">pplicants choosing to submit an applicant-generated PDF with the validated DOCX file(s) when filing an application in Patent Center </w:t>
      </w:r>
      <w:r>
        <w:rPr>
          <w:rFonts w:ascii="Arial" w:eastAsia="Arial" w:hAnsi="Arial" w:cs="Arial"/>
        </w:rPr>
        <w:t xml:space="preserve">would not incur the $400 surcharge and </w:t>
      </w:r>
      <w:r w:rsidRPr="786EC198">
        <w:rPr>
          <w:rFonts w:ascii="Arial" w:eastAsia="Arial" w:hAnsi="Arial" w:cs="Arial"/>
        </w:rPr>
        <w:t>will have an ongoing safeguard should any unexpected conversion discrepancies occur during the filing process.</w:t>
      </w:r>
    </w:p>
    <w:p w:rsidR="008830B6" w:rsidP="008830B6" w14:paraId="3E3BB47E" w14:textId="77777777">
      <w:pPr>
        <w:rPr>
          <w:rFonts w:ascii="Arial" w:eastAsia="Arial" w:hAnsi="Arial" w:cs="Arial"/>
          <w:b/>
          <w:bCs/>
        </w:rPr>
      </w:pPr>
    </w:p>
    <w:p w:rsidR="008830B6" w:rsidP="008830B6" w14:paraId="13882D1A" w14:textId="77777777">
      <w:pPr>
        <w:rPr>
          <w:rFonts w:ascii="Arial" w:eastAsia="Arial" w:hAnsi="Arial" w:cs="Arial"/>
        </w:rPr>
      </w:pPr>
      <w:r w:rsidRPr="002F305B">
        <w:rPr>
          <w:rFonts w:ascii="Arial" w:eastAsia="Arial" w:hAnsi="Arial" w:cs="Arial"/>
          <w:b/>
          <w:bCs/>
        </w:rPr>
        <w:t xml:space="preserve">Comment </w:t>
      </w:r>
      <w:r>
        <w:rPr>
          <w:rFonts w:ascii="Arial" w:eastAsia="Arial" w:hAnsi="Arial" w:cs="Arial"/>
          <w:b/>
          <w:bCs/>
        </w:rPr>
        <w:t>5</w:t>
      </w:r>
      <w:r>
        <w:rPr>
          <w:rFonts w:ascii="Arial" w:eastAsia="Arial" w:hAnsi="Arial" w:cs="Arial"/>
        </w:rPr>
        <w:t>: One</w:t>
      </w:r>
      <w:r w:rsidRPr="008259FE">
        <w:rPr>
          <w:rFonts w:ascii="Arial" w:eastAsia="Arial" w:hAnsi="Arial" w:cs="Arial"/>
        </w:rPr>
        <w:t xml:space="preserve"> commenter </w:t>
      </w:r>
      <w:r>
        <w:rPr>
          <w:rFonts w:ascii="Arial" w:eastAsia="Arial" w:hAnsi="Arial" w:cs="Arial"/>
        </w:rPr>
        <w:t xml:space="preserve">asserted </w:t>
      </w:r>
      <w:r w:rsidRPr="008259FE">
        <w:rPr>
          <w:rFonts w:ascii="Arial" w:eastAsia="Arial" w:hAnsi="Arial" w:cs="Arial"/>
        </w:rPr>
        <w:t xml:space="preserve">that </w:t>
      </w:r>
      <w:r>
        <w:rPr>
          <w:rFonts w:ascii="Arial" w:eastAsia="Arial" w:hAnsi="Arial" w:cs="Arial"/>
        </w:rPr>
        <w:t xml:space="preserve">the </w:t>
      </w:r>
      <w:r w:rsidRPr="008259FE">
        <w:rPr>
          <w:rFonts w:ascii="Arial" w:eastAsia="Arial" w:hAnsi="Arial" w:cs="Arial"/>
        </w:rPr>
        <w:t>USPTO was required under the PRA to seek approval from OMB for the collection of the auxiliary PDF.</w:t>
      </w:r>
    </w:p>
    <w:p w:rsidR="008830B6" w:rsidP="008830B6" w14:paraId="6A37046D" w14:textId="77777777">
      <w:pPr>
        <w:rPr>
          <w:rFonts w:ascii="Arial" w:eastAsia="Arial" w:hAnsi="Arial" w:cs="Arial"/>
        </w:rPr>
      </w:pPr>
    </w:p>
    <w:p w:rsidR="008830B6" w:rsidP="008830B6" w14:paraId="5BB1BC76" w14:textId="77777777">
      <w:pPr>
        <w:rPr>
          <w:rFonts w:ascii="Arial" w:eastAsia="Arial" w:hAnsi="Arial" w:cs="Arial"/>
        </w:rPr>
      </w:pPr>
      <w:r w:rsidRPr="002F305B">
        <w:rPr>
          <w:rFonts w:ascii="Arial" w:eastAsia="Arial" w:hAnsi="Arial" w:cs="Arial"/>
          <w:b/>
          <w:bCs/>
        </w:rPr>
        <w:t>Response</w:t>
      </w:r>
      <w:r>
        <w:rPr>
          <w:rFonts w:ascii="Arial" w:eastAsia="Arial" w:hAnsi="Arial" w:cs="Arial"/>
        </w:rPr>
        <w:t xml:space="preserve">: The USPTO has PRA approval to collect patent application information regardless of the format in which the information is submitted </w:t>
      </w:r>
      <w:r w:rsidRPr="6A9BA041">
        <w:rPr>
          <w:rFonts w:ascii="Arial" w:hAnsi="Arial" w:cs="Arial"/>
        </w:rPr>
        <w:t>(</w:t>
      </w:r>
      <w:r>
        <w:rPr>
          <w:rFonts w:ascii="Arial" w:hAnsi="Arial" w:cs="Arial"/>
        </w:rPr>
        <w:t xml:space="preserve">OMB control number </w:t>
      </w:r>
      <w:r w:rsidRPr="6A9BA041">
        <w:rPr>
          <w:rFonts w:ascii="Arial" w:hAnsi="Arial" w:cs="Arial"/>
        </w:rPr>
        <w:t>0651-0032; Initial Patent Applications)</w:t>
      </w:r>
      <w:r>
        <w:rPr>
          <w:rFonts w:ascii="Arial" w:eastAsia="Arial" w:hAnsi="Arial" w:cs="Arial"/>
        </w:rPr>
        <w:t xml:space="preserve">. </w:t>
      </w:r>
      <w:r w:rsidRPr="786EC198">
        <w:rPr>
          <w:rFonts w:ascii="Arial" w:eastAsia="Arial" w:hAnsi="Arial" w:cs="Arial"/>
        </w:rPr>
        <w:t>The USPTO does not require submission of the auxiliary PDF. For those applicants who choose to submit an auxiliary PDF, the purpose of that document is to serve as a safeguard for the application in the unlikely event that any correction is needed later in the process.</w:t>
      </w:r>
    </w:p>
    <w:p w:rsidR="008830B6" w:rsidP="008830B6" w14:paraId="4C97E62A" w14:textId="77777777">
      <w:pPr>
        <w:rPr>
          <w:rFonts w:ascii="Arial" w:eastAsia="Arial" w:hAnsi="Arial" w:cs="Arial"/>
        </w:rPr>
      </w:pPr>
    </w:p>
    <w:p w:rsidR="008830B6" w:rsidP="008830B6" w14:paraId="7A65B74A" w14:textId="77777777">
      <w:pPr>
        <w:rPr>
          <w:rFonts w:ascii="Arial" w:eastAsia="Arial" w:hAnsi="Arial" w:cs="Arial"/>
        </w:rPr>
      </w:pPr>
      <w:r w:rsidRPr="002F305B">
        <w:rPr>
          <w:rFonts w:ascii="Arial" w:eastAsia="Arial" w:hAnsi="Arial" w:cs="Arial"/>
          <w:b/>
          <w:bCs/>
        </w:rPr>
        <w:t xml:space="preserve">Comment </w:t>
      </w:r>
      <w:r>
        <w:rPr>
          <w:rFonts w:ascii="Arial" w:eastAsia="Arial" w:hAnsi="Arial" w:cs="Arial"/>
          <w:b/>
          <w:bCs/>
        </w:rPr>
        <w:t>6</w:t>
      </w:r>
      <w:r w:rsidRPr="002F305B">
        <w:rPr>
          <w:rFonts w:ascii="Arial" w:eastAsia="Arial" w:hAnsi="Arial" w:cs="Arial"/>
          <w:b/>
          <w:bCs/>
        </w:rPr>
        <w:t>:</w:t>
      </w:r>
      <w:r>
        <w:rPr>
          <w:rFonts w:ascii="Arial" w:eastAsia="Arial" w:hAnsi="Arial" w:cs="Arial"/>
        </w:rPr>
        <w:t xml:space="preserve"> </w:t>
      </w:r>
      <w:r w:rsidRPr="008259FE">
        <w:rPr>
          <w:rFonts w:ascii="Arial" w:eastAsia="Arial" w:hAnsi="Arial" w:cs="Arial"/>
        </w:rPr>
        <w:t>Some commenters asserted that</w:t>
      </w:r>
      <w:r>
        <w:rPr>
          <w:rFonts w:ascii="Arial" w:eastAsia="Arial" w:hAnsi="Arial" w:cs="Arial"/>
        </w:rPr>
        <w:t>,</w:t>
      </w:r>
      <w:r w:rsidRPr="008259FE">
        <w:rPr>
          <w:rFonts w:ascii="Arial" w:eastAsia="Arial" w:hAnsi="Arial" w:cs="Arial"/>
        </w:rPr>
        <w:t xml:space="preserve"> although the USPTO currently offers applicants the option to upload an applicant-generated PDF along with the DOCX version, without incurring fees, they are concerned that the USPTO has made no commitment to making this option permanent</w:t>
      </w:r>
      <w:r>
        <w:rPr>
          <w:rFonts w:ascii="Arial" w:eastAsia="Arial" w:hAnsi="Arial" w:cs="Arial"/>
        </w:rPr>
        <w:t xml:space="preserve">. They assert that the USPTO has issued several notices on submission of </w:t>
      </w:r>
      <w:r w:rsidRPr="008259FE">
        <w:rPr>
          <w:rFonts w:ascii="Arial" w:eastAsia="Arial" w:hAnsi="Arial" w:cs="Arial"/>
        </w:rPr>
        <w:t>the auxiliary PDF</w:t>
      </w:r>
      <w:r>
        <w:rPr>
          <w:rFonts w:ascii="Arial" w:eastAsia="Arial" w:hAnsi="Arial" w:cs="Arial"/>
        </w:rPr>
        <w:t xml:space="preserve"> to avoid the non-DOCX fee, however they assert that </w:t>
      </w:r>
      <w:r w:rsidRPr="008259FE">
        <w:rPr>
          <w:rFonts w:ascii="Arial" w:eastAsia="Arial" w:hAnsi="Arial" w:cs="Arial"/>
        </w:rPr>
        <w:t>option could be terminated at any time through a change in its guidance, which will force applicants to pay the non-DOCX fee or “risk that the USPTO will substantively alter their application text and leave applicants without a way to correct the record.”</w:t>
      </w:r>
    </w:p>
    <w:p w:rsidR="008830B6" w:rsidP="008830B6" w14:paraId="2B359083" w14:textId="77777777">
      <w:pPr>
        <w:rPr>
          <w:rFonts w:ascii="Arial" w:eastAsia="Arial" w:hAnsi="Arial" w:cs="Arial"/>
        </w:rPr>
      </w:pPr>
    </w:p>
    <w:p w:rsidR="008830B6" w:rsidP="008830B6" w14:paraId="40F5CA88" w14:textId="77777777">
      <w:pPr>
        <w:rPr>
          <w:rFonts w:ascii="Arial" w:eastAsia="Arial" w:hAnsi="Arial" w:cs="Arial"/>
        </w:rPr>
      </w:pPr>
      <w:r w:rsidRPr="002F305B">
        <w:rPr>
          <w:rFonts w:ascii="Arial" w:eastAsia="Arial" w:hAnsi="Arial" w:cs="Arial"/>
          <w:b/>
          <w:bCs/>
        </w:rPr>
        <w:t>Response</w:t>
      </w:r>
      <w:r>
        <w:rPr>
          <w:rFonts w:ascii="Arial" w:eastAsia="Arial" w:hAnsi="Arial" w:cs="Arial"/>
        </w:rPr>
        <w:t xml:space="preserve">: The USPTO does not have current plans to eliminate the auxiliary PDF option. </w:t>
      </w:r>
      <w:r>
        <w:rPr>
          <w:rFonts w:ascii="Arial" w:hAnsi="Arial" w:cs="Arial"/>
        </w:rPr>
        <w:t>The auxiliary PDF s</w:t>
      </w:r>
      <w:r w:rsidRPr="008C1259">
        <w:rPr>
          <w:rFonts w:ascii="Arial" w:hAnsi="Arial" w:cs="Arial"/>
        </w:rPr>
        <w:t>erve</w:t>
      </w:r>
      <w:r>
        <w:rPr>
          <w:rFonts w:ascii="Arial" w:hAnsi="Arial" w:cs="Arial"/>
        </w:rPr>
        <w:t>s</w:t>
      </w:r>
      <w:r w:rsidRPr="008C1259">
        <w:rPr>
          <w:rFonts w:ascii="Arial" w:hAnsi="Arial" w:cs="Arial"/>
        </w:rPr>
        <w:t xml:space="preserve"> as a safeguard in the unlikely event that </w:t>
      </w:r>
      <w:r>
        <w:rPr>
          <w:rFonts w:ascii="Arial" w:hAnsi="Arial" w:cs="Arial"/>
        </w:rPr>
        <w:t xml:space="preserve">it is needed to support a </w:t>
      </w:r>
      <w:r w:rsidRPr="008C1259">
        <w:rPr>
          <w:rFonts w:ascii="Arial" w:hAnsi="Arial" w:cs="Arial"/>
        </w:rPr>
        <w:t xml:space="preserve">correction later in </w:t>
      </w:r>
      <w:r>
        <w:rPr>
          <w:rFonts w:ascii="Arial" w:hAnsi="Arial" w:cs="Arial"/>
        </w:rPr>
        <w:t xml:space="preserve">prosecution. </w:t>
      </w:r>
      <w:r>
        <w:rPr>
          <w:rFonts w:ascii="Arial" w:eastAsia="Arial" w:hAnsi="Arial" w:cs="Arial"/>
        </w:rPr>
        <w:t>The USPTO will monitor the frequency in which auxiliary PDFs are needed to support corrections in determining whether to maintain the option. Furthermore, the USPTO will provide adequate notice if it decides to terminate the option.</w:t>
      </w:r>
    </w:p>
    <w:p w:rsidR="008830B6" w:rsidP="008830B6" w14:paraId="30678E30" w14:textId="77777777">
      <w:pPr>
        <w:rPr>
          <w:rFonts w:ascii="Arial" w:eastAsia="Arial" w:hAnsi="Arial" w:cs="Arial"/>
        </w:rPr>
      </w:pPr>
    </w:p>
    <w:p w:rsidR="008830B6" w:rsidP="008830B6" w14:paraId="0FC6858E" w14:textId="77777777">
      <w:pPr>
        <w:rPr>
          <w:rFonts w:ascii="Arial" w:eastAsia="Arial" w:hAnsi="Arial" w:cs="Arial"/>
        </w:rPr>
      </w:pPr>
      <w:r w:rsidRPr="004F258D">
        <w:rPr>
          <w:rFonts w:ascii="Arial" w:eastAsia="Arial" w:hAnsi="Arial" w:cs="Arial"/>
          <w:b/>
          <w:bCs/>
        </w:rPr>
        <w:t>Comment</w:t>
      </w:r>
      <w:r>
        <w:rPr>
          <w:rFonts w:ascii="Arial" w:eastAsia="Arial" w:hAnsi="Arial" w:cs="Arial"/>
          <w:b/>
          <w:bCs/>
        </w:rPr>
        <w:t xml:space="preserve"> 7</w:t>
      </w:r>
      <w:r w:rsidRPr="004F258D">
        <w:rPr>
          <w:rFonts w:ascii="Arial" w:eastAsia="Arial" w:hAnsi="Arial" w:cs="Arial"/>
          <w:b/>
          <w:bCs/>
        </w:rPr>
        <w:t>:</w:t>
      </w:r>
      <w:r w:rsidRPr="00902DF1">
        <w:rPr>
          <w:rFonts w:ascii="Arial" w:eastAsia="Arial" w:hAnsi="Arial" w:cs="Arial"/>
        </w:rPr>
        <w:t xml:space="preserve"> </w:t>
      </w:r>
      <w:r>
        <w:rPr>
          <w:rFonts w:ascii="Arial" w:eastAsia="Arial" w:hAnsi="Arial" w:cs="Arial"/>
        </w:rPr>
        <w:t xml:space="preserve">One commenter raised concerns that the internal process in place to make corrections to a DOCX filing based on the auxiliary PDF may “not be </w:t>
      </w:r>
      <w:r w:rsidRPr="00711AA5">
        <w:rPr>
          <w:rFonts w:ascii="Arial" w:eastAsia="Arial" w:hAnsi="Arial" w:cs="Arial"/>
        </w:rPr>
        <w:t>legally sufficient for correction of computer-generated DOCX filings and that such corrections will not be legally acceptable both during and after patent prosecution.</w:t>
      </w:r>
      <w:r>
        <w:rPr>
          <w:rFonts w:ascii="Arial" w:eastAsia="Arial" w:hAnsi="Arial" w:cs="Arial"/>
        </w:rPr>
        <w:t>”</w:t>
      </w:r>
      <w:r w:rsidRPr="00711AA5">
        <w:rPr>
          <w:rFonts w:ascii="Arial" w:eastAsia="Arial" w:hAnsi="Arial" w:cs="Arial"/>
        </w:rPr>
        <w:t xml:space="preserve"> </w:t>
      </w:r>
      <w:r>
        <w:rPr>
          <w:rFonts w:ascii="Arial" w:eastAsia="Arial" w:hAnsi="Arial" w:cs="Arial"/>
        </w:rPr>
        <w:t xml:space="preserve">They </w:t>
      </w:r>
      <w:r w:rsidRPr="00711AA5">
        <w:rPr>
          <w:rFonts w:ascii="Arial" w:eastAsia="Arial" w:hAnsi="Arial" w:cs="Arial"/>
        </w:rPr>
        <w:t xml:space="preserve">are concerned that </w:t>
      </w:r>
      <w:r>
        <w:rPr>
          <w:rFonts w:ascii="Arial" w:eastAsia="Arial" w:hAnsi="Arial" w:cs="Arial"/>
        </w:rPr>
        <w:t>“</w:t>
      </w:r>
      <w:r w:rsidRPr="00711AA5">
        <w:rPr>
          <w:rFonts w:ascii="Arial" w:eastAsia="Arial" w:hAnsi="Arial" w:cs="Arial"/>
        </w:rPr>
        <w:t>other countries will not accept modifications to DOCX filings.</w:t>
      </w:r>
      <w:r>
        <w:rPr>
          <w:rFonts w:ascii="Arial" w:eastAsia="Arial" w:hAnsi="Arial" w:cs="Arial"/>
        </w:rPr>
        <w:t>”</w:t>
      </w:r>
      <w:r>
        <w:t xml:space="preserve"> </w:t>
      </w:r>
      <w:r>
        <w:rPr>
          <w:rFonts w:ascii="Arial" w:eastAsia="Arial" w:hAnsi="Arial" w:cs="Arial"/>
        </w:rPr>
        <w:t xml:space="preserve">They also </w:t>
      </w:r>
      <w:r>
        <w:rPr>
          <w:rFonts w:ascii="Arial" w:eastAsia="Arial" w:hAnsi="Arial" w:cs="Arial"/>
        </w:rPr>
        <w:t xml:space="preserve">noted </w:t>
      </w:r>
      <w:r w:rsidRPr="00711AA5">
        <w:rPr>
          <w:rFonts w:ascii="Arial" w:eastAsia="Arial" w:hAnsi="Arial" w:cs="Arial"/>
        </w:rPr>
        <w:t>that other organizations allow for filing of both pre-conversion DOCX and PDF copies of an applicant-generated application, both of which may be recognized as an official view of the application as-filed, which permits correction of any conversion errors later discovered</w:t>
      </w:r>
      <w:r>
        <w:rPr>
          <w:rFonts w:ascii="Arial" w:eastAsia="Arial" w:hAnsi="Arial" w:cs="Arial"/>
        </w:rPr>
        <w:t>.</w:t>
      </w:r>
    </w:p>
    <w:p w:rsidR="008830B6" w:rsidP="008830B6" w14:paraId="4DFE6251" w14:textId="77777777">
      <w:pPr>
        <w:rPr>
          <w:rFonts w:ascii="Arial" w:eastAsia="Arial" w:hAnsi="Arial" w:cs="Arial"/>
        </w:rPr>
      </w:pPr>
    </w:p>
    <w:p w:rsidR="008830B6" w:rsidP="008830B6" w14:paraId="330E8D13" w14:textId="77777777">
      <w:pPr>
        <w:rPr>
          <w:rFonts w:ascii="Arial" w:eastAsia="Arial" w:hAnsi="Arial" w:cs="Arial"/>
        </w:rPr>
      </w:pPr>
      <w:r w:rsidRPr="004F258D">
        <w:rPr>
          <w:rFonts w:ascii="Arial" w:eastAsia="Arial" w:hAnsi="Arial" w:cs="Arial"/>
          <w:b/>
          <w:bCs/>
        </w:rPr>
        <w:t>Response:</w:t>
      </w:r>
      <w:r>
        <w:rPr>
          <w:rFonts w:ascii="Arial" w:eastAsia="Arial" w:hAnsi="Arial" w:cs="Arial"/>
        </w:rPr>
        <w:t xml:space="preserve"> Patent Center </w:t>
      </w:r>
      <w:r w:rsidRPr="00611A70">
        <w:rPr>
          <w:rFonts w:ascii="Arial" w:eastAsia="Arial" w:hAnsi="Arial" w:cs="Arial"/>
        </w:rPr>
        <w:t>is the</w:t>
      </w:r>
      <w:r>
        <w:rPr>
          <w:rFonts w:ascii="Arial" w:eastAsia="Arial" w:hAnsi="Arial" w:cs="Arial"/>
        </w:rPr>
        <w:t xml:space="preserve"> </w:t>
      </w:r>
      <w:r w:rsidRPr="00611A70">
        <w:rPr>
          <w:rFonts w:ascii="Arial" w:eastAsia="Arial" w:hAnsi="Arial" w:cs="Arial"/>
        </w:rPr>
        <w:t>USPTO’s system for electronically</w:t>
      </w:r>
      <w:r>
        <w:rPr>
          <w:rFonts w:ascii="Arial" w:eastAsia="Arial" w:hAnsi="Arial" w:cs="Arial"/>
        </w:rPr>
        <w:t xml:space="preserve"> </w:t>
      </w:r>
      <w:r w:rsidRPr="00611A70">
        <w:rPr>
          <w:rFonts w:ascii="Arial" w:eastAsia="Arial" w:hAnsi="Arial" w:cs="Arial"/>
        </w:rPr>
        <w:t>storing and maintaining the files of</w:t>
      </w:r>
      <w:r>
        <w:rPr>
          <w:rFonts w:ascii="Arial" w:eastAsia="Arial" w:hAnsi="Arial" w:cs="Arial"/>
        </w:rPr>
        <w:t xml:space="preserve"> </w:t>
      </w:r>
      <w:r w:rsidRPr="00611A70">
        <w:rPr>
          <w:rFonts w:ascii="Arial" w:eastAsia="Arial" w:hAnsi="Arial" w:cs="Arial"/>
        </w:rPr>
        <w:t xml:space="preserve">patent applications. The </w:t>
      </w:r>
      <w:r>
        <w:rPr>
          <w:rFonts w:ascii="Arial" w:eastAsia="Arial" w:hAnsi="Arial" w:cs="Arial"/>
        </w:rPr>
        <w:t xml:space="preserve">entire collection of documents </w:t>
      </w:r>
      <w:r w:rsidRPr="00611A70">
        <w:rPr>
          <w:rFonts w:ascii="Arial" w:eastAsia="Arial" w:hAnsi="Arial" w:cs="Arial"/>
        </w:rPr>
        <w:t xml:space="preserve">in </w:t>
      </w:r>
      <w:r>
        <w:rPr>
          <w:rFonts w:ascii="Arial" w:eastAsia="Arial" w:hAnsi="Arial" w:cs="Arial"/>
        </w:rPr>
        <w:t xml:space="preserve">Patent Center </w:t>
      </w:r>
      <w:r w:rsidRPr="00611A70">
        <w:rPr>
          <w:rFonts w:ascii="Arial" w:eastAsia="Arial" w:hAnsi="Arial" w:cs="Arial"/>
        </w:rPr>
        <w:t>for</w:t>
      </w:r>
      <w:r>
        <w:rPr>
          <w:rFonts w:ascii="Arial" w:eastAsia="Arial" w:hAnsi="Arial" w:cs="Arial"/>
        </w:rPr>
        <w:t xml:space="preserve"> a particular </w:t>
      </w:r>
      <w:r w:rsidRPr="00611A70">
        <w:rPr>
          <w:rFonts w:ascii="Arial" w:eastAsia="Arial" w:hAnsi="Arial" w:cs="Arial"/>
        </w:rPr>
        <w:t>patent</w:t>
      </w:r>
      <w:r>
        <w:rPr>
          <w:rFonts w:ascii="Arial" w:eastAsia="Arial" w:hAnsi="Arial" w:cs="Arial"/>
        </w:rPr>
        <w:t xml:space="preserve"> </w:t>
      </w:r>
      <w:r w:rsidRPr="00611A70">
        <w:rPr>
          <w:rFonts w:ascii="Arial" w:eastAsia="Arial" w:hAnsi="Arial" w:cs="Arial"/>
        </w:rPr>
        <w:t xml:space="preserve">application </w:t>
      </w:r>
      <w:r>
        <w:rPr>
          <w:rFonts w:ascii="Arial" w:eastAsia="Arial" w:hAnsi="Arial" w:cs="Arial"/>
        </w:rPr>
        <w:t xml:space="preserve">is </w:t>
      </w:r>
      <w:r w:rsidRPr="00611A70">
        <w:rPr>
          <w:rFonts w:ascii="Arial" w:eastAsia="Arial" w:hAnsi="Arial" w:cs="Arial"/>
        </w:rPr>
        <w:t>the official record of</w:t>
      </w:r>
      <w:r>
        <w:rPr>
          <w:rFonts w:ascii="Arial" w:eastAsia="Arial" w:hAnsi="Arial" w:cs="Arial"/>
        </w:rPr>
        <w:t xml:space="preserve"> that </w:t>
      </w:r>
      <w:r w:rsidRPr="00611A70">
        <w:rPr>
          <w:rFonts w:ascii="Arial" w:eastAsia="Arial" w:hAnsi="Arial" w:cs="Arial"/>
        </w:rPr>
        <w:t>application.</w:t>
      </w:r>
      <w:r>
        <w:rPr>
          <w:rFonts w:ascii="Arial" w:eastAsia="Arial" w:hAnsi="Arial" w:cs="Arial"/>
        </w:rPr>
        <w:t xml:space="preserve"> As for whether </w:t>
      </w:r>
      <w:r w:rsidRPr="00711AA5">
        <w:rPr>
          <w:rFonts w:ascii="Arial" w:eastAsia="Arial" w:hAnsi="Arial" w:cs="Arial"/>
        </w:rPr>
        <w:t>other countries will accept modifications to DOCX filings</w:t>
      </w:r>
      <w:r>
        <w:rPr>
          <w:rFonts w:ascii="Arial" w:eastAsia="Arial" w:hAnsi="Arial" w:cs="Arial"/>
          <w:color w:val="000000" w:themeColor="text1"/>
        </w:rPr>
        <w:t xml:space="preserve">, </w:t>
      </w:r>
      <w:r w:rsidRPr="786EC198">
        <w:rPr>
          <w:rFonts w:ascii="Arial" w:eastAsia="Arial" w:hAnsi="Arial" w:cs="Arial"/>
          <w:color w:val="000000" w:themeColor="text1"/>
        </w:rPr>
        <w:t xml:space="preserve">the USPTO </w:t>
      </w:r>
      <w:r>
        <w:rPr>
          <w:rFonts w:ascii="Arial" w:eastAsia="Arial" w:hAnsi="Arial" w:cs="Arial"/>
          <w:color w:val="000000" w:themeColor="text1"/>
        </w:rPr>
        <w:t xml:space="preserve">stated in its June 6 Federal Register notice that it </w:t>
      </w:r>
      <w:r w:rsidRPr="786EC198">
        <w:rPr>
          <w:rFonts w:ascii="Arial" w:eastAsia="Arial" w:hAnsi="Arial" w:cs="Arial"/>
          <w:color w:val="000000" w:themeColor="text1"/>
        </w:rPr>
        <w:t xml:space="preserve">will keep copies of the applicant-generated PDF as part of the permanent record, regardless of whether a petition is filed. </w:t>
      </w:r>
      <w:r w:rsidRPr="786EC198">
        <w:rPr>
          <w:rFonts w:ascii="Arial" w:eastAsia="Arial" w:hAnsi="Arial" w:cs="Arial"/>
        </w:rPr>
        <w:t>See 88 FR 37036 (June 6, 2023)</w:t>
      </w:r>
      <w:r>
        <w:rPr>
          <w:rFonts w:ascii="Arial" w:eastAsia="Arial" w:hAnsi="Arial" w:cs="Arial"/>
        </w:rPr>
        <w:t xml:space="preserve">. </w:t>
      </w:r>
      <w:bookmarkStart w:id="1" w:name="_Hlk151119442"/>
      <w:r>
        <w:rPr>
          <w:rFonts w:ascii="Arial" w:eastAsia="Arial" w:hAnsi="Arial" w:cs="Arial"/>
        </w:rPr>
        <w:t xml:space="preserve">The USPTO includes </w:t>
      </w:r>
      <w:r w:rsidRPr="786EC198">
        <w:rPr>
          <w:rFonts w:ascii="Arial" w:eastAsia="Arial" w:hAnsi="Arial" w:cs="Arial"/>
          <w:color w:val="000000" w:themeColor="text1"/>
        </w:rPr>
        <w:t>the applicant-generated PDF</w:t>
      </w:r>
      <w:r>
        <w:rPr>
          <w:rFonts w:ascii="Arial" w:eastAsia="Arial" w:hAnsi="Arial" w:cs="Arial"/>
          <w:color w:val="000000" w:themeColor="text1"/>
        </w:rPr>
        <w:t xml:space="preserve"> in the certified copies of applications as filed that it sends to other jurisdictions.</w:t>
      </w:r>
      <w:bookmarkEnd w:id="1"/>
    </w:p>
    <w:p w:rsidR="008830B6" w:rsidP="008830B6" w14:paraId="5046EEF6" w14:textId="77777777">
      <w:pPr>
        <w:rPr>
          <w:rFonts w:ascii="Arial" w:eastAsia="Arial" w:hAnsi="Arial" w:cs="Arial"/>
        </w:rPr>
      </w:pPr>
    </w:p>
    <w:p w:rsidR="008830B6" w:rsidP="008830B6" w14:paraId="4C4A4422" w14:textId="77777777">
      <w:pPr>
        <w:rPr>
          <w:rFonts w:ascii="Arial" w:eastAsia="Arial" w:hAnsi="Arial" w:cs="Arial"/>
        </w:rPr>
      </w:pPr>
      <w:r w:rsidRPr="002F305B">
        <w:rPr>
          <w:rFonts w:ascii="Arial" w:eastAsia="Arial" w:hAnsi="Arial" w:cs="Arial"/>
          <w:b/>
          <w:bCs/>
        </w:rPr>
        <w:t xml:space="preserve">Comment </w:t>
      </w:r>
      <w:r>
        <w:rPr>
          <w:rFonts w:ascii="Arial" w:eastAsia="Arial" w:hAnsi="Arial" w:cs="Arial"/>
          <w:b/>
          <w:bCs/>
        </w:rPr>
        <w:t>8</w:t>
      </w:r>
      <w:r>
        <w:rPr>
          <w:rFonts w:ascii="Arial" w:eastAsia="Arial" w:hAnsi="Arial" w:cs="Arial"/>
        </w:rPr>
        <w:t>: One commenter asserted that the USPTO’s DOCX implementation violates the Federal Records Act because the USPTO does not retain the application as the applicant uploaded it. The commenter asserts that the USPTO has an obligation to retain the exact item which the applicant uploaded for the examination process and subsequent litigation.</w:t>
      </w:r>
    </w:p>
    <w:p w:rsidR="008830B6" w:rsidP="008830B6" w14:paraId="5824B45A" w14:textId="77777777">
      <w:pPr>
        <w:rPr>
          <w:rFonts w:ascii="Arial" w:eastAsia="Arial" w:hAnsi="Arial" w:cs="Arial"/>
        </w:rPr>
      </w:pPr>
    </w:p>
    <w:p w:rsidR="008830B6" w:rsidP="008830B6" w14:paraId="1327BF08" w14:textId="77777777">
      <w:pPr>
        <w:rPr>
          <w:rFonts w:ascii="Arial" w:eastAsia="Arial" w:hAnsi="Arial" w:cs="Arial"/>
        </w:rPr>
      </w:pPr>
      <w:r w:rsidRPr="002F305B">
        <w:rPr>
          <w:rFonts w:ascii="Arial" w:eastAsia="Arial" w:hAnsi="Arial" w:cs="Arial"/>
          <w:b/>
          <w:bCs/>
        </w:rPr>
        <w:t>Response</w:t>
      </w:r>
      <w:r>
        <w:rPr>
          <w:rFonts w:ascii="Arial" w:eastAsia="Arial" w:hAnsi="Arial" w:cs="Arial"/>
        </w:rPr>
        <w:t xml:space="preserve">: The USPTO has not violated the Federal Records Act. The USPTO retains the application as uploaded consistent with the requirements of the applicable NARA-approved Patent Granting and Maintenance Records schedules available at </w:t>
      </w:r>
      <w:hyperlink r:id="rId17" w:history="1">
        <w:r w:rsidRPr="00266977">
          <w:rPr>
            <w:rStyle w:val="Hyperlink"/>
            <w:rFonts w:ascii="Arial" w:eastAsia="Arial" w:hAnsi="Arial" w:cs="Arial"/>
          </w:rPr>
          <w:t>https://www.archives.gov/records-mgmt/rcs/schedules/index.html?dir=/departments/department-of-commerce/rg-0241</w:t>
        </w:r>
      </w:hyperlink>
      <w:r>
        <w:rPr>
          <w:rFonts w:ascii="Arial" w:eastAsia="Arial" w:hAnsi="Arial" w:cs="Arial"/>
        </w:rPr>
        <w:t xml:space="preserve">. However, </w:t>
      </w:r>
      <w:r w:rsidRPr="786EC198">
        <w:rPr>
          <w:rFonts w:ascii="Arial" w:eastAsia="Arial" w:hAnsi="Arial" w:cs="Arial"/>
          <w:color w:val="000000" w:themeColor="text1"/>
        </w:rPr>
        <w:t>the USPTO considers the validated DOCX file(s) submitted by the applicant to be the authoritative document</w:t>
      </w:r>
      <w:r>
        <w:rPr>
          <w:rFonts w:ascii="Arial" w:eastAsia="Arial" w:hAnsi="Arial" w:cs="Arial"/>
          <w:color w:val="000000" w:themeColor="text1"/>
        </w:rPr>
        <w:t>.</w:t>
      </w:r>
    </w:p>
    <w:p w:rsidR="008830B6" w:rsidP="008830B6" w14:paraId="76D863AE" w14:textId="77777777">
      <w:pPr>
        <w:rPr>
          <w:rFonts w:ascii="Arial" w:eastAsia="Arial" w:hAnsi="Arial" w:cs="Arial"/>
        </w:rPr>
      </w:pPr>
    </w:p>
    <w:p w:rsidR="008830B6" w:rsidP="008830B6" w14:paraId="6674F8E1" w14:textId="5ED62C63">
      <w:pPr>
        <w:rPr>
          <w:rFonts w:ascii="Arial" w:eastAsia="Arial" w:hAnsi="Arial" w:cs="Arial"/>
        </w:rPr>
      </w:pPr>
      <w:r w:rsidRPr="002F305B">
        <w:rPr>
          <w:rFonts w:ascii="Arial" w:eastAsia="Arial" w:hAnsi="Arial" w:cs="Arial"/>
          <w:b/>
          <w:bCs/>
        </w:rPr>
        <w:t xml:space="preserve">Comment </w:t>
      </w:r>
      <w:r>
        <w:rPr>
          <w:rFonts w:ascii="Arial" w:eastAsia="Arial" w:hAnsi="Arial" w:cs="Arial"/>
          <w:b/>
          <w:bCs/>
        </w:rPr>
        <w:t>9</w:t>
      </w:r>
      <w:r>
        <w:rPr>
          <w:rFonts w:ascii="Arial" w:eastAsia="Arial" w:hAnsi="Arial" w:cs="Arial"/>
        </w:rPr>
        <w:t>: One commenter claim</w:t>
      </w:r>
      <w:r w:rsidR="00D45DD8">
        <w:rPr>
          <w:rFonts w:ascii="Arial" w:eastAsia="Arial" w:hAnsi="Arial" w:cs="Arial"/>
        </w:rPr>
        <w:t>ed</w:t>
      </w:r>
      <w:r>
        <w:rPr>
          <w:rFonts w:ascii="Arial" w:eastAsia="Arial" w:hAnsi="Arial" w:cs="Arial"/>
        </w:rPr>
        <w:t xml:space="preserve"> that the DOCX format will make the job of patent examiners more difficult, and that patent examiners will be confused about which document format may be the controlling file.</w:t>
      </w:r>
    </w:p>
    <w:p w:rsidR="008830B6" w:rsidP="008830B6" w14:paraId="307CB485" w14:textId="77777777">
      <w:pPr>
        <w:rPr>
          <w:rFonts w:ascii="Arial" w:eastAsia="Arial" w:hAnsi="Arial" w:cs="Arial"/>
        </w:rPr>
      </w:pPr>
    </w:p>
    <w:p w:rsidR="008830B6" w:rsidP="008830B6" w14:paraId="3B26118E" w14:textId="77777777">
      <w:pPr>
        <w:rPr>
          <w:rFonts w:ascii="Arial" w:eastAsia="Arial" w:hAnsi="Arial" w:cs="Arial"/>
        </w:rPr>
      </w:pPr>
      <w:r w:rsidRPr="002F305B">
        <w:rPr>
          <w:rFonts w:ascii="Arial" w:eastAsia="Arial" w:hAnsi="Arial" w:cs="Arial"/>
          <w:b/>
          <w:bCs/>
        </w:rPr>
        <w:t>Response</w:t>
      </w:r>
      <w:r>
        <w:rPr>
          <w:rFonts w:ascii="Arial" w:eastAsia="Arial" w:hAnsi="Arial" w:cs="Arial"/>
        </w:rPr>
        <w:t>: The submission of patent applications in the DOCX format should only benefit examiners, for example, by improving the searchability of applications. Submission in the DOCX format should not lead to confusion during examination about which format is the controlling file. On filing, t</w:t>
      </w:r>
      <w:r w:rsidRPr="00DA17EF">
        <w:rPr>
          <w:rFonts w:ascii="Arial" w:eastAsia="Arial" w:hAnsi="Arial" w:cs="Arial"/>
        </w:rPr>
        <w:t>here should only be one version of the spec</w:t>
      </w:r>
      <w:r>
        <w:rPr>
          <w:rFonts w:ascii="Arial" w:eastAsia="Arial" w:hAnsi="Arial" w:cs="Arial"/>
        </w:rPr>
        <w:t>ification</w:t>
      </w:r>
      <w:r w:rsidRPr="00DA17EF">
        <w:rPr>
          <w:rFonts w:ascii="Arial" w:eastAsia="Arial" w:hAnsi="Arial" w:cs="Arial"/>
        </w:rPr>
        <w:t xml:space="preserve">, claims, </w:t>
      </w:r>
      <w:r>
        <w:rPr>
          <w:rFonts w:ascii="Arial" w:eastAsia="Arial" w:hAnsi="Arial" w:cs="Arial"/>
        </w:rPr>
        <w:t xml:space="preserve">and </w:t>
      </w:r>
      <w:r w:rsidRPr="00DA17EF">
        <w:rPr>
          <w:rFonts w:ascii="Arial" w:eastAsia="Arial" w:hAnsi="Arial" w:cs="Arial"/>
        </w:rPr>
        <w:t xml:space="preserve">abstract. The </w:t>
      </w:r>
      <w:r>
        <w:rPr>
          <w:rFonts w:ascii="Arial" w:eastAsia="Arial" w:hAnsi="Arial" w:cs="Arial"/>
        </w:rPr>
        <w:t xml:space="preserve">auxiliary PDF format of the application </w:t>
      </w:r>
      <w:r w:rsidRPr="00DA17EF">
        <w:rPr>
          <w:rFonts w:ascii="Arial" w:eastAsia="Arial" w:hAnsi="Arial" w:cs="Arial"/>
        </w:rPr>
        <w:t>should be ignored by examiners</w:t>
      </w:r>
      <w:r>
        <w:rPr>
          <w:rFonts w:ascii="Arial" w:eastAsia="Arial" w:hAnsi="Arial" w:cs="Arial"/>
        </w:rPr>
        <w:t>,</w:t>
      </w:r>
      <w:r w:rsidRPr="00DA17EF">
        <w:rPr>
          <w:rFonts w:ascii="Arial" w:eastAsia="Arial" w:hAnsi="Arial" w:cs="Arial"/>
        </w:rPr>
        <w:t xml:space="preserve"> unless </w:t>
      </w:r>
      <w:r>
        <w:rPr>
          <w:rFonts w:ascii="Arial" w:eastAsia="Arial" w:hAnsi="Arial" w:cs="Arial"/>
        </w:rPr>
        <w:t xml:space="preserve">the applicant raises </w:t>
      </w:r>
      <w:r w:rsidRPr="00DA17EF">
        <w:rPr>
          <w:rFonts w:ascii="Arial" w:eastAsia="Arial" w:hAnsi="Arial" w:cs="Arial"/>
        </w:rPr>
        <w:t xml:space="preserve">a </w:t>
      </w:r>
      <w:r>
        <w:rPr>
          <w:rFonts w:ascii="Arial" w:eastAsia="Arial" w:hAnsi="Arial" w:cs="Arial"/>
        </w:rPr>
        <w:t xml:space="preserve">potential </w:t>
      </w:r>
      <w:r w:rsidRPr="00DA17EF">
        <w:rPr>
          <w:rFonts w:ascii="Arial" w:eastAsia="Arial" w:hAnsi="Arial" w:cs="Arial"/>
        </w:rPr>
        <w:t>correction</w:t>
      </w:r>
      <w:r>
        <w:rPr>
          <w:rFonts w:ascii="Arial" w:eastAsia="Arial" w:hAnsi="Arial" w:cs="Arial"/>
        </w:rPr>
        <w:t xml:space="preserve"> issue later in prosecution</w:t>
      </w:r>
      <w:r w:rsidRPr="00DA17EF">
        <w:rPr>
          <w:rFonts w:ascii="Arial" w:eastAsia="Arial" w:hAnsi="Arial" w:cs="Arial"/>
        </w:rPr>
        <w:t>.</w:t>
      </w:r>
      <w:r>
        <w:rPr>
          <w:rFonts w:ascii="Arial" w:eastAsia="Arial" w:hAnsi="Arial" w:cs="Arial"/>
        </w:rPr>
        <w:t xml:space="preserve"> Moreover, the USPTO has provided extensive public </w:t>
      </w:r>
      <w:r w:rsidRPr="00700DB4">
        <w:rPr>
          <w:rFonts w:ascii="Arial" w:eastAsia="Arial" w:hAnsi="Arial" w:cs="Arial"/>
        </w:rPr>
        <w:t>training sessions</w:t>
      </w:r>
      <w:r>
        <w:rPr>
          <w:rFonts w:ascii="Arial" w:eastAsia="Arial" w:hAnsi="Arial" w:cs="Arial"/>
        </w:rPr>
        <w:t>, which patent examiners are welcome to attend,</w:t>
      </w:r>
      <w:r w:rsidRPr="00700DB4">
        <w:rPr>
          <w:rFonts w:ascii="Arial" w:eastAsia="Arial" w:hAnsi="Arial" w:cs="Arial"/>
        </w:rPr>
        <w:t xml:space="preserve"> </w:t>
      </w:r>
      <w:r>
        <w:rPr>
          <w:rFonts w:ascii="Arial" w:eastAsia="Arial" w:hAnsi="Arial" w:cs="Arial"/>
        </w:rPr>
        <w:t xml:space="preserve">containing </w:t>
      </w:r>
      <w:r w:rsidRPr="00700DB4">
        <w:rPr>
          <w:rFonts w:ascii="Arial" w:eastAsia="Arial" w:hAnsi="Arial" w:cs="Arial"/>
        </w:rPr>
        <w:t>a comprehensive overview of how to file and retrieve DOCX files in Patent Center</w:t>
      </w:r>
      <w:r>
        <w:rPr>
          <w:rFonts w:ascii="Arial" w:eastAsia="Arial" w:hAnsi="Arial" w:cs="Arial"/>
        </w:rPr>
        <w:t xml:space="preserve">. More information is available at </w:t>
      </w:r>
      <w:hyperlink r:id="rId16" w:history="1">
        <w:r w:rsidRPr="00D23407">
          <w:rPr>
            <w:rStyle w:val="Hyperlink"/>
            <w:rFonts w:ascii="Arial" w:eastAsia="Arial" w:hAnsi="Arial" w:cs="Arial"/>
          </w:rPr>
          <w:t>https://www.uspto.gov/about-us/events/patents-docx-filing</w:t>
        </w:r>
      </w:hyperlink>
      <w:r>
        <w:rPr>
          <w:rFonts w:ascii="Arial" w:eastAsia="Arial" w:hAnsi="Arial" w:cs="Arial"/>
        </w:rPr>
        <w:t>.</w:t>
      </w:r>
    </w:p>
    <w:p w:rsidR="008830B6" w:rsidP="00193564" w14:paraId="2DFDF2B1" w14:textId="02542F52">
      <w:pPr>
        <w:pStyle w:val="NoSpacing"/>
        <w:jc w:val="both"/>
        <w:rPr>
          <w:rFonts w:ascii="Arial" w:hAnsi="Arial" w:cs="Arial"/>
          <w:bCs/>
          <w:sz w:val="24"/>
          <w:szCs w:val="24"/>
          <w:highlight w:val="yellow"/>
        </w:rPr>
      </w:pPr>
    </w:p>
    <w:p w:rsidR="008830B6" w:rsidRPr="00933E52" w:rsidP="00193564" w14:paraId="72A8070C" w14:textId="77777777">
      <w:pPr>
        <w:pStyle w:val="NoSpacing"/>
        <w:jc w:val="both"/>
        <w:rPr>
          <w:rFonts w:ascii="Arial" w:hAnsi="Arial" w:cs="Arial"/>
          <w:bCs/>
          <w:sz w:val="24"/>
          <w:szCs w:val="24"/>
          <w:highlight w:val="yellow"/>
        </w:rPr>
      </w:pPr>
    </w:p>
    <w:p w:rsidR="00193564" w:rsidRPr="00AD423E" w:rsidP="00385CF6" w14:paraId="5CB28EE8" w14:textId="77777777">
      <w:pPr>
        <w:pStyle w:val="NoSpacing"/>
        <w:numPr>
          <w:ilvl w:val="0"/>
          <w:numId w:val="12"/>
        </w:numPr>
        <w:ind w:left="720" w:hanging="720"/>
        <w:jc w:val="both"/>
        <w:rPr>
          <w:rFonts w:ascii="Arial" w:hAnsi="Arial" w:cs="Arial"/>
          <w:b/>
          <w:bCs/>
          <w:sz w:val="24"/>
          <w:szCs w:val="24"/>
        </w:rPr>
      </w:pPr>
      <w:r w:rsidRPr="00AD423E">
        <w:rPr>
          <w:rFonts w:ascii="Arial" w:hAnsi="Arial" w:cs="Arial"/>
          <w:b/>
          <w:bCs/>
          <w:sz w:val="24"/>
          <w:szCs w:val="24"/>
        </w:rPr>
        <w:t>Explain any decision to provide any payment or gift to respondents, other than remuneration of contractors or grantees.</w:t>
      </w:r>
    </w:p>
    <w:p w:rsidR="00193564" w:rsidRPr="00AD423E" w:rsidP="00193564" w14:paraId="4921395D" w14:textId="77777777">
      <w:pPr>
        <w:pStyle w:val="NoSpacing"/>
        <w:jc w:val="both"/>
        <w:rPr>
          <w:rFonts w:ascii="Arial" w:hAnsi="Arial" w:cs="Arial"/>
          <w:bCs/>
          <w:sz w:val="24"/>
          <w:szCs w:val="24"/>
        </w:rPr>
      </w:pPr>
    </w:p>
    <w:p w:rsidR="00193564" w:rsidRPr="00AD423E" w:rsidP="00193564" w14:paraId="1AA291E2" w14:textId="77777777">
      <w:pPr>
        <w:pStyle w:val="NoSpacing"/>
        <w:jc w:val="both"/>
        <w:rPr>
          <w:rFonts w:ascii="Arial" w:hAnsi="Arial" w:cs="Arial"/>
          <w:bCs/>
          <w:sz w:val="24"/>
          <w:szCs w:val="24"/>
        </w:rPr>
      </w:pPr>
      <w:r w:rsidRPr="00AD423E">
        <w:rPr>
          <w:rFonts w:ascii="Arial" w:hAnsi="Arial" w:cs="Arial"/>
          <w:bCs/>
          <w:sz w:val="24"/>
          <w:szCs w:val="24"/>
        </w:rPr>
        <w:t xml:space="preserve">This information collection does not involve a payment or gift to any respondent. </w:t>
      </w:r>
    </w:p>
    <w:p w:rsidR="00193564" w:rsidRPr="00933E52" w:rsidP="00193564" w14:paraId="69C3508F" w14:textId="77777777">
      <w:pPr>
        <w:pStyle w:val="NoSpacing"/>
        <w:jc w:val="both"/>
        <w:rPr>
          <w:rFonts w:ascii="Arial" w:hAnsi="Arial" w:cs="Arial"/>
          <w:bCs/>
          <w:sz w:val="24"/>
          <w:szCs w:val="24"/>
          <w:highlight w:val="yellow"/>
        </w:rPr>
      </w:pPr>
    </w:p>
    <w:p w:rsidR="00193564" w:rsidRPr="00AD423E" w:rsidP="00385CF6" w14:paraId="04F66667" w14:textId="770AE7D4">
      <w:pPr>
        <w:pStyle w:val="NoSpacing"/>
        <w:numPr>
          <w:ilvl w:val="0"/>
          <w:numId w:val="12"/>
        </w:numPr>
        <w:ind w:left="720" w:hanging="720"/>
        <w:jc w:val="both"/>
        <w:rPr>
          <w:rFonts w:ascii="Arial" w:hAnsi="Arial" w:cs="Arial"/>
          <w:b/>
          <w:bCs/>
          <w:sz w:val="24"/>
          <w:szCs w:val="24"/>
        </w:rPr>
      </w:pPr>
      <w:r w:rsidRPr="00AD423E">
        <w:rPr>
          <w:rFonts w:ascii="Arial" w:hAnsi="Arial" w:cs="Arial"/>
          <w:b/>
          <w:bCs/>
          <w:sz w:val="24"/>
          <w:szCs w:val="24"/>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193564" w:rsidRPr="00AD423E" w:rsidP="00193564" w14:paraId="7BC338D5" w14:textId="77777777">
      <w:pPr>
        <w:pStyle w:val="NoSpacing"/>
        <w:jc w:val="both"/>
        <w:rPr>
          <w:rFonts w:ascii="Arial" w:hAnsi="Arial" w:cs="Arial"/>
          <w:bCs/>
          <w:sz w:val="24"/>
          <w:szCs w:val="24"/>
        </w:rPr>
      </w:pPr>
    </w:p>
    <w:p w:rsidR="00193564" w:rsidRPr="00AD423E" w:rsidP="00193564" w14:paraId="0B684529" w14:textId="03ED84B5">
      <w:pPr>
        <w:widowControl/>
        <w:jc w:val="both"/>
        <w:rPr>
          <w:rFonts w:ascii="Arial" w:hAnsi="Arial" w:eastAsiaTheme="minorHAnsi" w:cs="Arial"/>
        </w:rPr>
      </w:pPr>
      <w:r w:rsidRPr="00AD423E">
        <w:rPr>
          <w:rFonts w:ascii="Arial" w:hAnsi="Arial" w:cs="Arial"/>
          <w:bCs/>
        </w:rPr>
        <w:t xml:space="preserve">The confidentiality of patent applications is governed by statute (35 U.S.C 122) and regulation (37 CFR 1.11 and 1.14). The USPTO has a legal obligation to maintain the confidentiality of the contents of unpublished patent applications and related documents. </w:t>
      </w:r>
      <w:r w:rsidRPr="00AD423E">
        <w:rPr>
          <w:rFonts w:ascii="Arial" w:hAnsi="Arial" w:eastAsiaTheme="minorHAnsi" w:cs="Arial"/>
        </w:rPr>
        <w:t>Upon publication of an application or issuance of a patent, the patent application file is made available to the public, subject to the provisions for providing only a redacted copy of the file contents</w:t>
      </w:r>
      <w:r w:rsidR="00E257AC">
        <w:rPr>
          <w:rFonts w:ascii="Arial" w:hAnsi="Arial" w:eastAsiaTheme="minorHAnsi" w:cs="Arial"/>
        </w:rPr>
        <w:t xml:space="preserve"> (37 CFR 1.11(a) and 1.217)</w:t>
      </w:r>
      <w:r w:rsidRPr="00AD423E">
        <w:rPr>
          <w:rFonts w:ascii="Arial" w:hAnsi="Arial" w:eastAsiaTheme="minorHAnsi" w:cs="Arial"/>
        </w:rPr>
        <w:t>.</w:t>
      </w:r>
    </w:p>
    <w:p w:rsidR="00193564" w:rsidRPr="00AD423E" w:rsidP="00193564" w14:paraId="3A31DA16" w14:textId="77777777">
      <w:pPr>
        <w:widowControl/>
        <w:rPr>
          <w:rFonts w:ascii="Arial" w:hAnsi="Arial" w:eastAsiaTheme="minorHAnsi" w:cs="Arial"/>
        </w:rPr>
      </w:pPr>
    </w:p>
    <w:p w:rsidR="00193564" w:rsidRPr="00AD423E" w:rsidP="00193564" w14:paraId="25884D91" w14:textId="3989AD0D">
      <w:pPr>
        <w:widowControl/>
        <w:tabs>
          <w:tab w:val="left" w:pos="-1176"/>
        </w:tabs>
        <w:jc w:val="both"/>
        <w:rPr>
          <w:rFonts w:ascii="Arial" w:hAnsi="Arial" w:cs="Arial"/>
        </w:rPr>
      </w:pPr>
      <w:r w:rsidRPr="00AD423E">
        <w:rPr>
          <w:rFonts w:ascii="Arial" w:hAnsi="Arial" w:cs="Arial"/>
        </w:rPr>
        <w:t xml:space="preserve">Applications filed through </w:t>
      </w:r>
      <w:r w:rsidR="00EC7185">
        <w:rPr>
          <w:rFonts w:ascii="Arial" w:hAnsi="Arial" w:cs="Arial"/>
        </w:rPr>
        <w:t xml:space="preserve">Patent Center </w:t>
      </w:r>
      <w:r w:rsidRPr="00AD423E">
        <w:rPr>
          <w:rFonts w:ascii="Arial" w:hAnsi="Arial" w:cs="Arial"/>
        </w:rPr>
        <w:t xml:space="preserve">are maintained in confidence as required by 35 U.S.C. 122(a) </w:t>
      </w:r>
      <w:bookmarkStart w:id="2" w:name="_Hlk146546489"/>
      <w:r w:rsidRPr="00AD423E">
        <w:rPr>
          <w:rFonts w:ascii="Arial" w:hAnsi="Arial" w:cs="Arial"/>
        </w:rPr>
        <w:t xml:space="preserve">until the application is published or </w:t>
      </w:r>
      <w:r w:rsidR="00E257AC">
        <w:rPr>
          <w:rFonts w:ascii="Arial" w:hAnsi="Arial" w:cs="Arial"/>
        </w:rPr>
        <w:t xml:space="preserve">issued as </w:t>
      </w:r>
      <w:r w:rsidRPr="00AD423E">
        <w:rPr>
          <w:rFonts w:ascii="Arial" w:hAnsi="Arial" w:cs="Arial"/>
        </w:rPr>
        <w:t>a patent</w:t>
      </w:r>
      <w:bookmarkEnd w:id="2"/>
      <w:r w:rsidRPr="00AD423E">
        <w:rPr>
          <w:rFonts w:ascii="Arial" w:hAnsi="Arial" w:cs="Arial"/>
        </w:rPr>
        <w:t xml:space="preserve">. The confidentiality, security, integrity, authenticity, and non-repudiation of patent applications submitted electronically through </w:t>
      </w:r>
      <w:r w:rsidR="00EC7185">
        <w:rPr>
          <w:rFonts w:ascii="Arial" w:hAnsi="Arial" w:cs="Arial"/>
        </w:rPr>
        <w:t xml:space="preserve">Patent Center </w:t>
      </w:r>
      <w:r w:rsidRPr="00AD423E">
        <w:rPr>
          <w:rFonts w:ascii="Arial" w:hAnsi="Arial" w:cs="Arial"/>
        </w:rPr>
        <w:t xml:space="preserve">are maintained using TLS or SSL protocols. The USPTO posts </w:t>
      </w:r>
      <w:r w:rsidR="00F77139">
        <w:rPr>
          <w:rFonts w:ascii="Arial" w:hAnsi="Arial" w:cs="Arial"/>
        </w:rPr>
        <w:t xml:space="preserve">the file contents of </w:t>
      </w:r>
      <w:r w:rsidRPr="00AD423E">
        <w:rPr>
          <w:rFonts w:ascii="Arial" w:hAnsi="Arial" w:cs="Arial"/>
        </w:rPr>
        <w:t xml:space="preserve">issued patents and application publications on its </w:t>
      </w:r>
      <w:r w:rsidR="00F77139">
        <w:rPr>
          <w:rFonts w:ascii="Arial" w:hAnsi="Arial" w:cs="Arial"/>
        </w:rPr>
        <w:t>w</w:t>
      </w:r>
      <w:r w:rsidRPr="00AD423E">
        <w:rPr>
          <w:rFonts w:ascii="Arial" w:hAnsi="Arial" w:cs="Arial"/>
        </w:rPr>
        <w:t>ebsite. The information covered under this information collection will not be released to the public</w:t>
      </w:r>
      <w:r w:rsidR="00F77139">
        <w:rPr>
          <w:rFonts w:ascii="Arial" w:hAnsi="Arial" w:cs="Arial"/>
        </w:rPr>
        <w:t>,</w:t>
      </w:r>
      <w:r w:rsidRPr="00AD423E">
        <w:rPr>
          <w:rFonts w:ascii="Arial" w:hAnsi="Arial" w:cs="Arial"/>
        </w:rPr>
        <w:t xml:space="preserve"> unless it is part of an issued patent or application publication</w:t>
      </w:r>
      <w:r w:rsidR="00E257AC">
        <w:rPr>
          <w:rFonts w:ascii="Arial" w:hAnsi="Arial" w:cs="Arial"/>
        </w:rPr>
        <w:t xml:space="preserve">, or unless </w:t>
      </w:r>
      <w:r w:rsidR="00CD2422">
        <w:rPr>
          <w:rFonts w:ascii="Arial" w:hAnsi="Arial" w:cs="Arial"/>
        </w:rPr>
        <w:t>one or more specific</w:t>
      </w:r>
      <w:r w:rsidR="00E257AC">
        <w:rPr>
          <w:rFonts w:ascii="Arial" w:hAnsi="Arial" w:cs="Arial"/>
        </w:rPr>
        <w:t xml:space="preserve"> conditions for power to inspect or access </w:t>
      </w:r>
      <w:r w:rsidR="00CD2422">
        <w:rPr>
          <w:rFonts w:ascii="Arial" w:hAnsi="Arial" w:cs="Arial"/>
        </w:rPr>
        <w:t>are</w:t>
      </w:r>
      <w:r w:rsidR="00E257AC">
        <w:rPr>
          <w:rFonts w:ascii="Arial" w:hAnsi="Arial" w:cs="Arial"/>
        </w:rPr>
        <w:t xml:space="preserve"> </w:t>
      </w:r>
      <w:r w:rsidR="00CD2422">
        <w:rPr>
          <w:rFonts w:ascii="Arial" w:hAnsi="Arial" w:cs="Arial"/>
        </w:rPr>
        <w:t>met pursuant to</w:t>
      </w:r>
      <w:r w:rsidR="00E257AC">
        <w:rPr>
          <w:rFonts w:ascii="Arial" w:hAnsi="Arial" w:cs="Arial"/>
        </w:rPr>
        <w:t xml:space="preserve"> 37 CFR 1.14(c)-(</w:t>
      </w:r>
      <w:r w:rsidR="00CD2422">
        <w:rPr>
          <w:rFonts w:ascii="Arial" w:hAnsi="Arial" w:cs="Arial"/>
        </w:rPr>
        <w:t>j</w:t>
      </w:r>
      <w:r w:rsidR="00E257AC">
        <w:rPr>
          <w:rFonts w:ascii="Arial" w:hAnsi="Arial" w:cs="Arial"/>
        </w:rPr>
        <w:t>)</w:t>
      </w:r>
      <w:r w:rsidRPr="00AD423E">
        <w:rPr>
          <w:rFonts w:ascii="Arial" w:hAnsi="Arial" w:cs="Arial"/>
        </w:rPr>
        <w:t xml:space="preserve">. Patent applicants and/or their designated representatives can view the current status of their patent application through </w:t>
      </w:r>
      <w:r w:rsidR="00F77139">
        <w:rPr>
          <w:rFonts w:ascii="Arial" w:hAnsi="Arial" w:cs="Arial"/>
        </w:rPr>
        <w:t>Patent Center</w:t>
      </w:r>
      <w:r w:rsidRPr="00AD423E">
        <w:rPr>
          <w:rFonts w:ascii="Arial" w:hAnsi="Arial" w:cs="Arial"/>
        </w:rPr>
        <w:t>.</w:t>
      </w:r>
    </w:p>
    <w:p w:rsidR="00193564" w:rsidRPr="00AD423E" w:rsidP="00193564" w14:paraId="791489C4" w14:textId="77777777">
      <w:pPr>
        <w:widowControl/>
        <w:tabs>
          <w:tab w:val="left" w:pos="-1176"/>
        </w:tabs>
        <w:jc w:val="both"/>
        <w:rPr>
          <w:rFonts w:ascii="Arial" w:hAnsi="Arial" w:cs="Arial"/>
        </w:rPr>
      </w:pPr>
    </w:p>
    <w:p w:rsidR="00B74B2F" w:rsidP="00B74B2F" w14:paraId="63283FC4" w14:textId="56ACAB05">
      <w:pPr>
        <w:pStyle w:val="NoSpacing"/>
        <w:jc w:val="both"/>
        <w:rPr>
          <w:rFonts w:ascii="Arial" w:hAnsi="Arial" w:cs="Arial"/>
          <w:sz w:val="24"/>
        </w:rPr>
      </w:pPr>
      <w:bookmarkStart w:id="3" w:name="_Hlk125026668"/>
      <w:bookmarkStart w:id="4" w:name="_Hlk110581645"/>
      <w:r>
        <w:rPr>
          <w:rFonts w:ascii="Arial" w:hAnsi="Arial" w:cs="Arial"/>
          <w:sz w:val="24"/>
        </w:rPr>
        <w:t>The Privacy Act of 1974 (P</w:t>
      </w:r>
      <w:r w:rsidR="00507A49">
        <w:rPr>
          <w:rFonts w:ascii="Arial" w:hAnsi="Arial" w:cs="Arial"/>
          <w:sz w:val="24"/>
        </w:rPr>
        <w:t>ub</w:t>
      </w:r>
      <w:r>
        <w:rPr>
          <w:rFonts w:ascii="Arial" w:hAnsi="Arial" w:cs="Arial"/>
          <w:sz w:val="24"/>
        </w:rPr>
        <w:t>.</w:t>
      </w:r>
      <w:r w:rsidR="00507A49">
        <w:rPr>
          <w:rFonts w:ascii="Arial" w:hAnsi="Arial" w:cs="Arial"/>
          <w:sz w:val="24"/>
        </w:rPr>
        <w:t xml:space="preserve"> </w:t>
      </w:r>
      <w:r>
        <w:rPr>
          <w:rFonts w:ascii="Arial" w:hAnsi="Arial" w:cs="Arial"/>
          <w:sz w:val="24"/>
        </w:rPr>
        <w:t xml:space="preserve">L. 93-579) requires that an applicant be given certain information in connection with </w:t>
      </w:r>
      <w:r w:rsidR="00B76871">
        <w:rPr>
          <w:rFonts w:ascii="Arial" w:hAnsi="Arial" w:cs="Arial"/>
          <w:sz w:val="24"/>
        </w:rPr>
        <w:t>the items covered under this information collection</w:t>
      </w:r>
      <w:r>
        <w:rPr>
          <w:rFonts w:ascii="Arial" w:hAnsi="Arial" w:cs="Arial"/>
          <w:sz w:val="24"/>
        </w:rPr>
        <w:t xml:space="preserve">. </w:t>
      </w:r>
      <w:r w:rsidRPr="786EC198" w:rsidR="00F66D1E">
        <w:rPr>
          <w:rFonts w:ascii="Arial" w:hAnsi="Arial" w:cs="Arial"/>
          <w:sz w:val="24"/>
          <w:szCs w:val="24"/>
        </w:rPr>
        <w:t xml:space="preserve">The applicable Privacy Act System of Records Notice for this information </w:t>
      </w:r>
      <w:r w:rsidR="00B76871">
        <w:rPr>
          <w:rFonts w:ascii="Arial" w:hAnsi="Arial" w:cs="Arial"/>
          <w:sz w:val="24"/>
          <w:szCs w:val="24"/>
        </w:rPr>
        <w:t xml:space="preserve">collection </w:t>
      </w:r>
      <w:r w:rsidRPr="786EC198" w:rsidR="00F66D1E">
        <w:rPr>
          <w:rFonts w:ascii="Arial" w:hAnsi="Arial" w:cs="Arial"/>
          <w:sz w:val="24"/>
          <w:szCs w:val="24"/>
        </w:rPr>
        <w:t>is COMMERCE/PAT-TM-7 Patent Application Files</w:t>
      </w:r>
      <w:r w:rsidR="001841C3">
        <w:rPr>
          <w:rFonts w:ascii="Arial" w:hAnsi="Arial" w:cs="Arial"/>
          <w:sz w:val="24"/>
          <w:szCs w:val="24"/>
        </w:rPr>
        <w:t xml:space="preserve"> (SORN 7)</w:t>
      </w:r>
      <w:r w:rsidRPr="786EC198" w:rsidR="00F66D1E">
        <w:rPr>
          <w:rFonts w:ascii="Arial" w:hAnsi="Arial" w:cs="Arial"/>
          <w:sz w:val="24"/>
          <w:szCs w:val="24"/>
        </w:rPr>
        <w:t>, available at 78 FR 19243 (March 29, 2013).</w:t>
      </w:r>
      <w:r>
        <w:rPr>
          <w:rStyle w:val="FootnoteReference"/>
          <w:rFonts w:ascii="Arial" w:hAnsi="Arial" w:cs="Arial"/>
          <w:sz w:val="24"/>
          <w:szCs w:val="24"/>
        </w:rPr>
        <w:footnoteReference w:id="3"/>
      </w:r>
      <w:r w:rsidR="00F66D1E">
        <w:rPr>
          <w:rFonts w:ascii="Arial" w:hAnsi="Arial" w:cs="Arial"/>
          <w:sz w:val="24"/>
          <w:szCs w:val="24"/>
        </w:rPr>
        <w:t xml:space="preserve"> </w:t>
      </w:r>
      <w:r>
        <w:rPr>
          <w:rFonts w:ascii="Arial" w:hAnsi="Arial" w:cs="Arial"/>
          <w:sz w:val="24"/>
        </w:rPr>
        <w:t xml:space="preserve">The purpose of </w:t>
      </w:r>
      <w:r w:rsidR="001841C3">
        <w:rPr>
          <w:rFonts w:ascii="Arial" w:hAnsi="Arial" w:cs="Arial"/>
          <w:sz w:val="24"/>
        </w:rPr>
        <w:t xml:space="preserve">SORN 7 </w:t>
      </w:r>
      <w:r>
        <w:rPr>
          <w:rFonts w:ascii="Arial" w:hAnsi="Arial" w:cs="Arial"/>
          <w:sz w:val="24"/>
        </w:rPr>
        <w:t xml:space="preserve">is to </w:t>
      </w:r>
      <w:r w:rsidR="00EC7185">
        <w:rPr>
          <w:rFonts w:ascii="Arial" w:hAnsi="Arial" w:cs="Arial"/>
          <w:sz w:val="24"/>
        </w:rPr>
        <w:t xml:space="preserve">disclose how the USPTO intends to use, maintain, and protect the information that it has collected to </w:t>
      </w:r>
      <w:r>
        <w:rPr>
          <w:rFonts w:ascii="Arial" w:hAnsi="Arial" w:cs="Arial"/>
          <w:sz w:val="24"/>
        </w:rPr>
        <w:t xml:space="preserve">carry out the duties of the USPTO to </w:t>
      </w:r>
      <w:r w:rsidR="00CD2422">
        <w:rPr>
          <w:rFonts w:ascii="Arial" w:hAnsi="Arial" w:cs="Arial"/>
          <w:sz w:val="24"/>
        </w:rPr>
        <w:t xml:space="preserve">examine patent applications </w:t>
      </w:r>
      <w:r>
        <w:rPr>
          <w:rFonts w:ascii="Arial" w:hAnsi="Arial" w:cs="Arial"/>
          <w:sz w:val="24"/>
        </w:rPr>
        <w:t xml:space="preserve">and issue patents. </w:t>
      </w:r>
      <w:r w:rsidR="001841C3">
        <w:rPr>
          <w:rFonts w:ascii="Arial" w:hAnsi="Arial" w:cs="Arial"/>
          <w:sz w:val="24"/>
        </w:rPr>
        <w:t xml:space="preserve">SORN 7 </w:t>
      </w:r>
      <w:r>
        <w:rPr>
          <w:rFonts w:ascii="Arial" w:hAnsi="Arial" w:cs="Arial"/>
          <w:sz w:val="24"/>
        </w:rPr>
        <w:t>manage</w:t>
      </w:r>
      <w:r w:rsidR="00F66D1E">
        <w:rPr>
          <w:rFonts w:ascii="Arial" w:hAnsi="Arial" w:cs="Arial"/>
          <w:sz w:val="24"/>
        </w:rPr>
        <w:t>s</w:t>
      </w:r>
      <w:r>
        <w:rPr>
          <w:rFonts w:ascii="Arial" w:hAnsi="Arial" w:cs="Arial"/>
          <w:sz w:val="24"/>
        </w:rPr>
        <w:t xml:space="preserve"> all applicant records including name, citizenship, residence, post office address, and other information pertaining to the applicant</w:t>
      </w:r>
      <w:r w:rsidR="00F66D1E">
        <w:rPr>
          <w:rFonts w:ascii="Arial" w:hAnsi="Arial" w:cs="Arial"/>
          <w:sz w:val="24"/>
        </w:rPr>
        <w:t>’</w:t>
      </w:r>
      <w:r>
        <w:rPr>
          <w:rFonts w:ascii="Arial" w:hAnsi="Arial" w:cs="Arial"/>
          <w:sz w:val="24"/>
        </w:rPr>
        <w:t>s activities in connection with the invention for which a patent is sought</w:t>
      </w:r>
      <w:r w:rsidR="00CD2422">
        <w:rPr>
          <w:rFonts w:ascii="Arial" w:hAnsi="Arial" w:cs="Arial"/>
          <w:sz w:val="24"/>
        </w:rPr>
        <w:t xml:space="preserve"> or has been granted</w:t>
      </w:r>
      <w:r>
        <w:rPr>
          <w:rFonts w:ascii="Arial" w:hAnsi="Arial" w:cs="Arial"/>
          <w:sz w:val="24"/>
        </w:rPr>
        <w:t xml:space="preserve">. </w:t>
      </w:r>
    </w:p>
    <w:p w:rsidR="00B74B2F" w:rsidP="00B74B2F" w14:paraId="1A23349F" w14:textId="77777777">
      <w:pPr>
        <w:pStyle w:val="NoSpacing"/>
        <w:jc w:val="both"/>
        <w:rPr>
          <w:rFonts w:ascii="Arial" w:hAnsi="Arial" w:cs="Arial"/>
          <w:sz w:val="24"/>
        </w:rPr>
      </w:pPr>
    </w:p>
    <w:p w:rsidR="00B74B2F" w:rsidP="00B74B2F" w14:paraId="53A67940" w14:textId="0FB44054">
      <w:pPr>
        <w:pStyle w:val="NoSpacing"/>
        <w:jc w:val="both"/>
        <w:rPr>
          <w:rFonts w:ascii="Arial" w:hAnsi="Arial" w:cs="Arial"/>
          <w:sz w:val="24"/>
        </w:rPr>
      </w:pPr>
      <w:r>
        <w:rPr>
          <w:rFonts w:ascii="Arial" w:hAnsi="Arial" w:cs="Arial"/>
          <w:sz w:val="24"/>
        </w:rPr>
        <w:t>The information</w:t>
      </w:r>
      <w:r w:rsidR="001841C3">
        <w:rPr>
          <w:rFonts w:ascii="Arial" w:hAnsi="Arial" w:cs="Arial"/>
          <w:sz w:val="24"/>
        </w:rPr>
        <w:t xml:space="preserve"> </w:t>
      </w:r>
      <w:r w:rsidR="005A52EF">
        <w:rPr>
          <w:rFonts w:ascii="Arial" w:hAnsi="Arial" w:cs="Arial"/>
          <w:sz w:val="24"/>
        </w:rPr>
        <w:t xml:space="preserve">in </w:t>
      </w:r>
      <w:r w:rsidR="001841C3">
        <w:rPr>
          <w:rFonts w:ascii="Arial" w:hAnsi="Arial" w:cs="Arial"/>
          <w:sz w:val="24"/>
        </w:rPr>
        <w:t xml:space="preserve">SORN 7 </w:t>
      </w:r>
      <w:r>
        <w:rPr>
          <w:rFonts w:ascii="Arial" w:hAnsi="Arial" w:cs="Arial"/>
          <w:sz w:val="24"/>
        </w:rPr>
        <w:t>is protected from disclosure to third parties in accordance with the Privacy Act</w:t>
      </w:r>
      <w:r w:rsidR="00177CBC">
        <w:rPr>
          <w:rFonts w:ascii="Arial" w:hAnsi="Arial" w:cs="Arial"/>
          <w:sz w:val="24"/>
        </w:rPr>
        <w:t xml:space="preserve"> </w:t>
      </w:r>
      <w:r w:rsidRPr="00177CBC" w:rsidR="00177CBC">
        <w:rPr>
          <w:rFonts w:ascii="Arial" w:hAnsi="Arial" w:cs="Arial"/>
          <w:sz w:val="24"/>
        </w:rPr>
        <w:t xml:space="preserve">until the application is published </w:t>
      </w:r>
      <w:r w:rsidR="00453F48">
        <w:rPr>
          <w:rFonts w:ascii="Arial" w:hAnsi="Arial" w:cs="Arial"/>
          <w:sz w:val="24"/>
          <w:szCs w:val="24"/>
        </w:rPr>
        <w:t xml:space="preserve">under 35 U.S.C. 122(b) </w:t>
      </w:r>
      <w:r w:rsidRPr="00177CBC" w:rsidR="00177CBC">
        <w:rPr>
          <w:rFonts w:ascii="Arial" w:hAnsi="Arial" w:cs="Arial"/>
          <w:sz w:val="24"/>
        </w:rPr>
        <w:t>or issued as a patent</w:t>
      </w:r>
      <w:r w:rsidRPr="00177CBC" w:rsidR="00177CBC">
        <w:rPr>
          <w:rFonts w:ascii="Arial" w:hAnsi="Arial" w:cs="Arial"/>
          <w:sz w:val="24"/>
          <w:szCs w:val="24"/>
        </w:rPr>
        <w:t xml:space="preserve"> </w:t>
      </w:r>
      <w:r w:rsidR="00453F48">
        <w:rPr>
          <w:rFonts w:ascii="Arial" w:hAnsi="Arial" w:cs="Arial"/>
          <w:sz w:val="24"/>
          <w:szCs w:val="24"/>
        </w:rPr>
        <w:t>under 35 U.S.C. 153</w:t>
      </w:r>
      <w:r>
        <w:rPr>
          <w:rFonts w:ascii="Arial" w:hAnsi="Arial" w:cs="Arial"/>
          <w:sz w:val="24"/>
        </w:rPr>
        <w:t xml:space="preserve">. </w:t>
      </w:r>
      <w:r w:rsidR="00177CBC">
        <w:rPr>
          <w:rFonts w:ascii="Arial" w:hAnsi="Arial" w:cs="Arial"/>
          <w:sz w:val="24"/>
        </w:rPr>
        <w:t>Prior to application publication or patent issuance, the information in SORN 7 is protected from disclosure to third parties in accordance with the Privacy Act</w:t>
      </w:r>
      <w:r w:rsidRPr="00F151D6" w:rsidR="000A2F20">
        <w:rPr>
          <w:rFonts w:ascii="Arial" w:hAnsi="Arial" w:cs="Arial"/>
          <w:sz w:val="24"/>
          <w:szCs w:val="24"/>
        </w:rPr>
        <w:t xml:space="preserve">, </w:t>
      </w:r>
      <w:r w:rsidR="00177CBC">
        <w:rPr>
          <w:rFonts w:ascii="Arial" w:hAnsi="Arial" w:cs="Arial"/>
          <w:sz w:val="24"/>
          <w:szCs w:val="24"/>
        </w:rPr>
        <w:t xml:space="preserve">except </w:t>
      </w:r>
      <w:r w:rsidR="005107B6">
        <w:rPr>
          <w:rFonts w:ascii="Arial" w:hAnsi="Arial" w:cs="Arial"/>
          <w:sz w:val="24"/>
          <w:szCs w:val="24"/>
        </w:rPr>
        <w:t xml:space="preserve">that disclosure is permitted </w:t>
      </w:r>
      <w:r w:rsidR="00177CBC">
        <w:rPr>
          <w:rFonts w:ascii="Arial" w:hAnsi="Arial" w:cs="Arial"/>
          <w:sz w:val="24"/>
          <w:szCs w:val="24"/>
        </w:rPr>
        <w:t xml:space="preserve">for </w:t>
      </w:r>
      <w:r w:rsidR="005107B6">
        <w:rPr>
          <w:rFonts w:ascii="Arial" w:hAnsi="Arial" w:cs="Arial"/>
          <w:sz w:val="24"/>
          <w:szCs w:val="24"/>
        </w:rPr>
        <w:t xml:space="preserve">the following </w:t>
      </w:r>
      <w:r w:rsidR="00177CBC">
        <w:rPr>
          <w:rFonts w:ascii="Arial" w:hAnsi="Arial" w:cs="Arial"/>
          <w:sz w:val="24"/>
          <w:szCs w:val="24"/>
        </w:rPr>
        <w:t xml:space="preserve">routine uses </w:t>
      </w:r>
      <w:r w:rsidR="005107B6">
        <w:rPr>
          <w:rFonts w:ascii="Arial" w:hAnsi="Arial" w:cs="Arial"/>
          <w:sz w:val="24"/>
          <w:szCs w:val="24"/>
        </w:rPr>
        <w:t>including, but not limited to</w:t>
      </w:r>
      <w:r>
        <w:rPr>
          <w:rFonts w:ascii="Arial" w:hAnsi="Arial" w:cs="Arial"/>
          <w:sz w:val="24"/>
        </w:rPr>
        <w:t xml:space="preserve">: </w:t>
      </w:r>
      <w:bookmarkStart w:id="5" w:name="_Hlk146546511"/>
      <w:r>
        <w:rPr>
          <w:rFonts w:ascii="Arial" w:hAnsi="Arial" w:cs="Arial"/>
          <w:sz w:val="24"/>
        </w:rPr>
        <w:t xml:space="preserve">law enforcement in the event that the system of records indicates a violation or potential violation of law; a Federal, state, local, or international agency, in response to its request; an agency, organization, or individual for the purpose of </w:t>
      </w:r>
      <w:r>
        <w:rPr>
          <w:rFonts w:ascii="Arial" w:hAnsi="Arial" w:cs="Arial"/>
          <w:sz w:val="24"/>
        </w:rPr>
        <w:t xml:space="preserve">performing audit or oversight operations as authorized by law; non-federal personnel under contract to the agency; the Department of Justice for Freedom of Information Act (FOIA) assistance; </w:t>
      </w:r>
      <w:r w:rsidR="000A2F20">
        <w:rPr>
          <w:rFonts w:ascii="Arial" w:hAnsi="Arial" w:cs="Arial"/>
          <w:sz w:val="24"/>
          <w:szCs w:val="24"/>
        </w:rPr>
        <w:t>a M</w:t>
      </w:r>
      <w:r w:rsidRPr="00F151D6" w:rsidR="000A2F20">
        <w:rPr>
          <w:rFonts w:ascii="Arial" w:hAnsi="Arial" w:cs="Arial"/>
          <w:sz w:val="24"/>
          <w:szCs w:val="24"/>
        </w:rPr>
        <w:t xml:space="preserve">ember of </w:t>
      </w:r>
      <w:r w:rsidR="000A2F20">
        <w:rPr>
          <w:rFonts w:ascii="Arial" w:hAnsi="Arial" w:cs="Arial"/>
          <w:sz w:val="24"/>
          <w:szCs w:val="24"/>
        </w:rPr>
        <w:t>C</w:t>
      </w:r>
      <w:r w:rsidRPr="00F151D6" w:rsidR="000A2F20">
        <w:rPr>
          <w:rFonts w:ascii="Arial" w:hAnsi="Arial" w:cs="Arial"/>
          <w:sz w:val="24"/>
          <w:szCs w:val="24"/>
        </w:rPr>
        <w:t>ongress working on behalf of an individual</w:t>
      </w:r>
      <w:r w:rsidR="000A2F20">
        <w:rPr>
          <w:rFonts w:ascii="Arial" w:hAnsi="Arial" w:cs="Arial"/>
          <w:sz w:val="24"/>
          <w:szCs w:val="24"/>
        </w:rPr>
        <w:t xml:space="preserve"> </w:t>
      </w:r>
      <w:r w:rsidRPr="00AA1324" w:rsidR="000A2F20">
        <w:rPr>
          <w:rFonts w:ascii="Arial" w:hAnsi="Arial" w:cs="Arial"/>
          <w:sz w:val="24"/>
          <w:szCs w:val="24"/>
        </w:rPr>
        <w:t>to whom the record pertains, when the individual has requested the Member’s assistance with respect to the subject matter of the record</w:t>
      </w:r>
      <w:r>
        <w:rPr>
          <w:rFonts w:ascii="Arial" w:hAnsi="Arial" w:cs="Arial"/>
          <w:sz w:val="24"/>
        </w:rPr>
        <w:t>; the Office of Personnel Management (OPM) for personnel research purposes; and the Office of Management and Budget (OMB)</w:t>
      </w:r>
      <w:r w:rsidR="003D1E3F">
        <w:rPr>
          <w:rFonts w:ascii="Arial" w:hAnsi="Arial" w:cs="Arial"/>
          <w:sz w:val="24"/>
        </w:rPr>
        <w:t xml:space="preserve"> </w:t>
      </w:r>
      <w:r>
        <w:rPr>
          <w:rFonts w:ascii="Arial" w:hAnsi="Arial" w:cs="Arial"/>
          <w:sz w:val="24"/>
        </w:rPr>
        <w:t>for legislative coordination and clearance.</w:t>
      </w:r>
      <w:bookmarkEnd w:id="5"/>
    </w:p>
    <w:p w:rsidR="00B74B2F" w:rsidP="00B74B2F" w14:paraId="34865CA6" w14:textId="77777777">
      <w:pPr>
        <w:pStyle w:val="NoSpacing"/>
        <w:jc w:val="both"/>
        <w:rPr>
          <w:rFonts w:ascii="Arial" w:hAnsi="Arial" w:cs="Arial"/>
          <w:sz w:val="24"/>
        </w:rPr>
      </w:pPr>
    </w:p>
    <w:p w:rsidR="00B74B2F" w:rsidRPr="002252D4" w:rsidP="00B74B2F" w14:paraId="219D2253" w14:textId="31DBB549">
      <w:pPr>
        <w:pStyle w:val="NoSpacing"/>
        <w:jc w:val="both"/>
        <w:rPr>
          <w:rFonts w:ascii="Arial" w:hAnsi="Arial" w:cs="Arial"/>
          <w:sz w:val="24"/>
          <w:szCs w:val="24"/>
        </w:rPr>
      </w:pPr>
      <w:r w:rsidRPr="002252D4">
        <w:rPr>
          <w:rFonts w:ascii="Arial" w:hAnsi="Arial" w:cs="Arial"/>
          <w:sz w:val="24"/>
          <w:szCs w:val="24"/>
        </w:rPr>
        <w:t xml:space="preserve">Categories of individuals covered by </w:t>
      </w:r>
      <w:r w:rsidRPr="002252D4" w:rsidR="00177CBC">
        <w:rPr>
          <w:rFonts w:ascii="Arial" w:hAnsi="Arial" w:cs="Arial"/>
          <w:sz w:val="24"/>
          <w:szCs w:val="24"/>
        </w:rPr>
        <w:t xml:space="preserve">SORN 7 </w:t>
      </w:r>
      <w:r w:rsidRPr="002252D4" w:rsidR="003D1E3F">
        <w:rPr>
          <w:rFonts w:ascii="Arial" w:hAnsi="Arial" w:cs="Arial"/>
          <w:sz w:val="24"/>
          <w:szCs w:val="24"/>
        </w:rPr>
        <w:t>include</w:t>
      </w:r>
      <w:r w:rsidRPr="002252D4">
        <w:rPr>
          <w:rFonts w:ascii="Arial" w:hAnsi="Arial" w:cs="Arial"/>
          <w:sz w:val="24"/>
          <w:szCs w:val="24"/>
        </w:rPr>
        <w:t xml:space="preserve"> </w:t>
      </w:r>
      <w:r w:rsidRPr="002252D4" w:rsidR="003D1E3F">
        <w:rPr>
          <w:rFonts w:ascii="Arial" w:hAnsi="Arial" w:cs="Arial"/>
          <w:sz w:val="24"/>
          <w:szCs w:val="24"/>
        </w:rPr>
        <w:t>a</w:t>
      </w:r>
      <w:r w:rsidRPr="002252D4">
        <w:rPr>
          <w:rFonts w:ascii="Arial" w:hAnsi="Arial" w:cs="Arial"/>
          <w:sz w:val="24"/>
          <w:szCs w:val="24"/>
        </w:rPr>
        <w:t>pplicants for patent, including inventors, legal representatives for deceased or incapacitated inventors, and other persons authorized by law to make applications for patent.</w:t>
      </w:r>
    </w:p>
    <w:p w:rsidR="002252D4" w:rsidRPr="002252D4" w:rsidP="00B74B2F" w14:paraId="54C67CE5" w14:textId="5DB2530D">
      <w:pPr>
        <w:pStyle w:val="NoSpacing"/>
        <w:jc w:val="both"/>
        <w:rPr>
          <w:rFonts w:ascii="Arial" w:hAnsi="Arial" w:cs="Arial"/>
          <w:sz w:val="24"/>
          <w:szCs w:val="24"/>
        </w:rPr>
      </w:pPr>
    </w:p>
    <w:p w:rsidR="002252D4" w:rsidP="004F0CCD" w14:paraId="1D290F36" w14:textId="79B84353">
      <w:pPr>
        <w:pStyle w:val="NoSpacing"/>
        <w:jc w:val="both"/>
        <w:rPr>
          <w:rStyle w:val="ui-provider"/>
          <w:rFonts w:ascii="Arial" w:hAnsi="Arial" w:cs="Arial"/>
          <w:sz w:val="24"/>
          <w:szCs w:val="24"/>
        </w:rPr>
      </w:pPr>
      <w:r w:rsidRPr="786EC198">
        <w:rPr>
          <w:rFonts w:ascii="Arial" w:hAnsi="Arial" w:cs="Arial"/>
          <w:sz w:val="24"/>
          <w:szCs w:val="24"/>
        </w:rPr>
        <w:t xml:space="preserve">The applicable </w:t>
      </w:r>
      <w:r>
        <w:rPr>
          <w:rFonts w:ascii="Arial" w:hAnsi="Arial" w:cs="Arial"/>
          <w:sz w:val="24"/>
          <w:szCs w:val="24"/>
        </w:rPr>
        <w:t xml:space="preserve">PIA </w:t>
      </w:r>
      <w:r w:rsidRPr="786EC198">
        <w:rPr>
          <w:rFonts w:ascii="Arial" w:hAnsi="Arial" w:cs="Arial"/>
          <w:sz w:val="24"/>
          <w:szCs w:val="24"/>
        </w:rPr>
        <w:t xml:space="preserve">for this information </w:t>
      </w:r>
      <w:r>
        <w:rPr>
          <w:rFonts w:ascii="Arial" w:hAnsi="Arial" w:cs="Arial"/>
          <w:sz w:val="24"/>
          <w:szCs w:val="24"/>
        </w:rPr>
        <w:t xml:space="preserve">collection </w:t>
      </w:r>
      <w:r w:rsidRPr="786EC198">
        <w:rPr>
          <w:rFonts w:ascii="Arial" w:hAnsi="Arial" w:cs="Arial"/>
          <w:sz w:val="24"/>
          <w:szCs w:val="24"/>
        </w:rPr>
        <w:t xml:space="preserve">is </w:t>
      </w:r>
      <w:r w:rsidRPr="002252D4">
        <w:rPr>
          <w:rStyle w:val="ui-provider"/>
          <w:rFonts w:ascii="Arial" w:hAnsi="Arial" w:cs="Arial"/>
          <w:sz w:val="24"/>
          <w:szCs w:val="24"/>
        </w:rPr>
        <w:t xml:space="preserve">the Privacy Impact </w:t>
      </w:r>
      <w:r w:rsidR="00AF15E1">
        <w:rPr>
          <w:rStyle w:val="ui-provider"/>
          <w:rFonts w:ascii="Arial" w:hAnsi="Arial" w:cs="Arial"/>
          <w:sz w:val="24"/>
          <w:szCs w:val="24"/>
        </w:rPr>
        <w:t xml:space="preserve">Assessment </w:t>
      </w:r>
      <w:r w:rsidRPr="002252D4">
        <w:rPr>
          <w:rStyle w:val="ui-provider"/>
          <w:rFonts w:ascii="Arial" w:hAnsi="Arial" w:cs="Arial"/>
          <w:sz w:val="24"/>
          <w:szCs w:val="24"/>
        </w:rPr>
        <w:t xml:space="preserve">for </w:t>
      </w:r>
      <w:r w:rsidR="00AF15E1">
        <w:rPr>
          <w:rStyle w:val="ui-provider"/>
          <w:rFonts w:ascii="Arial" w:hAnsi="Arial" w:cs="Arial"/>
          <w:sz w:val="24"/>
          <w:szCs w:val="24"/>
        </w:rPr>
        <w:t xml:space="preserve">the </w:t>
      </w:r>
      <w:r w:rsidRPr="002252D4">
        <w:rPr>
          <w:rStyle w:val="ui-provider"/>
          <w:rFonts w:ascii="Arial" w:hAnsi="Arial" w:cs="Arial"/>
          <w:sz w:val="24"/>
          <w:szCs w:val="24"/>
        </w:rPr>
        <w:t>Patent End to End</w:t>
      </w:r>
      <w:r>
        <w:rPr>
          <w:rStyle w:val="ui-provider"/>
          <w:rFonts w:ascii="Arial" w:hAnsi="Arial" w:cs="Arial"/>
          <w:sz w:val="24"/>
          <w:szCs w:val="24"/>
        </w:rPr>
        <w:t xml:space="preserve"> </w:t>
      </w:r>
      <w:r w:rsidR="00AF15E1">
        <w:rPr>
          <w:rStyle w:val="ui-provider"/>
          <w:rFonts w:ascii="Arial" w:hAnsi="Arial" w:cs="Arial"/>
          <w:sz w:val="24"/>
          <w:szCs w:val="24"/>
        </w:rPr>
        <w:t xml:space="preserve">(PE2E) System </w:t>
      </w:r>
      <w:r>
        <w:rPr>
          <w:rStyle w:val="ui-provider"/>
          <w:rFonts w:ascii="Arial" w:hAnsi="Arial" w:cs="Arial"/>
          <w:sz w:val="24"/>
          <w:szCs w:val="24"/>
        </w:rPr>
        <w:t>(</w:t>
      </w:r>
      <w:r w:rsidR="00AF15E1">
        <w:rPr>
          <w:rStyle w:val="ui-provider"/>
          <w:rFonts w:ascii="Arial" w:hAnsi="Arial" w:cs="Arial"/>
          <w:sz w:val="24"/>
          <w:szCs w:val="24"/>
        </w:rPr>
        <w:t>March 14, 2022</w:t>
      </w:r>
      <w:r>
        <w:rPr>
          <w:rStyle w:val="ui-provider"/>
          <w:rFonts w:ascii="Arial" w:hAnsi="Arial" w:cs="Arial"/>
          <w:sz w:val="24"/>
          <w:szCs w:val="24"/>
        </w:rPr>
        <w:t>),</w:t>
      </w:r>
      <w:r w:rsidRPr="002252D4">
        <w:rPr>
          <w:rStyle w:val="ui-provider"/>
          <w:rFonts w:ascii="Arial" w:hAnsi="Arial" w:cs="Arial"/>
          <w:sz w:val="24"/>
          <w:szCs w:val="24"/>
        </w:rPr>
        <w:t xml:space="preserve"> which is available at</w:t>
      </w:r>
      <w:r w:rsidR="00AF15E1">
        <w:rPr>
          <w:rStyle w:val="ui-provider"/>
          <w:rFonts w:ascii="Arial" w:hAnsi="Arial" w:cs="Arial"/>
          <w:sz w:val="24"/>
          <w:szCs w:val="24"/>
        </w:rPr>
        <w:t xml:space="preserve"> </w:t>
      </w:r>
      <w:hyperlink r:id="rId18" w:history="1">
        <w:r w:rsidRPr="00814AE4" w:rsidR="00AF15E1">
          <w:rPr>
            <w:rStyle w:val="Hyperlink"/>
            <w:rFonts w:ascii="Arial" w:hAnsi="Arial" w:cs="Arial"/>
            <w:sz w:val="24"/>
            <w:szCs w:val="24"/>
          </w:rPr>
          <w:t>https://osec.doc.gov/opog/privacy/pto%20pias/PE2E-PIA_SAOP_Approval_Delegation.pdf</w:t>
        </w:r>
      </w:hyperlink>
      <w:r w:rsidR="00AF15E1">
        <w:rPr>
          <w:rStyle w:val="ui-provider"/>
          <w:rFonts w:ascii="Arial" w:hAnsi="Arial" w:cs="Arial"/>
          <w:sz w:val="24"/>
          <w:szCs w:val="24"/>
        </w:rPr>
        <w:t>.</w:t>
      </w:r>
      <w:r w:rsidRPr="004F0CCD" w:rsidR="004F0CCD">
        <w:t xml:space="preserve"> </w:t>
      </w:r>
      <w:r w:rsidRPr="004F0CCD" w:rsidR="004F0CCD">
        <w:rPr>
          <w:rStyle w:val="ui-provider"/>
          <w:rFonts w:ascii="Arial" w:hAnsi="Arial" w:cs="Arial"/>
          <w:sz w:val="24"/>
          <w:szCs w:val="24"/>
        </w:rPr>
        <w:t>PE2E is a Master system portfolio consisting of next generation Patents Automated Information Systems (AIS). The goal of PE2E is to make the interaction of USPTO’s users as simple and efficient as possible in order to accomplish user goals. PE2E will be a single web-based examination tool providing users with a unified and robust set of tools. PE2E will overhaul the current patents examination baseline through the development of a new system that replaces the existing tools used in the examination process. The project stakeholders desire a simple, unified interface that does not require launching of separate applications in separate windows, and that supports new and improved IT advances. There are 14 sub-systems under PE2E</w:t>
      </w:r>
      <w:r w:rsidR="004F0CCD">
        <w:rPr>
          <w:rStyle w:val="ui-provider"/>
          <w:rFonts w:ascii="Arial" w:hAnsi="Arial" w:cs="Arial"/>
          <w:sz w:val="24"/>
          <w:szCs w:val="24"/>
        </w:rPr>
        <w:t xml:space="preserve">, including </w:t>
      </w:r>
      <w:r w:rsidRPr="004F0CCD" w:rsidR="004F0CCD">
        <w:rPr>
          <w:rStyle w:val="ui-provider"/>
          <w:rFonts w:ascii="Arial" w:hAnsi="Arial" w:cs="Arial"/>
          <w:sz w:val="24"/>
          <w:szCs w:val="24"/>
        </w:rPr>
        <w:t>Patent Center</w:t>
      </w:r>
      <w:r w:rsidR="004F0CCD">
        <w:rPr>
          <w:rStyle w:val="ui-provider"/>
          <w:rFonts w:ascii="Arial" w:hAnsi="Arial" w:cs="Arial"/>
          <w:sz w:val="24"/>
          <w:szCs w:val="24"/>
        </w:rPr>
        <w:t>.</w:t>
      </w:r>
    </w:p>
    <w:p w:rsidR="00AF15E1" w:rsidRPr="002252D4" w:rsidP="00B74B2F" w14:paraId="2DE2C9C0" w14:textId="77777777">
      <w:pPr>
        <w:pStyle w:val="NoSpacing"/>
        <w:jc w:val="both"/>
        <w:rPr>
          <w:rFonts w:ascii="Arial" w:hAnsi="Arial" w:cs="Arial"/>
          <w:sz w:val="24"/>
          <w:szCs w:val="24"/>
        </w:rPr>
      </w:pPr>
    </w:p>
    <w:bookmarkEnd w:id="3"/>
    <w:bookmarkEnd w:id="4"/>
    <w:p w:rsidR="00193564" w:rsidRPr="00AD423E" w:rsidP="00385CF6" w14:paraId="7107750A" w14:textId="4DDAD4AA">
      <w:pPr>
        <w:pStyle w:val="NoSpacing"/>
        <w:numPr>
          <w:ilvl w:val="0"/>
          <w:numId w:val="12"/>
        </w:numPr>
        <w:ind w:left="720" w:hanging="720"/>
        <w:jc w:val="both"/>
        <w:rPr>
          <w:rFonts w:ascii="Arial" w:hAnsi="Arial" w:cs="Arial"/>
          <w:b/>
          <w:bCs/>
          <w:sz w:val="24"/>
          <w:szCs w:val="24"/>
        </w:rPr>
      </w:pPr>
      <w:r w:rsidRPr="00AD423E">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93564" w:rsidRPr="00AD423E" w:rsidP="00193564" w14:paraId="4621E303" w14:textId="77777777">
      <w:pPr>
        <w:pStyle w:val="NoSpacing"/>
        <w:jc w:val="both"/>
        <w:rPr>
          <w:rFonts w:ascii="Arial" w:hAnsi="Arial" w:cs="Arial"/>
          <w:bCs/>
          <w:sz w:val="24"/>
          <w:szCs w:val="24"/>
        </w:rPr>
      </w:pPr>
    </w:p>
    <w:p w:rsidR="00193564" w:rsidRPr="00AD423E" w:rsidP="00193564" w14:paraId="1D0ED6F7" w14:textId="77777777">
      <w:pPr>
        <w:pStyle w:val="NoSpacing"/>
        <w:jc w:val="both"/>
        <w:rPr>
          <w:rFonts w:ascii="Arial" w:hAnsi="Arial" w:cs="Arial"/>
          <w:bCs/>
          <w:sz w:val="24"/>
          <w:szCs w:val="24"/>
        </w:rPr>
      </w:pPr>
      <w:r w:rsidRPr="00AD423E">
        <w:rPr>
          <w:rFonts w:ascii="Arial" w:hAnsi="Arial" w:cs="Arial"/>
          <w:bCs/>
          <w:sz w:val="24"/>
          <w:szCs w:val="24"/>
        </w:rPr>
        <w:t>None of the required information in this information collection is considered to be sensitive.</w:t>
      </w:r>
    </w:p>
    <w:p w:rsidR="00193564" w:rsidRPr="00933E52" w:rsidP="00193564" w14:paraId="5D597248" w14:textId="77777777">
      <w:pPr>
        <w:pStyle w:val="NoSpacing"/>
        <w:jc w:val="both"/>
        <w:rPr>
          <w:rFonts w:ascii="Arial" w:hAnsi="Arial" w:cs="Arial"/>
          <w:b/>
          <w:bCs/>
          <w:sz w:val="24"/>
          <w:szCs w:val="24"/>
          <w:highlight w:val="yellow"/>
        </w:rPr>
      </w:pPr>
    </w:p>
    <w:p w:rsidR="00193564" w:rsidRPr="00AD423E" w:rsidP="00385CF6" w14:paraId="4B8228F8" w14:textId="1615D06C">
      <w:pPr>
        <w:pStyle w:val="ListParagraph"/>
        <w:numPr>
          <w:ilvl w:val="0"/>
          <w:numId w:val="12"/>
        </w:numPr>
        <w:ind w:left="720" w:hanging="720"/>
        <w:rPr>
          <w:rFonts w:ascii="Arial" w:hAnsi="Arial" w:cs="Arial"/>
        </w:rPr>
      </w:pPr>
      <w:r w:rsidRPr="00AD423E">
        <w:rPr>
          <w:rFonts w:ascii="Arial" w:hAnsi="Arial" w:cs="Arial"/>
          <w:b/>
        </w:rPr>
        <w:t>Provide estimates of the hour burden of the collection of information. The statement should:</w:t>
      </w:r>
    </w:p>
    <w:p w:rsidR="00193564" w:rsidRPr="00AD423E" w:rsidP="00385CF6" w14:paraId="5B6A92C0" w14:textId="5DE97961">
      <w:pPr>
        <w:pStyle w:val="NoSpacing"/>
        <w:numPr>
          <w:ilvl w:val="0"/>
          <w:numId w:val="11"/>
        </w:numPr>
        <w:ind w:left="1080"/>
        <w:jc w:val="both"/>
        <w:rPr>
          <w:rFonts w:ascii="Arial" w:hAnsi="Arial" w:cs="Arial"/>
          <w:b/>
          <w:bCs/>
          <w:sz w:val="24"/>
          <w:szCs w:val="24"/>
        </w:rPr>
      </w:pPr>
      <w:r w:rsidRPr="00AD423E">
        <w:rPr>
          <w:rFonts w:ascii="Arial" w:hAnsi="Arial" w:cs="Arial"/>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w:t>
      </w:r>
      <w:r w:rsidRPr="00AD423E">
        <w:rPr>
          <w:rFonts w:ascii="Arial" w:hAnsi="Arial" w:cs="Arial"/>
          <w:b/>
          <w:bCs/>
          <w:sz w:val="24"/>
          <w:szCs w:val="24"/>
        </w:rPr>
        <w:t>and explain the reasons for the variance. Generally, estimates should not include burden hours for customary and usual business practices.</w:t>
      </w:r>
    </w:p>
    <w:p w:rsidR="00193564" w:rsidRPr="00AD423E" w:rsidP="00385CF6" w14:paraId="228CB5BB" w14:textId="60E25647">
      <w:pPr>
        <w:pStyle w:val="NoSpacing"/>
        <w:numPr>
          <w:ilvl w:val="0"/>
          <w:numId w:val="11"/>
        </w:numPr>
        <w:ind w:left="1080"/>
        <w:jc w:val="both"/>
        <w:rPr>
          <w:rFonts w:ascii="Arial" w:hAnsi="Arial" w:cs="Arial"/>
          <w:b/>
          <w:bCs/>
          <w:sz w:val="24"/>
          <w:szCs w:val="24"/>
        </w:rPr>
      </w:pPr>
      <w:r w:rsidRPr="00AD423E">
        <w:rPr>
          <w:rFonts w:ascii="Arial" w:hAnsi="Arial" w:cs="Arial"/>
          <w:b/>
          <w:bCs/>
          <w:sz w:val="24"/>
          <w:szCs w:val="24"/>
        </w:rPr>
        <w:t>If this request for approval covers more than one form, provide separate hour burden estimates for each form and aggregate the hour burdens.</w:t>
      </w:r>
    </w:p>
    <w:p w:rsidR="00193564" w:rsidRPr="00AD423E" w:rsidP="00385CF6" w14:paraId="0B248294" w14:textId="6614CC0A">
      <w:pPr>
        <w:pStyle w:val="NoSpacing"/>
        <w:numPr>
          <w:ilvl w:val="0"/>
          <w:numId w:val="11"/>
        </w:numPr>
        <w:ind w:left="1080"/>
        <w:jc w:val="both"/>
        <w:rPr>
          <w:rFonts w:ascii="Arial" w:hAnsi="Arial" w:cs="Arial"/>
          <w:b/>
          <w:bCs/>
          <w:sz w:val="24"/>
          <w:szCs w:val="24"/>
        </w:rPr>
      </w:pPr>
      <w:r w:rsidRPr="00AD423E">
        <w:rPr>
          <w:rFonts w:ascii="Arial"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193564" w:rsidRPr="00AD423E" w:rsidP="00193564" w14:paraId="12B231B9" w14:textId="77777777">
      <w:pPr>
        <w:pStyle w:val="NoSpacing"/>
        <w:jc w:val="both"/>
        <w:rPr>
          <w:rFonts w:ascii="Arial" w:hAnsi="Arial" w:cs="Arial"/>
          <w:bCs/>
          <w:sz w:val="24"/>
          <w:szCs w:val="24"/>
        </w:rPr>
      </w:pPr>
    </w:p>
    <w:p w:rsidR="00193564" w:rsidRPr="00AD423E" w:rsidP="00193564" w14:paraId="592A4465" w14:textId="77777777">
      <w:pPr>
        <w:pStyle w:val="NoSpacing"/>
        <w:jc w:val="both"/>
        <w:rPr>
          <w:rFonts w:ascii="Arial" w:hAnsi="Arial" w:cs="Arial"/>
          <w:bCs/>
          <w:sz w:val="24"/>
          <w:szCs w:val="24"/>
        </w:rPr>
      </w:pPr>
      <w:r w:rsidRPr="00AD423E">
        <w:rPr>
          <w:rFonts w:ascii="Arial" w:hAnsi="Arial" w:cs="Arial"/>
          <w:bCs/>
          <w:sz w:val="24"/>
          <w:szCs w:val="24"/>
        </w:rPr>
        <w:t>Table</w:t>
      </w:r>
      <w:r>
        <w:rPr>
          <w:rFonts w:ascii="Arial" w:hAnsi="Arial" w:cs="Arial"/>
          <w:bCs/>
          <w:sz w:val="24"/>
          <w:szCs w:val="24"/>
        </w:rPr>
        <w:t>s</w:t>
      </w:r>
      <w:r w:rsidRPr="00AD423E">
        <w:rPr>
          <w:rFonts w:ascii="Arial" w:hAnsi="Arial" w:cs="Arial"/>
          <w:bCs/>
          <w:sz w:val="24"/>
          <w:szCs w:val="24"/>
        </w:rPr>
        <w:t xml:space="preserve"> 3 </w:t>
      </w:r>
      <w:r>
        <w:rPr>
          <w:rFonts w:ascii="Arial" w:hAnsi="Arial" w:cs="Arial"/>
          <w:bCs/>
          <w:sz w:val="24"/>
          <w:szCs w:val="24"/>
        </w:rPr>
        <w:t>and 4 calculate</w:t>
      </w:r>
      <w:r w:rsidRPr="00AD423E">
        <w:rPr>
          <w:rFonts w:ascii="Arial" w:hAnsi="Arial" w:cs="Arial"/>
          <w:bCs/>
          <w:sz w:val="24"/>
          <w:szCs w:val="24"/>
        </w:rPr>
        <w:t xml:space="preserve"> the burden hours and costs of this information collection to the public, based on the following factors:</w:t>
      </w:r>
    </w:p>
    <w:p w:rsidR="00193564" w:rsidRPr="00933E52" w:rsidP="00193564" w14:paraId="458ECDC1" w14:textId="77777777">
      <w:pPr>
        <w:pStyle w:val="NoSpacing"/>
        <w:jc w:val="both"/>
        <w:rPr>
          <w:rFonts w:ascii="Arial" w:hAnsi="Arial" w:cs="Arial"/>
          <w:bCs/>
          <w:sz w:val="24"/>
          <w:szCs w:val="24"/>
          <w:highlight w:val="yellow"/>
        </w:rPr>
      </w:pPr>
    </w:p>
    <w:p w:rsidR="00193564" w:rsidRPr="007C16D9" w:rsidP="00193564" w14:paraId="127830A5" w14:textId="77777777">
      <w:pPr>
        <w:pStyle w:val="NoSpacing"/>
        <w:numPr>
          <w:ilvl w:val="0"/>
          <w:numId w:val="10"/>
        </w:numPr>
        <w:jc w:val="both"/>
        <w:rPr>
          <w:rFonts w:ascii="Arial" w:hAnsi="Arial" w:cs="Arial"/>
          <w:b/>
          <w:bCs/>
          <w:sz w:val="24"/>
          <w:szCs w:val="24"/>
        </w:rPr>
      </w:pPr>
      <w:r w:rsidRPr="007C16D9">
        <w:rPr>
          <w:rFonts w:ascii="Arial" w:hAnsi="Arial" w:cs="Arial"/>
          <w:b/>
          <w:bCs/>
          <w:sz w:val="24"/>
          <w:szCs w:val="24"/>
        </w:rPr>
        <w:t>Respondent Calculation Factors</w:t>
      </w:r>
    </w:p>
    <w:p w:rsidR="00193564" w:rsidRPr="007C16D9" w:rsidP="00193564" w14:paraId="27EEE104" w14:textId="7C45A5EA">
      <w:pPr>
        <w:pStyle w:val="NoSpacing"/>
        <w:ind w:left="720"/>
        <w:jc w:val="both"/>
        <w:rPr>
          <w:rFonts w:ascii="Arial" w:hAnsi="Arial" w:cs="Arial"/>
          <w:bCs/>
          <w:sz w:val="24"/>
          <w:szCs w:val="24"/>
        </w:rPr>
      </w:pPr>
      <w:r w:rsidRPr="007C16D9">
        <w:rPr>
          <w:rFonts w:ascii="Arial" w:hAnsi="Arial" w:cs="Arial"/>
          <w:bCs/>
          <w:sz w:val="24"/>
          <w:szCs w:val="24"/>
        </w:rPr>
        <w:t xml:space="preserve">The respondents to this information collection include the private </w:t>
      </w:r>
      <w:r w:rsidR="00785BE2">
        <w:rPr>
          <w:rFonts w:ascii="Arial" w:hAnsi="Arial" w:cs="Arial"/>
          <w:bCs/>
          <w:sz w:val="24"/>
          <w:szCs w:val="24"/>
        </w:rPr>
        <w:t xml:space="preserve">sector </w:t>
      </w:r>
      <w:r w:rsidRPr="007C16D9">
        <w:rPr>
          <w:rFonts w:ascii="Arial" w:hAnsi="Arial" w:cs="Arial"/>
          <w:bCs/>
          <w:sz w:val="24"/>
          <w:szCs w:val="24"/>
        </w:rPr>
        <w:t xml:space="preserve">(97%) and individuals and households (3%). The USPTO estimates that it will receive approximately </w:t>
      </w:r>
      <w:r w:rsidRPr="006E1A76" w:rsidR="006E1A76">
        <w:rPr>
          <w:rFonts w:ascii="Arial" w:hAnsi="Arial" w:cs="Arial"/>
          <w:sz w:val="24"/>
          <w:szCs w:val="24"/>
        </w:rPr>
        <w:t>247,751</w:t>
      </w:r>
      <w:r w:rsidR="006E1A76">
        <w:t xml:space="preserve"> </w:t>
      </w:r>
      <w:r w:rsidRPr="007C16D9">
        <w:rPr>
          <w:rFonts w:ascii="Arial" w:hAnsi="Arial" w:cs="Arial"/>
          <w:bCs/>
          <w:sz w:val="24"/>
          <w:szCs w:val="24"/>
        </w:rPr>
        <w:t xml:space="preserve">responses per year under this information collection, with approximately </w:t>
      </w:r>
      <w:r w:rsidRPr="007C16D9" w:rsidR="00972F32">
        <w:rPr>
          <w:rFonts w:ascii="Arial" w:hAnsi="Arial" w:cs="Arial"/>
          <w:bCs/>
          <w:sz w:val="24"/>
          <w:szCs w:val="24"/>
        </w:rPr>
        <w:t>2</w:t>
      </w:r>
      <w:r w:rsidR="00E236EA">
        <w:rPr>
          <w:rFonts w:ascii="Arial" w:hAnsi="Arial" w:cs="Arial"/>
          <w:bCs/>
          <w:sz w:val="24"/>
          <w:szCs w:val="24"/>
        </w:rPr>
        <w:t>5</w:t>
      </w:r>
      <w:r w:rsidRPr="007C16D9">
        <w:rPr>
          <w:rFonts w:ascii="Arial" w:hAnsi="Arial" w:cs="Arial"/>
          <w:bCs/>
          <w:sz w:val="24"/>
          <w:szCs w:val="24"/>
        </w:rPr>
        <w:t>% of these responses submitted by small entities (</w:t>
      </w:r>
      <w:r w:rsidRPr="007C16D9" w:rsidR="00972F32">
        <w:rPr>
          <w:rFonts w:ascii="Arial" w:hAnsi="Arial" w:cs="Arial"/>
          <w:bCs/>
          <w:sz w:val="24"/>
          <w:szCs w:val="24"/>
        </w:rPr>
        <w:t>2</w:t>
      </w:r>
      <w:r w:rsidR="0015714F">
        <w:rPr>
          <w:rFonts w:ascii="Arial" w:hAnsi="Arial" w:cs="Arial"/>
          <w:bCs/>
          <w:sz w:val="24"/>
          <w:szCs w:val="24"/>
        </w:rPr>
        <w:t>2</w:t>
      </w:r>
      <w:r w:rsidRPr="007C16D9">
        <w:rPr>
          <w:rFonts w:ascii="Arial" w:hAnsi="Arial" w:cs="Arial"/>
          <w:bCs/>
          <w:sz w:val="24"/>
          <w:szCs w:val="24"/>
        </w:rPr>
        <w:t>%) and micro entities (</w:t>
      </w:r>
      <w:r w:rsidR="00E236EA">
        <w:rPr>
          <w:rFonts w:ascii="Arial" w:hAnsi="Arial" w:cs="Arial"/>
          <w:bCs/>
          <w:sz w:val="24"/>
          <w:szCs w:val="24"/>
        </w:rPr>
        <w:t>3</w:t>
      </w:r>
      <w:r w:rsidRPr="007C16D9">
        <w:rPr>
          <w:rFonts w:ascii="Arial" w:hAnsi="Arial" w:cs="Arial"/>
          <w:bCs/>
          <w:sz w:val="24"/>
          <w:szCs w:val="24"/>
        </w:rPr>
        <w:t xml:space="preserve">%). </w:t>
      </w:r>
      <w:r w:rsidR="00811489">
        <w:rPr>
          <w:rFonts w:ascii="Arial" w:hAnsi="Arial" w:cs="Arial"/>
          <w:bCs/>
          <w:sz w:val="24"/>
          <w:szCs w:val="24"/>
        </w:rPr>
        <w:t xml:space="preserve">All </w:t>
      </w:r>
      <w:r w:rsidR="00E236EA">
        <w:rPr>
          <w:rFonts w:ascii="Arial" w:hAnsi="Arial" w:cs="Arial"/>
          <w:bCs/>
          <w:sz w:val="24"/>
          <w:szCs w:val="24"/>
        </w:rPr>
        <w:t>of</w:t>
      </w:r>
      <w:r w:rsidR="00811489">
        <w:rPr>
          <w:rFonts w:ascii="Arial" w:hAnsi="Arial" w:cs="Arial"/>
          <w:bCs/>
          <w:sz w:val="24"/>
          <w:szCs w:val="24"/>
        </w:rPr>
        <w:t xml:space="preserve"> the</w:t>
      </w:r>
      <w:r w:rsidR="00E236EA">
        <w:rPr>
          <w:rFonts w:ascii="Arial" w:hAnsi="Arial" w:cs="Arial"/>
          <w:bCs/>
          <w:sz w:val="24"/>
          <w:szCs w:val="24"/>
        </w:rPr>
        <w:t xml:space="preserve"> items in this information collection will be submitted electronically</w:t>
      </w:r>
      <w:r w:rsidRPr="007C16D9">
        <w:rPr>
          <w:rFonts w:ascii="Arial" w:hAnsi="Arial" w:cs="Arial"/>
          <w:bCs/>
          <w:sz w:val="24"/>
          <w:szCs w:val="24"/>
        </w:rPr>
        <w:t>.</w:t>
      </w:r>
    </w:p>
    <w:p w:rsidR="00193564" w:rsidRPr="007C16D9" w:rsidP="00193564" w14:paraId="123B1D57" w14:textId="77777777">
      <w:pPr>
        <w:pStyle w:val="NoSpacing"/>
        <w:ind w:left="720"/>
        <w:jc w:val="both"/>
        <w:rPr>
          <w:rFonts w:ascii="Arial" w:hAnsi="Arial" w:cs="Arial"/>
          <w:bCs/>
          <w:sz w:val="24"/>
          <w:szCs w:val="24"/>
        </w:rPr>
      </w:pPr>
    </w:p>
    <w:p w:rsidR="00193564" w:rsidRPr="007C16D9" w:rsidP="00193564" w14:paraId="00E13FA4" w14:textId="77777777">
      <w:pPr>
        <w:pStyle w:val="NoSpacing"/>
        <w:ind w:left="720"/>
        <w:jc w:val="both"/>
        <w:rPr>
          <w:rFonts w:ascii="Arial" w:hAnsi="Arial" w:cs="Arial"/>
          <w:bCs/>
          <w:sz w:val="24"/>
          <w:szCs w:val="24"/>
        </w:rPr>
      </w:pPr>
      <w:r w:rsidRPr="007C16D9">
        <w:rPr>
          <w:rFonts w:ascii="Arial" w:hAnsi="Arial" w:cs="Arial"/>
          <w:bCs/>
          <w:sz w:val="24"/>
          <w:szCs w:val="24"/>
        </w:rPr>
        <w:t xml:space="preserve">These estimates are based on the Agency’s long-standing institutional knowledge of and experience with the type of information collected by these items. </w:t>
      </w:r>
    </w:p>
    <w:p w:rsidR="00193564" w:rsidRPr="00933E52" w:rsidP="00193564" w14:paraId="5C53306C" w14:textId="77777777">
      <w:pPr>
        <w:pStyle w:val="NoSpacing"/>
        <w:jc w:val="both"/>
        <w:rPr>
          <w:rFonts w:ascii="Arial" w:hAnsi="Arial" w:cs="Arial"/>
          <w:bCs/>
          <w:sz w:val="24"/>
          <w:szCs w:val="24"/>
          <w:highlight w:val="yellow"/>
        </w:rPr>
      </w:pPr>
    </w:p>
    <w:p w:rsidR="00193564" w:rsidRPr="008A5826" w:rsidP="00193564" w14:paraId="7E7581C3" w14:textId="77777777">
      <w:pPr>
        <w:pStyle w:val="NoSpacing"/>
        <w:numPr>
          <w:ilvl w:val="0"/>
          <w:numId w:val="10"/>
        </w:numPr>
        <w:jc w:val="both"/>
        <w:rPr>
          <w:rFonts w:ascii="Arial" w:hAnsi="Arial" w:cs="Arial"/>
          <w:bCs/>
          <w:sz w:val="24"/>
          <w:szCs w:val="24"/>
        </w:rPr>
      </w:pPr>
      <w:r w:rsidRPr="008A5826">
        <w:rPr>
          <w:rFonts w:ascii="Arial" w:hAnsi="Arial" w:cs="Arial"/>
          <w:b/>
          <w:bCs/>
          <w:sz w:val="24"/>
          <w:szCs w:val="24"/>
        </w:rPr>
        <w:t xml:space="preserve">Burden Hour Calculation Factors </w:t>
      </w:r>
    </w:p>
    <w:p w:rsidR="008100DB" w:rsidRPr="008A5826" w:rsidP="6040D6A8" w14:paraId="189B385D" w14:textId="5D89B8C0">
      <w:pPr>
        <w:pStyle w:val="NoSpacing"/>
        <w:ind w:left="720"/>
        <w:jc w:val="both"/>
        <w:rPr>
          <w:rFonts w:ascii="Arial" w:hAnsi="Arial" w:cs="Arial"/>
          <w:sz w:val="24"/>
          <w:szCs w:val="24"/>
        </w:rPr>
      </w:pPr>
      <w:r w:rsidRPr="6A9BA041">
        <w:rPr>
          <w:rFonts w:ascii="Arial" w:hAnsi="Arial" w:cs="Arial"/>
          <w:sz w:val="24"/>
          <w:szCs w:val="24"/>
        </w:rPr>
        <w:t xml:space="preserve">The USPTO estimates that it will take the public </w:t>
      </w:r>
      <w:r w:rsidRPr="6A9BA041" w:rsidR="0A293415">
        <w:rPr>
          <w:rFonts w:ascii="Arial" w:hAnsi="Arial" w:cs="Arial"/>
          <w:sz w:val="24"/>
          <w:szCs w:val="24"/>
        </w:rPr>
        <w:t>30 minutes</w:t>
      </w:r>
      <w:r w:rsidRPr="6A9BA041" w:rsidR="1177F686">
        <w:rPr>
          <w:rFonts w:ascii="Arial" w:hAnsi="Arial" w:cs="Arial"/>
          <w:sz w:val="24"/>
          <w:szCs w:val="24"/>
        </w:rPr>
        <w:t xml:space="preserve"> </w:t>
      </w:r>
      <w:r w:rsidRPr="6A9BA041">
        <w:rPr>
          <w:rFonts w:ascii="Arial" w:hAnsi="Arial" w:cs="Arial"/>
          <w:sz w:val="24"/>
          <w:szCs w:val="24"/>
        </w:rPr>
        <w:t>to submit the information to the USPTO</w:t>
      </w:r>
      <w:r w:rsidR="00C766E8">
        <w:rPr>
          <w:rFonts w:ascii="Arial" w:hAnsi="Arial" w:cs="Arial"/>
          <w:sz w:val="24"/>
          <w:szCs w:val="24"/>
        </w:rPr>
        <w:t xml:space="preserve"> in the DOCX format</w:t>
      </w:r>
      <w:r w:rsidRPr="6A9BA041">
        <w:rPr>
          <w:rFonts w:ascii="Arial" w:hAnsi="Arial" w:cs="Arial"/>
          <w:sz w:val="24"/>
          <w:szCs w:val="24"/>
        </w:rPr>
        <w:t xml:space="preserve">. </w:t>
      </w:r>
      <w:r w:rsidRPr="6A9BA041" w:rsidR="00641F0D">
        <w:rPr>
          <w:rFonts w:ascii="Arial" w:hAnsi="Arial" w:cs="Arial"/>
          <w:sz w:val="24"/>
          <w:szCs w:val="24"/>
        </w:rPr>
        <w:t xml:space="preserve">Using these burden factors, USPTO estimates that the total respondent hourly burden for this information collection is </w:t>
      </w:r>
      <w:r w:rsidRPr="6A9BA041" w:rsidR="07D5B25A">
        <w:rPr>
          <w:rFonts w:ascii="Arial" w:hAnsi="Arial" w:cs="Arial"/>
          <w:sz w:val="24"/>
          <w:szCs w:val="24"/>
        </w:rPr>
        <w:t>123,877</w:t>
      </w:r>
      <w:r w:rsidRPr="6A9BA041" w:rsidR="00641F0D">
        <w:rPr>
          <w:rFonts w:ascii="Arial" w:hAnsi="Arial" w:cs="Arial"/>
          <w:sz w:val="24"/>
          <w:szCs w:val="24"/>
        </w:rPr>
        <w:t xml:space="preserve"> hours per year.</w:t>
      </w:r>
      <w:r w:rsidRPr="6A9BA041" w:rsidR="66365EC3">
        <w:rPr>
          <w:rFonts w:ascii="Arial" w:hAnsi="Arial" w:cs="Arial"/>
          <w:sz w:val="24"/>
          <w:szCs w:val="24"/>
        </w:rPr>
        <w:t xml:space="preserve"> </w:t>
      </w:r>
    </w:p>
    <w:p w:rsidR="00193564" w:rsidRPr="008A5826" w:rsidP="00490DC8" w14:paraId="7D999BCB" w14:textId="77777777">
      <w:pPr>
        <w:pStyle w:val="NoSpacing"/>
        <w:ind w:left="720"/>
        <w:jc w:val="both"/>
        <w:rPr>
          <w:rFonts w:ascii="Arial" w:hAnsi="Arial" w:cs="Arial"/>
          <w:bCs/>
          <w:sz w:val="24"/>
          <w:szCs w:val="24"/>
        </w:rPr>
      </w:pPr>
    </w:p>
    <w:p w:rsidR="00193564" w:rsidRPr="008A5826" w:rsidP="00193564" w14:paraId="08FAC24C" w14:textId="77777777">
      <w:pPr>
        <w:pStyle w:val="NoSpacing"/>
        <w:numPr>
          <w:ilvl w:val="0"/>
          <w:numId w:val="10"/>
        </w:numPr>
        <w:jc w:val="both"/>
        <w:rPr>
          <w:rFonts w:ascii="Arial" w:hAnsi="Arial" w:cs="Arial"/>
          <w:bCs/>
          <w:sz w:val="24"/>
          <w:szCs w:val="24"/>
        </w:rPr>
      </w:pPr>
      <w:r w:rsidRPr="008A5826">
        <w:rPr>
          <w:rFonts w:ascii="Arial" w:hAnsi="Arial" w:cs="Arial"/>
          <w:b/>
          <w:bCs/>
          <w:sz w:val="24"/>
          <w:szCs w:val="24"/>
        </w:rPr>
        <w:t>Cost Burden Calculation Factors</w:t>
      </w:r>
    </w:p>
    <w:p w:rsidR="00193564" w:rsidP="6040D6A8" w14:paraId="16FC815A" w14:textId="25D5000F">
      <w:pPr>
        <w:pStyle w:val="ListParagraph"/>
        <w:widowControl/>
        <w:jc w:val="both"/>
        <w:rPr>
          <w:rFonts w:ascii="Arial" w:hAnsi="Arial" w:cs="Arial"/>
        </w:rPr>
      </w:pPr>
      <w:r w:rsidRPr="6A9BA041">
        <w:rPr>
          <w:rFonts w:ascii="Arial" w:hAnsi="Arial" w:cs="Arial"/>
        </w:rPr>
        <w:t xml:space="preserve">The USPTO uses a professional rate of $435 per hour for respondent cost burden calculations, which is the mean rate for attorneys in private firms as shown in the 2021 </w:t>
      </w:r>
      <w:r w:rsidRPr="6A9BA041">
        <w:rPr>
          <w:rFonts w:ascii="Arial" w:hAnsi="Arial" w:cs="Arial"/>
          <w:i/>
          <w:iCs/>
        </w:rPr>
        <w:t>Report of the Economic Survey</w:t>
      </w:r>
      <w:r w:rsidRPr="6A9BA041">
        <w:rPr>
          <w:rFonts w:ascii="Arial" w:hAnsi="Arial" w:cs="Arial"/>
          <w:vertAlign w:val="superscript"/>
        </w:rPr>
        <w:t>,</w:t>
      </w:r>
      <w:r w:rsidRPr="6A9BA041">
        <w:rPr>
          <w:rFonts w:ascii="Arial" w:hAnsi="Arial" w:cs="Arial"/>
        </w:rPr>
        <w:t xml:space="preserve"> published by the Committee on Economics of Legal Practice of the American Intellectual Property Law Association (AIPLA). The USPTO expects that the information in this information collection will be prepared by attorneys. </w:t>
      </w:r>
      <w:r w:rsidRPr="6A9BA041" w:rsidR="001A3DB7">
        <w:rPr>
          <w:rFonts w:ascii="Arial" w:hAnsi="Arial" w:cs="Arial"/>
        </w:rPr>
        <w:t xml:space="preserve">Using this hourly rate, the USPTO estimates that the total respondent cost burden for this information collection is </w:t>
      </w:r>
      <w:r w:rsidRPr="6A9BA041" w:rsidR="006E1A76">
        <w:rPr>
          <w:rFonts w:ascii="Arial" w:hAnsi="Arial" w:cs="Arial"/>
        </w:rPr>
        <w:t>$</w:t>
      </w:r>
      <w:r w:rsidRPr="6A9BA041" w:rsidR="4A7A4945">
        <w:rPr>
          <w:rFonts w:ascii="Arial" w:hAnsi="Arial" w:cs="Arial"/>
        </w:rPr>
        <w:t>53,886,495</w:t>
      </w:r>
      <w:r w:rsidRPr="6A9BA041" w:rsidR="006E1A76">
        <w:rPr>
          <w:rFonts w:ascii="Arial" w:hAnsi="Arial" w:cs="Arial"/>
        </w:rPr>
        <w:t xml:space="preserve"> </w:t>
      </w:r>
      <w:r w:rsidRPr="6A9BA041" w:rsidR="001A3DB7">
        <w:rPr>
          <w:rFonts w:ascii="Arial" w:hAnsi="Arial" w:cs="Arial"/>
        </w:rPr>
        <w:t>per year.</w:t>
      </w:r>
    </w:p>
    <w:p w:rsidR="00954CEE" w:rsidRPr="00B97EAF" w:rsidP="00B97EAF" w14:paraId="293D4F24" w14:textId="3011EC99">
      <w:pPr>
        <w:widowControl/>
        <w:tabs>
          <w:tab w:val="left" w:pos="-456"/>
        </w:tabs>
        <w:jc w:val="both"/>
        <w:rPr>
          <w:rFonts w:ascii="Arial" w:hAnsi="Arial" w:cs="Arial"/>
          <w:bCs/>
          <w:highlight w:val="yellow"/>
        </w:rPr>
      </w:pPr>
    </w:p>
    <w:p w:rsidR="006E1A76" w:rsidRPr="00193564" w:rsidP="006E1A76" w14:paraId="25994C2D" w14:textId="77777777">
      <w:pPr>
        <w:keepNext/>
        <w:widowControl/>
        <w:tabs>
          <w:tab w:val="left" w:pos="-1176"/>
          <w:tab w:val="left" w:pos="-720"/>
          <w:tab w:val="left" w:pos="-90"/>
          <w:tab w:val="left" w:pos="720"/>
        </w:tabs>
        <w:jc w:val="both"/>
        <w:rPr>
          <w:rFonts w:ascii="Arial" w:hAnsi="Arial" w:cs="Arial"/>
          <w:b/>
          <w:bCs/>
          <w:szCs w:val="20"/>
        </w:rPr>
      </w:pPr>
      <w:r w:rsidRPr="001641BF">
        <w:rPr>
          <w:rFonts w:ascii="Arial" w:hAnsi="Arial" w:cs="Arial"/>
          <w:b/>
          <w:bCs/>
          <w:sz w:val="20"/>
          <w:szCs w:val="20"/>
        </w:rPr>
        <w:t xml:space="preserve">Table </w:t>
      </w:r>
      <w:r>
        <w:rPr>
          <w:rFonts w:ascii="Arial" w:hAnsi="Arial" w:cs="Arial"/>
          <w:b/>
          <w:bCs/>
          <w:sz w:val="20"/>
          <w:szCs w:val="20"/>
        </w:rPr>
        <w:t>3</w:t>
      </w:r>
      <w:r w:rsidRPr="001641BF">
        <w:rPr>
          <w:rFonts w:ascii="Arial" w:hAnsi="Arial" w:cs="Arial"/>
          <w:b/>
          <w:bCs/>
          <w:sz w:val="20"/>
          <w:szCs w:val="20"/>
        </w:rPr>
        <w:t>: Burden Hour/Burden Cost to</w:t>
      </w:r>
      <w:r>
        <w:rPr>
          <w:rFonts w:ascii="Arial" w:hAnsi="Arial" w:cs="Arial"/>
          <w:b/>
          <w:bCs/>
          <w:sz w:val="20"/>
          <w:szCs w:val="20"/>
        </w:rPr>
        <w:t xml:space="preserve"> Private Sector</w:t>
      </w:r>
      <w:r w:rsidRPr="001641BF">
        <w:rPr>
          <w:rFonts w:ascii="Arial" w:hAnsi="Arial" w:cs="Arial"/>
          <w:b/>
          <w:bCs/>
          <w:sz w:val="20"/>
          <w:szCs w:val="20"/>
        </w:rPr>
        <w:t xml:space="preserve"> Respondents</w:t>
      </w:r>
    </w:p>
    <w:tbl>
      <w:tblPr>
        <w:tblpPr w:leftFromText="180" w:rightFromText="180" w:bottomFromText="160" w:vertAnchor="text" w:tblpXSpec="center" w:tblpY="1"/>
        <w:tblOverlap w:val="never"/>
        <w:tblW w:w="5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002"/>
        <w:gridCol w:w="1282"/>
        <w:gridCol w:w="1182"/>
        <w:gridCol w:w="1122"/>
        <w:gridCol w:w="1071"/>
        <w:gridCol w:w="1427"/>
        <w:gridCol w:w="815"/>
        <w:gridCol w:w="1664"/>
      </w:tblGrid>
      <w:tr w14:paraId="599A8F7E" w14:textId="77777777" w:rsidTr="786EC198">
        <w:tblPrEx>
          <w:tblW w:w="5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45" w:type="pc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54CEE" w:rsidRPr="00B97EAF" w:rsidP="00B97EAF" w14:paraId="5E99C82C" w14:textId="77777777">
            <w:pPr>
              <w:pStyle w:val="Heading9"/>
              <w:spacing w:line="256" w:lineRule="auto"/>
              <w:jc w:val="center"/>
              <w:rPr>
                <w:rFonts w:ascii="Arial" w:hAnsi="Arial" w:cs="Arial"/>
                <w:b/>
                <w:i w:val="0"/>
                <w:sz w:val="16"/>
                <w:szCs w:val="16"/>
              </w:rPr>
            </w:pPr>
            <w:bookmarkStart w:id="6" w:name="_Hlk129091591"/>
            <w:r w:rsidRPr="00B97EAF">
              <w:rPr>
                <w:rFonts w:ascii="Arial" w:hAnsi="Arial" w:cs="Arial"/>
                <w:b/>
                <w:i w:val="0"/>
                <w:sz w:val="16"/>
                <w:szCs w:val="16"/>
              </w:rPr>
              <w:t>Item No.</w:t>
            </w:r>
          </w:p>
        </w:tc>
        <w:tc>
          <w:tcPr>
            <w:tcW w:w="901" w:type="pc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54CEE" w:rsidRPr="00B97EAF" w:rsidP="00B97EAF" w14:paraId="4CA129DC" w14:textId="77777777">
            <w:pPr>
              <w:pStyle w:val="Heading9"/>
              <w:spacing w:line="256" w:lineRule="auto"/>
              <w:jc w:val="center"/>
              <w:rPr>
                <w:rFonts w:ascii="Arial" w:hAnsi="Arial" w:cs="Arial"/>
                <w:b/>
                <w:i w:val="0"/>
                <w:sz w:val="16"/>
                <w:szCs w:val="16"/>
              </w:rPr>
            </w:pPr>
            <w:r w:rsidRPr="00B97EAF">
              <w:rPr>
                <w:rFonts w:ascii="Arial" w:hAnsi="Arial" w:cs="Arial"/>
                <w:b/>
                <w:i w:val="0"/>
                <w:sz w:val="16"/>
                <w:szCs w:val="16"/>
              </w:rPr>
              <w:t>Item</w:t>
            </w:r>
          </w:p>
        </w:tc>
        <w:tc>
          <w:tcPr>
            <w:tcW w:w="577"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5DCFA9A6" w14:textId="77777777">
            <w:pPr>
              <w:spacing w:line="256" w:lineRule="auto"/>
              <w:jc w:val="center"/>
              <w:rPr>
                <w:rFonts w:ascii="Arial" w:hAnsi="Arial" w:cs="Arial"/>
                <w:b/>
                <w:sz w:val="16"/>
                <w:szCs w:val="16"/>
              </w:rPr>
            </w:pPr>
            <w:r w:rsidRPr="00B97EAF">
              <w:rPr>
                <w:rFonts w:ascii="Arial" w:hAnsi="Arial" w:cs="Arial"/>
                <w:b/>
                <w:sz w:val="16"/>
                <w:szCs w:val="16"/>
              </w:rPr>
              <w:t>Estimated Annual Respondents</w:t>
            </w:r>
          </w:p>
          <w:p w:rsidR="00954CEE" w:rsidRPr="00B97EAF" w14:paraId="02AC1F26" w14:textId="77777777">
            <w:pPr>
              <w:spacing w:line="256" w:lineRule="auto"/>
              <w:jc w:val="center"/>
              <w:rPr>
                <w:rFonts w:ascii="Arial" w:hAnsi="Arial" w:cs="Arial"/>
                <w:b/>
                <w:sz w:val="16"/>
                <w:szCs w:val="16"/>
              </w:rPr>
            </w:pPr>
          </w:p>
          <w:p w:rsidR="00954CEE" w:rsidRPr="00B97EAF" w14:paraId="2033A01E" w14:textId="77777777">
            <w:pPr>
              <w:spacing w:line="256" w:lineRule="auto"/>
              <w:jc w:val="center"/>
              <w:rPr>
                <w:rFonts w:ascii="Arial" w:hAnsi="Arial" w:cs="Arial"/>
                <w:b/>
                <w:sz w:val="16"/>
                <w:szCs w:val="16"/>
              </w:rPr>
            </w:pPr>
          </w:p>
          <w:p w:rsidR="00954CEE" w:rsidRPr="00B97EAF" w14:paraId="779251ED" w14:textId="77777777">
            <w:pPr>
              <w:spacing w:line="256" w:lineRule="auto"/>
              <w:jc w:val="center"/>
              <w:rPr>
                <w:rFonts w:ascii="Arial" w:hAnsi="Arial" w:cs="Arial"/>
                <w:b/>
                <w:sz w:val="16"/>
                <w:szCs w:val="16"/>
              </w:rPr>
            </w:pPr>
            <w:r w:rsidRPr="00B97EAF">
              <w:rPr>
                <w:rFonts w:ascii="Arial" w:hAnsi="Arial" w:cs="Arial"/>
                <w:b/>
                <w:sz w:val="16"/>
                <w:szCs w:val="16"/>
              </w:rPr>
              <w:t>(a)</w:t>
            </w:r>
          </w:p>
        </w:tc>
        <w:tc>
          <w:tcPr>
            <w:tcW w:w="532"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435DD653" w14:textId="77777777">
            <w:pPr>
              <w:spacing w:line="256" w:lineRule="auto"/>
              <w:jc w:val="center"/>
              <w:rPr>
                <w:rFonts w:ascii="Arial" w:hAnsi="Arial" w:cs="Arial"/>
                <w:b/>
                <w:sz w:val="16"/>
                <w:szCs w:val="16"/>
              </w:rPr>
            </w:pPr>
            <w:r w:rsidRPr="00B97EAF">
              <w:rPr>
                <w:rFonts w:ascii="Arial" w:hAnsi="Arial" w:cs="Arial"/>
                <w:b/>
                <w:sz w:val="16"/>
                <w:szCs w:val="16"/>
              </w:rPr>
              <w:t>Responses per Respondent</w:t>
            </w:r>
          </w:p>
          <w:p w:rsidR="00954CEE" w:rsidRPr="00B97EAF" w14:paraId="01F41748" w14:textId="77777777">
            <w:pPr>
              <w:spacing w:line="256" w:lineRule="auto"/>
              <w:jc w:val="center"/>
              <w:rPr>
                <w:rFonts w:ascii="Arial" w:hAnsi="Arial" w:cs="Arial"/>
                <w:b/>
                <w:sz w:val="16"/>
                <w:szCs w:val="16"/>
              </w:rPr>
            </w:pPr>
          </w:p>
          <w:p w:rsidR="00954CEE" w:rsidRPr="00B97EAF" w14:paraId="0C2DD291" w14:textId="77777777">
            <w:pPr>
              <w:spacing w:line="256" w:lineRule="auto"/>
              <w:jc w:val="center"/>
              <w:rPr>
                <w:rFonts w:ascii="Arial" w:hAnsi="Arial" w:cs="Arial"/>
                <w:b/>
                <w:sz w:val="16"/>
                <w:szCs w:val="16"/>
              </w:rPr>
            </w:pPr>
          </w:p>
          <w:p w:rsidR="00954CEE" w:rsidRPr="00B97EAF" w14:paraId="54F3BB00" w14:textId="77777777">
            <w:pPr>
              <w:spacing w:line="256" w:lineRule="auto"/>
              <w:jc w:val="center"/>
              <w:rPr>
                <w:rFonts w:ascii="Arial" w:hAnsi="Arial" w:cs="Arial"/>
                <w:b/>
                <w:sz w:val="16"/>
                <w:szCs w:val="16"/>
              </w:rPr>
            </w:pPr>
            <w:r w:rsidRPr="00B97EAF">
              <w:rPr>
                <w:rFonts w:ascii="Arial" w:hAnsi="Arial" w:cs="Arial"/>
                <w:b/>
                <w:sz w:val="16"/>
                <w:szCs w:val="16"/>
              </w:rPr>
              <w:t>(b)</w:t>
            </w:r>
          </w:p>
        </w:tc>
        <w:tc>
          <w:tcPr>
            <w:tcW w:w="50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2559D3EC" w14:textId="77777777">
            <w:pPr>
              <w:spacing w:line="256" w:lineRule="auto"/>
              <w:jc w:val="center"/>
              <w:rPr>
                <w:rFonts w:ascii="Arial" w:hAnsi="Arial" w:cs="Arial"/>
                <w:b/>
                <w:sz w:val="16"/>
                <w:szCs w:val="16"/>
              </w:rPr>
            </w:pPr>
            <w:r w:rsidRPr="00B97EAF">
              <w:rPr>
                <w:rFonts w:ascii="Arial" w:hAnsi="Arial" w:cs="Arial"/>
                <w:b/>
                <w:sz w:val="16"/>
                <w:szCs w:val="16"/>
              </w:rPr>
              <w:t>Estimated Annual Responses</w:t>
            </w:r>
          </w:p>
          <w:p w:rsidR="00954CEE" w:rsidRPr="00B97EAF" w14:paraId="0223C2A1" w14:textId="77777777">
            <w:pPr>
              <w:spacing w:line="256" w:lineRule="auto"/>
              <w:jc w:val="center"/>
              <w:rPr>
                <w:rFonts w:ascii="Arial" w:hAnsi="Arial" w:cs="Arial"/>
                <w:b/>
                <w:sz w:val="16"/>
                <w:szCs w:val="16"/>
              </w:rPr>
            </w:pPr>
          </w:p>
          <w:p w:rsidR="00954CEE" w:rsidRPr="00B97EAF" w14:paraId="30EE4F50" w14:textId="77777777">
            <w:pPr>
              <w:spacing w:line="256" w:lineRule="auto"/>
              <w:jc w:val="center"/>
              <w:rPr>
                <w:rFonts w:ascii="Arial" w:hAnsi="Arial" w:cs="Arial"/>
                <w:b/>
                <w:sz w:val="16"/>
                <w:szCs w:val="16"/>
              </w:rPr>
            </w:pPr>
          </w:p>
          <w:p w:rsidR="00954CEE" w:rsidRPr="00B97EAF" w14:paraId="41658C14" w14:textId="77777777">
            <w:pPr>
              <w:spacing w:line="256" w:lineRule="auto"/>
              <w:jc w:val="center"/>
              <w:rPr>
                <w:rFonts w:ascii="Arial" w:hAnsi="Arial" w:cs="Arial"/>
                <w:b/>
                <w:sz w:val="16"/>
                <w:szCs w:val="16"/>
              </w:rPr>
            </w:pPr>
            <w:r w:rsidRPr="00B97EAF">
              <w:rPr>
                <w:rFonts w:ascii="Arial" w:hAnsi="Arial" w:cs="Arial"/>
                <w:b/>
                <w:sz w:val="16"/>
                <w:szCs w:val="16"/>
              </w:rPr>
              <w:t>(a) x (b) = (c)</w:t>
            </w:r>
          </w:p>
        </w:tc>
        <w:tc>
          <w:tcPr>
            <w:tcW w:w="482"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FBBA7D7"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Time for Response (hours)</w:t>
            </w:r>
          </w:p>
          <w:p w:rsidR="00954CEE" w:rsidRPr="00B97EAF" w14:paraId="0D22D560" w14:textId="77777777">
            <w:pPr>
              <w:tabs>
                <w:tab w:val="left" w:pos="-1176"/>
              </w:tabs>
              <w:spacing w:line="256" w:lineRule="auto"/>
              <w:jc w:val="center"/>
              <w:rPr>
                <w:rFonts w:ascii="Arial" w:hAnsi="Arial" w:cs="Arial"/>
                <w:b/>
                <w:sz w:val="16"/>
                <w:szCs w:val="16"/>
              </w:rPr>
            </w:pPr>
          </w:p>
          <w:p w:rsidR="00954CEE" w:rsidRPr="00B97EAF" w14:paraId="0C607781" w14:textId="77777777">
            <w:pPr>
              <w:spacing w:line="256" w:lineRule="auto"/>
              <w:jc w:val="center"/>
              <w:rPr>
                <w:rFonts w:ascii="Arial" w:hAnsi="Arial" w:cs="Arial"/>
                <w:b/>
                <w:sz w:val="16"/>
                <w:szCs w:val="16"/>
              </w:rPr>
            </w:pPr>
            <w:r w:rsidRPr="00B97EAF">
              <w:rPr>
                <w:rFonts w:ascii="Arial" w:hAnsi="Arial" w:cs="Arial"/>
                <w:b/>
                <w:sz w:val="16"/>
                <w:szCs w:val="16"/>
              </w:rPr>
              <w:t>(d)</w:t>
            </w:r>
          </w:p>
        </w:tc>
        <w:tc>
          <w:tcPr>
            <w:tcW w:w="642"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BD5491B"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Burden</w:t>
            </w:r>
          </w:p>
          <w:p w:rsidR="00954CEE" w:rsidRPr="00B97EAF" w14:paraId="70628851"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(hour/year)</w:t>
            </w:r>
          </w:p>
          <w:p w:rsidR="00954CEE" w:rsidRPr="00B97EAF" w14:paraId="0F1480D7" w14:textId="77777777">
            <w:pPr>
              <w:tabs>
                <w:tab w:val="left" w:pos="-1176"/>
              </w:tabs>
              <w:spacing w:line="256" w:lineRule="auto"/>
              <w:jc w:val="center"/>
              <w:rPr>
                <w:rFonts w:ascii="Arial" w:hAnsi="Arial" w:cs="Arial"/>
                <w:b/>
                <w:sz w:val="16"/>
                <w:szCs w:val="16"/>
              </w:rPr>
            </w:pPr>
          </w:p>
          <w:p w:rsidR="00954CEE" w:rsidRPr="00B97EAF" w14:paraId="209F83DC" w14:textId="77777777">
            <w:pPr>
              <w:tabs>
                <w:tab w:val="left" w:pos="-1176"/>
              </w:tabs>
              <w:spacing w:line="256" w:lineRule="auto"/>
              <w:rPr>
                <w:rFonts w:ascii="Arial" w:hAnsi="Arial" w:cs="Arial"/>
                <w:b/>
                <w:sz w:val="16"/>
                <w:szCs w:val="16"/>
              </w:rPr>
            </w:pPr>
          </w:p>
          <w:p w:rsidR="00954CEE" w:rsidRPr="00B97EAF" w14:paraId="22925AE7" w14:textId="77777777">
            <w:pPr>
              <w:spacing w:line="256" w:lineRule="auto"/>
              <w:jc w:val="center"/>
              <w:rPr>
                <w:rFonts w:ascii="Arial" w:hAnsi="Arial" w:cs="Arial"/>
                <w:b/>
                <w:sz w:val="16"/>
                <w:szCs w:val="16"/>
              </w:rPr>
            </w:pPr>
            <w:r w:rsidRPr="00B97EAF">
              <w:rPr>
                <w:rFonts w:ascii="Arial" w:hAnsi="Arial" w:cs="Arial"/>
                <w:b/>
                <w:sz w:val="16"/>
                <w:szCs w:val="16"/>
              </w:rPr>
              <w:t xml:space="preserve">(c) x (d) = (e) </w:t>
            </w:r>
          </w:p>
        </w:tc>
        <w:tc>
          <w:tcPr>
            <w:tcW w:w="367"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3B60A6F" w14:textId="77777777">
            <w:pPr>
              <w:tabs>
                <w:tab w:val="left" w:pos="-1176"/>
              </w:tabs>
              <w:spacing w:line="256" w:lineRule="auto"/>
              <w:jc w:val="center"/>
              <w:rPr>
                <w:rFonts w:ascii="Arial" w:hAnsi="Arial" w:cs="Arial"/>
                <w:b/>
                <w:sz w:val="16"/>
                <w:szCs w:val="16"/>
              </w:rPr>
            </w:pPr>
            <w:r w:rsidRPr="786EC198">
              <w:rPr>
                <w:rFonts w:ascii="Arial" w:hAnsi="Arial" w:cs="Arial"/>
                <w:b/>
                <w:bCs/>
                <w:sz w:val="16"/>
                <w:szCs w:val="16"/>
              </w:rPr>
              <w:t>Rate</w:t>
            </w:r>
            <w:r>
              <w:rPr>
                <w:rFonts w:ascii="Arial" w:hAnsi="Arial" w:cs="Arial"/>
                <w:sz w:val="16"/>
                <w:szCs w:val="16"/>
                <w:vertAlign w:val="superscript"/>
              </w:rPr>
              <w:footnoteReference w:id="4"/>
            </w:r>
          </w:p>
          <w:p w:rsidR="00954CEE" w:rsidRPr="00B97EAF" w14:paraId="59BB3F35"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($/hour)</w:t>
            </w:r>
          </w:p>
          <w:p w:rsidR="00954CEE" w:rsidRPr="00B97EAF" w14:paraId="7F74A9E5" w14:textId="77777777">
            <w:pPr>
              <w:tabs>
                <w:tab w:val="left" w:pos="-1176"/>
              </w:tabs>
              <w:spacing w:line="256" w:lineRule="auto"/>
              <w:jc w:val="center"/>
              <w:rPr>
                <w:rFonts w:ascii="Arial" w:hAnsi="Arial" w:cs="Arial"/>
                <w:b/>
                <w:sz w:val="16"/>
                <w:szCs w:val="16"/>
              </w:rPr>
            </w:pPr>
          </w:p>
          <w:p w:rsidR="00954CEE" w:rsidRPr="00B97EAF" w14:paraId="39A6A7A2" w14:textId="77777777">
            <w:pPr>
              <w:tabs>
                <w:tab w:val="left" w:pos="-1176"/>
              </w:tabs>
              <w:spacing w:line="256" w:lineRule="auto"/>
              <w:jc w:val="center"/>
              <w:rPr>
                <w:rFonts w:ascii="Arial" w:hAnsi="Arial" w:cs="Arial"/>
                <w:b/>
                <w:sz w:val="16"/>
                <w:szCs w:val="16"/>
              </w:rPr>
            </w:pPr>
          </w:p>
          <w:p w:rsidR="00954CEE" w:rsidRPr="00B97EAF" w14:paraId="4979CBFD" w14:textId="77777777">
            <w:pPr>
              <w:tabs>
                <w:tab w:val="left" w:pos="-1176"/>
              </w:tabs>
              <w:spacing w:line="256" w:lineRule="auto"/>
              <w:jc w:val="center"/>
              <w:rPr>
                <w:rFonts w:ascii="Arial" w:hAnsi="Arial" w:cs="Arial"/>
                <w:b/>
                <w:sz w:val="16"/>
                <w:szCs w:val="16"/>
              </w:rPr>
            </w:pPr>
          </w:p>
          <w:p w:rsidR="00954CEE" w:rsidRPr="00B97EAF" w14:paraId="60939674" w14:textId="77777777">
            <w:pPr>
              <w:spacing w:line="256" w:lineRule="auto"/>
              <w:jc w:val="center"/>
              <w:rPr>
                <w:rFonts w:ascii="Arial" w:hAnsi="Arial" w:cs="Arial"/>
                <w:b/>
                <w:sz w:val="16"/>
                <w:szCs w:val="16"/>
              </w:rPr>
            </w:pPr>
            <w:r w:rsidRPr="00B97EAF">
              <w:rPr>
                <w:rFonts w:ascii="Arial" w:hAnsi="Arial" w:cs="Arial"/>
                <w:b/>
                <w:sz w:val="16"/>
                <w:szCs w:val="16"/>
              </w:rPr>
              <w:t>(f)</w:t>
            </w:r>
          </w:p>
        </w:tc>
        <w:tc>
          <w:tcPr>
            <w:tcW w:w="749"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18FFCF69"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Annual Respondent Cost Burden</w:t>
            </w:r>
          </w:p>
          <w:p w:rsidR="00954CEE" w:rsidRPr="00B97EAF" w14:paraId="28C4BEDF" w14:textId="77777777">
            <w:pPr>
              <w:tabs>
                <w:tab w:val="left" w:pos="-1176"/>
              </w:tabs>
              <w:spacing w:line="256" w:lineRule="auto"/>
              <w:jc w:val="center"/>
              <w:rPr>
                <w:rFonts w:ascii="Arial" w:hAnsi="Arial" w:cs="Arial"/>
                <w:b/>
                <w:sz w:val="16"/>
                <w:szCs w:val="16"/>
              </w:rPr>
            </w:pPr>
          </w:p>
          <w:p w:rsidR="00954CEE" w:rsidRPr="00B97EAF" w14:paraId="1EDB2EAE" w14:textId="77777777">
            <w:pPr>
              <w:spacing w:line="256" w:lineRule="auto"/>
              <w:jc w:val="center"/>
              <w:rPr>
                <w:rFonts w:ascii="Arial" w:hAnsi="Arial" w:cs="Arial"/>
                <w:b/>
                <w:sz w:val="16"/>
                <w:szCs w:val="16"/>
              </w:rPr>
            </w:pPr>
            <w:r w:rsidRPr="00B97EAF">
              <w:rPr>
                <w:rFonts w:ascii="Arial" w:hAnsi="Arial" w:cs="Arial"/>
                <w:b/>
                <w:sz w:val="16"/>
                <w:szCs w:val="16"/>
              </w:rPr>
              <w:t>(e) x (f) = (g)</w:t>
            </w:r>
          </w:p>
        </w:tc>
      </w:tr>
      <w:tr w14:paraId="0933CF12" w14:textId="77777777" w:rsidTr="786EC198">
        <w:tblPrEx>
          <w:tblW w:w="5941" w:type="pct"/>
          <w:tblLook w:val="04A0"/>
        </w:tblPrEx>
        <w:trPr>
          <w:cantSplit/>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97FBD27" w14:textId="77777777">
            <w:pPr>
              <w:spacing w:line="256" w:lineRule="auto"/>
              <w:jc w:val="center"/>
              <w:rPr>
                <w:rFonts w:ascii="Arial" w:hAnsi="Arial" w:cs="Arial"/>
                <w:b/>
                <w:sz w:val="16"/>
                <w:szCs w:val="16"/>
              </w:rPr>
            </w:pPr>
            <w:r w:rsidRPr="00B97EAF">
              <w:rPr>
                <w:rFonts w:ascii="Arial" w:hAnsi="Arial" w:cs="Arial"/>
                <w:b/>
                <w:sz w:val="16"/>
                <w:szCs w:val="16"/>
              </w:rPr>
              <w:t>1</w:t>
            </w:r>
          </w:p>
        </w:tc>
        <w:tc>
          <w:tcPr>
            <w:tcW w:w="901"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5488359E" w14:textId="77777777">
            <w:pPr>
              <w:spacing w:line="256" w:lineRule="auto"/>
              <w:rPr>
                <w:rFonts w:ascii="Arial" w:hAnsi="Arial" w:cs="Arial"/>
                <w:bCs/>
                <w:sz w:val="16"/>
                <w:szCs w:val="16"/>
              </w:rPr>
            </w:pPr>
            <w:r w:rsidRPr="00B97EAF">
              <w:rPr>
                <w:rFonts w:ascii="Arial" w:hAnsi="Arial" w:eastAsiaTheme="minorHAnsi" w:cs="Arial"/>
                <w:bCs/>
                <w:sz w:val="16"/>
                <w:szCs w:val="16"/>
              </w:rPr>
              <w:t>DOCX submission of Original New Utility Applications</w:t>
            </w:r>
          </w:p>
        </w:tc>
        <w:tc>
          <w:tcPr>
            <w:tcW w:w="57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87DCDF0" w14:textId="77777777">
            <w:pPr>
              <w:spacing w:line="256" w:lineRule="auto"/>
              <w:jc w:val="right"/>
              <w:rPr>
                <w:rFonts w:ascii="Arial" w:hAnsi="Arial" w:cs="Arial"/>
                <w:bCs/>
                <w:sz w:val="16"/>
                <w:szCs w:val="16"/>
              </w:rPr>
            </w:pPr>
            <w:r w:rsidRPr="00B97EAF">
              <w:rPr>
                <w:rFonts w:ascii="Arial" w:hAnsi="Arial" w:cs="Arial"/>
                <w:sz w:val="16"/>
                <w:szCs w:val="16"/>
              </w:rPr>
              <w:t>170,510</w:t>
            </w:r>
          </w:p>
        </w:tc>
        <w:tc>
          <w:tcPr>
            <w:tcW w:w="53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5D521400" w14:textId="77777777">
            <w:pPr>
              <w:spacing w:line="256" w:lineRule="auto"/>
              <w:jc w:val="right"/>
              <w:rPr>
                <w:rFonts w:ascii="Arial" w:hAnsi="Arial" w:cs="Arial"/>
                <w:sz w:val="16"/>
                <w:szCs w:val="16"/>
              </w:rPr>
            </w:pPr>
            <w:r w:rsidRPr="00B97EAF">
              <w:rPr>
                <w:rFonts w:ascii="Arial" w:hAnsi="Arial" w:cs="Arial"/>
                <w:sz w:val="16"/>
                <w:szCs w:val="16"/>
              </w:rPr>
              <w:t>1</w:t>
            </w:r>
          </w:p>
        </w:tc>
        <w:tc>
          <w:tcPr>
            <w:tcW w:w="50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0D63D76" w14:textId="77777777">
            <w:pPr>
              <w:spacing w:line="256" w:lineRule="auto"/>
              <w:jc w:val="right"/>
              <w:rPr>
                <w:rFonts w:ascii="Arial" w:hAnsi="Arial" w:cs="Arial"/>
                <w:sz w:val="16"/>
                <w:szCs w:val="16"/>
              </w:rPr>
            </w:pPr>
            <w:r w:rsidRPr="00B97EAF">
              <w:rPr>
                <w:rFonts w:ascii="Arial" w:hAnsi="Arial" w:cs="Arial"/>
                <w:sz w:val="16"/>
                <w:szCs w:val="16"/>
              </w:rPr>
              <w:t>170,510</w:t>
            </w:r>
          </w:p>
        </w:tc>
        <w:tc>
          <w:tcPr>
            <w:tcW w:w="48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6009C34" w14:textId="022408CC">
            <w:pPr>
              <w:spacing w:line="256" w:lineRule="auto"/>
              <w:jc w:val="right"/>
              <w:rPr>
                <w:rFonts w:ascii="Arial" w:hAnsi="Arial" w:cs="Arial"/>
                <w:sz w:val="16"/>
                <w:szCs w:val="16"/>
              </w:rPr>
            </w:pPr>
            <w:r w:rsidRPr="6A9BA041">
              <w:rPr>
                <w:rFonts w:ascii="Arial" w:hAnsi="Arial" w:cs="Arial"/>
                <w:sz w:val="16"/>
                <w:szCs w:val="16"/>
              </w:rPr>
              <w:t xml:space="preserve"> </w:t>
            </w:r>
            <w:r w:rsidRPr="6A9BA041" w:rsidR="68069412">
              <w:rPr>
                <w:rFonts w:ascii="Arial" w:hAnsi="Arial" w:cs="Arial"/>
                <w:sz w:val="16"/>
                <w:szCs w:val="16"/>
              </w:rPr>
              <w:t xml:space="preserve"> </w:t>
            </w:r>
            <w:r w:rsidRPr="6A9BA041" w:rsidR="06EB9B27">
              <w:rPr>
                <w:rFonts w:ascii="Arial" w:hAnsi="Arial" w:cs="Arial"/>
                <w:sz w:val="16"/>
                <w:szCs w:val="16"/>
              </w:rPr>
              <w:t>0.50</w:t>
            </w:r>
          </w:p>
        </w:tc>
        <w:tc>
          <w:tcPr>
            <w:tcW w:w="64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075438C" w14:textId="054E87E5">
            <w:pPr>
              <w:spacing w:line="256" w:lineRule="auto"/>
              <w:jc w:val="right"/>
              <w:rPr>
                <w:rFonts w:ascii="Arial" w:hAnsi="Arial" w:cs="Arial"/>
                <w:sz w:val="16"/>
                <w:szCs w:val="16"/>
              </w:rPr>
            </w:pPr>
            <w:r w:rsidRPr="6A9BA041">
              <w:rPr>
                <w:rFonts w:ascii="Arial" w:hAnsi="Arial" w:cs="Arial"/>
                <w:sz w:val="16"/>
                <w:szCs w:val="16"/>
              </w:rPr>
              <w:t xml:space="preserve"> </w:t>
            </w:r>
            <w:r w:rsidRPr="6A9BA041" w:rsidR="638835F8">
              <w:rPr>
                <w:rFonts w:ascii="Arial" w:hAnsi="Arial" w:cs="Arial"/>
                <w:sz w:val="16"/>
                <w:szCs w:val="16"/>
              </w:rPr>
              <w:t xml:space="preserve"> 85,</w:t>
            </w:r>
            <w:r w:rsidR="0029473A">
              <w:rPr>
                <w:rFonts w:ascii="Arial" w:hAnsi="Arial" w:cs="Arial"/>
                <w:sz w:val="16"/>
                <w:szCs w:val="16"/>
              </w:rPr>
              <w:t>2</w:t>
            </w:r>
            <w:r w:rsidRPr="6A9BA041" w:rsidR="638835F8">
              <w:rPr>
                <w:rFonts w:ascii="Arial" w:hAnsi="Arial" w:cs="Arial"/>
                <w:sz w:val="16"/>
                <w:szCs w:val="16"/>
              </w:rPr>
              <w:t>55</w:t>
            </w:r>
          </w:p>
        </w:tc>
        <w:tc>
          <w:tcPr>
            <w:tcW w:w="36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DACFE5E"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49"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0A731F1" w14:textId="7BCD7631">
            <w:pPr>
              <w:spacing w:line="256" w:lineRule="auto"/>
              <w:jc w:val="right"/>
              <w:rPr>
                <w:rFonts w:ascii="Arial" w:hAnsi="Arial" w:cs="Arial"/>
                <w:sz w:val="16"/>
                <w:szCs w:val="16"/>
              </w:rPr>
            </w:pPr>
            <w:r w:rsidRPr="6A9BA041">
              <w:rPr>
                <w:rFonts w:ascii="Arial" w:hAnsi="Arial" w:cs="Arial"/>
                <w:sz w:val="16"/>
                <w:szCs w:val="16"/>
              </w:rPr>
              <w:t xml:space="preserve"> $37,085,925</w:t>
            </w:r>
          </w:p>
        </w:tc>
      </w:tr>
      <w:tr w14:paraId="5DD0E923" w14:textId="77777777" w:rsidTr="786EC198">
        <w:tblPrEx>
          <w:tblW w:w="5941" w:type="pct"/>
          <w:tblLook w:val="04A0"/>
        </w:tblPrEx>
        <w:trPr>
          <w:cantSplit/>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39B9F89" w14:textId="77777777">
            <w:pPr>
              <w:spacing w:line="256" w:lineRule="auto"/>
              <w:jc w:val="center"/>
              <w:rPr>
                <w:rFonts w:ascii="Arial" w:hAnsi="Arial" w:cs="Arial"/>
                <w:b/>
                <w:sz w:val="16"/>
                <w:szCs w:val="16"/>
              </w:rPr>
            </w:pPr>
            <w:r w:rsidRPr="00B97EAF">
              <w:rPr>
                <w:rFonts w:ascii="Arial" w:hAnsi="Arial" w:cs="Arial"/>
                <w:b/>
                <w:sz w:val="16"/>
                <w:szCs w:val="16"/>
              </w:rPr>
              <w:t>2</w:t>
            </w:r>
          </w:p>
        </w:tc>
        <w:tc>
          <w:tcPr>
            <w:tcW w:w="901"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44414E0" w14:textId="2371A222">
            <w:pPr>
              <w:spacing w:line="256" w:lineRule="auto"/>
              <w:rPr>
                <w:rFonts w:ascii="Arial" w:hAnsi="Arial" w:cs="Arial"/>
                <w:bCs/>
                <w:sz w:val="16"/>
                <w:szCs w:val="16"/>
              </w:rPr>
            </w:pPr>
            <w:r w:rsidRPr="00B97EAF">
              <w:rPr>
                <w:rFonts w:ascii="Arial" w:hAnsi="Arial" w:eastAsiaTheme="minorHAnsi" w:cs="Arial"/>
                <w:bCs/>
                <w:sz w:val="16"/>
                <w:szCs w:val="16"/>
              </w:rPr>
              <w:t xml:space="preserve">DOCX submission </w:t>
            </w:r>
            <w:r w:rsidR="00AA06FD">
              <w:rPr>
                <w:rFonts w:ascii="Arial" w:hAnsi="Arial" w:eastAsiaTheme="minorHAnsi" w:cs="Arial"/>
                <w:bCs/>
                <w:sz w:val="16"/>
                <w:szCs w:val="16"/>
              </w:rPr>
              <w:t xml:space="preserve">of Utility </w:t>
            </w:r>
            <w:r w:rsidRPr="00B97EAF">
              <w:rPr>
                <w:rFonts w:ascii="Arial" w:hAnsi="Arial" w:eastAsiaTheme="minorHAnsi" w:cs="Arial"/>
                <w:bCs/>
                <w:sz w:val="16"/>
                <w:szCs w:val="16"/>
              </w:rPr>
              <w:t>Continuation/Divisional of an International Application</w:t>
            </w:r>
          </w:p>
        </w:tc>
        <w:tc>
          <w:tcPr>
            <w:tcW w:w="57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2E1A180" w14:textId="77777777">
            <w:pPr>
              <w:spacing w:line="256" w:lineRule="auto"/>
              <w:jc w:val="right"/>
              <w:rPr>
                <w:rFonts w:ascii="Arial" w:hAnsi="Arial" w:cs="Arial"/>
                <w:bCs/>
                <w:sz w:val="16"/>
                <w:szCs w:val="16"/>
              </w:rPr>
            </w:pPr>
            <w:r w:rsidRPr="00B97EAF">
              <w:rPr>
                <w:rFonts w:ascii="Arial" w:hAnsi="Arial" w:cs="Arial"/>
                <w:sz w:val="16"/>
                <w:szCs w:val="16"/>
              </w:rPr>
              <w:t>6,049</w:t>
            </w:r>
          </w:p>
        </w:tc>
        <w:tc>
          <w:tcPr>
            <w:tcW w:w="53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4FD9A53" w14:textId="77777777">
            <w:pPr>
              <w:spacing w:line="256" w:lineRule="auto"/>
              <w:jc w:val="right"/>
              <w:rPr>
                <w:rFonts w:ascii="Arial" w:hAnsi="Arial" w:cs="Arial"/>
                <w:sz w:val="16"/>
                <w:szCs w:val="16"/>
              </w:rPr>
            </w:pPr>
            <w:r w:rsidRPr="00B97EAF">
              <w:rPr>
                <w:rFonts w:ascii="Arial" w:hAnsi="Arial" w:cs="Arial"/>
                <w:sz w:val="16"/>
                <w:szCs w:val="16"/>
              </w:rPr>
              <w:t>1</w:t>
            </w:r>
          </w:p>
        </w:tc>
        <w:tc>
          <w:tcPr>
            <w:tcW w:w="50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0160812" w14:textId="77777777">
            <w:pPr>
              <w:spacing w:line="256" w:lineRule="auto"/>
              <w:jc w:val="right"/>
              <w:rPr>
                <w:rFonts w:ascii="Arial" w:hAnsi="Arial" w:cs="Arial"/>
                <w:sz w:val="16"/>
                <w:szCs w:val="16"/>
              </w:rPr>
            </w:pPr>
            <w:r w:rsidRPr="00B97EAF">
              <w:rPr>
                <w:rFonts w:ascii="Arial" w:hAnsi="Arial" w:cs="Arial"/>
                <w:sz w:val="16"/>
                <w:szCs w:val="16"/>
              </w:rPr>
              <w:t>6,049</w:t>
            </w:r>
          </w:p>
        </w:tc>
        <w:tc>
          <w:tcPr>
            <w:tcW w:w="482" w:type="pct"/>
            <w:tcBorders>
              <w:top w:val="single" w:sz="4" w:space="0" w:color="auto"/>
              <w:left w:val="single" w:sz="4" w:space="0" w:color="auto"/>
              <w:bottom w:val="single" w:sz="4" w:space="0" w:color="auto"/>
              <w:right w:val="single" w:sz="4" w:space="0" w:color="auto"/>
            </w:tcBorders>
            <w:vAlign w:val="center"/>
            <w:hideMark/>
          </w:tcPr>
          <w:p w:rsidR="001F6E90" w:rsidRPr="00B97EAF" w:rsidP="6040D6A8" w14:paraId="38404A92" w14:textId="71A12CAC">
            <w:pPr>
              <w:spacing w:line="256" w:lineRule="auto"/>
              <w:jc w:val="right"/>
              <w:rPr>
                <w:rFonts w:ascii="Arial" w:hAnsi="Arial" w:cs="Arial"/>
                <w:sz w:val="16"/>
                <w:szCs w:val="16"/>
              </w:rPr>
            </w:pPr>
            <w:r w:rsidRPr="6A9BA041">
              <w:rPr>
                <w:rFonts w:ascii="Arial" w:hAnsi="Arial" w:cs="Arial"/>
                <w:sz w:val="16"/>
                <w:szCs w:val="16"/>
              </w:rPr>
              <w:t xml:space="preserve"> </w:t>
            </w:r>
            <w:r w:rsidRPr="6A9BA041" w:rsidR="67EF6D31">
              <w:rPr>
                <w:rFonts w:ascii="Arial" w:hAnsi="Arial" w:cs="Arial"/>
                <w:sz w:val="16"/>
                <w:szCs w:val="16"/>
              </w:rPr>
              <w:t xml:space="preserve"> </w:t>
            </w:r>
            <w:r w:rsidRPr="6A9BA041" w:rsidR="6AAFE04E">
              <w:rPr>
                <w:rFonts w:ascii="Arial" w:hAnsi="Arial" w:cs="Arial"/>
                <w:sz w:val="16"/>
                <w:szCs w:val="16"/>
              </w:rPr>
              <w:t>0</w:t>
            </w:r>
            <w:r w:rsidRPr="6A9BA041" w:rsidR="67EF6D31">
              <w:rPr>
                <w:rFonts w:ascii="Arial" w:hAnsi="Arial" w:cs="Arial"/>
                <w:sz w:val="16"/>
                <w:szCs w:val="16"/>
              </w:rPr>
              <w:t>.50</w:t>
            </w:r>
          </w:p>
        </w:tc>
        <w:tc>
          <w:tcPr>
            <w:tcW w:w="64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5798714" w14:textId="75A77B0E">
            <w:pPr>
              <w:spacing w:line="256" w:lineRule="auto"/>
              <w:jc w:val="right"/>
              <w:rPr>
                <w:rFonts w:ascii="Arial" w:hAnsi="Arial" w:cs="Arial"/>
                <w:sz w:val="16"/>
                <w:szCs w:val="16"/>
              </w:rPr>
            </w:pPr>
            <w:r w:rsidRPr="6A9BA041">
              <w:rPr>
                <w:rFonts w:ascii="Arial" w:hAnsi="Arial" w:cs="Arial"/>
                <w:sz w:val="16"/>
                <w:szCs w:val="16"/>
              </w:rPr>
              <w:t xml:space="preserve"> </w:t>
            </w:r>
            <w:r w:rsidRPr="6A9BA041" w:rsidR="478732F6">
              <w:rPr>
                <w:rFonts w:ascii="Arial" w:hAnsi="Arial" w:cs="Arial"/>
                <w:sz w:val="16"/>
                <w:szCs w:val="16"/>
              </w:rPr>
              <w:t xml:space="preserve"> 3,025</w:t>
            </w:r>
          </w:p>
        </w:tc>
        <w:tc>
          <w:tcPr>
            <w:tcW w:w="36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23FBB0B"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49"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1F7785B" w14:textId="442EFFBD">
            <w:pPr>
              <w:spacing w:line="256" w:lineRule="auto"/>
              <w:jc w:val="right"/>
              <w:rPr>
                <w:rFonts w:ascii="Arial" w:hAnsi="Arial" w:cs="Arial"/>
                <w:sz w:val="16"/>
                <w:szCs w:val="16"/>
              </w:rPr>
            </w:pPr>
            <w:r w:rsidRPr="6A9BA041">
              <w:rPr>
                <w:rFonts w:ascii="Arial" w:hAnsi="Arial" w:cs="Arial"/>
                <w:sz w:val="16"/>
                <w:szCs w:val="16"/>
              </w:rPr>
              <w:t xml:space="preserve"> $1,315,875</w:t>
            </w:r>
          </w:p>
        </w:tc>
      </w:tr>
      <w:tr w14:paraId="7C0E667D" w14:textId="77777777" w:rsidTr="786EC198">
        <w:tblPrEx>
          <w:tblW w:w="5941" w:type="pct"/>
          <w:tblLook w:val="04A0"/>
        </w:tblPrEx>
        <w:trPr>
          <w:cantSplit/>
          <w:trHeight w:val="285"/>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28CD8C1" w14:textId="77777777">
            <w:pPr>
              <w:spacing w:line="256" w:lineRule="auto"/>
              <w:jc w:val="center"/>
              <w:rPr>
                <w:rFonts w:ascii="Arial" w:hAnsi="Arial" w:cs="Arial"/>
                <w:b/>
                <w:sz w:val="16"/>
                <w:szCs w:val="16"/>
              </w:rPr>
            </w:pPr>
            <w:r w:rsidRPr="00B97EAF">
              <w:rPr>
                <w:rFonts w:ascii="Arial" w:hAnsi="Arial" w:cs="Arial"/>
                <w:b/>
                <w:sz w:val="16"/>
                <w:szCs w:val="16"/>
              </w:rPr>
              <w:t>3</w:t>
            </w:r>
          </w:p>
        </w:tc>
        <w:tc>
          <w:tcPr>
            <w:tcW w:w="901"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0643350" w14:textId="3DBF2D05">
            <w:pPr>
              <w:spacing w:line="256" w:lineRule="auto"/>
              <w:rPr>
                <w:rFonts w:ascii="Arial" w:hAnsi="Arial" w:cs="Arial"/>
                <w:bCs/>
                <w:sz w:val="16"/>
                <w:szCs w:val="16"/>
              </w:rPr>
            </w:pPr>
            <w:r w:rsidRPr="00B97EAF">
              <w:rPr>
                <w:rFonts w:ascii="Arial" w:hAnsi="Arial" w:eastAsiaTheme="minorHAnsi" w:cs="Arial"/>
                <w:bCs/>
                <w:sz w:val="16"/>
                <w:szCs w:val="16"/>
              </w:rPr>
              <w:t xml:space="preserve">DOCX submission </w:t>
            </w:r>
            <w:r w:rsidR="00AA06FD">
              <w:rPr>
                <w:rFonts w:ascii="Arial" w:hAnsi="Arial" w:eastAsiaTheme="minorHAnsi" w:cs="Arial"/>
                <w:bCs/>
                <w:sz w:val="16"/>
                <w:szCs w:val="16"/>
              </w:rPr>
              <w:t xml:space="preserve">of </w:t>
            </w:r>
            <w:r w:rsidRPr="00B97EAF">
              <w:rPr>
                <w:rFonts w:ascii="Arial" w:hAnsi="Arial" w:eastAsiaTheme="minorHAnsi" w:cs="Arial"/>
                <w:bCs/>
                <w:sz w:val="16"/>
                <w:szCs w:val="16"/>
              </w:rPr>
              <w:t>Utility Continuation/Divisional Applications</w:t>
            </w:r>
          </w:p>
        </w:tc>
        <w:tc>
          <w:tcPr>
            <w:tcW w:w="57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F115DAC" w14:textId="77777777">
            <w:pPr>
              <w:spacing w:line="256" w:lineRule="auto"/>
              <w:jc w:val="right"/>
              <w:rPr>
                <w:rFonts w:ascii="Arial" w:hAnsi="Arial" w:cs="Arial"/>
                <w:bCs/>
                <w:sz w:val="16"/>
                <w:szCs w:val="16"/>
              </w:rPr>
            </w:pPr>
            <w:r w:rsidRPr="00B97EAF">
              <w:rPr>
                <w:rFonts w:ascii="Arial" w:hAnsi="Arial" w:cs="Arial"/>
                <w:sz w:val="16"/>
                <w:szCs w:val="16"/>
              </w:rPr>
              <w:t>57,044</w:t>
            </w:r>
          </w:p>
        </w:tc>
        <w:tc>
          <w:tcPr>
            <w:tcW w:w="53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584398FA" w14:textId="77777777">
            <w:pPr>
              <w:spacing w:line="256" w:lineRule="auto"/>
              <w:jc w:val="right"/>
              <w:rPr>
                <w:rFonts w:ascii="Arial" w:hAnsi="Arial" w:cs="Arial"/>
                <w:sz w:val="16"/>
                <w:szCs w:val="16"/>
              </w:rPr>
            </w:pPr>
            <w:r w:rsidRPr="00B97EAF">
              <w:rPr>
                <w:rFonts w:ascii="Arial" w:hAnsi="Arial" w:cs="Arial"/>
                <w:sz w:val="16"/>
                <w:szCs w:val="16"/>
              </w:rPr>
              <w:t>1</w:t>
            </w:r>
          </w:p>
        </w:tc>
        <w:tc>
          <w:tcPr>
            <w:tcW w:w="50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45094A6" w14:textId="77777777">
            <w:pPr>
              <w:spacing w:line="256" w:lineRule="auto"/>
              <w:jc w:val="right"/>
              <w:rPr>
                <w:rFonts w:ascii="Arial" w:hAnsi="Arial" w:cs="Arial"/>
                <w:sz w:val="16"/>
                <w:szCs w:val="16"/>
              </w:rPr>
            </w:pPr>
            <w:r w:rsidRPr="00B97EAF">
              <w:rPr>
                <w:rFonts w:ascii="Arial" w:hAnsi="Arial" w:cs="Arial"/>
                <w:sz w:val="16"/>
                <w:szCs w:val="16"/>
              </w:rPr>
              <w:t>57,044</w:t>
            </w:r>
          </w:p>
        </w:tc>
        <w:tc>
          <w:tcPr>
            <w:tcW w:w="48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2637861" w14:textId="2101D214">
            <w:pPr>
              <w:spacing w:line="256" w:lineRule="auto"/>
              <w:jc w:val="right"/>
              <w:rPr>
                <w:rFonts w:ascii="Arial" w:hAnsi="Arial" w:cs="Arial"/>
                <w:sz w:val="16"/>
                <w:szCs w:val="16"/>
              </w:rPr>
            </w:pPr>
            <w:r w:rsidRPr="6A9BA041">
              <w:rPr>
                <w:rFonts w:ascii="Arial" w:hAnsi="Arial" w:cs="Arial"/>
                <w:sz w:val="16"/>
                <w:szCs w:val="16"/>
              </w:rPr>
              <w:t xml:space="preserve"> </w:t>
            </w:r>
            <w:r w:rsidRPr="6A9BA041" w:rsidR="31300CF6">
              <w:rPr>
                <w:rFonts w:ascii="Arial" w:hAnsi="Arial" w:cs="Arial"/>
                <w:sz w:val="16"/>
                <w:szCs w:val="16"/>
              </w:rPr>
              <w:t xml:space="preserve"> 0.50</w:t>
            </w:r>
          </w:p>
        </w:tc>
        <w:tc>
          <w:tcPr>
            <w:tcW w:w="64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D0DCD13" w14:textId="57428214">
            <w:pPr>
              <w:spacing w:line="256" w:lineRule="auto"/>
              <w:jc w:val="right"/>
              <w:rPr>
                <w:rFonts w:ascii="Arial" w:hAnsi="Arial" w:cs="Arial"/>
                <w:sz w:val="16"/>
                <w:szCs w:val="16"/>
              </w:rPr>
            </w:pPr>
            <w:r w:rsidRPr="6A9BA041">
              <w:rPr>
                <w:rFonts w:ascii="Arial" w:hAnsi="Arial" w:cs="Arial"/>
                <w:sz w:val="16"/>
                <w:szCs w:val="16"/>
              </w:rPr>
              <w:t xml:space="preserve"> </w:t>
            </w:r>
            <w:r w:rsidRPr="6A9BA041" w:rsidR="6A914458">
              <w:rPr>
                <w:rFonts w:ascii="Arial" w:hAnsi="Arial" w:cs="Arial"/>
                <w:sz w:val="16"/>
                <w:szCs w:val="16"/>
              </w:rPr>
              <w:t xml:space="preserve"> 28,522</w:t>
            </w:r>
          </w:p>
        </w:tc>
        <w:tc>
          <w:tcPr>
            <w:tcW w:w="36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5810F57"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49" w:type="pct"/>
            <w:tcBorders>
              <w:top w:val="single" w:sz="4" w:space="0" w:color="auto"/>
              <w:left w:val="single" w:sz="4" w:space="0" w:color="auto"/>
              <w:bottom w:val="single" w:sz="4" w:space="0" w:color="auto"/>
              <w:right w:val="single" w:sz="4" w:space="0" w:color="auto"/>
            </w:tcBorders>
            <w:vAlign w:val="center"/>
            <w:hideMark/>
          </w:tcPr>
          <w:p w:rsidR="001F6E90" w:rsidRPr="00B97EAF" w:rsidP="6A9BA041" w14:paraId="23367AB6" w14:textId="358BC1F4">
            <w:pPr>
              <w:spacing w:line="256" w:lineRule="auto"/>
              <w:jc w:val="right"/>
              <w:rPr>
                <w:rFonts w:ascii="Arial" w:hAnsi="Arial" w:cs="Arial"/>
                <w:sz w:val="16"/>
                <w:szCs w:val="16"/>
              </w:rPr>
            </w:pPr>
            <w:r w:rsidRPr="6A9BA041">
              <w:rPr>
                <w:rFonts w:ascii="Arial" w:hAnsi="Arial" w:cs="Arial"/>
                <w:sz w:val="16"/>
                <w:szCs w:val="16"/>
              </w:rPr>
              <w:t>$12,407,070</w:t>
            </w:r>
          </w:p>
        </w:tc>
      </w:tr>
      <w:tr w14:paraId="228CF7FB" w14:textId="77777777" w:rsidTr="786EC198">
        <w:tblPrEx>
          <w:tblW w:w="5941" w:type="pct"/>
          <w:tblLook w:val="04A0"/>
        </w:tblPrEx>
        <w:trPr>
          <w:cantSplit/>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F7EC976" w14:textId="77777777">
            <w:pPr>
              <w:spacing w:line="256" w:lineRule="auto"/>
              <w:jc w:val="center"/>
              <w:rPr>
                <w:rFonts w:ascii="Arial" w:hAnsi="Arial" w:cs="Arial"/>
                <w:b/>
                <w:sz w:val="16"/>
                <w:szCs w:val="16"/>
              </w:rPr>
            </w:pPr>
            <w:r w:rsidRPr="00B97EAF">
              <w:rPr>
                <w:rFonts w:ascii="Arial" w:hAnsi="Arial" w:cs="Arial"/>
                <w:b/>
                <w:sz w:val="16"/>
                <w:szCs w:val="16"/>
              </w:rPr>
              <w:t>4</w:t>
            </w:r>
          </w:p>
        </w:tc>
        <w:tc>
          <w:tcPr>
            <w:tcW w:w="901"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E039E0A" w14:textId="6842C12B">
            <w:pPr>
              <w:spacing w:line="256" w:lineRule="auto"/>
              <w:rPr>
                <w:rFonts w:ascii="Arial" w:hAnsi="Arial" w:cs="Arial"/>
                <w:bCs/>
                <w:sz w:val="16"/>
                <w:szCs w:val="16"/>
              </w:rPr>
            </w:pPr>
            <w:r w:rsidRPr="00B97EAF">
              <w:rPr>
                <w:rFonts w:ascii="Arial" w:hAnsi="Arial" w:eastAsiaTheme="minorHAnsi" w:cs="Arial"/>
                <w:bCs/>
                <w:sz w:val="16"/>
                <w:szCs w:val="16"/>
              </w:rPr>
              <w:t xml:space="preserve">DOCX submission </w:t>
            </w:r>
            <w:r w:rsidR="00AA06FD">
              <w:rPr>
                <w:rFonts w:ascii="Arial" w:hAnsi="Arial" w:eastAsiaTheme="minorHAnsi" w:cs="Arial"/>
                <w:bCs/>
                <w:sz w:val="16"/>
                <w:szCs w:val="16"/>
              </w:rPr>
              <w:t xml:space="preserve">of </w:t>
            </w:r>
            <w:r w:rsidRPr="00B97EAF">
              <w:rPr>
                <w:rFonts w:ascii="Arial" w:hAnsi="Arial" w:eastAsiaTheme="minorHAnsi" w:cs="Arial"/>
                <w:bCs/>
                <w:sz w:val="16"/>
                <w:szCs w:val="16"/>
              </w:rPr>
              <w:t>Utility Continuation-in-Part Applications</w:t>
            </w:r>
          </w:p>
        </w:tc>
        <w:tc>
          <w:tcPr>
            <w:tcW w:w="57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BD2CE3B" w14:textId="77777777">
            <w:pPr>
              <w:spacing w:line="256" w:lineRule="auto"/>
              <w:jc w:val="right"/>
              <w:rPr>
                <w:rFonts w:ascii="Arial" w:hAnsi="Arial" w:cs="Arial"/>
                <w:bCs/>
                <w:sz w:val="16"/>
                <w:szCs w:val="16"/>
              </w:rPr>
            </w:pPr>
            <w:r w:rsidRPr="00B97EAF">
              <w:rPr>
                <w:rFonts w:ascii="Arial" w:hAnsi="Arial" w:cs="Arial"/>
                <w:sz w:val="16"/>
                <w:szCs w:val="16"/>
              </w:rPr>
              <w:t>6,516</w:t>
            </w:r>
          </w:p>
        </w:tc>
        <w:tc>
          <w:tcPr>
            <w:tcW w:w="53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13E9D26" w14:textId="77777777">
            <w:pPr>
              <w:spacing w:line="256" w:lineRule="auto"/>
              <w:jc w:val="right"/>
              <w:rPr>
                <w:rFonts w:ascii="Arial" w:hAnsi="Arial" w:cs="Arial"/>
                <w:sz w:val="16"/>
                <w:szCs w:val="16"/>
              </w:rPr>
            </w:pPr>
            <w:r w:rsidRPr="00B97EAF">
              <w:rPr>
                <w:rFonts w:ascii="Arial" w:hAnsi="Arial" w:cs="Arial"/>
                <w:sz w:val="16"/>
                <w:szCs w:val="16"/>
              </w:rPr>
              <w:t>1</w:t>
            </w:r>
          </w:p>
        </w:tc>
        <w:tc>
          <w:tcPr>
            <w:tcW w:w="50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A1FB46A" w14:textId="77777777">
            <w:pPr>
              <w:spacing w:line="256" w:lineRule="auto"/>
              <w:jc w:val="right"/>
              <w:rPr>
                <w:rFonts w:ascii="Arial" w:hAnsi="Arial" w:cs="Arial"/>
                <w:sz w:val="16"/>
                <w:szCs w:val="16"/>
              </w:rPr>
            </w:pPr>
            <w:r w:rsidRPr="00B97EAF">
              <w:rPr>
                <w:rFonts w:ascii="Arial" w:hAnsi="Arial" w:cs="Arial"/>
                <w:sz w:val="16"/>
                <w:szCs w:val="16"/>
              </w:rPr>
              <w:t>6,516</w:t>
            </w:r>
          </w:p>
        </w:tc>
        <w:tc>
          <w:tcPr>
            <w:tcW w:w="48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D5918C7" w14:textId="60EDDA14">
            <w:pPr>
              <w:spacing w:line="256" w:lineRule="auto"/>
              <w:jc w:val="right"/>
              <w:rPr>
                <w:rFonts w:ascii="Arial" w:hAnsi="Arial" w:cs="Arial"/>
                <w:sz w:val="16"/>
                <w:szCs w:val="16"/>
              </w:rPr>
            </w:pPr>
            <w:r w:rsidRPr="6A9BA041">
              <w:rPr>
                <w:rFonts w:ascii="Arial" w:hAnsi="Arial" w:cs="Arial"/>
                <w:sz w:val="16"/>
                <w:szCs w:val="16"/>
              </w:rPr>
              <w:t xml:space="preserve"> </w:t>
            </w:r>
            <w:r w:rsidRPr="6A9BA041" w:rsidR="74D67A50">
              <w:rPr>
                <w:rFonts w:ascii="Arial" w:hAnsi="Arial" w:cs="Arial"/>
                <w:sz w:val="16"/>
                <w:szCs w:val="16"/>
              </w:rPr>
              <w:t xml:space="preserve"> 0.50</w:t>
            </w:r>
          </w:p>
        </w:tc>
        <w:tc>
          <w:tcPr>
            <w:tcW w:w="642" w:type="pct"/>
            <w:tcBorders>
              <w:top w:val="single" w:sz="4" w:space="0" w:color="auto"/>
              <w:left w:val="single" w:sz="4" w:space="0" w:color="auto"/>
              <w:bottom w:val="single" w:sz="4" w:space="0" w:color="auto"/>
              <w:right w:val="single" w:sz="4" w:space="0" w:color="auto"/>
            </w:tcBorders>
            <w:vAlign w:val="center"/>
            <w:hideMark/>
          </w:tcPr>
          <w:p w:rsidR="001F6E90" w:rsidRPr="00B97EAF" w:rsidP="6A9BA041" w14:paraId="0E187512" w14:textId="50A336B7">
            <w:pPr>
              <w:spacing w:line="256" w:lineRule="auto"/>
              <w:jc w:val="right"/>
              <w:rPr>
                <w:rFonts w:ascii="Arial" w:hAnsi="Arial" w:cs="Arial"/>
                <w:sz w:val="16"/>
                <w:szCs w:val="16"/>
              </w:rPr>
            </w:pPr>
            <w:r w:rsidRPr="6A9BA041">
              <w:rPr>
                <w:rFonts w:ascii="Arial" w:hAnsi="Arial" w:cs="Arial"/>
                <w:sz w:val="16"/>
                <w:szCs w:val="16"/>
              </w:rPr>
              <w:t xml:space="preserve"> 3,258</w:t>
            </w:r>
          </w:p>
        </w:tc>
        <w:tc>
          <w:tcPr>
            <w:tcW w:w="36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5B4FE0DF"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49"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272A0BB" w14:textId="3256FE85">
            <w:pPr>
              <w:spacing w:line="256" w:lineRule="auto"/>
              <w:jc w:val="right"/>
              <w:rPr>
                <w:rFonts w:ascii="Arial" w:hAnsi="Arial" w:cs="Arial"/>
                <w:sz w:val="16"/>
                <w:szCs w:val="16"/>
              </w:rPr>
            </w:pPr>
            <w:r w:rsidRPr="6A9BA041">
              <w:rPr>
                <w:rFonts w:ascii="Arial" w:hAnsi="Arial" w:cs="Arial"/>
                <w:sz w:val="16"/>
                <w:szCs w:val="16"/>
              </w:rPr>
              <w:t xml:space="preserve"> $1,417,230</w:t>
            </w:r>
          </w:p>
        </w:tc>
      </w:tr>
      <w:tr w14:paraId="225B3F51" w14:textId="77777777" w:rsidTr="786EC198">
        <w:tblPrEx>
          <w:tblW w:w="5941" w:type="pct"/>
          <w:tblLook w:val="04A0"/>
        </w:tblPrEx>
        <w:trPr>
          <w:cantSplit/>
          <w:trHeight w:val="53"/>
        </w:trPr>
        <w:tc>
          <w:tcPr>
            <w:tcW w:w="245" w:type="pct"/>
            <w:tcBorders>
              <w:top w:val="single" w:sz="4" w:space="0" w:color="auto"/>
              <w:left w:val="single" w:sz="4" w:space="0" w:color="auto"/>
              <w:bottom w:val="single" w:sz="4" w:space="0" w:color="auto"/>
              <w:right w:val="single" w:sz="4" w:space="0" w:color="auto"/>
            </w:tcBorders>
            <w:vAlign w:val="center"/>
          </w:tcPr>
          <w:p w:rsidR="001F6E90" w:rsidRPr="00B97EAF" w:rsidP="001F6E90" w14:paraId="15122E0E" w14:textId="77777777">
            <w:pPr>
              <w:spacing w:line="256" w:lineRule="auto"/>
              <w:jc w:val="center"/>
              <w:rPr>
                <w:rFonts w:ascii="Arial" w:hAnsi="Arial" w:cs="Arial"/>
                <w:b/>
                <w:sz w:val="16"/>
                <w:szCs w:val="16"/>
              </w:rPr>
            </w:pPr>
          </w:p>
        </w:tc>
        <w:tc>
          <w:tcPr>
            <w:tcW w:w="901"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57D88B4" w14:textId="77777777">
            <w:pPr>
              <w:spacing w:line="256" w:lineRule="auto"/>
              <w:rPr>
                <w:rFonts w:ascii="Arial" w:hAnsi="Arial" w:cs="Arial"/>
                <w:b/>
                <w:sz w:val="16"/>
                <w:szCs w:val="16"/>
              </w:rPr>
            </w:pPr>
            <w:r w:rsidRPr="00B97EAF">
              <w:rPr>
                <w:rFonts w:ascii="Arial" w:hAnsi="Arial" w:cs="Arial"/>
                <w:b/>
                <w:sz w:val="16"/>
                <w:szCs w:val="16"/>
              </w:rPr>
              <w:t>Totals</w:t>
            </w:r>
          </w:p>
        </w:tc>
        <w:tc>
          <w:tcPr>
            <w:tcW w:w="57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BF25561" w14:textId="77777777">
            <w:pPr>
              <w:spacing w:line="256" w:lineRule="auto"/>
              <w:jc w:val="right"/>
              <w:rPr>
                <w:rFonts w:ascii="Arial" w:hAnsi="Arial" w:cs="Arial"/>
                <w:b/>
                <w:sz w:val="16"/>
                <w:szCs w:val="16"/>
              </w:rPr>
            </w:pPr>
            <w:r w:rsidRPr="00B97EAF">
              <w:rPr>
                <w:rFonts w:ascii="Arial" w:hAnsi="Arial" w:cs="Arial"/>
                <w:b/>
                <w:sz w:val="16"/>
                <w:szCs w:val="16"/>
              </w:rPr>
              <w:t>240,119</w:t>
            </w:r>
          </w:p>
        </w:tc>
        <w:tc>
          <w:tcPr>
            <w:tcW w:w="53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AC24AF8" w14:textId="77777777">
            <w:pPr>
              <w:spacing w:line="256" w:lineRule="auto"/>
              <w:jc w:val="right"/>
              <w:rPr>
                <w:rFonts w:ascii="Arial" w:hAnsi="Arial" w:cs="Arial"/>
                <w:b/>
                <w:sz w:val="16"/>
                <w:szCs w:val="16"/>
              </w:rPr>
            </w:pPr>
            <w:r w:rsidRPr="00B97EAF">
              <w:rPr>
                <w:rFonts w:ascii="Arial" w:hAnsi="Arial" w:cs="Arial"/>
                <w:b/>
                <w:sz w:val="16"/>
                <w:szCs w:val="16"/>
              </w:rPr>
              <w:t>- - -</w:t>
            </w:r>
          </w:p>
        </w:tc>
        <w:tc>
          <w:tcPr>
            <w:tcW w:w="50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AC2F91E" w14:textId="77777777">
            <w:pPr>
              <w:spacing w:line="256" w:lineRule="auto"/>
              <w:jc w:val="right"/>
              <w:rPr>
                <w:rFonts w:ascii="Arial" w:hAnsi="Arial" w:cs="Arial"/>
                <w:b/>
                <w:sz w:val="16"/>
                <w:szCs w:val="16"/>
              </w:rPr>
            </w:pPr>
            <w:r w:rsidRPr="00B97EAF">
              <w:rPr>
                <w:rFonts w:ascii="Arial" w:hAnsi="Arial" w:cs="Arial"/>
                <w:b/>
                <w:sz w:val="16"/>
                <w:szCs w:val="16"/>
              </w:rPr>
              <w:t>240,119</w:t>
            </w:r>
          </w:p>
        </w:tc>
        <w:tc>
          <w:tcPr>
            <w:tcW w:w="48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4DBB263" w14:textId="77777777">
            <w:pPr>
              <w:spacing w:line="256" w:lineRule="auto"/>
              <w:jc w:val="right"/>
              <w:rPr>
                <w:rFonts w:ascii="Arial" w:hAnsi="Arial" w:cs="Arial"/>
                <w:b/>
                <w:color w:val="000000"/>
                <w:sz w:val="16"/>
                <w:szCs w:val="16"/>
              </w:rPr>
            </w:pPr>
            <w:r w:rsidRPr="00B97EAF">
              <w:rPr>
                <w:rFonts w:ascii="Arial" w:hAnsi="Arial" w:cs="Arial"/>
                <w:b/>
                <w:sz w:val="16"/>
                <w:szCs w:val="16"/>
              </w:rPr>
              <w:t>- - -</w:t>
            </w:r>
          </w:p>
        </w:tc>
        <w:tc>
          <w:tcPr>
            <w:tcW w:w="64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B576C89" w14:textId="5FDB4478">
            <w:pPr>
              <w:spacing w:line="256" w:lineRule="auto"/>
              <w:jc w:val="right"/>
              <w:rPr>
                <w:rFonts w:ascii="Arial" w:hAnsi="Arial" w:cs="Arial"/>
                <w:b/>
                <w:bCs/>
                <w:sz w:val="16"/>
                <w:szCs w:val="16"/>
              </w:rPr>
            </w:pPr>
            <w:r w:rsidRPr="6A9BA041">
              <w:rPr>
                <w:rFonts w:ascii="Arial" w:hAnsi="Arial" w:cs="Arial"/>
                <w:b/>
                <w:bCs/>
                <w:sz w:val="16"/>
                <w:szCs w:val="16"/>
              </w:rPr>
              <w:t xml:space="preserve"> </w:t>
            </w:r>
            <w:r w:rsidRPr="6A9BA041" w:rsidR="46C52137">
              <w:rPr>
                <w:rFonts w:ascii="Arial" w:hAnsi="Arial" w:cs="Arial"/>
                <w:b/>
                <w:bCs/>
                <w:sz w:val="16"/>
                <w:szCs w:val="16"/>
              </w:rPr>
              <w:t xml:space="preserve"> 120,060</w:t>
            </w:r>
          </w:p>
        </w:tc>
        <w:tc>
          <w:tcPr>
            <w:tcW w:w="367"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3EBA52E" w14:textId="77777777">
            <w:pPr>
              <w:spacing w:line="256" w:lineRule="auto"/>
              <w:jc w:val="right"/>
              <w:rPr>
                <w:rFonts w:ascii="Arial" w:hAnsi="Arial" w:cs="Arial"/>
                <w:b/>
                <w:bCs/>
                <w:sz w:val="16"/>
                <w:szCs w:val="16"/>
              </w:rPr>
            </w:pPr>
            <w:r w:rsidRPr="00B97EAF">
              <w:rPr>
                <w:rFonts w:ascii="Arial" w:hAnsi="Arial" w:cs="Arial"/>
                <w:b/>
                <w:sz w:val="16"/>
                <w:szCs w:val="16"/>
              </w:rPr>
              <w:t>- - -</w:t>
            </w:r>
          </w:p>
        </w:tc>
        <w:tc>
          <w:tcPr>
            <w:tcW w:w="749" w:type="pct"/>
            <w:tcBorders>
              <w:top w:val="single" w:sz="4" w:space="0" w:color="auto"/>
              <w:left w:val="single" w:sz="4" w:space="0" w:color="auto"/>
              <w:bottom w:val="single" w:sz="4" w:space="0" w:color="auto"/>
              <w:right w:val="single" w:sz="4" w:space="0" w:color="auto"/>
            </w:tcBorders>
            <w:vAlign w:val="center"/>
            <w:hideMark/>
          </w:tcPr>
          <w:p w:rsidR="001F6E90" w:rsidRPr="00B97EAF" w:rsidP="6A9BA041" w14:paraId="222C8E49" w14:textId="433E9DF8">
            <w:pPr>
              <w:spacing w:line="256" w:lineRule="auto"/>
              <w:jc w:val="right"/>
              <w:rPr>
                <w:rFonts w:ascii="Arial" w:hAnsi="Arial" w:cs="Arial"/>
                <w:b/>
                <w:bCs/>
                <w:sz w:val="16"/>
                <w:szCs w:val="16"/>
              </w:rPr>
            </w:pPr>
            <w:r w:rsidRPr="6A9BA041">
              <w:rPr>
                <w:rFonts w:ascii="Arial" w:hAnsi="Arial" w:cs="Arial"/>
                <w:b/>
                <w:bCs/>
                <w:sz w:val="16"/>
                <w:szCs w:val="16"/>
              </w:rPr>
              <w:t xml:space="preserve"> $52,226,100</w:t>
            </w:r>
          </w:p>
        </w:tc>
      </w:tr>
      <w:bookmarkEnd w:id="6"/>
    </w:tbl>
    <w:p w:rsidR="00954CEE" w:rsidP="00954CEE" w14:paraId="2198D421" w14:textId="77777777">
      <w:pPr>
        <w:pStyle w:val="NoSpacing"/>
        <w:jc w:val="both"/>
        <w:rPr>
          <w:rFonts w:ascii="Arial" w:hAnsi="Arial" w:cs="Arial"/>
          <w:sz w:val="24"/>
        </w:rPr>
      </w:pPr>
    </w:p>
    <w:p w:rsidR="006E1A76" w:rsidRPr="0013684A" w:rsidP="006E1A76" w14:paraId="706F173B" w14:textId="77777777">
      <w:pPr>
        <w:keepNext/>
        <w:widowControl/>
        <w:tabs>
          <w:tab w:val="left" w:pos="-1176"/>
          <w:tab w:val="left" w:pos="-720"/>
          <w:tab w:val="left" w:pos="-90"/>
          <w:tab w:val="left" w:pos="720"/>
        </w:tabs>
        <w:jc w:val="both"/>
        <w:rPr>
          <w:rFonts w:ascii="Arial" w:hAnsi="Arial" w:cs="Arial"/>
          <w:b/>
          <w:bCs/>
          <w:szCs w:val="20"/>
        </w:rPr>
      </w:pPr>
      <w:r w:rsidRPr="001641BF">
        <w:rPr>
          <w:rFonts w:ascii="Arial" w:hAnsi="Arial" w:cs="Arial"/>
          <w:b/>
          <w:bCs/>
          <w:sz w:val="20"/>
          <w:szCs w:val="20"/>
        </w:rPr>
        <w:t xml:space="preserve">Table </w:t>
      </w:r>
      <w:r>
        <w:rPr>
          <w:rFonts w:ascii="Arial" w:hAnsi="Arial" w:cs="Arial"/>
          <w:b/>
          <w:bCs/>
          <w:sz w:val="20"/>
          <w:szCs w:val="20"/>
        </w:rPr>
        <w:t>4</w:t>
      </w:r>
      <w:r w:rsidRPr="001641BF">
        <w:rPr>
          <w:rFonts w:ascii="Arial" w:hAnsi="Arial" w:cs="Arial"/>
          <w:b/>
          <w:bCs/>
          <w:sz w:val="20"/>
          <w:szCs w:val="20"/>
        </w:rPr>
        <w:t>: Burden Hour/Burden Cost to</w:t>
      </w:r>
      <w:r>
        <w:rPr>
          <w:rFonts w:ascii="Arial" w:hAnsi="Arial" w:cs="Arial"/>
          <w:b/>
          <w:bCs/>
          <w:sz w:val="20"/>
          <w:szCs w:val="20"/>
        </w:rPr>
        <w:t xml:space="preserve"> Individual and Household</w:t>
      </w:r>
      <w:r w:rsidRPr="001641BF">
        <w:rPr>
          <w:rFonts w:ascii="Arial" w:hAnsi="Arial" w:cs="Arial"/>
          <w:b/>
          <w:bCs/>
          <w:sz w:val="20"/>
          <w:szCs w:val="20"/>
        </w:rPr>
        <w:t xml:space="preserve"> Respondents</w:t>
      </w:r>
    </w:p>
    <w:tbl>
      <w:tblPr>
        <w:tblpPr w:leftFromText="180" w:rightFromText="180" w:bottomFromText="160" w:vertAnchor="text" w:tblpXSpec="center" w:tblpY="1"/>
        <w:tblOverlap w:val="never"/>
        <w:tblW w:w="5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2015"/>
        <w:gridCol w:w="1305"/>
        <w:gridCol w:w="1169"/>
        <w:gridCol w:w="1080"/>
        <w:gridCol w:w="1080"/>
        <w:gridCol w:w="1426"/>
        <w:gridCol w:w="812"/>
        <w:gridCol w:w="1722"/>
      </w:tblGrid>
      <w:tr w14:paraId="696F34C5" w14:textId="77777777" w:rsidTr="786EC198">
        <w:tblPrEx>
          <w:tblW w:w="5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blHeader/>
        </w:trPr>
        <w:tc>
          <w:tcPr>
            <w:tcW w:w="245" w:type="pc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54CEE" w:rsidRPr="00B97EAF" w:rsidP="00B97EAF" w14:paraId="729BD3F9" w14:textId="77777777">
            <w:pPr>
              <w:pStyle w:val="Heading9"/>
              <w:spacing w:line="256" w:lineRule="auto"/>
              <w:jc w:val="center"/>
              <w:rPr>
                <w:rFonts w:ascii="Arial" w:eastAsia="Times New Roman" w:hAnsi="Arial" w:cs="Arial"/>
                <w:b/>
                <w:i w:val="0"/>
                <w:sz w:val="16"/>
                <w:szCs w:val="16"/>
              </w:rPr>
            </w:pPr>
            <w:r w:rsidRPr="00B97EAF">
              <w:rPr>
                <w:rFonts w:ascii="Arial" w:hAnsi="Arial" w:cs="Arial"/>
                <w:b/>
                <w:i w:val="0"/>
                <w:sz w:val="16"/>
                <w:szCs w:val="16"/>
              </w:rPr>
              <w:t>Item No.</w:t>
            </w:r>
          </w:p>
        </w:tc>
        <w:tc>
          <w:tcPr>
            <w:tcW w:w="903" w:type="pc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54CEE" w:rsidRPr="00B97EAF" w:rsidP="00B97EAF" w14:paraId="5F1FFC27" w14:textId="77777777">
            <w:pPr>
              <w:pStyle w:val="Heading9"/>
              <w:spacing w:line="256" w:lineRule="auto"/>
              <w:jc w:val="center"/>
              <w:rPr>
                <w:rFonts w:ascii="Arial" w:hAnsi="Arial" w:cs="Arial"/>
                <w:b/>
                <w:i w:val="0"/>
                <w:sz w:val="16"/>
                <w:szCs w:val="16"/>
              </w:rPr>
            </w:pPr>
            <w:r w:rsidRPr="00B97EAF">
              <w:rPr>
                <w:rFonts w:ascii="Arial" w:hAnsi="Arial" w:cs="Arial"/>
                <w:b/>
                <w:i w:val="0"/>
                <w:sz w:val="16"/>
                <w:szCs w:val="16"/>
              </w:rPr>
              <w:t>Item</w:t>
            </w:r>
          </w:p>
        </w:tc>
        <w:tc>
          <w:tcPr>
            <w:tcW w:w="585"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9195861" w14:textId="77777777">
            <w:pPr>
              <w:spacing w:line="256" w:lineRule="auto"/>
              <w:jc w:val="center"/>
              <w:rPr>
                <w:rFonts w:ascii="Arial" w:hAnsi="Arial" w:cs="Arial"/>
                <w:b/>
                <w:sz w:val="16"/>
                <w:szCs w:val="16"/>
              </w:rPr>
            </w:pPr>
            <w:r w:rsidRPr="00B97EAF">
              <w:rPr>
                <w:rFonts w:ascii="Arial" w:hAnsi="Arial" w:cs="Arial"/>
                <w:b/>
                <w:sz w:val="16"/>
                <w:szCs w:val="16"/>
              </w:rPr>
              <w:t>Estimated Annual Respondents</w:t>
            </w:r>
          </w:p>
          <w:p w:rsidR="00954CEE" w:rsidRPr="00B97EAF" w14:paraId="0C6076E1" w14:textId="77777777">
            <w:pPr>
              <w:spacing w:line="256" w:lineRule="auto"/>
              <w:jc w:val="center"/>
              <w:rPr>
                <w:rFonts w:ascii="Arial" w:hAnsi="Arial" w:cs="Arial"/>
                <w:b/>
                <w:sz w:val="16"/>
                <w:szCs w:val="16"/>
              </w:rPr>
            </w:pPr>
          </w:p>
          <w:p w:rsidR="00954CEE" w:rsidRPr="00B97EAF" w14:paraId="6BBD4FF5" w14:textId="77777777">
            <w:pPr>
              <w:spacing w:line="256" w:lineRule="auto"/>
              <w:jc w:val="center"/>
              <w:rPr>
                <w:rFonts w:ascii="Arial" w:hAnsi="Arial" w:cs="Arial"/>
                <w:b/>
                <w:sz w:val="16"/>
                <w:szCs w:val="16"/>
              </w:rPr>
            </w:pPr>
          </w:p>
          <w:p w:rsidR="00954CEE" w:rsidRPr="00B97EAF" w14:paraId="58B14903" w14:textId="77777777">
            <w:pPr>
              <w:spacing w:line="256" w:lineRule="auto"/>
              <w:jc w:val="center"/>
              <w:rPr>
                <w:rFonts w:ascii="Arial" w:hAnsi="Arial" w:cs="Arial"/>
                <w:b/>
                <w:sz w:val="16"/>
                <w:szCs w:val="16"/>
              </w:rPr>
            </w:pPr>
            <w:r w:rsidRPr="00B97EAF">
              <w:rPr>
                <w:rFonts w:ascii="Arial" w:hAnsi="Arial" w:cs="Arial"/>
                <w:b/>
                <w:sz w:val="16"/>
                <w:szCs w:val="16"/>
              </w:rPr>
              <w:t>(a)</w:t>
            </w:r>
          </w:p>
        </w:tc>
        <w:tc>
          <w:tcPr>
            <w:tcW w:w="524"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244ADE38" w14:textId="77777777">
            <w:pPr>
              <w:spacing w:line="256" w:lineRule="auto"/>
              <w:jc w:val="center"/>
              <w:rPr>
                <w:rFonts w:ascii="Arial" w:hAnsi="Arial" w:cs="Arial"/>
                <w:b/>
                <w:sz w:val="16"/>
                <w:szCs w:val="16"/>
              </w:rPr>
            </w:pPr>
            <w:r w:rsidRPr="00B97EAF">
              <w:rPr>
                <w:rFonts w:ascii="Arial" w:hAnsi="Arial" w:cs="Arial"/>
                <w:b/>
                <w:sz w:val="16"/>
                <w:szCs w:val="16"/>
              </w:rPr>
              <w:t>Responses per Respondent</w:t>
            </w:r>
          </w:p>
          <w:p w:rsidR="00954CEE" w:rsidRPr="00B97EAF" w14:paraId="673BD3EC" w14:textId="77777777">
            <w:pPr>
              <w:spacing w:line="256" w:lineRule="auto"/>
              <w:jc w:val="center"/>
              <w:rPr>
                <w:rFonts w:ascii="Arial" w:hAnsi="Arial" w:cs="Arial"/>
                <w:b/>
                <w:sz w:val="16"/>
                <w:szCs w:val="16"/>
              </w:rPr>
            </w:pPr>
          </w:p>
          <w:p w:rsidR="00954CEE" w:rsidRPr="00B97EAF" w14:paraId="7D3DECCE" w14:textId="77777777">
            <w:pPr>
              <w:spacing w:line="256" w:lineRule="auto"/>
              <w:jc w:val="center"/>
              <w:rPr>
                <w:rFonts w:ascii="Arial" w:hAnsi="Arial" w:cs="Arial"/>
                <w:b/>
                <w:sz w:val="16"/>
                <w:szCs w:val="16"/>
              </w:rPr>
            </w:pPr>
          </w:p>
          <w:p w:rsidR="00954CEE" w:rsidRPr="00B97EAF" w14:paraId="4BB2A680" w14:textId="77777777">
            <w:pPr>
              <w:spacing w:line="256" w:lineRule="auto"/>
              <w:jc w:val="center"/>
              <w:rPr>
                <w:rFonts w:ascii="Arial" w:hAnsi="Arial" w:cs="Arial"/>
                <w:b/>
                <w:sz w:val="16"/>
                <w:szCs w:val="16"/>
              </w:rPr>
            </w:pPr>
            <w:r w:rsidRPr="00B97EAF">
              <w:rPr>
                <w:rFonts w:ascii="Arial" w:hAnsi="Arial" w:cs="Arial"/>
                <w:b/>
                <w:sz w:val="16"/>
                <w:szCs w:val="16"/>
              </w:rPr>
              <w:t>(b)</w:t>
            </w:r>
          </w:p>
        </w:tc>
        <w:tc>
          <w:tcPr>
            <w:tcW w:w="484"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1FAA6C85" w14:textId="77777777">
            <w:pPr>
              <w:spacing w:line="256" w:lineRule="auto"/>
              <w:jc w:val="center"/>
              <w:rPr>
                <w:rFonts w:ascii="Arial" w:hAnsi="Arial" w:cs="Arial"/>
                <w:b/>
                <w:sz w:val="16"/>
                <w:szCs w:val="16"/>
              </w:rPr>
            </w:pPr>
            <w:r w:rsidRPr="00B97EAF">
              <w:rPr>
                <w:rFonts w:ascii="Arial" w:hAnsi="Arial" w:cs="Arial"/>
                <w:b/>
                <w:sz w:val="16"/>
                <w:szCs w:val="16"/>
              </w:rPr>
              <w:t>Estimated Annual Responses</w:t>
            </w:r>
          </w:p>
          <w:p w:rsidR="00954CEE" w:rsidRPr="00B97EAF" w14:paraId="6811F2FF" w14:textId="77777777">
            <w:pPr>
              <w:spacing w:line="256" w:lineRule="auto"/>
              <w:jc w:val="center"/>
              <w:rPr>
                <w:rFonts w:ascii="Arial" w:hAnsi="Arial" w:cs="Arial"/>
                <w:b/>
                <w:sz w:val="16"/>
                <w:szCs w:val="16"/>
              </w:rPr>
            </w:pPr>
          </w:p>
          <w:p w:rsidR="00954CEE" w:rsidRPr="00B97EAF" w14:paraId="13A401D2" w14:textId="77777777">
            <w:pPr>
              <w:spacing w:line="256" w:lineRule="auto"/>
              <w:jc w:val="center"/>
              <w:rPr>
                <w:rFonts w:ascii="Arial" w:hAnsi="Arial" w:cs="Arial"/>
                <w:b/>
                <w:sz w:val="16"/>
                <w:szCs w:val="16"/>
              </w:rPr>
            </w:pPr>
          </w:p>
          <w:p w:rsidR="00954CEE" w:rsidRPr="00B97EAF" w14:paraId="15E69F52" w14:textId="77777777">
            <w:pPr>
              <w:spacing w:line="256" w:lineRule="auto"/>
              <w:jc w:val="center"/>
              <w:rPr>
                <w:rFonts w:ascii="Arial" w:hAnsi="Arial" w:cs="Arial"/>
                <w:b/>
                <w:sz w:val="16"/>
                <w:szCs w:val="16"/>
              </w:rPr>
            </w:pPr>
            <w:r w:rsidRPr="00B97EAF">
              <w:rPr>
                <w:rFonts w:ascii="Arial" w:hAnsi="Arial" w:cs="Arial"/>
                <w:b/>
                <w:sz w:val="16"/>
                <w:szCs w:val="16"/>
              </w:rPr>
              <w:t>(a) x (b) = (c)</w:t>
            </w:r>
          </w:p>
        </w:tc>
        <w:tc>
          <w:tcPr>
            <w:tcW w:w="484"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4B7AD1F3"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Time for Response (hours)</w:t>
            </w:r>
          </w:p>
          <w:p w:rsidR="00954CEE" w:rsidRPr="00B97EAF" w14:paraId="41D523DB" w14:textId="77777777">
            <w:pPr>
              <w:tabs>
                <w:tab w:val="left" w:pos="-1176"/>
              </w:tabs>
              <w:spacing w:line="256" w:lineRule="auto"/>
              <w:jc w:val="center"/>
              <w:rPr>
                <w:rFonts w:ascii="Arial" w:hAnsi="Arial" w:cs="Arial"/>
                <w:b/>
                <w:sz w:val="16"/>
                <w:szCs w:val="16"/>
              </w:rPr>
            </w:pPr>
          </w:p>
          <w:p w:rsidR="00954CEE" w:rsidRPr="00B97EAF" w14:paraId="28CD5476" w14:textId="77777777">
            <w:pPr>
              <w:spacing w:line="256" w:lineRule="auto"/>
              <w:jc w:val="center"/>
              <w:rPr>
                <w:rFonts w:ascii="Arial" w:hAnsi="Arial" w:cs="Arial"/>
                <w:b/>
                <w:sz w:val="16"/>
                <w:szCs w:val="16"/>
              </w:rPr>
            </w:pPr>
            <w:r w:rsidRPr="00B97EAF">
              <w:rPr>
                <w:rFonts w:ascii="Arial" w:hAnsi="Arial" w:cs="Arial"/>
                <w:b/>
                <w:sz w:val="16"/>
                <w:szCs w:val="16"/>
              </w:rPr>
              <w:t>(d)</w:t>
            </w:r>
          </w:p>
        </w:tc>
        <w:tc>
          <w:tcPr>
            <w:tcW w:w="639"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682E0CC7"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Burden</w:t>
            </w:r>
          </w:p>
          <w:p w:rsidR="00954CEE" w:rsidRPr="00B97EAF" w14:paraId="49AD2D4C"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(hour/year)</w:t>
            </w:r>
          </w:p>
          <w:p w:rsidR="00954CEE" w:rsidRPr="00B97EAF" w14:paraId="13AF91E1" w14:textId="77777777">
            <w:pPr>
              <w:tabs>
                <w:tab w:val="left" w:pos="-1176"/>
              </w:tabs>
              <w:spacing w:line="256" w:lineRule="auto"/>
              <w:jc w:val="center"/>
              <w:rPr>
                <w:rFonts w:ascii="Arial" w:hAnsi="Arial" w:cs="Arial"/>
                <w:b/>
                <w:sz w:val="16"/>
                <w:szCs w:val="16"/>
              </w:rPr>
            </w:pPr>
          </w:p>
          <w:p w:rsidR="00954CEE" w:rsidRPr="00B97EAF" w14:paraId="517C3356" w14:textId="77777777">
            <w:pPr>
              <w:tabs>
                <w:tab w:val="left" w:pos="-1176"/>
              </w:tabs>
              <w:spacing w:line="256" w:lineRule="auto"/>
              <w:rPr>
                <w:rFonts w:ascii="Arial" w:hAnsi="Arial" w:cs="Arial"/>
                <w:b/>
                <w:sz w:val="16"/>
                <w:szCs w:val="16"/>
              </w:rPr>
            </w:pPr>
          </w:p>
          <w:p w:rsidR="00954CEE" w:rsidRPr="00B97EAF" w14:paraId="24CA58D7" w14:textId="77777777">
            <w:pPr>
              <w:spacing w:line="256" w:lineRule="auto"/>
              <w:jc w:val="center"/>
              <w:rPr>
                <w:rFonts w:ascii="Arial" w:hAnsi="Arial" w:cs="Arial"/>
                <w:b/>
                <w:sz w:val="16"/>
                <w:szCs w:val="16"/>
              </w:rPr>
            </w:pPr>
            <w:r w:rsidRPr="00B97EAF">
              <w:rPr>
                <w:rFonts w:ascii="Arial" w:hAnsi="Arial" w:cs="Arial"/>
                <w:b/>
                <w:sz w:val="16"/>
                <w:szCs w:val="16"/>
              </w:rPr>
              <w:t xml:space="preserve">(c) x (d) = (e) </w:t>
            </w:r>
          </w:p>
        </w:tc>
        <w:tc>
          <w:tcPr>
            <w:tcW w:w="364"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01BEE77B" w14:textId="77777777">
            <w:pPr>
              <w:tabs>
                <w:tab w:val="left" w:pos="-1176"/>
              </w:tabs>
              <w:spacing w:line="256" w:lineRule="auto"/>
              <w:jc w:val="center"/>
              <w:rPr>
                <w:rFonts w:ascii="Arial" w:hAnsi="Arial" w:cs="Arial"/>
                <w:b/>
                <w:sz w:val="16"/>
                <w:szCs w:val="16"/>
              </w:rPr>
            </w:pPr>
            <w:r w:rsidRPr="786EC198">
              <w:rPr>
                <w:rFonts w:ascii="Arial" w:hAnsi="Arial" w:cs="Arial"/>
                <w:b/>
                <w:bCs/>
                <w:sz w:val="16"/>
                <w:szCs w:val="16"/>
              </w:rPr>
              <w:t>Rate</w:t>
            </w:r>
            <w:r>
              <w:rPr>
                <w:rFonts w:ascii="Arial" w:hAnsi="Arial" w:cs="Arial"/>
                <w:b/>
                <w:bCs/>
                <w:sz w:val="16"/>
                <w:szCs w:val="16"/>
                <w:vertAlign w:val="superscript"/>
              </w:rPr>
              <w:footnoteReference w:id="5"/>
            </w:r>
          </w:p>
          <w:p w:rsidR="00954CEE" w:rsidRPr="00B97EAF" w14:paraId="13C31614"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($/hour)</w:t>
            </w:r>
          </w:p>
          <w:p w:rsidR="00954CEE" w:rsidRPr="00B97EAF" w14:paraId="3E32C02E" w14:textId="77777777">
            <w:pPr>
              <w:tabs>
                <w:tab w:val="left" w:pos="-1176"/>
              </w:tabs>
              <w:spacing w:line="256" w:lineRule="auto"/>
              <w:jc w:val="center"/>
              <w:rPr>
                <w:rFonts w:ascii="Arial" w:hAnsi="Arial" w:cs="Arial"/>
                <w:b/>
                <w:sz w:val="16"/>
                <w:szCs w:val="16"/>
              </w:rPr>
            </w:pPr>
          </w:p>
          <w:p w:rsidR="00954CEE" w:rsidRPr="00B97EAF" w14:paraId="3C03770F" w14:textId="77777777">
            <w:pPr>
              <w:tabs>
                <w:tab w:val="left" w:pos="-1176"/>
              </w:tabs>
              <w:spacing w:line="256" w:lineRule="auto"/>
              <w:jc w:val="center"/>
              <w:rPr>
                <w:rFonts w:ascii="Arial" w:hAnsi="Arial" w:cs="Arial"/>
                <w:b/>
                <w:sz w:val="16"/>
                <w:szCs w:val="16"/>
              </w:rPr>
            </w:pPr>
          </w:p>
          <w:p w:rsidR="00954CEE" w:rsidRPr="00B97EAF" w14:paraId="6BFB45D3" w14:textId="77777777">
            <w:pPr>
              <w:tabs>
                <w:tab w:val="left" w:pos="-1176"/>
              </w:tabs>
              <w:spacing w:line="256" w:lineRule="auto"/>
              <w:rPr>
                <w:rFonts w:ascii="Arial" w:hAnsi="Arial" w:cs="Arial"/>
                <w:b/>
                <w:sz w:val="16"/>
                <w:szCs w:val="16"/>
              </w:rPr>
            </w:pPr>
          </w:p>
          <w:p w:rsidR="00954CEE" w:rsidRPr="00B97EAF" w14:paraId="21B2A584" w14:textId="77777777">
            <w:pPr>
              <w:spacing w:line="256" w:lineRule="auto"/>
              <w:jc w:val="center"/>
              <w:rPr>
                <w:rFonts w:ascii="Arial" w:hAnsi="Arial" w:cs="Arial"/>
                <w:b/>
                <w:sz w:val="16"/>
                <w:szCs w:val="16"/>
              </w:rPr>
            </w:pPr>
            <w:r w:rsidRPr="00B97EAF">
              <w:rPr>
                <w:rFonts w:ascii="Arial" w:hAnsi="Arial" w:cs="Arial"/>
                <w:b/>
                <w:sz w:val="16"/>
                <w:szCs w:val="16"/>
              </w:rPr>
              <w:t>(f)</w:t>
            </w:r>
          </w:p>
        </w:tc>
        <w:tc>
          <w:tcPr>
            <w:tcW w:w="772"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54CEE" w:rsidRPr="00B97EAF" w14:paraId="5D848827" w14:textId="77777777">
            <w:pPr>
              <w:tabs>
                <w:tab w:val="left" w:pos="-1176"/>
              </w:tabs>
              <w:spacing w:line="256" w:lineRule="auto"/>
              <w:jc w:val="center"/>
              <w:rPr>
                <w:rFonts w:ascii="Arial" w:hAnsi="Arial" w:cs="Arial"/>
                <w:b/>
                <w:sz w:val="16"/>
                <w:szCs w:val="16"/>
              </w:rPr>
            </w:pPr>
            <w:r w:rsidRPr="00B97EAF">
              <w:rPr>
                <w:rFonts w:ascii="Arial" w:hAnsi="Arial" w:cs="Arial"/>
                <w:b/>
                <w:sz w:val="16"/>
                <w:szCs w:val="16"/>
              </w:rPr>
              <w:t>Estimated Annual Respondent Cost Burden</w:t>
            </w:r>
          </w:p>
          <w:p w:rsidR="00954CEE" w:rsidRPr="00B97EAF" w14:paraId="406819C8" w14:textId="77777777">
            <w:pPr>
              <w:tabs>
                <w:tab w:val="left" w:pos="-1176"/>
              </w:tabs>
              <w:spacing w:line="256" w:lineRule="auto"/>
              <w:jc w:val="center"/>
              <w:rPr>
                <w:rFonts w:ascii="Arial" w:hAnsi="Arial" w:cs="Arial"/>
                <w:b/>
                <w:sz w:val="16"/>
                <w:szCs w:val="16"/>
              </w:rPr>
            </w:pPr>
          </w:p>
          <w:p w:rsidR="00954CEE" w:rsidRPr="00B97EAF" w14:paraId="74B1F0C9" w14:textId="77777777">
            <w:pPr>
              <w:spacing w:line="256" w:lineRule="auto"/>
              <w:jc w:val="center"/>
              <w:rPr>
                <w:rFonts w:ascii="Arial" w:hAnsi="Arial" w:cs="Arial"/>
                <w:b/>
                <w:sz w:val="16"/>
                <w:szCs w:val="16"/>
              </w:rPr>
            </w:pPr>
            <w:r w:rsidRPr="00B97EAF">
              <w:rPr>
                <w:rFonts w:ascii="Arial" w:hAnsi="Arial" w:cs="Arial"/>
                <w:b/>
                <w:sz w:val="16"/>
                <w:szCs w:val="16"/>
              </w:rPr>
              <w:t>(e) x (f) = (g)</w:t>
            </w:r>
          </w:p>
        </w:tc>
      </w:tr>
      <w:tr w14:paraId="41548227" w14:textId="77777777" w:rsidTr="786EC198">
        <w:tblPrEx>
          <w:tblW w:w="5965" w:type="pct"/>
          <w:tblLook w:val="04A0"/>
        </w:tblPrEx>
        <w:trPr>
          <w:cantSplit/>
          <w:trHeight w:val="300"/>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A485D2E" w14:textId="77777777">
            <w:pPr>
              <w:spacing w:line="256" w:lineRule="auto"/>
              <w:jc w:val="center"/>
              <w:rPr>
                <w:rFonts w:ascii="Arial" w:hAnsi="Arial" w:cs="Arial"/>
                <w:b/>
                <w:sz w:val="16"/>
                <w:szCs w:val="16"/>
              </w:rPr>
            </w:pPr>
            <w:r w:rsidRPr="00B97EAF">
              <w:rPr>
                <w:rFonts w:ascii="Arial" w:hAnsi="Arial" w:cs="Arial"/>
                <w:b/>
                <w:sz w:val="16"/>
                <w:szCs w:val="16"/>
              </w:rPr>
              <w:t>1</w:t>
            </w:r>
          </w:p>
        </w:tc>
        <w:tc>
          <w:tcPr>
            <w:tcW w:w="903"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52B91F6" w14:textId="77777777">
            <w:pPr>
              <w:spacing w:line="256" w:lineRule="auto"/>
              <w:rPr>
                <w:rFonts w:ascii="Arial" w:hAnsi="Arial" w:cs="Arial"/>
                <w:bCs/>
                <w:sz w:val="16"/>
                <w:szCs w:val="16"/>
              </w:rPr>
            </w:pPr>
            <w:r w:rsidRPr="00B97EAF">
              <w:rPr>
                <w:rFonts w:ascii="Arial" w:hAnsi="Arial" w:eastAsiaTheme="minorHAnsi" w:cs="Arial"/>
                <w:bCs/>
                <w:sz w:val="16"/>
                <w:szCs w:val="16"/>
              </w:rPr>
              <w:t>DOCX submission of Original New Utility Applications</w:t>
            </w:r>
          </w:p>
        </w:tc>
        <w:tc>
          <w:tcPr>
            <w:tcW w:w="58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238B8BEC" w14:textId="77777777">
            <w:pPr>
              <w:spacing w:line="256" w:lineRule="auto"/>
              <w:jc w:val="right"/>
              <w:rPr>
                <w:rFonts w:ascii="Arial" w:hAnsi="Arial" w:cs="Arial"/>
                <w:bCs/>
                <w:sz w:val="16"/>
                <w:szCs w:val="16"/>
              </w:rPr>
            </w:pPr>
            <w:r w:rsidRPr="00B97EAF">
              <w:rPr>
                <w:rFonts w:ascii="Arial" w:hAnsi="Arial" w:cs="Arial"/>
                <w:sz w:val="16"/>
                <w:szCs w:val="16"/>
              </w:rPr>
              <w:t>5,420</w:t>
            </w:r>
          </w:p>
        </w:tc>
        <w:tc>
          <w:tcPr>
            <w:tcW w:w="52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B839275" w14:textId="77777777">
            <w:pPr>
              <w:spacing w:line="256" w:lineRule="auto"/>
              <w:jc w:val="right"/>
              <w:rPr>
                <w:rFonts w:ascii="Arial" w:hAnsi="Arial" w:cs="Arial"/>
                <w:sz w:val="16"/>
                <w:szCs w:val="16"/>
              </w:rPr>
            </w:pPr>
            <w:r w:rsidRPr="00B97EAF">
              <w:rPr>
                <w:rFonts w:ascii="Arial" w:hAnsi="Arial" w:cs="Arial"/>
                <w:sz w:val="16"/>
                <w:szCs w:val="16"/>
              </w:rPr>
              <w:t>1</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1967569" w14:textId="77777777">
            <w:pPr>
              <w:spacing w:line="256" w:lineRule="auto"/>
              <w:jc w:val="right"/>
              <w:rPr>
                <w:rFonts w:ascii="Arial" w:hAnsi="Arial" w:cs="Arial"/>
                <w:sz w:val="16"/>
                <w:szCs w:val="16"/>
              </w:rPr>
            </w:pPr>
            <w:r w:rsidRPr="00B97EAF">
              <w:rPr>
                <w:rFonts w:ascii="Arial" w:hAnsi="Arial" w:cs="Arial"/>
                <w:sz w:val="16"/>
                <w:szCs w:val="16"/>
              </w:rPr>
              <w:t>5,420</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4230DFE" w14:textId="07109940">
            <w:pPr>
              <w:spacing w:line="256" w:lineRule="auto"/>
              <w:jc w:val="right"/>
              <w:rPr>
                <w:rFonts w:ascii="Arial" w:hAnsi="Arial" w:cs="Arial"/>
                <w:sz w:val="16"/>
                <w:szCs w:val="16"/>
              </w:rPr>
            </w:pPr>
            <w:r w:rsidRPr="6A9BA041">
              <w:rPr>
                <w:rFonts w:ascii="Arial" w:hAnsi="Arial" w:cs="Arial"/>
                <w:sz w:val="16"/>
                <w:szCs w:val="16"/>
              </w:rPr>
              <w:t xml:space="preserve"> </w:t>
            </w:r>
            <w:r w:rsidRPr="6A9BA041" w:rsidR="40DCDE5B">
              <w:rPr>
                <w:rFonts w:ascii="Arial" w:hAnsi="Arial" w:cs="Arial"/>
                <w:sz w:val="16"/>
                <w:szCs w:val="16"/>
              </w:rPr>
              <w:t xml:space="preserve"> 0.50</w:t>
            </w:r>
          </w:p>
        </w:tc>
        <w:tc>
          <w:tcPr>
            <w:tcW w:w="639"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FDCA2BE" w14:textId="76B36964">
            <w:pPr>
              <w:spacing w:line="256" w:lineRule="auto"/>
              <w:jc w:val="right"/>
              <w:rPr>
                <w:rFonts w:ascii="Arial" w:hAnsi="Arial" w:cs="Arial"/>
                <w:sz w:val="16"/>
                <w:szCs w:val="16"/>
              </w:rPr>
            </w:pPr>
            <w:r w:rsidRPr="6A9BA041">
              <w:rPr>
                <w:rFonts w:ascii="Arial" w:hAnsi="Arial" w:cs="Arial"/>
                <w:sz w:val="16"/>
                <w:szCs w:val="16"/>
              </w:rPr>
              <w:t>2,710</w:t>
            </w:r>
          </w:p>
        </w:tc>
        <w:tc>
          <w:tcPr>
            <w:tcW w:w="36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E5C01DB"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7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ABFF631" w14:textId="319FAD7C">
            <w:pPr>
              <w:spacing w:line="256" w:lineRule="auto"/>
              <w:jc w:val="right"/>
              <w:rPr>
                <w:rFonts w:ascii="Arial" w:hAnsi="Arial" w:cs="Arial"/>
                <w:sz w:val="16"/>
                <w:szCs w:val="16"/>
              </w:rPr>
            </w:pPr>
            <w:r w:rsidRPr="6A9BA041">
              <w:rPr>
                <w:rFonts w:ascii="Arial" w:hAnsi="Arial" w:cs="Arial"/>
                <w:sz w:val="16"/>
                <w:szCs w:val="16"/>
              </w:rPr>
              <w:t xml:space="preserve"> $1,178,850</w:t>
            </w:r>
          </w:p>
        </w:tc>
      </w:tr>
      <w:tr w14:paraId="30F76646" w14:textId="77777777" w:rsidTr="786EC198">
        <w:tblPrEx>
          <w:tblW w:w="5965" w:type="pct"/>
          <w:tblLook w:val="04A0"/>
        </w:tblPrEx>
        <w:trPr>
          <w:cantSplit/>
          <w:trHeight w:val="300"/>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211EF87" w14:textId="77777777">
            <w:pPr>
              <w:spacing w:line="256" w:lineRule="auto"/>
              <w:jc w:val="center"/>
              <w:rPr>
                <w:rFonts w:ascii="Arial" w:hAnsi="Arial" w:cs="Arial"/>
                <w:b/>
                <w:sz w:val="16"/>
                <w:szCs w:val="16"/>
              </w:rPr>
            </w:pPr>
            <w:r w:rsidRPr="00B97EAF">
              <w:rPr>
                <w:rFonts w:ascii="Arial" w:hAnsi="Arial" w:cs="Arial"/>
                <w:b/>
                <w:sz w:val="16"/>
                <w:szCs w:val="16"/>
              </w:rPr>
              <w:t>2</w:t>
            </w:r>
          </w:p>
        </w:tc>
        <w:tc>
          <w:tcPr>
            <w:tcW w:w="903"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51EF451" w14:textId="4D57AC8C">
            <w:pPr>
              <w:spacing w:line="256" w:lineRule="auto"/>
              <w:rPr>
                <w:rFonts w:ascii="Arial" w:hAnsi="Arial" w:cs="Arial"/>
                <w:bCs/>
                <w:sz w:val="16"/>
                <w:szCs w:val="16"/>
              </w:rPr>
            </w:pPr>
            <w:r w:rsidRPr="00B97EAF">
              <w:rPr>
                <w:rFonts w:ascii="Arial" w:hAnsi="Arial" w:eastAsiaTheme="minorHAnsi" w:cs="Arial"/>
                <w:bCs/>
                <w:sz w:val="16"/>
                <w:szCs w:val="16"/>
              </w:rPr>
              <w:t xml:space="preserve">DOCX submission </w:t>
            </w:r>
            <w:r w:rsidR="00AA06FD">
              <w:rPr>
                <w:rFonts w:ascii="Arial" w:hAnsi="Arial" w:eastAsiaTheme="minorHAnsi" w:cs="Arial"/>
                <w:bCs/>
                <w:sz w:val="16"/>
                <w:szCs w:val="16"/>
              </w:rPr>
              <w:t xml:space="preserve">of Utility </w:t>
            </w:r>
            <w:r w:rsidRPr="00B97EAF">
              <w:rPr>
                <w:rFonts w:ascii="Arial" w:hAnsi="Arial" w:eastAsiaTheme="minorHAnsi" w:cs="Arial"/>
                <w:bCs/>
                <w:sz w:val="16"/>
                <w:szCs w:val="16"/>
              </w:rPr>
              <w:t>Continuation/Divisional of an International Application</w:t>
            </w:r>
          </w:p>
        </w:tc>
        <w:tc>
          <w:tcPr>
            <w:tcW w:w="58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F8FC54D" w14:textId="77777777">
            <w:pPr>
              <w:spacing w:line="256" w:lineRule="auto"/>
              <w:jc w:val="right"/>
              <w:rPr>
                <w:rFonts w:ascii="Arial" w:hAnsi="Arial" w:cs="Arial"/>
                <w:bCs/>
                <w:sz w:val="16"/>
                <w:szCs w:val="16"/>
              </w:rPr>
            </w:pPr>
            <w:r w:rsidRPr="00B97EAF">
              <w:rPr>
                <w:rFonts w:ascii="Arial" w:hAnsi="Arial" w:cs="Arial"/>
                <w:sz w:val="16"/>
                <w:szCs w:val="16"/>
              </w:rPr>
              <w:t>192</w:t>
            </w:r>
          </w:p>
        </w:tc>
        <w:tc>
          <w:tcPr>
            <w:tcW w:w="52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991212B" w14:textId="77777777">
            <w:pPr>
              <w:spacing w:line="256" w:lineRule="auto"/>
              <w:jc w:val="right"/>
              <w:rPr>
                <w:rFonts w:ascii="Arial" w:hAnsi="Arial" w:cs="Arial"/>
                <w:sz w:val="16"/>
                <w:szCs w:val="16"/>
              </w:rPr>
            </w:pPr>
            <w:r w:rsidRPr="00B97EAF">
              <w:rPr>
                <w:rFonts w:ascii="Arial" w:hAnsi="Arial" w:cs="Arial"/>
                <w:sz w:val="16"/>
                <w:szCs w:val="16"/>
              </w:rPr>
              <w:t>1</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4FB254BF" w14:textId="77777777">
            <w:pPr>
              <w:spacing w:line="256" w:lineRule="auto"/>
              <w:jc w:val="right"/>
              <w:rPr>
                <w:rFonts w:ascii="Arial" w:hAnsi="Arial" w:cs="Arial"/>
                <w:sz w:val="16"/>
                <w:szCs w:val="16"/>
              </w:rPr>
            </w:pPr>
            <w:r w:rsidRPr="00B97EAF">
              <w:rPr>
                <w:rFonts w:ascii="Arial" w:hAnsi="Arial" w:cs="Arial"/>
                <w:sz w:val="16"/>
                <w:szCs w:val="16"/>
              </w:rPr>
              <w:t>192</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76A1369" w14:textId="326BBABC">
            <w:pPr>
              <w:spacing w:line="256" w:lineRule="auto"/>
              <w:jc w:val="right"/>
              <w:rPr>
                <w:rFonts w:ascii="Arial" w:hAnsi="Arial" w:cs="Arial"/>
                <w:sz w:val="16"/>
                <w:szCs w:val="16"/>
              </w:rPr>
            </w:pPr>
            <w:r w:rsidRPr="6A9BA041">
              <w:rPr>
                <w:rFonts w:ascii="Arial" w:hAnsi="Arial" w:cs="Arial"/>
                <w:sz w:val="16"/>
                <w:szCs w:val="16"/>
              </w:rPr>
              <w:t xml:space="preserve"> </w:t>
            </w:r>
            <w:r w:rsidRPr="6A9BA041" w:rsidR="16A9618A">
              <w:rPr>
                <w:rFonts w:ascii="Arial" w:hAnsi="Arial" w:cs="Arial"/>
                <w:sz w:val="16"/>
                <w:szCs w:val="16"/>
              </w:rPr>
              <w:t xml:space="preserve"> 0.50</w:t>
            </w:r>
          </w:p>
        </w:tc>
        <w:tc>
          <w:tcPr>
            <w:tcW w:w="639"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B774577" w14:textId="27D39162">
            <w:pPr>
              <w:spacing w:line="256" w:lineRule="auto"/>
              <w:jc w:val="right"/>
              <w:rPr>
                <w:rFonts w:ascii="Arial" w:hAnsi="Arial" w:cs="Arial"/>
                <w:sz w:val="16"/>
                <w:szCs w:val="16"/>
              </w:rPr>
            </w:pPr>
            <w:r w:rsidRPr="6A9BA041">
              <w:rPr>
                <w:rFonts w:ascii="Arial" w:hAnsi="Arial" w:cs="Arial"/>
                <w:sz w:val="16"/>
                <w:szCs w:val="16"/>
              </w:rPr>
              <w:t xml:space="preserve"> 96</w:t>
            </w:r>
          </w:p>
        </w:tc>
        <w:tc>
          <w:tcPr>
            <w:tcW w:w="36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79B0A10C"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7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081F39C1" w14:textId="5E9AC265">
            <w:pPr>
              <w:spacing w:line="256" w:lineRule="auto"/>
              <w:jc w:val="right"/>
              <w:rPr>
                <w:rFonts w:ascii="Arial" w:hAnsi="Arial" w:cs="Arial"/>
                <w:sz w:val="16"/>
                <w:szCs w:val="16"/>
              </w:rPr>
            </w:pPr>
            <w:r w:rsidRPr="6A9BA041">
              <w:rPr>
                <w:rFonts w:ascii="Arial" w:hAnsi="Arial" w:cs="Arial"/>
                <w:sz w:val="16"/>
                <w:szCs w:val="16"/>
              </w:rPr>
              <w:t xml:space="preserve"> $41,760</w:t>
            </w:r>
          </w:p>
        </w:tc>
      </w:tr>
      <w:tr w14:paraId="055E5F39" w14:textId="77777777" w:rsidTr="786EC198">
        <w:tblPrEx>
          <w:tblW w:w="5965" w:type="pct"/>
          <w:tblLook w:val="04A0"/>
        </w:tblPrEx>
        <w:trPr>
          <w:cantSplit/>
          <w:trHeight w:val="285"/>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E1B5802" w14:textId="77777777">
            <w:pPr>
              <w:spacing w:line="256" w:lineRule="auto"/>
              <w:jc w:val="center"/>
              <w:rPr>
                <w:rFonts w:ascii="Arial" w:hAnsi="Arial" w:cs="Arial"/>
                <w:b/>
                <w:sz w:val="16"/>
                <w:szCs w:val="16"/>
              </w:rPr>
            </w:pPr>
            <w:r w:rsidRPr="00B97EAF">
              <w:rPr>
                <w:rFonts w:ascii="Arial" w:hAnsi="Arial" w:cs="Arial"/>
                <w:b/>
                <w:sz w:val="16"/>
                <w:szCs w:val="16"/>
              </w:rPr>
              <w:t>3</w:t>
            </w:r>
          </w:p>
        </w:tc>
        <w:tc>
          <w:tcPr>
            <w:tcW w:w="903"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A0C10A2" w14:textId="0194B486">
            <w:pPr>
              <w:spacing w:line="256" w:lineRule="auto"/>
              <w:rPr>
                <w:rFonts w:ascii="Arial" w:hAnsi="Arial" w:cs="Arial"/>
                <w:bCs/>
                <w:sz w:val="16"/>
                <w:szCs w:val="16"/>
              </w:rPr>
            </w:pPr>
            <w:r w:rsidRPr="00B97EAF">
              <w:rPr>
                <w:rFonts w:ascii="Arial" w:hAnsi="Arial" w:eastAsiaTheme="minorHAnsi" w:cs="Arial"/>
                <w:bCs/>
                <w:sz w:val="16"/>
                <w:szCs w:val="16"/>
              </w:rPr>
              <w:t xml:space="preserve">DOCX submission </w:t>
            </w:r>
            <w:r w:rsidR="00AA06FD">
              <w:rPr>
                <w:rFonts w:ascii="Arial" w:hAnsi="Arial" w:eastAsiaTheme="minorHAnsi" w:cs="Arial"/>
                <w:bCs/>
                <w:sz w:val="16"/>
                <w:szCs w:val="16"/>
              </w:rPr>
              <w:t xml:space="preserve">of </w:t>
            </w:r>
            <w:r w:rsidRPr="00B97EAF">
              <w:rPr>
                <w:rFonts w:ascii="Arial" w:hAnsi="Arial" w:eastAsiaTheme="minorHAnsi" w:cs="Arial"/>
                <w:bCs/>
                <w:sz w:val="16"/>
                <w:szCs w:val="16"/>
              </w:rPr>
              <w:t>Utility Continuation/Divisional Applications</w:t>
            </w:r>
          </w:p>
        </w:tc>
        <w:tc>
          <w:tcPr>
            <w:tcW w:w="585"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5BE6CA67" w14:textId="77777777">
            <w:pPr>
              <w:spacing w:line="256" w:lineRule="auto"/>
              <w:jc w:val="right"/>
              <w:rPr>
                <w:rFonts w:ascii="Arial" w:hAnsi="Arial" w:cs="Arial"/>
                <w:bCs/>
                <w:sz w:val="16"/>
                <w:szCs w:val="16"/>
              </w:rPr>
            </w:pPr>
            <w:r w:rsidRPr="00B97EAF">
              <w:rPr>
                <w:rFonts w:ascii="Arial" w:hAnsi="Arial" w:cs="Arial"/>
                <w:sz w:val="16"/>
                <w:szCs w:val="16"/>
              </w:rPr>
              <w:t>1,813</w:t>
            </w:r>
          </w:p>
        </w:tc>
        <w:tc>
          <w:tcPr>
            <w:tcW w:w="52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FEFAA0F" w14:textId="77777777">
            <w:pPr>
              <w:spacing w:line="256" w:lineRule="auto"/>
              <w:jc w:val="right"/>
              <w:rPr>
                <w:rFonts w:ascii="Arial" w:hAnsi="Arial" w:cs="Arial"/>
                <w:sz w:val="16"/>
                <w:szCs w:val="16"/>
              </w:rPr>
            </w:pPr>
            <w:r w:rsidRPr="00B97EAF">
              <w:rPr>
                <w:rFonts w:ascii="Arial" w:hAnsi="Arial" w:cs="Arial"/>
                <w:sz w:val="16"/>
                <w:szCs w:val="16"/>
              </w:rPr>
              <w:t>1</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685BD6B7" w14:textId="77777777">
            <w:pPr>
              <w:spacing w:line="256" w:lineRule="auto"/>
              <w:jc w:val="right"/>
              <w:rPr>
                <w:rFonts w:ascii="Arial" w:hAnsi="Arial" w:cs="Arial"/>
                <w:sz w:val="16"/>
                <w:szCs w:val="16"/>
              </w:rPr>
            </w:pPr>
            <w:r w:rsidRPr="00B97EAF">
              <w:rPr>
                <w:rFonts w:ascii="Arial" w:hAnsi="Arial" w:cs="Arial"/>
                <w:sz w:val="16"/>
                <w:szCs w:val="16"/>
              </w:rPr>
              <w:t>1,813</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B97EAF" w:rsidP="6A9BA041" w14:paraId="26491F72" w14:textId="6F7E54C1">
            <w:pPr>
              <w:spacing w:line="256" w:lineRule="auto"/>
              <w:jc w:val="right"/>
              <w:rPr>
                <w:rFonts w:ascii="Arial" w:eastAsia="Arial" w:hAnsi="Arial" w:cs="Arial"/>
                <w:sz w:val="16"/>
                <w:szCs w:val="16"/>
              </w:rPr>
            </w:pPr>
            <w:r w:rsidRPr="6A9BA041">
              <w:rPr>
                <w:rFonts w:ascii="Arial" w:hAnsi="Arial" w:cs="Arial"/>
                <w:sz w:val="16"/>
                <w:szCs w:val="16"/>
              </w:rPr>
              <w:t xml:space="preserve"> 0.50</w:t>
            </w:r>
          </w:p>
        </w:tc>
        <w:tc>
          <w:tcPr>
            <w:tcW w:w="639"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5E4820A5" w14:textId="00206AF2">
            <w:pPr>
              <w:spacing w:line="256" w:lineRule="auto"/>
              <w:jc w:val="right"/>
              <w:rPr>
                <w:rFonts w:ascii="Arial" w:hAnsi="Arial" w:cs="Arial"/>
                <w:sz w:val="16"/>
                <w:szCs w:val="16"/>
              </w:rPr>
            </w:pPr>
            <w:r w:rsidRPr="6A9BA041">
              <w:rPr>
                <w:rFonts w:ascii="Arial" w:hAnsi="Arial" w:cs="Arial"/>
                <w:sz w:val="16"/>
                <w:szCs w:val="16"/>
              </w:rPr>
              <w:t>907</w:t>
            </w:r>
          </w:p>
        </w:tc>
        <w:tc>
          <w:tcPr>
            <w:tcW w:w="364"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101937AE" w14:textId="77777777">
            <w:pPr>
              <w:spacing w:line="256" w:lineRule="auto"/>
              <w:jc w:val="right"/>
              <w:rPr>
                <w:rFonts w:ascii="Arial" w:hAnsi="Arial" w:cs="Arial"/>
                <w:sz w:val="16"/>
                <w:szCs w:val="16"/>
              </w:rPr>
            </w:pPr>
            <w:r w:rsidRPr="00B97EAF">
              <w:rPr>
                <w:rFonts w:ascii="Arial" w:hAnsi="Arial" w:cs="Arial"/>
                <w:sz w:val="16"/>
                <w:szCs w:val="16"/>
              </w:rPr>
              <w:t>$435</w:t>
            </w:r>
          </w:p>
        </w:tc>
        <w:tc>
          <w:tcPr>
            <w:tcW w:w="772" w:type="pct"/>
            <w:tcBorders>
              <w:top w:val="single" w:sz="4" w:space="0" w:color="auto"/>
              <w:left w:val="single" w:sz="4" w:space="0" w:color="auto"/>
              <w:bottom w:val="single" w:sz="4" w:space="0" w:color="auto"/>
              <w:right w:val="single" w:sz="4" w:space="0" w:color="auto"/>
            </w:tcBorders>
            <w:vAlign w:val="center"/>
            <w:hideMark/>
          </w:tcPr>
          <w:p w:rsidR="001F6E90" w:rsidRPr="00B97EAF" w:rsidP="001F6E90" w14:paraId="3279CA9B" w14:textId="00DC7C20">
            <w:pPr>
              <w:spacing w:line="256" w:lineRule="auto"/>
              <w:jc w:val="right"/>
              <w:rPr>
                <w:rFonts w:ascii="Arial" w:hAnsi="Arial" w:cs="Arial"/>
                <w:sz w:val="16"/>
                <w:szCs w:val="16"/>
              </w:rPr>
            </w:pPr>
            <w:r w:rsidRPr="6A9BA041">
              <w:rPr>
                <w:rFonts w:ascii="Arial" w:hAnsi="Arial" w:cs="Arial"/>
                <w:sz w:val="16"/>
                <w:szCs w:val="16"/>
              </w:rPr>
              <w:t>$394,545</w:t>
            </w:r>
          </w:p>
        </w:tc>
      </w:tr>
      <w:tr w14:paraId="7EBE88D1" w14:textId="77777777" w:rsidTr="786EC198">
        <w:tblPrEx>
          <w:tblW w:w="5965" w:type="pct"/>
          <w:tblLook w:val="04A0"/>
        </w:tblPrEx>
        <w:trPr>
          <w:cantSplit/>
          <w:trHeight w:val="300"/>
        </w:trPr>
        <w:tc>
          <w:tcPr>
            <w:tcW w:w="245"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1077C90E" w14:textId="77777777">
            <w:pPr>
              <w:spacing w:line="256" w:lineRule="auto"/>
              <w:jc w:val="center"/>
              <w:rPr>
                <w:rFonts w:ascii="Arial" w:hAnsi="Arial" w:cs="Arial"/>
                <w:b/>
                <w:sz w:val="16"/>
                <w:szCs w:val="16"/>
              </w:rPr>
            </w:pPr>
            <w:r w:rsidRPr="00EA65E0">
              <w:rPr>
                <w:rFonts w:ascii="Arial" w:hAnsi="Arial" w:cs="Arial"/>
                <w:b/>
                <w:sz w:val="16"/>
                <w:szCs w:val="16"/>
              </w:rPr>
              <w:t>4</w:t>
            </w:r>
          </w:p>
        </w:tc>
        <w:tc>
          <w:tcPr>
            <w:tcW w:w="903"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5E68CC2A" w14:textId="02537342">
            <w:pPr>
              <w:spacing w:line="256" w:lineRule="auto"/>
              <w:rPr>
                <w:rFonts w:ascii="Arial" w:hAnsi="Arial" w:cs="Arial"/>
                <w:bCs/>
                <w:sz w:val="16"/>
                <w:szCs w:val="16"/>
              </w:rPr>
            </w:pPr>
            <w:r w:rsidRPr="00EA65E0">
              <w:rPr>
                <w:rFonts w:ascii="Arial" w:hAnsi="Arial" w:eastAsiaTheme="minorHAnsi" w:cs="Arial"/>
                <w:bCs/>
                <w:sz w:val="16"/>
                <w:szCs w:val="16"/>
              </w:rPr>
              <w:t xml:space="preserve">DOCX submission </w:t>
            </w:r>
            <w:r w:rsidR="00AA06FD">
              <w:rPr>
                <w:rFonts w:ascii="Arial" w:hAnsi="Arial" w:eastAsiaTheme="minorHAnsi" w:cs="Arial"/>
                <w:bCs/>
                <w:sz w:val="16"/>
                <w:szCs w:val="16"/>
              </w:rPr>
              <w:t xml:space="preserve">of </w:t>
            </w:r>
            <w:r w:rsidRPr="00EA65E0">
              <w:rPr>
                <w:rFonts w:ascii="Arial" w:hAnsi="Arial" w:eastAsiaTheme="minorHAnsi" w:cs="Arial"/>
                <w:bCs/>
                <w:sz w:val="16"/>
                <w:szCs w:val="16"/>
              </w:rPr>
              <w:t>Utility Continuation-in-Part Applications</w:t>
            </w:r>
          </w:p>
        </w:tc>
        <w:tc>
          <w:tcPr>
            <w:tcW w:w="585"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756D5C4B" w14:textId="77777777">
            <w:pPr>
              <w:spacing w:line="256" w:lineRule="auto"/>
              <w:jc w:val="right"/>
              <w:rPr>
                <w:rFonts w:ascii="Arial" w:hAnsi="Arial" w:cs="Arial"/>
                <w:bCs/>
                <w:sz w:val="16"/>
                <w:szCs w:val="16"/>
              </w:rPr>
            </w:pPr>
            <w:r w:rsidRPr="00EA65E0">
              <w:rPr>
                <w:rFonts w:ascii="Arial" w:hAnsi="Arial" w:cs="Arial"/>
                <w:sz w:val="16"/>
                <w:szCs w:val="16"/>
              </w:rPr>
              <w:t>207</w:t>
            </w:r>
          </w:p>
        </w:tc>
        <w:tc>
          <w:tcPr>
            <w:tcW w:w="52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7F7A9ECE" w14:textId="77777777">
            <w:pPr>
              <w:spacing w:line="256" w:lineRule="auto"/>
              <w:jc w:val="right"/>
              <w:rPr>
                <w:rFonts w:ascii="Arial" w:hAnsi="Arial" w:cs="Arial"/>
                <w:sz w:val="16"/>
                <w:szCs w:val="16"/>
              </w:rPr>
            </w:pPr>
            <w:r w:rsidRPr="00EA65E0">
              <w:rPr>
                <w:rFonts w:ascii="Arial" w:hAnsi="Arial" w:cs="Arial"/>
                <w:sz w:val="16"/>
                <w:szCs w:val="16"/>
              </w:rPr>
              <w:t>1</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1E2B44E4" w14:textId="77777777">
            <w:pPr>
              <w:spacing w:line="256" w:lineRule="auto"/>
              <w:jc w:val="right"/>
              <w:rPr>
                <w:rFonts w:ascii="Arial" w:hAnsi="Arial" w:cs="Arial"/>
                <w:sz w:val="16"/>
                <w:szCs w:val="16"/>
              </w:rPr>
            </w:pPr>
            <w:r w:rsidRPr="00EA65E0">
              <w:rPr>
                <w:rFonts w:ascii="Arial" w:hAnsi="Arial" w:cs="Arial"/>
                <w:sz w:val="16"/>
                <w:szCs w:val="16"/>
              </w:rPr>
              <w:t>207</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EA65E0" w:rsidP="6A9BA041" w14:paraId="7CFEA2A3" w14:textId="41387454">
            <w:pPr>
              <w:spacing w:line="256" w:lineRule="auto"/>
              <w:jc w:val="right"/>
              <w:rPr>
                <w:rFonts w:ascii="Arial" w:hAnsi="Arial" w:cs="Arial"/>
                <w:sz w:val="16"/>
                <w:szCs w:val="16"/>
              </w:rPr>
            </w:pPr>
            <w:r w:rsidRPr="6A9BA041">
              <w:rPr>
                <w:rFonts w:ascii="Arial" w:hAnsi="Arial" w:cs="Arial"/>
                <w:sz w:val="16"/>
                <w:szCs w:val="16"/>
              </w:rPr>
              <w:t xml:space="preserve"> 0.50</w:t>
            </w:r>
          </w:p>
        </w:tc>
        <w:tc>
          <w:tcPr>
            <w:tcW w:w="639"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4FB22FD0" w14:textId="2FCC753D">
            <w:pPr>
              <w:spacing w:line="256" w:lineRule="auto"/>
              <w:jc w:val="right"/>
              <w:rPr>
                <w:rFonts w:ascii="Arial" w:hAnsi="Arial" w:cs="Arial"/>
                <w:sz w:val="16"/>
                <w:szCs w:val="16"/>
              </w:rPr>
            </w:pPr>
            <w:r w:rsidRPr="6A9BA041">
              <w:rPr>
                <w:rFonts w:ascii="Arial" w:hAnsi="Arial" w:cs="Arial"/>
                <w:sz w:val="16"/>
                <w:szCs w:val="16"/>
              </w:rPr>
              <w:t>104</w:t>
            </w:r>
          </w:p>
        </w:tc>
        <w:tc>
          <w:tcPr>
            <w:tcW w:w="36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01E12E49" w14:textId="77777777">
            <w:pPr>
              <w:spacing w:line="256" w:lineRule="auto"/>
              <w:jc w:val="right"/>
              <w:rPr>
                <w:rFonts w:ascii="Arial" w:hAnsi="Arial" w:cs="Arial"/>
                <w:sz w:val="16"/>
                <w:szCs w:val="16"/>
              </w:rPr>
            </w:pPr>
            <w:r w:rsidRPr="00EA65E0">
              <w:rPr>
                <w:rFonts w:ascii="Arial" w:hAnsi="Arial" w:cs="Arial"/>
                <w:sz w:val="16"/>
                <w:szCs w:val="16"/>
              </w:rPr>
              <w:t>$435</w:t>
            </w:r>
          </w:p>
        </w:tc>
        <w:tc>
          <w:tcPr>
            <w:tcW w:w="772"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36B95354" w14:textId="5A5ED801">
            <w:pPr>
              <w:spacing w:line="256" w:lineRule="auto"/>
              <w:jc w:val="right"/>
              <w:rPr>
                <w:rFonts w:ascii="Arial" w:hAnsi="Arial" w:cs="Arial"/>
                <w:sz w:val="16"/>
                <w:szCs w:val="16"/>
              </w:rPr>
            </w:pPr>
            <w:r w:rsidRPr="6A9BA041">
              <w:rPr>
                <w:rFonts w:ascii="Arial" w:hAnsi="Arial" w:cs="Arial"/>
                <w:sz w:val="16"/>
                <w:szCs w:val="16"/>
              </w:rPr>
              <w:t>$45,240</w:t>
            </w:r>
          </w:p>
        </w:tc>
      </w:tr>
      <w:tr w14:paraId="6D689B87" w14:textId="77777777" w:rsidTr="786EC198">
        <w:tblPrEx>
          <w:tblW w:w="5965" w:type="pct"/>
          <w:tblLook w:val="04A0"/>
        </w:tblPrEx>
        <w:trPr>
          <w:cantSplit/>
          <w:trHeight w:val="53"/>
        </w:trPr>
        <w:tc>
          <w:tcPr>
            <w:tcW w:w="245" w:type="pct"/>
            <w:tcBorders>
              <w:top w:val="single" w:sz="4" w:space="0" w:color="auto"/>
              <w:left w:val="single" w:sz="4" w:space="0" w:color="auto"/>
              <w:bottom w:val="single" w:sz="4" w:space="0" w:color="auto"/>
              <w:right w:val="single" w:sz="4" w:space="0" w:color="auto"/>
            </w:tcBorders>
            <w:vAlign w:val="center"/>
          </w:tcPr>
          <w:p w:rsidR="001F6E90" w:rsidRPr="00EA65E0" w:rsidP="001F6E90" w14:paraId="6E93BFD2" w14:textId="77777777">
            <w:pPr>
              <w:spacing w:line="256" w:lineRule="auto"/>
              <w:jc w:val="center"/>
              <w:rPr>
                <w:rFonts w:ascii="Arial" w:hAnsi="Arial" w:cs="Arial"/>
                <w:b/>
                <w:sz w:val="16"/>
                <w:szCs w:val="16"/>
              </w:rPr>
            </w:pPr>
          </w:p>
        </w:tc>
        <w:tc>
          <w:tcPr>
            <w:tcW w:w="903"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3532CBE8" w14:textId="77777777">
            <w:pPr>
              <w:spacing w:line="256" w:lineRule="auto"/>
              <w:rPr>
                <w:rFonts w:ascii="Arial" w:hAnsi="Arial" w:cs="Arial"/>
                <w:b/>
                <w:sz w:val="16"/>
                <w:szCs w:val="16"/>
              </w:rPr>
            </w:pPr>
            <w:r w:rsidRPr="00EA65E0">
              <w:rPr>
                <w:rFonts w:ascii="Arial" w:hAnsi="Arial" w:cs="Arial"/>
                <w:b/>
                <w:sz w:val="16"/>
                <w:szCs w:val="16"/>
              </w:rPr>
              <w:t>Totals</w:t>
            </w:r>
          </w:p>
        </w:tc>
        <w:tc>
          <w:tcPr>
            <w:tcW w:w="585"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78C55D6B" w14:textId="77777777">
            <w:pPr>
              <w:spacing w:line="256" w:lineRule="auto"/>
              <w:jc w:val="right"/>
              <w:rPr>
                <w:rFonts w:ascii="Arial" w:hAnsi="Arial" w:cs="Arial"/>
                <w:b/>
                <w:sz w:val="16"/>
                <w:szCs w:val="16"/>
              </w:rPr>
            </w:pPr>
            <w:r w:rsidRPr="00EA65E0">
              <w:rPr>
                <w:rFonts w:ascii="Arial" w:hAnsi="Arial" w:cs="Arial"/>
                <w:b/>
                <w:sz w:val="16"/>
                <w:szCs w:val="16"/>
              </w:rPr>
              <w:t>7,632</w:t>
            </w:r>
          </w:p>
        </w:tc>
        <w:tc>
          <w:tcPr>
            <w:tcW w:w="52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469DBF6B" w14:textId="77777777">
            <w:pPr>
              <w:spacing w:line="256" w:lineRule="auto"/>
              <w:jc w:val="right"/>
              <w:rPr>
                <w:rFonts w:ascii="Arial" w:hAnsi="Arial" w:cs="Arial"/>
                <w:b/>
                <w:sz w:val="16"/>
                <w:szCs w:val="16"/>
              </w:rPr>
            </w:pPr>
            <w:r w:rsidRPr="00EA65E0">
              <w:rPr>
                <w:rFonts w:ascii="Arial" w:hAnsi="Arial" w:cs="Arial"/>
                <w:b/>
                <w:sz w:val="16"/>
                <w:szCs w:val="16"/>
              </w:rPr>
              <w:t>- - -</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2CC534ED" w14:textId="77777777">
            <w:pPr>
              <w:spacing w:line="256" w:lineRule="auto"/>
              <w:jc w:val="right"/>
              <w:rPr>
                <w:rFonts w:ascii="Arial" w:hAnsi="Arial" w:cs="Arial"/>
                <w:b/>
                <w:sz w:val="16"/>
                <w:szCs w:val="16"/>
              </w:rPr>
            </w:pPr>
            <w:r w:rsidRPr="00EA65E0">
              <w:rPr>
                <w:rFonts w:ascii="Arial" w:hAnsi="Arial" w:cs="Arial"/>
                <w:b/>
                <w:sz w:val="16"/>
                <w:szCs w:val="16"/>
              </w:rPr>
              <w:t>7,632</w:t>
            </w:r>
          </w:p>
        </w:tc>
        <w:tc>
          <w:tcPr>
            <w:tcW w:w="48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248C45C3" w14:textId="77777777">
            <w:pPr>
              <w:spacing w:line="256" w:lineRule="auto"/>
              <w:jc w:val="right"/>
              <w:rPr>
                <w:rFonts w:ascii="Arial" w:hAnsi="Arial" w:cs="Arial"/>
                <w:b/>
                <w:color w:val="000000"/>
                <w:sz w:val="16"/>
                <w:szCs w:val="16"/>
              </w:rPr>
            </w:pPr>
            <w:r w:rsidRPr="00EA65E0">
              <w:rPr>
                <w:rFonts w:ascii="Arial" w:hAnsi="Arial" w:cs="Arial"/>
                <w:b/>
                <w:sz w:val="16"/>
                <w:szCs w:val="16"/>
              </w:rPr>
              <w:t>- - -</w:t>
            </w:r>
          </w:p>
        </w:tc>
        <w:tc>
          <w:tcPr>
            <w:tcW w:w="639"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345CFF44" w14:textId="591C7939">
            <w:pPr>
              <w:spacing w:line="256" w:lineRule="auto"/>
              <w:jc w:val="right"/>
              <w:rPr>
                <w:rFonts w:ascii="Arial" w:hAnsi="Arial" w:cs="Arial"/>
                <w:b/>
                <w:bCs/>
                <w:sz w:val="16"/>
                <w:szCs w:val="16"/>
              </w:rPr>
            </w:pPr>
            <w:r w:rsidRPr="6A9BA041">
              <w:rPr>
                <w:rFonts w:ascii="Arial" w:hAnsi="Arial" w:cs="Arial"/>
                <w:b/>
                <w:bCs/>
                <w:sz w:val="16"/>
                <w:szCs w:val="16"/>
              </w:rPr>
              <w:t xml:space="preserve"> </w:t>
            </w:r>
            <w:r w:rsidRPr="6A9BA041" w:rsidR="160C3A79">
              <w:rPr>
                <w:rFonts w:ascii="Arial" w:hAnsi="Arial" w:cs="Arial"/>
                <w:b/>
                <w:bCs/>
                <w:sz w:val="16"/>
                <w:szCs w:val="16"/>
              </w:rPr>
              <w:t xml:space="preserve"> 3,817</w:t>
            </w:r>
          </w:p>
        </w:tc>
        <w:tc>
          <w:tcPr>
            <w:tcW w:w="364" w:type="pct"/>
            <w:tcBorders>
              <w:top w:val="single" w:sz="4" w:space="0" w:color="auto"/>
              <w:left w:val="single" w:sz="4" w:space="0" w:color="auto"/>
              <w:bottom w:val="single" w:sz="4" w:space="0" w:color="auto"/>
              <w:right w:val="single" w:sz="4" w:space="0" w:color="auto"/>
            </w:tcBorders>
            <w:vAlign w:val="center"/>
            <w:hideMark/>
          </w:tcPr>
          <w:p w:rsidR="001F6E90" w:rsidRPr="00EA65E0" w:rsidP="001F6E90" w14:paraId="6EB99ABC" w14:textId="77777777">
            <w:pPr>
              <w:spacing w:line="256" w:lineRule="auto"/>
              <w:jc w:val="right"/>
              <w:rPr>
                <w:rFonts w:ascii="Arial" w:hAnsi="Arial" w:cs="Arial"/>
                <w:b/>
                <w:bCs/>
                <w:sz w:val="16"/>
                <w:szCs w:val="16"/>
              </w:rPr>
            </w:pPr>
            <w:r w:rsidRPr="00EA65E0">
              <w:rPr>
                <w:rFonts w:ascii="Arial" w:hAnsi="Arial" w:cs="Arial"/>
                <w:b/>
                <w:sz w:val="16"/>
                <w:szCs w:val="16"/>
              </w:rPr>
              <w:t>- - -</w:t>
            </w:r>
          </w:p>
        </w:tc>
        <w:tc>
          <w:tcPr>
            <w:tcW w:w="772" w:type="pct"/>
            <w:tcBorders>
              <w:top w:val="single" w:sz="4" w:space="0" w:color="auto"/>
              <w:left w:val="single" w:sz="4" w:space="0" w:color="auto"/>
              <w:bottom w:val="single" w:sz="4" w:space="0" w:color="auto"/>
              <w:right w:val="single" w:sz="4" w:space="0" w:color="auto"/>
            </w:tcBorders>
            <w:vAlign w:val="center"/>
            <w:hideMark/>
          </w:tcPr>
          <w:p w:rsidR="001F6E90" w:rsidRPr="00EA65E0" w:rsidP="6040D6A8" w14:paraId="6171FFA1" w14:textId="375A89EF">
            <w:pPr>
              <w:spacing w:line="256" w:lineRule="auto"/>
              <w:jc w:val="right"/>
              <w:rPr>
                <w:rFonts w:ascii="Arial" w:hAnsi="Arial" w:cs="Arial"/>
                <w:b/>
                <w:bCs/>
                <w:sz w:val="16"/>
                <w:szCs w:val="16"/>
              </w:rPr>
            </w:pPr>
            <w:r w:rsidRPr="6A9BA041">
              <w:rPr>
                <w:rFonts w:ascii="Arial" w:hAnsi="Arial" w:cs="Arial"/>
                <w:b/>
                <w:bCs/>
                <w:sz w:val="16"/>
                <w:szCs w:val="16"/>
              </w:rPr>
              <w:t xml:space="preserve"> </w:t>
            </w:r>
            <w:r w:rsidRPr="6A9BA041" w:rsidR="2F1D4064">
              <w:rPr>
                <w:rFonts w:ascii="Arial" w:hAnsi="Arial" w:cs="Arial"/>
                <w:b/>
                <w:bCs/>
                <w:sz w:val="16"/>
                <w:szCs w:val="16"/>
              </w:rPr>
              <w:t xml:space="preserve"> $1,660,395</w:t>
            </w:r>
          </w:p>
        </w:tc>
      </w:tr>
    </w:tbl>
    <w:p w:rsidR="000F7273" w:rsidP="000F7273" w14:paraId="69AA29D4" w14:textId="77777777">
      <w:pPr>
        <w:keepNext/>
        <w:keepLines/>
        <w:widowControl/>
        <w:tabs>
          <w:tab w:val="left" w:pos="-90"/>
          <w:tab w:val="left" w:pos="630"/>
          <w:tab w:val="left" w:pos="6810"/>
          <w:tab w:val="left" w:pos="7260"/>
          <w:tab w:val="left" w:pos="7890"/>
          <w:tab w:val="left" w:pos="8700"/>
        </w:tabs>
        <w:jc w:val="both"/>
        <w:rPr>
          <w:rFonts w:ascii="Arial" w:hAnsi="Arial" w:cs="Arial"/>
          <w:b/>
          <w:bCs/>
          <w:color w:val="000000"/>
        </w:rPr>
      </w:pPr>
    </w:p>
    <w:p w:rsidR="000F7273" w:rsidRPr="0008243C" w:rsidP="00EA65E0" w14:paraId="7C51E528" w14:textId="1EE84818">
      <w:pPr>
        <w:keepNext/>
        <w:keepLines/>
        <w:widowControl/>
        <w:tabs>
          <w:tab w:val="left" w:pos="-90"/>
          <w:tab w:val="left" w:pos="6810"/>
          <w:tab w:val="left" w:pos="7260"/>
          <w:tab w:val="left" w:pos="7890"/>
          <w:tab w:val="left" w:pos="8700"/>
        </w:tabs>
        <w:ind w:left="720" w:hanging="720"/>
        <w:jc w:val="both"/>
        <w:rPr>
          <w:rFonts w:ascii="Arial" w:hAnsi="Arial" w:cs="Arial"/>
          <w:b/>
        </w:rPr>
      </w:pPr>
      <w:r w:rsidRPr="0008243C">
        <w:rPr>
          <w:rFonts w:ascii="Arial" w:hAnsi="Arial" w:cs="Arial"/>
          <w:b/>
          <w:bCs/>
          <w:color w:val="000000"/>
        </w:rPr>
        <w:t xml:space="preserve">13. </w:t>
      </w:r>
      <w:r w:rsidR="00385CF6">
        <w:rPr>
          <w:rFonts w:ascii="Arial" w:hAnsi="Arial" w:cs="Arial"/>
          <w:b/>
          <w:bCs/>
          <w:color w:val="000000"/>
        </w:rPr>
        <w:t xml:space="preserve">  </w:t>
      </w:r>
      <w:r w:rsidRPr="0008243C">
        <w:rPr>
          <w:rFonts w:ascii="Arial" w:hAnsi="Arial" w:cs="Arial"/>
          <w:b/>
        </w:rPr>
        <w:t xml:space="preserve">Provide an estimate for the total annual cost burden to respondents or recordkeepers resulting from the collection of information. (Do not include the cost of any hour burden already reflected on the burden worksheet). </w:t>
      </w:r>
    </w:p>
    <w:p w:rsidR="000F7273" w:rsidRPr="0008243C" w:rsidP="00385CF6" w14:paraId="6CD126AA" w14:textId="77777777">
      <w:pPr>
        <w:widowControl/>
        <w:numPr>
          <w:ilvl w:val="0"/>
          <w:numId w:val="14"/>
        </w:numPr>
        <w:autoSpaceDE/>
        <w:autoSpaceDN/>
        <w:adjustRightInd/>
        <w:ind w:left="1080"/>
        <w:rPr>
          <w:rFonts w:ascii="Arial" w:hAnsi="Arial" w:cs="Arial"/>
          <w:b/>
        </w:rPr>
      </w:pPr>
      <w:r w:rsidRPr="0008243C">
        <w:rPr>
          <w:rFonts w:ascii="Arial" w:hAnsi="Arial" w:cs="Arial"/>
          <w:b/>
        </w:rPr>
        <w:t xml:space="preserve">The cost estimate should be split into two components: (a) a total capital and start-up cost component (annualized over its expected </w:t>
      </w:r>
      <w:r w:rsidRPr="0008243C">
        <w:rPr>
          <w:rFonts w:ascii="Arial" w:hAnsi="Arial" w:cs="Arial"/>
          <w:b/>
        </w:rPr>
        <w:t xml:space="preserve">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F7273" w:rsidRPr="0008243C" w:rsidP="00385CF6" w14:paraId="2EC540C5" w14:textId="77777777">
      <w:pPr>
        <w:widowControl/>
        <w:numPr>
          <w:ilvl w:val="0"/>
          <w:numId w:val="14"/>
        </w:numPr>
        <w:autoSpaceDE/>
        <w:autoSpaceDN/>
        <w:adjustRightInd/>
        <w:ind w:left="1080"/>
        <w:rPr>
          <w:rFonts w:ascii="Arial" w:hAnsi="Arial" w:cs="Arial"/>
          <w:b/>
        </w:rPr>
      </w:pPr>
      <w:r w:rsidRPr="0008243C">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F7273" w:rsidRPr="0008243C" w:rsidP="00385CF6" w14:paraId="60528687" w14:textId="77777777">
      <w:pPr>
        <w:widowControl/>
        <w:numPr>
          <w:ilvl w:val="0"/>
          <w:numId w:val="14"/>
        </w:numPr>
        <w:autoSpaceDE/>
        <w:autoSpaceDN/>
        <w:adjustRightInd/>
        <w:ind w:left="1080"/>
        <w:rPr>
          <w:rFonts w:ascii="Arial" w:hAnsi="Arial" w:cs="Arial"/>
          <w:b/>
        </w:rPr>
      </w:pPr>
      <w:r w:rsidRPr="0008243C">
        <w:rPr>
          <w:rFonts w:ascii="Arial" w:hAnsi="Arial" w:cs="Arial"/>
          <w:b/>
        </w:rPr>
        <w:t xml:space="preserve">Generally, estimates should not include purchases of equipment or services, or portions therefor,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385CF6" w:rsidP="000F7273" w14:paraId="25EEEEDE" w14:textId="77777777">
      <w:pPr>
        <w:pStyle w:val="NoSpacing"/>
        <w:jc w:val="both"/>
        <w:rPr>
          <w:rFonts w:ascii="Arial" w:hAnsi="Arial" w:cs="Arial"/>
          <w:bCs/>
          <w:sz w:val="24"/>
          <w:szCs w:val="24"/>
        </w:rPr>
      </w:pPr>
    </w:p>
    <w:p w:rsidR="006E1A76" w:rsidRPr="006E1A76" w:rsidP="006E1A76" w14:paraId="39C02294" w14:textId="6EB8F6D2">
      <w:pPr>
        <w:pStyle w:val="NoSpacing"/>
        <w:jc w:val="both"/>
        <w:rPr>
          <w:rFonts w:ascii="Arial" w:hAnsi="Arial" w:cs="Arial"/>
          <w:bCs/>
          <w:sz w:val="24"/>
          <w:szCs w:val="24"/>
        </w:rPr>
      </w:pPr>
      <w:r w:rsidRPr="006E1A76">
        <w:rPr>
          <w:rFonts w:ascii="Arial" w:hAnsi="Arial" w:cs="Arial"/>
          <w:bCs/>
          <w:sz w:val="24"/>
          <w:szCs w:val="24"/>
        </w:rPr>
        <w:t xml:space="preserve">There are no </w:t>
      </w:r>
      <w:r w:rsidR="00C766E8">
        <w:rPr>
          <w:rFonts w:ascii="Arial" w:hAnsi="Arial" w:cs="Arial"/>
          <w:bCs/>
          <w:sz w:val="24"/>
          <w:szCs w:val="24"/>
        </w:rPr>
        <w:t xml:space="preserve">additional </w:t>
      </w:r>
      <w:r w:rsidRPr="006E1A76">
        <w:rPr>
          <w:rFonts w:ascii="Arial" w:hAnsi="Arial" w:cs="Arial"/>
          <w:bCs/>
          <w:sz w:val="24"/>
          <w:szCs w:val="24"/>
        </w:rPr>
        <w:t>maintenance costs, capital start-up costs, recordkeeping costs, or postage associated with this information collection</w:t>
      </w:r>
      <w:r w:rsidR="00C766E8">
        <w:rPr>
          <w:rFonts w:ascii="Arial" w:hAnsi="Arial" w:cs="Arial"/>
          <w:bCs/>
          <w:sz w:val="24"/>
          <w:szCs w:val="24"/>
        </w:rPr>
        <w:t xml:space="preserve"> that are not already accounted for in OMB control number 0651-0032</w:t>
      </w:r>
      <w:r w:rsidR="00B71150">
        <w:rPr>
          <w:rFonts w:ascii="Arial" w:hAnsi="Arial" w:cs="Arial"/>
          <w:bCs/>
          <w:sz w:val="24"/>
          <w:szCs w:val="24"/>
        </w:rPr>
        <w:t xml:space="preserve"> </w:t>
      </w:r>
      <w:r w:rsidRPr="006E1A76" w:rsidR="00B71150">
        <w:rPr>
          <w:rFonts w:ascii="Arial" w:hAnsi="Arial" w:cs="Arial"/>
          <w:bCs/>
          <w:sz w:val="24"/>
          <w:szCs w:val="24"/>
        </w:rPr>
        <w:t>(Initial Patent Applications)</w:t>
      </w:r>
      <w:r w:rsidRPr="006E1A76">
        <w:rPr>
          <w:rFonts w:ascii="Arial" w:hAnsi="Arial" w:cs="Arial"/>
          <w:bCs/>
          <w:sz w:val="24"/>
          <w:szCs w:val="24"/>
        </w:rPr>
        <w:t>. However, the USPTO estimates that the total annual (non-hour) cost burden for this information collection, in the form of filing fees is $49,588,160.</w:t>
      </w:r>
    </w:p>
    <w:p w:rsidR="006E1A76" w:rsidP="000F7273" w14:paraId="277CE4D8" w14:textId="77777777">
      <w:pPr>
        <w:pStyle w:val="NoSpacing"/>
        <w:jc w:val="both"/>
        <w:rPr>
          <w:rFonts w:ascii="Arial" w:hAnsi="Arial" w:cs="Arial"/>
          <w:bCs/>
          <w:sz w:val="24"/>
          <w:szCs w:val="24"/>
          <w:u w:val="single"/>
        </w:rPr>
      </w:pPr>
    </w:p>
    <w:p w:rsidR="006E1A76" w:rsidP="006E1A76" w14:paraId="0C332C85" w14:textId="77777777">
      <w:pPr>
        <w:pStyle w:val="NoSpacing"/>
        <w:spacing w:line="480" w:lineRule="auto"/>
        <w:jc w:val="both"/>
        <w:rPr>
          <w:rFonts w:ascii="Arial" w:hAnsi="Arial" w:cs="Arial"/>
          <w:sz w:val="24"/>
          <w:szCs w:val="24"/>
        </w:rPr>
      </w:pPr>
      <w:r>
        <w:rPr>
          <w:rFonts w:ascii="Arial" w:hAnsi="Arial" w:cs="Arial"/>
          <w:sz w:val="24"/>
          <w:szCs w:val="24"/>
          <w:u w:val="single"/>
        </w:rPr>
        <w:t>Filing Fees</w:t>
      </w:r>
    </w:p>
    <w:p w:rsidR="006E1A76" w:rsidP="006E1A76" w14:paraId="223FB0AD" w14:textId="77777777">
      <w:pPr>
        <w:pStyle w:val="NoSpacing"/>
        <w:spacing w:line="480" w:lineRule="auto"/>
        <w:rPr>
          <w:rFonts w:ascii="Arial" w:hAnsi="Arial" w:cs="Arial"/>
          <w:color w:val="000000"/>
          <w:sz w:val="24"/>
          <w:szCs w:val="24"/>
        </w:rPr>
      </w:pPr>
      <w:r>
        <w:rPr>
          <w:rFonts w:ascii="Arial" w:hAnsi="Arial" w:cs="Arial"/>
          <w:color w:val="000000"/>
          <w:sz w:val="24"/>
          <w:szCs w:val="24"/>
        </w:rPr>
        <w:t>The items with filing fees are listed in the table below.</w:t>
      </w:r>
    </w:p>
    <w:p w:rsidR="006E1A76" w:rsidP="006E1A76" w14:paraId="0069A5D5" w14:textId="57711593">
      <w:pPr>
        <w:pStyle w:val="NoSpacing"/>
        <w:jc w:val="both"/>
        <w:rPr>
          <w:rFonts w:ascii="Arial" w:hAnsi="Arial" w:cs="Arial"/>
          <w:b/>
          <w:sz w:val="20"/>
          <w:szCs w:val="20"/>
        </w:rPr>
      </w:pPr>
      <w:r>
        <w:rPr>
          <w:rFonts w:ascii="Arial" w:hAnsi="Arial" w:cs="Arial"/>
          <w:b/>
          <w:sz w:val="20"/>
          <w:szCs w:val="20"/>
        </w:rPr>
        <w:t xml:space="preserve">Table 5: Filing Fee Costs to Respondents </w:t>
      </w:r>
    </w:p>
    <w:tbl>
      <w:tblPr>
        <w:tblStyle w:val="TableGrid"/>
        <w:tblW w:w="0" w:type="auto"/>
        <w:tblLook w:val="04A0"/>
      </w:tblPr>
      <w:tblGrid>
        <w:gridCol w:w="895"/>
        <w:gridCol w:w="4094"/>
        <w:gridCol w:w="1342"/>
        <w:gridCol w:w="1243"/>
        <w:gridCol w:w="1776"/>
      </w:tblGrid>
      <w:tr w14:paraId="773E4657" w14:textId="77777777" w:rsidTr="006E1A76">
        <w:tblPrEx>
          <w:tblW w:w="0" w:type="auto"/>
          <w:tblLook w:val="04A0"/>
        </w:tblPrEx>
        <w:tc>
          <w:tcPr>
            <w:tcW w:w="89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6E1A76" w14:paraId="700B8CB4" w14:textId="77777777">
            <w:pPr>
              <w:pStyle w:val="NoSpacing"/>
              <w:jc w:val="center"/>
              <w:rPr>
                <w:rFonts w:ascii="Arial" w:hAnsi="Arial" w:cs="Arial"/>
                <w:b/>
                <w:sz w:val="16"/>
                <w:szCs w:val="20"/>
              </w:rPr>
            </w:pPr>
            <w:r>
              <w:rPr>
                <w:rFonts w:ascii="Arial" w:hAnsi="Arial" w:cs="Arial"/>
                <w:b/>
                <w:sz w:val="16"/>
                <w:szCs w:val="20"/>
              </w:rPr>
              <w:t>Item No.</w:t>
            </w:r>
          </w:p>
        </w:tc>
        <w:tc>
          <w:tcPr>
            <w:tcW w:w="4094"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6E1A76" w14:paraId="0621DBAB" w14:textId="77777777">
            <w:pPr>
              <w:pStyle w:val="NoSpacing"/>
              <w:jc w:val="center"/>
              <w:rPr>
                <w:rFonts w:ascii="Arial" w:hAnsi="Arial" w:cs="Arial"/>
                <w:b/>
                <w:sz w:val="16"/>
                <w:szCs w:val="20"/>
              </w:rPr>
            </w:pPr>
            <w:r>
              <w:rPr>
                <w:rFonts w:ascii="Arial" w:hAnsi="Arial" w:cs="Arial"/>
                <w:b/>
                <w:sz w:val="16"/>
                <w:szCs w:val="20"/>
              </w:rPr>
              <w:t>Item</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6E1A76" w14:paraId="5BF4DDCD" w14:textId="77777777">
            <w:pPr>
              <w:pStyle w:val="NoSpacing"/>
              <w:jc w:val="center"/>
              <w:rPr>
                <w:rFonts w:ascii="Arial" w:hAnsi="Arial" w:cs="Arial"/>
                <w:b/>
                <w:sz w:val="16"/>
                <w:szCs w:val="20"/>
              </w:rPr>
            </w:pPr>
            <w:r>
              <w:rPr>
                <w:rFonts w:ascii="Arial" w:hAnsi="Arial" w:cs="Arial"/>
                <w:b/>
                <w:sz w:val="16"/>
                <w:szCs w:val="20"/>
              </w:rPr>
              <w:t>Estimated Annual Responses</w:t>
            </w:r>
          </w:p>
          <w:p w:rsidR="006E1A76" w14:paraId="5BEDE188" w14:textId="77777777">
            <w:pPr>
              <w:pStyle w:val="NoSpacing"/>
              <w:jc w:val="center"/>
              <w:rPr>
                <w:rFonts w:ascii="Arial" w:hAnsi="Arial" w:cs="Arial"/>
                <w:b/>
                <w:sz w:val="16"/>
                <w:szCs w:val="20"/>
              </w:rPr>
            </w:pPr>
            <w:r>
              <w:rPr>
                <w:rFonts w:ascii="Arial" w:hAnsi="Arial" w:cs="Arial"/>
                <w:b/>
                <w:sz w:val="16"/>
                <w:szCs w:val="20"/>
              </w:rPr>
              <w:t>(a)</w:t>
            </w:r>
          </w:p>
          <w:p w:rsidR="006E1A76" w14:paraId="4FF1F300" w14:textId="77777777">
            <w:pPr>
              <w:pStyle w:val="NoSpacing"/>
              <w:jc w:val="center"/>
              <w:rPr>
                <w:rFonts w:ascii="Arial" w:hAnsi="Arial" w:cs="Arial"/>
                <w:b/>
                <w:sz w:val="16"/>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6E1A76" w14:paraId="1004239D" w14:textId="77777777">
            <w:pPr>
              <w:pStyle w:val="NoSpacing"/>
              <w:jc w:val="center"/>
              <w:rPr>
                <w:rFonts w:ascii="Arial" w:hAnsi="Arial" w:cs="Arial"/>
                <w:b/>
                <w:sz w:val="16"/>
                <w:szCs w:val="20"/>
              </w:rPr>
            </w:pPr>
            <w:r>
              <w:rPr>
                <w:rFonts w:ascii="Arial" w:hAnsi="Arial" w:cs="Arial"/>
                <w:b/>
                <w:sz w:val="16"/>
                <w:szCs w:val="20"/>
              </w:rPr>
              <w:t>Amount</w:t>
            </w:r>
          </w:p>
          <w:p w:rsidR="006E1A76" w14:paraId="09D704FF" w14:textId="77777777">
            <w:pPr>
              <w:pStyle w:val="NoSpacing"/>
              <w:jc w:val="center"/>
              <w:rPr>
                <w:rFonts w:ascii="Arial" w:hAnsi="Arial" w:cs="Arial"/>
                <w:b/>
                <w:sz w:val="16"/>
                <w:szCs w:val="20"/>
              </w:rPr>
            </w:pPr>
          </w:p>
          <w:p w:rsidR="006E1A76" w14:paraId="18E75EA4" w14:textId="77777777">
            <w:pPr>
              <w:pStyle w:val="NoSpacing"/>
              <w:jc w:val="center"/>
              <w:rPr>
                <w:rFonts w:ascii="Arial" w:hAnsi="Arial" w:cs="Arial"/>
                <w:b/>
                <w:sz w:val="16"/>
                <w:szCs w:val="20"/>
              </w:rPr>
            </w:pPr>
          </w:p>
          <w:p w:rsidR="006E1A76" w14:paraId="7F266F4C" w14:textId="77777777">
            <w:pPr>
              <w:pStyle w:val="NoSpacing"/>
              <w:jc w:val="center"/>
              <w:rPr>
                <w:rFonts w:ascii="Arial" w:hAnsi="Arial" w:cs="Arial"/>
                <w:b/>
                <w:sz w:val="16"/>
                <w:szCs w:val="20"/>
              </w:rPr>
            </w:pPr>
            <w:r>
              <w:rPr>
                <w:rFonts w:ascii="Arial" w:hAnsi="Arial" w:cs="Arial"/>
                <w:b/>
                <w:sz w:val="16"/>
                <w:szCs w:val="20"/>
              </w:rPr>
              <w:t>(b)</w:t>
            </w:r>
          </w:p>
        </w:tc>
        <w:tc>
          <w:tcPr>
            <w:tcW w:w="177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6E1A76" w14:paraId="0088BFE2" w14:textId="77777777">
            <w:pPr>
              <w:pStyle w:val="NoSpacing"/>
              <w:ind w:right="-23"/>
              <w:jc w:val="center"/>
              <w:rPr>
                <w:rFonts w:ascii="Arial" w:hAnsi="Arial" w:cs="Arial"/>
                <w:b/>
                <w:sz w:val="16"/>
                <w:szCs w:val="20"/>
              </w:rPr>
            </w:pPr>
            <w:r>
              <w:rPr>
                <w:rFonts w:ascii="Arial" w:hAnsi="Arial" w:cs="Arial"/>
                <w:b/>
                <w:sz w:val="16"/>
                <w:szCs w:val="20"/>
              </w:rPr>
              <w:t>Totals</w:t>
            </w:r>
          </w:p>
          <w:p w:rsidR="006E1A76" w14:paraId="1935EB97" w14:textId="77777777">
            <w:pPr>
              <w:pStyle w:val="NoSpacing"/>
              <w:ind w:right="-23"/>
              <w:jc w:val="center"/>
              <w:rPr>
                <w:rFonts w:ascii="Arial" w:hAnsi="Arial" w:cs="Arial"/>
                <w:b/>
                <w:sz w:val="16"/>
                <w:szCs w:val="20"/>
              </w:rPr>
            </w:pPr>
          </w:p>
          <w:p w:rsidR="006E1A76" w14:paraId="449BB2F5" w14:textId="77777777">
            <w:pPr>
              <w:pStyle w:val="NoSpacing"/>
              <w:ind w:right="-23"/>
              <w:jc w:val="center"/>
              <w:rPr>
                <w:rFonts w:ascii="Arial" w:hAnsi="Arial" w:cs="Arial"/>
                <w:b/>
                <w:sz w:val="16"/>
                <w:szCs w:val="20"/>
              </w:rPr>
            </w:pPr>
          </w:p>
          <w:p w:rsidR="006E1A76" w14:paraId="242D41B3" w14:textId="77777777">
            <w:pPr>
              <w:pStyle w:val="NoSpacing"/>
              <w:ind w:right="-23"/>
              <w:jc w:val="center"/>
              <w:rPr>
                <w:rFonts w:ascii="Arial" w:hAnsi="Arial" w:cs="Arial"/>
                <w:b/>
                <w:sz w:val="16"/>
                <w:szCs w:val="20"/>
              </w:rPr>
            </w:pPr>
            <w:r>
              <w:rPr>
                <w:rFonts w:ascii="Arial" w:hAnsi="Arial" w:cs="Arial"/>
                <w:b/>
                <w:sz w:val="16"/>
                <w:szCs w:val="20"/>
              </w:rPr>
              <w:t>(a) x (b) = (c)</w:t>
            </w:r>
          </w:p>
        </w:tc>
      </w:tr>
      <w:tr w14:paraId="2314460A" w14:textId="77777777" w:rsidTr="006E1A76">
        <w:tblPrEx>
          <w:tblW w:w="0" w:type="auto"/>
          <w:tblLook w:val="04A0"/>
        </w:tblPrEx>
        <w:tc>
          <w:tcPr>
            <w:tcW w:w="895" w:type="dxa"/>
            <w:tcBorders>
              <w:top w:val="single" w:sz="4" w:space="0" w:color="auto"/>
              <w:left w:val="single" w:sz="4" w:space="0" w:color="auto"/>
              <w:bottom w:val="single" w:sz="4" w:space="0" w:color="auto"/>
              <w:right w:val="single" w:sz="4" w:space="0" w:color="auto"/>
            </w:tcBorders>
            <w:vAlign w:val="center"/>
            <w:hideMark/>
          </w:tcPr>
          <w:p w:rsidR="006E1A76" w14:paraId="2B1D8166" w14:textId="77777777">
            <w:pPr>
              <w:pStyle w:val="NoSpacing"/>
              <w:jc w:val="center"/>
              <w:rPr>
                <w:rFonts w:ascii="Arial" w:hAnsi="Arial" w:cs="Arial"/>
                <w:sz w:val="16"/>
                <w:szCs w:val="20"/>
              </w:rPr>
            </w:pPr>
            <w:r>
              <w:rPr>
                <w:rFonts w:ascii="Arial" w:hAnsi="Arial" w:cs="Arial"/>
                <w:sz w:val="16"/>
                <w:szCs w:val="20"/>
              </w:rPr>
              <w:t>1-4</w:t>
            </w:r>
          </w:p>
        </w:tc>
        <w:tc>
          <w:tcPr>
            <w:tcW w:w="4094" w:type="dxa"/>
            <w:tcBorders>
              <w:top w:val="single" w:sz="4" w:space="0" w:color="auto"/>
              <w:left w:val="single" w:sz="4" w:space="0" w:color="auto"/>
              <w:bottom w:val="single" w:sz="4" w:space="0" w:color="auto"/>
              <w:right w:val="single" w:sz="4" w:space="0" w:color="auto"/>
            </w:tcBorders>
            <w:vAlign w:val="center"/>
            <w:hideMark/>
          </w:tcPr>
          <w:p w:rsidR="006E1A76" w14:paraId="25FA0165" w14:textId="77777777">
            <w:pPr>
              <w:pStyle w:val="NoSpacing"/>
              <w:rPr>
                <w:rFonts w:ascii="Arial" w:hAnsi="Arial" w:cs="Arial"/>
                <w:sz w:val="16"/>
                <w:szCs w:val="20"/>
              </w:rPr>
            </w:pPr>
            <w:r>
              <w:rPr>
                <w:rFonts w:ascii="Arial" w:hAnsi="Arial" w:cs="Arial"/>
                <w:sz w:val="16"/>
                <w:szCs w:val="20"/>
              </w:rPr>
              <w:t>Non-DOCX Filing Surcharge Fee (undiscounted entity)</w:t>
            </w:r>
          </w:p>
        </w:tc>
        <w:tc>
          <w:tcPr>
            <w:tcW w:w="1342" w:type="dxa"/>
            <w:tcBorders>
              <w:top w:val="single" w:sz="4" w:space="0" w:color="auto"/>
              <w:left w:val="single" w:sz="4" w:space="0" w:color="auto"/>
              <w:bottom w:val="single" w:sz="4" w:space="0" w:color="auto"/>
              <w:right w:val="single" w:sz="4" w:space="0" w:color="auto"/>
            </w:tcBorders>
            <w:vAlign w:val="center"/>
            <w:hideMark/>
          </w:tcPr>
          <w:p w:rsidR="006E1A76" w14:paraId="03144348" w14:textId="77777777">
            <w:pPr>
              <w:pStyle w:val="NoSpacing"/>
              <w:jc w:val="right"/>
              <w:rPr>
                <w:rFonts w:ascii="Arial" w:hAnsi="Arial" w:cs="Arial"/>
                <w:sz w:val="16"/>
                <w:szCs w:val="16"/>
              </w:rPr>
            </w:pPr>
            <w:r>
              <w:rPr>
                <w:rFonts w:ascii="Arial" w:hAnsi="Arial" w:cs="Arial"/>
                <w:color w:val="000000"/>
                <w:sz w:val="16"/>
                <w:szCs w:val="16"/>
              </w:rPr>
              <w:t>102,095</w:t>
            </w:r>
          </w:p>
        </w:tc>
        <w:tc>
          <w:tcPr>
            <w:tcW w:w="1243" w:type="dxa"/>
            <w:tcBorders>
              <w:top w:val="single" w:sz="4" w:space="0" w:color="auto"/>
              <w:left w:val="single" w:sz="4" w:space="0" w:color="auto"/>
              <w:bottom w:val="single" w:sz="4" w:space="0" w:color="auto"/>
              <w:right w:val="single" w:sz="4" w:space="0" w:color="auto"/>
            </w:tcBorders>
            <w:vAlign w:val="center"/>
            <w:hideMark/>
          </w:tcPr>
          <w:p w:rsidR="006E1A76" w14:paraId="3B65CE7D" w14:textId="77777777">
            <w:pPr>
              <w:pStyle w:val="NoSpacing"/>
              <w:jc w:val="right"/>
              <w:rPr>
                <w:rFonts w:ascii="Arial" w:hAnsi="Arial" w:cs="Arial"/>
                <w:sz w:val="16"/>
                <w:szCs w:val="20"/>
              </w:rPr>
            </w:pPr>
            <w:r>
              <w:rPr>
                <w:rFonts w:ascii="Arial" w:hAnsi="Arial" w:cs="Arial"/>
                <w:sz w:val="16"/>
                <w:szCs w:val="20"/>
              </w:rPr>
              <w:t>$400</w:t>
            </w:r>
          </w:p>
        </w:tc>
        <w:tc>
          <w:tcPr>
            <w:tcW w:w="1776" w:type="dxa"/>
            <w:tcBorders>
              <w:top w:val="single" w:sz="4" w:space="0" w:color="auto"/>
              <w:left w:val="single" w:sz="4" w:space="0" w:color="auto"/>
              <w:bottom w:val="single" w:sz="4" w:space="0" w:color="auto"/>
              <w:right w:val="single" w:sz="4" w:space="0" w:color="auto"/>
            </w:tcBorders>
            <w:vAlign w:val="center"/>
            <w:hideMark/>
          </w:tcPr>
          <w:p w:rsidR="006E1A76" w14:paraId="4BAF6721" w14:textId="77777777">
            <w:pPr>
              <w:pStyle w:val="NoSpacing"/>
              <w:tabs>
                <w:tab w:val="left" w:pos="1220"/>
              </w:tabs>
              <w:ind w:right="-23"/>
              <w:jc w:val="right"/>
              <w:rPr>
                <w:rFonts w:ascii="Arial" w:hAnsi="Arial" w:cs="Arial"/>
                <w:sz w:val="16"/>
                <w:szCs w:val="16"/>
              </w:rPr>
            </w:pPr>
            <w:r>
              <w:rPr>
                <w:rFonts w:ascii="Arial" w:hAnsi="Arial" w:cs="Arial"/>
                <w:color w:val="000000"/>
                <w:sz w:val="16"/>
                <w:szCs w:val="16"/>
              </w:rPr>
              <w:t xml:space="preserve">$40,838,000 </w:t>
            </w:r>
          </w:p>
        </w:tc>
      </w:tr>
      <w:tr w14:paraId="0AF1024F" w14:textId="77777777" w:rsidTr="006E1A76">
        <w:tblPrEx>
          <w:tblW w:w="0" w:type="auto"/>
          <w:tblLook w:val="04A0"/>
        </w:tblPrEx>
        <w:tc>
          <w:tcPr>
            <w:tcW w:w="895" w:type="dxa"/>
            <w:tcBorders>
              <w:top w:val="single" w:sz="4" w:space="0" w:color="auto"/>
              <w:left w:val="single" w:sz="4" w:space="0" w:color="auto"/>
              <w:bottom w:val="single" w:sz="4" w:space="0" w:color="auto"/>
              <w:right w:val="single" w:sz="4" w:space="0" w:color="auto"/>
            </w:tcBorders>
            <w:vAlign w:val="center"/>
            <w:hideMark/>
          </w:tcPr>
          <w:p w:rsidR="006E1A76" w14:paraId="5BCFBA6F" w14:textId="77777777">
            <w:pPr>
              <w:pStyle w:val="NoSpacing"/>
              <w:jc w:val="center"/>
              <w:rPr>
                <w:rFonts w:ascii="Arial" w:hAnsi="Arial" w:cs="Arial"/>
                <w:sz w:val="16"/>
                <w:szCs w:val="20"/>
              </w:rPr>
            </w:pPr>
            <w:r>
              <w:rPr>
                <w:rFonts w:ascii="Arial" w:hAnsi="Arial" w:cs="Arial"/>
                <w:sz w:val="16"/>
                <w:szCs w:val="20"/>
              </w:rPr>
              <w:t>1-4</w:t>
            </w:r>
          </w:p>
        </w:tc>
        <w:tc>
          <w:tcPr>
            <w:tcW w:w="4094" w:type="dxa"/>
            <w:tcBorders>
              <w:top w:val="single" w:sz="4" w:space="0" w:color="auto"/>
              <w:left w:val="single" w:sz="4" w:space="0" w:color="auto"/>
              <w:bottom w:val="single" w:sz="4" w:space="0" w:color="auto"/>
              <w:right w:val="single" w:sz="4" w:space="0" w:color="auto"/>
            </w:tcBorders>
            <w:vAlign w:val="center"/>
            <w:hideMark/>
          </w:tcPr>
          <w:p w:rsidR="006E1A76" w14:paraId="4B301522" w14:textId="77777777">
            <w:pPr>
              <w:pStyle w:val="NoSpacing"/>
              <w:rPr>
                <w:rFonts w:ascii="Arial" w:hAnsi="Arial" w:cs="Arial"/>
                <w:sz w:val="16"/>
                <w:szCs w:val="20"/>
              </w:rPr>
            </w:pPr>
            <w:r>
              <w:rPr>
                <w:rFonts w:ascii="Arial" w:hAnsi="Arial" w:cs="Arial"/>
                <w:sz w:val="16"/>
                <w:szCs w:val="20"/>
              </w:rPr>
              <w:t>Non-DOCX Filing Surcharge Fee (small entity)</w:t>
            </w:r>
          </w:p>
        </w:tc>
        <w:tc>
          <w:tcPr>
            <w:tcW w:w="1342" w:type="dxa"/>
            <w:tcBorders>
              <w:top w:val="single" w:sz="4" w:space="0" w:color="auto"/>
              <w:left w:val="single" w:sz="4" w:space="0" w:color="auto"/>
              <w:bottom w:val="single" w:sz="4" w:space="0" w:color="auto"/>
              <w:right w:val="single" w:sz="4" w:space="0" w:color="auto"/>
            </w:tcBorders>
            <w:vAlign w:val="center"/>
            <w:hideMark/>
          </w:tcPr>
          <w:p w:rsidR="006E1A76" w14:paraId="0EA786E8" w14:textId="77777777">
            <w:pPr>
              <w:pStyle w:val="NoSpacing"/>
              <w:jc w:val="right"/>
              <w:rPr>
                <w:rFonts w:ascii="Arial" w:hAnsi="Arial" w:cs="Arial"/>
                <w:sz w:val="16"/>
                <w:szCs w:val="16"/>
              </w:rPr>
            </w:pPr>
            <w:r>
              <w:rPr>
                <w:rFonts w:ascii="Arial" w:hAnsi="Arial" w:cs="Arial"/>
                <w:color w:val="000000"/>
                <w:sz w:val="16"/>
                <w:szCs w:val="16"/>
              </w:rPr>
              <w:t>47,406</w:t>
            </w:r>
          </w:p>
        </w:tc>
        <w:tc>
          <w:tcPr>
            <w:tcW w:w="1243" w:type="dxa"/>
            <w:tcBorders>
              <w:top w:val="single" w:sz="4" w:space="0" w:color="auto"/>
              <w:left w:val="single" w:sz="4" w:space="0" w:color="auto"/>
              <w:bottom w:val="single" w:sz="4" w:space="0" w:color="auto"/>
              <w:right w:val="single" w:sz="4" w:space="0" w:color="auto"/>
            </w:tcBorders>
            <w:vAlign w:val="center"/>
            <w:hideMark/>
          </w:tcPr>
          <w:p w:rsidR="006E1A76" w14:paraId="4BEF25AF" w14:textId="77777777">
            <w:pPr>
              <w:pStyle w:val="NoSpacing"/>
              <w:tabs>
                <w:tab w:val="left" w:pos="760"/>
              </w:tabs>
              <w:jc w:val="right"/>
              <w:rPr>
                <w:rFonts w:ascii="Arial" w:hAnsi="Arial" w:cs="Arial"/>
                <w:sz w:val="16"/>
                <w:szCs w:val="20"/>
              </w:rPr>
            </w:pPr>
            <w:r>
              <w:rPr>
                <w:rFonts w:ascii="Arial" w:hAnsi="Arial" w:cs="Arial"/>
                <w:sz w:val="16"/>
                <w:szCs w:val="20"/>
              </w:rPr>
              <w:t>$160</w:t>
            </w:r>
          </w:p>
        </w:tc>
        <w:tc>
          <w:tcPr>
            <w:tcW w:w="1776" w:type="dxa"/>
            <w:tcBorders>
              <w:top w:val="single" w:sz="4" w:space="0" w:color="auto"/>
              <w:left w:val="single" w:sz="4" w:space="0" w:color="auto"/>
              <w:bottom w:val="single" w:sz="4" w:space="0" w:color="auto"/>
              <w:right w:val="single" w:sz="4" w:space="0" w:color="auto"/>
            </w:tcBorders>
            <w:vAlign w:val="center"/>
            <w:hideMark/>
          </w:tcPr>
          <w:p w:rsidR="006E1A76" w14:paraId="30857547" w14:textId="77777777">
            <w:pPr>
              <w:pStyle w:val="NoSpacing"/>
              <w:tabs>
                <w:tab w:val="left" w:pos="1220"/>
              </w:tabs>
              <w:ind w:right="-23"/>
              <w:jc w:val="right"/>
              <w:rPr>
                <w:rFonts w:ascii="Arial" w:hAnsi="Arial" w:cs="Arial"/>
                <w:sz w:val="16"/>
                <w:szCs w:val="16"/>
              </w:rPr>
            </w:pPr>
            <w:r>
              <w:rPr>
                <w:rFonts w:ascii="Arial" w:hAnsi="Arial" w:cs="Arial"/>
                <w:color w:val="000000"/>
                <w:sz w:val="16"/>
                <w:szCs w:val="16"/>
              </w:rPr>
              <w:t xml:space="preserve">$7,584,960 </w:t>
            </w:r>
          </w:p>
        </w:tc>
      </w:tr>
      <w:tr w14:paraId="7D624DA1" w14:textId="77777777" w:rsidTr="006E1A76">
        <w:tblPrEx>
          <w:tblW w:w="0" w:type="auto"/>
          <w:tblLook w:val="04A0"/>
        </w:tblPrEx>
        <w:tc>
          <w:tcPr>
            <w:tcW w:w="895" w:type="dxa"/>
            <w:tcBorders>
              <w:top w:val="single" w:sz="4" w:space="0" w:color="auto"/>
              <w:left w:val="single" w:sz="4" w:space="0" w:color="auto"/>
              <w:bottom w:val="single" w:sz="4" w:space="0" w:color="auto"/>
              <w:right w:val="single" w:sz="4" w:space="0" w:color="auto"/>
            </w:tcBorders>
            <w:vAlign w:val="center"/>
            <w:hideMark/>
          </w:tcPr>
          <w:p w:rsidR="006E1A76" w14:paraId="5AF2382F" w14:textId="77777777">
            <w:pPr>
              <w:pStyle w:val="NoSpacing"/>
              <w:jc w:val="center"/>
              <w:rPr>
                <w:rFonts w:ascii="Arial" w:hAnsi="Arial" w:cs="Arial"/>
                <w:sz w:val="16"/>
                <w:szCs w:val="20"/>
              </w:rPr>
            </w:pPr>
            <w:r>
              <w:rPr>
                <w:rFonts w:ascii="Arial" w:hAnsi="Arial" w:cs="Arial"/>
                <w:sz w:val="16"/>
                <w:szCs w:val="20"/>
              </w:rPr>
              <w:t>1-4</w:t>
            </w:r>
          </w:p>
        </w:tc>
        <w:tc>
          <w:tcPr>
            <w:tcW w:w="4094" w:type="dxa"/>
            <w:tcBorders>
              <w:top w:val="single" w:sz="4" w:space="0" w:color="auto"/>
              <w:left w:val="single" w:sz="4" w:space="0" w:color="auto"/>
              <w:bottom w:val="single" w:sz="4" w:space="0" w:color="auto"/>
              <w:right w:val="single" w:sz="4" w:space="0" w:color="auto"/>
            </w:tcBorders>
            <w:vAlign w:val="center"/>
            <w:hideMark/>
          </w:tcPr>
          <w:p w:rsidR="006E1A76" w14:paraId="196258B7" w14:textId="77777777">
            <w:pPr>
              <w:pStyle w:val="NoSpacing"/>
              <w:rPr>
                <w:rFonts w:ascii="Arial" w:hAnsi="Arial" w:cs="Arial"/>
                <w:sz w:val="16"/>
                <w:szCs w:val="20"/>
              </w:rPr>
            </w:pPr>
            <w:r>
              <w:rPr>
                <w:rFonts w:ascii="Arial" w:hAnsi="Arial" w:cs="Arial"/>
                <w:sz w:val="16"/>
                <w:szCs w:val="20"/>
              </w:rPr>
              <w:t>Non-DOCX Filing Surcharge Fee (micro entity)</w:t>
            </w:r>
          </w:p>
        </w:tc>
        <w:tc>
          <w:tcPr>
            <w:tcW w:w="1342" w:type="dxa"/>
            <w:tcBorders>
              <w:top w:val="single" w:sz="4" w:space="0" w:color="auto"/>
              <w:left w:val="single" w:sz="4" w:space="0" w:color="auto"/>
              <w:bottom w:val="single" w:sz="4" w:space="0" w:color="auto"/>
              <w:right w:val="single" w:sz="4" w:space="0" w:color="auto"/>
            </w:tcBorders>
            <w:vAlign w:val="center"/>
            <w:hideMark/>
          </w:tcPr>
          <w:p w:rsidR="006E1A76" w14:paraId="6CF21EB3" w14:textId="77777777">
            <w:pPr>
              <w:pStyle w:val="NoSpacing"/>
              <w:jc w:val="right"/>
              <w:rPr>
                <w:rFonts w:ascii="Arial" w:hAnsi="Arial" w:cs="Arial"/>
                <w:sz w:val="16"/>
                <w:szCs w:val="16"/>
              </w:rPr>
            </w:pPr>
            <w:r>
              <w:rPr>
                <w:rFonts w:ascii="Arial" w:hAnsi="Arial" w:cs="Arial"/>
                <w:color w:val="000000"/>
                <w:sz w:val="16"/>
                <w:szCs w:val="16"/>
              </w:rPr>
              <w:t>14,565</w:t>
            </w:r>
          </w:p>
        </w:tc>
        <w:tc>
          <w:tcPr>
            <w:tcW w:w="1243" w:type="dxa"/>
            <w:tcBorders>
              <w:top w:val="single" w:sz="4" w:space="0" w:color="auto"/>
              <w:left w:val="single" w:sz="4" w:space="0" w:color="auto"/>
              <w:bottom w:val="single" w:sz="4" w:space="0" w:color="auto"/>
              <w:right w:val="single" w:sz="4" w:space="0" w:color="auto"/>
            </w:tcBorders>
            <w:vAlign w:val="center"/>
            <w:hideMark/>
          </w:tcPr>
          <w:p w:rsidR="006E1A76" w14:paraId="1F90980A" w14:textId="77777777">
            <w:pPr>
              <w:pStyle w:val="NoSpacing"/>
              <w:tabs>
                <w:tab w:val="left" w:pos="760"/>
              </w:tabs>
              <w:jc w:val="right"/>
              <w:rPr>
                <w:rFonts w:ascii="Arial" w:hAnsi="Arial" w:cs="Arial"/>
                <w:sz w:val="16"/>
                <w:szCs w:val="20"/>
              </w:rPr>
            </w:pPr>
            <w:r>
              <w:rPr>
                <w:rFonts w:ascii="Arial" w:hAnsi="Arial" w:cs="Arial"/>
                <w:sz w:val="16"/>
                <w:szCs w:val="20"/>
              </w:rPr>
              <w:t>$80</w:t>
            </w:r>
          </w:p>
        </w:tc>
        <w:tc>
          <w:tcPr>
            <w:tcW w:w="1776" w:type="dxa"/>
            <w:tcBorders>
              <w:top w:val="single" w:sz="4" w:space="0" w:color="auto"/>
              <w:left w:val="single" w:sz="4" w:space="0" w:color="auto"/>
              <w:bottom w:val="single" w:sz="4" w:space="0" w:color="auto"/>
              <w:right w:val="single" w:sz="4" w:space="0" w:color="auto"/>
            </w:tcBorders>
            <w:vAlign w:val="center"/>
            <w:hideMark/>
          </w:tcPr>
          <w:p w:rsidR="006E1A76" w:rsidRPr="00C0358B" w14:paraId="09257767" w14:textId="77777777">
            <w:pPr>
              <w:tabs>
                <w:tab w:val="left" w:pos="1220"/>
              </w:tabs>
              <w:ind w:right="-23"/>
              <w:jc w:val="right"/>
              <w:rPr>
                <w:rFonts w:ascii="Arial" w:hAnsi="Arial" w:cs="Arial"/>
                <w:color w:val="000000"/>
                <w:sz w:val="16"/>
                <w:szCs w:val="16"/>
              </w:rPr>
            </w:pPr>
            <w:r w:rsidRPr="00EA65E0">
              <w:rPr>
                <w:rFonts w:ascii="Arial" w:hAnsi="Arial" w:cs="Arial"/>
                <w:color w:val="000000"/>
                <w:sz w:val="16"/>
                <w:szCs w:val="16"/>
              </w:rPr>
              <w:t xml:space="preserve">$1,165,200 </w:t>
            </w:r>
          </w:p>
        </w:tc>
      </w:tr>
      <w:tr w14:paraId="4CBE1955" w14:textId="77777777" w:rsidTr="006E1A76">
        <w:tblPrEx>
          <w:tblW w:w="0" w:type="auto"/>
          <w:tblLook w:val="04A0"/>
        </w:tblPrEx>
        <w:tc>
          <w:tcPr>
            <w:tcW w:w="895" w:type="dxa"/>
            <w:tcBorders>
              <w:top w:val="single" w:sz="4" w:space="0" w:color="auto"/>
              <w:left w:val="single" w:sz="4" w:space="0" w:color="auto"/>
              <w:bottom w:val="single" w:sz="4" w:space="0" w:color="auto"/>
              <w:right w:val="single" w:sz="4" w:space="0" w:color="auto"/>
            </w:tcBorders>
            <w:vAlign w:val="center"/>
          </w:tcPr>
          <w:p w:rsidR="006E1A76" w14:paraId="3F4927ED" w14:textId="77777777">
            <w:pPr>
              <w:pStyle w:val="NoSpacing"/>
              <w:ind w:right="-23"/>
              <w:jc w:val="center"/>
              <w:rPr>
                <w:rFonts w:ascii="Arial" w:hAnsi="Arial" w:cs="Arial"/>
                <w:b/>
                <w:sz w:val="16"/>
                <w:szCs w:val="20"/>
              </w:rPr>
            </w:pPr>
          </w:p>
        </w:tc>
        <w:tc>
          <w:tcPr>
            <w:tcW w:w="4094" w:type="dxa"/>
            <w:tcBorders>
              <w:top w:val="single" w:sz="4" w:space="0" w:color="auto"/>
              <w:left w:val="single" w:sz="4" w:space="0" w:color="auto"/>
              <w:bottom w:val="single" w:sz="4" w:space="0" w:color="auto"/>
              <w:right w:val="single" w:sz="4" w:space="0" w:color="auto"/>
            </w:tcBorders>
            <w:vAlign w:val="center"/>
            <w:hideMark/>
          </w:tcPr>
          <w:p w:rsidR="006E1A76" w14:paraId="748D9479" w14:textId="77777777">
            <w:pPr>
              <w:pStyle w:val="NoSpacing"/>
              <w:rPr>
                <w:rFonts w:ascii="Arial" w:hAnsi="Arial" w:cs="Arial"/>
                <w:b/>
                <w:sz w:val="16"/>
                <w:szCs w:val="20"/>
              </w:rPr>
            </w:pPr>
            <w:r>
              <w:rPr>
                <w:rFonts w:ascii="Arial" w:hAnsi="Arial" w:cs="Arial"/>
                <w:b/>
                <w:sz w:val="16"/>
                <w:szCs w:val="20"/>
              </w:rPr>
              <w:t>Totals</w:t>
            </w:r>
          </w:p>
        </w:tc>
        <w:tc>
          <w:tcPr>
            <w:tcW w:w="1342" w:type="dxa"/>
            <w:tcBorders>
              <w:top w:val="single" w:sz="4" w:space="0" w:color="auto"/>
              <w:left w:val="single" w:sz="4" w:space="0" w:color="auto"/>
              <w:bottom w:val="single" w:sz="4" w:space="0" w:color="auto"/>
              <w:right w:val="single" w:sz="4" w:space="0" w:color="auto"/>
            </w:tcBorders>
            <w:vAlign w:val="center"/>
            <w:hideMark/>
          </w:tcPr>
          <w:p w:rsidR="006E1A76" w14:paraId="7685DCF1" w14:textId="77777777">
            <w:pPr>
              <w:pStyle w:val="NoSpacing"/>
              <w:jc w:val="right"/>
              <w:rPr>
                <w:rFonts w:ascii="Arial" w:hAnsi="Arial" w:cs="Arial"/>
                <w:b/>
                <w:sz w:val="16"/>
                <w:szCs w:val="20"/>
              </w:rPr>
            </w:pPr>
            <w:r>
              <w:rPr>
                <w:rFonts w:ascii="Arial" w:hAnsi="Arial" w:cs="Arial"/>
                <w:b/>
                <w:sz w:val="16"/>
                <w:szCs w:val="20"/>
              </w:rPr>
              <w:t>164,066</w:t>
            </w:r>
          </w:p>
        </w:tc>
        <w:tc>
          <w:tcPr>
            <w:tcW w:w="1243" w:type="dxa"/>
            <w:tcBorders>
              <w:top w:val="single" w:sz="4" w:space="0" w:color="auto"/>
              <w:left w:val="single" w:sz="4" w:space="0" w:color="auto"/>
              <w:bottom w:val="single" w:sz="4" w:space="0" w:color="auto"/>
              <w:right w:val="single" w:sz="4" w:space="0" w:color="auto"/>
            </w:tcBorders>
            <w:vAlign w:val="center"/>
            <w:hideMark/>
          </w:tcPr>
          <w:p w:rsidR="006E1A76" w14:paraId="0879F47A" w14:textId="77777777">
            <w:pPr>
              <w:pStyle w:val="NoSpacing"/>
              <w:tabs>
                <w:tab w:val="left" w:pos="760"/>
              </w:tabs>
              <w:jc w:val="right"/>
              <w:rPr>
                <w:rFonts w:ascii="Arial" w:hAnsi="Arial" w:cs="Arial"/>
                <w:b/>
                <w:sz w:val="16"/>
                <w:szCs w:val="20"/>
              </w:rPr>
            </w:pPr>
            <w:r>
              <w:rPr>
                <w:rFonts w:ascii="Arial" w:hAnsi="Arial" w:cs="Arial"/>
                <w:b/>
                <w:sz w:val="16"/>
                <w:szCs w:val="16"/>
              </w:rPr>
              <w:t>- - -</w:t>
            </w:r>
          </w:p>
        </w:tc>
        <w:tc>
          <w:tcPr>
            <w:tcW w:w="1776" w:type="dxa"/>
            <w:tcBorders>
              <w:top w:val="single" w:sz="4" w:space="0" w:color="auto"/>
              <w:left w:val="single" w:sz="4" w:space="0" w:color="auto"/>
              <w:bottom w:val="single" w:sz="4" w:space="0" w:color="auto"/>
              <w:right w:val="single" w:sz="4" w:space="0" w:color="auto"/>
            </w:tcBorders>
            <w:vAlign w:val="center"/>
            <w:hideMark/>
          </w:tcPr>
          <w:p w:rsidR="006E1A76" w14:paraId="49A4A797" w14:textId="77777777">
            <w:pPr>
              <w:pStyle w:val="NoSpacing"/>
              <w:tabs>
                <w:tab w:val="left" w:pos="1220"/>
              </w:tabs>
              <w:ind w:right="-23"/>
              <w:jc w:val="right"/>
              <w:rPr>
                <w:rFonts w:ascii="Arial" w:hAnsi="Arial" w:cs="Arial"/>
                <w:b/>
                <w:sz w:val="16"/>
                <w:szCs w:val="20"/>
              </w:rPr>
            </w:pPr>
            <w:r>
              <w:rPr>
                <w:rFonts w:ascii="Arial" w:hAnsi="Arial" w:cs="Arial"/>
                <w:b/>
                <w:sz w:val="16"/>
                <w:szCs w:val="20"/>
              </w:rPr>
              <w:t>$49,588,160</w:t>
            </w:r>
          </w:p>
        </w:tc>
      </w:tr>
    </w:tbl>
    <w:p w:rsidR="006E1A76" w:rsidP="006E1A76" w14:paraId="33DEA4AD" w14:textId="77777777">
      <w:pPr>
        <w:pStyle w:val="NoSpacing"/>
        <w:jc w:val="both"/>
        <w:rPr>
          <w:rFonts w:ascii="Arial" w:hAnsi="Arial" w:cs="Arial"/>
          <w:sz w:val="24"/>
          <w:szCs w:val="20"/>
        </w:rPr>
      </w:pPr>
    </w:p>
    <w:p w:rsidR="006E1A76" w:rsidP="00EA65E0" w14:paraId="7F604FAB" w14:textId="77777777">
      <w:pPr>
        <w:pStyle w:val="NoSpacing"/>
        <w:rPr>
          <w:rFonts w:ascii="Arial" w:hAnsi="Arial" w:cs="Arial"/>
          <w:sz w:val="24"/>
          <w:szCs w:val="24"/>
        </w:rPr>
      </w:pPr>
      <w:r>
        <w:rPr>
          <w:rFonts w:ascii="Arial" w:hAnsi="Arial" w:cs="Arial"/>
          <w:sz w:val="24"/>
          <w:szCs w:val="24"/>
          <w:u w:val="single"/>
        </w:rPr>
        <w:t xml:space="preserve">Postage </w:t>
      </w:r>
    </w:p>
    <w:p w:rsidR="00834FDD" w:rsidP="00834FDD" w14:paraId="6FCBA4BF" w14:textId="77777777">
      <w:pPr>
        <w:pStyle w:val="NoSpacing"/>
        <w:rPr>
          <w:rFonts w:ascii="Arial" w:hAnsi="Arial" w:cs="Arial"/>
          <w:sz w:val="24"/>
          <w:szCs w:val="24"/>
        </w:rPr>
      </w:pPr>
    </w:p>
    <w:p w:rsidR="006E1A76" w:rsidP="00EA65E0" w14:paraId="2CDD569F" w14:textId="48E1C09D">
      <w:pPr>
        <w:pStyle w:val="NoSpacing"/>
        <w:rPr>
          <w:rFonts w:ascii="Arial" w:hAnsi="Arial" w:cs="Arial"/>
          <w:sz w:val="24"/>
          <w:szCs w:val="24"/>
        </w:rPr>
      </w:pPr>
      <w:r w:rsidRPr="6A9BA041">
        <w:rPr>
          <w:rFonts w:ascii="Arial" w:hAnsi="Arial" w:cs="Arial"/>
          <w:sz w:val="24"/>
          <w:szCs w:val="24"/>
        </w:rPr>
        <w:t xml:space="preserve">There are no </w:t>
      </w:r>
      <w:r w:rsidR="00B71150">
        <w:rPr>
          <w:rFonts w:ascii="Arial" w:hAnsi="Arial" w:cs="Arial"/>
          <w:sz w:val="24"/>
          <w:szCs w:val="24"/>
        </w:rPr>
        <w:t xml:space="preserve">additional </w:t>
      </w:r>
      <w:r w:rsidRPr="6A9BA041">
        <w:rPr>
          <w:rFonts w:ascii="Arial" w:hAnsi="Arial" w:cs="Arial"/>
          <w:sz w:val="24"/>
          <w:szCs w:val="24"/>
        </w:rPr>
        <w:t>postage costs associated with items in this information collection</w:t>
      </w:r>
      <w:r w:rsidRPr="6A9BA041" w:rsidR="003975F5">
        <w:rPr>
          <w:rFonts w:ascii="Arial" w:hAnsi="Arial" w:cs="Arial"/>
          <w:sz w:val="24"/>
          <w:szCs w:val="24"/>
        </w:rPr>
        <w:t xml:space="preserve"> </w:t>
      </w:r>
      <w:r w:rsidR="00B71150">
        <w:rPr>
          <w:rFonts w:ascii="Arial" w:hAnsi="Arial" w:cs="Arial"/>
          <w:bCs/>
          <w:sz w:val="24"/>
          <w:szCs w:val="24"/>
        </w:rPr>
        <w:t>that are not already accounted for in OMB control number 0651-0032</w:t>
      </w:r>
      <w:r w:rsidRPr="6A9BA041">
        <w:rPr>
          <w:rFonts w:ascii="Arial" w:hAnsi="Arial" w:cs="Arial"/>
          <w:sz w:val="24"/>
          <w:szCs w:val="24"/>
        </w:rPr>
        <w:t>.</w:t>
      </w:r>
    </w:p>
    <w:p w:rsidR="00385CF6" w:rsidRPr="007C16D9" w:rsidP="000F7273" w14:paraId="426D6BF5" w14:textId="77777777">
      <w:pPr>
        <w:pStyle w:val="NoSpacing"/>
        <w:jc w:val="both"/>
        <w:rPr>
          <w:rFonts w:ascii="Arial" w:hAnsi="Arial" w:cs="Arial"/>
          <w:bCs/>
          <w:sz w:val="24"/>
          <w:szCs w:val="24"/>
        </w:rPr>
      </w:pPr>
    </w:p>
    <w:p w:rsidR="000F7273" w:rsidRPr="0085779B" w:rsidP="00385CF6" w14:paraId="2FAC1E14" w14:textId="10B9DCF7">
      <w:pPr>
        <w:pStyle w:val="NoSpacing"/>
        <w:ind w:left="720" w:hanging="720"/>
        <w:jc w:val="both"/>
        <w:rPr>
          <w:rFonts w:ascii="Arial" w:hAnsi="Arial" w:cs="Arial"/>
          <w:b/>
          <w:bCs/>
          <w:sz w:val="24"/>
          <w:szCs w:val="24"/>
        </w:rPr>
      </w:pPr>
      <w:r w:rsidRPr="00385CF6">
        <w:rPr>
          <w:rFonts w:ascii="Arial" w:hAnsi="Arial" w:cs="Arial"/>
          <w:b/>
          <w:bCs/>
          <w:sz w:val="24"/>
          <w:szCs w:val="24"/>
        </w:rPr>
        <w:t>14.</w:t>
      </w:r>
      <w:r>
        <w:rPr>
          <w:rFonts w:ascii="Arial" w:hAnsi="Arial" w:cs="Arial"/>
          <w:b/>
          <w:bCs/>
          <w:sz w:val="24"/>
          <w:szCs w:val="24"/>
        </w:rPr>
        <w:t xml:space="preserve">   </w:t>
      </w:r>
      <w:r w:rsidRPr="0085779B">
        <w:rPr>
          <w:rFonts w:ascii="Arial" w:hAnsi="Arial" w:cs="Arial"/>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F7273" w:rsidRPr="006E1A76" w:rsidP="000F7273" w14:paraId="0CFCAF67" w14:textId="3065E709">
      <w:pPr>
        <w:pStyle w:val="NoSpacing"/>
        <w:jc w:val="both"/>
        <w:rPr>
          <w:rFonts w:ascii="Arial" w:hAnsi="Arial" w:cs="Arial"/>
          <w:bCs/>
          <w:sz w:val="24"/>
          <w:szCs w:val="24"/>
          <w:highlight w:val="yellow"/>
        </w:rPr>
      </w:pPr>
    </w:p>
    <w:p w:rsidR="006E1A76" w:rsidRPr="006E1A76" w:rsidP="006E1A76" w14:paraId="0C606F23" w14:textId="00401148">
      <w:pPr>
        <w:pStyle w:val="NoSpacing"/>
        <w:jc w:val="both"/>
        <w:rPr>
          <w:rFonts w:ascii="Arial" w:hAnsi="Arial" w:cs="Arial"/>
          <w:bCs/>
          <w:sz w:val="24"/>
          <w:szCs w:val="24"/>
        </w:rPr>
      </w:pPr>
      <w:r w:rsidRPr="006E1A76">
        <w:rPr>
          <w:rFonts w:ascii="Arial" w:hAnsi="Arial" w:cs="Arial"/>
          <w:bCs/>
          <w:sz w:val="24"/>
          <w:szCs w:val="24"/>
        </w:rPr>
        <w:t xml:space="preserve">There are no </w:t>
      </w:r>
      <w:r w:rsidR="00B71150">
        <w:rPr>
          <w:rFonts w:ascii="Arial" w:hAnsi="Arial" w:cs="Arial"/>
          <w:bCs/>
          <w:sz w:val="24"/>
          <w:szCs w:val="24"/>
        </w:rPr>
        <w:t xml:space="preserve">additional </w:t>
      </w:r>
      <w:r w:rsidRPr="006E1A76">
        <w:rPr>
          <w:rFonts w:ascii="Arial" w:hAnsi="Arial" w:cs="Arial"/>
          <w:bCs/>
          <w:sz w:val="24"/>
          <w:szCs w:val="24"/>
        </w:rPr>
        <w:t xml:space="preserve">government processing costs associated with </w:t>
      </w:r>
      <w:r w:rsidR="00B71150">
        <w:rPr>
          <w:rFonts w:ascii="Arial" w:hAnsi="Arial" w:cs="Arial"/>
          <w:bCs/>
          <w:sz w:val="24"/>
          <w:szCs w:val="24"/>
        </w:rPr>
        <w:t xml:space="preserve">the </w:t>
      </w:r>
      <w:r w:rsidRPr="006E1A76">
        <w:rPr>
          <w:rFonts w:ascii="Arial" w:hAnsi="Arial" w:cs="Arial"/>
          <w:bCs/>
          <w:sz w:val="24"/>
          <w:szCs w:val="24"/>
        </w:rPr>
        <w:t>items in this information collection</w:t>
      </w:r>
      <w:r w:rsidR="00B71150">
        <w:rPr>
          <w:rFonts w:ascii="Arial" w:hAnsi="Arial" w:cs="Arial"/>
          <w:bCs/>
          <w:sz w:val="24"/>
          <w:szCs w:val="24"/>
        </w:rPr>
        <w:t>, because t</w:t>
      </w:r>
      <w:r w:rsidRPr="006E1A76">
        <w:rPr>
          <w:rFonts w:ascii="Arial" w:hAnsi="Arial" w:cs="Arial"/>
          <w:bCs/>
          <w:sz w:val="24"/>
          <w:szCs w:val="24"/>
        </w:rPr>
        <w:t>he actual submission of patent applications, and any government cost burden, is covered by OMB control number 0651-0032 (Initial Patent Applications).</w:t>
      </w:r>
    </w:p>
    <w:p w:rsidR="00954CEE" w:rsidRPr="00933E52" w:rsidP="000F7273" w14:paraId="32BD0FEC" w14:textId="77777777">
      <w:pPr>
        <w:pStyle w:val="NoSpacing"/>
        <w:jc w:val="both"/>
        <w:rPr>
          <w:rFonts w:ascii="Arial" w:hAnsi="Arial" w:cs="Arial"/>
          <w:b/>
          <w:bCs/>
          <w:sz w:val="24"/>
          <w:szCs w:val="24"/>
          <w:highlight w:val="yellow"/>
        </w:rPr>
      </w:pPr>
    </w:p>
    <w:p w:rsidR="000F7273" w:rsidRPr="007C16D9" w:rsidP="00385CF6" w14:paraId="54E1B465" w14:textId="427411DD">
      <w:pPr>
        <w:pStyle w:val="NoSpacing"/>
        <w:numPr>
          <w:ilvl w:val="0"/>
          <w:numId w:val="22"/>
        </w:numPr>
        <w:ind w:hanging="720"/>
        <w:jc w:val="both"/>
        <w:rPr>
          <w:rFonts w:ascii="Arial" w:hAnsi="Arial" w:cs="Arial"/>
          <w:b/>
          <w:bCs/>
          <w:sz w:val="24"/>
          <w:szCs w:val="24"/>
        </w:rPr>
      </w:pPr>
      <w:r w:rsidRPr="007C16D9">
        <w:rPr>
          <w:rFonts w:ascii="Arial" w:hAnsi="Arial" w:cs="Arial"/>
          <w:b/>
          <w:bCs/>
          <w:sz w:val="24"/>
          <w:szCs w:val="24"/>
        </w:rPr>
        <w:t xml:space="preserve">Explain the reasons for any program changes or adjustments reported on the burden worksheet. </w:t>
      </w:r>
    </w:p>
    <w:p w:rsidR="000F7273" w:rsidRPr="007C16D9" w:rsidP="000F7273" w14:paraId="71D26672" w14:textId="77777777">
      <w:pPr>
        <w:pStyle w:val="NoSpacing"/>
        <w:jc w:val="both"/>
        <w:rPr>
          <w:rFonts w:ascii="Arial" w:hAnsi="Arial" w:cs="Arial"/>
          <w:bCs/>
          <w:sz w:val="24"/>
          <w:szCs w:val="24"/>
        </w:rPr>
      </w:pPr>
      <w:bookmarkStart w:id="8" w:name="_Hlk117672805"/>
    </w:p>
    <w:tbl>
      <w:tblPr>
        <w:tblDescription w:val="table that charts list of burden"/>
        <w:tblW w:w="4725"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
      <w:tblGrid>
        <w:gridCol w:w="1260"/>
        <w:gridCol w:w="1261"/>
        <w:gridCol w:w="1263"/>
        <w:gridCol w:w="1261"/>
        <w:gridCol w:w="1263"/>
        <w:gridCol w:w="1261"/>
        <w:gridCol w:w="1261"/>
      </w:tblGrid>
      <w:tr w14:paraId="2ABA275E" w14:textId="77777777" w:rsidTr="5D3F3A68">
        <w:tblPrEx>
          <w:tblW w:w="4725"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Ex>
        <w:trPr>
          <w:trHeight w:val="375"/>
        </w:trPr>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68F153DF"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0D2B867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59D1CDF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60D7043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33C9DED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71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6276B9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1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CD2E95" w:rsidRPr="008E27CC" w:rsidP="00BA0F7C" w14:paraId="7FBDAD9C"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2B3C7250" w14:textId="77777777" w:rsidTr="5D3F3A68">
        <w:tblPrEx>
          <w:tblW w:w="4725"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490DC8" w:rsidP="00BA0F7C" w14:paraId="428517FE" w14:textId="77777777">
            <w:pPr>
              <w:spacing w:line="225" w:lineRule="atLeast"/>
              <w:rPr>
                <w:rFonts w:ascii="Arial" w:hAnsi="Arial" w:cs="Arial"/>
                <w:sz w:val="17"/>
                <w:szCs w:val="17"/>
              </w:rPr>
            </w:pPr>
            <w:r w:rsidRPr="00490DC8">
              <w:rPr>
                <w:rFonts w:ascii="Arial" w:hAnsi="Arial" w:cs="Arial"/>
                <w:sz w:val="17"/>
                <w:szCs w:val="17"/>
              </w:rPr>
              <w:t>Annual Number of Responses</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06F632C2" w14:textId="5BE7162D">
            <w:pPr>
              <w:spacing w:line="0" w:lineRule="atLeast"/>
              <w:contextualSpacing/>
              <w:jc w:val="center"/>
              <w:rPr>
                <w:rFonts w:ascii="Arial" w:hAnsi="Arial" w:cs="Arial"/>
                <w:sz w:val="17"/>
                <w:szCs w:val="17"/>
              </w:rPr>
            </w:pPr>
            <w:r>
              <w:rPr>
                <w:rFonts w:ascii="Arial" w:hAnsi="Arial" w:cs="Arial"/>
                <w:sz w:val="17"/>
                <w:szCs w:val="17"/>
              </w:rPr>
              <w:t>411,817</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BA0F7C" w:rsidP="00441CB5" w14:paraId="2E05FAE5" w14:textId="77777777">
            <w:pPr>
              <w:spacing w:line="225" w:lineRule="atLeast"/>
              <w:jc w:val="center"/>
              <w:rPr>
                <w:rFonts w:ascii="Arial" w:hAnsi="Arial" w:cs="Arial"/>
                <w:sz w:val="17"/>
                <w:szCs w:val="17"/>
              </w:rPr>
            </w:pPr>
            <w:r w:rsidRPr="00BA0F7C">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3676E26F" w14:textId="08E6304D">
            <w:pPr>
              <w:spacing w:line="225" w:lineRule="atLeast"/>
              <w:jc w:val="center"/>
              <w:rPr>
                <w:rFonts w:ascii="Arial" w:hAnsi="Arial" w:cs="Arial"/>
                <w:sz w:val="17"/>
                <w:szCs w:val="17"/>
              </w:rPr>
            </w:pPr>
            <w:r>
              <w:rPr>
                <w:rFonts w:ascii="Arial" w:hAnsi="Arial" w:cs="Arial"/>
                <w:sz w:val="17"/>
                <w:szCs w:val="17"/>
              </w:rPr>
              <w:t>411,817</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09D97B7E" w14:textId="7FBB75BD">
            <w:pPr>
              <w:spacing w:line="225" w:lineRule="atLeast"/>
              <w:jc w:val="center"/>
              <w:rPr>
                <w:rFonts w:ascii="Arial" w:hAnsi="Arial" w:cs="Arial"/>
                <w:sz w:val="17"/>
                <w:szCs w:val="17"/>
              </w:rPr>
            </w:pPr>
            <w:r>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776348F7" w14:textId="110C98A8">
            <w:pPr>
              <w:spacing w:line="225" w:lineRule="atLeast"/>
              <w:jc w:val="center"/>
              <w:rPr>
                <w:rFonts w:ascii="Arial" w:hAnsi="Arial" w:cs="Arial"/>
                <w:sz w:val="17"/>
                <w:szCs w:val="17"/>
              </w:rPr>
            </w:pPr>
            <w:r w:rsidRPr="0072488D">
              <w:rPr>
                <w:rFonts w:ascii="Arial" w:hAnsi="Arial" w:cs="Arial"/>
                <w:sz w:val="17"/>
                <w:szCs w:val="17"/>
              </w:rPr>
              <w:t>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36F334C6" w14:textId="67C86C7D">
            <w:pPr>
              <w:spacing w:line="225" w:lineRule="atLeast"/>
              <w:jc w:val="center"/>
              <w:rPr>
                <w:rFonts w:ascii="Arial" w:hAnsi="Arial" w:cs="Arial"/>
                <w:sz w:val="17"/>
                <w:szCs w:val="17"/>
              </w:rPr>
            </w:pPr>
            <w:r>
              <w:rPr>
                <w:rFonts w:ascii="Arial" w:hAnsi="Arial" w:cs="Arial"/>
                <w:sz w:val="17"/>
                <w:szCs w:val="17"/>
              </w:rPr>
              <w:t>0</w:t>
            </w:r>
          </w:p>
        </w:tc>
      </w:tr>
      <w:tr w14:paraId="1222D646" w14:textId="77777777" w:rsidTr="5D3F3A68">
        <w:tblPrEx>
          <w:tblW w:w="4725"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490DC8" w:rsidP="00BA0F7C" w14:paraId="48FA2D7F" w14:textId="77777777">
            <w:pPr>
              <w:spacing w:line="225" w:lineRule="atLeast"/>
              <w:rPr>
                <w:rFonts w:ascii="Arial" w:hAnsi="Arial" w:cs="Arial"/>
                <w:sz w:val="17"/>
                <w:szCs w:val="17"/>
              </w:rPr>
            </w:pPr>
            <w:r w:rsidRPr="00490DC8">
              <w:rPr>
                <w:rFonts w:ascii="Arial" w:hAnsi="Arial" w:cs="Arial"/>
                <w:sz w:val="17"/>
                <w:szCs w:val="17"/>
              </w:rPr>
              <w:t>Annual Time Burden (Hr)</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40B03116" w14:textId="01D7AE5A">
            <w:pPr>
              <w:spacing w:line="0" w:lineRule="atLeast"/>
              <w:contextualSpacing/>
              <w:jc w:val="center"/>
              <w:rPr>
                <w:rFonts w:ascii="Arial" w:hAnsi="Arial" w:cs="Arial"/>
                <w:sz w:val="17"/>
                <w:szCs w:val="17"/>
              </w:rPr>
            </w:pPr>
            <w:r>
              <w:rPr>
                <w:rFonts w:ascii="Arial" w:hAnsi="Arial" w:cs="Arial"/>
                <w:sz w:val="17"/>
                <w:szCs w:val="17"/>
              </w:rPr>
              <w:t>123,877</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4257EB90" w14:textId="77777777">
            <w:pPr>
              <w:spacing w:line="225" w:lineRule="atLeast"/>
              <w:jc w:val="center"/>
              <w:rPr>
                <w:rFonts w:ascii="Arial" w:hAnsi="Arial" w:cs="Arial"/>
                <w:sz w:val="17"/>
                <w:szCs w:val="17"/>
              </w:rPr>
            </w:pPr>
            <w:r w:rsidRPr="007824F9">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BA0F7C" w:rsidP="00441CB5" w14:paraId="41F4D398" w14:textId="565399DB">
            <w:pPr>
              <w:spacing w:line="225" w:lineRule="atLeast"/>
              <w:jc w:val="center"/>
              <w:rPr>
                <w:rFonts w:ascii="Arial" w:hAnsi="Arial" w:cs="Arial"/>
                <w:sz w:val="17"/>
                <w:szCs w:val="17"/>
              </w:rPr>
            </w:pPr>
            <w:r w:rsidRPr="00C0358B">
              <w:rPr>
                <w:rFonts w:ascii="Arial" w:hAnsi="Arial" w:cs="Arial"/>
                <w:sz w:val="17"/>
                <w:szCs w:val="17"/>
              </w:rPr>
              <w:t>123,877</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686657B7" w14:textId="13DE8EA0">
            <w:pPr>
              <w:spacing w:line="225" w:lineRule="atLeast"/>
              <w:jc w:val="center"/>
              <w:rPr>
                <w:rFonts w:ascii="Arial" w:hAnsi="Arial" w:cs="Arial"/>
                <w:sz w:val="17"/>
                <w:szCs w:val="17"/>
              </w:rPr>
            </w:pPr>
            <w:r>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393FFE18" w14:textId="2B492612">
            <w:pPr>
              <w:spacing w:line="225" w:lineRule="atLeast"/>
              <w:jc w:val="center"/>
              <w:rPr>
                <w:rFonts w:ascii="Arial" w:hAnsi="Arial" w:cs="Arial"/>
                <w:sz w:val="17"/>
                <w:szCs w:val="17"/>
              </w:rPr>
            </w:pPr>
            <w:r w:rsidRPr="0072488D">
              <w:rPr>
                <w:rFonts w:ascii="Arial" w:hAnsi="Arial" w:cs="Arial"/>
                <w:sz w:val="17"/>
                <w:szCs w:val="17"/>
              </w:rPr>
              <w:t>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6703A6CC" w14:textId="30C8B344">
            <w:pPr>
              <w:spacing w:line="225" w:lineRule="atLeast"/>
              <w:jc w:val="center"/>
              <w:rPr>
                <w:rFonts w:ascii="Arial" w:hAnsi="Arial" w:cs="Arial"/>
                <w:sz w:val="17"/>
                <w:szCs w:val="17"/>
              </w:rPr>
            </w:pPr>
            <w:r>
              <w:rPr>
                <w:rFonts w:ascii="Arial" w:hAnsi="Arial" w:cs="Arial"/>
                <w:sz w:val="17"/>
                <w:szCs w:val="17"/>
              </w:rPr>
              <w:t>0</w:t>
            </w:r>
          </w:p>
        </w:tc>
      </w:tr>
      <w:tr w14:paraId="2E6D0DD4" w14:textId="77777777" w:rsidTr="5D3F3A68">
        <w:tblPrEx>
          <w:tblW w:w="4725" w:type="pct"/>
          <w:tblLayout w:type="fixed"/>
          <w:tblCellMar>
            <w:left w:w="0" w:type="dxa"/>
            <w:right w:w="0" w:type="dxa"/>
          </w:tblCellMar>
          <w:tblLook w:val="04A0"/>
        </w:tblPrEx>
        <w:trPr>
          <w:trHeight w:val="375"/>
        </w:trPr>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BA0F7C" w14:paraId="5D830010" w14:textId="77777777">
            <w:pPr>
              <w:spacing w:line="225" w:lineRule="atLeast"/>
              <w:rPr>
                <w:rFonts w:ascii="Arial" w:hAnsi="Arial" w:cs="Arial"/>
                <w:sz w:val="17"/>
                <w:szCs w:val="17"/>
              </w:rPr>
            </w:pPr>
            <w:r w:rsidRPr="007824F9">
              <w:rPr>
                <w:rFonts w:ascii="Arial" w:hAnsi="Arial" w:cs="Arial"/>
                <w:sz w:val="17"/>
                <w:szCs w:val="17"/>
              </w:rPr>
              <w:t>Annual Cost Burden ($)</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05A64E57" w14:textId="4A4864E6">
            <w:pPr>
              <w:spacing w:line="0" w:lineRule="atLeast"/>
              <w:ind w:right="-89"/>
              <w:contextualSpacing/>
              <w:jc w:val="center"/>
              <w:rPr>
                <w:rFonts w:ascii="Arial" w:hAnsi="Arial" w:cs="Arial"/>
                <w:sz w:val="17"/>
                <w:szCs w:val="17"/>
              </w:rPr>
            </w:pPr>
            <w:r>
              <w:rPr>
                <w:rFonts w:ascii="Arial" w:hAnsi="Arial" w:cs="Arial"/>
                <w:sz w:val="17"/>
                <w:szCs w:val="17"/>
              </w:rPr>
              <w:t>49,588,160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824F9" w:rsidP="00441CB5" w14:paraId="581821FE" w14:textId="30464D7E">
            <w:pPr>
              <w:spacing w:line="225" w:lineRule="atLeast"/>
              <w:jc w:val="center"/>
              <w:rPr>
                <w:rFonts w:ascii="Arial" w:hAnsi="Arial" w:cs="Arial"/>
                <w:sz w:val="17"/>
                <w:szCs w:val="17"/>
              </w:rPr>
            </w:pPr>
            <w:r w:rsidRPr="007824F9">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BA0F7C" w:rsidP="00441CB5" w14:paraId="30DCE491" w14:textId="3A793FFF">
            <w:pPr>
              <w:spacing w:line="225" w:lineRule="atLeast"/>
              <w:jc w:val="center"/>
              <w:rPr>
                <w:rFonts w:ascii="Arial" w:hAnsi="Arial" w:cs="Arial"/>
                <w:sz w:val="17"/>
                <w:szCs w:val="17"/>
              </w:rPr>
            </w:pPr>
            <w:r w:rsidRPr="5D3F3A68">
              <w:rPr>
                <w:rFonts w:ascii="Arial" w:hAnsi="Arial" w:cs="Arial"/>
                <w:sz w:val="17"/>
                <w:szCs w:val="17"/>
              </w:rPr>
              <w:t>49,588,160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2539599B" w14:textId="476FB1CF">
            <w:pPr>
              <w:spacing w:line="225" w:lineRule="atLeast"/>
              <w:jc w:val="center"/>
              <w:rPr>
                <w:rFonts w:ascii="Arial" w:hAnsi="Arial" w:cs="Arial"/>
                <w:sz w:val="17"/>
                <w:szCs w:val="17"/>
              </w:rPr>
            </w:pPr>
            <w:r>
              <w:rPr>
                <w:rFonts w:ascii="Arial" w:hAnsi="Arial" w:cs="Arial"/>
                <w:sz w:val="17"/>
                <w:szCs w:val="17"/>
              </w:rPr>
              <w:t>0</w:t>
            </w:r>
          </w:p>
        </w:tc>
        <w:tc>
          <w:tcPr>
            <w:tcW w:w="71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242F5B5D" w14:textId="1417A328">
            <w:pPr>
              <w:spacing w:line="225" w:lineRule="atLeast"/>
              <w:jc w:val="center"/>
              <w:rPr>
                <w:rFonts w:ascii="Arial" w:hAnsi="Arial" w:cs="Arial"/>
                <w:sz w:val="17"/>
                <w:szCs w:val="17"/>
              </w:rPr>
            </w:pPr>
            <w:r w:rsidRPr="0072488D">
              <w:rPr>
                <w:rFonts w:ascii="Arial" w:hAnsi="Arial" w:cs="Arial"/>
                <w:sz w:val="17"/>
                <w:szCs w:val="17"/>
              </w:rPr>
              <w:t>0</w:t>
            </w:r>
          </w:p>
        </w:tc>
        <w:tc>
          <w:tcPr>
            <w:tcW w:w="71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CD2E95" w:rsidRPr="0072488D" w:rsidP="00441CB5" w14:paraId="47D0C046" w14:textId="601D4831">
            <w:pPr>
              <w:spacing w:line="225" w:lineRule="atLeast"/>
              <w:jc w:val="center"/>
              <w:rPr>
                <w:rFonts w:ascii="Arial" w:hAnsi="Arial" w:cs="Arial"/>
                <w:sz w:val="17"/>
                <w:szCs w:val="17"/>
              </w:rPr>
            </w:pPr>
            <w:r>
              <w:rPr>
                <w:rFonts w:ascii="Arial" w:hAnsi="Arial" w:cs="Arial"/>
                <w:sz w:val="17"/>
                <w:szCs w:val="17"/>
              </w:rPr>
              <w:t>0</w:t>
            </w:r>
          </w:p>
        </w:tc>
      </w:tr>
    </w:tbl>
    <w:p w:rsidR="003975F5" w:rsidP="00A85F6C" w14:paraId="3DDDA4F5" w14:textId="77777777">
      <w:pPr>
        <w:rPr>
          <w:rFonts w:ascii="Arial" w:hAnsi="Arial" w:cs="Arial"/>
          <w:u w:val="single"/>
        </w:rPr>
      </w:pPr>
    </w:p>
    <w:p w:rsidR="00A85F6C" w:rsidRPr="008E6162" w:rsidP="00A85F6C" w14:paraId="21EA9D66" w14:textId="429DE16B">
      <w:pPr>
        <w:rPr>
          <w:rFonts w:ascii="Arial" w:hAnsi="Arial" w:cs="Arial"/>
          <w:sz w:val="40"/>
          <w:u w:val="single"/>
        </w:rPr>
      </w:pPr>
      <w:r w:rsidRPr="008E6162">
        <w:rPr>
          <w:rFonts w:ascii="Arial" w:hAnsi="Arial" w:cs="Arial"/>
          <w:u w:val="single"/>
        </w:rPr>
        <w:t>Change</w:t>
      </w:r>
      <w:r w:rsidR="006E1A76">
        <w:rPr>
          <w:rFonts w:ascii="Arial" w:hAnsi="Arial" w:cs="Arial"/>
          <w:u w:val="single"/>
        </w:rPr>
        <w:t>s</w:t>
      </w:r>
      <w:r w:rsidRPr="008E6162">
        <w:rPr>
          <w:rFonts w:ascii="Arial" w:hAnsi="Arial" w:cs="Arial"/>
          <w:u w:val="single"/>
        </w:rPr>
        <w:t xml:space="preserve"> </w:t>
      </w:r>
      <w:r>
        <w:rPr>
          <w:rFonts w:ascii="Arial" w:hAnsi="Arial" w:cs="Arial"/>
          <w:u w:val="single"/>
        </w:rPr>
        <w:t>due to Agency Discretion</w:t>
      </w:r>
    </w:p>
    <w:p w:rsidR="00A85F6C" w:rsidP="00A85F6C" w14:paraId="40A51CE9" w14:textId="77777777">
      <w:pPr>
        <w:rPr>
          <w:rFonts w:ascii="Arial" w:hAnsi="Arial" w:cs="Arial"/>
          <w:u w:val="single"/>
        </w:rPr>
      </w:pPr>
    </w:p>
    <w:p w:rsidR="00A85F6C" w:rsidP="00A85F6C" w14:paraId="1952DBBB" w14:textId="76DDF965">
      <w:pPr>
        <w:jc w:val="both"/>
        <w:rPr>
          <w:rFonts w:ascii="Arial" w:hAnsi="Arial" w:cs="Arial"/>
        </w:rPr>
      </w:pPr>
      <w:r w:rsidRPr="6A9BA041">
        <w:rPr>
          <w:rFonts w:ascii="Arial" w:hAnsi="Arial" w:cs="Arial"/>
        </w:rPr>
        <w:t xml:space="preserve">This is a new information collection to </w:t>
      </w:r>
      <w:r w:rsidRPr="6A9BA041" w:rsidR="00453F48">
        <w:rPr>
          <w:rFonts w:ascii="Arial" w:hAnsi="Arial" w:cs="Arial"/>
        </w:rPr>
        <w:t xml:space="preserve">support </w:t>
      </w:r>
      <w:r w:rsidR="00453F48">
        <w:rPr>
          <w:rFonts w:ascii="Arial" w:hAnsi="Arial" w:cs="Arial"/>
        </w:rPr>
        <w:t xml:space="preserve">the </w:t>
      </w:r>
      <w:r w:rsidRPr="6A9BA041" w:rsidR="00453F48">
        <w:rPr>
          <w:rFonts w:ascii="Arial" w:hAnsi="Arial" w:cs="Arial"/>
        </w:rPr>
        <w:t>submission to the USPTO</w:t>
      </w:r>
      <w:r w:rsidR="00453F48">
        <w:rPr>
          <w:rFonts w:ascii="Arial" w:hAnsi="Arial" w:cs="Arial"/>
        </w:rPr>
        <w:t xml:space="preserve"> of applications in the DOCX format. The USPTO is adopting the DOCX format because it </w:t>
      </w:r>
      <w:r w:rsidRPr="00B80A23" w:rsidR="00453F48">
        <w:rPr>
          <w:rFonts w:ascii="Arial" w:hAnsi="Arial" w:cs="Arial"/>
        </w:rPr>
        <w:t>aligns with the USPTO’s plans to expand automation of the patent application process, which will increase efficiencies and reduce costs for applicants and the USPTO</w:t>
      </w:r>
      <w:r w:rsidR="00453F48">
        <w:rPr>
          <w:rFonts w:ascii="Arial" w:hAnsi="Arial" w:cs="Arial"/>
        </w:rPr>
        <w:t>.</w:t>
      </w:r>
    </w:p>
    <w:bookmarkEnd w:id="8"/>
    <w:p w:rsidR="000F7273" w:rsidRPr="00B14C51" w:rsidP="000F7273" w14:paraId="23F6774C" w14:textId="77777777">
      <w:pPr>
        <w:pStyle w:val="NoSpacing"/>
        <w:jc w:val="both"/>
        <w:rPr>
          <w:rFonts w:ascii="Arial" w:hAnsi="Arial" w:cs="Arial"/>
          <w:bCs/>
          <w:sz w:val="24"/>
          <w:szCs w:val="24"/>
        </w:rPr>
      </w:pPr>
    </w:p>
    <w:p w:rsidR="000F7273" w:rsidRPr="00E032D4" w:rsidP="00385CF6" w14:paraId="414B7228" w14:textId="17151C5E">
      <w:pPr>
        <w:widowControl/>
        <w:tabs>
          <w:tab w:val="left" w:pos="-984"/>
          <w:tab w:val="left" w:pos="-720"/>
          <w:tab w:val="left" w:pos="720"/>
        </w:tabs>
        <w:ind w:left="720" w:hanging="720"/>
        <w:jc w:val="both"/>
        <w:rPr>
          <w:rFonts w:ascii="Arial" w:hAnsi="Arial" w:cs="Arial"/>
          <w:b/>
        </w:rPr>
      </w:pPr>
      <w:r w:rsidRPr="00B14C51">
        <w:rPr>
          <w:rFonts w:ascii="Arial" w:hAnsi="Arial" w:cs="Arial"/>
          <w:b/>
          <w:bCs/>
        </w:rPr>
        <w:t xml:space="preserve">16. </w:t>
      </w:r>
      <w:r w:rsidRPr="00B14C51">
        <w:rPr>
          <w:rFonts w:ascii="Arial" w:hAnsi="Arial" w:cs="Arial"/>
          <w:b/>
          <w:bCs/>
        </w:rPr>
        <w:tab/>
      </w:r>
      <w:r w:rsidRPr="00E032D4">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F7273" w:rsidRPr="00B14C51" w:rsidP="000F7273" w14:paraId="06673051" w14:textId="77777777">
      <w:pPr>
        <w:pStyle w:val="NoSpacing"/>
        <w:jc w:val="both"/>
        <w:rPr>
          <w:rFonts w:ascii="Arial" w:hAnsi="Arial" w:cs="Arial"/>
          <w:bCs/>
          <w:sz w:val="24"/>
          <w:szCs w:val="24"/>
        </w:rPr>
      </w:pPr>
    </w:p>
    <w:p w:rsidR="000F7273" w:rsidRPr="006A6E7C" w:rsidP="000F7273" w14:paraId="3FB5475A" w14:textId="0EEC3760">
      <w:pPr>
        <w:pStyle w:val="NoSpacing"/>
        <w:jc w:val="both"/>
        <w:rPr>
          <w:rFonts w:ascii="Arial" w:hAnsi="Arial" w:cs="Arial"/>
          <w:bCs/>
          <w:i/>
          <w:sz w:val="24"/>
          <w:szCs w:val="24"/>
        </w:rPr>
      </w:pPr>
      <w:r>
        <w:rPr>
          <w:rFonts w:ascii="Arial" w:hAnsi="Arial" w:cs="Arial"/>
          <w:sz w:val="24"/>
          <w:szCs w:val="24"/>
        </w:rPr>
        <w:t>T</w:t>
      </w:r>
      <w:r w:rsidR="00453F48">
        <w:rPr>
          <w:rFonts w:ascii="Arial" w:hAnsi="Arial" w:cs="Arial"/>
          <w:sz w:val="24"/>
          <w:szCs w:val="24"/>
        </w:rPr>
        <w:t xml:space="preserve">he USPTO publishes </w:t>
      </w:r>
      <w:r w:rsidRPr="00177CBC" w:rsidR="00453F48">
        <w:rPr>
          <w:rFonts w:ascii="Arial" w:hAnsi="Arial" w:cs="Arial"/>
          <w:sz w:val="24"/>
        </w:rPr>
        <w:t>application</w:t>
      </w:r>
      <w:r w:rsidR="00453F48">
        <w:rPr>
          <w:rFonts w:ascii="Arial" w:hAnsi="Arial" w:cs="Arial"/>
          <w:sz w:val="24"/>
        </w:rPr>
        <w:t>s</w:t>
      </w:r>
      <w:r w:rsidRPr="00177CBC" w:rsidR="00453F48">
        <w:rPr>
          <w:rFonts w:ascii="Arial" w:hAnsi="Arial" w:cs="Arial"/>
          <w:sz w:val="24"/>
        </w:rPr>
        <w:t xml:space="preserve"> </w:t>
      </w:r>
      <w:r w:rsidR="00453F48">
        <w:rPr>
          <w:rFonts w:ascii="Arial" w:hAnsi="Arial" w:cs="Arial"/>
          <w:sz w:val="24"/>
          <w:szCs w:val="24"/>
        </w:rPr>
        <w:t xml:space="preserve">under 35 U.S.C. 122(b) </w:t>
      </w:r>
      <w:r w:rsidR="00453F48">
        <w:rPr>
          <w:rFonts w:ascii="Arial" w:hAnsi="Arial" w:cs="Arial"/>
          <w:sz w:val="24"/>
        </w:rPr>
        <w:t xml:space="preserve">and issues </w:t>
      </w:r>
      <w:r w:rsidRPr="00177CBC" w:rsidR="00453F48">
        <w:rPr>
          <w:rFonts w:ascii="Arial" w:hAnsi="Arial" w:cs="Arial"/>
          <w:sz w:val="24"/>
        </w:rPr>
        <w:t>patent</w:t>
      </w:r>
      <w:r w:rsidR="00453F48">
        <w:rPr>
          <w:rFonts w:ascii="Arial" w:hAnsi="Arial" w:cs="Arial"/>
          <w:sz w:val="24"/>
        </w:rPr>
        <w:t>s</w:t>
      </w:r>
      <w:r w:rsidRPr="00177CBC" w:rsidR="00453F48">
        <w:rPr>
          <w:rFonts w:ascii="Arial" w:hAnsi="Arial" w:cs="Arial"/>
          <w:sz w:val="24"/>
          <w:szCs w:val="24"/>
        </w:rPr>
        <w:t xml:space="preserve"> </w:t>
      </w:r>
      <w:r w:rsidR="00453F48">
        <w:rPr>
          <w:rFonts w:ascii="Arial" w:hAnsi="Arial" w:cs="Arial"/>
          <w:sz w:val="24"/>
          <w:szCs w:val="24"/>
        </w:rPr>
        <w:t xml:space="preserve">under 35 U.S.C. 153. Also, </w:t>
      </w:r>
      <w:r w:rsidRPr="786EC198" w:rsidR="00383D86">
        <w:rPr>
          <w:rFonts w:ascii="Arial" w:hAnsi="Arial" w:cs="Arial"/>
          <w:sz w:val="24"/>
          <w:szCs w:val="24"/>
        </w:rPr>
        <w:t xml:space="preserve">information regarding patent applications filed and patents granted is </w:t>
      </w:r>
      <w:r w:rsidRPr="786EC198" w:rsidR="00383D86">
        <w:rPr>
          <w:rFonts w:ascii="Arial" w:hAnsi="Arial" w:cs="Arial"/>
          <w:sz w:val="24"/>
          <w:szCs w:val="24"/>
        </w:rPr>
        <w:t xml:space="preserve">published weekly in the </w:t>
      </w:r>
      <w:r w:rsidRPr="006A6E7C" w:rsidR="002C213B">
        <w:rPr>
          <w:rFonts w:ascii="Arial" w:hAnsi="Arial" w:cs="Arial"/>
          <w:sz w:val="24"/>
          <w:szCs w:val="24"/>
        </w:rPr>
        <w:t>Official Gazette of the United States Patent and Trademark Office</w:t>
      </w:r>
      <w:r w:rsidRPr="786EC198" w:rsidR="00383D86">
        <w:rPr>
          <w:rFonts w:ascii="Arial" w:hAnsi="Arial" w:cs="Arial"/>
          <w:i/>
          <w:iCs/>
          <w:sz w:val="24"/>
          <w:szCs w:val="24"/>
        </w:rPr>
        <w:t xml:space="preserve"> </w:t>
      </w:r>
      <w:r w:rsidRPr="786EC198" w:rsidR="00383D86">
        <w:rPr>
          <w:rFonts w:ascii="Arial" w:hAnsi="Arial" w:cs="Arial"/>
          <w:sz w:val="24"/>
          <w:szCs w:val="24"/>
        </w:rPr>
        <w:t xml:space="preserve">on the USPTO </w:t>
      </w:r>
      <w:r w:rsidR="00453F48">
        <w:rPr>
          <w:rFonts w:ascii="Arial" w:hAnsi="Arial" w:cs="Arial"/>
          <w:sz w:val="24"/>
          <w:szCs w:val="24"/>
        </w:rPr>
        <w:t>w</w:t>
      </w:r>
      <w:r w:rsidRPr="786EC198" w:rsidR="00383D86">
        <w:rPr>
          <w:rFonts w:ascii="Arial" w:hAnsi="Arial" w:cs="Arial"/>
          <w:sz w:val="24"/>
          <w:szCs w:val="24"/>
        </w:rPr>
        <w:t>ebsite</w:t>
      </w:r>
      <w:r w:rsidRPr="786EC198" w:rsidR="00383D86">
        <w:rPr>
          <w:rFonts w:ascii="Arial" w:hAnsi="Arial" w:cs="Arial"/>
          <w:i/>
          <w:iCs/>
          <w:sz w:val="24"/>
          <w:szCs w:val="24"/>
        </w:rPr>
        <w:t>.</w:t>
      </w:r>
      <w:r>
        <w:rPr>
          <w:rStyle w:val="FootnoteReference"/>
          <w:rFonts w:ascii="Arial" w:hAnsi="Arial" w:cs="Arial"/>
          <w:sz w:val="24"/>
          <w:szCs w:val="24"/>
        </w:rPr>
        <w:footnoteReference w:id="6"/>
      </w:r>
    </w:p>
    <w:p w:rsidR="000F7273" w:rsidRPr="006A6E7C" w:rsidP="000F7273" w14:paraId="287F1CD1" w14:textId="77777777">
      <w:pPr>
        <w:pStyle w:val="NoSpacing"/>
        <w:jc w:val="both"/>
        <w:rPr>
          <w:rFonts w:ascii="Arial" w:hAnsi="Arial" w:cs="Arial"/>
          <w:bCs/>
          <w:i/>
          <w:sz w:val="24"/>
          <w:szCs w:val="24"/>
        </w:rPr>
      </w:pPr>
    </w:p>
    <w:p w:rsidR="000F7273" w:rsidRPr="00C1322D" w:rsidP="00385CF6" w14:paraId="2F813E97" w14:textId="77777777">
      <w:pPr>
        <w:pStyle w:val="NoSpacing"/>
        <w:ind w:left="720" w:hanging="720"/>
        <w:jc w:val="both"/>
        <w:rPr>
          <w:rFonts w:ascii="Arial" w:hAnsi="Arial" w:cs="Arial"/>
          <w:bCs/>
          <w:sz w:val="24"/>
        </w:rPr>
      </w:pPr>
      <w:r w:rsidRPr="00B14C51">
        <w:rPr>
          <w:rFonts w:ascii="Arial" w:hAnsi="Arial" w:cs="Arial"/>
          <w:b/>
          <w:bCs/>
          <w:sz w:val="24"/>
          <w:szCs w:val="24"/>
        </w:rPr>
        <w:t xml:space="preserve">17. </w:t>
      </w:r>
      <w:r w:rsidRPr="00B14C51">
        <w:rPr>
          <w:rFonts w:ascii="Arial" w:hAnsi="Arial" w:cs="Arial"/>
          <w:b/>
          <w:bCs/>
          <w:sz w:val="24"/>
          <w:szCs w:val="24"/>
        </w:rPr>
        <w:tab/>
      </w:r>
      <w:r w:rsidRPr="00C1322D">
        <w:rPr>
          <w:rFonts w:ascii="Arial" w:hAnsi="Arial" w:cs="Arial"/>
          <w:b/>
          <w:bCs/>
          <w:sz w:val="24"/>
        </w:rPr>
        <w:t>If seeking approval to not display the expiration date for OMB approval of the information collection, explain the reasons that display would be inappropriate.</w:t>
      </w:r>
    </w:p>
    <w:p w:rsidR="000F7273" w:rsidRPr="00B14C51" w:rsidP="000F7273" w14:paraId="0C4AF755" w14:textId="77777777">
      <w:pPr>
        <w:pStyle w:val="NoSpacing"/>
        <w:jc w:val="both"/>
        <w:rPr>
          <w:rFonts w:ascii="Arial" w:hAnsi="Arial" w:cs="Arial"/>
          <w:bCs/>
          <w:sz w:val="24"/>
          <w:szCs w:val="24"/>
        </w:rPr>
      </w:pPr>
    </w:p>
    <w:p w:rsidR="000F7273" w:rsidRPr="00B14C51" w:rsidP="000F7273" w14:paraId="32FF2E81" w14:textId="4EDB62A6">
      <w:pPr>
        <w:pStyle w:val="NoSpacing"/>
        <w:jc w:val="both"/>
        <w:rPr>
          <w:rFonts w:ascii="Arial" w:hAnsi="Arial" w:cs="Arial"/>
          <w:bCs/>
          <w:sz w:val="24"/>
          <w:szCs w:val="24"/>
        </w:rPr>
      </w:pPr>
      <w:r w:rsidRPr="00B14C51">
        <w:rPr>
          <w:rFonts w:ascii="Arial" w:hAnsi="Arial" w:cs="Arial"/>
          <w:bCs/>
          <w:sz w:val="24"/>
          <w:szCs w:val="24"/>
        </w:rPr>
        <w:t xml:space="preserve">The </w:t>
      </w:r>
      <w:r w:rsidR="00AF2315">
        <w:rPr>
          <w:rFonts w:ascii="Arial" w:hAnsi="Arial" w:cs="Arial"/>
          <w:bCs/>
          <w:sz w:val="24"/>
          <w:szCs w:val="24"/>
        </w:rPr>
        <w:t xml:space="preserve">items </w:t>
      </w:r>
      <w:r w:rsidRPr="00B14C51">
        <w:rPr>
          <w:rFonts w:ascii="Arial" w:hAnsi="Arial" w:cs="Arial"/>
          <w:bCs/>
          <w:sz w:val="24"/>
          <w:szCs w:val="24"/>
        </w:rPr>
        <w:t>in this information collection will display the expiration date</w:t>
      </w:r>
      <w:r>
        <w:rPr>
          <w:rFonts w:ascii="Arial" w:hAnsi="Arial" w:cs="Arial"/>
          <w:bCs/>
          <w:sz w:val="24"/>
          <w:szCs w:val="24"/>
        </w:rPr>
        <w:t xml:space="preserve"> for OMB approval</w:t>
      </w:r>
      <w:r w:rsidRPr="00B14C51">
        <w:rPr>
          <w:rFonts w:ascii="Arial" w:hAnsi="Arial" w:cs="Arial"/>
          <w:bCs/>
          <w:sz w:val="24"/>
          <w:szCs w:val="24"/>
        </w:rPr>
        <w:t>.</w:t>
      </w:r>
    </w:p>
    <w:p w:rsidR="000F7273" w:rsidRPr="00B14C51" w:rsidP="000F7273" w14:paraId="02A7CE4E" w14:textId="77777777">
      <w:pPr>
        <w:pStyle w:val="NoSpacing"/>
        <w:jc w:val="both"/>
        <w:rPr>
          <w:rFonts w:ascii="Arial" w:hAnsi="Arial" w:cs="Arial"/>
          <w:bCs/>
          <w:sz w:val="24"/>
          <w:szCs w:val="24"/>
        </w:rPr>
      </w:pPr>
    </w:p>
    <w:p w:rsidR="000F7273" w:rsidRPr="009A5466" w:rsidP="00385CF6" w14:paraId="7AA225BA" w14:textId="77777777">
      <w:pPr>
        <w:pStyle w:val="NoSpacing"/>
        <w:ind w:left="720" w:hanging="720"/>
        <w:jc w:val="both"/>
        <w:rPr>
          <w:rFonts w:ascii="Arial" w:hAnsi="Arial" w:cs="Arial"/>
          <w:bCs/>
          <w:sz w:val="20"/>
        </w:rPr>
      </w:pPr>
      <w:r w:rsidRPr="00B14C51">
        <w:rPr>
          <w:rFonts w:ascii="Arial" w:hAnsi="Arial" w:cs="Arial"/>
          <w:b/>
          <w:bCs/>
          <w:sz w:val="24"/>
          <w:szCs w:val="24"/>
        </w:rPr>
        <w:t xml:space="preserve">18. </w:t>
      </w:r>
      <w:r w:rsidRPr="00B14C51">
        <w:rPr>
          <w:rFonts w:ascii="Arial" w:hAnsi="Arial" w:cs="Arial"/>
          <w:b/>
          <w:bCs/>
          <w:sz w:val="24"/>
          <w:szCs w:val="24"/>
        </w:rPr>
        <w:tab/>
      </w:r>
      <w:r w:rsidRPr="00C1322D">
        <w:rPr>
          <w:rFonts w:ascii="Arial" w:hAnsi="Arial" w:cs="Arial"/>
          <w:b/>
          <w:bCs/>
          <w:sz w:val="24"/>
        </w:rPr>
        <w:t>Explain each exception to the topics of the certification statement identified in “Certification for Paperwork Reduction Act Submissions.”</w:t>
      </w:r>
    </w:p>
    <w:p w:rsidR="000F7273" w:rsidRPr="00B14C51" w:rsidP="000F7273" w14:paraId="398E54E6" w14:textId="77777777">
      <w:pPr>
        <w:pStyle w:val="NoSpacing"/>
        <w:jc w:val="both"/>
        <w:rPr>
          <w:rFonts w:ascii="Arial" w:hAnsi="Arial" w:cs="Arial"/>
          <w:bCs/>
          <w:sz w:val="24"/>
          <w:szCs w:val="24"/>
        </w:rPr>
      </w:pPr>
    </w:p>
    <w:p w:rsidR="000F7273" w:rsidRPr="00B14C51" w:rsidP="000F7273" w14:paraId="625E20F1" w14:textId="086F195C">
      <w:pPr>
        <w:pStyle w:val="NoSpacing"/>
        <w:jc w:val="both"/>
        <w:rPr>
          <w:rFonts w:ascii="Arial" w:hAnsi="Arial" w:cs="Arial"/>
          <w:bCs/>
          <w:sz w:val="24"/>
          <w:szCs w:val="24"/>
        </w:rPr>
      </w:pPr>
      <w:r w:rsidRPr="00B14C51">
        <w:rPr>
          <w:rFonts w:ascii="Arial" w:hAnsi="Arial" w:cs="Arial"/>
          <w:bCs/>
          <w:sz w:val="24"/>
          <w:szCs w:val="24"/>
        </w:rPr>
        <w:t>This collection of information does not include any exceptions to the certificat</w:t>
      </w:r>
      <w:r w:rsidR="00CA5ACF">
        <w:rPr>
          <w:rFonts w:ascii="Arial" w:hAnsi="Arial" w:cs="Arial"/>
          <w:bCs/>
          <w:sz w:val="24"/>
          <w:szCs w:val="24"/>
        </w:rPr>
        <w:t>ion</w:t>
      </w:r>
      <w:r w:rsidRPr="00B14C51">
        <w:rPr>
          <w:rFonts w:ascii="Arial" w:hAnsi="Arial" w:cs="Arial"/>
          <w:bCs/>
          <w:sz w:val="24"/>
          <w:szCs w:val="24"/>
        </w:rPr>
        <w:t xml:space="preserve"> statement.</w:t>
      </w:r>
    </w:p>
    <w:p w:rsidR="000F7273" w:rsidRPr="00B14C51" w:rsidP="000F7273" w14:paraId="5022AE2B" w14:textId="77777777">
      <w:pPr>
        <w:pStyle w:val="NoSpacing"/>
        <w:jc w:val="both"/>
        <w:rPr>
          <w:rFonts w:ascii="Arial" w:hAnsi="Arial" w:cs="Arial"/>
          <w:bCs/>
          <w:sz w:val="24"/>
          <w:szCs w:val="24"/>
        </w:rPr>
      </w:pPr>
    </w:p>
    <w:p w:rsidR="000F7273" w:rsidRPr="00B14C51" w:rsidP="000F7273" w14:paraId="5D8081AF" w14:textId="77777777">
      <w:pPr>
        <w:pStyle w:val="NoSpacing"/>
        <w:jc w:val="both"/>
        <w:rPr>
          <w:rFonts w:ascii="Arial" w:hAnsi="Arial" w:cs="Arial"/>
          <w:bCs/>
          <w:sz w:val="24"/>
          <w:szCs w:val="24"/>
        </w:rPr>
      </w:pPr>
      <w:r w:rsidRPr="00B14C51">
        <w:rPr>
          <w:rFonts w:ascii="Arial" w:hAnsi="Arial" w:cs="Arial"/>
          <w:b/>
          <w:bCs/>
          <w:sz w:val="24"/>
          <w:szCs w:val="24"/>
        </w:rPr>
        <w:t xml:space="preserve">B. </w:t>
      </w:r>
      <w:r w:rsidRPr="00B14C51">
        <w:rPr>
          <w:rFonts w:ascii="Arial" w:hAnsi="Arial" w:cs="Arial"/>
          <w:b/>
          <w:bCs/>
          <w:sz w:val="24"/>
          <w:szCs w:val="24"/>
        </w:rPr>
        <w:tab/>
        <w:t>COLLECTION OF INFORMATION EMPLOYING STATISTICAL METHODS</w:t>
      </w:r>
    </w:p>
    <w:p w:rsidR="000F7273" w:rsidRPr="00B14C51" w:rsidP="000F7273" w14:paraId="25FBFD27" w14:textId="77777777">
      <w:pPr>
        <w:pStyle w:val="NoSpacing"/>
        <w:jc w:val="both"/>
        <w:rPr>
          <w:rFonts w:ascii="Arial" w:hAnsi="Arial" w:cs="Arial"/>
          <w:bCs/>
          <w:sz w:val="24"/>
          <w:szCs w:val="24"/>
        </w:rPr>
      </w:pPr>
    </w:p>
    <w:p w:rsidR="0013684A" w:rsidP="00260B2B" w14:paraId="5F61AA74" w14:textId="13560726">
      <w:pPr>
        <w:pStyle w:val="NoSpacing"/>
        <w:jc w:val="both"/>
      </w:pPr>
      <w:r w:rsidRPr="00B14C51">
        <w:rPr>
          <w:rFonts w:ascii="Arial" w:hAnsi="Arial" w:cs="Arial"/>
          <w:bCs/>
          <w:sz w:val="24"/>
          <w:szCs w:val="24"/>
        </w:rPr>
        <w:t xml:space="preserve">This collection of information does not employ statistical methods. </w:t>
      </w:r>
    </w:p>
    <w:sectPr>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0"/>
      </w:rPr>
      <w:id w:val="-1293974685"/>
      <w:docPartObj>
        <w:docPartGallery w:val="Page Numbers (Bottom of Page)"/>
        <w:docPartUnique/>
      </w:docPartObj>
    </w:sdtPr>
    <w:sdtEndPr>
      <w:rPr>
        <w:noProof/>
      </w:rPr>
    </w:sdtEndPr>
    <w:sdtContent>
      <w:p w:rsidR="001D4815" w:rsidRPr="00A55E92" w14:paraId="6BBD083D" w14:textId="556A503A">
        <w:pPr>
          <w:pStyle w:val="Footer"/>
          <w:jc w:val="center"/>
          <w:rPr>
            <w:rFonts w:ascii="Arial" w:hAnsi="Arial" w:cs="Arial"/>
            <w:sz w:val="20"/>
          </w:rPr>
        </w:pPr>
        <w:r w:rsidRPr="00A55E92">
          <w:rPr>
            <w:rFonts w:ascii="Arial" w:hAnsi="Arial" w:cs="Arial"/>
            <w:sz w:val="20"/>
          </w:rPr>
          <w:fldChar w:fldCharType="begin"/>
        </w:r>
        <w:r w:rsidRPr="00A55E92">
          <w:rPr>
            <w:rFonts w:ascii="Arial" w:hAnsi="Arial" w:cs="Arial"/>
            <w:sz w:val="20"/>
          </w:rPr>
          <w:instrText xml:space="preserve"> PAGE   \* MERGEFORMAT </w:instrText>
        </w:r>
        <w:r w:rsidRPr="00A55E92">
          <w:rPr>
            <w:rFonts w:ascii="Arial" w:hAnsi="Arial" w:cs="Arial"/>
            <w:sz w:val="20"/>
          </w:rPr>
          <w:fldChar w:fldCharType="separate"/>
        </w:r>
        <w:r w:rsidRPr="00A55E92">
          <w:rPr>
            <w:rFonts w:ascii="Arial" w:hAnsi="Arial" w:cs="Arial"/>
            <w:noProof/>
            <w:sz w:val="20"/>
          </w:rPr>
          <w:t>2</w:t>
        </w:r>
        <w:r w:rsidRPr="00A55E92">
          <w:rPr>
            <w:rFonts w:ascii="Arial" w:hAnsi="Arial" w:cs="Arial"/>
            <w:noProof/>
            <w:sz w:val="20"/>
          </w:rPr>
          <w:fldChar w:fldCharType="end"/>
        </w:r>
      </w:p>
    </w:sdtContent>
  </w:sdt>
  <w:p w:rsidR="001D4815" w14:paraId="759FEE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75947" w:rsidP="00193564" w14:paraId="3D124AC1" w14:textId="77777777">
      <w:r>
        <w:separator/>
      </w:r>
    </w:p>
  </w:footnote>
  <w:footnote w:type="continuationSeparator" w:id="1">
    <w:p w:rsidR="00775947" w:rsidP="00193564" w14:paraId="53A8EF32" w14:textId="77777777">
      <w:r>
        <w:continuationSeparator/>
      </w:r>
    </w:p>
  </w:footnote>
  <w:footnote w:id="2">
    <w:p w:rsidR="008830B6" w:rsidRPr="0094178C" w:rsidP="008830B6" w14:paraId="3E7C5A1D" w14:textId="77777777">
      <w:pPr>
        <w:pStyle w:val="FootnoteText"/>
        <w:rPr>
          <w:rFonts w:ascii="Arial" w:hAnsi="Arial" w:cs="Arial"/>
        </w:rPr>
      </w:pPr>
      <w:r w:rsidRPr="0094178C">
        <w:rPr>
          <w:rStyle w:val="FootnoteReference"/>
          <w:rFonts w:ascii="Arial" w:hAnsi="Arial" w:cs="Arial"/>
          <w:sz w:val="16"/>
          <w:szCs w:val="16"/>
        </w:rPr>
        <w:footnoteRef/>
      </w:r>
      <w:r w:rsidRPr="0094178C">
        <w:rPr>
          <w:rFonts w:ascii="Arial" w:hAnsi="Arial" w:cs="Arial"/>
          <w:sz w:val="16"/>
          <w:szCs w:val="16"/>
        </w:rPr>
        <w:t xml:space="preserve"> </w:t>
      </w:r>
      <w:hyperlink r:id="rId1" w:history="1">
        <w:r w:rsidRPr="0094178C">
          <w:rPr>
            <w:rStyle w:val="Hyperlink"/>
            <w:rFonts w:ascii="Arial" w:hAnsi="Arial" w:cs="Arial"/>
            <w:sz w:val="16"/>
            <w:szCs w:val="16"/>
          </w:rPr>
          <w:t>https://www.govinfo.gov/content/pkg/FR-2023-09-27/pdf/2023-21099.pdf</w:t>
        </w:r>
      </w:hyperlink>
      <w:r w:rsidRPr="0094178C">
        <w:rPr>
          <w:rFonts w:ascii="Arial" w:hAnsi="Arial" w:cs="Arial"/>
          <w:sz w:val="16"/>
          <w:szCs w:val="16"/>
        </w:rPr>
        <w:t xml:space="preserve">. </w:t>
      </w:r>
    </w:p>
  </w:footnote>
  <w:footnote w:id="3">
    <w:p w:rsidR="00F66D1E" w:rsidRPr="00490DC8" w:rsidP="00F66D1E" w14:paraId="609D6F0A" w14:textId="77777777">
      <w:pPr>
        <w:pStyle w:val="FootnoteText"/>
        <w:rPr>
          <w:rFonts w:ascii="Arial" w:hAnsi="Arial" w:cs="Arial"/>
          <w:sz w:val="16"/>
          <w:szCs w:val="16"/>
        </w:rPr>
      </w:pPr>
      <w:r w:rsidRPr="00490DC8">
        <w:rPr>
          <w:rStyle w:val="FootnoteReference"/>
          <w:rFonts w:ascii="Arial" w:hAnsi="Arial" w:cs="Arial"/>
          <w:sz w:val="16"/>
          <w:szCs w:val="16"/>
        </w:rPr>
        <w:footnoteRef/>
      </w:r>
      <w:r w:rsidRPr="00490DC8">
        <w:rPr>
          <w:rFonts w:ascii="Arial" w:hAnsi="Arial" w:cs="Arial"/>
          <w:sz w:val="16"/>
          <w:szCs w:val="16"/>
        </w:rPr>
        <w:t xml:space="preserve"> </w:t>
      </w:r>
      <w:hyperlink r:id="rId2" w:history="1">
        <w:r w:rsidRPr="00490DC8">
          <w:rPr>
            <w:rStyle w:val="Hyperlink"/>
            <w:rFonts w:ascii="Arial" w:hAnsi="Arial" w:cs="Arial"/>
            <w:sz w:val="16"/>
            <w:szCs w:val="16"/>
          </w:rPr>
          <w:t>https://www.govinfo.gov/content/pkg/FR-2013-03-29/pdf/2013-07341.pdf</w:t>
        </w:r>
      </w:hyperlink>
      <w:r w:rsidRPr="00490DC8">
        <w:rPr>
          <w:rFonts w:ascii="Arial" w:hAnsi="Arial" w:cs="Arial"/>
          <w:sz w:val="16"/>
          <w:szCs w:val="16"/>
        </w:rPr>
        <w:t>.</w:t>
      </w:r>
    </w:p>
  </w:footnote>
  <w:footnote w:id="4">
    <w:p w:rsidR="001D4815" w:rsidP="00954CEE" w14:paraId="6123744A" w14:textId="77777777">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bookmarkStart w:id="7" w:name="_Hlk128403887"/>
      <w:r>
        <w:rPr>
          <w:rFonts w:ascii="Arial" w:hAnsi="Arial" w:cs="Arial"/>
          <w:sz w:val="16"/>
          <w:szCs w:val="16"/>
        </w:rPr>
        <w:t>2021 Report of the Economic Survey published by the Committee on Economics of Legal Practice of the American Intellectual Property Law Association (AIPLA); the USPTO uses the mean IP billing rate for attorneys in private firms which is $435 per hour.</w:t>
      </w:r>
      <w:r>
        <w:rPr>
          <w:rFonts w:ascii="Arial" w:hAnsi="Arial" w:cs="Arial"/>
          <w:sz w:val="16"/>
        </w:rPr>
        <w:t xml:space="preserve"> (</w:t>
      </w:r>
      <w:hyperlink r:id="rId3" w:history="1">
        <w:r>
          <w:rPr>
            <w:rStyle w:val="Hyperlink"/>
            <w:rFonts w:ascii="Arial" w:hAnsi="Arial" w:cs="Arial"/>
            <w:sz w:val="16"/>
          </w:rPr>
          <w:t>https://www.aipla.org/home/news-publications/economic-survey</w:t>
        </w:r>
      </w:hyperlink>
      <w:r>
        <w:rPr>
          <w:rFonts w:ascii="Arial" w:hAnsi="Arial" w:cs="Arial"/>
          <w:sz w:val="16"/>
        </w:rPr>
        <w:t>; pg F-27).</w:t>
      </w:r>
      <w:bookmarkEnd w:id="7"/>
    </w:p>
  </w:footnote>
  <w:footnote w:id="5">
    <w:p w:rsidR="001D4815" w:rsidP="00954CEE" w14:paraId="28312A9A" w14:textId="77777777">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Ibid.</w:t>
      </w:r>
    </w:p>
  </w:footnote>
  <w:footnote w:id="6">
    <w:p w:rsidR="001D4815" w:rsidRPr="00E22B68" w14:paraId="2C2115BF" w14:textId="26A5C5ED">
      <w:pPr>
        <w:pStyle w:val="FootnoteText"/>
        <w:rPr>
          <w:rFonts w:ascii="Arial" w:hAnsi="Arial" w:cs="Arial"/>
        </w:rPr>
      </w:pPr>
      <w:r w:rsidRPr="00E14B3F">
        <w:rPr>
          <w:rStyle w:val="FootnoteReference"/>
          <w:rFonts w:ascii="Arial" w:hAnsi="Arial" w:cs="Arial"/>
          <w:sz w:val="16"/>
          <w:szCs w:val="16"/>
        </w:rPr>
        <w:footnoteRef/>
      </w:r>
      <w:r w:rsidRPr="00E14B3F">
        <w:rPr>
          <w:rFonts w:ascii="Arial" w:hAnsi="Arial" w:cs="Arial"/>
          <w:sz w:val="16"/>
          <w:szCs w:val="16"/>
        </w:rPr>
        <w:t xml:space="preserve"> </w:t>
      </w:r>
      <w:hyperlink r:id="rId4" w:history="1">
        <w:r w:rsidRPr="00E14B3F">
          <w:rPr>
            <w:rStyle w:val="Hyperlink"/>
            <w:rFonts w:ascii="Arial" w:hAnsi="Arial" w:cs="Arial"/>
            <w:sz w:val="16"/>
            <w:szCs w:val="16"/>
          </w:rPr>
          <w:t>https://www.uspto.gov/learning-and-resources/official-gazette</w:t>
        </w:r>
      </w:hyperlink>
      <w:r w:rsidRPr="00E14B3F">
        <w:rPr>
          <w:rFonts w:ascii="Arial" w:hAnsi="Arial" w:cs="Arial"/>
          <w:sz w:val="16"/>
          <w:szCs w:val="16"/>
        </w:rPr>
        <w:t>.</w:t>
      </w:r>
      <w:r w:rsidRPr="00E22B68">
        <w:rPr>
          <w:rFonts w:ascii="Arial" w:hAnsi="Arial" w:cs="Arial"/>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64DA34"/>
    <w:multiLevelType w:val="hybridMultilevel"/>
    <w:tmpl w:val="32AA2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0862275"/>
    <w:multiLevelType w:val="hybridMultilevel"/>
    <w:tmpl w:val="C6D464A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E8071B"/>
    <w:multiLevelType w:val="hybridMultilevel"/>
    <w:tmpl w:val="8FBE1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A8BEC2"/>
    <w:multiLevelType w:val="hybridMultilevel"/>
    <w:tmpl w:val="35D0E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93F76FF"/>
    <w:multiLevelType w:val="hybridMultilevel"/>
    <w:tmpl w:val="4B4E8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CDFA5A"/>
    <w:multiLevelType w:val="hybridMultilevel"/>
    <w:tmpl w:val="E98A0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2E17479"/>
    <w:multiLevelType w:val="hybridMultilevel"/>
    <w:tmpl w:val="2A183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4E40EE"/>
    <w:multiLevelType w:val="hybridMultilevel"/>
    <w:tmpl w:val="E8826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7020594"/>
    <w:multiLevelType w:val="hybridMultilevel"/>
    <w:tmpl w:val="5C3E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C1E5D15"/>
    <w:multiLevelType w:val="hybridMultilevel"/>
    <w:tmpl w:val="589E2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98351CC"/>
    <w:multiLevelType w:val="hybridMultilevel"/>
    <w:tmpl w:val="4D006774"/>
    <w:lvl w:ilvl="0">
      <w:start w:val="5"/>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9B51767"/>
    <w:multiLevelType w:val="hybridMultilevel"/>
    <w:tmpl w:val="19BECCF2"/>
    <w:lvl w:ilvl="0">
      <w:start w:val="1"/>
      <w:numFmt w:val="decimal"/>
      <w:lvlText w:val="%1."/>
      <w:lvlJc w:val="left"/>
      <w:pPr>
        <w:ind w:left="360" w:hanging="360"/>
      </w:pPr>
      <w:rPr>
        <w:rFonts w:ascii="Arial" w:hAnsi="Arial" w:cs="Arial"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AFA4370"/>
    <w:multiLevelType w:val="hybridMultilevel"/>
    <w:tmpl w:val="E5B03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CB2817"/>
    <w:multiLevelType w:val="hybridMultilevel"/>
    <w:tmpl w:val="1D581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2700596"/>
    <w:multiLevelType w:val="hybridMultilevel"/>
    <w:tmpl w:val="0694DA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9DD5803"/>
    <w:multiLevelType w:val="hybridMultilevel"/>
    <w:tmpl w:val="D9B2312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252C25"/>
    <w:multiLevelType w:val="hybridMultilevel"/>
    <w:tmpl w:val="0068F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B18DDBA"/>
    <w:multiLevelType w:val="hybridMultilevel"/>
    <w:tmpl w:val="FF027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BB074D9"/>
    <w:multiLevelType w:val="hybridMultilevel"/>
    <w:tmpl w:val="0DB648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C75564E"/>
    <w:multiLevelType w:val="hybridMultilevel"/>
    <w:tmpl w:val="2C76101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1">
    <w:nsid w:val="7F0705CA"/>
    <w:multiLevelType w:val="hybridMultilevel"/>
    <w:tmpl w:val="86FACEB8"/>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2">
    <w:nsid w:val="7F302B7C"/>
    <w:multiLevelType w:val="hybridMultilevel"/>
    <w:tmpl w:val="588A409A"/>
    <w:lvl w:ilvl="0">
      <w:start w:val="5"/>
      <w:numFmt w:val="bullet"/>
      <w:lvlText w:val="-"/>
      <w:lvlJc w:val="left"/>
      <w:pPr>
        <w:ind w:left="408" w:hanging="360"/>
      </w:pPr>
      <w:rPr>
        <w:rFonts w:ascii="Arial" w:eastAsia="Times New Roman" w:hAnsi="Arial" w:cs="Arial"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num w:numId="1">
    <w:abstractNumId w:val="5"/>
  </w:num>
  <w:num w:numId="2">
    <w:abstractNumId w:val="8"/>
  </w:num>
  <w:num w:numId="3">
    <w:abstractNumId w:val="13"/>
  </w:num>
  <w:num w:numId="4">
    <w:abstractNumId w:val="7"/>
  </w:num>
  <w:num w:numId="5">
    <w:abstractNumId w:val="3"/>
  </w:num>
  <w:num w:numId="6">
    <w:abstractNumId w:val="17"/>
  </w:num>
  <w:num w:numId="7">
    <w:abstractNumId w:val="16"/>
  </w:num>
  <w:num w:numId="8">
    <w:abstractNumId w:val="0"/>
  </w:num>
  <w:num w:numId="9">
    <w:abstractNumId w:val="14"/>
  </w:num>
  <w:num w:numId="10">
    <w:abstractNumId w:val="4"/>
  </w:num>
  <w:num w:numId="11">
    <w:abstractNumId w:val="21"/>
  </w:num>
  <w:num w:numId="12">
    <w:abstractNumId w:val="11"/>
  </w:num>
  <w:num w:numId="13">
    <w:abstractNumId w:val="12"/>
  </w:num>
  <w:num w:numId="14">
    <w:abstractNumId w:val="20"/>
  </w:num>
  <w:num w:numId="15">
    <w:abstractNumId w:val="6"/>
  </w:num>
  <w:num w:numId="16">
    <w:abstractNumId w:val="2"/>
  </w:num>
  <w:num w:numId="17">
    <w:abstractNumId w:val="9"/>
  </w:num>
  <w:num w:numId="18">
    <w:abstractNumId w:val="10"/>
  </w:num>
  <w:num w:numId="19">
    <w:abstractNumId w:val="22"/>
  </w:num>
  <w:num w:numId="20">
    <w:abstractNumId w:val="1"/>
  </w:num>
  <w:num w:numId="21">
    <w:abstractNumId w:val="19"/>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64"/>
    <w:rsid w:val="000101CD"/>
    <w:rsid w:val="000206E7"/>
    <w:rsid w:val="00025F49"/>
    <w:rsid w:val="00036507"/>
    <w:rsid w:val="00040448"/>
    <w:rsid w:val="00047B99"/>
    <w:rsid w:val="00055F4A"/>
    <w:rsid w:val="00062D70"/>
    <w:rsid w:val="000643F8"/>
    <w:rsid w:val="00064C50"/>
    <w:rsid w:val="00065514"/>
    <w:rsid w:val="00070C2A"/>
    <w:rsid w:val="000742E8"/>
    <w:rsid w:val="00077C59"/>
    <w:rsid w:val="0008237D"/>
    <w:rsid w:val="0008243C"/>
    <w:rsid w:val="000A2F20"/>
    <w:rsid w:val="000A3E39"/>
    <w:rsid w:val="000C6145"/>
    <w:rsid w:val="000D05F3"/>
    <w:rsid w:val="000D344E"/>
    <w:rsid w:val="000E3374"/>
    <w:rsid w:val="000E4C45"/>
    <w:rsid w:val="000E5CFB"/>
    <w:rsid w:val="000E670D"/>
    <w:rsid w:val="000F0018"/>
    <w:rsid w:val="000F466A"/>
    <w:rsid w:val="000F7273"/>
    <w:rsid w:val="001069C1"/>
    <w:rsid w:val="001072DA"/>
    <w:rsid w:val="0011346A"/>
    <w:rsid w:val="001159FA"/>
    <w:rsid w:val="0012107A"/>
    <w:rsid w:val="00123BB5"/>
    <w:rsid w:val="00125618"/>
    <w:rsid w:val="00127563"/>
    <w:rsid w:val="0013222B"/>
    <w:rsid w:val="0013684A"/>
    <w:rsid w:val="00147FD0"/>
    <w:rsid w:val="001501EC"/>
    <w:rsid w:val="00155675"/>
    <w:rsid w:val="0015714F"/>
    <w:rsid w:val="00161559"/>
    <w:rsid w:val="001641BF"/>
    <w:rsid w:val="00165205"/>
    <w:rsid w:val="00177743"/>
    <w:rsid w:val="00177CBC"/>
    <w:rsid w:val="001841C3"/>
    <w:rsid w:val="00185A30"/>
    <w:rsid w:val="00191A91"/>
    <w:rsid w:val="00193564"/>
    <w:rsid w:val="001A3C62"/>
    <w:rsid w:val="001A3DB7"/>
    <w:rsid w:val="001B511E"/>
    <w:rsid w:val="001C5EFF"/>
    <w:rsid w:val="001D4815"/>
    <w:rsid w:val="001D4BB0"/>
    <w:rsid w:val="001F6E90"/>
    <w:rsid w:val="002069C2"/>
    <w:rsid w:val="00216139"/>
    <w:rsid w:val="002252D4"/>
    <w:rsid w:val="00235755"/>
    <w:rsid w:val="00241E61"/>
    <w:rsid w:val="0024489B"/>
    <w:rsid w:val="00260B2B"/>
    <w:rsid w:val="00266977"/>
    <w:rsid w:val="00274F9E"/>
    <w:rsid w:val="002908D6"/>
    <w:rsid w:val="0029473A"/>
    <w:rsid w:val="00297BA7"/>
    <w:rsid w:val="002B0514"/>
    <w:rsid w:val="002B3476"/>
    <w:rsid w:val="002C213B"/>
    <w:rsid w:val="002C2216"/>
    <w:rsid w:val="002D5FDA"/>
    <w:rsid w:val="002D6A9E"/>
    <w:rsid w:val="002E0249"/>
    <w:rsid w:val="002E600D"/>
    <w:rsid w:val="002F28B6"/>
    <w:rsid w:val="002F305B"/>
    <w:rsid w:val="00302236"/>
    <w:rsid w:val="003024D5"/>
    <w:rsid w:val="00310AF7"/>
    <w:rsid w:val="0031130E"/>
    <w:rsid w:val="00320941"/>
    <w:rsid w:val="00322DE1"/>
    <w:rsid w:val="00340EF0"/>
    <w:rsid w:val="00343147"/>
    <w:rsid w:val="00364314"/>
    <w:rsid w:val="00364830"/>
    <w:rsid w:val="0036526C"/>
    <w:rsid w:val="00366F11"/>
    <w:rsid w:val="00371014"/>
    <w:rsid w:val="003762FA"/>
    <w:rsid w:val="003829FD"/>
    <w:rsid w:val="00383D86"/>
    <w:rsid w:val="00385CF6"/>
    <w:rsid w:val="00390497"/>
    <w:rsid w:val="00395125"/>
    <w:rsid w:val="003975F5"/>
    <w:rsid w:val="003A2361"/>
    <w:rsid w:val="003B1098"/>
    <w:rsid w:val="003B160B"/>
    <w:rsid w:val="003C1233"/>
    <w:rsid w:val="003D1E3F"/>
    <w:rsid w:val="003D7F6F"/>
    <w:rsid w:val="003E5EF0"/>
    <w:rsid w:val="003F189D"/>
    <w:rsid w:val="00415B06"/>
    <w:rsid w:val="00421E74"/>
    <w:rsid w:val="00425BA8"/>
    <w:rsid w:val="0042746A"/>
    <w:rsid w:val="004311D9"/>
    <w:rsid w:val="004321B0"/>
    <w:rsid w:val="00432260"/>
    <w:rsid w:val="00441CB5"/>
    <w:rsid w:val="004470ED"/>
    <w:rsid w:val="004525C2"/>
    <w:rsid w:val="00453F48"/>
    <w:rsid w:val="00490DC8"/>
    <w:rsid w:val="004A4CFA"/>
    <w:rsid w:val="004A653B"/>
    <w:rsid w:val="004C0D32"/>
    <w:rsid w:val="004D3B9E"/>
    <w:rsid w:val="004D405A"/>
    <w:rsid w:val="004E026B"/>
    <w:rsid w:val="004E25D0"/>
    <w:rsid w:val="004E67CB"/>
    <w:rsid w:val="004F0CCD"/>
    <w:rsid w:val="004F258D"/>
    <w:rsid w:val="004F29D2"/>
    <w:rsid w:val="004F6333"/>
    <w:rsid w:val="004F74A0"/>
    <w:rsid w:val="005017F6"/>
    <w:rsid w:val="00502935"/>
    <w:rsid w:val="005058DB"/>
    <w:rsid w:val="00507A49"/>
    <w:rsid w:val="005107B6"/>
    <w:rsid w:val="00511A03"/>
    <w:rsid w:val="00514867"/>
    <w:rsid w:val="005159A0"/>
    <w:rsid w:val="00526FF8"/>
    <w:rsid w:val="00531E87"/>
    <w:rsid w:val="005415DD"/>
    <w:rsid w:val="00545031"/>
    <w:rsid w:val="00553550"/>
    <w:rsid w:val="00556615"/>
    <w:rsid w:val="00557638"/>
    <w:rsid w:val="005973F2"/>
    <w:rsid w:val="005A2E5E"/>
    <w:rsid w:val="005A52EF"/>
    <w:rsid w:val="005A7039"/>
    <w:rsid w:val="005B490C"/>
    <w:rsid w:val="005B7973"/>
    <w:rsid w:val="005C469D"/>
    <w:rsid w:val="005D3C17"/>
    <w:rsid w:val="005D555A"/>
    <w:rsid w:val="005F5E52"/>
    <w:rsid w:val="00611A70"/>
    <w:rsid w:val="00625E2D"/>
    <w:rsid w:val="006336F8"/>
    <w:rsid w:val="00641D62"/>
    <w:rsid w:val="00641F0D"/>
    <w:rsid w:val="0064303C"/>
    <w:rsid w:val="00660012"/>
    <w:rsid w:val="00665625"/>
    <w:rsid w:val="00673ADD"/>
    <w:rsid w:val="006876F4"/>
    <w:rsid w:val="00691066"/>
    <w:rsid w:val="00694388"/>
    <w:rsid w:val="00695436"/>
    <w:rsid w:val="006A199A"/>
    <w:rsid w:val="006A66C5"/>
    <w:rsid w:val="006A6E7C"/>
    <w:rsid w:val="006B5A9D"/>
    <w:rsid w:val="006D2081"/>
    <w:rsid w:val="006D3D88"/>
    <w:rsid w:val="006E1A76"/>
    <w:rsid w:val="006E398C"/>
    <w:rsid w:val="006F64D3"/>
    <w:rsid w:val="00700DB4"/>
    <w:rsid w:val="007048C8"/>
    <w:rsid w:val="00704CB9"/>
    <w:rsid w:val="00710659"/>
    <w:rsid w:val="00711340"/>
    <w:rsid w:val="00711AA5"/>
    <w:rsid w:val="00713071"/>
    <w:rsid w:val="00715D45"/>
    <w:rsid w:val="00724577"/>
    <w:rsid w:val="0072488D"/>
    <w:rsid w:val="007344AA"/>
    <w:rsid w:val="007406A5"/>
    <w:rsid w:val="007429AB"/>
    <w:rsid w:val="00750D64"/>
    <w:rsid w:val="00756472"/>
    <w:rsid w:val="007615CC"/>
    <w:rsid w:val="00767F72"/>
    <w:rsid w:val="00775947"/>
    <w:rsid w:val="007824F9"/>
    <w:rsid w:val="00785BE2"/>
    <w:rsid w:val="00790EFF"/>
    <w:rsid w:val="007954BD"/>
    <w:rsid w:val="007A07A6"/>
    <w:rsid w:val="007C16D9"/>
    <w:rsid w:val="007D02CC"/>
    <w:rsid w:val="007D4D64"/>
    <w:rsid w:val="007D646E"/>
    <w:rsid w:val="007E1883"/>
    <w:rsid w:val="007F4715"/>
    <w:rsid w:val="00802712"/>
    <w:rsid w:val="008100DB"/>
    <w:rsid w:val="00811489"/>
    <w:rsid w:val="008133F1"/>
    <w:rsid w:val="00814AE4"/>
    <w:rsid w:val="008259FE"/>
    <w:rsid w:val="00834627"/>
    <w:rsid w:val="00834FB1"/>
    <w:rsid w:val="00834FDD"/>
    <w:rsid w:val="00837A83"/>
    <w:rsid w:val="008522F8"/>
    <w:rsid w:val="0085779B"/>
    <w:rsid w:val="00867CF1"/>
    <w:rsid w:val="00870516"/>
    <w:rsid w:val="00872156"/>
    <w:rsid w:val="00872202"/>
    <w:rsid w:val="00874DFE"/>
    <w:rsid w:val="00880697"/>
    <w:rsid w:val="008830B6"/>
    <w:rsid w:val="00884D93"/>
    <w:rsid w:val="00884E73"/>
    <w:rsid w:val="008A5826"/>
    <w:rsid w:val="008B69EE"/>
    <w:rsid w:val="008C1259"/>
    <w:rsid w:val="008C4CCE"/>
    <w:rsid w:val="008D0E43"/>
    <w:rsid w:val="008D102E"/>
    <w:rsid w:val="008E27CC"/>
    <w:rsid w:val="008E46B9"/>
    <w:rsid w:val="008E6162"/>
    <w:rsid w:val="008F3CDB"/>
    <w:rsid w:val="00902DF1"/>
    <w:rsid w:val="009151C0"/>
    <w:rsid w:val="00924EE0"/>
    <w:rsid w:val="00933E52"/>
    <w:rsid w:val="0094178C"/>
    <w:rsid w:val="00944478"/>
    <w:rsid w:val="00952510"/>
    <w:rsid w:val="00954CEE"/>
    <w:rsid w:val="009558F3"/>
    <w:rsid w:val="009566CA"/>
    <w:rsid w:val="009649B1"/>
    <w:rsid w:val="00972F32"/>
    <w:rsid w:val="00974042"/>
    <w:rsid w:val="00987334"/>
    <w:rsid w:val="00993EB0"/>
    <w:rsid w:val="00997CD7"/>
    <w:rsid w:val="009A0743"/>
    <w:rsid w:val="009A5466"/>
    <w:rsid w:val="009B51A4"/>
    <w:rsid w:val="009C0DCA"/>
    <w:rsid w:val="009C30AD"/>
    <w:rsid w:val="009C7DCC"/>
    <w:rsid w:val="009D1371"/>
    <w:rsid w:val="009E6A05"/>
    <w:rsid w:val="009F19E2"/>
    <w:rsid w:val="00A3683F"/>
    <w:rsid w:val="00A37320"/>
    <w:rsid w:val="00A37A8F"/>
    <w:rsid w:val="00A40699"/>
    <w:rsid w:val="00A45CD2"/>
    <w:rsid w:val="00A507CC"/>
    <w:rsid w:val="00A522EA"/>
    <w:rsid w:val="00A55E92"/>
    <w:rsid w:val="00A7192C"/>
    <w:rsid w:val="00A83174"/>
    <w:rsid w:val="00A83AC8"/>
    <w:rsid w:val="00A85F6C"/>
    <w:rsid w:val="00AA06FD"/>
    <w:rsid w:val="00AA1324"/>
    <w:rsid w:val="00AA2BE9"/>
    <w:rsid w:val="00AA3CB8"/>
    <w:rsid w:val="00AB72DE"/>
    <w:rsid w:val="00AB76FF"/>
    <w:rsid w:val="00AB7A61"/>
    <w:rsid w:val="00AD1558"/>
    <w:rsid w:val="00AD423E"/>
    <w:rsid w:val="00AF15E1"/>
    <w:rsid w:val="00AF2315"/>
    <w:rsid w:val="00B00491"/>
    <w:rsid w:val="00B008D7"/>
    <w:rsid w:val="00B02C12"/>
    <w:rsid w:val="00B10C70"/>
    <w:rsid w:val="00B14C51"/>
    <w:rsid w:val="00B21556"/>
    <w:rsid w:val="00B23437"/>
    <w:rsid w:val="00B4198B"/>
    <w:rsid w:val="00B429AC"/>
    <w:rsid w:val="00B448D2"/>
    <w:rsid w:val="00B47D1B"/>
    <w:rsid w:val="00B62685"/>
    <w:rsid w:val="00B660BB"/>
    <w:rsid w:val="00B71150"/>
    <w:rsid w:val="00B72428"/>
    <w:rsid w:val="00B74B2F"/>
    <w:rsid w:val="00B76871"/>
    <w:rsid w:val="00B80A23"/>
    <w:rsid w:val="00B8613D"/>
    <w:rsid w:val="00B92A56"/>
    <w:rsid w:val="00B9552E"/>
    <w:rsid w:val="00B95F01"/>
    <w:rsid w:val="00B97EAF"/>
    <w:rsid w:val="00BA0F7C"/>
    <w:rsid w:val="00BA328F"/>
    <w:rsid w:val="00BA4B12"/>
    <w:rsid w:val="00BC1AF2"/>
    <w:rsid w:val="00BC4024"/>
    <w:rsid w:val="00BD3BE7"/>
    <w:rsid w:val="00BE1153"/>
    <w:rsid w:val="00BE25D1"/>
    <w:rsid w:val="00BF236C"/>
    <w:rsid w:val="00C01517"/>
    <w:rsid w:val="00C026AF"/>
    <w:rsid w:val="00C0358B"/>
    <w:rsid w:val="00C129EF"/>
    <w:rsid w:val="00C1322D"/>
    <w:rsid w:val="00C15E89"/>
    <w:rsid w:val="00C2494E"/>
    <w:rsid w:val="00C26259"/>
    <w:rsid w:val="00C3680C"/>
    <w:rsid w:val="00C534F5"/>
    <w:rsid w:val="00C56DA6"/>
    <w:rsid w:val="00C61A1B"/>
    <w:rsid w:val="00C66ED5"/>
    <w:rsid w:val="00C67988"/>
    <w:rsid w:val="00C70F58"/>
    <w:rsid w:val="00C7588F"/>
    <w:rsid w:val="00C766E8"/>
    <w:rsid w:val="00CA5ACF"/>
    <w:rsid w:val="00CA7C9B"/>
    <w:rsid w:val="00CB0F7B"/>
    <w:rsid w:val="00CB7476"/>
    <w:rsid w:val="00CD0273"/>
    <w:rsid w:val="00CD2422"/>
    <w:rsid w:val="00CD2E95"/>
    <w:rsid w:val="00CD3A79"/>
    <w:rsid w:val="00CD5B75"/>
    <w:rsid w:val="00CD6024"/>
    <w:rsid w:val="00CE4BC7"/>
    <w:rsid w:val="00CE67D0"/>
    <w:rsid w:val="00CF4B65"/>
    <w:rsid w:val="00CF5F46"/>
    <w:rsid w:val="00CF6C76"/>
    <w:rsid w:val="00D034BC"/>
    <w:rsid w:val="00D03D23"/>
    <w:rsid w:val="00D06996"/>
    <w:rsid w:val="00D23407"/>
    <w:rsid w:val="00D2760E"/>
    <w:rsid w:val="00D40648"/>
    <w:rsid w:val="00D43F4D"/>
    <w:rsid w:val="00D44396"/>
    <w:rsid w:val="00D45DD8"/>
    <w:rsid w:val="00D73EF5"/>
    <w:rsid w:val="00D90663"/>
    <w:rsid w:val="00D94658"/>
    <w:rsid w:val="00DA17EF"/>
    <w:rsid w:val="00DA3924"/>
    <w:rsid w:val="00DB6631"/>
    <w:rsid w:val="00DC6826"/>
    <w:rsid w:val="00DC7B84"/>
    <w:rsid w:val="00DD2604"/>
    <w:rsid w:val="00DD3A00"/>
    <w:rsid w:val="00DE0716"/>
    <w:rsid w:val="00DE4D62"/>
    <w:rsid w:val="00DF1D3F"/>
    <w:rsid w:val="00E00B2E"/>
    <w:rsid w:val="00E032D4"/>
    <w:rsid w:val="00E13E97"/>
    <w:rsid w:val="00E13FA4"/>
    <w:rsid w:val="00E14B3F"/>
    <w:rsid w:val="00E22B68"/>
    <w:rsid w:val="00E236EA"/>
    <w:rsid w:val="00E2393F"/>
    <w:rsid w:val="00E257AC"/>
    <w:rsid w:val="00E267D6"/>
    <w:rsid w:val="00E503AF"/>
    <w:rsid w:val="00E522DB"/>
    <w:rsid w:val="00E53BD1"/>
    <w:rsid w:val="00E53DCC"/>
    <w:rsid w:val="00E53F89"/>
    <w:rsid w:val="00E62589"/>
    <w:rsid w:val="00E62AB9"/>
    <w:rsid w:val="00E701D3"/>
    <w:rsid w:val="00E74F5B"/>
    <w:rsid w:val="00E76B20"/>
    <w:rsid w:val="00E94F49"/>
    <w:rsid w:val="00EA65E0"/>
    <w:rsid w:val="00EC0032"/>
    <w:rsid w:val="00EC5249"/>
    <w:rsid w:val="00EC7185"/>
    <w:rsid w:val="00EE45F7"/>
    <w:rsid w:val="00F042A5"/>
    <w:rsid w:val="00F151D6"/>
    <w:rsid w:val="00F16A27"/>
    <w:rsid w:val="00F21806"/>
    <w:rsid w:val="00F26BE8"/>
    <w:rsid w:val="00F30BD9"/>
    <w:rsid w:val="00F41944"/>
    <w:rsid w:val="00F46753"/>
    <w:rsid w:val="00F5373D"/>
    <w:rsid w:val="00F62AAF"/>
    <w:rsid w:val="00F66D1E"/>
    <w:rsid w:val="00F73188"/>
    <w:rsid w:val="00F76374"/>
    <w:rsid w:val="00F77139"/>
    <w:rsid w:val="00F9405F"/>
    <w:rsid w:val="00FA3538"/>
    <w:rsid w:val="00FC1205"/>
    <w:rsid w:val="00FC2F4D"/>
    <w:rsid w:val="00FC756D"/>
    <w:rsid w:val="00FF2A48"/>
    <w:rsid w:val="03E22E4D"/>
    <w:rsid w:val="045C09AF"/>
    <w:rsid w:val="04F06E2F"/>
    <w:rsid w:val="0506C9BB"/>
    <w:rsid w:val="0595C7D8"/>
    <w:rsid w:val="06CB5C50"/>
    <w:rsid w:val="06EB9B27"/>
    <w:rsid w:val="07D5B25A"/>
    <w:rsid w:val="083BC624"/>
    <w:rsid w:val="09C3604D"/>
    <w:rsid w:val="0A293415"/>
    <w:rsid w:val="0A400311"/>
    <w:rsid w:val="0B61DF2D"/>
    <w:rsid w:val="0B6AF08A"/>
    <w:rsid w:val="0D6FE836"/>
    <w:rsid w:val="0DC71B92"/>
    <w:rsid w:val="0DC84E9F"/>
    <w:rsid w:val="0DCFF988"/>
    <w:rsid w:val="10248C3E"/>
    <w:rsid w:val="11079A4A"/>
    <w:rsid w:val="1177F686"/>
    <w:rsid w:val="12C454B7"/>
    <w:rsid w:val="12D7804A"/>
    <w:rsid w:val="134AAECB"/>
    <w:rsid w:val="13AD69ED"/>
    <w:rsid w:val="141151F8"/>
    <w:rsid w:val="15515238"/>
    <w:rsid w:val="160C3A79"/>
    <w:rsid w:val="16A9618A"/>
    <w:rsid w:val="16ED2299"/>
    <w:rsid w:val="17A5B216"/>
    <w:rsid w:val="18175C3F"/>
    <w:rsid w:val="18E70149"/>
    <w:rsid w:val="19551A85"/>
    <w:rsid w:val="1BEA86A1"/>
    <w:rsid w:val="1D74F60B"/>
    <w:rsid w:val="1E745425"/>
    <w:rsid w:val="2053B56D"/>
    <w:rsid w:val="22BC45C5"/>
    <w:rsid w:val="23362555"/>
    <w:rsid w:val="244F522C"/>
    <w:rsid w:val="25227664"/>
    <w:rsid w:val="265CFAF7"/>
    <w:rsid w:val="27279BC6"/>
    <w:rsid w:val="274ADACE"/>
    <w:rsid w:val="2770B00D"/>
    <w:rsid w:val="27FB9BE2"/>
    <w:rsid w:val="282D2963"/>
    <w:rsid w:val="2B0B1FA9"/>
    <w:rsid w:val="2B4C646D"/>
    <w:rsid w:val="2C4F35E4"/>
    <w:rsid w:val="2CA6F00A"/>
    <w:rsid w:val="2D6D1BEC"/>
    <w:rsid w:val="2DA1533F"/>
    <w:rsid w:val="2EAC6402"/>
    <w:rsid w:val="2F1D4064"/>
    <w:rsid w:val="31300CF6"/>
    <w:rsid w:val="32211C8A"/>
    <w:rsid w:val="32908E54"/>
    <w:rsid w:val="335E1160"/>
    <w:rsid w:val="34948CFE"/>
    <w:rsid w:val="35E3D852"/>
    <w:rsid w:val="365B2FE7"/>
    <w:rsid w:val="3677CC2D"/>
    <w:rsid w:val="37AB3825"/>
    <w:rsid w:val="37DADC66"/>
    <w:rsid w:val="38B83F0D"/>
    <w:rsid w:val="3B092C84"/>
    <w:rsid w:val="3B327698"/>
    <w:rsid w:val="3BA147F1"/>
    <w:rsid w:val="3BBFB9F5"/>
    <w:rsid w:val="3BCBB4A8"/>
    <w:rsid w:val="3C0202C9"/>
    <w:rsid w:val="3D04F3A6"/>
    <w:rsid w:val="3D5B8A56"/>
    <w:rsid w:val="3DA11285"/>
    <w:rsid w:val="3DFDD8B4"/>
    <w:rsid w:val="3F38B501"/>
    <w:rsid w:val="3FD57207"/>
    <w:rsid w:val="407F4FF3"/>
    <w:rsid w:val="40DCDE5B"/>
    <w:rsid w:val="40EF8C73"/>
    <w:rsid w:val="42DD25D3"/>
    <w:rsid w:val="4462BF51"/>
    <w:rsid w:val="467762F5"/>
    <w:rsid w:val="46C52137"/>
    <w:rsid w:val="4759A01E"/>
    <w:rsid w:val="4785FB4E"/>
    <w:rsid w:val="478732F6"/>
    <w:rsid w:val="483F773F"/>
    <w:rsid w:val="48E59E7F"/>
    <w:rsid w:val="4A5CC12D"/>
    <w:rsid w:val="4A7A4945"/>
    <w:rsid w:val="4BF01156"/>
    <w:rsid w:val="4CC9A0B2"/>
    <w:rsid w:val="4CEC2C37"/>
    <w:rsid w:val="4F50EDB4"/>
    <w:rsid w:val="4F6178E1"/>
    <w:rsid w:val="4F6D779C"/>
    <w:rsid w:val="50465F29"/>
    <w:rsid w:val="50BDAC1D"/>
    <w:rsid w:val="50EDB815"/>
    <w:rsid w:val="51D045E1"/>
    <w:rsid w:val="52FD9BE9"/>
    <w:rsid w:val="54A28BFC"/>
    <w:rsid w:val="54BF7CD2"/>
    <w:rsid w:val="54CDFAAA"/>
    <w:rsid w:val="551C1419"/>
    <w:rsid w:val="56CB430C"/>
    <w:rsid w:val="56F973DC"/>
    <w:rsid w:val="5790ABF5"/>
    <w:rsid w:val="57B48C70"/>
    <w:rsid w:val="57B760B9"/>
    <w:rsid w:val="58029972"/>
    <w:rsid w:val="59131153"/>
    <w:rsid w:val="597F11C2"/>
    <w:rsid w:val="5AAEE1B4"/>
    <w:rsid w:val="5B244C88"/>
    <w:rsid w:val="5B6CC6C6"/>
    <w:rsid w:val="5C1EE752"/>
    <w:rsid w:val="5D3F3A68"/>
    <w:rsid w:val="5DF249EB"/>
    <w:rsid w:val="5E28D1F5"/>
    <w:rsid w:val="5FC3DB7E"/>
    <w:rsid w:val="6040D6A8"/>
    <w:rsid w:val="609DA639"/>
    <w:rsid w:val="62D3A5D8"/>
    <w:rsid w:val="638835F8"/>
    <w:rsid w:val="648AD7B3"/>
    <w:rsid w:val="648E0292"/>
    <w:rsid w:val="64DAFEE0"/>
    <w:rsid w:val="66365EC3"/>
    <w:rsid w:val="66DE707F"/>
    <w:rsid w:val="66F66168"/>
    <w:rsid w:val="67EF6D31"/>
    <w:rsid w:val="68069412"/>
    <w:rsid w:val="689AEB4D"/>
    <w:rsid w:val="6A914458"/>
    <w:rsid w:val="6A9BA041"/>
    <w:rsid w:val="6AAFE04E"/>
    <w:rsid w:val="6AD103D7"/>
    <w:rsid w:val="6B2CF5C1"/>
    <w:rsid w:val="6B893DBB"/>
    <w:rsid w:val="6CA77F3B"/>
    <w:rsid w:val="6CBC0AF3"/>
    <w:rsid w:val="6D3E7617"/>
    <w:rsid w:val="6D7AC91D"/>
    <w:rsid w:val="6E02877F"/>
    <w:rsid w:val="6F35823A"/>
    <w:rsid w:val="6F7EB6DD"/>
    <w:rsid w:val="6FAC8F24"/>
    <w:rsid w:val="6FC90A90"/>
    <w:rsid w:val="7022C5A0"/>
    <w:rsid w:val="71F49558"/>
    <w:rsid w:val="73FBE4FC"/>
    <w:rsid w:val="74D67A50"/>
    <w:rsid w:val="75DF2861"/>
    <w:rsid w:val="7624DACC"/>
    <w:rsid w:val="77F2A1A7"/>
    <w:rsid w:val="7853BFE8"/>
    <w:rsid w:val="786EC198"/>
    <w:rsid w:val="78BCFBD7"/>
    <w:rsid w:val="7A7A4775"/>
    <w:rsid w:val="7B2A4269"/>
    <w:rsid w:val="7B9398DB"/>
    <w:rsid w:val="7B9B07EA"/>
    <w:rsid w:val="7D36D84B"/>
    <w:rsid w:val="7E01D0C9"/>
    <w:rsid w:val="7E52D53B"/>
    <w:rsid w:val="7F2D33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BBB2B6"/>
  <w15:chartTrackingRefBased/>
  <w15:docId w15:val="{D69A421A-A62E-4DC1-911F-09A3B15F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56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0F7273"/>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9">
    <w:name w:val="heading 9"/>
    <w:basedOn w:val="Normal"/>
    <w:next w:val="Normal"/>
    <w:link w:val="Heading9Char"/>
    <w:uiPriority w:val="9"/>
    <w:semiHidden/>
    <w:unhideWhenUsed/>
    <w:qFormat/>
    <w:rsid w:val="00954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564"/>
    <w:pPr>
      <w:spacing w:after="0" w:line="240" w:lineRule="auto"/>
    </w:pPr>
  </w:style>
  <w:style w:type="paragraph" w:customStyle="1" w:styleId="a">
    <w:name w:val="_"/>
    <w:basedOn w:val="Normal"/>
    <w:rsid w:val="00193564"/>
    <w:pPr>
      <w:ind w:left="420" w:hanging="420"/>
    </w:pPr>
  </w:style>
  <w:style w:type="paragraph" w:styleId="ListParagraph">
    <w:name w:val="List Paragraph"/>
    <w:basedOn w:val="Normal"/>
    <w:uiPriority w:val="34"/>
    <w:qFormat/>
    <w:rsid w:val="00193564"/>
    <w:pPr>
      <w:ind w:left="720"/>
      <w:contextualSpacing/>
    </w:pPr>
  </w:style>
  <w:style w:type="character" w:styleId="CommentReference">
    <w:name w:val="annotation reference"/>
    <w:basedOn w:val="DefaultParagraphFont"/>
    <w:uiPriority w:val="99"/>
    <w:unhideWhenUsed/>
    <w:rsid w:val="00193564"/>
    <w:rPr>
      <w:sz w:val="16"/>
      <w:szCs w:val="16"/>
    </w:rPr>
  </w:style>
  <w:style w:type="paragraph" w:styleId="CommentText">
    <w:name w:val="annotation text"/>
    <w:basedOn w:val="Normal"/>
    <w:link w:val="CommentTextChar"/>
    <w:uiPriority w:val="99"/>
    <w:unhideWhenUsed/>
    <w:rsid w:val="00193564"/>
    <w:rPr>
      <w:sz w:val="20"/>
      <w:szCs w:val="20"/>
    </w:rPr>
  </w:style>
  <w:style w:type="character" w:customStyle="1" w:styleId="CommentTextChar">
    <w:name w:val="Comment Text Char"/>
    <w:basedOn w:val="DefaultParagraphFont"/>
    <w:link w:val="CommentText"/>
    <w:uiPriority w:val="99"/>
    <w:rsid w:val="001935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93564"/>
    <w:rPr>
      <w:color w:val="0563C1" w:themeColor="hyperlink"/>
      <w:u w:val="single"/>
    </w:rPr>
  </w:style>
  <w:style w:type="paragraph" w:styleId="BalloonText">
    <w:name w:val="Balloon Text"/>
    <w:basedOn w:val="Normal"/>
    <w:link w:val="BalloonTextChar"/>
    <w:uiPriority w:val="99"/>
    <w:semiHidden/>
    <w:unhideWhenUsed/>
    <w:rsid w:val="00193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56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193564"/>
    <w:rPr>
      <w:sz w:val="20"/>
      <w:szCs w:val="20"/>
    </w:rPr>
  </w:style>
  <w:style w:type="character" w:customStyle="1" w:styleId="FootnoteTextChar">
    <w:name w:val="Footnote Text Char"/>
    <w:basedOn w:val="DefaultParagraphFont"/>
    <w:link w:val="FootnoteText"/>
    <w:uiPriority w:val="99"/>
    <w:semiHidden/>
    <w:rsid w:val="0019356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3564"/>
    <w:rPr>
      <w:vertAlign w:val="superscript"/>
    </w:rPr>
  </w:style>
  <w:style w:type="character" w:customStyle="1" w:styleId="Heading6Char">
    <w:name w:val="Heading 6 Char"/>
    <w:basedOn w:val="DefaultParagraphFont"/>
    <w:link w:val="Heading6"/>
    <w:rsid w:val="000F7273"/>
    <w:rPr>
      <w:rFonts w:ascii="Arial" w:eastAsia="Times New Roman" w:hAnsi="Arial" w:cs="Arial"/>
      <w:sz w:val="24"/>
      <w:szCs w:val="20"/>
      <w:u w:val="single"/>
    </w:rPr>
  </w:style>
  <w:style w:type="character" w:styleId="FollowedHyperlink">
    <w:name w:val="FollowedHyperlink"/>
    <w:basedOn w:val="DefaultParagraphFont"/>
    <w:uiPriority w:val="99"/>
    <w:semiHidden/>
    <w:unhideWhenUsed/>
    <w:rsid w:val="000F727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4489B"/>
    <w:rPr>
      <w:b/>
      <w:bCs/>
    </w:rPr>
  </w:style>
  <w:style w:type="character" w:customStyle="1" w:styleId="CommentSubjectChar">
    <w:name w:val="Comment Subject Char"/>
    <w:basedOn w:val="CommentTextChar"/>
    <w:link w:val="CommentSubject"/>
    <w:uiPriority w:val="99"/>
    <w:semiHidden/>
    <w:rsid w:val="0024489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A7039"/>
    <w:rPr>
      <w:color w:val="605E5C"/>
      <w:shd w:val="clear" w:color="auto" w:fill="E1DFDD"/>
    </w:rPr>
  </w:style>
  <w:style w:type="paragraph" w:styleId="Revision">
    <w:name w:val="Revision"/>
    <w:hidden/>
    <w:uiPriority w:val="99"/>
    <w:semiHidden/>
    <w:rsid w:val="0072488D"/>
    <w:pPr>
      <w:spacing w:after="0"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954CEE"/>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6E1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9EF"/>
    <w:pPr>
      <w:tabs>
        <w:tab w:val="center" w:pos="4680"/>
        <w:tab w:val="right" w:pos="9360"/>
      </w:tabs>
    </w:pPr>
  </w:style>
  <w:style w:type="character" w:customStyle="1" w:styleId="HeaderChar">
    <w:name w:val="Header Char"/>
    <w:basedOn w:val="DefaultParagraphFont"/>
    <w:link w:val="Header"/>
    <w:uiPriority w:val="99"/>
    <w:rsid w:val="00C129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29EF"/>
    <w:pPr>
      <w:tabs>
        <w:tab w:val="center" w:pos="4680"/>
        <w:tab w:val="right" w:pos="9360"/>
      </w:tabs>
    </w:pPr>
  </w:style>
  <w:style w:type="character" w:customStyle="1" w:styleId="FooterChar">
    <w:name w:val="Footer Char"/>
    <w:basedOn w:val="DefaultParagraphFont"/>
    <w:link w:val="Footer"/>
    <w:uiPriority w:val="99"/>
    <w:rsid w:val="00C129EF"/>
    <w:rPr>
      <w:rFonts w:ascii="Times New Roman" w:eastAsia="Times New Roman" w:hAnsi="Times New Roman" w:cs="Times New Roman"/>
      <w:sz w:val="24"/>
      <w:szCs w:val="24"/>
    </w:rPr>
  </w:style>
  <w:style w:type="character" w:customStyle="1" w:styleId="ui-provider">
    <w:name w:val="ui-provider"/>
    <w:basedOn w:val="DefaultParagraphFont"/>
    <w:rsid w:val="00225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ma-international.org/publications-and-standards/standards/ecma-376/" TargetMode="External" /><Relationship Id="rId11" Type="http://schemas.openxmlformats.org/officeDocument/2006/relationships/hyperlink" Target="https://www.iso.org/committee/45374/x/catalogue/" TargetMode="External" /><Relationship Id="rId12" Type="http://schemas.openxmlformats.org/officeDocument/2006/relationships/hyperlink" Target="https://www.nist.gov/news-events/news/2008/03/nist-votes-us-approval-modified-office-open-xml-standard" TargetMode="External" /><Relationship Id="rId13" Type="http://schemas.openxmlformats.org/officeDocument/2006/relationships/hyperlink" Target="https://www.uspto.gov/patent/docx" TargetMode="External" /><Relationship Id="rId14" Type="http://schemas.openxmlformats.org/officeDocument/2006/relationships/hyperlink" Target="https://www.uspto.gov/sites/default/files/documents/XML4IP_V7_1.zip" TargetMode="External" /><Relationship Id="rId15" Type="http://schemas.openxmlformats.org/officeDocument/2006/relationships/hyperlink" Target="https://www.uspto.gov/sites/default/files/documents/Docx_Errors_and_Warning_Brand_Update_May_31_2023.docx" TargetMode="External" /><Relationship Id="rId16" Type="http://schemas.openxmlformats.org/officeDocument/2006/relationships/hyperlink" Target="https://www.uspto.gov/about-us/events/patents-docx-filing" TargetMode="External" /><Relationship Id="rId17" Type="http://schemas.openxmlformats.org/officeDocument/2006/relationships/hyperlink" Target="https://www.archives.gov/records-mgmt/rcs/schedules/index.html?dir=/departments/department-of-commerce/rg-0241" TargetMode="External" /><Relationship Id="rId18" Type="http://schemas.openxmlformats.org/officeDocument/2006/relationships/hyperlink" Target="https://osec.doc.gov/opog/privacy/pto%20pias/PE2E-PIA_SAOP_Approval_Delegation.pdf"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pto.gov/PatentCente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3-09-27/pdf/2023-21099.pdf" TargetMode="External" /><Relationship Id="rId2" Type="http://schemas.openxmlformats.org/officeDocument/2006/relationships/hyperlink" Target="https://www.govinfo.gov/content/pkg/FR-2013-03-29/pdf/2013-07341.pdf" TargetMode="External" /><Relationship Id="rId3" Type="http://schemas.openxmlformats.org/officeDocument/2006/relationships/hyperlink" Target="https://www.aipla.org/home/news-publications/economic-survey" TargetMode="External" /><Relationship Id="rId4" Type="http://schemas.openxmlformats.org/officeDocument/2006/relationships/hyperlink" Target="https://www.uspto.gov/learning-and-resources/official-gazet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07f31c-166a-46d5-9593-5fb8c06bbcf1">
      <UserInfo>
        <DisplayName>Mehta, Parikha</DisplayName>
        <AccountId>39</AccountId>
        <AccountType/>
      </UserInfo>
      <UserInfo>
        <DisplayName>Tamayo, Raul</DisplayName>
        <AccountId>40</AccountId>
        <AccountType/>
      </UserInfo>
      <UserInfo>
        <DisplayName>Choe, Tricia</DisplayName>
        <AccountId>26</AccountId>
        <AccountType/>
      </UserInfo>
      <UserInfo>
        <DisplayName>Lee, Kyu S.</DisplayName>
        <AccountId>76</AccountId>
        <AccountType/>
      </UserInfo>
      <UserInfo>
        <DisplayName>Gunther, Sarah</DisplayName>
        <AccountId>74</AccountId>
        <AccountType/>
      </UserInfo>
      <UserInfo>
        <DisplayName>Hall, Drew</DisplayName>
        <AccountId>73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344AEE0E929C46A6200943539AB01D" ma:contentTypeVersion="7" ma:contentTypeDescription="Create a new document." ma:contentTypeScope="" ma:versionID="5d76ccdd2f1ab85aa3ff5c56e960ef7a">
  <xsd:schema xmlns:xsd="http://www.w3.org/2001/XMLSchema" xmlns:xs="http://www.w3.org/2001/XMLSchema" xmlns:p="http://schemas.microsoft.com/office/2006/metadata/properties" xmlns:ns2="1261c19d-f88e-4883-802f-1681b2d58d1b" xmlns:ns3="c207f31c-166a-46d5-9593-5fb8c06bbcf1" targetNamespace="http://schemas.microsoft.com/office/2006/metadata/properties" ma:root="true" ma:fieldsID="3d8fd02192b14b746ab08bc14ce48da5" ns2:_="" ns3:_="">
    <xsd:import namespace="1261c19d-f88e-4883-802f-1681b2d58d1b"/>
    <xsd:import namespace="c207f31c-166a-46d5-9593-5fb8c06bbc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1c19d-f88e-4883-802f-1681b2d58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07f31c-166a-46d5-9593-5fb8c06bbcf1"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27C3A-1C56-4B12-B633-5619EAB3283E}">
  <ds:schemaRefs>
    <ds:schemaRef ds:uri="http://schemas.openxmlformats.org/officeDocument/2006/bibliography"/>
  </ds:schemaRefs>
</ds:datastoreItem>
</file>

<file path=customXml/itemProps2.xml><?xml version="1.0" encoding="utf-8"?>
<ds:datastoreItem xmlns:ds="http://schemas.openxmlformats.org/officeDocument/2006/customXml" ds:itemID="{962BE7BC-5FA7-4429-91BC-D4276FE5C7D0}">
  <ds:schemaRefs>
    <ds:schemaRef ds:uri="http://schemas.microsoft.com/office/2006/metadata/properties"/>
    <ds:schemaRef ds:uri="http://schemas.microsoft.com/office/infopath/2007/PartnerControls"/>
    <ds:schemaRef ds:uri="c207f31c-166a-46d5-9593-5fb8c06bbcf1"/>
  </ds:schemaRefs>
</ds:datastoreItem>
</file>

<file path=customXml/itemProps3.xml><?xml version="1.0" encoding="utf-8"?>
<ds:datastoreItem xmlns:ds="http://schemas.openxmlformats.org/officeDocument/2006/customXml" ds:itemID="{7848B8AA-4D03-4AB0-B3DF-42BCA11ECB4B}">
  <ds:schemaRefs>
    <ds:schemaRef ds:uri="http://schemas.microsoft.com/sharepoint/v3/contenttype/forms"/>
  </ds:schemaRefs>
</ds:datastoreItem>
</file>

<file path=customXml/itemProps4.xml><?xml version="1.0" encoding="utf-8"?>
<ds:datastoreItem xmlns:ds="http://schemas.openxmlformats.org/officeDocument/2006/customXml" ds:itemID="{F2945985-9F30-432F-AD6B-AD6CD5A4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1c19d-f88e-4883-802f-1681b2d58d1b"/>
    <ds:schemaRef ds:uri="c207f31c-166a-46d5-9593-5fb8c06bb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27</Pages>
  <Words>11272</Words>
  <Characters>64256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Tamayo, Raul</cp:lastModifiedBy>
  <cp:revision>5</cp:revision>
  <dcterms:created xsi:type="dcterms:W3CDTF">2023-12-06T16:13:00Z</dcterms:created>
  <dcterms:modified xsi:type="dcterms:W3CDTF">2023-12-06T17:10:00Z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0x01010068344AEE0E929C46A6200943539AB01D</vt:lpwstr>
  </property>
</Properties>
</file>