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3809" w:rsidP="00A21BF1" w14:paraId="692046F8" w14:textId="0E8C9D6B">
      <w:pPr>
        <w:pStyle w:val="NoSpacing"/>
        <w:jc w:val="center"/>
        <w:rPr>
          <w:rFonts w:ascii="Arial" w:hAnsi="Arial" w:cs="Arial"/>
          <w:sz w:val="24"/>
          <w:szCs w:val="24"/>
        </w:rPr>
      </w:pPr>
      <w:r>
        <w:rPr>
          <w:rFonts w:ascii="Arial" w:hAnsi="Arial" w:cs="Arial"/>
          <w:b/>
          <w:bCs/>
          <w:sz w:val="24"/>
          <w:szCs w:val="24"/>
        </w:rPr>
        <w:t>JUSTIFICATION FOR NONMATERIAL/NONSUBSTANTIVE CHANGE</w:t>
      </w:r>
    </w:p>
    <w:p w:rsidR="00A21BF1" w:rsidP="00A21BF1" w14:paraId="437FB935" w14:textId="02DEA581">
      <w:pPr>
        <w:pStyle w:val="NoSpacing"/>
        <w:jc w:val="center"/>
        <w:rPr>
          <w:rFonts w:ascii="Arial" w:hAnsi="Arial" w:cs="Arial"/>
          <w:b/>
          <w:bCs/>
          <w:sz w:val="24"/>
          <w:szCs w:val="24"/>
        </w:rPr>
      </w:pPr>
      <w:r>
        <w:rPr>
          <w:rFonts w:ascii="Arial" w:hAnsi="Arial" w:cs="Arial"/>
          <w:b/>
          <w:bCs/>
          <w:sz w:val="24"/>
          <w:szCs w:val="24"/>
        </w:rPr>
        <w:t xml:space="preserve">DOCX Submissions Requirements </w:t>
      </w:r>
    </w:p>
    <w:p w:rsidR="00A21BF1" w:rsidP="00A21BF1" w14:paraId="327FEA0E" w14:textId="652CCB65">
      <w:pPr>
        <w:pStyle w:val="NoSpacing"/>
        <w:jc w:val="center"/>
        <w:rPr>
          <w:rFonts w:ascii="Arial" w:hAnsi="Arial" w:cs="Arial"/>
          <w:sz w:val="24"/>
          <w:szCs w:val="24"/>
        </w:rPr>
      </w:pPr>
      <w:r>
        <w:rPr>
          <w:rFonts w:ascii="Arial" w:hAnsi="Arial" w:cs="Arial"/>
          <w:b/>
          <w:bCs/>
          <w:sz w:val="24"/>
          <w:szCs w:val="24"/>
        </w:rPr>
        <w:t xml:space="preserve">OMB Control Number </w:t>
      </w:r>
      <w:r>
        <w:rPr>
          <w:rFonts w:ascii="Arial" w:hAnsi="Arial" w:cs="Arial"/>
          <w:b/>
          <w:bCs/>
          <w:sz w:val="24"/>
          <w:szCs w:val="24"/>
        </w:rPr>
        <w:t>0651-0089</w:t>
      </w:r>
    </w:p>
    <w:p w:rsidR="00A21BF1" w:rsidP="00A21BF1" w14:paraId="546A4B27" w14:textId="0CD1F907">
      <w:pPr>
        <w:pStyle w:val="NoSpacing"/>
        <w:rPr>
          <w:rFonts w:ascii="Arial" w:hAnsi="Arial" w:cs="Arial"/>
          <w:sz w:val="24"/>
          <w:szCs w:val="24"/>
        </w:rPr>
      </w:pPr>
    </w:p>
    <w:p w:rsidR="00A21BF1" w:rsidP="00A21BF1" w14:paraId="6E4B3D8F" w14:textId="081D423F">
      <w:pPr>
        <w:pStyle w:val="NoSpacing"/>
        <w:rPr>
          <w:rFonts w:ascii="Arial" w:hAnsi="Arial" w:cs="Arial"/>
          <w:sz w:val="24"/>
          <w:szCs w:val="24"/>
        </w:rPr>
      </w:pPr>
      <w:r>
        <w:rPr>
          <w:rFonts w:ascii="Arial" w:hAnsi="Arial" w:cs="Arial"/>
          <w:sz w:val="24"/>
          <w:szCs w:val="24"/>
          <w:u w:val="single"/>
        </w:rPr>
        <w:t>Background</w:t>
      </w:r>
    </w:p>
    <w:p w:rsidR="00A21BF1" w:rsidP="00A21BF1" w14:paraId="65831BF6" w14:textId="71D4AB98">
      <w:pPr>
        <w:pStyle w:val="NoSpacing"/>
        <w:rPr>
          <w:rFonts w:ascii="Arial" w:hAnsi="Arial" w:cs="Arial"/>
          <w:sz w:val="24"/>
          <w:szCs w:val="24"/>
        </w:rPr>
      </w:pPr>
    </w:p>
    <w:p w:rsidR="004C0DDF" w:rsidRPr="004C0DDF" w:rsidP="00DA51EF" w14:paraId="34543FC4" w14:textId="6C22E425">
      <w:pPr>
        <w:pStyle w:val="NoSpacing"/>
        <w:jc w:val="both"/>
        <w:rPr>
          <w:rFonts w:ascii="Arial" w:hAnsi="Arial" w:cs="Arial"/>
          <w:bCs/>
          <w:sz w:val="24"/>
          <w:szCs w:val="24"/>
        </w:rPr>
      </w:pPr>
      <w:r>
        <w:rPr>
          <w:rFonts w:ascii="Arial" w:hAnsi="Arial" w:cs="Arial"/>
          <w:bCs/>
          <w:sz w:val="24"/>
          <w:szCs w:val="24"/>
        </w:rPr>
        <w:t>On August 3, 2020, the USPTO published a final rule in the Federal Register that included a new fee set forth in 37 CFR 1.16(u). See Setting and Adjusting Patent Fees in Fiscal Year 2020, 85 FR 46932 (Patent Fee Rule). Although that final rule indicated the new fee at §1.16(u) would go into effect on January 1, 2022, the effective date of the new fee was delayed to give applicants more time to adjust to filing patent applications in the DOCX format. The fee is scheduled to go into effect on January 17, 2024. See Setting and Adjusting Patent Fees during Fiscal Year 2020, 88 FR 36956 (June 6, 2023).</w:t>
      </w:r>
      <w:r>
        <w:rPr>
          <w:rStyle w:val="FootnoteReference"/>
          <w:rFonts w:ascii="Arial" w:hAnsi="Arial" w:cs="Arial"/>
          <w:bCs/>
          <w:sz w:val="24"/>
          <w:szCs w:val="24"/>
        </w:rPr>
        <w:footnoteReference w:id="2"/>
      </w:r>
    </w:p>
    <w:p w:rsidR="003A5067" w:rsidP="44CAF8C4" w14:paraId="4267D9BD" w14:textId="77777777">
      <w:pPr>
        <w:pStyle w:val="NoSpacing"/>
        <w:jc w:val="both"/>
        <w:rPr>
          <w:rFonts w:ascii="Arial" w:hAnsi="Arial" w:cs="Arial"/>
          <w:sz w:val="24"/>
          <w:szCs w:val="24"/>
        </w:rPr>
      </w:pPr>
    </w:p>
    <w:p w:rsidR="00FB6F21" w:rsidP="44CAF8C4" w14:paraId="694CD5B5" w14:textId="2D1C6EE6">
      <w:pPr>
        <w:pStyle w:val="NoSpacing"/>
        <w:jc w:val="both"/>
        <w:rPr>
          <w:rFonts w:ascii="Arial" w:hAnsi="Arial" w:cs="Arial"/>
          <w:sz w:val="24"/>
          <w:szCs w:val="24"/>
        </w:rPr>
      </w:pPr>
      <w:r w:rsidRPr="44CAF8C4">
        <w:rPr>
          <w:rFonts w:ascii="Arial" w:hAnsi="Arial" w:cs="Arial"/>
          <w:sz w:val="24"/>
          <w:szCs w:val="24"/>
        </w:rPr>
        <w:t xml:space="preserve">The </w:t>
      </w:r>
      <w:r w:rsidRPr="44CAF8C4">
        <w:rPr>
          <w:rFonts w:ascii="Arial" w:hAnsi="Arial" w:cs="Arial"/>
          <w:sz w:val="24"/>
          <w:szCs w:val="24"/>
        </w:rPr>
        <w:t>§1.16(u) fee is due for any application filed under 35 U.S.C. 111 for an original patent—except design, plant, or provisional applications—where the specification, claims, and/or abstract do not conform to the USPTO requirements for submission in the DOCX format. Therefore, the fee is due for nonprovisional utility applications filed under 35 U.S.C. 111, including continuing applications, that are not filed in the DOCX format.</w:t>
      </w:r>
    </w:p>
    <w:p w:rsidR="00A21BF1" w:rsidP="00A21BF1" w14:paraId="06C7D065" w14:textId="37EDA4ED">
      <w:pPr>
        <w:pStyle w:val="NoSpacing"/>
        <w:rPr>
          <w:rFonts w:ascii="Arial" w:hAnsi="Arial" w:cs="Arial"/>
          <w:sz w:val="24"/>
          <w:szCs w:val="24"/>
        </w:rPr>
      </w:pPr>
    </w:p>
    <w:p w:rsidR="00FB6F21" w:rsidP="00FB6F21" w14:paraId="791825A4" w14:textId="36D7460C">
      <w:pPr>
        <w:pStyle w:val="NoSpacing"/>
        <w:jc w:val="both"/>
        <w:rPr>
          <w:rFonts w:ascii="Arial" w:hAnsi="Arial" w:cs="Arial"/>
          <w:sz w:val="24"/>
          <w:szCs w:val="24"/>
        </w:rPr>
      </w:pPr>
      <w:r w:rsidRPr="44CAF8C4">
        <w:rPr>
          <w:rFonts w:ascii="Arial" w:hAnsi="Arial" w:cs="Arial"/>
          <w:sz w:val="24"/>
          <w:szCs w:val="24"/>
        </w:rPr>
        <w:t>The items in this new information collection relate solely to the impacts of the § 1.16(u) non-DOCX filing surcharge fee on the filing of nonprovisional utility applications under 35 U.S.C. 111, including continuing applications. In particular, this information collection accounts for the § 1.16(u) non-DOCX filing surcharge fee itself, as well as an additional 30 minutes of time to accommodate (</w:t>
      </w:r>
      <w:r w:rsidRPr="44CAF8C4">
        <w:rPr>
          <w:rFonts w:ascii="Arial" w:hAnsi="Arial" w:cs="Arial"/>
          <w:sz w:val="24"/>
          <w:szCs w:val="24"/>
        </w:rPr>
        <w:t>i</w:t>
      </w:r>
      <w:r w:rsidRPr="44CAF8C4">
        <w:rPr>
          <w:rFonts w:ascii="Arial" w:hAnsi="Arial" w:cs="Arial"/>
          <w:sz w:val="24"/>
          <w:szCs w:val="24"/>
        </w:rPr>
        <w:t>) the extra review that some respondents may undertake as they start to become more familiar with the DOCX format and (ii) submission of the back-up applicant-generated PDF that some respondents will opt to submit.</w:t>
      </w:r>
    </w:p>
    <w:p w:rsidR="00FB6F21" w:rsidP="00A21BF1" w14:paraId="29DB66B3" w14:textId="77B28768">
      <w:pPr>
        <w:pStyle w:val="NoSpacing"/>
        <w:rPr>
          <w:rFonts w:ascii="Arial" w:hAnsi="Arial" w:cs="Arial"/>
          <w:sz w:val="24"/>
          <w:szCs w:val="24"/>
        </w:rPr>
      </w:pPr>
    </w:p>
    <w:p w:rsidR="00FB6F21" w:rsidRPr="007D423D" w:rsidP="00FB6F21" w14:paraId="31F1B318" w14:textId="101DA06C">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3"/>
      </w:r>
      <w:r w:rsidRPr="7FE52CB3">
        <w:rPr>
          <w:rFonts w:ascii="Arial" w:hAnsi="Arial" w:cs="Arial"/>
          <w:color w:val="000000" w:themeColor="text1"/>
          <w:sz w:val="24"/>
          <w:szCs w:val="24"/>
        </w:rPr>
        <w:t>,</w:t>
      </w:r>
      <w:r w:rsidRPr="5F2FAC71">
        <w:rPr>
          <w:rFonts w:ascii="Arial" w:hAnsi="Arial" w:cs="Arial"/>
          <w:color w:val="000000" w:themeColor="text1"/>
          <w:sz w:val="24"/>
          <w:szCs w:val="24"/>
        </w:rPr>
        <w:t xml:space="preserve"> </w:t>
      </w:r>
      <w:r w:rsidRPr="5F2FAC71" w:rsidR="00D073FC">
        <w:rPr>
          <w:rFonts w:ascii="Arial" w:hAnsi="Arial" w:cs="Arial"/>
          <w:color w:val="000000" w:themeColor="text1"/>
          <w:sz w:val="24"/>
          <w:szCs w:val="24"/>
        </w:rPr>
        <w:t xml:space="preserve">the </w:t>
      </w:r>
      <w:r w:rsidRPr="5F2FAC71">
        <w:rPr>
          <w:rFonts w:ascii="Arial" w:hAnsi="Arial" w:cs="Arial"/>
          <w:color w:val="000000" w:themeColor="text1"/>
          <w:sz w:val="24"/>
          <w:szCs w:val="24"/>
        </w:rPr>
        <w:t>USPTO is changing</w:t>
      </w:r>
      <w:r w:rsidRPr="5F2FAC71" w:rsidR="72B3E08E">
        <w:rPr>
          <w:rFonts w:ascii="Arial" w:hAnsi="Arial" w:cs="Arial"/>
          <w:color w:val="000000" w:themeColor="text1"/>
          <w:sz w:val="24"/>
          <w:szCs w:val="24"/>
        </w:rPr>
        <w:t xml:space="preserve"> three</w:t>
      </w:r>
      <w:r w:rsidRPr="5F2FAC71">
        <w:rPr>
          <w:rFonts w:ascii="Arial" w:hAnsi="Arial" w:cs="Arial"/>
          <w:color w:val="000000" w:themeColor="text1"/>
          <w:sz w:val="24"/>
          <w:szCs w:val="24"/>
        </w:rPr>
        <w:t xml:space="preserve"> fees in this information collection.</w:t>
      </w:r>
    </w:p>
    <w:p w:rsidR="00FB6F21" w:rsidP="00FB6F21" w14:paraId="207071FE" w14:textId="77777777">
      <w:pPr>
        <w:pStyle w:val="NoSpacing"/>
        <w:rPr>
          <w:rFonts w:ascii="Arial" w:hAnsi="Arial" w:cs="Arial"/>
          <w:sz w:val="24"/>
          <w:szCs w:val="24"/>
        </w:rPr>
      </w:pPr>
    </w:p>
    <w:p w:rsidR="00FB6F21" w:rsidRPr="009E4618" w:rsidP="00FB6F21" w14:paraId="14D1E1B0" w14:textId="77777777">
      <w:pPr>
        <w:pStyle w:val="NoSpacing"/>
        <w:rPr>
          <w:rFonts w:ascii="Arial" w:hAnsi="Arial" w:cs="Arial"/>
          <w:b/>
          <w:bCs/>
          <w:sz w:val="20"/>
          <w:szCs w:val="20"/>
        </w:rPr>
      </w:pPr>
      <w:r w:rsidRPr="006004C0">
        <w:rPr>
          <w:rFonts w:ascii="Arial" w:hAnsi="Arial" w:cs="Arial"/>
          <w:b/>
          <w:bCs/>
          <w:sz w:val="20"/>
          <w:szCs w:val="20"/>
        </w:rPr>
        <w:t xml:space="preserve">Table 1: </w:t>
      </w:r>
      <w:r>
        <w:rPr>
          <w:rFonts w:ascii="Arial" w:hAnsi="Arial" w:cs="Arial"/>
          <w:b/>
          <w:bCs/>
          <w:sz w:val="20"/>
          <w:szCs w:val="20"/>
        </w:rPr>
        <w:t>Changes</w:t>
      </w:r>
      <w:r w:rsidRPr="006004C0">
        <w:rPr>
          <w:rFonts w:ascii="Arial" w:hAnsi="Arial" w:cs="Arial"/>
          <w:b/>
          <w:bCs/>
          <w:sz w:val="20"/>
          <w:szCs w:val="20"/>
        </w:rPr>
        <w:t xml:space="preserve"> in Fee Amount</w:t>
      </w:r>
    </w:p>
    <w:tbl>
      <w:tblPr>
        <w:tblStyle w:val="TableGrid"/>
        <w:tblW w:w="5920" w:type="pct"/>
        <w:tblInd w:w="-905" w:type="dxa"/>
        <w:tblLook w:val="04A0"/>
      </w:tblPr>
      <w:tblGrid>
        <w:gridCol w:w="628"/>
        <w:gridCol w:w="1083"/>
        <w:gridCol w:w="5039"/>
        <w:gridCol w:w="1439"/>
        <w:gridCol w:w="1444"/>
        <w:gridCol w:w="1437"/>
      </w:tblGrid>
      <w:tr w14:paraId="6D9A4BAE" w14:textId="77777777" w:rsidTr="00D073FC">
        <w:tblPrEx>
          <w:tblW w:w="5920" w:type="pct"/>
          <w:tblInd w:w="-905" w:type="dxa"/>
          <w:tblLook w:val="04A0"/>
        </w:tblPrEx>
        <w:tc>
          <w:tcPr>
            <w:tcW w:w="284" w:type="pct"/>
            <w:shd w:val="clear" w:color="auto" w:fill="B4C6E7" w:themeFill="accent1" w:themeFillTint="66"/>
            <w:vAlign w:val="center"/>
          </w:tcPr>
          <w:p w:rsidR="00FB6F21" w:rsidRPr="00B765C3" w:rsidP="009E4490" w14:paraId="52CBCA32" w14:textId="77777777">
            <w:pPr>
              <w:pStyle w:val="NoSpacing"/>
              <w:jc w:val="center"/>
              <w:rPr>
                <w:rFonts w:ascii="Arial" w:hAnsi="Arial" w:cs="Arial"/>
                <w:b/>
                <w:sz w:val="20"/>
                <w:szCs w:val="20"/>
              </w:rPr>
            </w:pPr>
          </w:p>
          <w:p w:rsidR="00FB6F21" w:rsidRPr="00B765C3" w:rsidP="009E4490" w14:paraId="6F18AEE9" w14:textId="77777777">
            <w:pPr>
              <w:pStyle w:val="NoSpacing"/>
              <w:jc w:val="center"/>
              <w:rPr>
                <w:rFonts w:ascii="Arial" w:hAnsi="Arial" w:cs="Arial"/>
                <w:b/>
                <w:sz w:val="20"/>
                <w:szCs w:val="20"/>
              </w:rPr>
            </w:pPr>
            <w:r w:rsidRPr="00B765C3">
              <w:rPr>
                <w:rFonts w:ascii="Arial" w:hAnsi="Arial" w:cs="Arial"/>
                <w:b/>
                <w:sz w:val="20"/>
                <w:szCs w:val="20"/>
              </w:rPr>
              <w:t>Item No.</w:t>
            </w:r>
          </w:p>
          <w:p w:rsidR="00FB6F21" w:rsidRPr="00B765C3" w:rsidP="009E4490" w14:paraId="20FB1D2D" w14:textId="77777777">
            <w:pPr>
              <w:pStyle w:val="NoSpacing"/>
              <w:jc w:val="center"/>
              <w:rPr>
                <w:rFonts w:ascii="Arial" w:hAnsi="Arial" w:cs="Arial"/>
                <w:b/>
                <w:sz w:val="20"/>
                <w:szCs w:val="20"/>
              </w:rPr>
            </w:pPr>
          </w:p>
        </w:tc>
        <w:tc>
          <w:tcPr>
            <w:tcW w:w="489" w:type="pct"/>
            <w:shd w:val="clear" w:color="auto" w:fill="B4C6E7" w:themeFill="accent1" w:themeFillTint="66"/>
            <w:vAlign w:val="center"/>
          </w:tcPr>
          <w:p w:rsidR="00FB6F21" w:rsidRPr="00B765C3" w:rsidP="009E4490" w14:paraId="5C9B1CFD" w14:textId="77777777">
            <w:pPr>
              <w:pStyle w:val="NoSpacing"/>
              <w:jc w:val="center"/>
              <w:rPr>
                <w:rFonts w:ascii="Arial" w:hAnsi="Arial" w:cs="Arial"/>
                <w:b/>
                <w:sz w:val="20"/>
                <w:szCs w:val="20"/>
              </w:rPr>
            </w:pPr>
            <w:r w:rsidRPr="00B765C3">
              <w:rPr>
                <w:rFonts w:ascii="Arial" w:hAnsi="Arial" w:cs="Arial"/>
                <w:b/>
                <w:sz w:val="20"/>
                <w:szCs w:val="20"/>
              </w:rPr>
              <w:t>Fee Code</w:t>
            </w:r>
          </w:p>
        </w:tc>
        <w:tc>
          <w:tcPr>
            <w:tcW w:w="2276" w:type="pct"/>
            <w:shd w:val="clear" w:color="auto" w:fill="B4C6E7" w:themeFill="accent1" w:themeFillTint="66"/>
            <w:vAlign w:val="center"/>
          </w:tcPr>
          <w:p w:rsidR="00FB6F21" w:rsidRPr="00B765C3" w:rsidP="009E4490" w14:paraId="45B4075A" w14:textId="77777777">
            <w:pPr>
              <w:pStyle w:val="NoSpacing"/>
              <w:jc w:val="center"/>
              <w:rPr>
                <w:rFonts w:ascii="Arial" w:hAnsi="Arial" w:cs="Arial"/>
                <w:b/>
                <w:sz w:val="20"/>
                <w:szCs w:val="20"/>
              </w:rPr>
            </w:pPr>
            <w:r w:rsidRPr="00B765C3">
              <w:rPr>
                <w:rFonts w:ascii="Arial" w:hAnsi="Arial" w:cs="Arial"/>
                <w:b/>
                <w:sz w:val="20"/>
                <w:szCs w:val="20"/>
              </w:rPr>
              <w:t>Item</w:t>
            </w:r>
          </w:p>
        </w:tc>
        <w:tc>
          <w:tcPr>
            <w:tcW w:w="650" w:type="pct"/>
            <w:shd w:val="clear" w:color="auto" w:fill="B4C6E7" w:themeFill="accent1" w:themeFillTint="66"/>
            <w:vAlign w:val="center"/>
          </w:tcPr>
          <w:p w:rsidR="00FB6F21" w:rsidRPr="00B765C3" w:rsidP="009E4490" w14:paraId="268AE1B0" w14:textId="77777777">
            <w:pPr>
              <w:pStyle w:val="NoSpacing"/>
              <w:jc w:val="center"/>
              <w:rPr>
                <w:rFonts w:ascii="Arial" w:hAnsi="Arial" w:cs="Arial"/>
                <w:b/>
                <w:sz w:val="20"/>
                <w:szCs w:val="20"/>
              </w:rPr>
            </w:pPr>
            <w:r w:rsidRPr="00B765C3">
              <w:rPr>
                <w:rFonts w:ascii="Arial" w:hAnsi="Arial" w:cs="Arial"/>
                <w:b/>
                <w:sz w:val="20"/>
                <w:szCs w:val="20"/>
              </w:rPr>
              <w:t>Current Fee</w:t>
            </w:r>
          </w:p>
        </w:tc>
        <w:tc>
          <w:tcPr>
            <w:tcW w:w="652" w:type="pct"/>
            <w:shd w:val="clear" w:color="auto" w:fill="B4C6E7" w:themeFill="accent1" w:themeFillTint="66"/>
            <w:vAlign w:val="center"/>
          </w:tcPr>
          <w:p w:rsidR="00FB6F21" w:rsidRPr="00B765C3" w:rsidP="009E4490" w14:paraId="3900D62F" w14:textId="77777777">
            <w:pPr>
              <w:pStyle w:val="NoSpacing"/>
              <w:jc w:val="center"/>
              <w:rPr>
                <w:rFonts w:ascii="Arial" w:hAnsi="Arial" w:cs="Arial"/>
                <w:b/>
                <w:sz w:val="20"/>
                <w:szCs w:val="20"/>
              </w:rPr>
            </w:pPr>
            <w:r w:rsidRPr="00B765C3">
              <w:rPr>
                <w:rFonts w:ascii="Arial" w:hAnsi="Arial" w:cs="Arial"/>
                <w:b/>
                <w:sz w:val="20"/>
                <w:szCs w:val="20"/>
              </w:rPr>
              <w:t>New Fee</w:t>
            </w:r>
          </w:p>
        </w:tc>
        <w:tc>
          <w:tcPr>
            <w:tcW w:w="649" w:type="pct"/>
            <w:shd w:val="clear" w:color="auto" w:fill="B4C6E7" w:themeFill="accent1" w:themeFillTint="66"/>
            <w:vAlign w:val="center"/>
          </w:tcPr>
          <w:p w:rsidR="00FB6F21" w:rsidRPr="00B765C3" w:rsidP="009E4490" w14:paraId="70259A38" w14:textId="77777777">
            <w:pPr>
              <w:pStyle w:val="NoSpacing"/>
              <w:jc w:val="center"/>
              <w:rPr>
                <w:rFonts w:ascii="Arial" w:hAnsi="Arial" w:cs="Arial"/>
                <w:b/>
                <w:sz w:val="20"/>
                <w:szCs w:val="20"/>
              </w:rPr>
            </w:pPr>
            <w:r w:rsidRPr="00B765C3">
              <w:rPr>
                <w:rFonts w:ascii="Arial" w:hAnsi="Arial" w:cs="Arial"/>
                <w:b/>
                <w:sz w:val="20"/>
                <w:szCs w:val="20"/>
              </w:rPr>
              <w:t xml:space="preserve">Changes in Fee Amount </w:t>
            </w:r>
          </w:p>
        </w:tc>
      </w:tr>
      <w:tr w14:paraId="5343B625" w14:textId="77777777" w:rsidTr="00D073FC">
        <w:tblPrEx>
          <w:tblW w:w="5920" w:type="pct"/>
          <w:tblInd w:w="-905" w:type="dxa"/>
          <w:tblLook w:val="04A0"/>
        </w:tblPrEx>
        <w:tc>
          <w:tcPr>
            <w:tcW w:w="284" w:type="pct"/>
            <w:vAlign w:val="center"/>
          </w:tcPr>
          <w:p w:rsidR="00FB6F21" w:rsidRPr="00401D88" w:rsidP="00FB6F21" w14:paraId="53563D6F" w14:textId="78662E93">
            <w:pPr>
              <w:jc w:val="center"/>
              <w:rPr>
                <w:rFonts w:ascii="Arial" w:hAnsi="Arial" w:cs="Arial"/>
                <w:color w:val="000000"/>
              </w:rPr>
            </w:pPr>
            <w:r>
              <w:rPr>
                <w:rFonts w:ascii="Arial" w:hAnsi="Arial" w:cs="Arial"/>
                <w:color w:val="000000"/>
              </w:rPr>
              <w:t>1-4</w:t>
            </w:r>
          </w:p>
        </w:tc>
        <w:tc>
          <w:tcPr>
            <w:tcW w:w="489" w:type="pct"/>
            <w:vAlign w:val="center"/>
          </w:tcPr>
          <w:p w:rsidR="00FB6F21" w:rsidRPr="004D252F" w:rsidP="00FB6F21" w14:paraId="2E7FA278" w14:textId="7F52E8D2">
            <w:pPr>
              <w:jc w:val="center"/>
              <w:rPr>
                <w:rFonts w:ascii="Arial" w:hAnsi="Arial" w:cs="Arial"/>
              </w:rPr>
            </w:pPr>
            <w:r>
              <w:rPr>
                <w:rFonts w:ascii="Arial" w:hAnsi="Arial" w:cs="Arial"/>
              </w:rPr>
              <w:t>1054</w:t>
            </w:r>
          </w:p>
        </w:tc>
        <w:tc>
          <w:tcPr>
            <w:tcW w:w="2276" w:type="pct"/>
            <w:vAlign w:val="center"/>
          </w:tcPr>
          <w:p w:rsidR="00FB6F21" w:rsidRPr="00FB6F21" w:rsidP="00FB6F21" w14:paraId="71889295" w14:textId="0D6C840C">
            <w:pPr>
              <w:rPr>
                <w:rFonts w:ascii="Arial" w:hAnsi="Arial" w:cs="Arial"/>
                <w:color w:val="000000"/>
                <w:szCs w:val="24"/>
              </w:rPr>
            </w:pPr>
            <w:r w:rsidRPr="00FB6F21">
              <w:rPr>
                <w:rFonts w:ascii="Arial" w:hAnsi="Arial" w:cs="Arial"/>
                <w:szCs w:val="24"/>
              </w:rPr>
              <w:t>Non-DOCX Filing Surcharge Fee (undiscounted entity)</w:t>
            </w:r>
          </w:p>
        </w:tc>
        <w:tc>
          <w:tcPr>
            <w:tcW w:w="650" w:type="pct"/>
            <w:vAlign w:val="center"/>
          </w:tcPr>
          <w:p w:rsidR="00FB6F21" w:rsidRPr="00B765C3" w:rsidP="00FB6F21" w14:paraId="1F6C58CA" w14:textId="542081DC">
            <w:pPr>
              <w:pStyle w:val="NoSpacing"/>
              <w:jc w:val="right"/>
              <w:rPr>
                <w:rFonts w:ascii="Arial" w:hAnsi="Arial" w:cs="Arial"/>
                <w:sz w:val="20"/>
                <w:szCs w:val="20"/>
              </w:rPr>
            </w:pPr>
            <w:r>
              <w:rPr>
                <w:rFonts w:ascii="Arial" w:hAnsi="Arial" w:cs="Arial"/>
                <w:sz w:val="20"/>
                <w:szCs w:val="20"/>
              </w:rPr>
              <w:t>$400</w:t>
            </w:r>
          </w:p>
        </w:tc>
        <w:tc>
          <w:tcPr>
            <w:tcW w:w="652" w:type="pct"/>
            <w:vAlign w:val="center"/>
          </w:tcPr>
          <w:p w:rsidR="00FB6F21" w:rsidRPr="00B765C3" w:rsidP="00FB6F21" w14:paraId="1A96FE33" w14:textId="74860C0E">
            <w:pPr>
              <w:pStyle w:val="NoSpacing"/>
              <w:jc w:val="right"/>
              <w:rPr>
                <w:rFonts w:ascii="Arial" w:hAnsi="Arial" w:cs="Arial"/>
                <w:sz w:val="20"/>
                <w:szCs w:val="20"/>
              </w:rPr>
            </w:pPr>
            <w:r>
              <w:rPr>
                <w:rFonts w:ascii="Arial" w:hAnsi="Arial" w:cs="Arial"/>
                <w:sz w:val="20"/>
                <w:szCs w:val="20"/>
              </w:rPr>
              <w:t>$430</w:t>
            </w:r>
          </w:p>
        </w:tc>
        <w:tc>
          <w:tcPr>
            <w:tcW w:w="649" w:type="pct"/>
            <w:vAlign w:val="center"/>
          </w:tcPr>
          <w:p w:rsidR="00FB6F21" w:rsidRPr="00B765C3" w:rsidP="00FB6F21" w14:paraId="2DA2A293" w14:textId="41CDD4BA">
            <w:pPr>
              <w:pStyle w:val="NoSpacing"/>
              <w:jc w:val="right"/>
              <w:rPr>
                <w:rFonts w:ascii="Arial" w:hAnsi="Arial" w:cs="Arial"/>
                <w:sz w:val="20"/>
                <w:szCs w:val="20"/>
              </w:rPr>
            </w:pPr>
            <w:r>
              <w:rPr>
                <w:rFonts w:ascii="Arial" w:hAnsi="Arial" w:cs="Arial"/>
                <w:sz w:val="20"/>
                <w:szCs w:val="20"/>
              </w:rPr>
              <w:t>+$30</w:t>
            </w:r>
          </w:p>
        </w:tc>
      </w:tr>
      <w:tr w14:paraId="32227C8A" w14:textId="77777777" w:rsidTr="00D073FC">
        <w:tblPrEx>
          <w:tblW w:w="5920" w:type="pct"/>
          <w:tblInd w:w="-905" w:type="dxa"/>
          <w:tblLook w:val="04A0"/>
        </w:tblPrEx>
        <w:tc>
          <w:tcPr>
            <w:tcW w:w="284" w:type="pct"/>
            <w:vAlign w:val="center"/>
          </w:tcPr>
          <w:p w:rsidR="00FB6F21" w:rsidRPr="00401D88" w:rsidP="00FB6F21" w14:paraId="67AF93FD" w14:textId="687D93A5">
            <w:pPr>
              <w:jc w:val="center"/>
              <w:rPr>
                <w:rFonts w:ascii="Arial" w:hAnsi="Arial" w:cs="Arial"/>
                <w:color w:val="000000"/>
              </w:rPr>
            </w:pPr>
            <w:r>
              <w:rPr>
                <w:rFonts w:ascii="Arial" w:hAnsi="Arial" w:cs="Arial"/>
                <w:color w:val="000000"/>
              </w:rPr>
              <w:t>1-4</w:t>
            </w:r>
          </w:p>
        </w:tc>
        <w:tc>
          <w:tcPr>
            <w:tcW w:w="489" w:type="pct"/>
            <w:vAlign w:val="center"/>
          </w:tcPr>
          <w:p w:rsidR="00FB6F21" w:rsidRPr="004D252F" w:rsidP="00FB6F21" w14:paraId="55CD35FD" w14:textId="11C1806F">
            <w:pPr>
              <w:jc w:val="center"/>
              <w:rPr>
                <w:rFonts w:ascii="Arial" w:hAnsi="Arial" w:cs="Arial"/>
              </w:rPr>
            </w:pPr>
            <w:r>
              <w:rPr>
                <w:rFonts w:ascii="Arial" w:hAnsi="Arial" w:cs="Arial"/>
              </w:rPr>
              <w:t>2054</w:t>
            </w:r>
          </w:p>
        </w:tc>
        <w:tc>
          <w:tcPr>
            <w:tcW w:w="2276" w:type="pct"/>
            <w:vAlign w:val="center"/>
          </w:tcPr>
          <w:p w:rsidR="00FB6F21" w:rsidRPr="00FB6F21" w:rsidP="00FB6F21" w14:paraId="3C9D0606" w14:textId="171271E4">
            <w:pPr>
              <w:rPr>
                <w:rFonts w:ascii="Arial" w:hAnsi="Arial" w:cs="Arial"/>
                <w:color w:val="000000"/>
                <w:szCs w:val="24"/>
              </w:rPr>
            </w:pPr>
            <w:r w:rsidRPr="00FB6F21">
              <w:rPr>
                <w:rFonts w:ascii="Arial" w:hAnsi="Arial" w:cs="Arial"/>
                <w:szCs w:val="24"/>
              </w:rPr>
              <w:t>Non-DOCX Filing Surcharge Fee (small entity)</w:t>
            </w:r>
          </w:p>
        </w:tc>
        <w:tc>
          <w:tcPr>
            <w:tcW w:w="650" w:type="pct"/>
            <w:vAlign w:val="center"/>
          </w:tcPr>
          <w:p w:rsidR="00FB6F21" w:rsidRPr="00B765C3" w:rsidP="00FB6F21" w14:paraId="6EFCE939" w14:textId="5B310584">
            <w:pPr>
              <w:pStyle w:val="NoSpacing"/>
              <w:jc w:val="right"/>
              <w:rPr>
                <w:rFonts w:ascii="Arial" w:hAnsi="Arial" w:cs="Arial"/>
                <w:sz w:val="20"/>
                <w:szCs w:val="20"/>
              </w:rPr>
            </w:pPr>
            <w:r>
              <w:rPr>
                <w:rFonts w:ascii="Arial" w:hAnsi="Arial" w:cs="Arial"/>
                <w:sz w:val="20"/>
                <w:szCs w:val="20"/>
              </w:rPr>
              <w:t>$160</w:t>
            </w:r>
          </w:p>
        </w:tc>
        <w:tc>
          <w:tcPr>
            <w:tcW w:w="652" w:type="pct"/>
            <w:vAlign w:val="center"/>
          </w:tcPr>
          <w:p w:rsidR="00FB6F21" w:rsidRPr="00B765C3" w:rsidP="00FB6F21" w14:paraId="778C0FC3" w14:textId="7E23BDCE">
            <w:pPr>
              <w:pStyle w:val="NoSpacing"/>
              <w:jc w:val="right"/>
              <w:rPr>
                <w:rFonts w:ascii="Arial" w:hAnsi="Arial" w:cs="Arial"/>
                <w:sz w:val="20"/>
                <w:szCs w:val="20"/>
              </w:rPr>
            </w:pPr>
            <w:r>
              <w:rPr>
                <w:rFonts w:ascii="Arial" w:hAnsi="Arial" w:cs="Arial"/>
                <w:sz w:val="20"/>
                <w:szCs w:val="20"/>
              </w:rPr>
              <w:t>$172</w:t>
            </w:r>
          </w:p>
        </w:tc>
        <w:tc>
          <w:tcPr>
            <w:tcW w:w="649" w:type="pct"/>
            <w:vAlign w:val="center"/>
          </w:tcPr>
          <w:p w:rsidR="00FB6F21" w:rsidRPr="00B765C3" w:rsidP="00FB6F21" w14:paraId="5345A6F2" w14:textId="518E4A88">
            <w:pPr>
              <w:pStyle w:val="NoSpacing"/>
              <w:jc w:val="right"/>
              <w:rPr>
                <w:rFonts w:ascii="Arial" w:hAnsi="Arial" w:cs="Arial"/>
                <w:sz w:val="20"/>
                <w:szCs w:val="20"/>
              </w:rPr>
            </w:pPr>
            <w:r>
              <w:rPr>
                <w:rFonts w:ascii="Arial" w:hAnsi="Arial" w:cs="Arial"/>
                <w:sz w:val="20"/>
                <w:szCs w:val="20"/>
              </w:rPr>
              <w:t>+$12</w:t>
            </w:r>
          </w:p>
        </w:tc>
      </w:tr>
      <w:tr w14:paraId="13DBB963" w14:textId="77777777" w:rsidTr="00D073FC">
        <w:tblPrEx>
          <w:tblW w:w="5920" w:type="pct"/>
          <w:tblInd w:w="-905" w:type="dxa"/>
          <w:tblLook w:val="04A0"/>
        </w:tblPrEx>
        <w:tc>
          <w:tcPr>
            <w:tcW w:w="284" w:type="pct"/>
            <w:vAlign w:val="center"/>
          </w:tcPr>
          <w:p w:rsidR="00FB6F21" w:rsidRPr="00401D88" w:rsidP="00FB6F21" w14:paraId="70107FD0" w14:textId="6A829290">
            <w:pPr>
              <w:jc w:val="center"/>
              <w:rPr>
                <w:rFonts w:ascii="Arial" w:hAnsi="Arial" w:cs="Arial"/>
                <w:color w:val="000000"/>
              </w:rPr>
            </w:pPr>
            <w:r>
              <w:rPr>
                <w:rFonts w:ascii="Arial" w:hAnsi="Arial" w:cs="Arial"/>
                <w:color w:val="000000"/>
              </w:rPr>
              <w:t>1-4</w:t>
            </w:r>
          </w:p>
        </w:tc>
        <w:tc>
          <w:tcPr>
            <w:tcW w:w="489" w:type="pct"/>
            <w:vAlign w:val="center"/>
          </w:tcPr>
          <w:p w:rsidR="00FB6F21" w:rsidRPr="004D252F" w:rsidP="00FB6F21" w14:paraId="44044BEB" w14:textId="61A33ED1">
            <w:pPr>
              <w:jc w:val="center"/>
              <w:rPr>
                <w:rFonts w:ascii="Arial" w:hAnsi="Arial" w:cs="Arial"/>
              </w:rPr>
            </w:pPr>
            <w:r>
              <w:rPr>
                <w:rFonts w:ascii="Arial" w:hAnsi="Arial" w:cs="Arial"/>
              </w:rPr>
              <w:t>3054</w:t>
            </w:r>
          </w:p>
        </w:tc>
        <w:tc>
          <w:tcPr>
            <w:tcW w:w="2276" w:type="pct"/>
            <w:vAlign w:val="center"/>
          </w:tcPr>
          <w:p w:rsidR="00FB6F21" w:rsidRPr="00FB6F21" w:rsidP="00FB6F21" w14:paraId="73E14BDD" w14:textId="39A7EDC7">
            <w:pPr>
              <w:rPr>
                <w:rFonts w:ascii="Arial" w:hAnsi="Arial" w:cs="Arial"/>
                <w:szCs w:val="24"/>
              </w:rPr>
            </w:pPr>
            <w:r w:rsidRPr="00FB6F21">
              <w:rPr>
                <w:rFonts w:ascii="Arial" w:hAnsi="Arial" w:cs="Arial"/>
                <w:szCs w:val="24"/>
              </w:rPr>
              <w:t>Non-DOCX Filing Surcharge Fee (micro entity)</w:t>
            </w:r>
          </w:p>
        </w:tc>
        <w:tc>
          <w:tcPr>
            <w:tcW w:w="650" w:type="pct"/>
            <w:vAlign w:val="center"/>
          </w:tcPr>
          <w:p w:rsidR="00FB6F21" w:rsidRPr="00B765C3" w:rsidP="00FB6F21" w14:paraId="252840CB" w14:textId="5583AB9D">
            <w:pPr>
              <w:pStyle w:val="NoSpacing"/>
              <w:jc w:val="right"/>
              <w:rPr>
                <w:rFonts w:ascii="Arial" w:hAnsi="Arial" w:cs="Arial"/>
                <w:sz w:val="20"/>
                <w:szCs w:val="20"/>
              </w:rPr>
            </w:pPr>
            <w:r>
              <w:rPr>
                <w:rFonts w:ascii="Arial" w:hAnsi="Arial" w:cs="Arial"/>
                <w:sz w:val="20"/>
                <w:szCs w:val="20"/>
              </w:rPr>
              <w:t>$80</w:t>
            </w:r>
          </w:p>
        </w:tc>
        <w:tc>
          <w:tcPr>
            <w:tcW w:w="652" w:type="pct"/>
            <w:vAlign w:val="center"/>
          </w:tcPr>
          <w:p w:rsidR="00FB6F21" w:rsidRPr="00B765C3" w:rsidP="00FB6F21" w14:paraId="144A679E" w14:textId="6A6C1380">
            <w:pPr>
              <w:pStyle w:val="NoSpacing"/>
              <w:jc w:val="right"/>
              <w:rPr>
                <w:rFonts w:ascii="Arial" w:hAnsi="Arial" w:cs="Arial"/>
                <w:sz w:val="20"/>
                <w:szCs w:val="20"/>
              </w:rPr>
            </w:pPr>
            <w:r>
              <w:rPr>
                <w:rFonts w:ascii="Arial" w:hAnsi="Arial" w:cs="Arial"/>
                <w:sz w:val="20"/>
                <w:szCs w:val="20"/>
              </w:rPr>
              <w:t>$86</w:t>
            </w:r>
          </w:p>
        </w:tc>
        <w:tc>
          <w:tcPr>
            <w:tcW w:w="649" w:type="pct"/>
            <w:vAlign w:val="center"/>
          </w:tcPr>
          <w:p w:rsidR="00FB6F21" w:rsidRPr="00B765C3" w:rsidP="00FB6F21" w14:paraId="0575D0E6" w14:textId="5ACE14ED">
            <w:pPr>
              <w:pStyle w:val="NoSpacing"/>
              <w:jc w:val="right"/>
              <w:rPr>
                <w:rFonts w:ascii="Arial" w:hAnsi="Arial" w:cs="Arial"/>
                <w:sz w:val="20"/>
                <w:szCs w:val="20"/>
              </w:rPr>
            </w:pPr>
            <w:r>
              <w:rPr>
                <w:rFonts w:ascii="Arial" w:hAnsi="Arial" w:cs="Arial"/>
                <w:sz w:val="20"/>
                <w:szCs w:val="20"/>
              </w:rPr>
              <w:t>+$6</w:t>
            </w:r>
          </w:p>
        </w:tc>
      </w:tr>
    </w:tbl>
    <w:p w:rsidR="00FB6F21" w:rsidP="00FB6F21" w14:paraId="649F2C44" w14:textId="77777777">
      <w:pPr>
        <w:pStyle w:val="NoSpacing"/>
        <w:jc w:val="both"/>
        <w:rPr>
          <w:rFonts w:ascii="Arial" w:hAnsi="Arial" w:cs="Arial"/>
          <w:sz w:val="24"/>
          <w:szCs w:val="24"/>
        </w:rPr>
      </w:pPr>
    </w:p>
    <w:p w:rsidR="00FB6F21" w:rsidRPr="007353A9" w:rsidP="00FB6F21" w14:paraId="497209EA" w14:textId="77777777">
      <w:pPr>
        <w:pStyle w:val="NoSpacing"/>
        <w:rPr>
          <w:rFonts w:ascii="Arial" w:hAnsi="Arial" w:cs="Arial"/>
          <w:b/>
          <w:bCs/>
          <w:sz w:val="20"/>
          <w:szCs w:val="20"/>
        </w:rPr>
      </w:pPr>
      <w:r w:rsidRPr="006004C0">
        <w:rPr>
          <w:rFonts w:ascii="Arial" w:hAnsi="Arial" w:cs="Arial"/>
          <w:b/>
          <w:bCs/>
          <w:sz w:val="20"/>
          <w:szCs w:val="20"/>
        </w:rPr>
        <w:t>Table 2: Proposed Burden</w:t>
      </w:r>
    </w:p>
    <w:tbl>
      <w:tblPr>
        <w:tblStyle w:val="TableGrid"/>
        <w:tblW w:w="5920" w:type="pct"/>
        <w:tblInd w:w="-905" w:type="dxa"/>
        <w:tblLook w:val="04A0"/>
      </w:tblPr>
      <w:tblGrid>
        <w:gridCol w:w="629"/>
        <w:gridCol w:w="1083"/>
        <w:gridCol w:w="4678"/>
        <w:gridCol w:w="1800"/>
        <w:gridCol w:w="1441"/>
        <w:gridCol w:w="1439"/>
      </w:tblGrid>
      <w:tr w14:paraId="43C2EE5E" w14:textId="77777777" w:rsidTr="00D073FC">
        <w:tblPrEx>
          <w:tblW w:w="5920" w:type="pct"/>
          <w:tblInd w:w="-905" w:type="dxa"/>
          <w:tblLook w:val="04A0"/>
        </w:tblPrEx>
        <w:tc>
          <w:tcPr>
            <w:tcW w:w="284" w:type="pct"/>
            <w:shd w:val="clear" w:color="auto" w:fill="B4C6E7" w:themeFill="accent1" w:themeFillTint="66"/>
            <w:vAlign w:val="center"/>
          </w:tcPr>
          <w:p w:rsidR="00FB6F21" w:rsidRPr="007D423D" w:rsidP="009E4490" w14:paraId="36F32E59" w14:textId="77777777">
            <w:pPr>
              <w:pStyle w:val="NoSpacing"/>
              <w:jc w:val="center"/>
              <w:rPr>
                <w:rFonts w:ascii="Arial" w:hAnsi="Arial" w:cs="Arial"/>
                <w:b/>
                <w:sz w:val="20"/>
                <w:szCs w:val="20"/>
              </w:rPr>
            </w:pPr>
          </w:p>
          <w:p w:rsidR="00FB6F21" w:rsidRPr="007D423D" w:rsidP="009E4490" w14:paraId="2A45EC18" w14:textId="77777777">
            <w:pPr>
              <w:pStyle w:val="NoSpacing"/>
              <w:jc w:val="center"/>
              <w:rPr>
                <w:rFonts w:ascii="Arial" w:hAnsi="Arial" w:cs="Arial"/>
                <w:b/>
                <w:sz w:val="20"/>
                <w:szCs w:val="20"/>
              </w:rPr>
            </w:pPr>
            <w:r w:rsidRPr="007D423D">
              <w:rPr>
                <w:rFonts w:ascii="Arial" w:hAnsi="Arial" w:cs="Arial"/>
                <w:b/>
                <w:sz w:val="20"/>
                <w:szCs w:val="20"/>
              </w:rPr>
              <w:t>Item No.</w:t>
            </w:r>
          </w:p>
          <w:p w:rsidR="00FB6F21" w:rsidRPr="007D423D" w:rsidP="009E4490" w14:paraId="577F0D70" w14:textId="77777777">
            <w:pPr>
              <w:pStyle w:val="NoSpacing"/>
              <w:jc w:val="center"/>
              <w:rPr>
                <w:rFonts w:ascii="Arial" w:hAnsi="Arial" w:cs="Arial"/>
                <w:b/>
                <w:sz w:val="20"/>
                <w:szCs w:val="20"/>
              </w:rPr>
            </w:pPr>
          </w:p>
        </w:tc>
        <w:tc>
          <w:tcPr>
            <w:tcW w:w="489" w:type="pct"/>
            <w:shd w:val="clear" w:color="auto" w:fill="B4C6E7" w:themeFill="accent1" w:themeFillTint="66"/>
            <w:vAlign w:val="center"/>
          </w:tcPr>
          <w:p w:rsidR="00FB6F21" w:rsidRPr="007D423D" w:rsidP="009E4490" w14:paraId="40336EC9" w14:textId="77777777">
            <w:pPr>
              <w:pStyle w:val="NoSpacing"/>
              <w:jc w:val="center"/>
              <w:rPr>
                <w:rFonts w:ascii="Arial" w:hAnsi="Arial" w:cs="Arial"/>
                <w:b/>
                <w:sz w:val="20"/>
                <w:szCs w:val="20"/>
              </w:rPr>
            </w:pPr>
            <w:r>
              <w:rPr>
                <w:rFonts w:ascii="Arial" w:hAnsi="Arial" w:cs="Arial"/>
                <w:b/>
                <w:sz w:val="20"/>
                <w:szCs w:val="20"/>
              </w:rPr>
              <w:t>Fee Code</w:t>
            </w:r>
          </w:p>
        </w:tc>
        <w:tc>
          <w:tcPr>
            <w:tcW w:w="2113" w:type="pct"/>
            <w:shd w:val="clear" w:color="auto" w:fill="B4C6E7" w:themeFill="accent1" w:themeFillTint="66"/>
            <w:vAlign w:val="center"/>
          </w:tcPr>
          <w:p w:rsidR="00FB6F21" w:rsidRPr="007D423D" w:rsidP="009E4490" w14:paraId="102DDA7B" w14:textId="77777777">
            <w:pPr>
              <w:pStyle w:val="NoSpacing"/>
              <w:jc w:val="center"/>
              <w:rPr>
                <w:rFonts w:ascii="Arial" w:hAnsi="Arial" w:cs="Arial"/>
                <w:b/>
                <w:sz w:val="20"/>
                <w:szCs w:val="20"/>
              </w:rPr>
            </w:pPr>
            <w:r w:rsidRPr="007D423D">
              <w:rPr>
                <w:rFonts w:ascii="Arial" w:hAnsi="Arial" w:cs="Arial"/>
                <w:b/>
                <w:sz w:val="20"/>
                <w:szCs w:val="20"/>
              </w:rPr>
              <w:t>Item</w:t>
            </w:r>
          </w:p>
        </w:tc>
        <w:tc>
          <w:tcPr>
            <w:tcW w:w="813" w:type="pct"/>
            <w:shd w:val="clear" w:color="auto" w:fill="B4C6E7" w:themeFill="accent1" w:themeFillTint="66"/>
            <w:vAlign w:val="center"/>
          </w:tcPr>
          <w:p w:rsidR="00FB6F21" w:rsidP="009E4490" w14:paraId="4A2362C5" w14:textId="77777777">
            <w:pPr>
              <w:pStyle w:val="NoSpacing"/>
              <w:jc w:val="center"/>
              <w:rPr>
                <w:rFonts w:ascii="Arial" w:hAnsi="Arial" w:cs="Arial"/>
                <w:b/>
                <w:sz w:val="20"/>
                <w:szCs w:val="20"/>
              </w:rPr>
            </w:pPr>
            <w:r>
              <w:rPr>
                <w:rFonts w:ascii="Arial" w:hAnsi="Arial" w:cs="Arial"/>
                <w:b/>
                <w:sz w:val="20"/>
                <w:szCs w:val="20"/>
              </w:rPr>
              <w:t>Reponses</w:t>
            </w:r>
          </w:p>
          <w:p w:rsidR="00FB6F21" w:rsidRPr="007D423D" w:rsidP="009E4490" w14:paraId="4A910159" w14:textId="77777777">
            <w:pPr>
              <w:pStyle w:val="NoSpacing"/>
              <w:jc w:val="center"/>
              <w:rPr>
                <w:rFonts w:ascii="Arial" w:hAnsi="Arial" w:cs="Arial"/>
                <w:b/>
                <w:sz w:val="20"/>
                <w:szCs w:val="20"/>
              </w:rPr>
            </w:pPr>
            <w:r>
              <w:rPr>
                <w:rFonts w:ascii="Arial" w:hAnsi="Arial" w:cs="Arial"/>
                <w:b/>
                <w:sz w:val="20"/>
                <w:szCs w:val="20"/>
              </w:rPr>
              <w:t>(a)</w:t>
            </w:r>
          </w:p>
        </w:tc>
        <w:tc>
          <w:tcPr>
            <w:tcW w:w="651" w:type="pct"/>
            <w:shd w:val="clear" w:color="auto" w:fill="B4C6E7" w:themeFill="accent1" w:themeFillTint="66"/>
            <w:vAlign w:val="center"/>
          </w:tcPr>
          <w:p w:rsidR="00FB6F21" w:rsidP="009E4490" w14:paraId="37ED8EBF" w14:textId="77777777">
            <w:pPr>
              <w:pStyle w:val="NoSpacing"/>
              <w:jc w:val="center"/>
              <w:rPr>
                <w:rFonts w:ascii="Arial" w:hAnsi="Arial" w:cs="Arial"/>
                <w:b/>
                <w:sz w:val="20"/>
                <w:szCs w:val="20"/>
              </w:rPr>
            </w:pPr>
            <w:r w:rsidRPr="007D423D">
              <w:rPr>
                <w:rFonts w:ascii="Arial" w:hAnsi="Arial" w:cs="Arial"/>
                <w:b/>
                <w:sz w:val="20"/>
                <w:szCs w:val="20"/>
              </w:rPr>
              <w:t>New Fee</w:t>
            </w:r>
          </w:p>
          <w:p w:rsidR="00FB6F21" w:rsidRPr="007D423D" w:rsidP="009E4490" w14:paraId="2F89FFF1" w14:textId="77777777">
            <w:pPr>
              <w:pStyle w:val="NoSpacing"/>
              <w:jc w:val="center"/>
              <w:rPr>
                <w:rFonts w:ascii="Arial" w:hAnsi="Arial" w:cs="Arial"/>
                <w:b/>
                <w:sz w:val="20"/>
                <w:szCs w:val="20"/>
              </w:rPr>
            </w:pPr>
            <w:r>
              <w:rPr>
                <w:rFonts w:ascii="Arial" w:hAnsi="Arial" w:cs="Arial"/>
                <w:b/>
                <w:sz w:val="20"/>
                <w:szCs w:val="20"/>
              </w:rPr>
              <w:t>(b)</w:t>
            </w:r>
          </w:p>
        </w:tc>
        <w:tc>
          <w:tcPr>
            <w:tcW w:w="650" w:type="pct"/>
            <w:shd w:val="clear" w:color="auto" w:fill="B4C6E7" w:themeFill="accent1" w:themeFillTint="66"/>
            <w:vAlign w:val="center"/>
          </w:tcPr>
          <w:p w:rsidR="00FB6F21" w:rsidP="009E4490" w14:paraId="5C2C9020"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FB6F21" w:rsidRPr="007D423D" w:rsidP="009E4490" w14:paraId="34A1F1B8" w14:textId="77777777">
            <w:pPr>
              <w:pStyle w:val="NoSpacing"/>
              <w:jc w:val="center"/>
              <w:rPr>
                <w:rFonts w:ascii="Arial" w:hAnsi="Arial" w:cs="Arial"/>
                <w:b/>
                <w:sz w:val="20"/>
                <w:szCs w:val="20"/>
              </w:rPr>
            </w:pPr>
            <w:r w:rsidRPr="006004C0">
              <w:rPr>
                <w:rFonts w:ascii="Arial" w:hAnsi="Arial" w:cs="Arial"/>
                <w:b/>
                <w:sz w:val="20"/>
                <w:szCs w:val="20"/>
              </w:rPr>
              <w:t>(a) x (b) = (c)</w:t>
            </w:r>
          </w:p>
        </w:tc>
      </w:tr>
      <w:tr w14:paraId="2C3F8A3F" w14:textId="77777777" w:rsidTr="00D073FC">
        <w:tblPrEx>
          <w:tblW w:w="5920" w:type="pct"/>
          <w:tblInd w:w="-905" w:type="dxa"/>
          <w:tblLook w:val="04A0"/>
        </w:tblPrEx>
        <w:tc>
          <w:tcPr>
            <w:tcW w:w="284" w:type="pct"/>
            <w:vAlign w:val="center"/>
          </w:tcPr>
          <w:p w:rsidR="009D6D11" w:rsidRPr="007D423D" w:rsidP="009D6D11" w14:paraId="283F73C7" w14:textId="52ED9F45">
            <w:pPr>
              <w:jc w:val="center"/>
              <w:rPr>
                <w:rFonts w:ascii="Arial" w:hAnsi="Arial" w:cs="Arial"/>
                <w:b/>
                <w:bCs/>
                <w:color w:val="000000"/>
              </w:rPr>
            </w:pPr>
            <w:r>
              <w:rPr>
                <w:rFonts w:ascii="Arial" w:hAnsi="Arial" w:cs="Arial"/>
                <w:color w:val="000000"/>
              </w:rPr>
              <w:t>1-4</w:t>
            </w:r>
          </w:p>
        </w:tc>
        <w:tc>
          <w:tcPr>
            <w:tcW w:w="489" w:type="pct"/>
            <w:vAlign w:val="center"/>
          </w:tcPr>
          <w:p w:rsidR="009D6D11" w:rsidRPr="007D423D" w:rsidP="009D6D11" w14:paraId="254954CA" w14:textId="01040EF5">
            <w:pPr>
              <w:jc w:val="center"/>
              <w:rPr>
                <w:rFonts w:ascii="Arial" w:hAnsi="Arial" w:cs="Arial"/>
              </w:rPr>
            </w:pPr>
            <w:r>
              <w:rPr>
                <w:rFonts w:ascii="Arial" w:hAnsi="Arial" w:cs="Arial"/>
              </w:rPr>
              <w:t>1054</w:t>
            </w:r>
          </w:p>
        </w:tc>
        <w:tc>
          <w:tcPr>
            <w:tcW w:w="2113" w:type="pct"/>
            <w:vAlign w:val="center"/>
          </w:tcPr>
          <w:p w:rsidR="009D6D11" w:rsidRPr="007D423D" w:rsidP="009D6D11" w14:paraId="09468567" w14:textId="13BE8E45">
            <w:pPr>
              <w:rPr>
                <w:rFonts w:ascii="Arial" w:hAnsi="Arial" w:cs="Arial"/>
                <w:color w:val="000000"/>
              </w:rPr>
            </w:pPr>
            <w:r w:rsidRPr="00FB6F21">
              <w:rPr>
                <w:rFonts w:ascii="Arial" w:hAnsi="Arial" w:cs="Arial"/>
                <w:szCs w:val="24"/>
              </w:rPr>
              <w:t>Non-DOCX Filing Surcharge Fee (undiscounted entity)</w:t>
            </w:r>
          </w:p>
        </w:tc>
        <w:tc>
          <w:tcPr>
            <w:tcW w:w="813" w:type="pct"/>
            <w:vAlign w:val="center"/>
          </w:tcPr>
          <w:p w:rsidR="009D6D11" w:rsidRPr="00604E1A" w:rsidP="009D6D11" w14:paraId="717886D9" w14:textId="58F2E0B0">
            <w:pPr>
              <w:pStyle w:val="NoSpacing"/>
              <w:jc w:val="right"/>
              <w:rPr>
                <w:rFonts w:ascii="Arial" w:hAnsi="Arial" w:cs="Arial"/>
                <w:sz w:val="20"/>
                <w:szCs w:val="20"/>
              </w:rPr>
            </w:pPr>
            <w:r>
              <w:rPr>
                <w:rFonts w:ascii="Arial" w:hAnsi="Arial" w:cs="Arial"/>
                <w:sz w:val="20"/>
                <w:szCs w:val="20"/>
              </w:rPr>
              <w:t>102,095</w:t>
            </w:r>
          </w:p>
        </w:tc>
        <w:tc>
          <w:tcPr>
            <w:tcW w:w="651" w:type="pct"/>
            <w:vAlign w:val="center"/>
          </w:tcPr>
          <w:p w:rsidR="009D6D11" w:rsidRPr="007D423D" w:rsidP="009D6D11" w14:paraId="37DA2925" w14:textId="3644776D">
            <w:pPr>
              <w:pStyle w:val="NoSpacing"/>
              <w:jc w:val="right"/>
              <w:rPr>
                <w:rFonts w:ascii="Arial" w:hAnsi="Arial" w:cs="Arial"/>
                <w:sz w:val="20"/>
                <w:szCs w:val="20"/>
              </w:rPr>
            </w:pPr>
            <w:r>
              <w:rPr>
                <w:rFonts w:ascii="Arial" w:hAnsi="Arial" w:cs="Arial"/>
                <w:sz w:val="20"/>
                <w:szCs w:val="20"/>
              </w:rPr>
              <w:t>$430</w:t>
            </w:r>
          </w:p>
        </w:tc>
        <w:tc>
          <w:tcPr>
            <w:tcW w:w="650" w:type="pct"/>
            <w:vAlign w:val="center"/>
          </w:tcPr>
          <w:p w:rsidR="009D6D11" w:rsidRPr="007D423D" w:rsidP="009D6D11" w14:paraId="47694316" w14:textId="55371FAA">
            <w:pPr>
              <w:pStyle w:val="NoSpacing"/>
              <w:jc w:val="right"/>
              <w:rPr>
                <w:rFonts w:ascii="Arial" w:hAnsi="Arial" w:cs="Arial"/>
                <w:sz w:val="20"/>
                <w:szCs w:val="20"/>
              </w:rPr>
            </w:pPr>
            <w:r>
              <w:rPr>
                <w:rFonts w:ascii="Arial" w:hAnsi="Arial" w:cs="Arial"/>
                <w:color w:val="000000"/>
                <w:sz w:val="20"/>
                <w:szCs w:val="20"/>
              </w:rPr>
              <w:t>$43,900,850</w:t>
            </w:r>
          </w:p>
        </w:tc>
      </w:tr>
      <w:tr w14:paraId="72B0C2C4" w14:textId="77777777" w:rsidTr="00D073FC">
        <w:tblPrEx>
          <w:tblW w:w="5920" w:type="pct"/>
          <w:tblInd w:w="-905" w:type="dxa"/>
          <w:tblLook w:val="04A0"/>
        </w:tblPrEx>
        <w:tc>
          <w:tcPr>
            <w:tcW w:w="284" w:type="pct"/>
            <w:vAlign w:val="center"/>
          </w:tcPr>
          <w:p w:rsidR="009D6D11" w:rsidRPr="007D423D" w:rsidP="009D6D11" w14:paraId="1CA751E7" w14:textId="1064A890">
            <w:pPr>
              <w:jc w:val="center"/>
              <w:rPr>
                <w:rFonts w:ascii="Arial" w:hAnsi="Arial" w:cs="Arial"/>
                <w:b/>
                <w:bCs/>
                <w:color w:val="000000"/>
              </w:rPr>
            </w:pPr>
            <w:r>
              <w:rPr>
                <w:rFonts w:ascii="Arial" w:hAnsi="Arial" w:cs="Arial"/>
                <w:color w:val="000000"/>
              </w:rPr>
              <w:t>1-4</w:t>
            </w:r>
          </w:p>
        </w:tc>
        <w:tc>
          <w:tcPr>
            <w:tcW w:w="489" w:type="pct"/>
            <w:vAlign w:val="center"/>
          </w:tcPr>
          <w:p w:rsidR="009D6D11" w:rsidRPr="007D423D" w:rsidP="009D6D11" w14:paraId="59FDDB8A" w14:textId="00A363D6">
            <w:pPr>
              <w:jc w:val="center"/>
              <w:rPr>
                <w:rFonts w:ascii="Arial" w:hAnsi="Arial" w:cs="Arial"/>
              </w:rPr>
            </w:pPr>
            <w:r>
              <w:rPr>
                <w:rFonts w:ascii="Arial" w:hAnsi="Arial" w:cs="Arial"/>
              </w:rPr>
              <w:t>2054</w:t>
            </w:r>
          </w:p>
        </w:tc>
        <w:tc>
          <w:tcPr>
            <w:tcW w:w="2113" w:type="pct"/>
            <w:vAlign w:val="center"/>
          </w:tcPr>
          <w:p w:rsidR="009D6D11" w:rsidRPr="007D423D" w:rsidP="009D6D11" w14:paraId="7ADC280D" w14:textId="1739B776">
            <w:pPr>
              <w:rPr>
                <w:rFonts w:ascii="Arial" w:hAnsi="Arial" w:cs="Arial"/>
              </w:rPr>
            </w:pPr>
            <w:r w:rsidRPr="00FB6F21">
              <w:rPr>
                <w:rFonts w:ascii="Arial" w:hAnsi="Arial" w:cs="Arial"/>
                <w:szCs w:val="24"/>
              </w:rPr>
              <w:t>Non-DOCX Filing Surcharge Fee (small entity)</w:t>
            </w:r>
          </w:p>
        </w:tc>
        <w:tc>
          <w:tcPr>
            <w:tcW w:w="813" w:type="pct"/>
            <w:vAlign w:val="center"/>
          </w:tcPr>
          <w:p w:rsidR="009D6D11" w:rsidRPr="00604E1A" w:rsidP="009D6D11" w14:paraId="6AF982A4" w14:textId="5E932A15">
            <w:pPr>
              <w:pStyle w:val="NoSpacing"/>
              <w:jc w:val="right"/>
              <w:rPr>
                <w:rFonts w:ascii="Arial" w:hAnsi="Arial" w:cs="Arial"/>
                <w:sz w:val="20"/>
                <w:szCs w:val="20"/>
              </w:rPr>
            </w:pPr>
            <w:r>
              <w:rPr>
                <w:rFonts w:ascii="Arial" w:hAnsi="Arial" w:cs="Arial"/>
                <w:sz w:val="20"/>
                <w:szCs w:val="20"/>
              </w:rPr>
              <w:t>47,406</w:t>
            </w:r>
          </w:p>
        </w:tc>
        <w:tc>
          <w:tcPr>
            <w:tcW w:w="651" w:type="pct"/>
            <w:vAlign w:val="center"/>
          </w:tcPr>
          <w:p w:rsidR="009D6D11" w:rsidRPr="007D423D" w:rsidP="009D6D11" w14:paraId="0115BA9A" w14:textId="36BEE55B">
            <w:pPr>
              <w:pStyle w:val="NoSpacing"/>
              <w:jc w:val="right"/>
              <w:rPr>
                <w:rFonts w:ascii="Arial" w:hAnsi="Arial" w:cs="Arial"/>
                <w:sz w:val="20"/>
                <w:szCs w:val="20"/>
              </w:rPr>
            </w:pPr>
            <w:r>
              <w:rPr>
                <w:rFonts w:ascii="Arial" w:hAnsi="Arial" w:cs="Arial"/>
                <w:sz w:val="20"/>
                <w:szCs w:val="20"/>
              </w:rPr>
              <w:t>$172</w:t>
            </w:r>
          </w:p>
        </w:tc>
        <w:tc>
          <w:tcPr>
            <w:tcW w:w="650" w:type="pct"/>
            <w:vAlign w:val="center"/>
          </w:tcPr>
          <w:p w:rsidR="009D6D11" w:rsidRPr="007D423D" w:rsidP="009D6D11" w14:paraId="39A46483" w14:textId="4FD56AEF">
            <w:pPr>
              <w:pStyle w:val="NoSpacing"/>
              <w:jc w:val="right"/>
              <w:rPr>
                <w:rFonts w:ascii="Arial" w:hAnsi="Arial" w:cs="Arial"/>
                <w:sz w:val="20"/>
                <w:szCs w:val="20"/>
              </w:rPr>
            </w:pPr>
            <w:r>
              <w:rPr>
                <w:rFonts w:ascii="Arial" w:hAnsi="Arial" w:cs="Arial"/>
                <w:color w:val="000000"/>
                <w:sz w:val="20"/>
                <w:szCs w:val="20"/>
              </w:rPr>
              <w:t>$8,153,832</w:t>
            </w:r>
          </w:p>
        </w:tc>
      </w:tr>
      <w:tr w14:paraId="6C305A65" w14:textId="77777777" w:rsidTr="00D073FC">
        <w:tblPrEx>
          <w:tblW w:w="5920" w:type="pct"/>
          <w:tblInd w:w="-905" w:type="dxa"/>
          <w:tblLook w:val="04A0"/>
        </w:tblPrEx>
        <w:tc>
          <w:tcPr>
            <w:tcW w:w="284" w:type="pct"/>
            <w:vAlign w:val="center"/>
          </w:tcPr>
          <w:p w:rsidR="009D6D11" w:rsidP="009D6D11" w14:paraId="022CC1F5" w14:textId="1C3FFA3B">
            <w:pPr>
              <w:jc w:val="center"/>
              <w:rPr>
                <w:rFonts w:ascii="Arial" w:hAnsi="Arial" w:cs="Arial"/>
                <w:b/>
                <w:bCs/>
                <w:color w:val="000000"/>
              </w:rPr>
            </w:pPr>
            <w:r>
              <w:rPr>
                <w:rFonts w:ascii="Arial" w:hAnsi="Arial" w:cs="Arial"/>
                <w:color w:val="000000"/>
              </w:rPr>
              <w:t>1-4</w:t>
            </w:r>
          </w:p>
        </w:tc>
        <w:tc>
          <w:tcPr>
            <w:tcW w:w="489" w:type="pct"/>
            <w:vAlign w:val="center"/>
          </w:tcPr>
          <w:p w:rsidR="009D6D11" w:rsidP="009D6D11" w14:paraId="0A198516" w14:textId="5D6F7449">
            <w:pPr>
              <w:jc w:val="center"/>
              <w:rPr>
                <w:rFonts w:ascii="Arial" w:hAnsi="Arial" w:cs="Arial"/>
              </w:rPr>
            </w:pPr>
            <w:r>
              <w:rPr>
                <w:rFonts w:ascii="Arial" w:hAnsi="Arial" w:cs="Arial"/>
              </w:rPr>
              <w:t>3054</w:t>
            </w:r>
          </w:p>
        </w:tc>
        <w:tc>
          <w:tcPr>
            <w:tcW w:w="2113" w:type="pct"/>
            <w:vAlign w:val="center"/>
          </w:tcPr>
          <w:p w:rsidR="009D6D11" w:rsidP="009D6D11" w14:paraId="10134F80" w14:textId="17CCFFF8">
            <w:pPr>
              <w:rPr>
                <w:rFonts w:ascii="Arial" w:hAnsi="Arial" w:cs="Arial"/>
              </w:rPr>
            </w:pPr>
            <w:r w:rsidRPr="00FB6F21">
              <w:rPr>
                <w:rFonts w:ascii="Arial" w:hAnsi="Arial" w:cs="Arial"/>
                <w:szCs w:val="24"/>
              </w:rPr>
              <w:t>Non-DOCX Filing Surcharge Fee (micro entity)</w:t>
            </w:r>
          </w:p>
        </w:tc>
        <w:tc>
          <w:tcPr>
            <w:tcW w:w="813" w:type="pct"/>
            <w:vAlign w:val="center"/>
          </w:tcPr>
          <w:p w:rsidR="009D6D11" w:rsidRPr="00604E1A" w:rsidP="009D6D11" w14:paraId="4FDD95F1" w14:textId="6D0E81A9">
            <w:pPr>
              <w:pStyle w:val="NoSpacing"/>
              <w:jc w:val="right"/>
              <w:rPr>
                <w:rFonts w:ascii="Arial" w:hAnsi="Arial" w:cs="Arial"/>
                <w:color w:val="000000"/>
                <w:sz w:val="20"/>
                <w:szCs w:val="20"/>
              </w:rPr>
            </w:pPr>
            <w:r>
              <w:rPr>
                <w:rFonts w:ascii="Arial" w:hAnsi="Arial" w:cs="Arial"/>
                <w:color w:val="000000"/>
                <w:sz w:val="20"/>
                <w:szCs w:val="20"/>
              </w:rPr>
              <w:t>14,565</w:t>
            </w:r>
          </w:p>
        </w:tc>
        <w:tc>
          <w:tcPr>
            <w:tcW w:w="651" w:type="pct"/>
            <w:vAlign w:val="center"/>
          </w:tcPr>
          <w:p w:rsidR="009D6D11" w:rsidRPr="006004C0" w:rsidP="009D6D11" w14:paraId="02CE0ED7" w14:textId="28685F62">
            <w:pPr>
              <w:pStyle w:val="NoSpacing"/>
              <w:jc w:val="right"/>
              <w:rPr>
                <w:rFonts w:ascii="Arial" w:hAnsi="Arial" w:cs="Arial"/>
                <w:sz w:val="20"/>
                <w:szCs w:val="20"/>
              </w:rPr>
            </w:pPr>
            <w:r>
              <w:rPr>
                <w:rFonts w:ascii="Arial" w:hAnsi="Arial" w:cs="Arial"/>
                <w:sz w:val="20"/>
                <w:szCs w:val="20"/>
              </w:rPr>
              <w:t>$86</w:t>
            </w:r>
          </w:p>
        </w:tc>
        <w:tc>
          <w:tcPr>
            <w:tcW w:w="650" w:type="pct"/>
            <w:vAlign w:val="center"/>
          </w:tcPr>
          <w:p w:rsidR="009D6D11" w:rsidRPr="006004C0" w:rsidP="009D6D11" w14:paraId="361C0674" w14:textId="16131D48">
            <w:pPr>
              <w:pStyle w:val="NoSpacing"/>
              <w:jc w:val="right"/>
              <w:rPr>
                <w:rFonts w:ascii="Arial" w:hAnsi="Arial" w:cs="Arial"/>
                <w:color w:val="000000"/>
                <w:sz w:val="20"/>
                <w:szCs w:val="20"/>
              </w:rPr>
            </w:pPr>
            <w:r>
              <w:rPr>
                <w:rFonts w:ascii="Arial" w:hAnsi="Arial" w:cs="Arial"/>
                <w:color w:val="000000"/>
                <w:sz w:val="20"/>
                <w:szCs w:val="20"/>
              </w:rPr>
              <w:t>$1,252,590</w:t>
            </w:r>
          </w:p>
        </w:tc>
      </w:tr>
      <w:tr w14:paraId="136B09E6" w14:textId="77777777" w:rsidTr="00D073FC">
        <w:tblPrEx>
          <w:tblW w:w="5920" w:type="pct"/>
          <w:tblInd w:w="-905" w:type="dxa"/>
          <w:tblLook w:val="04A0"/>
        </w:tblPrEx>
        <w:tc>
          <w:tcPr>
            <w:tcW w:w="284" w:type="pct"/>
            <w:vAlign w:val="center"/>
          </w:tcPr>
          <w:p w:rsidR="00FB6F21" w:rsidRPr="007D423D" w:rsidP="009E4490" w14:paraId="47CE8244" w14:textId="77777777">
            <w:pPr>
              <w:jc w:val="center"/>
              <w:rPr>
                <w:rFonts w:ascii="Arial" w:hAnsi="Arial" w:cs="Arial"/>
                <w:b/>
                <w:bCs/>
                <w:color w:val="000000"/>
              </w:rPr>
            </w:pPr>
          </w:p>
        </w:tc>
        <w:tc>
          <w:tcPr>
            <w:tcW w:w="489" w:type="pct"/>
            <w:vAlign w:val="center"/>
          </w:tcPr>
          <w:p w:rsidR="00FB6F21" w:rsidP="009E4490" w14:paraId="5868345B" w14:textId="77777777">
            <w:pPr>
              <w:jc w:val="center"/>
              <w:rPr>
                <w:rFonts w:ascii="Arial" w:hAnsi="Arial" w:cs="Arial"/>
              </w:rPr>
            </w:pPr>
          </w:p>
        </w:tc>
        <w:tc>
          <w:tcPr>
            <w:tcW w:w="2113" w:type="pct"/>
            <w:vAlign w:val="center"/>
          </w:tcPr>
          <w:p w:rsidR="00FB6F21" w:rsidRPr="007A39B8" w:rsidP="009E4490" w14:paraId="30AD761B" w14:textId="77777777">
            <w:pPr>
              <w:rPr>
                <w:rFonts w:ascii="Arial" w:hAnsi="Arial" w:cs="Arial"/>
                <w:b/>
                <w:bCs/>
              </w:rPr>
            </w:pPr>
            <w:r w:rsidRPr="007A39B8">
              <w:rPr>
                <w:rFonts w:ascii="Arial" w:hAnsi="Arial" w:cs="Arial"/>
                <w:b/>
                <w:bCs/>
              </w:rPr>
              <w:t>Totals</w:t>
            </w:r>
          </w:p>
        </w:tc>
        <w:tc>
          <w:tcPr>
            <w:tcW w:w="813" w:type="pct"/>
            <w:vAlign w:val="center"/>
          </w:tcPr>
          <w:p w:rsidR="00FB6F21" w:rsidRPr="00370B48" w:rsidP="009E4490" w14:paraId="0998A4A2" w14:textId="72CAA3DB">
            <w:pPr>
              <w:pStyle w:val="NoSpacing"/>
              <w:jc w:val="right"/>
              <w:rPr>
                <w:rFonts w:ascii="Arial" w:hAnsi="Arial" w:cs="Arial"/>
                <w:b/>
                <w:bCs/>
                <w:sz w:val="20"/>
                <w:szCs w:val="20"/>
              </w:rPr>
            </w:pPr>
            <w:r>
              <w:rPr>
                <w:rFonts w:ascii="Arial" w:hAnsi="Arial" w:cs="Arial"/>
                <w:b/>
                <w:bCs/>
                <w:sz w:val="20"/>
                <w:szCs w:val="20"/>
              </w:rPr>
              <w:t>164,066</w:t>
            </w:r>
          </w:p>
        </w:tc>
        <w:tc>
          <w:tcPr>
            <w:tcW w:w="651" w:type="pct"/>
            <w:vAlign w:val="center"/>
          </w:tcPr>
          <w:p w:rsidR="00FB6F21" w:rsidP="009E4490" w14:paraId="3FF07E85" w14:textId="77777777">
            <w:pPr>
              <w:pStyle w:val="NoSpacing"/>
              <w:jc w:val="right"/>
              <w:rPr>
                <w:rFonts w:ascii="Arial" w:hAnsi="Arial" w:cs="Arial"/>
                <w:sz w:val="20"/>
                <w:szCs w:val="20"/>
              </w:rPr>
            </w:pPr>
            <w:r w:rsidRPr="006004C0">
              <w:rPr>
                <w:rFonts w:ascii="Arial" w:hAnsi="Arial" w:cs="Arial"/>
                <w:b/>
                <w:sz w:val="20"/>
                <w:szCs w:val="20"/>
              </w:rPr>
              <w:t>- - -</w:t>
            </w:r>
          </w:p>
        </w:tc>
        <w:tc>
          <w:tcPr>
            <w:tcW w:w="650" w:type="pct"/>
            <w:vAlign w:val="center"/>
          </w:tcPr>
          <w:p w:rsidR="00FB6F21" w:rsidRPr="007A39B8" w:rsidP="009E4490" w14:paraId="0832797B" w14:textId="760B12A8">
            <w:pPr>
              <w:pStyle w:val="NoSpacing"/>
              <w:jc w:val="right"/>
              <w:rPr>
                <w:rFonts w:ascii="Arial" w:hAnsi="Arial" w:cs="Arial"/>
                <w:b/>
                <w:bCs/>
                <w:sz w:val="20"/>
                <w:szCs w:val="20"/>
              </w:rPr>
            </w:pPr>
            <w:r w:rsidRPr="006004C0">
              <w:rPr>
                <w:rFonts w:ascii="Arial" w:hAnsi="Arial" w:cs="Arial"/>
                <w:b/>
                <w:sz w:val="20"/>
                <w:szCs w:val="20"/>
              </w:rPr>
              <w:t>$</w:t>
            </w:r>
            <w:r>
              <w:rPr>
                <w:rFonts w:ascii="Arial" w:hAnsi="Arial" w:cs="Arial"/>
                <w:b/>
                <w:sz w:val="20"/>
                <w:szCs w:val="20"/>
              </w:rPr>
              <w:t>53,307,272</w:t>
            </w:r>
          </w:p>
        </w:tc>
      </w:tr>
    </w:tbl>
    <w:p w:rsidR="00FB6F21" w:rsidRPr="006004C0" w:rsidP="00FB6F21" w14:paraId="0C678876" w14:textId="77777777">
      <w:pPr>
        <w:pStyle w:val="NoSpacing"/>
        <w:rPr>
          <w:rFonts w:ascii="Arial" w:hAnsi="Arial" w:cs="Arial"/>
          <w:sz w:val="20"/>
          <w:szCs w:val="20"/>
        </w:rPr>
      </w:pPr>
    </w:p>
    <w:p w:rsidR="00FB6F21" w:rsidRPr="006004C0" w:rsidP="00FB6F21" w14:paraId="7AEACA6A" w14:textId="77777777">
      <w:pPr>
        <w:pStyle w:val="NoSpacing"/>
        <w:rPr>
          <w:rFonts w:ascii="Arial" w:hAnsi="Arial" w:cs="Arial"/>
          <w:b/>
          <w:bCs/>
          <w:sz w:val="20"/>
          <w:szCs w:val="20"/>
        </w:rPr>
      </w:pPr>
      <w:r w:rsidRPr="006004C0">
        <w:rPr>
          <w:rFonts w:ascii="Arial" w:hAnsi="Arial" w:cs="Arial"/>
          <w:b/>
          <w:bCs/>
          <w:sz w:val="20"/>
          <w:szCs w:val="20"/>
        </w:rPr>
        <w:t>Table 3: Changes in Cost</w:t>
      </w:r>
    </w:p>
    <w:tbl>
      <w:tblPr>
        <w:tblStyle w:val="TableGrid"/>
        <w:tblW w:w="11070" w:type="dxa"/>
        <w:tblInd w:w="-905" w:type="dxa"/>
        <w:tblLook w:val="04A0"/>
      </w:tblPr>
      <w:tblGrid>
        <w:gridCol w:w="631"/>
        <w:gridCol w:w="1079"/>
        <w:gridCol w:w="4675"/>
        <w:gridCol w:w="1799"/>
        <w:gridCol w:w="1440"/>
        <w:gridCol w:w="1446"/>
      </w:tblGrid>
      <w:tr w14:paraId="6AAD27BC" w14:textId="77777777" w:rsidTr="00BE1165">
        <w:tblPrEx>
          <w:tblW w:w="11070" w:type="dxa"/>
          <w:tblInd w:w="-905" w:type="dxa"/>
          <w:tblLook w:val="04A0"/>
        </w:tblPrEx>
        <w:tc>
          <w:tcPr>
            <w:tcW w:w="631" w:type="dxa"/>
            <w:shd w:val="clear" w:color="auto" w:fill="B4C6E7" w:themeFill="accent1" w:themeFillTint="66"/>
            <w:vAlign w:val="center"/>
          </w:tcPr>
          <w:p w:rsidR="00FB6F21" w:rsidRPr="006004C0" w:rsidP="009E4490" w14:paraId="1C644384" w14:textId="77777777">
            <w:pPr>
              <w:pStyle w:val="NoSpacing"/>
              <w:jc w:val="center"/>
              <w:rPr>
                <w:rFonts w:ascii="Arial" w:hAnsi="Arial" w:cs="Arial"/>
                <w:b/>
                <w:sz w:val="20"/>
                <w:szCs w:val="20"/>
              </w:rPr>
            </w:pPr>
          </w:p>
          <w:p w:rsidR="00FB6F21" w:rsidRPr="006004C0" w:rsidP="009E4490" w14:paraId="4D7ECDEF" w14:textId="7777777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FB6F21" w:rsidRPr="006004C0" w:rsidP="009E4490" w14:paraId="14AF1F65" w14:textId="77777777">
            <w:pPr>
              <w:pStyle w:val="NoSpacing"/>
              <w:jc w:val="center"/>
              <w:rPr>
                <w:rFonts w:ascii="Arial" w:hAnsi="Arial" w:cs="Arial"/>
                <w:b/>
                <w:sz w:val="20"/>
                <w:szCs w:val="20"/>
              </w:rPr>
            </w:pPr>
          </w:p>
        </w:tc>
        <w:tc>
          <w:tcPr>
            <w:tcW w:w="1079" w:type="dxa"/>
            <w:shd w:val="clear" w:color="auto" w:fill="B4C6E7" w:themeFill="accent1" w:themeFillTint="66"/>
            <w:vAlign w:val="center"/>
          </w:tcPr>
          <w:p w:rsidR="00FB6F21" w:rsidRPr="006004C0" w:rsidP="009E4490" w14:paraId="1D5429CE" w14:textId="77777777">
            <w:pPr>
              <w:pStyle w:val="NoSpacing"/>
              <w:jc w:val="center"/>
              <w:rPr>
                <w:rFonts w:ascii="Arial" w:hAnsi="Arial" w:cs="Arial"/>
                <w:b/>
                <w:sz w:val="20"/>
                <w:szCs w:val="20"/>
              </w:rPr>
            </w:pPr>
            <w:r>
              <w:rPr>
                <w:rFonts w:ascii="Arial" w:hAnsi="Arial" w:cs="Arial"/>
                <w:b/>
                <w:sz w:val="20"/>
                <w:szCs w:val="20"/>
              </w:rPr>
              <w:t>Fee Code</w:t>
            </w:r>
          </w:p>
        </w:tc>
        <w:tc>
          <w:tcPr>
            <w:tcW w:w="4675" w:type="dxa"/>
            <w:shd w:val="clear" w:color="auto" w:fill="B4C6E7" w:themeFill="accent1" w:themeFillTint="66"/>
            <w:vAlign w:val="center"/>
          </w:tcPr>
          <w:p w:rsidR="00FB6F21" w:rsidRPr="006004C0" w:rsidP="009E4490" w14:paraId="40D47B95" w14:textId="77777777">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799" w:type="dxa"/>
            <w:shd w:val="clear" w:color="auto" w:fill="B4C6E7" w:themeFill="accent1" w:themeFillTint="66"/>
            <w:vAlign w:val="center"/>
          </w:tcPr>
          <w:p w:rsidR="00FB6F21" w:rsidP="009E4490" w14:paraId="3295E25D" w14:textId="77777777">
            <w:pPr>
              <w:pStyle w:val="NoSpacing"/>
              <w:jc w:val="center"/>
              <w:rPr>
                <w:rFonts w:ascii="Arial" w:hAnsi="Arial" w:cs="Arial"/>
                <w:b/>
                <w:sz w:val="20"/>
                <w:szCs w:val="20"/>
              </w:rPr>
            </w:pPr>
            <w:r w:rsidRPr="006004C0">
              <w:rPr>
                <w:rFonts w:ascii="Arial" w:hAnsi="Arial" w:cs="Arial"/>
                <w:b/>
                <w:sz w:val="20"/>
                <w:szCs w:val="20"/>
              </w:rPr>
              <w:t>Current Cost</w:t>
            </w:r>
          </w:p>
          <w:p w:rsidR="00FB6F21" w:rsidRPr="006004C0" w:rsidP="009E4490" w14:paraId="3B19DE74" w14:textId="77777777">
            <w:pPr>
              <w:pStyle w:val="NoSpacing"/>
              <w:jc w:val="center"/>
              <w:rPr>
                <w:rFonts w:ascii="Arial" w:hAnsi="Arial" w:cs="Arial"/>
                <w:b/>
                <w:sz w:val="20"/>
                <w:szCs w:val="20"/>
              </w:rPr>
            </w:pPr>
            <w:r>
              <w:rPr>
                <w:rFonts w:ascii="Arial" w:hAnsi="Arial" w:cs="Arial"/>
                <w:b/>
                <w:sz w:val="20"/>
                <w:szCs w:val="20"/>
              </w:rPr>
              <w:t>(a)</w:t>
            </w:r>
          </w:p>
        </w:tc>
        <w:tc>
          <w:tcPr>
            <w:tcW w:w="1440" w:type="dxa"/>
            <w:shd w:val="clear" w:color="auto" w:fill="B4C6E7" w:themeFill="accent1" w:themeFillTint="66"/>
            <w:vAlign w:val="center"/>
          </w:tcPr>
          <w:p w:rsidR="00FB6F21" w:rsidP="009E4490" w14:paraId="6A77EBB8" w14:textId="77777777">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FB6F21" w:rsidRPr="006004C0" w:rsidP="009E4490" w14:paraId="159ADB0C" w14:textId="77777777">
            <w:pPr>
              <w:pStyle w:val="NoSpacing"/>
              <w:jc w:val="center"/>
              <w:rPr>
                <w:rFonts w:ascii="Arial" w:hAnsi="Arial" w:cs="Arial"/>
                <w:b/>
                <w:sz w:val="20"/>
                <w:szCs w:val="20"/>
              </w:rPr>
            </w:pPr>
            <w:r>
              <w:rPr>
                <w:rFonts w:ascii="Arial" w:hAnsi="Arial" w:cs="Arial"/>
                <w:b/>
                <w:sz w:val="20"/>
                <w:szCs w:val="20"/>
              </w:rPr>
              <w:t>(b)</w:t>
            </w:r>
          </w:p>
        </w:tc>
        <w:tc>
          <w:tcPr>
            <w:tcW w:w="1446" w:type="dxa"/>
            <w:shd w:val="clear" w:color="auto" w:fill="B4C6E7" w:themeFill="accent1" w:themeFillTint="66"/>
            <w:vAlign w:val="center"/>
          </w:tcPr>
          <w:p w:rsidR="00FB6F21" w:rsidP="009E4490" w14:paraId="70D20FBB"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FB6F21" w:rsidRPr="006004C0" w:rsidP="009E4490" w14:paraId="45B277DD" w14:textId="77777777">
            <w:pPr>
              <w:pStyle w:val="NoSpacing"/>
              <w:jc w:val="center"/>
              <w:rPr>
                <w:rFonts w:ascii="Arial" w:hAnsi="Arial" w:cs="Arial"/>
                <w:b/>
                <w:sz w:val="20"/>
                <w:szCs w:val="20"/>
              </w:rPr>
            </w:pPr>
            <w:r>
              <w:rPr>
                <w:rFonts w:ascii="Arial" w:hAnsi="Arial" w:cs="Arial"/>
                <w:b/>
                <w:sz w:val="20"/>
                <w:szCs w:val="20"/>
              </w:rPr>
              <w:t>(b) – (a) = (c)</w:t>
            </w:r>
          </w:p>
        </w:tc>
      </w:tr>
      <w:tr w14:paraId="2BA35276" w14:textId="77777777" w:rsidTr="00BE1165">
        <w:tblPrEx>
          <w:tblW w:w="11070" w:type="dxa"/>
          <w:tblInd w:w="-905" w:type="dxa"/>
          <w:tblLook w:val="04A0"/>
        </w:tblPrEx>
        <w:tc>
          <w:tcPr>
            <w:tcW w:w="631" w:type="dxa"/>
            <w:vAlign w:val="center"/>
          </w:tcPr>
          <w:p w:rsidR="008F3E5D" w:rsidRPr="00FB6F21" w:rsidP="008F3E5D" w14:paraId="0FDA37F5" w14:textId="39879B31">
            <w:pPr>
              <w:pStyle w:val="NoSpacing"/>
              <w:jc w:val="center"/>
              <w:rPr>
                <w:rFonts w:ascii="Arial" w:hAnsi="Arial" w:cs="Arial"/>
                <w:b/>
                <w:bCs/>
                <w:sz w:val="20"/>
                <w:szCs w:val="20"/>
              </w:rPr>
            </w:pPr>
            <w:r w:rsidRPr="00FB6F21">
              <w:rPr>
                <w:rFonts w:ascii="Arial" w:hAnsi="Arial" w:cs="Arial"/>
                <w:color w:val="000000"/>
                <w:sz w:val="20"/>
                <w:szCs w:val="20"/>
              </w:rPr>
              <w:t>1-4</w:t>
            </w:r>
          </w:p>
        </w:tc>
        <w:tc>
          <w:tcPr>
            <w:tcW w:w="1079" w:type="dxa"/>
            <w:vAlign w:val="center"/>
          </w:tcPr>
          <w:p w:rsidR="008F3E5D" w:rsidRPr="00FB6F21" w:rsidP="008F3E5D" w14:paraId="41A1719E" w14:textId="22597388">
            <w:pPr>
              <w:pStyle w:val="NoSpacing"/>
              <w:jc w:val="center"/>
              <w:rPr>
                <w:rFonts w:ascii="Arial" w:hAnsi="Arial" w:cs="Arial"/>
                <w:sz w:val="20"/>
                <w:szCs w:val="20"/>
              </w:rPr>
            </w:pPr>
            <w:r w:rsidRPr="00FB6F21">
              <w:rPr>
                <w:rFonts w:ascii="Arial" w:hAnsi="Arial" w:cs="Arial"/>
                <w:sz w:val="20"/>
                <w:szCs w:val="20"/>
              </w:rPr>
              <w:t>1054</w:t>
            </w:r>
          </w:p>
        </w:tc>
        <w:tc>
          <w:tcPr>
            <w:tcW w:w="4675" w:type="dxa"/>
            <w:vAlign w:val="center"/>
          </w:tcPr>
          <w:p w:rsidR="008F3E5D" w:rsidRPr="00FB6F21" w:rsidP="008F3E5D" w14:paraId="69909C67" w14:textId="5CB1DBE1">
            <w:pPr>
              <w:pStyle w:val="NoSpacing"/>
              <w:rPr>
                <w:rFonts w:ascii="Arial" w:hAnsi="Arial" w:cs="Arial"/>
                <w:sz w:val="20"/>
                <w:szCs w:val="20"/>
              </w:rPr>
            </w:pPr>
            <w:r w:rsidRPr="00FB6F21">
              <w:rPr>
                <w:rFonts w:ascii="Arial" w:hAnsi="Arial" w:cs="Arial"/>
                <w:sz w:val="20"/>
                <w:szCs w:val="20"/>
              </w:rPr>
              <w:t>Non-DOCX Filing Surcharge Fee (undiscounted entity)</w:t>
            </w:r>
          </w:p>
        </w:tc>
        <w:tc>
          <w:tcPr>
            <w:tcW w:w="1799" w:type="dxa"/>
            <w:vAlign w:val="center"/>
          </w:tcPr>
          <w:p w:rsidR="008F3E5D" w:rsidRPr="00FB6F21" w:rsidP="008F3E5D" w14:paraId="6BCD0BBC" w14:textId="4E2C26F2">
            <w:pPr>
              <w:pStyle w:val="NoSpacing"/>
              <w:jc w:val="right"/>
              <w:rPr>
                <w:rFonts w:ascii="Arial" w:hAnsi="Arial" w:cs="Arial"/>
                <w:sz w:val="20"/>
                <w:szCs w:val="20"/>
              </w:rPr>
            </w:pPr>
            <w:r w:rsidRPr="00FB6F21">
              <w:rPr>
                <w:rFonts w:ascii="Arial" w:hAnsi="Arial" w:cs="Arial"/>
                <w:color w:val="000000"/>
                <w:sz w:val="20"/>
                <w:szCs w:val="20"/>
              </w:rPr>
              <w:t xml:space="preserve">$40,838,000 </w:t>
            </w:r>
          </w:p>
        </w:tc>
        <w:tc>
          <w:tcPr>
            <w:tcW w:w="1440" w:type="dxa"/>
            <w:vAlign w:val="center"/>
          </w:tcPr>
          <w:p w:rsidR="008F3E5D" w:rsidRPr="00FB6F21" w:rsidP="008F3E5D" w14:paraId="34480FDA" w14:textId="7495EF2E">
            <w:pPr>
              <w:pStyle w:val="NoSpacing"/>
              <w:jc w:val="right"/>
              <w:rPr>
                <w:rFonts w:ascii="Arial" w:hAnsi="Arial" w:cs="Arial"/>
                <w:sz w:val="20"/>
                <w:szCs w:val="20"/>
              </w:rPr>
            </w:pPr>
            <w:r>
              <w:rPr>
                <w:rFonts w:ascii="Arial" w:hAnsi="Arial" w:cs="Arial"/>
                <w:color w:val="000000"/>
                <w:sz w:val="20"/>
                <w:szCs w:val="20"/>
              </w:rPr>
              <w:t>$43,900,850</w:t>
            </w:r>
          </w:p>
        </w:tc>
        <w:tc>
          <w:tcPr>
            <w:tcW w:w="1446" w:type="dxa"/>
            <w:vAlign w:val="center"/>
          </w:tcPr>
          <w:p w:rsidR="008F3E5D" w:rsidRPr="00FB6F21" w:rsidP="008F3E5D" w14:paraId="4B94EF0B" w14:textId="029EA904">
            <w:pPr>
              <w:pStyle w:val="NoSpacing"/>
              <w:jc w:val="right"/>
              <w:rPr>
                <w:rFonts w:ascii="Arial" w:hAnsi="Arial" w:cs="Arial"/>
                <w:sz w:val="20"/>
                <w:szCs w:val="20"/>
              </w:rPr>
            </w:pPr>
            <w:r w:rsidRPr="00FB6F21">
              <w:rPr>
                <w:rFonts w:ascii="Arial" w:hAnsi="Arial" w:cs="Arial"/>
                <w:sz w:val="20"/>
                <w:szCs w:val="20"/>
              </w:rPr>
              <w:t>+$</w:t>
            </w:r>
            <w:r>
              <w:rPr>
                <w:rFonts w:ascii="Arial" w:hAnsi="Arial" w:cs="Arial"/>
                <w:sz w:val="20"/>
                <w:szCs w:val="20"/>
              </w:rPr>
              <w:t>3,062,850</w:t>
            </w:r>
          </w:p>
        </w:tc>
      </w:tr>
      <w:tr w14:paraId="2DD0209A" w14:textId="77777777" w:rsidTr="00BE1165">
        <w:tblPrEx>
          <w:tblW w:w="11070" w:type="dxa"/>
          <w:tblInd w:w="-905" w:type="dxa"/>
          <w:tblLook w:val="04A0"/>
        </w:tblPrEx>
        <w:tc>
          <w:tcPr>
            <w:tcW w:w="631" w:type="dxa"/>
            <w:vAlign w:val="center"/>
          </w:tcPr>
          <w:p w:rsidR="008F3E5D" w:rsidRPr="006004C0" w:rsidP="008F3E5D" w14:paraId="339F4E10" w14:textId="2E4D3EC6">
            <w:pPr>
              <w:jc w:val="center"/>
              <w:rPr>
                <w:rFonts w:ascii="Arial" w:hAnsi="Arial" w:cs="Arial"/>
                <w:b/>
                <w:bCs/>
                <w:color w:val="000000"/>
              </w:rPr>
            </w:pPr>
            <w:r>
              <w:rPr>
                <w:rFonts w:ascii="Arial" w:hAnsi="Arial" w:cs="Arial"/>
                <w:color w:val="000000"/>
              </w:rPr>
              <w:t>1-4</w:t>
            </w:r>
          </w:p>
        </w:tc>
        <w:tc>
          <w:tcPr>
            <w:tcW w:w="1079" w:type="dxa"/>
            <w:vAlign w:val="center"/>
          </w:tcPr>
          <w:p w:rsidR="008F3E5D" w:rsidRPr="006004C0" w:rsidP="008F3E5D" w14:paraId="01828373" w14:textId="646E0B51">
            <w:pPr>
              <w:jc w:val="center"/>
              <w:rPr>
                <w:rFonts w:ascii="Arial" w:hAnsi="Arial" w:cs="Arial"/>
              </w:rPr>
            </w:pPr>
            <w:r>
              <w:rPr>
                <w:rFonts w:ascii="Arial" w:hAnsi="Arial" w:cs="Arial"/>
              </w:rPr>
              <w:t>2054</w:t>
            </w:r>
          </w:p>
        </w:tc>
        <w:tc>
          <w:tcPr>
            <w:tcW w:w="4675" w:type="dxa"/>
            <w:vAlign w:val="center"/>
          </w:tcPr>
          <w:p w:rsidR="008F3E5D" w:rsidRPr="006004C0" w:rsidP="008F3E5D" w14:paraId="06F978C5" w14:textId="6CB51703">
            <w:pPr>
              <w:rPr>
                <w:rFonts w:ascii="Arial" w:hAnsi="Arial" w:cs="Arial"/>
                <w:color w:val="000000"/>
              </w:rPr>
            </w:pPr>
            <w:r w:rsidRPr="00FB6F21">
              <w:rPr>
                <w:rFonts w:ascii="Arial" w:hAnsi="Arial" w:cs="Arial"/>
                <w:szCs w:val="24"/>
              </w:rPr>
              <w:t>Non-DOCX Filing Surcharge Fee (small entity)</w:t>
            </w:r>
          </w:p>
        </w:tc>
        <w:tc>
          <w:tcPr>
            <w:tcW w:w="1799" w:type="dxa"/>
            <w:vAlign w:val="center"/>
          </w:tcPr>
          <w:p w:rsidR="008F3E5D" w:rsidRPr="00FB6F21" w:rsidP="008F3E5D" w14:paraId="2B9AD491" w14:textId="1C4B9727">
            <w:pPr>
              <w:pStyle w:val="NoSpacing"/>
              <w:jc w:val="right"/>
              <w:rPr>
                <w:rFonts w:ascii="Arial" w:hAnsi="Arial" w:cs="Arial"/>
                <w:color w:val="000000"/>
                <w:sz w:val="20"/>
                <w:szCs w:val="20"/>
              </w:rPr>
            </w:pPr>
            <w:r w:rsidRPr="00FB6F21">
              <w:rPr>
                <w:rFonts w:ascii="Arial" w:hAnsi="Arial" w:cs="Arial"/>
                <w:color w:val="000000"/>
                <w:sz w:val="20"/>
                <w:szCs w:val="20"/>
              </w:rPr>
              <w:t xml:space="preserve">$7,584,960 </w:t>
            </w:r>
          </w:p>
        </w:tc>
        <w:tc>
          <w:tcPr>
            <w:tcW w:w="1440" w:type="dxa"/>
            <w:vAlign w:val="center"/>
          </w:tcPr>
          <w:p w:rsidR="008F3E5D" w:rsidRPr="006004C0" w:rsidP="008F3E5D" w14:paraId="6DD98A17" w14:textId="6ED83B7F">
            <w:pPr>
              <w:jc w:val="right"/>
              <w:rPr>
                <w:rFonts w:ascii="Arial" w:hAnsi="Arial" w:cs="Arial"/>
                <w:color w:val="000000"/>
              </w:rPr>
            </w:pPr>
            <w:r>
              <w:rPr>
                <w:rFonts w:ascii="Arial" w:hAnsi="Arial" w:cs="Arial"/>
                <w:color w:val="000000"/>
              </w:rPr>
              <w:t>$8,153,832</w:t>
            </w:r>
          </w:p>
        </w:tc>
        <w:tc>
          <w:tcPr>
            <w:tcW w:w="1446" w:type="dxa"/>
            <w:vAlign w:val="center"/>
          </w:tcPr>
          <w:p w:rsidR="008F3E5D" w:rsidRPr="006004C0" w:rsidP="008F3E5D" w14:paraId="4D937A85" w14:textId="0130DDC2">
            <w:pPr>
              <w:jc w:val="right"/>
              <w:rPr>
                <w:rFonts w:ascii="Arial" w:hAnsi="Arial" w:cs="Arial"/>
                <w:color w:val="000000"/>
              </w:rPr>
            </w:pPr>
            <w:r>
              <w:rPr>
                <w:rFonts w:ascii="Arial" w:hAnsi="Arial" w:cs="Arial"/>
              </w:rPr>
              <w:t>+$568,872</w:t>
            </w:r>
          </w:p>
        </w:tc>
      </w:tr>
      <w:tr w14:paraId="0758C214" w14:textId="77777777" w:rsidTr="00BE1165">
        <w:tblPrEx>
          <w:tblW w:w="11070" w:type="dxa"/>
          <w:tblInd w:w="-905" w:type="dxa"/>
          <w:tblLook w:val="04A0"/>
        </w:tblPrEx>
        <w:tc>
          <w:tcPr>
            <w:tcW w:w="631" w:type="dxa"/>
            <w:vAlign w:val="center"/>
          </w:tcPr>
          <w:p w:rsidR="008F3E5D" w:rsidP="008F3E5D" w14:paraId="247F7715" w14:textId="7A40C034">
            <w:pPr>
              <w:jc w:val="center"/>
              <w:rPr>
                <w:rFonts w:ascii="Arial" w:hAnsi="Arial" w:cs="Arial"/>
                <w:b/>
                <w:bCs/>
                <w:color w:val="000000"/>
              </w:rPr>
            </w:pPr>
            <w:r>
              <w:rPr>
                <w:rFonts w:ascii="Arial" w:hAnsi="Arial" w:cs="Arial"/>
                <w:color w:val="000000"/>
              </w:rPr>
              <w:t>1-4</w:t>
            </w:r>
          </w:p>
        </w:tc>
        <w:tc>
          <w:tcPr>
            <w:tcW w:w="1079" w:type="dxa"/>
            <w:vAlign w:val="center"/>
          </w:tcPr>
          <w:p w:rsidR="008F3E5D" w:rsidP="008F3E5D" w14:paraId="490830E0" w14:textId="211A7D4F">
            <w:pPr>
              <w:jc w:val="center"/>
              <w:rPr>
                <w:rFonts w:ascii="Arial" w:hAnsi="Arial" w:cs="Arial"/>
              </w:rPr>
            </w:pPr>
            <w:r>
              <w:rPr>
                <w:rFonts w:ascii="Arial" w:hAnsi="Arial" w:cs="Arial"/>
              </w:rPr>
              <w:t>3054</w:t>
            </w:r>
          </w:p>
        </w:tc>
        <w:tc>
          <w:tcPr>
            <w:tcW w:w="4675" w:type="dxa"/>
            <w:vAlign w:val="center"/>
          </w:tcPr>
          <w:p w:rsidR="008F3E5D" w:rsidP="008F3E5D" w14:paraId="5A47EFD1" w14:textId="10460144">
            <w:pPr>
              <w:rPr>
                <w:rFonts w:ascii="Arial" w:hAnsi="Arial" w:cs="Arial"/>
              </w:rPr>
            </w:pPr>
            <w:r w:rsidRPr="00FB6F21">
              <w:rPr>
                <w:rFonts w:ascii="Arial" w:hAnsi="Arial" w:cs="Arial"/>
                <w:szCs w:val="24"/>
              </w:rPr>
              <w:t>Non-DOCX Filing Surcharge Fee (micro entity)</w:t>
            </w:r>
          </w:p>
        </w:tc>
        <w:tc>
          <w:tcPr>
            <w:tcW w:w="1799" w:type="dxa"/>
            <w:vAlign w:val="center"/>
          </w:tcPr>
          <w:p w:rsidR="008F3E5D" w:rsidRPr="00FB6F21" w:rsidP="008F3E5D" w14:paraId="14C81B17" w14:textId="6488C95F">
            <w:pPr>
              <w:pStyle w:val="NoSpacing"/>
              <w:jc w:val="right"/>
              <w:rPr>
                <w:rFonts w:ascii="Arial" w:hAnsi="Arial" w:cs="Arial"/>
                <w:sz w:val="20"/>
                <w:szCs w:val="20"/>
              </w:rPr>
            </w:pPr>
            <w:r w:rsidRPr="00FB6F21">
              <w:rPr>
                <w:rFonts w:ascii="Arial" w:hAnsi="Arial" w:cs="Arial"/>
                <w:color w:val="000000"/>
                <w:sz w:val="20"/>
                <w:szCs w:val="20"/>
              </w:rPr>
              <w:t xml:space="preserve">$1,165,200 </w:t>
            </w:r>
          </w:p>
        </w:tc>
        <w:tc>
          <w:tcPr>
            <w:tcW w:w="1440" w:type="dxa"/>
            <w:vAlign w:val="center"/>
          </w:tcPr>
          <w:p w:rsidR="008F3E5D" w:rsidRPr="006004C0" w:rsidP="008F3E5D" w14:paraId="5BC405FD" w14:textId="668CFE6C">
            <w:pPr>
              <w:jc w:val="right"/>
              <w:rPr>
                <w:rFonts w:ascii="Arial" w:hAnsi="Arial" w:cs="Arial"/>
                <w:color w:val="000000"/>
              </w:rPr>
            </w:pPr>
            <w:r>
              <w:rPr>
                <w:rFonts w:ascii="Arial" w:hAnsi="Arial" w:cs="Arial"/>
                <w:color w:val="000000"/>
              </w:rPr>
              <w:t>$1,252,590</w:t>
            </w:r>
          </w:p>
        </w:tc>
        <w:tc>
          <w:tcPr>
            <w:tcW w:w="1446" w:type="dxa"/>
            <w:vAlign w:val="center"/>
          </w:tcPr>
          <w:p w:rsidR="008F3E5D" w:rsidP="008F3E5D" w14:paraId="0A26A370" w14:textId="4224F565">
            <w:pPr>
              <w:jc w:val="right"/>
              <w:rPr>
                <w:rFonts w:ascii="Arial" w:hAnsi="Arial" w:cs="Arial"/>
                <w:color w:val="000000"/>
              </w:rPr>
            </w:pPr>
            <w:r>
              <w:rPr>
                <w:rFonts w:ascii="Arial" w:hAnsi="Arial" w:cs="Arial"/>
              </w:rPr>
              <w:t>+$87,390</w:t>
            </w:r>
          </w:p>
        </w:tc>
      </w:tr>
      <w:tr w14:paraId="33875875" w14:textId="77777777" w:rsidTr="00BE1165">
        <w:tblPrEx>
          <w:tblW w:w="11070" w:type="dxa"/>
          <w:tblInd w:w="-905" w:type="dxa"/>
          <w:tblLook w:val="04A0"/>
        </w:tblPrEx>
        <w:tc>
          <w:tcPr>
            <w:tcW w:w="631" w:type="dxa"/>
            <w:vAlign w:val="center"/>
          </w:tcPr>
          <w:p w:rsidR="008F3E5D" w:rsidRPr="006004C0" w:rsidP="008F3E5D" w14:paraId="0C711890" w14:textId="77777777">
            <w:pPr>
              <w:pStyle w:val="NoSpacing"/>
              <w:jc w:val="center"/>
              <w:rPr>
                <w:rFonts w:ascii="Arial" w:hAnsi="Arial" w:cs="Arial"/>
                <w:b/>
                <w:sz w:val="20"/>
                <w:szCs w:val="20"/>
              </w:rPr>
            </w:pPr>
          </w:p>
        </w:tc>
        <w:tc>
          <w:tcPr>
            <w:tcW w:w="1079" w:type="dxa"/>
          </w:tcPr>
          <w:p w:rsidR="008F3E5D" w:rsidRPr="006004C0" w:rsidP="008F3E5D" w14:paraId="69C7F5D2" w14:textId="77777777">
            <w:pPr>
              <w:pStyle w:val="NoSpacing"/>
              <w:rPr>
                <w:rFonts w:ascii="Arial" w:hAnsi="Arial" w:cs="Arial"/>
                <w:b/>
                <w:sz w:val="20"/>
                <w:szCs w:val="20"/>
              </w:rPr>
            </w:pPr>
          </w:p>
        </w:tc>
        <w:tc>
          <w:tcPr>
            <w:tcW w:w="4675" w:type="dxa"/>
            <w:vAlign w:val="center"/>
          </w:tcPr>
          <w:p w:rsidR="008F3E5D" w:rsidRPr="006004C0" w:rsidP="008F3E5D" w14:paraId="372E6B41" w14:textId="77777777">
            <w:pPr>
              <w:pStyle w:val="NoSpacing"/>
              <w:rPr>
                <w:rFonts w:ascii="Arial" w:hAnsi="Arial" w:cs="Arial"/>
                <w:b/>
                <w:sz w:val="20"/>
                <w:szCs w:val="20"/>
              </w:rPr>
            </w:pPr>
            <w:r w:rsidRPr="006004C0">
              <w:rPr>
                <w:rFonts w:ascii="Arial" w:hAnsi="Arial" w:cs="Arial"/>
                <w:b/>
                <w:sz w:val="20"/>
                <w:szCs w:val="20"/>
              </w:rPr>
              <w:t>Totals</w:t>
            </w:r>
          </w:p>
        </w:tc>
        <w:tc>
          <w:tcPr>
            <w:tcW w:w="1799" w:type="dxa"/>
            <w:vAlign w:val="center"/>
          </w:tcPr>
          <w:p w:rsidR="008F3E5D" w:rsidRPr="00FB6F21" w:rsidP="008F3E5D" w14:paraId="0AD58105" w14:textId="614A0074">
            <w:pPr>
              <w:pStyle w:val="NoSpacing"/>
              <w:jc w:val="right"/>
              <w:rPr>
                <w:rFonts w:ascii="Arial" w:hAnsi="Arial" w:cs="Arial"/>
                <w:b/>
                <w:sz w:val="20"/>
                <w:szCs w:val="20"/>
              </w:rPr>
            </w:pPr>
            <w:r w:rsidRPr="00FB6F21">
              <w:rPr>
                <w:rFonts w:ascii="Arial" w:hAnsi="Arial" w:cs="Arial"/>
                <w:b/>
                <w:sz w:val="20"/>
                <w:szCs w:val="20"/>
              </w:rPr>
              <w:t>$49,588,160</w:t>
            </w:r>
          </w:p>
        </w:tc>
        <w:tc>
          <w:tcPr>
            <w:tcW w:w="1440" w:type="dxa"/>
            <w:vAlign w:val="center"/>
          </w:tcPr>
          <w:p w:rsidR="008F3E5D" w:rsidRPr="006004C0" w:rsidP="008F3E5D" w14:paraId="3BC35F94" w14:textId="6686AB65">
            <w:pPr>
              <w:pStyle w:val="NoSpacing"/>
              <w:jc w:val="right"/>
              <w:rPr>
                <w:rFonts w:ascii="Arial" w:hAnsi="Arial" w:cs="Arial"/>
                <w:b/>
                <w:sz w:val="20"/>
                <w:szCs w:val="20"/>
              </w:rPr>
            </w:pPr>
            <w:r w:rsidRPr="006004C0">
              <w:rPr>
                <w:rFonts w:ascii="Arial" w:hAnsi="Arial" w:cs="Arial"/>
                <w:b/>
                <w:sz w:val="20"/>
                <w:szCs w:val="20"/>
              </w:rPr>
              <w:t>$</w:t>
            </w:r>
            <w:r>
              <w:rPr>
                <w:rFonts w:ascii="Arial" w:hAnsi="Arial" w:cs="Arial"/>
                <w:b/>
                <w:sz w:val="20"/>
                <w:szCs w:val="20"/>
              </w:rPr>
              <w:t>53,307,272</w:t>
            </w:r>
          </w:p>
        </w:tc>
        <w:tc>
          <w:tcPr>
            <w:tcW w:w="1446" w:type="dxa"/>
            <w:vAlign w:val="center"/>
          </w:tcPr>
          <w:p w:rsidR="008F3E5D" w:rsidRPr="006004C0" w:rsidP="008F3E5D" w14:paraId="51368489" w14:textId="7B062DCC">
            <w:pPr>
              <w:pStyle w:val="NoSpacing"/>
              <w:jc w:val="right"/>
              <w:rPr>
                <w:rFonts w:ascii="Arial" w:hAnsi="Arial" w:cs="Arial"/>
                <w:b/>
                <w:sz w:val="20"/>
                <w:szCs w:val="20"/>
              </w:rPr>
            </w:pPr>
            <w:r>
              <w:rPr>
                <w:rFonts w:ascii="Arial" w:hAnsi="Arial" w:cs="Arial"/>
                <w:b/>
                <w:sz w:val="20"/>
                <w:szCs w:val="20"/>
              </w:rPr>
              <w:t>+</w:t>
            </w:r>
            <w:r w:rsidRPr="006004C0">
              <w:rPr>
                <w:rFonts w:ascii="Arial" w:hAnsi="Arial" w:cs="Arial"/>
                <w:b/>
                <w:sz w:val="20"/>
                <w:szCs w:val="20"/>
              </w:rPr>
              <w:t>$</w:t>
            </w:r>
            <w:r>
              <w:rPr>
                <w:rFonts w:ascii="Arial" w:hAnsi="Arial" w:cs="Arial"/>
                <w:b/>
                <w:sz w:val="20"/>
                <w:szCs w:val="20"/>
              </w:rPr>
              <w:t>3,719,112</w:t>
            </w:r>
          </w:p>
        </w:tc>
      </w:tr>
    </w:tbl>
    <w:p w:rsidR="00FB6F21" w:rsidRPr="006004C0" w:rsidP="00FB6F21" w14:paraId="6A594E6D" w14:textId="77777777">
      <w:pPr>
        <w:pStyle w:val="NoSpacing"/>
        <w:rPr>
          <w:rFonts w:ascii="Arial" w:hAnsi="Arial" w:cs="Arial"/>
          <w:sz w:val="24"/>
          <w:szCs w:val="24"/>
        </w:rPr>
      </w:pPr>
    </w:p>
    <w:p w:rsidR="00FB6F21" w:rsidRPr="006004C0" w:rsidP="00FB6F21" w14:paraId="7F22A833" w14:textId="77777777">
      <w:pPr>
        <w:pStyle w:val="NoSpacing"/>
        <w:rPr>
          <w:rFonts w:ascii="Arial" w:hAnsi="Arial" w:cs="Arial"/>
          <w:sz w:val="24"/>
          <w:szCs w:val="24"/>
        </w:rPr>
      </w:pPr>
      <w:r w:rsidRPr="006004C0">
        <w:rPr>
          <w:rFonts w:ascii="Arial" w:hAnsi="Arial" w:cs="Arial"/>
          <w:sz w:val="24"/>
          <w:szCs w:val="24"/>
          <w:u w:val="single"/>
        </w:rPr>
        <w:t>Summary of Changes</w:t>
      </w:r>
    </w:p>
    <w:p w:rsidR="00FB6F21" w:rsidRPr="006004C0" w:rsidP="00FB6F21" w14:paraId="6F9BAF59" w14:textId="77777777">
      <w:pPr>
        <w:pStyle w:val="NoSpacing"/>
        <w:rPr>
          <w:rFonts w:ascii="Arial" w:hAnsi="Arial" w:cs="Arial"/>
          <w:sz w:val="24"/>
          <w:szCs w:val="24"/>
        </w:rPr>
      </w:pPr>
    </w:p>
    <w:p w:rsidR="00FB6F21" w:rsidRPr="006004C0" w:rsidP="00FB6F21" w14:paraId="42A2EF3B" w14:textId="71C94CBA">
      <w:pPr>
        <w:pStyle w:val="NoSpacing"/>
        <w:jc w:val="both"/>
        <w:rPr>
          <w:rFonts w:ascii="Arial" w:hAnsi="Arial" w:cs="Arial"/>
          <w:sz w:val="24"/>
          <w:szCs w:val="24"/>
        </w:rPr>
      </w:pPr>
      <w:r w:rsidRPr="006004C0">
        <w:rPr>
          <w:rFonts w:ascii="Arial" w:hAnsi="Arial" w:cs="Arial"/>
          <w:sz w:val="24"/>
          <w:szCs w:val="24"/>
        </w:rPr>
        <w:t>The aforementioned rulemaking results in the revision of</w:t>
      </w:r>
      <w:r>
        <w:rPr>
          <w:rFonts w:ascii="Arial" w:hAnsi="Arial" w:cs="Arial"/>
          <w:sz w:val="24"/>
          <w:szCs w:val="24"/>
        </w:rPr>
        <w:t xml:space="preserve"> </w:t>
      </w:r>
      <w:r w:rsidR="00BE1165">
        <w:rPr>
          <w:rFonts w:ascii="Arial" w:hAnsi="Arial" w:cs="Arial"/>
          <w:sz w:val="24"/>
          <w:szCs w:val="24"/>
        </w:rPr>
        <w:t>three</w:t>
      </w:r>
      <w:r>
        <w:rPr>
          <w:rFonts w:ascii="Arial" w:hAnsi="Arial" w:cs="Arial"/>
          <w:sz w:val="24"/>
          <w:szCs w:val="24"/>
        </w:rPr>
        <w:t xml:space="preserve"> fees, with an increase of $</w:t>
      </w:r>
      <w:r w:rsidR="008F3E5D">
        <w:rPr>
          <w:rFonts w:ascii="Arial" w:hAnsi="Arial" w:cs="Arial"/>
          <w:sz w:val="24"/>
          <w:szCs w:val="24"/>
        </w:rPr>
        <w:t>3,719,112</w:t>
      </w:r>
      <w:r>
        <w:rPr>
          <w:rFonts w:ascii="Arial" w:hAnsi="Arial" w:cs="Arial"/>
          <w:sz w:val="24"/>
          <w:szCs w:val="24"/>
        </w:rPr>
        <w:t xml:space="preserve"> </w:t>
      </w:r>
      <w:r w:rsidRPr="006004C0">
        <w:rPr>
          <w:rFonts w:ascii="Arial" w:hAnsi="Arial" w:cs="Arial"/>
          <w:sz w:val="24"/>
          <w:szCs w:val="24"/>
        </w:rPr>
        <w:t>in annual non-hourly costs to collection 0651-</w:t>
      </w:r>
      <w:r>
        <w:rPr>
          <w:rFonts w:ascii="Arial" w:hAnsi="Arial" w:cs="Arial"/>
          <w:sz w:val="24"/>
          <w:szCs w:val="24"/>
        </w:rPr>
        <w:t>0089.</w:t>
      </w:r>
    </w:p>
    <w:p w:rsidR="00FB6F21" w:rsidRPr="006004C0" w:rsidP="00FB6F21" w14:paraId="7FC074AF" w14:textId="77777777">
      <w:pPr>
        <w:pStyle w:val="NoSpacing"/>
        <w:rPr>
          <w:rFonts w:ascii="Arial" w:hAnsi="Arial" w:cs="Arial"/>
          <w:sz w:val="24"/>
          <w:szCs w:val="24"/>
        </w:rPr>
      </w:pPr>
    </w:p>
    <w:p w:rsidR="00FB6F21" w:rsidRPr="006004C0" w:rsidP="00FB6F21" w14:paraId="15495E01" w14:textId="77777777">
      <w:pPr>
        <w:pStyle w:val="NoSpacing"/>
        <w:rPr>
          <w:rFonts w:ascii="Arial" w:hAnsi="Arial" w:cs="Arial"/>
          <w:sz w:val="24"/>
          <w:szCs w:val="24"/>
        </w:rPr>
      </w:pPr>
      <w:r w:rsidRPr="006004C0">
        <w:rPr>
          <w:rFonts w:ascii="Arial" w:hAnsi="Arial" w:cs="Arial"/>
          <w:sz w:val="24"/>
          <w:szCs w:val="24"/>
          <w:u w:val="single"/>
        </w:rPr>
        <w:t>Changes in Burden</w:t>
      </w:r>
    </w:p>
    <w:p w:rsidR="00FB6F21" w:rsidRPr="006004C0" w:rsidP="00FB6F21" w14:paraId="3AA80CBA" w14:textId="77777777">
      <w:pPr>
        <w:pStyle w:val="NoSpacing"/>
        <w:rPr>
          <w:rFonts w:ascii="Arial" w:hAnsi="Arial" w:cs="Arial"/>
          <w:sz w:val="24"/>
          <w:szCs w:val="24"/>
        </w:rPr>
      </w:pPr>
    </w:p>
    <w:tbl>
      <w:tblPr>
        <w:tblStyle w:val="TableGrid"/>
        <w:tblW w:w="9409" w:type="dxa"/>
        <w:tblLook w:val="04A0"/>
      </w:tblPr>
      <w:tblGrid>
        <w:gridCol w:w="3235"/>
        <w:gridCol w:w="2070"/>
        <w:gridCol w:w="2039"/>
        <w:gridCol w:w="2065"/>
      </w:tblGrid>
      <w:tr w14:paraId="2A9CA6F5" w14:textId="77777777" w:rsidTr="280B9B00">
        <w:tblPrEx>
          <w:tblW w:w="9409" w:type="dxa"/>
          <w:tblLook w:val="04A0"/>
        </w:tblPrEx>
        <w:tc>
          <w:tcPr>
            <w:tcW w:w="3235" w:type="dxa"/>
            <w:shd w:val="clear" w:color="auto" w:fill="B4C6E7" w:themeFill="accent1" w:themeFillTint="66"/>
            <w:vAlign w:val="center"/>
          </w:tcPr>
          <w:p w:rsidR="00FB6F21" w:rsidRPr="007353A9" w:rsidP="009E4490" w14:paraId="5BFD1688" w14:textId="77777777">
            <w:pPr>
              <w:pStyle w:val="NoSpacing"/>
              <w:jc w:val="center"/>
              <w:rPr>
                <w:rFonts w:ascii="Arial" w:hAnsi="Arial" w:cs="Arial"/>
                <w:b/>
                <w:sz w:val="20"/>
                <w:szCs w:val="20"/>
              </w:rPr>
            </w:pPr>
            <w:bookmarkStart w:id="0" w:name="_Hlk172879217"/>
            <w:r w:rsidRPr="007353A9">
              <w:rPr>
                <w:rFonts w:ascii="Arial" w:hAnsi="Arial" w:cs="Arial"/>
                <w:b/>
                <w:sz w:val="20"/>
                <w:szCs w:val="20"/>
              </w:rPr>
              <w:t>Burden Type</w:t>
            </w:r>
          </w:p>
        </w:tc>
        <w:tc>
          <w:tcPr>
            <w:tcW w:w="2070" w:type="dxa"/>
            <w:shd w:val="clear" w:color="auto" w:fill="B4C6E7" w:themeFill="accent1" w:themeFillTint="66"/>
            <w:vAlign w:val="center"/>
          </w:tcPr>
          <w:p w:rsidR="00FB6F21" w:rsidRPr="007353A9" w:rsidP="009E4490" w14:paraId="17564CE1"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2039" w:type="dxa"/>
            <w:shd w:val="clear" w:color="auto" w:fill="B4C6E7" w:themeFill="accent1" w:themeFillTint="66"/>
            <w:vAlign w:val="center"/>
          </w:tcPr>
          <w:p w:rsidR="00FB6F21" w:rsidRPr="007353A9" w:rsidP="009E4490" w14:paraId="64D015AC"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FB6F21" w:rsidRPr="007353A9" w:rsidP="009E4490" w14:paraId="1DDC61B2"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528C1C13" w14:textId="77777777" w:rsidTr="280B9B00">
        <w:tblPrEx>
          <w:tblW w:w="9409" w:type="dxa"/>
          <w:tblLook w:val="04A0"/>
        </w:tblPrEx>
        <w:tc>
          <w:tcPr>
            <w:tcW w:w="3235" w:type="dxa"/>
            <w:vAlign w:val="center"/>
          </w:tcPr>
          <w:p w:rsidR="00FB6F21" w:rsidRPr="007353A9" w:rsidP="009E4490" w14:paraId="56BDCECF" w14:textId="77777777">
            <w:pPr>
              <w:pStyle w:val="NoSpacing"/>
              <w:rPr>
                <w:rFonts w:ascii="Arial" w:hAnsi="Arial" w:cs="Arial"/>
                <w:sz w:val="20"/>
                <w:szCs w:val="20"/>
              </w:rPr>
            </w:pPr>
            <w:r w:rsidRPr="007353A9">
              <w:rPr>
                <w:rFonts w:ascii="Arial" w:hAnsi="Arial" w:cs="Arial"/>
                <w:sz w:val="20"/>
                <w:szCs w:val="20"/>
              </w:rPr>
              <w:t>Non-hourly Cost Burden</w:t>
            </w:r>
          </w:p>
        </w:tc>
        <w:tc>
          <w:tcPr>
            <w:tcW w:w="2070" w:type="dxa"/>
            <w:vAlign w:val="center"/>
          </w:tcPr>
          <w:p w:rsidR="00FB6F21" w:rsidRPr="007353A9" w:rsidP="009E4490" w14:paraId="4AB3B1D1" w14:textId="071AF29B">
            <w:pPr>
              <w:pStyle w:val="NoSpacing"/>
              <w:jc w:val="right"/>
              <w:rPr>
                <w:rFonts w:ascii="Arial" w:hAnsi="Arial" w:cs="Arial"/>
                <w:sz w:val="20"/>
                <w:szCs w:val="20"/>
              </w:rPr>
            </w:pPr>
            <w:r w:rsidRPr="007353A9">
              <w:rPr>
                <w:rFonts w:ascii="Arial" w:hAnsi="Arial" w:cs="Arial"/>
                <w:sz w:val="20"/>
                <w:szCs w:val="20"/>
              </w:rPr>
              <w:t>$</w:t>
            </w:r>
            <w:r>
              <w:rPr>
                <w:rFonts w:ascii="Arial" w:hAnsi="Arial" w:cs="Arial"/>
                <w:sz w:val="20"/>
                <w:szCs w:val="20"/>
              </w:rPr>
              <w:t>49,588,160</w:t>
            </w:r>
          </w:p>
        </w:tc>
        <w:tc>
          <w:tcPr>
            <w:tcW w:w="2039" w:type="dxa"/>
            <w:vAlign w:val="center"/>
          </w:tcPr>
          <w:p w:rsidR="00FB6F21" w:rsidRPr="007353A9" w:rsidP="009E4490" w14:paraId="6AB977DD" w14:textId="6D38DE5A">
            <w:pPr>
              <w:pStyle w:val="NoSpacing"/>
              <w:jc w:val="right"/>
              <w:rPr>
                <w:rFonts w:ascii="Arial" w:hAnsi="Arial" w:cs="Arial"/>
                <w:sz w:val="20"/>
                <w:szCs w:val="20"/>
              </w:rPr>
            </w:pPr>
            <w:r>
              <w:rPr>
                <w:rFonts w:ascii="Arial" w:hAnsi="Arial" w:cs="Arial"/>
                <w:sz w:val="20"/>
                <w:szCs w:val="20"/>
              </w:rPr>
              <w:t>+</w:t>
            </w:r>
            <w:r w:rsidRPr="007353A9">
              <w:rPr>
                <w:rFonts w:ascii="Arial" w:hAnsi="Arial" w:cs="Arial"/>
                <w:sz w:val="20"/>
                <w:szCs w:val="20"/>
              </w:rPr>
              <w:t>$</w:t>
            </w:r>
            <w:r w:rsidR="008F3E5D">
              <w:rPr>
                <w:rFonts w:ascii="Arial" w:hAnsi="Arial" w:cs="Arial"/>
                <w:sz w:val="20"/>
                <w:szCs w:val="20"/>
              </w:rPr>
              <w:t>3,719,112</w:t>
            </w:r>
          </w:p>
        </w:tc>
        <w:tc>
          <w:tcPr>
            <w:tcW w:w="2065" w:type="dxa"/>
            <w:vAlign w:val="center"/>
          </w:tcPr>
          <w:p w:rsidR="00FB6F21" w:rsidRPr="007353A9" w:rsidP="009E4490" w14:paraId="68384A6D" w14:textId="3020838A">
            <w:pPr>
              <w:pStyle w:val="NoSpacing"/>
              <w:jc w:val="right"/>
              <w:rPr>
                <w:rFonts w:ascii="Arial" w:hAnsi="Arial" w:cs="Arial"/>
                <w:sz w:val="20"/>
                <w:szCs w:val="20"/>
              </w:rPr>
            </w:pPr>
            <w:r w:rsidRPr="280B9B00">
              <w:rPr>
                <w:rFonts w:ascii="Arial" w:hAnsi="Arial" w:cs="Arial"/>
                <w:sz w:val="20"/>
                <w:szCs w:val="20"/>
              </w:rPr>
              <w:t>$</w:t>
            </w:r>
            <w:r w:rsidRPr="280B9B00" w:rsidR="008F3E5D">
              <w:rPr>
                <w:rFonts w:ascii="Arial" w:hAnsi="Arial" w:cs="Arial"/>
                <w:sz w:val="20"/>
                <w:szCs w:val="20"/>
              </w:rPr>
              <w:t>53,307,</w:t>
            </w:r>
            <w:r w:rsidRPr="280B9B00" w:rsidR="06961BDE">
              <w:rPr>
                <w:rFonts w:ascii="Arial" w:hAnsi="Arial" w:cs="Arial"/>
                <w:sz w:val="20"/>
                <w:szCs w:val="20"/>
              </w:rPr>
              <w:t>272</w:t>
            </w:r>
          </w:p>
        </w:tc>
      </w:tr>
    </w:tbl>
    <w:p w:rsidR="00FB6F21" w:rsidRPr="006004C0" w:rsidP="00FB6F21" w14:paraId="641DF4FE" w14:textId="77777777">
      <w:pPr>
        <w:pStyle w:val="NoSpacing"/>
        <w:rPr>
          <w:rFonts w:ascii="Arial" w:hAnsi="Arial" w:cs="Arial"/>
          <w:sz w:val="24"/>
          <w:szCs w:val="24"/>
        </w:rPr>
      </w:pPr>
    </w:p>
    <w:p w:rsidR="00FB6F21" w:rsidRPr="006004C0" w:rsidP="00FB6F21" w14:paraId="6C4CAA48" w14:textId="561E4C3F">
      <w:pPr>
        <w:pStyle w:val="NoSpacing"/>
        <w:rPr>
          <w:rFonts w:ascii="Arial" w:hAnsi="Arial" w:cs="Arial"/>
          <w:sz w:val="24"/>
          <w:szCs w:val="24"/>
        </w:rPr>
      </w:pPr>
      <w:r w:rsidRPr="006004C0">
        <w:rPr>
          <w:rFonts w:ascii="Arial" w:hAnsi="Arial" w:cs="Arial"/>
          <w:sz w:val="24"/>
          <w:szCs w:val="24"/>
        </w:rPr>
        <w:t>0651-</w:t>
      </w:r>
      <w:r>
        <w:rPr>
          <w:rFonts w:ascii="Arial" w:hAnsi="Arial" w:cs="Arial"/>
          <w:sz w:val="24"/>
          <w:szCs w:val="24"/>
        </w:rPr>
        <w:t>0089</w:t>
      </w:r>
      <w:r w:rsidR="00CA318B">
        <w:rPr>
          <w:rFonts w:ascii="Arial" w:hAnsi="Arial" w:cs="Arial"/>
          <w:sz w:val="24"/>
          <w:szCs w:val="24"/>
        </w:rPr>
        <w:t>’s</w:t>
      </w:r>
      <w:r w:rsidRPr="006004C0">
        <w:rPr>
          <w:rFonts w:ascii="Arial" w:hAnsi="Arial" w:cs="Arial"/>
          <w:sz w:val="24"/>
          <w:szCs w:val="24"/>
        </w:rPr>
        <w:t xml:space="preserve"> revised burden is as follows:</w:t>
      </w:r>
    </w:p>
    <w:p w:rsidR="00FB6F21" w:rsidRPr="006004C0" w:rsidP="00FB6F21" w14:paraId="542D8F94" w14:textId="77777777">
      <w:pPr>
        <w:pStyle w:val="NoSpacing"/>
        <w:rPr>
          <w:rFonts w:ascii="Arial" w:hAnsi="Arial" w:cs="Arial"/>
          <w:sz w:val="24"/>
          <w:szCs w:val="24"/>
        </w:rPr>
      </w:pPr>
    </w:p>
    <w:p w:rsidR="00FB6F21" w:rsidRPr="006004C0" w:rsidP="00FB6F21" w14:paraId="72EA11AE" w14:textId="772C60FD">
      <w:pPr>
        <w:pStyle w:val="NoSpacing"/>
        <w:numPr>
          <w:ilvl w:val="0"/>
          <w:numId w:val="1"/>
        </w:numPr>
        <w:rPr>
          <w:rFonts w:ascii="Arial" w:hAnsi="Arial" w:cs="Arial"/>
          <w:sz w:val="24"/>
          <w:szCs w:val="24"/>
        </w:rPr>
      </w:pPr>
      <w:r>
        <w:rPr>
          <w:rFonts w:ascii="Arial" w:hAnsi="Arial" w:cs="Arial"/>
          <w:sz w:val="24"/>
          <w:szCs w:val="24"/>
        </w:rPr>
        <w:t>411,817</w:t>
      </w:r>
      <w:r w:rsidRPr="006004C0">
        <w:rPr>
          <w:rFonts w:ascii="Arial" w:hAnsi="Arial" w:cs="Arial"/>
          <w:sz w:val="24"/>
          <w:szCs w:val="24"/>
        </w:rPr>
        <w:t xml:space="preserve"> annual responses (unchanged)</w:t>
      </w:r>
    </w:p>
    <w:p w:rsidR="00FB6F21" w:rsidP="00FB6F21" w14:paraId="18B53627" w14:textId="4C2441AC">
      <w:pPr>
        <w:pStyle w:val="NoSpacing"/>
        <w:numPr>
          <w:ilvl w:val="0"/>
          <w:numId w:val="1"/>
        </w:numPr>
        <w:rPr>
          <w:rFonts w:ascii="Arial" w:hAnsi="Arial" w:cs="Arial"/>
          <w:sz w:val="24"/>
          <w:szCs w:val="24"/>
        </w:rPr>
      </w:pPr>
      <w:r>
        <w:rPr>
          <w:rFonts w:ascii="Arial" w:hAnsi="Arial" w:cs="Arial"/>
          <w:sz w:val="24"/>
          <w:szCs w:val="24"/>
        </w:rPr>
        <w:t>123,877</w:t>
      </w:r>
      <w:r w:rsidRPr="006004C0">
        <w:rPr>
          <w:rFonts w:ascii="Arial" w:hAnsi="Arial" w:cs="Arial"/>
          <w:sz w:val="24"/>
          <w:szCs w:val="24"/>
        </w:rPr>
        <w:t xml:space="preserve"> annual hourly burden (unchanged)</w:t>
      </w:r>
    </w:p>
    <w:p w:rsidR="00FB6F21" w:rsidRPr="00250C96" w:rsidP="00FB6F21" w14:paraId="7AEB260B" w14:textId="20E74B22">
      <w:pPr>
        <w:pStyle w:val="NoSpacing"/>
        <w:numPr>
          <w:ilvl w:val="0"/>
          <w:numId w:val="1"/>
        </w:numPr>
        <w:rPr>
          <w:rFonts w:ascii="Arial" w:hAnsi="Arial" w:cs="Arial"/>
          <w:sz w:val="24"/>
          <w:szCs w:val="24"/>
        </w:rPr>
      </w:pPr>
      <w:r w:rsidRPr="00250C96">
        <w:rPr>
          <w:rFonts w:ascii="Arial" w:hAnsi="Arial" w:cs="Arial"/>
          <w:sz w:val="24"/>
          <w:szCs w:val="24"/>
        </w:rPr>
        <w:t>$</w:t>
      </w:r>
      <w:r w:rsidR="008F3E5D">
        <w:rPr>
          <w:rFonts w:ascii="Arial" w:hAnsi="Arial" w:cs="Arial"/>
          <w:sz w:val="24"/>
          <w:szCs w:val="24"/>
        </w:rPr>
        <w:t>53,307,272</w:t>
      </w:r>
      <w:r w:rsidRPr="00250C96">
        <w:rPr>
          <w:rFonts w:ascii="Arial" w:hAnsi="Arial" w:cs="Arial"/>
          <w:sz w:val="24"/>
          <w:szCs w:val="24"/>
        </w:rPr>
        <w:t xml:space="preserve"> annual non-hourly burden costs</w:t>
      </w:r>
      <w:bookmarkEnd w:id="0"/>
    </w:p>
    <w:p w:rsidR="00FB6F21" w:rsidRPr="00B240FD" w:rsidP="00FB6F21" w14:paraId="2A1F76D3" w14:textId="77777777">
      <w:pPr>
        <w:pStyle w:val="NoSpacing"/>
        <w:rPr>
          <w:rFonts w:ascii="Arial" w:hAnsi="Arial" w:cs="Arial"/>
          <w:sz w:val="24"/>
          <w:szCs w:val="24"/>
        </w:rPr>
      </w:pPr>
    </w:p>
    <w:p w:rsidR="00FB6F21" w:rsidRPr="001D563F" w:rsidP="00FB6F21" w14:paraId="141E35D3" w14:textId="77777777">
      <w:pPr>
        <w:pStyle w:val="NoSpacing"/>
        <w:rPr>
          <w:rFonts w:ascii="Arial" w:hAnsi="Arial" w:cs="Arial"/>
          <w:sz w:val="24"/>
          <w:szCs w:val="24"/>
        </w:rPr>
      </w:pPr>
    </w:p>
    <w:p w:rsidR="00FB6F21" w:rsidRPr="00313D8E" w:rsidP="00FB6F21" w14:paraId="6603A9D4" w14:textId="77777777">
      <w:pPr>
        <w:pStyle w:val="NoSpacing"/>
        <w:rPr>
          <w:rFonts w:ascii="Arial" w:hAnsi="Arial" w:cs="Arial"/>
          <w:sz w:val="24"/>
          <w:szCs w:val="24"/>
        </w:rPr>
      </w:pPr>
    </w:p>
    <w:p w:rsidR="00FB6F21" w:rsidRPr="00A21BF1" w:rsidP="00A21BF1" w14:paraId="17018FAE" w14:textId="77777777">
      <w:pPr>
        <w:pStyle w:val="No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B43A0" w:rsidP="00A21BF1" w14:paraId="083B4144" w14:textId="77777777">
      <w:r>
        <w:separator/>
      </w:r>
    </w:p>
  </w:footnote>
  <w:footnote w:type="continuationSeparator" w:id="1">
    <w:p w:rsidR="001B43A0" w:rsidP="00A21BF1" w14:paraId="0F6E947A" w14:textId="77777777">
      <w:r>
        <w:continuationSeparator/>
      </w:r>
    </w:p>
  </w:footnote>
  <w:footnote w:id="2">
    <w:p w:rsidR="003E33FB" w:rsidRPr="00DA51EF" w14:paraId="119747F8" w14:textId="5B1C6245">
      <w:pPr>
        <w:pStyle w:val="FootnoteText"/>
        <w:rPr>
          <w:rFonts w:ascii="Arial" w:hAnsi="Arial" w:cs="Arial"/>
        </w:rPr>
      </w:pPr>
      <w:r w:rsidRPr="00DA51EF">
        <w:rPr>
          <w:rStyle w:val="FootnoteReference"/>
          <w:rFonts w:ascii="Arial" w:hAnsi="Arial" w:cs="Arial"/>
          <w:sz w:val="16"/>
          <w:szCs w:val="16"/>
        </w:rPr>
        <w:footnoteRef/>
      </w:r>
      <w:r w:rsidRPr="00DA51EF">
        <w:rPr>
          <w:rFonts w:ascii="Arial" w:hAnsi="Arial" w:cs="Arial"/>
          <w:sz w:val="16"/>
          <w:szCs w:val="16"/>
        </w:rPr>
        <w:t xml:space="preserve"> </w:t>
      </w:r>
      <w:hyperlink r:id="rId1" w:history="1">
        <w:r w:rsidRPr="00DA51EF">
          <w:rPr>
            <w:rStyle w:val="Hyperlink"/>
            <w:rFonts w:ascii="Arial" w:hAnsi="Arial" w:cs="Arial"/>
            <w:sz w:val="16"/>
            <w:szCs w:val="16"/>
          </w:rPr>
          <w:t>https://www.govinfo.gov/content/pkg/FR-2023-06-06/pdf/2023-11917.pdf</w:t>
        </w:r>
      </w:hyperlink>
      <w:r w:rsidRPr="00DA51EF">
        <w:rPr>
          <w:rFonts w:ascii="Arial" w:hAnsi="Arial" w:cs="Arial"/>
          <w:sz w:val="16"/>
          <w:szCs w:val="16"/>
        </w:rPr>
        <w:t xml:space="preserve">. </w:t>
      </w:r>
    </w:p>
  </w:footnote>
  <w:footnote w:id="3">
    <w:p w:rsidR="00C81441" w:rsidP="00C81441" w14:paraId="22F5EECC" w14:textId="77777777">
      <w:pPr>
        <w:pStyle w:val="FootnoteText"/>
      </w:pPr>
      <w:r>
        <w:rPr>
          <w:rStyle w:val="FootnoteReference"/>
        </w:rPr>
        <w:footnoteRef/>
      </w:r>
      <w:r>
        <w:t xml:space="preserve"> </w:t>
      </w:r>
      <w:hyperlink r:id="rId2" w:history="1">
        <w:r w:rsidRPr="00A1215C">
          <w:rPr>
            <w:rStyle w:val="Hyperlink"/>
          </w:rPr>
          <w:t>https://www.govinfo.gov/content/pkg/FR-2024-11-20/pdf/2024-26821.pdf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F1"/>
    <w:rsid w:val="001B43A0"/>
    <w:rsid w:val="001D563F"/>
    <w:rsid w:val="00250C96"/>
    <w:rsid w:val="00313D8E"/>
    <w:rsid w:val="00370B48"/>
    <w:rsid w:val="003A5067"/>
    <w:rsid w:val="003E33FB"/>
    <w:rsid w:val="003EC456"/>
    <w:rsid w:val="00401D88"/>
    <w:rsid w:val="004C0DDF"/>
    <w:rsid w:val="004D252F"/>
    <w:rsid w:val="004E101E"/>
    <w:rsid w:val="006004C0"/>
    <w:rsid w:val="00604E1A"/>
    <w:rsid w:val="007353A9"/>
    <w:rsid w:val="007A39B8"/>
    <w:rsid w:val="007D1846"/>
    <w:rsid w:val="007D423D"/>
    <w:rsid w:val="008E3C06"/>
    <w:rsid w:val="008F3E5D"/>
    <w:rsid w:val="00906D64"/>
    <w:rsid w:val="009D6D11"/>
    <w:rsid w:val="009E4490"/>
    <w:rsid w:val="009E4618"/>
    <w:rsid w:val="00A1215C"/>
    <w:rsid w:val="00A21BF1"/>
    <w:rsid w:val="00A93809"/>
    <w:rsid w:val="00B240FD"/>
    <w:rsid w:val="00B765C3"/>
    <w:rsid w:val="00BE1165"/>
    <w:rsid w:val="00C81441"/>
    <w:rsid w:val="00CA318B"/>
    <w:rsid w:val="00D073FC"/>
    <w:rsid w:val="00DA51EF"/>
    <w:rsid w:val="00F7506B"/>
    <w:rsid w:val="00FB6F21"/>
    <w:rsid w:val="06961BDE"/>
    <w:rsid w:val="1ED22D31"/>
    <w:rsid w:val="280B9B00"/>
    <w:rsid w:val="29481CC4"/>
    <w:rsid w:val="3F06EA2D"/>
    <w:rsid w:val="44CAF8C4"/>
    <w:rsid w:val="479B3ACC"/>
    <w:rsid w:val="5247F4E4"/>
    <w:rsid w:val="55624CBB"/>
    <w:rsid w:val="5D23D453"/>
    <w:rsid w:val="5F2FAC71"/>
    <w:rsid w:val="69B4C4C2"/>
    <w:rsid w:val="72B3E08E"/>
    <w:rsid w:val="7F0646E4"/>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6FEED6"/>
  <w15:chartTrackingRefBased/>
  <w15:docId w15:val="{8960C32D-2F5B-4140-AE5B-9DCEDE95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F2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1BF1"/>
    <w:pPr>
      <w:spacing w:after="0" w:line="240" w:lineRule="auto"/>
    </w:pPr>
  </w:style>
  <w:style w:type="table" w:styleId="TableGrid">
    <w:name w:val="Table Grid"/>
    <w:basedOn w:val="TableNormal"/>
    <w:uiPriority w:val="39"/>
    <w:rsid w:val="00FB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3E33FB"/>
  </w:style>
  <w:style w:type="character" w:customStyle="1" w:styleId="FootnoteTextChar">
    <w:name w:val="Footnote Text Char"/>
    <w:basedOn w:val="DefaultParagraphFont"/>
    <w:link w:val="FootnoteText"/>
    <w:uiPriority w:val="99"/>
    <w:semiHidden/>
    <w:rsid w:val="003E33F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E33FB"/>
    <w:rPr>
      <w:vertAlign w:val="superscript"/>
    </w:rPr>
  </w:style>
  <w:style w:type="character" w:styleId="Hyperlink">
    <w:name w:val="Hyperlink"/>
    <w:basedOn w:val="DefaultParagraphFont"/>
    <w:uiPriority w:val="99"/>
    <w:unhideWhenUsed/>
    <w:rsid w:val="003E33FB"/>
    <w:rPr>
      <w:color w:val="0563C1" w:themeColor="hyperlink"/>
      <w:u w:val="single"/>
    </w:rPr>
  </w:style>
  <w:style w:type="character" w:styleId="UnresolvedMention">
    <w:name w:val="Unresolved Mention"/>
    <w:basedOn w:val="DefaultParagraphFont"/>
    <w:uiPriority w:val="99"/>
    <w:semiHidden/>
    <w:unhideWhenUsed/>
    <w:rsid w:val="003E33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E33FB"/>
    <w:rPr>
      <w:b/>
      <w:bCs/>
    </w:rPr>
  </w:style>
  <w:style w:type="character" w:customStyle="1" w:styleId="CommentSubjectChar">
    <w:name w:val="Comment Subject Char"/>
    <w:basedOn w:val="CommentTextChar"/>
    <w:link w:val="CommentSubject"/>
    <w:uiPriority w:val="99"/>
    <w:semiHidden/>
    <w:rsid w:val="003E33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3-06-06/pdf/2023-11917.pdf" TargetMode="External" /><Relationship Id="rId2"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Props1.xml><?xml version="1.0" encoding="utf-8"?>
<ds:datastoreItem xmlns:ds="http://schemas.openxmlformats.org/officeDocument/2006/customXml" ds:itemID="{E8417D19-5CE5-48C8-A9C4-3A14DCEB2F53}">
  <ds:schemaRefs>
    <ds:schemaRef ds:uri="http://schemas.openxmlformats.org/officeDocument/2006/bibliography"/>
  </ds:schemaRefs>
</ds:datastoreItem>
</file>

<file path=customXml/itemProps2.xml><?xml version="1.0" encoding="utf-8"?>
<ds:datastoreItem xmlns:ds="http://schemas.openxmlformats.org/officeDocument/2006/customXml" ds:itemID="{0D2F187C-F262-4D07-A56E-2DDB45016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C97E8-930F-44D1-86EE-9960702F90E1}">
  <ds:schemaRefs>
    <ds:schemaRef ds:uri="http://schemas.microsoft.com/sharepoint/v3/contenttype/forms"/>
  </ds:schemaRefs>
</ds:datastoreItem>
</file>

<file path=customXml/itemProps4.xml><?xml version="1.0" encoding="utf-8"?>
<ds:datastoreItem xmlns:ds="http://schemas.openxmlformats.org/officeDocument/2006/customXml" ds:itemID="{54F31EBF-131D-4CDB-BBFE-F7FA4F614FDE}">
  <ds:schemaRefs>
    <ds:schemaRef ds:uri="http://purl.org/dc/elements/1.1/"/>
    <ds:schemaRef ds:uri="http://schemas.microsoft.com/office/2006/metadata/propertie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ebb8c3bc-3ea9-4050-8e17-eb45cd7e46f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2024-11-20T19:07:00Z</dcterms:created>
  <dcterms:modified xsi:type="dcterms:W3CDTF">2024-11-20T19:07:00Z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