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7FC7" w:rsidRPr="00421694" w:rsidP="00421694" w14:paraId="3AAA3445" w14:textId="77777777">
      <w:pPr>
        <w:widowControl w:val="0"/>
        <w:jc w:val="center"/>
        <w:rPr>
          <w:rFonts w:ascii="Times New Roman" w:eastAsia="Times New Roman" w:hAnsi="Times New Roman" w:cs="Times New Roman"/>
          <w:b/>
        </w:rPr>
      </w:pPr>
      <w:r w:rsidRPr="00421694">
        <w:rPr>
          <w:rFonts w:ascii="Times New Roman" w:eastAsia="Times New Roman" w:hAnsi="Times New Roman" w:cs="Times New Roman"/>
          <w:b/>
        </w:rPr>
        <w:t>U.S. Food and Drug Administration</w:t>
      </w:r>
    </w:p>
    <w:p w:rsidR="00846644" w:rsidRPr="00421694" w:rsidP="00421694" w14:paraId="2EA4131C" w14:textId="77777777">
      <w:pPr>
        <w:widowControl w:val="0"/>
        <w:jc w:val="center"/>
        <w:rPr>
          <w:rFonts w:ascii="Times New Roman" w:eastAsia="Times New Roman" w:hAnsi="Times New Roman" w:cs="Times New Roman"/>
          <w:b/>
        </w:rPr>
      </w:pPr>
      <w:r w:rsidRPr="00421694">
        <w:rPr>
          <w:rFonts w:ascii="Times New Roman" w:eastAsia="Times New Roman" w:hAnsi="Times New Roman" w:cs="Times New Roman"/>
          <w:b/>
        </w:rPr>
        <w:t>Center for Tobacco Products</w:t>
      </w:r>
    </w:p>
    <w:p w:rsidR="00212443" w:rsidRPr="00212443" w:rsidP="00212443" w14:paraId="677DDD0E" w14:textId="77777777">
      <w:pPr>
        <w:jc w:val="center"/>
        <w:outlineLvl w:val="0"/>
        <w:rPr>
          <w:rFonts w:ascii="Times New Roman" w:eastAsia="Times New Roman" w:hAnsi="Times New Roman" w:cs="Times New Roman"/>
          <w:b/>
          <w:sz w:val="22"/>
          <w:szCs w:val="20"/>
        </w:rPr>
      </w:pPr>
      <w:r w:rsidRPr="00212443">
        <w:rPr>
          <w:rFonts w:ascii="Times New Roman" w:eastAsia="Times New Roman" w:hAnsi="Times New Roman" w:cs="Times New Roman"/>
          <w:b/>
          <w:sz w:val="22"/>
          <w:szCs w:val="20"/>
        </w:rPr>
        <w:t xml:space="preserve">The Real Cost Campaign Outcomes Evaluation Study: Cohort 3 (Outcomes Study) </w:t>
      </w:r>
    </w:p>
    <w:p w:rsidR="00750900" w:rsidRPr="00212443" w:rsidP="00212443" w14:paraId="629651A7" w14:textId="0127C332">
      <w:pPr>
        <w:jc w:val="center"/>
        <w:outlineLvl w:val="0"/>
        <w:rPr>
          <w:rFonts w:ascii="Times New Roman" w:eastAsia="Times New Roman" w:hAnsi="Times New Roman" w:cs="Times New Roman"/>
          <w:b/>
          <w:sz w:val="22"/>
          <w:szCs w:val="20"/>
        </w:rPr>
      </w:pPr>
      <w:r w:rsidRPr="00212443">
        <w:rPr>
          <w:rFonts w:ascii="Times New Roman" w:eastAsia="Times New Roman" w:hAnsi="Times New Roman" w:cs="Times New Roman"/>
          <w:b/>
          <w:sz w:val="22"/>
          <w:szCs w:val="20"/>
        </w:rPr>
        <w:t xml:space="preserve"> </w:t>
      </w:r>
      <w:r w:rsidR="002E35CB">
        <w:rPr>
          <w:rFonts w:ascii="Times New Roman" w:hAnsi="Times New Roman"/>
          <w:b/>
          <w:sz w:val="22"/>
        </w:rPr>
        <w:t xml:space="preserve">OMB Control No. </w:t>
      </w:r>
      <w:r>
        <w:rPr>
          <w:rFonts w:ascii="Times New Roman" w:hAnsi="Times New Roman"/>
          <w:b/>
          <w:sz w:val="22"/>
        </w:rPr>
        <w:t>0910-</w:t>
      </w:r>
      <w:r w:rsidRPr="000A1B3A" w:rsidR="000A1B3A">
        <w:rPr>
          <w:rFonts w:ascii="Times New Roman" w:hAnsi="Times New Roman"/>
          <w:b/>
          <w:sz w:val="22"/>
        </w:rPr>
        <w:t>0915</w:t>
      </w:r>
    </w:p>
    <w:p w:rsidR="00BE1FCB" w:rsidRPr="008265FC" w:rsidP="1BF77947" w14:paraId="3BC75F44" w14:textId="77777777">
      <w:pPr>
        <w:jc w:val="center"/>
        <w:rPr>
          <w:rFonts w:ascii="Times New Roman" w:eastAsia="Times New Roman" w:hAnsi="Times New Roman" w:cs="Times New Roman"/>
          <w:b/>
          <w:bCs/>
        </w:rPr>
      </w:pPr>
      <w:r w:rsidRPr="1BF77947">
        <w:rPr>
          <w:rFonts w:ascii="Times New Roman" w:eastAsia="Times New Roman" w:hAnsi="Times New Roman" w:cs="Times New Roman"/>
          <w:b/>
          <w:bCs/>
        </w:rPr>
        <w:t>Supporting Statement</w:t>
      </w:r>
      <w:r w:rsidR="00AC3193">
        <w:t xml:space="preserve"> </w:t>
      </w:r>
      <w:r w:rsidRPr="1BF77947" w:rsidR="00AC3193">
        <w:rPr>
          <w:rFonts w:ascii="Times New Roman" w:eastAsia="Times New Roman" w:hAnsi="Times New Roman" w:cs="Times New Roman"/>
          <w:b/>
          <w:bCs/>
        </w:rPr>
        <w:t>Part A</w:t>
      </w:r>
    </w:p>
    <w:p w:rsidR="00BE1FCB" w:rsidRPr="008265FC" w:rsidP="00BE1FCB" w14:paraId="6A9E873F" w14:textId="77777777">
      <w:pPr>
        <w:jc w:val="center"/>
        <w:rPr>
          <w:rFonts w:ascii="Times New Roman" w:eastAsia="Times New Roman" w:hAnsi="Times New Roman" w:cs="Times New Roman"/>
          <w:b/>
          <w:szCs w:val="24"/>
        </w:rPr>
      </w:pPr>
    </w:p>
    <w:p w:rsidR="00BE1FCB" w:rsidRPr="008265FC" w:rsidP="00BE1FCB" w14:paraId="5EB76A08" w14:textId="77777777">
      <w:pPr>
        <w:numPr>
          <w:ilvl w:val="12"/>
          <w:numId w:val="0"/>
        </w:numPr>
        <w:autoSpaceDE w:val="0"/>
        <w:autoSpaceDN w:val="0"/>
        <w:adjustRightInd w:val="0"/>
        <w:ind w:left="180"/>
        <w:outlineLvl w:val="1"/>
        <w:rPr>
          <w:rFonts w:ascii="Times New Roman" w:eastAsia="Times New Roman" w:hAnsi="Times New Roman" w:cs="Times New Roman"/>
          <w:b/>
          <w:bCs/>
          <w:szCs w:val="24"/>
        </w:rPr>
      </w:pPr>
      <w:bookmarkStart w:id="0" w:name="_Toc239649220"/>
      <w:r>
        <w:rPr>
          <w:rFonts w:ascii="Times New Roman" w:eastAsia="Times New Roman" w:hAnsi="Times New Roman" w:cs="Times New Roman"/>
          <w:b/>
          <w:bCs/>
          <w:szCs w:val="24"/>
        </w:rPr>
        <w:t xml:space="preserve">A. </w:t>
      </w:r>
      <w:r w:rsidRPr="008265FC">
        <w:rPr>
          <w:rFonts w:ascii="Times New Roman" w:eastAsia="Times New Roman" w:hAnsi="Times New Roman" w:cs="Times New Roman"/>
          <w:b/>
          <w:bCs/>
          <w:szCs w:val="24"/>
        </w:rPr>
        <w:t>JUSTIFICATION</w:t>
      </w:r>
      <w:bookmarkEnd w:id="0"/>
    </w:p>
    <w:p w:rsidR="00BE1FCB" w:rsidRPr="008265FC" w:rsidP="00BE1FCB" w14:paraId="3D6B8F32" w14:textId="77777777">
      <w:pPr>
        <w:numPr>
          <w:ilvl w:val="12"/>
          <w:numId w:val="0"/>
        </w:numPr>
        <w:autoSpaceDE w:val="0"/>
        <w:autoSpaceDN w:val="0"/>
        <w:adjustRightInd w:val="0"/>
        <w:ind w:left="180"/>
        <w:rPr>
          <w:rFonts w:ascii="Times New Roman" w:eastAsia="Times New Roman" w:hAnsi="Times New Roman" w:cs="Times New Roman"/>
          <w:b/>
          <w:bCs/>
          <w:szCs w:val="24"/>
        </w:rPr>
      </w:pPr>
    </w:p>
    <w:p w:rsidR="00BE1FCB" w:rsidRPr="008265FC" w:rsidP="00BE1FCB" w14:paraId="62614648" w14:textId="77777777">
      <w:pPr>
        <w:numPr>
          <w:ilvl w:val="12"/>
          <w:numId w:val="0"/>
        </w:numPr>
        <w:autoSpaceDE w:val="0"/>
        <w:autoSpaceDN w:val="0"/>
        <w:adjustRightInd w:val="0"/>
        <w:ind w:left="180"/>
        <w:outlineLvl w:val="2"/>
        <w:rPr>
          <w:rFonts w:ascii="Times New Roman" w:eastAsia="Times New Roman" w:hAnsi="Times New Roman" w:cs="Times New Roman"/>
          <w:b/>
          <w:bCs/>
          <w:szCs w:val="24"/>
          <w:u w:val="single"/>
        </w:rPr>
      </w:pPr>
      <w:bookmarkStart w:id="1" w:name="_Toc239649221"/>
      <w:r>
        <w:rPr>
          <w:rFonts w:ascii="Times New Roman" w:eastAsia="Times New Roman" w:hAnsi="Times New Roman" w:cs="Times New Roman"/>
          <w:b/>
          <w:bCs/>
          <w:szCs w:val="24"/>
        </w:rPr>
        <w:t>1.</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Circumstances Making the Collection of Information Necessary</w:t>
      </w:r>
      <w:bookmarkEnd w:id="1"/>
    </w:p>
    <w:p w:rsidR="00BE1FCB" w:rsidP="00BE1FCB" w14:paraId="48D21F2F" w14:textId="77777777">
      <w:pPr>
        <w:numPr>
          <w:ilvl w:val="12"/>
          <w:numId w:val="0"/>
        </w:numPr>
        <w:autoSpaceDE w:val="0"/>
        <w:autoSpaceDN w:val="0"/>
        <w:adjustRightInd w:val="0"/>
        <w:ind w:left="180"/>
        <w:rPr>
          <w:rFonts w:ascii="Times New Roman" w:eastAsia="Times New Roman" w:hAnsi="Times New Roman" w:cs="Times New Roman"/>
          <w:szCs w:val="24"/>
        </w:rPr>
      </w:pPr>
    </w:p>
    <w:p w:rsidR="00D068AE" w:rsidP="1BF77947" w14:paraId="40031E8C" w14:textId="218C6CFA">
      <w:pPr>
        <w:autoSpaceDE w:val="0"/>
        <w:autoSpaceDN w:val="0"/>
        <w:adjustRightInd w:val="0"/>
        <w:ind w:left="180"/>
        <w:rPr>
          <w:rFonts w:ascii="Times New Roman" w:eastAsia="Times New Roman" w:hAnsi="Times New Roman" w:cs="Times New Roman"/>
        </w:rPr>
      </w:pPr>
      <w:r w:rsidRPr="05206A22">
        <w:rPr>
          <w:rFonts w:ascii="Times New Roman" w:eastAsia="Times New Roman" w:hAnsi="Times New Roman" w:cs="Times New Roman"/>
        </w:rPr>
        <w:t>This information</w:t>
      </w:r>
      <w:r w:rsidRPr="05206A22" w:rsidR="00EF4C35">
        <w:rPr>
          <w:rFonts w:ascii="Times New Roman" w:eastAsia="Times New Roman" w:hAnsi="Times New Roman" w:cs="Times New Roman"/>
        </w:rPr>
        <w:t xml:space="preserve"> collection </w:t>
      </w:r>
      <w:r w:rsidRPr="05206A22" w:rsidR="00F90702">
        <w:rPr>
          <w:rFonts w:ascii="Times New Roman" w:eastAsia="Times New Roman" w:hAnsi="Times New Roman" w:cs="Times New Roman"/>
        </w:rPr>
        <w:t>support</w:t>
      </w:r>
      <w:r w:rsidRPr="05206A22" w:rsidR="00EF4C35">
        <w:rPr>
          <w:rFonts w:ascii="Times New Roman" w:eastAsia="Times New Roman" w:hAnsi="Times New Roman" w:cs="Times New Roman"/>
        </w:rPr>
        <w:t>s</w:t>
      </w:r>
      <w:r w:rsidRPr="05206A22" w:rsidR="00F90702">
        <w:rPr>
          <w:rFonts w:ascii="Times New Roman" w:eastAsia="Times New Roman" w:hAnsi="Times New Roman" w:cs="Times New Roman"/>
        </w:rPr>
        <w:t xml:space="preserve"> </w:t>
      </w:r>
      <w:r w:rsidRPr="05206A22" w:rsidR="00091895">
        <w:rPr>
          <w:rFonts w:ascii="Times New Roman" w:eastAsia="Times New Roman" w:hAnsi="Times New Roman" w:cs="Times New Roman"/>
        </w:rPr>
        <w:t>the U.S. Food and Drug Administration’s (</w:t>
      </w:r>
      <w:r w:rsidRPr="05206A22" w:rsidR="00F90702">
        <w:rPr>
          <w:rFonts w:ascii="Times New Roman" w:eastAsia="Times New Roman" w:hAnsi="Times New Roman" w:cs="Times New Roman"/>
        </w:rPr>
        <w:t>FDA</w:t>
      </w:r>
      <w:r w:rsidRPr="05206A22" w:rsidR="00091895">
        <w:rPr>
          <w:rFonts w:ascii="Times New Roman" w:eastAsia="Times New Roman" w:hAnsi="Times New Roman" w:cs="Times New Roman"/>
        </w:rPr>
        <w:t>)</w:t>
      </w:r>
      <w:r w:rsidRPr="05206A22" w:rsidR="00F90702">
        <w:rPr>
          <w:rFonts w:ascii="Times New Roman" w:eastAsia="Times New Roman" w:hAnsi="Times New Roman" w:cs="Times New Roman"/>
        </w:rPr>
        <w:t xml:space="preserve"> efforts to </w:t>
      </w:r>
      <w:r w:rsidRPr="05206A22" w:rsidR="007625AD">
        <w:rPr>
          <w:rFonts w:ascii="Times New Roman" w:eastAsia="Times New Roman" w:hAnsi="Times New Roman" w:cs="Times New Roman"/>
        </w:rPr>
        <w:t>assess</w:t>
      </w:r>
      <w:r w:rsidRPr="05206A22" w:rsidR="00F90702">
        <w:rPr>
          <w:rFonts w:ascii="Times New Roman" w:eastAsia="Times New Roman" w:hAnsi="Times New Roman" w:cs="Times New Roman"/>
        </w:rPr>
        <w:t xml:space="preserve"> campaign </w:t>
      </w:r>
      <w:r w:rsidRPr="05206A22" w:rsidR="007625AD">
        <w:rPr>
          <w:rFonts w:ascii="Times New Roman" w:eastAsia="Times New Roman" w:hAnsi="Times New Roman" w:cs="Times New Roman"/>
        </w:rPr>
        <w:t>effectiveness</w:t>
      </w:r>
      <w:r w:rsidRPr="05206A22" w:rsidR="00EF4C35">
        <w:rPr>
          <w:rFonts w:ascii="Times New Roman" w:eastAsia="Times New Roman" w:hAnsi="Times New Roman" w:cs="Times New Roman"/>
        </w:rPr>
        <w:t>.</w:t>
      </w:r>
      <w:r w:rsidRPr="05206A22" w:rsidR="00F90702">
        <w:rPr>
          <w:rFonts w:ascii="Times New Roman" w:eastAsia="Times New Roman" w:hAnsi="Times New Roman" w:cs="Times New Roman"/>
        </w:rPr>
        <w:t xml:space="preserve"> </w:t>
      </w:r>
      <w:r w:rsidRPr="05206A22" w:rsidR="00EF4C35">
        <w:rPr>
          <w:rFonts w:ascii="Times New Roman" w:eastAsia="Times New Roman" w:hAnsi="Times New Roman" w:cs="Times New Roman"/>
        </w:rPr>
        <w:t>T</w:t>
      </w:r>
      <w:r w:rsidRPr="05206A22" w:rsidR="00F90702">
        <w:rPr>
          <w:rFonts w:ascii="Times New Roman" w:eastAsia="Times New Roman" w:hAnsi="Times New Roman" w:cs="Times New Roman"/>
        </w:rPr>
        <w:t xml:space="preserve">he Center for Tobacco Products (CTP) </w:t>
      </w:r>
      <w:r w:rsidRPr="05206A22">
        <w:rPr>
          <w:rFonts w:ascii="Times New Roman" w:eastAsia="Times New Roman" w:hAnsi="Times New Roman" w:cs="Times New Roman"/>
        </w:rPr>
        <w:t>is conducting</w:t>
      </w:r>
      <w:r w:rsidRPr="05206A22" w:rsidR="00F90702">
        <w:rPr>
          <w:rFonts w:ascii="Times New Roman" w:eastAsia="Times New Roman" w:hAnsi="Times New Roman" w:cs="Times New Roman"/>
        </w:rPr>
        <w:t xml:space="preserve"> a quantitative study </w:t>
      </w:r>
      <w:r w:rsidRPr="05206A22" w:rsidR="000F011B">
        <w:rPr>
          <w:rFonts w:ascii="Times New Roman" w:eastAsia="Times New Roman" w:hAnsi="Times New Roman" w:cs="Times New Roman"/>
        </w:rPr>
        <w:t>of</w:t>
      </w:r>
      <w:r w:rsidRPr="05206A22" w:rsidR="00F90702">
        <w:rPr>
          <w:rFonts w:ascii="Times New Roman" w:eastAsia="Times New Roman" w:hAnsi="Times New Roman" w:cs="Times New Roman"/>
        </w:rPr>
        <w:t xml:space="preserve"> </w:t>
      </w:r>
      <w:r w:rsidRPr="05206A22" w:rsidR="000F011B">
        <w:rPr>
          <w:rFonts w:ascii="Times New Roman" w:eastAsia="Times New Roman" w:hAnsi="Times New Roman" w:cs="Times New Roman"/>
        </w:rPr>
        <w:t xml:space="preserve">the effects of </w:t>
      </w:r>
      <w:r w:rsidRPr="05206A22" w:rsidR="00F90702">
        <w:rPr>
          <w:rFonts w:ascii="Times New Roman" w:eastAsia="Times New Roman" w:hAnsi="Times New Roman" w:cs="Times New Roman"/>
        </w:rPr>
        <w:t xml:space="preserve">FDA’s </w:t>
      </w:r>
      <w:r w:rsidRPr="05206A22" w:rsidR="001721E9">
        <w:rPr>
          <w:rFonts w:ascii="Times New Roman" w:eastAsia="Times New Roman" w:hAnsi="Times New Roman" w:cs="Times New Roman"/>
        </w:rPr>
        <w:t>The Real Cost campaign</w:t>
      </w:r>
      <w:r w:rsidRPr="05206A22" w:rsidR="000F011B">
        <w:rPr>
          <w:rFonts w:ascii="Times New Roman" w:eastAsia="Times New Roman" w:hAnsi="Times New Roman" w:cs="Times New Roman"/>
        </w:rPr>
        <w:t xml:space="preserve"> on youth in the U.S.</w:t>
      </w:r>
      <w:r w:rsidRPr="05206A22" w:rsidR="001721E9">
        <w:rPr>
          <w:rFonts w:ascii="Times New Roman" w:eastAsia="Times New Roman" w:hAnsi="Times New Roman" w:cs="Times New Roman"/>
        </w:rPr>
        <w:t xml:space="preserve"> </w:t>
      </w:r>
      <w:r w:rsidRPr="05206A22" w:rsidR="00EC7A02">
        <w:rPr>
          <w:rFonts w:ascii="Times New Roman" w:eastAsia="Times New Roman" w:hAnsi="Times New Roman" w:cs="Times New Roman"/>
        </w:rPr>
        <w:t>In 2019, 27.5% of high school students reported vaping and 31.2 % reported use of any tobacco product in the past 30 days (Wang et al., 2019).</w:t>
      </w:r>
      <w:r w:rsidRPr="05206A22" w:rsidR="008A0B4E">
        <w:rPr>
          <w:rFonts w:ascii="Times New Roman" w:eastAsia="Times New Roman" w:hAnsi="Times New Roman" w:cs="Times New Roman"/>
        </w:rPr>
        <w:t xml:space="preserve"> From 2017 to 2018, reported prevalence of current and daily vaping among young adults ages 18 – 24 years increased by 46.2% (</w:t>
      </w:r>
      <w:r w:rsidRPr="05206A22" w:rsidR="00C8741F">
        <w:rPr>
          <w:rFonts w:ascii="Times New Roman" w:eastAsia="Times New Roman" w:hAnsi="Times New Roman" w:cs="Times New Roman"/>
        </w:rPr>
        <w:t>Dai</w:t>
      </w:r>
      <w:r w:rsidRPr="05206A22" w:rsidR="008A0B4E">
        <w:rPr>
          <w:rFonts w:ascii="Times New Roman" w:eastAsia="Times New Roman" w:hAnsi="Times New Roman" w:cs="Times New Roman"/>
        </w:rPr>
        <w:t xml:space="preserve"> </w:t>
      </w:r>
      <w:r w:rsidRPr="05206A22" w:rsidR="00C8741F">
        <w:rPr>
          <w:rFonts w:ascii="Times New Roman" w:eastAsia="Times New Roman" w:hAnsi="Times New Roman" w:cs="Times New Roman"/>
        </w:rPr>
        <w:t>&amp;</w:t>
      </w:r>
      <w:r w:rsidRPr="05206A22" w:rsidR="008A0B4E">
        <w:rPr>
          <w:rFonts w:ascii="Times New Roman" w:eastAsia="Times New Roman" w:hAnsi="Times New Roman" w:cs="Times New Roman"/>
        </w:rPr>
        <w:t xml:space="preserve"> Leventhal, 2019)</w:t>
      </w:r>
      <w:r w:rsidRPr="05206A22" w:rsidR="00C8741F">
        <w:rPr>
          <w:rFonts w:ascii="Times New Roman" w:eastAsia="Times New Roman" w:hAnsi="Times New Roman" w:cs="Times New Roman"/>
        </w:rPr>
        <w:t xml:space="preserve"> and 38% of young adults were current users of a tobacco product in 2013 and 2014 (</w:t>
      </w:r>
      <w:r w:rsidRPr="05206A22" w:rsidR="00C8741F">
        <w:rPr>
          <w:rFonts w:ascii="Times New Roman" w:eastAsia="Times New Roman" w:hAnsi="Times New Roman" w:cs="Times New Roman"/>
        </w:rPr>
        <w:t>Kasza</w:t>
      </w:r>
      <w:r w:rsidRPr="05206A22" w:rsidR="00C8741F">
        <w:rPr>
          <w:rFonts w:ascii="Times New Roman" w:eastAsia="Times New Roman" w:hAnsi="Times New Roman" w:cs="Times New Roman"/>
        </w:rPr>
        <w:t xml:space="preserve"> et al., 2017)</w:t>
      </w:r>
      <w:r w:rsidRPr="05206A22" w:rsidR="008A0B4E">
        <w:rPr>
          <w:rFonts w:ascii="Times New Roman" w:eastAsia="Times New Roman" w:hAnsi="Times New Roman" w:cs="Times New Roman"/>
        </w:rPr>
        <w:t>.</w:t>
      </w:r>
      <w:r w:rsidRPr="05206A22" w:rsidR="00EC7A02">
        <w:rPr>
          <w:rFonts w:ascii="Times New Roman" w:eastAsia="Times New Roman" w:hAnsi="Times New Roman" w:cs="Times New Roman"/>
        </w:rPr>
        <w:t xml:space="preserve"> </w:t>
      </w:r>
      <w:r w:rsidRPr="05206A22" w:rsidR="00EF4C35">
        <w:rPr>
          <w:rFonts w:ascii="Times New Roman" w:eastAsia="Times New Roman" w:hAnsi="Times New Roman" w:cs="Times New Roman"/>
        </w:rPr>
        <w:t>As a way to</w:t>
      </w:r>
      <w:r w:rsidRPr="05206A22" w:rsidR="00EF4C35">
        <w:rPr>
          <w:rFonts w:ascii="Times New Roman" w:eastAsia="Times New Roman" w:hAnsi="Times New Roman" w:cs="Times New Roman"/>
        </w:rPr>
        <w:t xml:space="preserve"> reduce the enormous public health burden of tobacco</w:t>
      </w:r>
      <w:r w:rsidRPr="05206A22" w:rsidR="00C21349">
        <w:rPr>
          <w:rFonts w:ascii="Times New Roman" w:eastAsia="Times New Roman" w:hAnsi="Times New Roman" w:cs="Times New Roman"/>
        </w:rPr>
        <w:t xml:space="preserve"> use</w:t>
      </w:r>
      <w:r w:rsidRPr="05206A22" w:rsidR="00EF4C35">
        <w:rPr>
          <w:rFonts w:ascii="Times New Roman" w:eastAsia="Times New Roman" w:hAnsi="Times New Roman" w:cs="Times New Roman"/>
        </w:rPr>
        <w:t>, the Family Smoking Prevention and Tobacco Control Act has given the FDA the authority to take action to protect children, encourage smokers to quit, and reduce tobacco-related disease and death. The law also enables FDA to educate the public, especially young people, about the dangers of tobacco products. Research shows that public education mass media campaigns can be used to change attitudes and beliefs about tobacco use and reduce smoking prevalence</w:t>
      </w:r>
      <w:r w:rsidRPr="05206A22" w:rsidR="00921475">
        <w:rPr>
          <w:rFonts w:ascii="Times New Roman" w:eastAsia="Times New Roman" w:hAnsi="Times New Roman" w:cs="Times New Roman"/>
        </w:rPr>
        <w:t xml:space="preserve"> which is supported by the</w:t>
      </w:r>
      <w:r w:rsidRPr="05206A22" w:rsidR="00EF4C35">
        <w:rPr>
          <w:rFonts w:ascii="Times New Roman" w:eastAsia="Times New Roman" w:hAnsi="Times New Roman" w:cs="Times New Roman"/>
        </w:rPr>
        <w:t xml:space="preserve"> Centers for Disease Control and Prevention (CDC) </w:t>
      </w:r>
      <w:r w:rsidRPr="05206A22" w:rsidR="00921475">
        <w:rPr>
          <w:rFonts w:ascii="Times New Roman" w:eastAsia="Times New Roman" w:hAnsi="Times New Roman" w:cs="Times New Roman"/>
        </w:rPr>
        <w:t xml:space="preserve">who </w:t>
      </w:r>
      <w:r w:rsidRPr="05206A22" w:rsidR="00EF4C35">
        <w:rPr>
          <w:rFonts w:ascii="Times New Roman" w:eastAsia="Times New Roman" w:hAnsi="Times New Roman" w:cs="Times New Roman"/>
        </w:rPr>
        <w:t>considers mass media campaigns to be a “best practice” for tobacco control.</w:t>
      </w:r>
    </w:p>
    <w:p w:rsidR="00E15B2D" w:rsidP="00E15B2D" w14:paraId="52B7BDD8" w14:textId="77777777">
      <w:pPr>
        <w:pStyle w:val="paragraph"/>
        <w:spacing w:before="0" w:beforeAutospacing="0" w:after="0" w:afterAutospacing="0"/>
        <w:textAlignment w:val="baseline"/>
        <w:rPr>
          <w:rStyle w:val="normaltextrun"/>
        </w:rPr>
      </w:pPr>
    </w:p>
    <w:p w:rsidR="00922F43" w:rsidP="1BF77947" w14:paraId="6DFAF144" w14:textId="69FFF1B6">
      <w:pPr>
        <w:pStyle w:val="paragraph"/>
        <w:spacing w:before="0" w:beforeAutospacing="0" w:after="0" w:afterAutospacing="0"/>
        <w:ind w:left="180"/>
        <w:textAlignment w:val="baseline"/>
        <w:rPr>
          <w:rStyle w:val="eop"/>
        </w:rPr>
      </w:pPr>
      <w:r w:rsidRPr="1BF77947">
        <w:rPr>
          <w:rStyle w:val="normaltextrun"/>
        </w:rPr>
        <w:t>FDA launched “The Real Cost” in February 2014, seeking to reduce tobacco use among at-risk youth ages 12–17 in the United States who are open to smoking cigarettes and/or using electronic nicotine delivery systems (ENDS) products, or have already experimented with cigarettes and/or ENDS products. Complementary evaluation studies, including the "Evaluation of FDA’s Public Education Campaign on Teen Tobacco (</w:t>
      </w:r>
      <w:r w:rsidRPr="1BF77947">
        <w:rPr>
          <w:rStyle w:val="normaltextrun"/>
        </w:rPr>
        <w:t>ExPECTT</w:t>
      </w:r>
      <w:r w:rsidRPr="1BF77947">
        <w:rPr>
          <w:rStyle w:val="normaltextrun"/>
        </w:rPr>
        <w:t>)," were designed and implemented to measure awareness of and exposure to “The Real Cost” paid media campaign among youth ages 12–17 in targeted areas of the United States. The first cohort (</w:t>
      </w:r>
      <w:r w:rsidRPr="1BF77947">
        <w:rPr>
          <w:rStyle w:val="normaltextrun"/>
        </w:rPr>
        <w:t>ExPECTT</w:t>
      </w:r>
      <w:r w:rsidRPr="1BF77947">
        <w:rPr>
          <w:rStyle w:val="normaltextrun"/>
        </w:rPr>
        <w:t>: Cohort 1) assessed the campaign’s impact on outcome variables of interest from November 2013 – November 2016. The second cohort (</w:t>
      </w:r>
      <w:r w:rsidRPr="1BF77947">
        <w:rPr>
          <w:rStyle w:val="normaltextrun"/>
        </w:rPr>
        <w:t>ExPECTT</w:t>
      </w:r>
      <w:r w:rsidRPr="1BF77947">
        <w:rPr>
          <w:rStyle w:val="normaltextrun"/>
        </w:rPr>
        <w:t xml:space="preserve">: Cohort 2) has been assessing the campaign’s impact on outcome variables of interest from June 2018 and will run through </w:t>
      </w:r>
      <w:r w:rsidRPr="1BF77947" w:rsidR="00807DFF">
        <w:rPr>
          <w:rStyle w:val="normaltextrun"/>
        </w:rPr>
        <w:t xml:space="preserve">September </w:t>
      </w:r>
      <w:r w:rsidRPr="1BF77947">
        <w:rPr>
          <w:rStyle w:val="normaltextrun"/>
        </w:rPr>
        <w:t xml:space="preserve">2022. To continue assessing the impact of “The Real Cost” campaign, FDA will implement The Real Cost Campaign Outcomes Evaluation Study: Cohort 3. The </w:t>
      </w:r>
      <w:r w:rsidRPr="1BF77947" w:rsidR="00861CCD">
        <w:rPr>
          <w:rStyle w:val="normaltextrun"/>
        </w:rPr>
        <w:t xml:space="preserve">main </w:t>
      </w:r>
      <w:r w:rsidRPr="1BF77947">
        <w:rPr>
          <w:rStyle w:val="normaltextrun"/>
        </w:rPr>
        <w:t xml:space="preserve">study will consist of </w:t>
      </w:r>
      <w:r w:rsidRPr="1BF77947" w:rsidR="16C32EA2">
        <w:rPr>
          <w:rStyle w:val="normaltextrun"/>
        </w:rPr>
        <w:t>a</w:t>
      </w:r>
      <w:r w:rsidRPr="1BF77947">
        <w:rPr>
          <w:rStyle w:val="normaltextrun"/>
        </w:rPr>
        <w:t xml:space="preserve"> baseline survey and </w:t>
      </w:r>
      <w:r w:rsidR="00441830">
        <w:rPr>
          <w:rStyle w:val="normaltextrun"/>
        </w:rPr>
        <w:t>five</w:t>
      </w:r>
      <w:r w:rsidRPr="1BF77947" w:rsidR="00441830">
        <w:rPr>
          <w:rStyle w:val="normaltextrun"/>
        </w:rPr>
        <w:t xml:space="preserve"> </w:t>
      </w:r>
      <w:r w:rsidRPr="1BF77947">
        <w:rPr>
          <w:rStyle w:val="normaltextrun"/>
        </w:rPr>
        <w:t xml:space="preserve">follow-up </w:t>
      </w:r>
      <w:r w:rsidR="00AA61E5">
        <w:rPr>
          <w:rStyle w:val="normaltextrun"/>
        </w:rPr>
        <w:t xml:space="preserve">(FU) </w:t>
      </w:r>
      <w:r w:rsidRPr="1BF77947">
        <w:rPr>
          <w:rStyle w:val="normaltextrun"/>
        </w:rPr>
        <w:t>surveys</w:t>
      </w:r>
      <w:r w:rsidR="00AA61E5">
        <w:rPr>
          <w:rStyle w:val="normaltextrun"/>
        </w:rPr>
        <w:t xml:space="preserve"> – FU1, FU2, FU3, FU4, and FU5</w:t>
      </w:r>
      <w:r w:rsidRPr="1BF77947">
        <w:rPr>
          <w:rStyle w:val="normaltextrun"/>
        </w:rPr>
        <w:t xml:space="preserve">. </w:t>
      </w:r>
      <w:r w:rsidRPr="1BF77947" w:rsidR="0AAD6CFE">
        <w:rPr>
          <w:rStyle w:val="normaltextrun"/>
        </w:rPr>
        <w:t xml:space="preserve">Baseline surveys will be </w:t>
      </w:r>
      <w:r w:rsidRPr="1BF77947" w:rsidR="00840107">
        <w:rPr>
          <w:rStyle w:val="normaltextrun"/>
        </w:rPr>
        <w:t>administered to</w:t>
      </w:r>
      <w:r w:rsidRPr="1BF77947" w:rsidR="0AAD6CFE">
        <w:rPr>
          <w:rStyle w:val="normaltextrun"/>
        </w:rPr>
        <w:t xml:space="preserve"> youth ages 11-</w:t>
      </w:r>
      <w:r w:rsidRPr="1BF77947" w:rsidR="5805E42E">
        <w:rPr>
          <w:rStyle w:val="normaltextrun"/>
        </w:rPr>
        <w:t>20</w:t>
      </w:r>
      <w:r w:rsidRPr="1BF77947" w:rsidR="0AAD6CFE">
        <w:rPr>
          <w:rStyle w:val="normaltextrun"/>
        </w:rPr>
        <w:t xml:space="preserve">. </w:t>
      </w:r>
      <w:r w:rsidRPr="1BF77947" w:rsidR="2EBF3454">
        <w:rPr>
          <w:rStyle w:val="normaltextrun"/>
        </w:rPr>
        <w:t xml:space="preserve"> Surveys of youth will be conducted in the United States to measure the effectiveness of FDA’s “The Real Cost” campaign.</w:t>
      </w:r>
      <w:r w:rsidRPr="1BF77947" w:rsidR="00D43BF3">
        <w:rPr>
          <w:rStyle w:val="normaltextrun"/>
        </w:rPr>
        <w:t xml:space="preserve"> </w:t>
      </w:r>
      <w:r w:rsidRPr="1BF77947">
        <w:rPr>
          <w:rStyle w:val="eop"/>
        </w:rPr>
        <w:t>In addition to the main data collection for the Outcomes Study, we intend to supplement the data collection</w:t>
      </w:r>
      <w:r w:rsidRPr="1BF77947" w:rsidR="00C80B7C">
        <w:rPr>
          <w:rStyle w:val="eop"/>
        </w:rPr>
        <w:t xml:space="preserve"> </w:t>
      </w:r>
      <w:r w:rsidRPr="1BF77947" w:rsidR="00D576CE">
        <w:rPr>
          <w:rStyle w:val="eop"/>
        </w:rPr>
        <w:t>with a convenience sample of you</w:t>
      </w:r>
      <w:r w:rsidRPr="1BF77947" w:rsidR="0078110D">
        <w:rPr>
          <w:rStyle w:val="eop"/>
        </w:rPr>
        <w:t>th</w:t>
      </w:r>
      <w:r w:rsidRPr="1BF77947" w:rsidR="003466E5">
        <w:rPr>
          <w:rStyle w:val="eop"/>
        </w:rPr>
        <w:t xml:space="preserve"> ages 14</w:t>
      </w:r>
      <w:r w:rsidRPr="1BF77947" w:rsidR="00680C4B">
        <w:rPr>
          <w:rStyle w:val="eop"/>
        </w:rPr>
        <w:t>-20 who identify as LGBTQ+ or</w:t>
      </w:r>
      <w:r w:rsidRPr="1BF77947" w:rsidR="00B41ECB">
        <w:rPr>
          <w:rStyle w:val="eop"/>
        </w:rPr>
        <w:t xml:space="preserve"> who have a </w:t>
      </w:r>
      <w:r w:rsidRPr="1BF77947" w:rsidR="00C36A42">
        <w:rPr>
          <w:rStyle w:val="eop"/>
        </w:rPr>
        <w:t>mental</w:t>
      </w:r>
      <w:r w:rsidR="004D752C">
        <w:rPr>
          <w:rStyle w:val="eop"/>
        </w:rPr>
        <w:t xml:space="preserve"> </w:t>
      </w:r>
      <w:r w:rsidRPr="1BF77947" w:rsidR="00C36A42">
        <w:rPr>
          <w:rStyle w:val="eop"/>
        </w:rPr>
        <w:t>health disorder</w:t>
      </w:r>
      <w:r w:rsidRPr="1BF77947" w:rsidR="00090F25">
        <w:rPr>
          <w:rStyle w:val="eop"/>
        </w:rPr>
        <w:t xml:space="preserve"> </w:t>
      </w:r>
      <w:r w:rsidRPr="1BF77947" w:rsidR="00C80B7C">
        <w:rPr>
          <w:rStyle w:val="eop"/>
        </w:rPr>
        <w:t>utilizing social media recruitment.</w:t>
      </w:r>
      <w:r w:rsidRPr="1BF77947" w:rsidR="00831624">
        <w:rPr>
          <w:rStyle w:val="eop"/>
        </w:rPr>
        <w:t xml:space="preserve"> These subpo</w:t>
      </w:r>
      <w:r w:rsidRPr="1BF77947" w:rsidR="009B7EE1">
        <w:rPr>
          <w:rStyle w:val="eop"/>
        </w:rPr>
        <w:t xml:space="preserve">pulations </w:t>
      </w:r>
      <w:r w:rsidRPr="1BF77947" w:rsidR="004E7696">
        <w:rPr>
          <w:rStyle w:val="eop"/>
        </w:rPr>
        <w:t>have been shown to be at higher risk of initiating use of cigare</w:t>
      </w:r>
      <w:r w:rsidRPr="1BF77947" w:rsidR="00EA49AA">
        <w:rPr>
          <w:rStyle w:val="eop"/>
        </w:rPr>
        <w:t>ttes and ENDS</w:t>
      </w:r>
      <w:r w:rsidRPr="1BF77947" w:rsidR="00881F12">
        <w:rPr>
          <w:rStyle w:val="eop"/>
        </w:rPr>
        <w:t xml:space="preserve"> products. </w:t>
      </w:r>
      <w:r w:rsidRPr="1BF77947" w:rsidR="008237B7">
        <w:rPr>
          <w:rStyle w:val="eop"/>
        </w:rPr>
        <w:t xml:space="preserve"> </w:t>
      </w:r>
    </w:p>
    <w:p w:rsidR="00761FF9" w:rsidP="0036278E" w14:paraId="4F06A9D3" w14:textId="77777777">
      <w:pPr>
        <w:pStyle w:val="paragraph"/>
        <w:spacing w:before="0" w:beforeAutospacing="0" w:after="0" w:afterAutospacing="0"/>
        <w:textAlignment w:val="baseline"/>
        <w:rPr>
          <w:rStyle w:val="eop"/>
        </w:rPr>
      </w:pPr>
      <w:r w:rsidRPr="1BF77947">
        <w:rPr>
          <w:rStyle w:val="normaltextrun"/>
        </w:rPr>
        <w:t xml:space="preserve">The purpose of FDA’s The Real Cost Campaign Outcomes Evaluation Study: Cohort 3 is to </w:t>
      </w:r>
      <w:r w:rsidRPr="1BF77947" w:rsidR="4813B91F">
        <w:rPr>
          <w:rStyle w:val="normaltextrun"/>
        </w:rPr>
        <w:t>evaluate whether</w:t>
      </w:r>
      <w:r w:rsidRPr="1BF77947">
        <w:rPr>
          <w:rStyle w:val="normaltextrun"/>
        </w:rPr>
        <w:t xml:space="preserve"> changes in key outcomes can be attributed to campaign</w:t>
      </w:r>
      <w:r w:rsidRPr="1BF77947" w:rsidR="00082CC6">
        <w:rPr>
          <w:rStyle w:val="normaltextrun"/>
        </w:rPr>
        <w:t xml:space="preserve"> exposure</w:t>
      </w:r>
      <w:r w:rsidRPr="1BF77947">
        <w:rPr>
          <w:rStyle w:val="normaltextrun"/>
        </w:rPr>
        <w:t xml:space="preserve">. </w:t>
      </w:r>
      <w:r w:rsidRPr="1BF77947" w:rsidR="71070CA2">
        <w:rPr>
          <w:rStyle w:val="normaltextrun"/>
        </w:rPr>
        <w:t>W</w:t>
      </w:r>
      <w:r w:rsidRPr="1BF77947">
        <w:rPr>
          <w:rStyle w:val="normaltextrun"/>
        </w:rPr>
        <w:t>e intend to measure self-reported campaign exposure to media advertising</w:t>
      </w:r>
      <w:r w:rsidR="00CF5AB9">
        <w:t>, which among many things, will enable FDA to assess its relationship with market-level delivery.</w:t>
      </w:r>
    </w:p>
    <w:p w:rsidR="00761FF9" w:rsidP="00E15B2D" w14:paraId="4DADE1B0" w14:textId="77777777">
      <w:pPr>
        <w:pStyle w:val="paragraph"/>
        <w:spacing w:before="0" w:beforeAutospacing="0" w:after="0" w:afterAutospacing="0"/>
        <w:textAlignment w:val="baseline"/>
      </w:pPr>
    </w:p>
    <w:p w:rsidR="0086777A" w:rsidP="001A791A" w14:paraId="22B7F535" w14:textId="153270D5">
      <w:pPr>
        <w:pStyle w:val="paragraph"/>
        <w:spacing w:before="0" w:beforeAutospacing="0" w:after="0" w:afterAutospacing="0"/>
        <w:textAlignment w:val="baseline"/>
        <w:rPr>
          <w:rStyle w:val="eop"/>
        </w:rPr>
      </w:pPr>
      <w:r>
        <w:t xml:space="preserve">The study will be conducted using web-based surveys that are self-administered on personal computers or web enabled mobile devices. </w:t>
      </w:r>
      <w:r w:rsidR="003620C0">
        <w:t>We will survey 6</w:t>
      </w:r>
      <w:r w:rsidR="6246EA18">
        <w:t>,</w:t>
      </w:r>
      <w:r w:rsidR="003620C0">
        <w:t xml:space="preserve">000 youth </w:t>
      </w:r>
      <w:r w:rsidR="50B00DC6">
        <w:t xml:space="preserve">at </w:t>
      </w:r>
      <w:r w:rsidR="003620C0">
        <w:t xml:space="preserve">baseline and maintain </w:t>
      </w:r>
      <w:r w:rsidR="006D1751">
        <w:t xml:space="preserve">five </w:t>
      </w:r>
      <w:r w:rsidR="003620C0">
        <w:t xml:space="preserve">follow-up </w:t>
      </w:r>
      <w:r w:rsidR="26B63238">
        <w:t xml:space="preserve">waves with </w:t>
      </w:r>
      <w:r w:rsidR="003620C0">
        <w:t>sample</w:t>
      </w:r>
      <w:r w:rsidR="00CC5EC7">
        <w:t xml:space="preserve"> sizes</w:t>
      </w:r>
      <w:r w:rsidR="003620C0">
        <w:t xml:space="preserve"> of</w:t>
      </w:r>
      <w:r w:rsidR="00CC5EC7">
        <w:t xml:space="preserve"> at least </w:t>
      </w:r>
      <w:r w:rsidR="003620C0">
        <w:t>4,800 respondents</w:t>
      </w:r>
      <w:r w:rsidR="2AB9F2B9">
        <w:t>.</w:t>
      </w:r>
      <w:r w:rsidR="1A7B9398">
        <w:t xml:space="preserve"> </w:t>
      </w:r>
      <w:r w:rsidRPr="1BF77947" w:rsidR="000456A6">
        <w:rPr>
          <w:rStyle w:val="eop"/>
        </w:rPr>
        <w:t xml:space="preserve">The survey will take approximately </w:t>
      </w:r>
      <w:r w:rsidRPr="1BF77947" w:rsidR="00EB55CB">
        <w:rPr>
          <w:rStyle w:val="eop"/>
        </w:rPr>
        <w:t>3</w:t>
      </w:r>
      <w:r w:rsidRPr="1BF77947" w:rsidR="000456A6">
        <w:rPr>
          <w:rStyle w:val="eop"/>
        </w:rPr>
        <w:t xml:space="preserve">0 minutes to complete per participant. This survey will </w:t>
      </w:r>
      <w:r w:rsidRPr="1BF77947" w:rsidR="00CC5EC7">
        <w:rPr>
          <w:rStyle w:val="eop"/>
        </w:rPr>
        <w:t>include questions on youth’s</w:t>
      </w:r>
      <w:r w:rsidRPr="1BF77947" w:rsidR="000456A6">
        <w:rPr>
          <w:rStyle w:val="eop"/>
        </w:rPr>
        <w:t xml:space="preserve"> awareness of campaign </w:t>
      </w:r>
      <w:r w:rsidRPr="1BF77947" w:rsidR="0005277F">
        <w:rPr>
          <w:rStyle w:val="eop"/>
        </w:rPr>
        <w:t xml:space="preserve">advertisements, tobacco-related </w:t>
      </w:r>
      <w:r w:rsidRPr="1BF77947" w:rsidR="000456A6">
        <w:rPr>
          <w:rStyle w:val="eop"/>
        </w:rPr>
        <w:t>beliefs</w:t>
      </w:r>
      <w:r w:rsidRPr="1BF77947" w:rsidR="0005277F">
        <w:rPr>
          <w:rStyle w:val="eop"/>
        </w:rPr>
        <w:t xml:space="preserve">, and </w:t>
      </w:r>
      <w:r w:rsidRPr="1BF77947" w:rsidR="00A66C3E">
        <w:rPr>
          <w:rStyle w:val="eop"/>
        </w:rPr>
        <w:t xml:space="preserve">psychosocial predictors and precursors to tobacco-use behavior.  </w:t>
      </w:r>
      <w:r w:rsidRPr="1BF77947" w:rsidR="00364036">
        <w:rPr>
          <w:rStyle w:val="eop"/>
        </w:rPr>
        <w:t>For the supplement</w:t>
      </w:r>
      <w:r w:rsidR="00245491">
        <w:rPr>
          <w:rStyle w:val="eop"/>
        </w:rPr>
        <w:t xml:space="preserve">al </w:t>
      </w:r>
      <w:r w:rsidRPr="1BF77947" w:rsidR="00364036">
        <w:rPr>
          <w:rStyle w:val="eop"/>
        </w:rPr>
        <w:t xml:space="preserve">data collection, </w:t>
      </w:r>
      <w:r w:rsidRPr="1BF77947" w:rsidR="006E3AE8">
        <w:rPr>
          <w:rStyle w:val="eop"/>
        </w:rPr>
        <w:t xml:space="preserve">RTI will administer the online surveys with </w:t>
      </w:r>
      <w:r w:rsidRPr="1BF77947" w:rsidR="00677B08">
        <w:rPr>
          <w:rStyle w:val="eop"/>
        </w:rPr>
        <w:t xml:space="preserve">1,500 participants in </w:t>
      </w:r>
      <w:r w:rsidRPr="1BF77947" w:rsidR="006E3AE8">
        <w:rPr>
          <w:rStyle w:val="eop"/>
        </w:rPr>
        <w:t>subpopulations shown to be at higher risk of initiating use of cigarettes and electronic nicotine delivery systems (ENDS) products, such as youth who identify as LGBTQ+</w:t>
      </w:r>
      <w:r w:rsidR="001A7E31">
        <w:rPr>
          <w:rStyle w:val="eop"/>
        </w:rPr>
        <w:t>,</w:t>
      </w:r>
      <w:r w:rsidRPr="1BF77947" w:rsidR="006E3AE8">
        <w:rPr>
          <w:rStyle w:val="eop"/>
        </w:rPr>
        <w:t xml:space="preserve"> and youth who have a mental health disorder recruited through social media (e.g., Facebook, Instagram). </w:t>
      </w:r>
      <w:r w:rsidRPr="1BF77947" w:rsidR="00050BA3">
        <w:rPr>
          <w:rStyle w:val="eop"/>
        </w:rPr>
        <w:t xml:space="preserve">All respondents who complete the supplemental baseline survey will be invited to participate in each of the follow-up surveys, which will occur approximately every </w:t>
      </w:r>
      <w:r w:rsidRPr="1BF77947" w:rsidR="46E8AA1D">
        <w:rPr>
          <w:rStyle w:val="eop"/>
        </w:rPr>
        <w:t>six months</w:t>
      </w:r>
      <w:r w:rsidRPr="1BF77947" w:rsidR="00050BA3">
        <w:rPr>
          <w:rStyle w:val="eop"/>
        </w:rPr>
        <w:t xml:space="preserve">, in conjunction with the main survey, over a </w:t>
      </w:r>
      <w:r w:rsidR="00AD72CA">
        <w:rPr>
          <w:rStyle w:val="eop"/>
        </w:rPr>
        <w:t>five</w:t>
      </w:r>
      <w:r w:rsidRPr="1BF77947" w:rsidR="00050BA3">
        <w:rPr>
          <w:rStyle w:val="eop"/>
        </w:rPr>
        <w:t xml:space="preserve">-year period. </w:t>
      </w:r>
      <w:r w:rsidRPr="1BF77947" w:rsidR="006E3AE8">
        <w:rPr>
          <w:rStyle w:val="eop"/>
        </w:rPr>
        <w:t xml:space="preserve"> </w:t>
      </w:r>
    </w:p>
    <w:p w:rsidR="00626A6A" w:rsidP="00626A6A" w14:paraId="0646A4AF" w14:textId="77777777">
      <w:pPr>
        <w:pStyle w:val="paragraph"/>
        <w:spacing w:before="0" w:beforeAutospacing="0" w:after="0" w:afterAutospacing="0"/>
        <w:textAlignment w:val="baseline"/>
        <w:rPr>
          <w:rStyle w:val="normaltextrun"/>
        </w:rPr>
      </w:pPr>
    </w:p>
    <w:p w:rsidR="00BE1FCB" w:rsidRPr="008265FC" w:rsidP="001A791A" w14:paraId="5F288A6A" w14:textId="77777777">
      <w:pPr>
        <w:numPr>
          <w:ilvl w:val="12"/>
          <w:numId w:val="0"/>
        </w:numPr>
        <w:autoSpaceDE w:val="0"/>
        <w:autoSpaceDN w:val="0"/>
        <w:adjustRightInd w:val="0"/>
        <w:outlineLvl w:val="2"/>
        <w:rPr>
          <w:rFonts w:ascii="Times New Roman" w:eastAsia="Times New Roman" w:hAnsi="Times New Roman" w:cs="Times New Roman"/>
          <w:b/>
          <w:bCs/>
          <w:szCs w:val="24"/>
          <w:u w:val="single"/>
        </w:rPr>
      </w:pPr>
      <w:bookmarkStart w:id="2" w:name="_Toc239649222"/>
      <w:r>
        <w:rPr>
          <w:rFonts w:ascii="Times New Roman" w:eastAsia="Times New Roman" w:hAnsi="Times New Roman" w:cs="Times New Roman"/>
          <w:b/>
          <w:bCs/>
          <w:szCs w:val="24"/>
        </w:rPr>
        <w:t xml:space="preserve">2. </w:t>
      </w:r>
      <w:r w:rsidRPr="008265FC">
        <w:rPr>
          <w:rFonts w:ascii="Times New Roman" w:eastAsia="Times New Roman" w:hAnsi="Times New Roman" w:cs="Times New Roman"/>
          <w:b/>
          <w:bCs/>
          <w:szCs w:val="24"/>
          <w:u w:val="single"/>
        </w:rPr>
        <w:t>Purpose and Use of the Information</w:t>
      </w:r>
      <w:bookmarkEnd w:id="2"/>
    </w:p>
    <w:p w:rsidR="00BE1FCB" w:rsidRPr="008265FC" w:rsidP="00BE1FCB" w14:paraId="3152F13B" w14:textId="77777777">
      <w:pPr>
        <w:numPr>
          <w:ilvl w:val="12"/>
          <w:numId w:val="0"/>
        </w:numPr>
        <w:autoSpaceDE w:val="0"/>
        <w:autoSpaceDN w:val="0"/>
        <w:adjustRightInd w:val="0"/>
        <w:ind w:left="180"/>
        <w:rPr>
          <w:rFonts w:ascii="Times New Roman" w:eastAsia="Times New Roman" w:hAnsi="Times New Roman" w:cs="Times New Roman"/>
          <w:szCs w:val="24"/>
        </w:rPr>
      </w:pPr>
    </w:p>
    <w:p w:rsidR="007A5292" w:rsidP="00301FDC" w14:paraId="55FD2D6A" w14:textId="77777777">
      <w:pPr>
        <w:spacing w:after="80"/>
        <w:ind w:left="180"/>
        <w:rPr>
          <w:rFonts w:ascii="Times New Roman" w:eastAsia="Times New Roman" w:hAnsi="Times New Roman" w:cs="Arial"/>
        </w:rPr>
      </w:pPr>
      <w:r w:rsidRPr="1BF77947">
        <w:rPr>
          <w:rFonts w:ascii="Times New Roman" w:eastAsia="Times New Roman" w:hAnsi="Times New Roman" w:cs="Arial"/>
        </w:rPr>
        <w:t>The information obtained from this data collection will be used to inform FDA, policy makers in the United States, prevention practitioners, and researchers about</w:t>
      </w:r>
      <w:r w:rsidRPr="1BF77947" w:rsidR="6C71A74D">
        <w:rPr>
          <w:rFonts w:ascii="Times New Roman" w:eastAsia="Times New Roman" w:hAnsi="Times New Roman" w:cs="Arial"/>
        </w:rPr>
        <w:t>: (a)</w:t>
      </w:r>
      <w:r w:rsidRPr="1BF77947">
        <w:rPr>
          <w:rFonts w:ascii="Times New Roman" w:eastAsia="Times New Roman" w:hAnsi="Times New Roman" w:cs="Arial"/>
        </w:rPr>
        <w:t xml:space="preserve"> the extent of youth’s exposure to </w:t>
      </w:r>
      <w:r w:rsidRPr="1BF77947" w:rsidR="6E804620">
        <w:rPr>
          <w:rFonts w:ascii="Times New Roman" w:eastAsia="Times New Roman" w:hAnsi="Times New Roman" w:cs="Arial"/>
        </w:rPr>
        <w:t>campaign</w:t>
      </w:r>
      <w:r w:rsidRPr="1BF77947">
        <w:rPr>
          <w:rFonts w:ascii="Times New Roman" w:eastAsia="Times New Roman" w:hAnsi="Times New Roman" w:cs="Arial"/>
        </w:rPr>
        <w:t xml:space="preserve"> messages</w:t>
      </w:r>
      <w:r w:rsidRPr="1BF77947" w:rsidR="3A826692">
        <w:rPr>
          <w:rFonts w:ascii="Times New Roman" w:eastAsia="Times New Roman" w:hAnsi="Times New Roman" w:cs="Arial"/>
        </w:rPr>
        <w:t>,</w:t>
      </w:r>
      <w:r w:rsidRPr="1BF77947">
        <w:rPr>
          <w:rFonts w:ascii="Times New Roman" w:eastAsia="Times New Roman" w:hAnsi="Times New Roman" w:cs="Arial"/>
        </w:rPr>
        <w:t xml:space="preserve"> and</w:t>
      </w:r>
      <w:r w:rsidRPr="1BF77947" w:rsidR="638B8C8B">
        <w:rPr>
          <w:rFonts w:ascii="Times New Roman" w:eastAsia="Times New Roman" w:hAnsi="Times New Roman" w:cs="Arial"/>
        </w:rPr>
        <w:t xml:space="preserve"> (b)</w:t>
      </w:r>
      <w:r w:rsidRPr="1BF77947">
        <w:rPr>
          <w:rFonts w:ascii="Times New Roman" w:eastAsia="Times New Roman" w:hAnsi="Times New Roman" w:cs="Arial"/>
        </w:rPr>
        <w:t xml:space="preserve"> the extent to which </w:t>
      </w:r>
      <w:r w:rsidRPr="1BF77947" w:rsidR="3205AA30">
        <w:rPr>
          <w:rFonts w:ascii="Times New Roman" w:eastAsia="Times New Roman" w:hAnsi="Times New Roman" w:cs="Arial"/>
        </w:rPr>
        <w:t>this exposure</w:t>
      </w:r>
      <w:r w:rsidRPr="1BF77947">
        <w:rPr>
          <w:rFonts w:ascii="Times New Roman" w:eastAsia="Times New Roman" w:hAnsi="Times New Roman" w:cs="Arial"/>
        </w:rPr>
        <w:t xml:space="preserve"> is associated with changes in intended outcomes. While not exhaustive, the list below illustrates a range of purposes and uses for the information collection:</w:t>
      </w:r>
      <w:r>
        <w:tab/>
      </w:r>
    </w:p>
    <w:p w:rsidR="007C3F53" w:rsidRPr="001601F8" w:rsidP="00543EB5" w14:paraId="6CC41233" w14:textId="77777777">
      <w:pPr>
        <w:pStyle w:val="ListParagraph"/>
        <w:numPr>
          <w:ilvl w:val="0"/>
          <w:numId w:val="31"/>
        </w:numPr>
        <w:spacing w:after="80"/>
        <w:rPr>
          <w:rFonts w:ascii="Times New Roman" w:eastAsia="Times New Roman" w:hAnsi="Times New Roman" w:cs="Arial"/>
        </w:rPr>
      </w:pPr>
      <w:r w:rsidRPr="1BF77947">
        <w:rPr>
          <w:rFonts w:ascii="Times New Roman" w:eastAsia="Times New Roman" w:hAnsi="Times New Roman" w:cs="Arial"/>
        </w:rPr>
        <w:t xml:space="preserve">Provide critical data on the reach of the </w:t>
      </w:r>
      <w:r w:rsidRPr="1BF77947" w:rsidR="0B6F22DF">
        <w:rPr>
          <w:rFonts w:ascii="Times New Roman" w:eastAsia="Times New Roman" w:hAnsi="Times New Roman" w:cs="Arial"/>
        </w:rPr>
        <w:t xml:space="preserve">campaign </w:t>
      </w:r>
      <w:r w:rsidRPr="1BF77947">
        <w:rPr>
          <w:rFonts w:ascii="Times New Roman" w:eastAsia="Times New Roman" w:hAnsi="Times New Roman" w:cs="Arial"/>
        </w:rPr>
        <w:t>among youth in the United States</w:t>
      </w:r>
      <w:r w:rsidRPr="1BF77947" w:rsidR="13F493C3">
        <w:rPr>
          <w:rFonts w:ascii="Times New Roman" w:eastAsia="Times New Roman" w:hAnsi="Times New Roman" w:cs="Arial"/>
        </w:rPr>
        <w:t>;</w:t>
      </w:r>
      <w:r w:rsidRPr="1BF77947">
        <w:rPr>
          <w:rFonts w:ascii="Times New Roman" w:eastAsia="Times New Roman" w:hAnsi="Times New Roman" w:cs="Arial"/>
        </w:rPr>
        <w:t xml:space="preserve"> particularly estimates of the proportion of the population that was exposed to the campaign.</w:t>
      </w:r>
    </w:p>
    <w:p w:rsidR="00A30147" w:rsidP="1BF77947" w14:paraId="38FB0E70" w14:textId="77777777">
      <w:pPr>
        <w:pStyle w:val="paragraph"/>
        <w:numPr>
          <w:ilvl w:val="0"/>
          <w:numId w:val="31"/>
        </w:numPr>
        <w:spacing w:before="0" w:beforeAutospacing="0" w:after="0" w:afterAutospacing="0"/>
        <w:textAlignment w:val="baseline"/>
        <w:rPr>
          <w:rStyle w:val="eop"/>
        </w:rPr>
      </w:pPr>
      <w:r w:rsidRPr="1BF77947">
        <w:rPr>
          <w:rFonts w:cs="Arial"/>
        </w:rPr>
        <w:t xml:space="preserve">Understand the influence of the campaign on </w:t>
      </w:r>
      <w:r w:rsidRPr="1BF77947">
        <w:rPr>
          <w:rStyle w:val="normaltextrun"/>
        </w:rPr>
        <w:t>specific beliefs targeted by messages (message-targeted beliefs)</w:t>
      </w:r>
      <w:r w:rsidRPr="1BF77947" w:rsidR="00CA3128">
        <w:rPr>
          <w:rStyle w:val="eop"/>
        </w:rPr>
        <w:t>.</w:t>
      </w:r>
    </w:p>
    <w:p w:rsidR="00CA3128" w:rsidP="1BF77947" w14:paraId="1265A559" w14:textId="77777777">
      <w:pPr>
        <w:pStyle w:val="paragraph"/>
        <w:numPr>
          <w:ilvl w:val="0"/>
          <w:numId w:val="31"/>
        </w:numPr>
        <w:spacing w:before="0" w:beforeAutospacing="0" w:after="0" w:afterAutospacing="0"/>
        <w:textAlignment w:val="baseline"/>
        <w:rPr>
          <w:rStyle w:val="eop"/>
        </w:rPr>
      </w:pPr>
      <w:r w:rsidRPr="1BF77947">
        <w:rPr>
          <w:rStyle w:val="normaltextrun"/>
        </w:rPr>
        <w:t xml:space="preserve">Understand the </w:t>
      </w:r>
      <w:r w:rsidRPr="1BF77947" w:rsidR="3E16B864">
        <w:rPr>
          <w:rStyle w:val="normaltextrun"/>
        </w:rPr>
        <w:t xml:space="preserve">impact of the campaign on </w:t>
      </w:r>
      <w:r w:rsidRPr="1BF77947">
        <w:rPr>
          <w:rStyle w:val="normaltextrun"/>
        </w:rPr>
        <w:t>psychosocial predictors and precursors of tobacco use behavior</w:t>
      </w:r>
      <w:r w:rsidRPr="1BF77947" w:rsidR="1ECD91D9">
        <w:rPr>
          <w:rStyle w:val="normaltextrun"/>
        </w:rPr>
        <w:t>, such as:</w:t>
      </w:r>
    </w:p>
    <w:p w:rsidR="00CA3128" w:rsidP="004B2F57" w14:paraId="608505D2" w14:textId="77777777">
      <w:pPr>
        <w:pStyle w:val="paragraph"/>
        <w:numPr>
          <w:ilvl w:val="0"/>
          <w:numId w:val="24"/>
        </w:numPr>
        <w:spacing w:before="0" w:beforeAutospacing="0" w:after="0" w:afterAutospacing="0"/>
        <w:ind w:left="990" w:firstLine="0"/>
        <w:textAlignment w:val="baseline"/>
      </w:pPr>
      <w:r>
        <w:rPr>
          <w:rStyle w:val="normaltextrun"/>
        </w:rPr>
        <w:t>Health and addiction risk perceptions</w:t>
      </w:r>
      <w:r>
        <w:rPr>
          <w:rStyle w:val="eop"/>
        </w:rPr>
        <w:t> </w:t>
      </w:r>
    </w:p>
    <w:p w:rsidR="00CA3128" w:rsidP="004B2F57" w14:paraId="6A3D35DC" w14:textId="77777777">
      <w:pPr>
        <w:pStyle w:val="paragraph"/>
        <w:numPr>
          <w:ilvl w:val="0"/>
          <w:numId w:val="25"/>
        </w:numPr>
        <w:spacing w:before="0" w:beforeAutospacing="0" w:after="0" w:afterAutospacing="0"/>
        <w:ind w:left="990" w:firstLine="0"/>
        <w:textAlignment w:val="baseline"/>
      </w:pPr>
      <w:r>
        <w:rPr>
          <w:rStyle w:val="normaltextrun"/>
        </w:rPr>
        <w:t xml:space="preserve">Perceived loss of control or threat to freedom expected from tobacco </w:t>
      </w:r>
      <w:r>
        <w:rPr>
          <w:rStyle w:val="normaltextrun"/>
        </w:rPr>
        <w:t>use</w:t>
      </w:r>
      <w:r>
        <w:rPr>
          <w:rStyle w:val="eop"/>
        </w:rPr>
        <w:t> </w:t>
      </w:r>
    </w:p>
    <w:p w:rsidR="00CA3128" w:rsidP="004B2F57" w14:paraId="49481A54" w14:textId="77777777">
      <w:pPr>
        <w:pStyle w:val="paragraph"/>
        <w:numPr>
          <w:ilvl w:val="0"/>
          <w:numId w:val="25"/>
        </w:numPr>
        <w:spacing w:before="0" w:beforeAutospacing="0" w:after="0" w:afterAutospacing="0"/>
        <w:ind w:left="990" w:firstLine="0"/>
        <w:textAlignment w:val="baseline"/>
      </w:pPr>
      <w:r>
        <w:rPr>
          <w:rStyle w:val="normaltextrun"/>
        </w:rPr>
        <w:t>Anticipated guilt, shame, and regret from tobacco use</w:t>
      </w:r>
      <w:r>
        <w:rPr>
          <w:rStyle w:val="eop"/>
        </w:rPr>
        <w:t> </w:t>
      </w:r>
    </w:p>
    <w:p w:rsidR="00CA3128" w:rsidP="1BF77947" w14:paraId="6E26E773" w14:textId="77777777">
      <w:pPr>
        <w:pStyle w:val="paragraph"/>
        <w:numPr>
          <w:ilvl w:val="0"/>
          <w:numId w:val="25"/>
        </w:numPr>
        <w:spacing w:before="0" w:beforeAutospacing="0" w:after="0" w:afterAutospacing="0"/>
        <w:ind w:left="990" w:firstLine="0"/>
        <w:textAlignment w:val="baseline"/>
        <w:rPr>
          <w:rStyle w:val="eop"/>
          <w:rFonts w:asciiTheme="minorHAnsi" w:eastAsiaTheme="minorEastAsia" w:hAnsiTheme="minorHAnsi" w:cstheme="minorBidi"/>
        </w:rPr>
      </w:pPr>
      <w:r w:rsidRPr="1BF77947">
        <w:rPr>
          <w:rStyle w:val="normaltextrun"/>
        </w:rPr>
        <w:t>Tobacco use susceptibility </w:t>
      </w:r>
      <w:r w:rsidRPr="1BF77947">
        <w:rPr>
          <w:rStyle w:val="eop"/>
        </w:rPr>
        <w:t> </w:t>
      </w:r>
    </w:p>
    <w:p w:rsidR="00CA3128" w:rsidP="004B2F57" w14:paraId="658A05EF" w14:textId="77777777">
      <w:pPr>
        <w:pStyle w:val="paragraph"/>
        <w:numPr>
          <w:ilvl w:val="0"/>
          <w:numId w:val="26"/>
        </w:numPr>
        <w:spacing w:before="0" w:beforeAutospacing="0" w:after="0" w:afterAutospacing="0"/>
        <w:ind w:left="990" w:firstLine="0"/>
        <w:textAlignment w:val="baseline"/>
      </w:pPr>
      <w:r>
        <w:rPr>
          <w:rStyle w:val="normaltextrun"/>
        </w:rPr>
        <w:t xml:space="preserve">Intention or willingness to use </w:t>
      </w:r>
      <w:r>
        <w:rPr>
          <w:rStyle w:val="normaltextrun"/>
        </w:rPr>
        <w:t>tobacco</w:t>
      </w:r>
      <w:r>
        <w:rPr>
          <w:rStyle w:val="eop"/>
        </w:rPr>
        <w:t> </w:t>
      </w:r>
    </w:p>
    <w:p w:rsidR="00CA3128" w:rsidP="004B2F57" w14:paraId="7B129609" w14:textId="77777777">
      <w:pPr>
        <w:pStyle w:val="paragraph"/>
        <w:numPr>
          <w:ilvl w:val="0"/>
          <w:numId w:val="26"/>
        </w:numPr>
        <w:spacing w:before="0" w:beforeAutospacing="0" w:after="0" w:afterAutospacing="0"/>
        <w:ind w:left="990" w:firstLine="0"/>
        <w:textAlignment w:val="baseline"/>
        <w:rPr>
          <w:rStyle w:val="eop"/>
        </w:rPr>
      </w:pPr>
      <w:r w:rsidRPr="73AD38D6">
        <w:rPr>
          <w:rStyle w:val="normaltextrun"/>
        </w:rPr>
        <w:t xml:space="preserve">Intention to quit and/or reduce daily </w:t>
      </w:r>
      <w:r w:rsidRPr="73AD38D6">
        <w:rPr>
          <w:rStyle w:val="normaltextrun"/>
        </w:rPr>
        <w:t>consumption</w:t>
      </w:r>
      <w:r w:rsidRPr="73AD38D6">
        <w:rPr>
          <w:rStyle w:val="eop"/>
        </w:rPr>
        <w:t> </w:t>
      </w:r>
    </w:p>
    <w:p w:rsidR="0083416F" w:rsidP="0083416F" w14:paraId="0A2D6DE0" w14:textId="77777777">
      <w:pPr>
        <w:pStyle w:val="paragraph"/>
        <w:spacing w:before="0" w:beforeAutospacing="0" w:after="0" w:afterAutospacing="0"/>
        <w:ind w:left="990"/>
        <w:textAlignment w:val="baseline"/>
      </w:pPr>
    </w:p>
    <w:p w:rsidR="00D56088" w:rsidRPr="00D44A2C" w:rsidP="00D56088" w14:paraId="1312CCE9" w14:textId="77777777">
      <w:pPr>
        <w:pStyle w:val="paragraph"/>
        <w:spacing w:before="0" w:beforeAutospacing="0" w:after="0" w:afterAutospacing="0"/>
        <w:textAlignment w:val="baseline"/>
        <w:rPr>
          <w:rFonts w:ascii="Segoe UI" w:hAnsi="Segoe UI" w:cs="Segoe UI"/>
          <w:sz w:val="18"/>
          <w:szCs w:val="18"/>
          <w:highlight w:val="yellow"/>
        </w:rPr>
      </w:pPr>
      <w:r w:rsidRPr="5A751C2D">
        <w:rPr>
          <w:rStyle w:val="eop"/>
        </w:rPr>
        <w:t>We are using survey testing and subject matter expert (SME) input to aid in survey clarity (e.g., address typos and decrease confusing wording) and skip pattern testing. Based on survey testing and SME input of follow-up waves, some items may be updated non-substantively for clarity or for accuracy given the evolving science around the health harms of e-cigarette use (e.g., changing “will” to “may” when stating possible health harms of e-cigarette use). Based on skip pattern testing and instrument length, some items may be excluded.</w:t>
      </w:r>
    </w:p>
    <w:p w:rsidR="000D4DC0" w:rsidP="1BF77947" w14:paraId="534BC103" w14:textId="77777777">
      <w:pPr>
        <w:autoSpaceDE w:val="0"/>
        <w:autoSpaceDN w:val="0"/>
        <w:adjustRightInd w:val="0"/>
        <w:spacing w:after="80"/>
        <w:rPr>
          <w:rFonts w:eastAsia="Calibri" w:cs="Arial"/>
          <w:szCs w:val="24"/>
        </w:rPr>
      </w:pPr>
    </w:p>
    <w:p w:rsidR="00BE1FCB" w:rsidRPr="008265FC" w:rsidP="7DC1110E" w14:paraId="1C387D0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3" w:name="_Toc239649223"/>
      <w:r w:rsidRPr="1BF77947">
        <w:rPr>
          <w:rFonts w:ascii="Times New Roman" w:eastAsia="Times New Roman" w:hAnsi="Times New Roman" w:cs="Times New Roman"/>
          <w:b/>
          <w:bCs/>
        </w:rPr>
        <w:t xml:space="preserve">3. </w:t>
      </w:r>
      <w:r w:rsidRPr="1BF77947">
        <w:rPr>
          <w:rFonts w:ascii="Times New Roman" w:eastAsia="Times New Roman" w:hAnsi="Times New Roman" w:cs="Times New Roman"/>
          <w:b/>
          <w:bCs/>
          <w:u w:val="single"/>
        </w:rPr>
        <w:t>Use of Information Technology and Burden Reduction</w:t>
      </w:r>
      <w:bookmarkEnd w:id="3"/>
    </w:p>
    <w:p w:rsidR="00BE1FCB" w:rsidRPr="008265FC" w:rsidP="00BE1FCB" w14:paraId="3E21A02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7DC1110E" w14:paraId="2B09E8DD" w14:textId="77777777">
      <w:pPr>
        <w:tabs>
          <w:tab w:val="left" w:pos="27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Th</w:t>
      </w:r>
      <w:r w:rsidR="00DA75C6">
        <w:rPr>
          <w:rFonts w:ascii="Times New Roman" w:eastAsia="Times New Roman" w:hAnsi="Times New Roman" w:cs="Times New Roman"/>
          <w:color w:val="000000" w:themeColor="text1"/>
        </w:rPr>
        <w:t>e</w:t>
      </w:r>
      <w:r w:rsidRPr="1BF77947">
        <w:rPr>
          <w:rFonts w:ascii="Times New Roman" w:eastAsia="Times New Roman" w:hAnsi="Times New Roman" w:cs="Times New Roman"/>
          <w:color w:val="000000" w:themeColor="text1"/>
        </w:rPr>
        <w:t xml:space="preserve"> </w:t>
      </w:r>
      <w:r w:rsidRPr="1BF77947" w:rsidR="00BA2A62">
        <w:rPr>
          <w:rFonts w:ascii="Times New Roman" w:eastAsia="Times New Roman" w:hAnsi="Times New Roman" w:cs="Times New Roman"/>
          <w:color w:val="000000" w:themeColor="text1"/>
        </w:rPr>
        <w:t xml:space="preserve">main </w:t>
      </w:r>
      <w:r w:rsidRPr="1BF77947" w:rsidR="009920FA">
        <w:rPr>
          <w:rFonts w:ascii="Times New Roman" w:eastAsia="Times New Roman" w:hAnsi="Times New Roman" w:cs="Times New Roman"/>
          <w:color w:val="000000" w:themeColor="text1"/>
        </w:rPr>
        <w:t xml:space="preserve">and supplemental </w:t>
      </w:r>
      <w:r w:rsidRPr="1BF77947">
        <w:rPr>
          <w:rFonts w:ascii="Times New Roman" w:eastAsia="Times New Roman" w:hAnsi="Times New Roman" w:cs="Times New Roman"/>
          <w:color w:val="000000" w:themeColor="text1"/>
        </w:rPr>
        <w:t>stud</w:t>
      </w:r>
      <w:r w:rsidR="00DA75C6">
        <w:rPr>
          <w:rFonts w:ascii="Times New Roman" w:eastAsia="Times New Roman" w:hAnsi="Times New Roman" w:cs="Times New Roman"/>
          <w:color w:val="000000" w:themeColor="text1"/>
        </w:rPr>
        <w:t>y</w:t>
      </w:r>
      <w:r w:rsidRPr="1BF77947" w:rsidR="2FB418B2">
        <w:rPr>
          <w:rFonts w:ascii="Times New Roman" w:eastAsia="Times New Roman" w:hAnsi="Times New Roman" w:cs="Times New Roman"/>
          <w:color w:val="000000" w:themeColor="text1"/>
        </w:rPr>
        <w:t xml:space="preserve"> </w:t>
      </w:r>
      <w:r w:rsidRPr="1BF77947" w:rsidR="6BB25DCC">
        <w:rPr>
          <w:rFonts w:ascii="Times New Roman" w:eastAsia="Times New Roman" w:hAnsi="Times New Roman" w:cs="Times New Roman"/>
          <w:color w:val="000000" w:themeColor="text1"/>
        </w:rPr>
        <w:t xml:space="preserve">survey </w:t>
      </w:r>
      <w:r w:rsidRPr="1BF77947" w:rsidR="2FB418B2">
        <w:rPr>
          <w:rFonts w:ascii="Times New Roman" w:eastAsia="Times New Roman" w:hAnsi="Times New Roman" w:cs="Times New Roman"/>
          <w:color w:val="000000" w:themeColor="text1"/>
        </w:rPr>
        <w:t xml:space="preserve">data collection </w:t>
      </w:r>
      <w:r w:rsidRPr="1BF77947">
        <w:rPr>
          <w:rFonts w:ascii="Times New Roman" w:eastAsia="Times New Roman" w:hAnsi="Times New Roman" w:cs="Times New Roman"/>
          <w:color w:val="000000" w:themeColor="text1"/>
        </w:rPr>
        <w:t xml:space="preserve">will </w:t>
      </w:r>
      <w:r w:rsidRPr="1BF77947" w:rsidR="5A3499D0">
        <w:rPr>
          <w:rFonts w:ascii="Times New Roman" w:eastAsia="Times New Roman" w:hAnsi="Times New Roman" w:cs="Times New Roman"/>
          <w:color w:val="000000" w:themeColor="text1"/>
        </w:rPr>
        <w:t xml:space="preserve">be </w:t>
      </w:r>
      <w:r w:rsidRPr="1BF77947">
        <w:rPr>
          <w:rFonts w:ascii="Times New Roman" w:eastAsia="Times New Roman" w:hAnsi="Times New Roman" w:cs="Times New Roman"/>
          <w:color w:val="000000" w:themeColor="text1"/>
        </w:rPr>
        <w:t>web-based</w:t>
      </w:r>
      <w:r w:rsidRPr="1BF77947" w:rsidR="008A4B96">
        <w:rPr>
          <w:rFonts w:ascii="Times New Roman" w:eastAsia="Times New Roman" w:hAnsi="Times New Roman" w:cs="Times New Roman"/>
          <w:color w:val="000000" w:themeColor="text1"/>
        </w:rPr>
        <w:t>.</w:t>
      </w:r>
      <w:r w:rsidRPr="1BF77947" w:rsidR="004B7EC9">
        <w:rPr>
          <w:rFonts w:ascii="Times New Roman" w:eastAsia="Times New Roman" w:hAnsi="Times New Roman" w:cs="Times New Roman"/>
          <w:color w:val="000000" w:themeColor="text1"/>
        </w:rPr>
        <w:t xml:space="preserve"> </w:t>
      </w:r>
      <w:r w:rsidRPr="1BF77947" w:rsidR="007864CD">
        <w:rPr>
          <w:rFonts w:ascii="Times New Roman" w:eastAsia="Times New Roman" w:hAnsi="Times New Roman" w:cs="Times New Roman"/>
          <w:color w:val="000000" w:themeColor="text1"/>
        </w:rPr>
        <w:t xml:space="preserve">Respondents can take the survey on a personal computer, smartphone, or tablet at a time and location of their choosing. </w:t>
      </w:r>
      <w:r w:rsidRPr="1BF77947" w:rsidR="236C7122">
        <w:rPr>
          <w:rFonts w:ascii="Times New Roman" w:eastAsia="Times New Roman" w:hAnsi="Times New Roman" w:cs="Times New Roman"/>
          <w:color w:val="000000" w:themeColor="text1"/>
        </w:rPr>
        <w:t xml:space="preserve">This type of data collection </w:t>
      </w:r>
      <w:r w:rsidRPr="1BF77947">
        <w:rPr>
          <w:rFonts w:ascii="Times New Roman" w:eastAsia="Times New Roman" w:hAnsi="Times New Roman" w:cs="Times New Roman"/>
          <w:color w:val="000000" w:themeColor="text1"/>
        </w:rPr>
        <w:t xml:space="preserve">allows the respondent to be candid with their responses. </w:t>
      </w:r>
      <w:r w:rsidRPr="1BF77947" w:rsidR="4744DA18">
        <w:rPr>
          <w:rFonts w:ascii="Times New Roman" w:eastAsia="Times New Roman" w:hAnsi="Times New Roman" w:cs="Times New Roman"/>
          <w:color w:val="000000" w:themeColor="text1"/>
        </w:rPr>
        <w:t>It also</w:t>
      </w:r>
      <w:r w:rsidRPr="1BF77947">
        <w:rPr>
          <w:rFonts w:ascii="Times New Roman" w:eastAsia="Times New Roman" w:hAnsi="Times New Roman" w:cs="Times New Roman"/>
          <w:color w:val="000000" w:themeColor="text1"/>
        </w:rPr>
        <w:t xml:space="preserve"> </w:t>
      </w:r>
      <w:r w:rsidRPr="1BF77947" w:rsidR="00201680">
        <w:rPr>
          <w:rFonts w:ascii="Times New Roman" w:eastAsia="Times New Roman" w:hAnsi="Times New Roman" w:cs="Times New Roman"/>
          <w:color w:val="000000" w:themeColor="text1"/>
        </w:rPr>
        <w:t>increases</w:t>
      </w:r>
      <w:r w:rsidRPr="1BF77947">
        <w:rPr>
          <w:rFonts w:ascii="Times New Roman" w:eastAsia="Times New Roman" w:hAnsi="Times New Roman" w:cs="Times New Roman"/>
          <w:color w:val="000000" w:themeColor="text1"/>
        </w:rPr>
        <w:t xml:space="preserve"> accura</w:t>
      </w:r>
      <w:r w:rsidRPr="1BF77947" w:rsidR="00201680">
        <w:rPr>
          <w:rFonts w:ascii="Times New Roman" w:eastAsia="Times New Roman" w:hAnsi="Times New Roman" w:cs="Times New Roman"/>
          <w:color w:val="000000" w:themeColor="text1"/>
        </w:rPr>
        <w:t>cy</w:t>
      </w:r>
      <w:r w:rsidRPr="1BF77947">
        <w:rPr>
          <w:rFonts w:ascii="Times New Roman" w:eastAsia="Times New Roman" w:hAnsi="Times New Roman" w:cs="Times New Roman"/>
          <w:color w:val="000000" w:themeColor="text1"/>
        </w:rPr>
        <w:t xml:space="preserve"> </w:t>
      </w:r>
      <w:r w:rsidRPr="1BF77947" w:rsidR="00201680">
        <w:rPr>
          <w:rFonts w:ascii="Times New Roman" w:eastAsia="Times New Roman" w:hAnsi="Times New Roman" w:cs="Times New Roman"/>
          <w:color w:val="000000" w:themeColor="text1"/>
        </w:rPr>
        <w:t xml:space="preserve">of the </w:t>
      </w:r>
      <w:r w:rsidRPr="1BF77947">
        <w:rPr>
          <w:rFonts w:ascii="Times New Roman" w:eastAsia="Times New Roman" w:hAnsi="Times New Roman" w:cs="Times New Roman"/>
          <w:color w:val="000000" w:themeColor="text1"/>
        </w:rPr>
        <w:t xml:space="preserve">data because respondents </w:t>
      </w:r>
      <w:r w:rsidRPr="1BF77947" w:rsidR="1ABDAC69">
        <w:rPr>
          <w:rFonts w:ascii="Times New Roman" w:eastAsia="Times New Roman" w:hAnsi="Times New Roman" w:cs="Times New Roman"/>
          <w:color w:val="000000" w:themeColor="text1"/>
        </w:rPr>
        <w:t xml:space="preserve">tend to </w:t>
      </w:r>
      <w:r w:rsidRPr="1BF77947">
        <w:rPr>
          <w:rFonts w:ascii="Times New Roman" w:eastAsia="Times New Roman" w:hAnsi="Times New Roman" w:cs="Times New Roman"/>
          <w:color w:val="000000" w:themeColor="text1"/>
        </w:rPr>
        <w:t>provide more honest responses</w:t>
      </w:r>
      <w:r w:rsidRPr="1BF77947" w:rsidR="2BE7D76B">
        <w:rPr>
          <w:rFonts w:ascii="Times New Roman" w:eastAsia="Times New Roman" w:hAnsi="Times New Roman" w:cs="Times New Roman"/>
          <w:color w:val="000000" w:themeColor="text1"/>
        </w:rPr>
        <w:t xml:space="preserve"> with this method, as compared to other types of data collection methods, </w:t>
      </w:r>
      <w:r w:rsidRPr="1BF77947">
        <w:rPr>
          <w:rFonts w:ascii="Times New Roman" w:eastAsia="Times New Roman" w:hAnsi="Times New Roman" w:cs="Times New Roman"/>
          <w:color w:val="000000" w:themeColor="text1"/>
        </w:rPr>
        <w:t xml:space="preserve">especially when </w:t>
      </w:r>
      <w:r w:rsidRPr="1BF77947">
        <w:rPr>
          <w:rFonts w:ascii="Times New Roman" w:eastAsia="Times New Roman" w:hAnsi="Times New Roman" w:cs="Times New Roman"/>
          <w:color w:val="000000" w:themeColor="text1"/>
        </w:rPr>
        <w:t>it is clear that the</w:t>
      </w:r>
      <w:r w:rsidRPr="1BF77947">
        <w:rPr>
          <w:rFonts w:ascii="Times New Roman" w:eastAsia="Times New Roman" w:hAnsi="Times New Roman" w:cs="Times New Roman"/>
          <w:color w:val="000000" w:themeColor="text1"/>
        </w:rPr>
        <w:t xml:space="preserve"> answers will remain private. In addition, using a </w:t>
      </w:r>
      <w:r w:rsidRPr="1BF77947" w:rsidR="006800B2">
        <w:rPr>
          <w:rFonts w:ascii="Times New Roman" w:eastAsia="Times New Roman" w:hAnsi="Times New Roman" w:cs="Times New Roman"/>
          <w:color w:val="000000" w:themeColor="text1"/>
        </w:rPr>
        <w:t xml:space="preserve">web-based </w:t>
      </w:r>
      <w:r w:rsidRPr="1BF77947">
        <w:rPr>
          <w:rFonts w:ascii="Times New Roman" w:eastAsia="Times New Roman" w:hAnsi="Times New Roman" w:cs="Times New Roman"/>
          <w:color w:val="000000" w:themeColor="text1"/>
        </w:rPr>
        <w:t>survey will allow for more participants to respond in a cost-effective and timely manner</w:t>
      </w:r>
      <w:r w:rsidRPr="1BF77947" w:rsidR="00451A32">
        <w:rPr>
          <w:rFonts w:ascii="Times New Roman" w:eastAsia="Times New Roman" w:hAnsi="Times New Roman" w:cs="Times New Roman"/>
          <w:color w:val="000000" w:themeColor="text1"/>
        </w:rPr>
        <w:t xml:space="preserve"> compared to in-person data collection</w:t>
      </w:r>
      <w:r w:rsidRPr="1BF77947">
        <w:rPr>
          <w:rFonts w:ascii="Times New Roman" w:eastAsia="Times New Roman" w:hAnsi="Times New Roman" w:cs="Times New Roman"/>
          <w:color w:val="000000" w:themeColor="text1"/>
        </w:rPr>
        <w:t xml:space="preserve">. The self-administered, web-based survey permits greater expediency with respect to data processing and analysis (e.g., </w:t>
      </w:r>
      <w:r w:rsidRPr="1BF77947" w:rsidR="00A80641">
        <w:rPr>
          <w:rFonts w:ascii="Times New Roman" w:eastAsia="Times New Roman" w:hAnsi="Times New Roman" w:cs="Times New Roman"/>
          <w:color w:val="000000" w:themeColor="text1"/>
        </w:rPr>
        <w:t>several</w:t>
      </w:r>
      <w:r w:rsidRPr="1BF77947">
        <w:rPr>
          <w:rFonts w:ascii="Times New Roman" w:eastAsia="Times New Roman" w:hAnsi="Times New Roman" w:cs="Times New Roman"/>
          <w:color w:val="000000" w:themeColor="text1"/>
        </w:rPr>
        <w:t xml:space="preserve"> back-end processing steps, including coding and data entry</w:t>
      </w:r>
      <w:r w:rsidRPr="1BF77947" w:rsidR="000C5A66">
        <w:rPr>
          <w:rFonts w:ascii="Times New Roman" w:eastAsia="Times New Roman" w:hAnsi="Times New Roman" w:cs="Times New Roman"/>
          <w:color w:val="000000" w:themeColor="text1"/>
        </w:rPr>
        <w:t xml:space="preserve"> are automatic instead of manually processed</w:t>
      </w:r>
      <w:r w:rsidRPr="1BF77947">
        <w:rPr>
          <w:rFonts w:ascii="Times New Roman" w:eastAsia="Times New Roman" w:hAnsi="Times New Roman" w:cs="Times New Roman"/>
          <w:color w:val="000000" w:themeColor="text1"/>
        </w:rPr>
        <w:t>)</w:t>
      </w:r>
      <w:r w:rsidRPr="1BF77947" w:rsidR="001303FD">
        <w:rPr>
          <w:rFonts w:ascii="Times New Roman" w:eastAsia="Times New Roman" w:hAnsi="Times New Roman" w:cs="Times New Roman"/>
          <w:color w:val="000000" w:themeColor="text1"/>
        </w:rPr>
        <w:t xml:space="preserve"> </w:t>
      </w:r>
      <w:r w:rsidRPr="1BF77947" w:rsidR="009324CC">
        <w:rPr>
          <w:rFonts w:ascii="Times New Roman" w:eastAsia="Times New Roman" w:hAnsi="Times New Roman" w:cs="Times New Roman"/>
          <w:color w:val="000000" w:themeColor="text1"/>
        </w:rPr>
        <w:t>because</w:t>
      </w:r>
      <w:r w:rsidRPr="1BF77947">
        <w:rPr>
          <w:rFonts w:ascii="Times New Roman" w:eastAsia="Times New Roman" w:hAnsi="Times New Roman" w:cs="Times New Roman"/>
          <w:color w:val="000000" w:themeColor="text1"/>
        </w:rPr>
        <w:t xml:space="preserve"> </w:t>
      </w:r>
      <w:r w:rsidRPr="1BF77947" w:rsidR="009324CC">
        <w:rPr>
          <w:rFonts w:ascii="Times New Roman" w:eastAsia="Times New Roman" w:hAnsi="Times New Roman" w:cs="Times New Roman"/>
          <w:color w:val="000000" w:themeColor="text1"/>
        </w:rPr>
        <w:t>d</w:t>
      </w:r>
      <w:r w:rsidRPr="1BF77947">
        <w:rPr>
          <w:rFonts w:ascii="Times New Roman" w:eastAsia="Times New Roman" w:hAnsi="Times New Roman" w:cs="Times New Roman"/>
          <w:color w:val="000000" w:themeColor="text1"/>
        </w:rPr>
        <w:t xml:space="preserve">ata are transmitted electronically, rather than by mail. These efficiencies save time due to the speed of data transmission, as well as receipt in a format suitable for analysis. An added benefit is increased data protection by limiting the amount of personally identifiable information (PII) collected from participants, reducing the risk of data security issues. Finally, as noted above, this technology permits respondents to complete the survey in privacy. The use of a more private data collection method makes reporting </w:t>
      </w:r>
      <w:r w:rsidRPr="1BF77947" w:rsidR="388E4082">
        <w:rPr>
          <w:rFonts w:ascii="Times New Roman" w:eastAsia="Times New Roman" w:hAnsi="Times New Roman" w:cs="Times New Roman"/>
          <w:color w:val="000000" w:themeColor="text1"/>
        </w:rPr>
        <w:t xml:space="preserve">on </w:t>
      </w:r>
      <w:r w:rsidRPr="1BF77947">
        <w:rPr>
          <w:rFonts w:ascii="Times New Roman" w:eastAsia="Times New Roman" w:hAnsi="Times New Roman" w:cs="Times New Roman"/>
          <w:color w:val="000000" w:themeColor="text1"/>
        </w:rPr>
        <w:t xml:space="preserve">potentially embarrassing or stigmatizing behaviors (e.g., tobacco use) </w:t>
      </w:r>
      <w:r w:rsidRPr="1BF77947" w:rsidR="02796A97">
        <w:rPr>
          <w:rFonts w:ascii="Times New Roman" w:eastAsia="Times New Roman" w:hAnsi="Times New Roman" w:cs="Times New Roman"/>
          <w:color w:val="000000" w:themeColor="text1"/>
        </w:rPr>
        <w:t xml:space="preserve">feel </w:t>
      </w:r>
      <w:r w:rsidRPr="1BF77947">
        <w:rPr>
          <w:rFonts w:ascii="Times New Roman" w:eastAsia="Times New Roman" w:hAnsi="Times New Roman" w:cs="Times New Roman"/>
          <w:color w:val="000000" w:themeColor="text1"/>
        </w:rPr>
        <w:t>less threatening and enhances response validity and response rates.</w:t>
      </w:r>
    </w:p>
    <w:p w:rsidR="00BE1FCB" w:rsidRPr="008265FC" w:rsidP="00BE1FCB" w14:paraId="363720F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color w:val="000000"/>
          <w:szCs w:val="24"/>
        </w:rPr>
      </w:pPr>
    </w:p>
    <w:p w:rsidR="00BE1FCB" w:rsidRPr="008265FC" w:rsidP="00BE1FCB" w14:paraId="7BF81318"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4" w:name="_Toc239649224"/>
      <w:r>
        <w:rPr>
          <w:rFonts w:ascii="Times New Roman" w:eastAsia="Times New Roman" w:hAnsi="Times New Roman" w:cs="Times New Roman"/>
          <w:b/>
          <w:bCs/>
          <w:szCs w:val="24"/>
        </w:rPr>
        <w:t xml:space="preserve">4. </w:t>
      </w:r>
      <w:r w:rsidRPr="008265FC">
        <w:rPr>
          <w:rFonts w:ascii="Times New Roman" w:eastAsia="Times New Roman" w:hAnsi="Times New Roman" w:cs="Times New Roman"/>
          <w:b/>
          <w:bCs/>
          <w:szCs w:val="24"/>
          <w:u w:val="single"/>
        </w:rPr>
        <w:t>Efforts to Identify Duplication and Use of Similar Information</w:t>
      </w:r>
      <w:bookmarkEnd w:id="4"/>
    </w:p>
    <w:p w:rsidR="00BE1FCB" w:rsidRPr="00BB4995" w:rsidP="00BB4995" w14:paraId="7701737B" w14:textId="77777777"/>
    <w:p w:rsidR="00361FC2" w:rsidRPr="00BB4995" w:rsidP="7DC1110E" w14:paraId="0DB827F4" w14:textId="77777777">
      <w:pPr>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 xml:space="preserve">FDA’s </w:t>
      </w:r>
      <w:r w:rsidRPr="1BF77947" w:rsidR="003B15ED">
        <w:rPr>
          <w:rFonts w:ascii="Times New Roman" w:eastAsia="Times New Roman" w:hAnsi="Times New Roman" w:cs="Times New Roman"/>
          <w:color w:val="000000" w:themeColor="text1"/>
        </w:rPr>
        <w:t xml:space="preserve">“The Real Cost” campaign includes specific messages delivered through a variety of advertisements.  </w:t>
      </w:r>
      <w:r w:rsidRPr="1BF77947" w:rsidR="00BE1F3D">
        <w:rPr>
          <w:rFonts w:ascii="Times New Roman" w:eastAsia="Times New Roman" w:hAnsi="Times New Roman" w:cs="Times New Roman"/>
          <w:color w:val="000000" w:themeColor="text1"/>
        </w:rPr>
        <w:t>T</w:t>
      </w:r>
      <w:r w:rsidRPr="1BF77947">
        <w:rPr>
          <w:rFonts w:ascii="Times New Roman" w:eastAsia="Times New Roman" w:hAnsi="Times New Roman" w:cs="Times New Roman"/>
          <w:color w:val="000000" w:themeColor="text1"/>
        </w:rPr>
        <w:t>here are no existing data sources that contain measures on awareness of and exposure to the</w:t>
      </w:r>
      <w:r w:rsidR="00A80641">
        <w:rPr>
          <w:rFonts w:ascii="Times New Roman" w:eastAsia="Times New Roman" w:hAnsi="Times New Roman" w:cs="Times New Roman"/>
          <w:color w:val="000000" w:themeColor="text1"/>
        </w:rPr>
        <w:t>se</w:t>
      </w:r>
      <w:r w:rsidRPr="1BF77947">
        <w:rPr>
          <w:rFonts w:ascii="Times New Roman" w:eastAsia="Times New Roman" w:hAnsi="Times New Roman" w:cs="Times New Roman"/>
          <w:color w:val="000000" w:themeColor="text1"/>
        </w:rPr>
        <w:t xml:space="preserve"> campaign</w:t>
      </w:r>
      <w:r w:rsidRPr="1BF77947" w:rsidR="768CF6A6">
        <w:rPr>
          <w:rFonts w:ascii="Times New Roman" w:eastAsia="Times New Roman" w:hAnsi="Times New Roman" w:cs="Times New Roman"/>
          <w:color w:val="000000" w:themeColor="text1"/>
        </w:rPr>
        <w:t xml:space="preserve"> message</w:t>
      </w:r>
      <w:r w:rsidRPr="1BF77947">
        <w:rPr>
          <w:rFonts w:ascii="Times New Roman" w:eastAsia="Times New Roman" w:hAnsi="Times New Roman" w:cs="Times New Roman"/>
          <w:color w:val="000000" w:themeColor="text1"/>
        </w:rPr>
        <w:t>s</w:t>
      </w:r>
      <w:r w:rsidRPr="1BF77947" w:rsidR="00BE1F3D">
        <w:rPr>
          <w:rFonts w:ascii="Times New Roman" w:eastAsia="Times New Roman" w:hAnsi="Times New Roman" w:cs="Times New Roman"/>
          <w:color w:val="000000" w:themeColor="text1"/>
        </w:rPr>
        <w:t xml:space="preserve">, a requirement </w:t>
      </w:r>
      <w:r w:rsidRPr="1BF77947" w:rsidR="00BE1F3D">
        <w:rPr>
          <w:rFonts w:ascii="Times New Roman" w:eastAsia="Times New Roman" w:hAnsi="Times New Roman" w:cs="Times New Roman"/>
          <w:color w:val="000000" w:themeColor="text1"/>
        </w:rPr>
        <w:t>in order to</w:t>
      </w:r>
      <w:r w:rsidRPr="1BF77947" w:rsidR="00BE1F3D">
        <w:rPr>
          <w:rFonts w:ascii="Times New Roman" w:eastAsia="Times New Roman" w:hAnsi="Times New Roman" w:cs="Times New Roman"/>
          <w:color w:val="000000" w:themeColor="text1"/>
        </w:rPr>
        <w:t xml:space="preserve"> determine the association between campaign exposure and intended campaign outcomes</w:t>
      </w:r>
      <w:r w:rsidRPr="1BF77947">
        <w:rPr>
          <w:rFonts w:ascii="Times New Roman" w:eastAsia="Times New Roman" w:hAnsi="Times New Roman" w:cs="Times New Roman"/>
          <w:color w:val="000000" w:themeColor="text1"/>
        </w:rPr>
        <w:t xml:space="preserve">. </w:t>
      </w:r>
      <w:r w:rsidRPr="1BF77947" w:rsidR="00820C3A">
        <w:rPr>
          <w:rFonts w:ascii="Times New Roman" w:eastAsia="Times New Roman" w:hAnsi="Times New Roman" w:cs="Times New Roman"/>
          <w:color w:val="000000" w:themeColor="text1"/>
        </w:rPr>
        <w:t xml:space="preserve">In designing the proposed data collection activities, we </w:t>
      </w:r>
      <w:r w:rsidRPr="1BF77947" w:rsidR="00800620">
        <w:rPr>
          <w:rFonts w:ascii="Times New Roman" w:eastAsia="Times New Roman" w:hAnsi="Times New Roman" w:cs="Times New Roman"/>
          <w:color w:val="000000" w:themeColor="text1"/>
        </w:rPr>
        <w:t>took</w:t>
      </w:r>
      <w:r w:rsidRPr="1BF77947" w:rsidR="00820C3A">
        <w:rPr>
          <w:rFonts w:ascii="Times New Roman" w:eastAsia="Times New Roman" w:hAnsi="Times New Roman" w:cs="Times New Roman"/>
          <w:color w:val="000000" w:themeColor="text1"/>
        </w:rPr>
        <w:t xml:space="preserve"> several steps to ensure that this effort does not duplicate ongoing efforts and that no existing data sets would address the proposed study questions.</w:t>
      </w:r>
      <w:r w:rsidRPr="1BF77947" w:rsidR="00987F60">
        <w:rPr>
          <w:rFonts w:ascii="Times New Roman" w:eastAsia="Times New Roman" w:hAnsi="Times New Roman" w:cs="Times New Roman"/>
          <w:color w:val="000000" w:themeColor="text1"/>
        </w:rPr>
        <w:t xml:space="preserve"> We carefully reviewed existing data sets to determine whether any of them are sufficiently similar or could be modified to address FDA’s need for </w:t>
      </w:r>
      <w:r w:rsidRPr="1BF77947">
        <w:rPr>
          <w:rFonts w:ascii="Times New Roman" w:eastAsia="Times New Roman" w:hAnsi="Times New Roman" w:cs="Times New Roman"/>
          <w:color w:val="000000" w:themeColor="text1"/>
        </w:rPr>
        <w:t xml:space="preserve">evaluation </w:t>
      </w:r>
      <w:r w:rsidRPr="1BF77947" w:rsidR="00EC1852">
        <w:rPr>
          <w:rFonts w:ascii="Times New Roman" w:eastAsia="Times New Roman" w:hAnsi="Times New Roman" w:cs="Times New Roman"/>
          <w:color w:val="000000" w:themeColor="text1"/>
        </w:rPr>
        <w:t>data on the campaign</w:t>
      </w:r>
      <w:r w:rsidRPr="1BF77947" w:rsidR="00987F60">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 xml:space="preserve">Data sources we examined for this purpose include ongoing national surveillance systems such as the National </w:t>
      </w:r>
      <w:r w:rsidRPr="1BF77947" w:rsidR="00074DCB">
        <w:rPr>
          <w:rFonts w:ascii="Times New Roman" w:eastAsia="Times New Roman" w:hAnsi="Times New Roman" w:cs="Times New Roman"/>
          <w:color w:val="000000" w:themeColor="text1"/>
        </w:rPr>
        <w:t>Youth</w:t>
      </w:r>
      <w:r w:rsidRPr="1BF77947" w:rsidR="00025BEE">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Tobacco Survey (NYTS), the Youth Risk Behavior Surveillance System (YRBSS)</w:t>
      </w:r>
      <w:r w:rsidRPr="1BF77947" w:rsidR="008F272E">
        <w:rPr>
          <w:rFonts w:ascii="Times New Roman" w:eastAsia="Times New Roman" w:hAnsi="Times New Roman" w:cs="Times New Roman"/>
          <w:color w:val="000000" w:themeColor="text1"/>
        </w:rPr>
        <w:t>,</w:t>
      </w:r>
      <w:r w:rsidRPr="1BF77947" w:rsidR="00EB45BE">
        <w:rPr>
          <w:rFonts w:ascii="Times New Roman" w:eastAsia="Times New Roman" w:hAnsi="Times New Roman" w:cs="Times New Roman"/>
          <w:color w:val="000000" w:themeColor="text1"/>
        </w:rPr>
        <w:t xml:space="preserve"> </w:t>
      </w:r>
      <w:r w:rsidRPr="1BF77947" w:rsidR="00CE5FFE">
        <w:rPr>
          <w:rFonts w:ascii="Times New Roman" w:eastAsia="Times New Roman" w:hAnsi="Times New Roman" w:cs="Times New Roman"/>
          <w:color w:val="000000" w:themeColor="text1"/>
        </w:rPr>
        <w:t xml:space="preserve">the </w:t>
      </w:r>
      <w:r w:rsidRPr="1BF77947" w:rsidR="008D752E">
        <w:rPr>
          <w:rFonts w:ascii="Times New Roman" w:eastAsia="Times New Roman" w:hAnsi="Times New Roman" w:cs="Times New Roman"/>
          <w:color w:val="000000" w:themeColor="text1"/>
        </w:rPr>
        <w:t>National Health Interview Survey (NHIS)</w:t>
      </w:r>
      <w:r w:rsidRPr="1BF77947" w:rsidR="008F272E">
        <w:rPr>
          <w:rFonts w:ascii="Times New Roman" w:eastAsia="Times New Roman" w:hAnsi="Times New Roman" w:cs="Times New Roman"/>
          <w:color w:val="000000" w:themeColor="text1"/>
        </w:rPr>
        <w:t xml:space="preserve">, and the </w:t>
      </w:r>
      <w:r w:rsidRPr="1BF77947" w:rsidR="00CE5FFE">
        <w:rPr>
          <w:rFonts w:ascii="Times New Roman" w:eastAsia="Times New Roman" w:hAnsi="Times New Roman" w:cs="Times New Roman"/>
          <w:color w:val="000000" w:themeColor="text1"/>
        </w:rPr>
        <w:t>Population Assessment of Tobacco and Health (PATH)</w:t>
      </w:r>
      <w:r w:rsidRPr="1BF77947" w:rsidR="008F272E">
        <w:rPr>
          <w:rFonts w:ascii="Times New Roman" w:eastAsia="Times New Roman" w:hAnsi="Times New Roman" w:cs="Times New Roman"/>
          <w:color w:val="000000" w:themeColor="text1"/>
        </w:rPr>
        <w:t>.</w:t>
      </w:r>
      <w:r w:rsidRPr="1BF77947" w:rsidR="00CE5FFE">
        <w:rPr>
          <w:rFonts w:ascii="Times New Roman" w:eastAsia="Times New Roman" w:hAnsi="Times New Roman" w:cs="Times New Roman"/>
          <w:color w:val="000000" w:themeColor="text1"/>
        </w:rPr>
        <w:t xml:space="preserve"> </w:t>
      </w:r>
      <w:r w:rsidRPr="1BF77947" w:rsidR="00EB45BE">
        <w:rPr>
          <w:rFonts w:ascii="Times New Roman" w:eastAsia="Times New Roman" w:hAnsi="Times New Roman" w:cs="Times New Roman"/>
          <w:color w:val="000000" w:themeColor="text1"/>
        </w:rPr>
        <w:t xml:space="preserve">We also reviewed </w:t>
      </w:r>
      <w:r w:rsidRPr="1BF77947" w:rsidR="00CE5FFE">
        <w:rPr>
          <w:rFonts w:ascii="Times New Roman" w:eastAsia="Times New Roman" w:hAnsi="Times New Roman" w:cs="Times New Roman"/>
          <w:color w:val="000000" w:themeColor="text1"/>
        </w:rPr>
        <w:t xml:space="preserve">data collected to evaluate other national tobacco-focused media campaigns such as CDC’s Tips </w:t>
      </w:r>
      <w:r w:rsidRPr="1BF77947" w:rsidR="00CE5FFE">
        <w:rPr>
          <w:rFonts w:ascii="Times New Roman" w:eastAsia="Times New Roman" w:hAnsi="Times New Roman" w:cs="Times New Roman"/>
          <w:color w:val="000000" w:themeColor="text1"/>
        </w:rPr>
        <w:t>From</w:t>
      </w:r>
      <w:r w:rsidRPr="1BF77947" w:rsidR="00CE5FFE">
        <w:rPr>
          <w:rFonts w:ascii="Times New Roman" w:eastAsia="Times New Roman" w:hAnsi="Times New Roman" w:cs="Times New Roman"/>
          <w:color w:val="000000" w:themeColor="text1"/>
        </w:rPr>
        <w:t xml:space="preserve"> Former Smokers campaign. We concluded that these data sources do not include the measures</w:t>
      </w:r>
      <w:r w:rsidRPr="1BF77947" w:rsidR="00364525">
        <w:rPr>
          <w:rFonts w:ascii="Times New Roman" w:eastAsia="Times New Roman" w:hAnsi="Times New Roman" w:cs="Times New Roman"/>
          <w:color w:val="000000" w:themeColor="text1"/>
        </w:rPr>
        <w:t xml:space="preserve">, </w:t>
      </w:r>
      <w:r w:rsidRPr="1BF77947" w:rsidR="281E9A7C">
        <w:rPr>
          <w:rFonts w:ascii="Times New Roman" w:eastAsia="Times New Roman" w:hAnsi="Times New Roman" w:cs="Times New Roman"/>
          <w:color w:val="000000" w:themeColor="text1"/>
        </w:rPr>
        <w:t xml:space="preserve">or </w:t>
      </w:r>
      <w:r w:rsidRPr="1BF77947" w:rsidR="00364525">
        <w:rPr>
          <w:rFonts w:ascii="Times New Roman" w:eastAsia="Times New Roman" w:hAnsi="Times New Roman" w:cs="Times New Roman"/>
          <w:color w:val="000000" w:themeColor="text1"/>
        </w:rPr>
        <w:t>frequency</w:t>
      </w:r>
      <w:r w:rsidRPr="1BF77947" w:rsidR="00EB45BE">
        <w:rPr>
          <w:rFonts w:ascii="Times New Roman" w:eastAsia="Times New Roman" w:hAnsi="Times New Roman" w:cs="Times New Roman"/>
          <w:color w:val="000000" w:themeColor="text1"/>
        </w:rPr>
        <w:t xml:space="preserve"> of data collection</w:t>
      </w:r>
      <w:r w:rsidRPr="1BF77947" w:rsidR="00364525">
        <w:rPr>
          <w:rFonts w:ascii="Times New Roman" w:eastAsia="Times New Roman" w:hAnsi="Times New Roman" w:cs="Times New Roman"/>
          <w:color w:val="000000" w:themeColor="text1"/>
        </w:rPr>
        <w:t>,</w:t>
      </w:r>
      <w:r w:rsidRPr="1BF77947" w:rsidR="00CE5FFE">
        <w:rPr>
          <w:rFonts w:ascii="Times New Roman" w:eastAsia="Times New Roman" w:hAnsi="Times New Roman" w:cs="Times New Roman"/>
          <w:color w:val="000000" w:themeColor="text1"/>
        </w:rPr>
        <w:t xml:space="preserve"> needed to </w:t>
      </w:r>
      <w:r w:rsidRPr="1BF77947" w:rsidR="00F24B8A">
        <w:rPr>
          <w:rFonts w:ascii="Times New Roman" w:eastAsia="Times New Roman" w:hAnsi="Times New Roman" w:cs="Times New Roman"/>
          <w:color w:val="000000" w:themeColor="text1"/>
        </w:rPr>
        <w:t>evaluate the potential effects of the campaign</w:t>
      </w:r>
      <w:r w:rsidRPr="1BF77947" w:rsidR="00F402A8">
        <w:rPr>
          <w:rFonts w:ascii="Times New Roman" w:eastAsia="Times New Roman" w:hAnsi="Times New Roman" w:cs="Times New Roman"/>
          <w:color w:val="000000" w:themeColor="text1"/>
        </w:rPr>
        <w:t>.</w:t>
      </w:r>
      <w:r w:rsidRPr="1BF77947" w:rsidR="007A7AC4">
        <w:rPr>
          <w:rFonts w:ascii="Times New Roman" w:eastAsia="Times New Roman" w:hAnsi="Times New Roman" w:cs="Times New Roman"/>
          <w:color w:val="000000" w:themeColor="text1"/>
        </w:rPr>
        <w:t xml:space="preserve"> </w:t>
      </w:r>
      <w:r w:rsidRPr="00A80641" w:rsidR="00A80641">
        <w:rPr>
          <w:rFonts w:ascii="Times New Roman" w:eastAsia="Times New Roman" w:hAnsi="Times New Roman" w:cs="Times New Roman"/>
          <w:color w:val="000000" w:themeColor="text1"/>
        </w:rPr>
        <w:t>This information collection therefore does not duplicate previous efforts.</w:t>
      </w:r>
    </w:p>
    <w:p w:rsidR="00CF5A7E" w:rsidRPr="008265FC" w:rsidP="00BE1FCB" w14:paraId="6CE16F4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1F766350" w14:textId="77777777">
      <w:pPr>
        <w:ind w:left="180"/>
        <w:rPr>
          <w:rFonts w:ascii="Times New Roman" w:eastAsia="Times New Roman" w:hAnsi="Times New Roman" w:cs="Times New Roman"/>
          <w:b/>
          <w:bCs/>
          <w:szCs w:val="24"/>
        </w:rPr>
      </w:pPr>
      <w:bookmarkStart w:id="5" w:name="_Toc239649225"/>
      <w:r w:rsidRPr="008265FC">
        <w:rPr>
          <w:rFonts w:ascii="Times New Roman" w:eastAsia="Times New Roman" w:hAnsi="Times New Roman" w:cs="Times New Roman"/>
          <w:b/>
          <w:bCs/>
          <w:szCs w:val="24"/>
        </w:rPr>
        <w:t>5.</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Impact on Small Businesses or Other Small Entities</w:t>
      </w:r>
      <w:bookmarkEnd w:id="5"/>
    </w:p>
    <w:p w:rsidR="00BE1FCB" w:rsidRPr="00BB4995" w:rsidP="00BB4995" w14:paraId="1BCCC536" w14:textId="77777777">
      <w:bookmarkStart w:id="6" w:name="_Toc239649226"/>
    </w:p>
    <w:p w:rsidR="00BE1FCB" w:rsidRPr="00023F39" w:rsidP="00023F39" w14:paraId="19B67798" w14:textId="77777777">
      <w:pPr>
        <w:ind w:left="180"/>
        <w:rPr>
          <w:rFonts w:ascii="Times New Roman" w:eastAsia="Times New Roman" w:hAnsi="Times New Roman" w:cs="Times New Roman"/>
          <w:color w:val="000000"/>
          <w:szCs w:val="24"/>
        </w:rPr>
      </w:pPr>
      <w:r w:rsidRPr="00023F39">
        <w:rPr>
          <w:rFonts w:ascii="Times New Roman" w:eastAsia="Times New Roman" w:hAnsi="Times New Roman" w:cs="Times New Roman"/>
          <w:color w:val="000000"/>
          <w:szCs w:val="24"/>
        </w:rPr>
        <w:t xml:space="preserve">Respondents in this study will be members of the </w:t>
      </w:r>
      <w:r w:rsidRPr="00023F39">
        <w:rPr>
          <w:rFonts w:ascii="Times New Roman" w:eastAsia="Times New Roman" w:hAnsi="Times New Roman" w:cs="Times New Roman"/>
          <w:color w:val="000000"/>
          <w:szCs w:val="24"/>
        </w:rPr>
        <w:t>general public</w:t>
      </w:r>
      <w:r w:rsidRPr="00023F39">
        <w:rPr>
          <w:rFonts w:ascii="Times New Roman" w:eastAsia="Times New Roman" w:hAnsi="Times New Roman" w:cs="Times New Roman"/>
          <w:color w:val="000000"/>
          <w:szCs w:val="24"/>
        </w:rPr>
        <w:t>, specific subpopulations or specific professions, not business entities. No impact on small businesses or other small entities is anticipated.</w:t>
      </w:r>
    </w:p>
    <w:p w:rsidR="00BE1FCB" w:rsidRPr="008265FC" w:rsidP="00BE1FCB" w14:paraId="6CDA619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6.</w:t>
      </w:r>
      <w:r>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Consequence of Collecting the Information Less Frequently</w:t>
      </w:r>
      <w:bookmarkEnd w:id="6"/>
    </w:p>
    <w:p w:rsidR="00BE1FCB" w:rsidRPr="00BB4995" w:rsidP="00BB4995" w14:paraId="10DEC27D" w14:textId="77777777"/>
    <w:p w:rsidR="003477BF" w:rsidRPr="00023F39" w:rsidP="7DC1110E" w14:paraId="4CD7E6CA" w14:textId="77777777">
      <w:pPr>
        <w:ind w:left="180"/>
        <w:rPr>
          <w:rFonts w:ascii="Times New Roman" w:eastAsia="Times New Roman" w:hAnsi="Times New Roman" w:cs="Times New Roman"/>
          <w:color w:val="000000"/>
        </w:rPr>
      </w:pPr>
      <w:bookmarkStart w:id="7" w:name="_Toc239649227"/>
      <w:r w:rsidRPr="1BF77947">
        <w:rPr>
          <w:rFonts w:ascii="Times New Roman" w:eastAsia="Times New Roman" w:hAnsi="Times New Roman" w:cs="Times New Roman"/>
          <w:color w:val="000000" w:themeColor="text1"/>
        </w:rPr>
        <w:t xml:space="preserve">Participants in this evaluation </w:t>
      </w:r>
      <w:r w:rsidRPr="1BF77947" w:rsidR="003426BD">
        <w:rPr>
          <w:rFonts w:ascii="Times New Roman" w:eastAsia="Times New Roman" w:hAnsi="Times New Roman" w:cs="Times New Roman"/>
          <w:color w:val="000000" w:themeColor="text1"/>
        </w:rPr>
        <w:t xml:space="preserve">study </w:t>
      </w:r>
      <w:r w:rsidRPr="1BF77947">
        <w:rPr>
          <w:rFonts w:ascii="Times New Roman" w:eastAsia="Times New Roman" w:hAnsi="Times New Roman" w:cs="Times New Roman"/>
          <w:color w:val="000000" w:themeColor="text1"/>
        </w:rPr>
        <w:t>are surveyed on a</w:t>
      </w:r>
      <w:r w:rsidRPr="1BF77947" w:rsidR="00916552">
        <w:rPr>
          <w:rFonts w:ascii="Times New Roman" w:eastAsia="Times New Roman" w:hAnsi="Times New Roman" w:cs="Times New Roman"/>
          <w:color w:val="000000" w:themeColor="text1"/>
        </w:rPr>
        <w:t xml:space="preserve">pproximately a </w:t>
      </w:r>
      <w:r w:rsidRPr="1BF77947" w:rsidR="613C10E4">
        <w:rPr>
          <w:rFonts w:ascii="Times New Roman" w:eastAsia="Times New Roman" w:hAnsi="Times New Roman" w:cs="Times New Roman"/>
          <w:color w:val="000000" w:themeColor="text1"/>
        </w:rPr>
        <w:t>six-month</w:t>
      </w:r>
      <w:r w:rsidRPr="1BF77947" w:rsidR="009618F3">
        <w:rPr>
          <w:rFonts w:ascii="Times New Roman" w:eastAsia="Times New Roman" w:hAnsi="Times New Roman" w:cs="Times New Roman"/>
          <w:color w:val="000000" w:themeColor="text1"/>
        </w:rPr>
        <w:t xml:space="preserve"> </w:t>
      </w:r>
      <w:r w:rsidRPr="1BF77947">
        <w:rPr>
          <w:rFonts w:ascii="Times New Roman" w:eastAsia="Times New Roman" w:hAnsi="Times New Roman" w:cs="Times New Roman"/>
          <w:color w:val="000000" w:themeColor="text1"/>
        </w:rPr>
        <w:t xml:space="preserve">basis. While there are no legal obstacles to reduce burden, lack of information needed to evaluate the FDA’s youth tobacco </w:t>
      </w:r>
      <w:r w:rsidRPr="1BF77947" w:rsidR="003426BD">
        <w:rPr>
          <w:rFonts w:ascii="Times New Roman" w:eastAsia="Times New Roman" w:hAnsi="Times New Roman" w:cs="Times New Roman"/>
          <w:color w:val="000000" w:themeColor="text1"/>
        </w:rPr>
        <w:t>education</w:t>
      </w:r>
      <w:r w:rsidRPr="1BF77947">
        <w:rPr>
          <w:rFonts w:ascii="Times New Roman" w:eastAsia="Times New Roman" w:hAnsi="Times New Roman" w:cs="Times New Roman"/>
          <w:color w:val="000000" w:themeColor="text1"/>
        </w:rPr>
        <w:t xml:space="preserve"> campaign may impede the federal government’s efforts to improve public health. Without the information collection requested for this evaluation study, it would be difficult to determine the value or impact of the campaign on the lives of the people they are intended to serve. Failure to collect these data could reduce effective use of FDA’s program resources to benefit youth in the United States. Careful consideration has been given to how frequently the campaign</w:t>
      </w:r>
      <w:r w:rsidRPr="1BF77947" w:rsidR="00FA12F2">
        <w:rPr>
          <w:rFonts w:ascii="Times New Roman" w:eastAsia="Times New Roman" w:hAnsi="Times New Roman" w:cs="Times New Roman"/>
          <w:color w:val="000000" w:themeColor="text1"/>
        </w:rPr>
        <w:t>’s</w:t>
      </w:r>
      <w:r w:rsidRPr="1BF77947">
        <w:rPr>
          <w:rFonts w:ascii="Times New Roman" w:eastAsia="Times New Roman" w:hAnsi="Times New Roman" w:cs="Times New Roman"/>
          <w:color w:val="000000" w:themeColor="text1"/>
        </w:rPr>
        <w:t xml:space="preserve"> intended audience should be surveyed for evaluation purposes. We believe the longitudinal evaluation design will provide sufficient data to evaluate the campaign effectively.</w:t>
      </w:r>
    </w:p>
    <w:p w:rsidR="00BE1FCB" w:rsidRPr="00BB4995" w:rsidP="00BB4995" w14:paraId="11BDA1C3" w14:textId="77777777"/>
    <w:p w:rsidR="00BE1FCB" w:rsidRPr="008265FC" w:rsidP="00BE1FCB" w14:paraId="32F3692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szCs w:val="24"/>
        </w:rPr>
      </w:pPr>
      <w:r w:rsidRPr="008265FC">
        <w:rPr>
          <w:rFonts w:ascii="Times New Roman" w:eastAsia="Times New Roman" w:hAnsi="Times New Roman" w:cs="Times New Roman"/>
          <w:b/>
          <w:bCs/>
          <w:szCs w:val="24"/>
        </w:rPr>
        <w:t>7.</w:t>
      </w:r>
      <w:r>
        <w:rPr>
          <w:rFonts w:ascii="Times New Roman" w:eastAsia="Times New Roman" w:hAnsi="Times New Roman" w:cs="Times New Roman"/>
          <w:b/>
          <w:szCs w:val="24"/>
        </w:rPr>
        <w:t xml:space="preserve"> </w:t>
      </w:r>
      <w:r w:rsidRPr="008265FC">
        <w:rPr>
          <w:rFonts w:ascii="Times New Roman" w:eastAsia="Times New Roman" w:hAnsi="Times New Roman" w:cs="Times New Roman"/>
          <w:b/>
          <w:bCs/>
          <w:szCs w:val="24"/>
          <w:u w:val="single"/>
        </w:rPr>
        <w:t>Special Circumstances Relating to the Guidelines of 5 CFR 1320.5</w:t>
      </w:r>
      <w:bookmarkEnd w:id="7"/>
    </w:p>
    <w:p w:rsidR="00BE1FCB" w:rsidRPr="008265FC" w:rsidP="00BE1FCB" w14:paraId="3F165A5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023F39" w:rsidP="00023F39" w14:paraId="579536B0" w14:textId="77777777">
      <w:pPr>
        <w:ind w:left="180"/>
        <w:rPr>
          <w:rFonts w:ascii="Times New Roman" w:eastAsia="Times New Roman" w:hAnsi="Times New Roman" w:cs="Times New Roman"/>
          <w:color w:val="000000"/>
          <w:szCs w:val="24"/>
        </w:rPr>
      </w:pPr>
      <w:r w:rsidRPr="00023F39">
        <w:rPr>
          <w:rFonts w:ascii="Times New Roman" w:eastAsia="Times New Roman" w:hAnsi="Times New Roman" w:cs="Times New Roman"/>
          <w:color w:val="000000"/>
          <w:szCs w:val="24"/>
        </w:rPr>
        <w:t>There are no special circumstances for this collection of information that require the data collection to be conducted in a manner inconsistent with 5 CRF 1320.5(d)(2). The message testing activities fully comply with the guidelines in 5 CFR 1320.5.</w:t>
      </w:r>
    </w:p>
    <w:p w:rsidR="00BE1FCB" w:rsidRPr="008265FC" w:rsidP="00BE1FCB" w14:paraId="125FF1C8"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Courier 10cpi" w:eastAsia="Times New Roman" w:hAnsi="Courier 10cpi" w:cs="Times New Roman"/>
          <w:sz w:val="20"/>
          <w:szCs w:val="20"/>
        </w:rPr>
      </w:pPr>
    </w:p>
    <w:p w:rsidR="00BE1FCB" w:rsidRPr="00D81A51" w:rsidP="1E0F7B59" w14:paraId="05CB321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8" w:name="_Toc239649228"/>
      <w:r w:rsidRPr="5A751C2D">
        <w:rPr>
          <w:rFonts w:ascii="Times New Roman" w:eastAsia="Times New Roman" w:hAnsi="Times New Roman" w:cs="Times New Roman"/>
          <w:b/>
          <w:bCs/>
        </w:rPr>
        <w:t xml:space="preserve">8. </w:t>
      </w:r>
      <w:r w:rsidRPr="5A751C2D">
        <w:rPr>
          <w:rFonts w:ascii="Times New Roman" w:eastAsia="Times New Roman" w:hAnsi="Times New Roman" w:cs="Times New Roman"/>
          <w:b/>
          <w:bCs/>
          <w:u w:val="single"/>
        </w:rPr>
        <w:t>Comments in Response to the Federal Register Notice and Efforts to Consult Outside</w:t>
      </w:r>
      <w:bookmarkStart w:id="9" w:name="_Toc239649229"/>
      <w:bookmarkEnd w:id="8"/>
      <w:r w:rsidRPr="5A751C2D" w:rsidR="00D81A51">
        <w:rPr>
          <w:rFonts w:ascii="Times New Roman" w:eastAsia="Times New Roman" w:hAnsi="Times New Roman" w:cs="Times New Roman"/>
          <w:b/>
          <w:bCs/>
          <w:u w:val="single"/>
        </w:rPr>
        <w:t xml:space="preserve"> </w:t>
      </w:r>
      <w:r w:rsidRPr="5A751C2D">
        <w:rPr>
          <w:rFonts w:ascii="Times New Roman" w:eastAsia="Times New Roman" w:hAnsi="Times New Roman" w:cs="Times New Roman"/>
          <w:b/>
          <w:bCs/>
          <w:color w:val="000000" w:themeColor="text1"/>
          <w:u w:val="single"/>
        </w:rPr>
        <w:t>Agency</w:t>
      </w:r>
      <w:bookmarkEnd w:id="9"/>
    </w:p>
    <w:p w:rsidR="00BE1FCB" w:rsidRPr="00BB4995" w:rsidP="00BB4995" w14:paraId="5F4D6B2E" w14:textId="77777777"/>
    <w:p w:rsidR="00961ED0" w:rsidP="00DC3C49" w14:paraId="3815A0D9" w14:textId="77777777">
      <w:pPr>
        <w:ind w:left="180"/>
        <w:jc w:val="both"/>
        <w:rPr>
          <w:rFonts w:ascii="Times New Roman" w:eastAsia="Times New Roman" w:hAnsi="Times New Roman" w:cs="Times New Roman"/>
          <w:color w:val="000000" w:themeColor="text1"/>
        </w:rPr>
      </w:pPr>
      <w:r w:rsidRPr="52D1EF72">
        <w:rPr>
          <w:rFonts w:ascii="Times New Roman" w:eastAsia="Times New Roman" w:hAnsi="Times New Roman" w:cs="Times New Roman"/>
          <w:color w:val="000000" w:themeColor="text1"/>
        </w:rPr>
        <w:t>In accordance with 5 CFR 1320.8(d), FDA published a 60-day notice for public comment in the Federal Register of July 26, 2022 (87 FR 44409). FDA received one PRA related comment.</w:t>
      </w:r>
    </w:p>
    <w:p w:rsidR="00961ED0" w:rsidP="002E0AD3" w14:paraId="30C87635" w14:textId="77777777">
      <w:pPr>
        <w:ind w:left="180"/>
        <w:jc w:val="both"/>
        <w:rPr>
          <w:rFonts w:ascii="Times New Roman" w:eastAsia="Times New Roman" w:hAnsi="Times New Roman" w:cs="Times New Roman"/>
          <w:color w:val="000000" w:themeColor="text1"/>
        </w:rPr>
      </w:pPr>
    </w:p>
    <w:p w:rsidR="005F5181" w:rsidP="005F5181" w14:paraId="156B8CC6" w14:textId="77777777">
      <w:pPr>
        <w:ind w:left="180"/>
        <w:rPr>
          <w:rFonts w:ascii="Times New Roman" w:eastAsia="Times New Roman" w:hAnsi="Times New Roman" w:cs="Times New Roman"/>
          <w:color w:val="000000" w:themeColor="text1"/>
        </w:rPr>
      </w:pPr>
      <w:bookmarkStart w:id="10" w:name="_Hlk121756882"/>
      <w:bookmarkStart w:id="11" w:name="_Hlk121498957"/>
      <w:r w:rsidRPr="005F5181">
        <w:rPr>
          <w:rFonts w:ascii="Times New Roman" w:eastAsia="Times New Roman" w:hAnsi="Times New Roman" w:cs="Times New Roman"/>
          <w:color w:val="000000" w:themeColor="text1"/>
        </w:rPr>
        <w:t xml:space="preserve">(Comment) The commentor does not support this data collection and expressed concerns with collecting data from those who identify as LGBTQ+. The rational for not collecting these data is because those who identify as LGBTQ+ are at risk for privacy and security concerns by asking them to report their sexual orientation or gender identification. The commentor believes this type of questioning is invasive and may expose LGBTQ+ members to further bias and discrimination. Further, the commentor believes that FDA’s proposal to target LGBTQ+ youth aged 11-17 is concerning as youth can be particularly vulnerable to exploitation for two reasons: (1) their minds are still developing, and (2) “function creep” occurs when data is collected for one reason and can then be utilized for other, non-intended purposes. </w:t>
      </w:r>
    </w:p>
    <w:p w:rsidR="005F5181" w:rsidRPr="005F5181" w:rsidP="005F5181" w14:paraId="5A044046" w14:textId="77777777">
      <w:pPr>
        <w:ind w:left="180"/>
        <w:rPr>
          <w:rFonts w:ascii="Times New Roman" w:eastAsia="Times New Roman" w:hAnsi="Times New Roman" w:cs="Times New Roman"/>
          <w:color w:val="000000" w:themeColor="text1"/>
        </w:rPr>
      </w:pPr>
    </w:p>
    <w:p w:rsidR="005F5181" w:rsidRPr="005F5181" w:rsidP="005F5181" w14:paraId="7022AE0B"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(Response) FDA appreciates the comment in response to the 60-day. We provide more information below about why this is an important opportunity to support LGBTQ+ youth populations and how the FDA is proposing to carry out in a manner that minimizes risks, while building credible and useful evidence about LGBTQ+ youth populations. This data will be used to inform tobacco public education campaigns that aim to reduce tobacco use disparities, including among LGBTQ+ populations. Recent data from the 2021 National Youth Tobacco Survey demonstrates that teens who are sexual or gender minorities have higher rates of cigarette and e-cigarette use compared to heterosexual teens. For example, 6.0% of heterosexual teens reported ever experimenting with cigarettes, compared to 10.9% of gay or lesbian teens, 15.6% of bisexual male teens, 14.0% of bisexual female teens, and 11.2% of teens who are transgender. Furthermore, 17.9% of heterosexual teens reported ever using e-cigarettes, compared to 27.3% of bisexual male teens, 29.6% of bisexual female teens, and </w:t>
      </w:r>
      <w:r w:rsidRPr="005F5181">
        <w:rPr>
          <w:rFonts w:ascii="Times New Roman" w:eastAsia="Times New Roman" w:hAnsi="Times New Roman" w:cs="Times New Roman"/>
          <w:color w:val="000000" w:themeColor="text1"/>
        </w:rPr>
        <w:t>30.7% of teens who are transgender. This is credible evidence as to why LGBTQ+ youth are priority populations when it comes to minimizing health disparities.</w:t>
      </w:r>
    </w:p>
    <w:p w:rsidR="005F5181" w:rsidP="005F5181" w14:paraId="7D7BDC6B"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cited negative impact raised by the commentor, in which data collected are misused to the detriment of LGBTQ+ youth, is mitigated by the extensive, specific, and efficacious measures and practices put in place by the FDA and its contractors to secure data privacy and avoid individual harm. This is not a broad data collection effort but rather data collection limited in nature solely for the purpose of collecting data to answer a circumscribed set of questions that will support the FDA’s mission of Protecting and Promoting Public Health which includes LGBTQ+ youth populations. </w:t>
      </w:r>
    </w:p>
    <w:p w:rsidR="005F5181" w:rsidRPr="005F5181" w:rsidP="005F5181" w14:paraId="13C401F7" w14:textId="77777777">
      <w:pPr>
        <w:ind w:left="180"/>
        <w:rPr>
          <w:rFonts w:ascii="Times New Roman" w:eastAsia="Times New Roman" w:hAnsi="Times New Roman" w:cs="Times New Roman"/>
          <w:color w:val="000000" w:themeColor="text1"/>
        </w:rPr>
      </w:pPr>
    </w:p>
    <w:bookmarkEnd w:id="10"/>
    <w:p w:rsidR="005F5181" w:rsidRPr="005F5181" w:rsidP="005F5181" w14:paraId="618C1567"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Advancing Health Equity.</w:t>
      </w:r>
    </w:p>
    <w:p w:rsidR="005F5181" w:rsidP="005F5181" w14:paraId="561E04DB"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FDA is committed to advancing health equity for LGBTQ+ youth. In accordance with the White House Executive Order on Advancing Equality for Lesbian, Gay, Bisexual, Transgender, Queer, and Intersex Individuals, this evaluation and its proposed data collection is one way in which FDA can meet its mission to protect youth, improve public health, and advance health equity for all Americans. Collecting data on the health and health behaviors (e.g., tobacco use) of LGBTQ+ youth is crucial to advancing health equity and reducing health disparities in these populations. The rationale for oversampling LGBTQ+ youth is supported by decades of research showing significant disparities in tobacco use by gender identity (e.g., Johnson et al, 2019; Delahanty et al, 2019), and sexual orientation (e.g., Johnson et al, 2019; McCabe et al., 2018). </w:t>
      </w:r>
      <w:r w:rsidRPr="005F5181">
        <w:rPr>
          <w:rFonts w:ascii="Times New Roman" w:eastAsia="Times New Roman" w:hAnsi="Times New Roman" w:cs="Times New Roman"/>
          <w:color w:val="000000" w:themeColor="text1"/>
        </w:rPr>
        <w:t>In order to</w:t>
      </w:r>
      <w:r w:rsidRPr="005F5181">
        <w:rPr>
          <w:rFonts w:ascii="Times New Roman" w:eastAsia="Times New Roman" w:hAnsi="Times New Roman" w:cs="Times New Roman"/>
          <w:color w:val="000000" w:themeColor="text1"/>
        </w:rPr>
        <w:t xml:space="preserve"> ensure that future tobacco public education campaigns effectively reach youth demographic groups experiencing tobacco use disparities (e.g., LGBTQ+ youth), it is necessary to collect data on these populations. Below we provide more information on how the FDA is taking the necessary precautions to maximize data privacy, security, and limiting data use </w:t>
      </w:r>
      <w:r w:rsidRPr="005F5181">
        <w:rPr>
          <w:rFonts w:ascii="Times New Roman" w:eastAsia="Times New Roman" w:hAnsi="Times New Roman" w:cs="Times New Roman"/>
          <w:color w:val="000000" w:themeColor="text1"/>
        </w:rPr>
        <w:t>in order to</w:t>
      </w:r>
      <w:r w:rsidRPr="005F5181">
        <w:rPr>
          <w:rFonts w:ascii="Times New Roman" w:eastAsia="Times New Roman" w:hAnsi="Times New Roman" w:cs="Times New Roman"/>
          <w:color w:val="000000" w:themeColor="text1"/>
        </w:rPr>
        <w:t xml:space="preserve"> advance scientific knowledge of LGBTQ+ youth populations.   </w:t>
      </w:r>
    </w:p>
    <w:p w:rsidR="005F5181" w:rsidRPr="005F5181" w:rsidP="005F5181" w14:paraId="58AD29BD" w14:textId="77777777">
      <w:pPr>
        <w:ind w:left="180"/>
        <w:rPr>
          <w:rFonts w:ascii="Times New Roman" w:eastAsia="Times New Roman" w:hAnsi="Times New Roman" w:cs="Times New Roman"/>
          <w:color w:val="000000" w:themeColor="text1"/>
        </w:rPr>
      </w:pPr>
    </w:p>
    <w:p w:rsidR="005F5181" w:rsidRPr="005F5181" w:rsidP="005F5181" w14:paraId="06270BE2"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b/>
          <w:bCs/>
          <w:color w:val="000000" w:themeColor="text1"/>
        </w:rPr>
        <w:t xml:space="preserve">Federal Priority to Advance LGBTQ+ Equality. </w:t>
      </w:r>
    </w:p>
    <w:p w:rsidR="005F5181" w:rsidP="005F5181" w14:paraId="22FF96E0"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Recently, the White House issued the Executive Order on Advancing Equality for Lesbian, Gay, Bisexual, Transgender, Queer, and Intersex Individuals, which outlines priority areas for federal agencies to collect sexual orientation and gender identity (SOGI) data. There are two areas in the order that makes the collection of SOGI data critical: (1) “advancing equity and full inclusion for LGBTQI+ individuals requires that the Federal Government use evidence and data to measure and address the disparities that LGBTQI+ individuals, families, and households face.” and (2) the order mandates Federal Agencies to, “describe disparities faced by LGBTQI+ individuals that could be better understood through Federal statistics and data collection” (White House Executive Order #14075, 2022). The White House further issued a Presidential Memorandum on Restoring Trust in Government Through Scientific Integrity and Evidence-Based Policymaking. This memo outlines the importance of evaluating government programs among demographic groups that are at risk to assess evaluation effects on critical constructs such as social equity and justice (The White House, 2021). Thus, the collection of SOGI data via this evaluation is not only advised at the Executive level, but also necessary to understand the evaluation effects on at-risk populations. By restricting the collection of these data, the issue of health disparities among LGBTQ+ youth will remain and be critically misunderstood, effectively rendering the group invisible for the purposes of resource allocation and support from the federal government.</w:t>
      </w:r>
    </w:p>
    <w:p w:rsidR="005F5181" w:rsidRPr="005F5181" w:rsidP="005F5181" w14:paraId="424BC493" w14:textId="77777777">
      <w:pPr>
        <w:ind w:left="180"/>
        <w:rPr>
          <w:rFonts w:ascii="Times New Roman" w:eastAsia="Times New Roman" w:hAnsi="Times New Roman" w:cs="Times New Roman"/>
          <w:color w:val="000000" w:themeColor="text1"/>
        </w:rPr>
      </w:pPr>
    </w:p>
    <w:p w:rsidR="005F5181" w:rsidRPr="005F5181" w:rsidP="005F5181" w14:paraId="6FC113E4"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b/>
          <w:bCs/>
          <w:color w:val="000000" w:themeColor="text1"/>
        </w:rPr>
        <w:t>Data Gaps.</w:t>
      </w:r>
      <w:r w:rsidRPr="005F5181">
        <w:rPr>
          <w:rFonts w:ascii="Times New Roman" w:eastAsia="Times New Roman" w:hAnsi="Times New Roman" w:cs="Times New Roman"/>
          <w:color w:val="000000" w:themeColor="text1"/>
        </w:rPr>
        <w:t xml:space="preserve"> </w:t>
      </w:r>
    </w:p>
    <w:p w:rsidR="005F5181" w:rsidP="005F5181" w14:paraId="5D24FF86"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By not addressing the gaps that exist in the data, this evaluation will be underpowered to support the needs of LGBTQ+ youth populations. The Institute of Medicine (IOM) stated the following, “the ability to address these [health] disparities [among LGBTQ+ youth] is hampered by our lack of knowledge about LGBT youth...efforts to survey young people about their sexual orientation have been fraught with difficulties at both the institutional review board and community levels. These barriers have impeded important developmental research” (Institute of Medicine, 2011, pg. 42). A barrier remains in the health communication field to develop interventions aimed at reducing disparities because thoughtful and properly collected data on this at-risk population remains sparse. The FDA cannot support LGBTQ+ youth populations via its programming and resources (i.e., public education campaigns) if it is not aware of how risk factors (such as attitudes, beliefs, and behaviors) may be associated with tobacco use among LGBTQ+ youth. </w:t>
      </w:r>
    </w:p>
    <w:p w:rsidR="005F5181" w:rsidRPr="005F5181" w:rsidP="005F5181" w14:paraId="6F6B8E85" w14:textId="77777777">
      <w:pPr>
        <w:ind w:left="180"/>
        <w:rPr>
          <w:rFonts w:ascii="Times New Roman" w:eastAsia="Times New Roman" w:hAnsi="Times New Roman" w:cs="Times New Roman"/>
          <w:color w:val="000000" w:themeColor="text1"/>
        </w:rPr>
      </w:pPr>
    </w:p>
    <w:p w:rsidR="005F5181" w:rsidRPr="005F5181" w:rsidP="005F5181" w14:paraId="0C47722A"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 xml:space="preserve">LGBTQ+ Population Visibility. </w:t>
      </w:r>
    </w:p>
    <w:p w:rsidR="005F5181" w:rsidP="005F5181" w14:paraId="2BF373D3"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In addition to federal requirements to collect SOGI data, LGBTQ+ community advocacy organizations are also encouraging the collection of these data from youth by routinely conducting surveys on the health of LGBTQ+ youth. The intent of these data </w:t>
      </w:r>
      <w:r w:rsidRPr="005F5181">
        <w:rPr>
          <w:rFonts w:ascii="Times New Roman" w:eastAsia="Times New Roman" w:hAnsi="Times New Roman" w:cs="Times New Roman"/>
          <w:color w:val="000000" w:themeColor="text1"/>
        </w:rPr>
        <w:t>are</w:t>
      </w:r>
      <w:r w:rsidRPr="005F5181">
        <w:rPr>
          <w:rFonts w:ascii="Times New Roman" w:eastAsia="Times New Roman" w:hAnsi="Times New Roman" w:cs="Times New Roman"/>
          <w:color w:val="000000" w:themeColor="text1"/>
        </w:rPr>
        <w:t xml:space="preserve"> to serve, support, and advocate for LGBTQ+ populations. For example, The Human Rights Campaign LGBTQ+ youth report (The Human Rights Campaign Foundation, 2018) and The Trevor Project National Survey on LGBTQ Youth Mental Health (The Trevor Project, 2020) are two community advocacy driven data collections that aim to support the needs of the LGBTQ+ population. Using these data collections, </w:t>
      </w:r>
      <w:r w:rsidRPr="005F5181">
        <w:rPr>
          <w:rFonts w:ascii="Times New Roman" w:eastAsia="Times New Roman" w:hAnsi="Times New Roman" w:cs="Times New Roman"/>
          <w:color w:val="000000" w:themeColor="text1"/>
        </w:rPr>
        <w:t>researchers</w:t>
      </w:r>
      <w:r w:rsidRPr="005F5181">
        <w:rPr>
          <w:rFonts w:ascii="Times New Roman" w:eastAsia="Times New Roman" w:hAnsi="Times New Roman" w:cs="Times New Roman"/>
          <w:color w:val="000000" w:themeColor="text1"/>
        </w:rPr>
        <w:t xml:space="preserve"> and advocates for LGBTQ+ advocates are trying to gain important insights into the disparities that these youth experience and identify opportunities to address these disparities. Not collecting data from LGBTQ+ in federal data collections would mean being out of touch with groups and people who advocate for this vulnerable population.  </w:t>
      </w:r>
    </w:p>
    <w:p w:rsidR="005F5181" w:rsidRPr="005F5181" w:rsidP="005F5181" w14:paraId="35AF32D4" w14:textId="77777777">
      <w:pPr>
        <w:ind w:left="180"/>
        <w:rPr>
          <w:rFonts w:ascii="Times New Roman" w:eastAsia="Times New Roman" w:hAnsi="Times New Roman" w:cs="Times New Roman"/>
          <w:color w:val="000000" w:themeColor="text1"/>
        </w:rPr>
      </w:pPr>
    </w:p>
    <w:p w:rsidR="005F5181" w:rsidRPr="005F5181" w:rsidP="005F5181" w14:paraId="1D3DCC4E"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 xml:space="preserve">Experience Collecting Sensitive Data. </w:t>
      </w:r>
    </w:p>
    <w:p w:rsidR="005F5181" w:rsidRPr="005F5181" w:rsidP="005F5181" w14:paraId="66D38548"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Collecting SOGI data is a commonplace procedure in federal surveys. Several federal surveys of youth populations, including the Population Assessment of Tobacco use and Health (PATH), National Youth Tobacco Survey (NYTS), and Youth Risk Behavior Surveillance System (YRBSS) routinely collect SOGI data (U.S. Department of Health and Human Services, 2022; Centers for Disease Control and Prevention, 2021a; Centers for Disease Control and Prevention, 2021b). Furthermore, several other federal surveys of youth collect information that is equally or more sensitive than collecting information on SOGI. For example, the </w:t>
      </w:r>
      <w:r w:rsidRPr="005F5181">
        <w:rPr>
          <w:rFonts w:ascii="Times New Roman" w:eastAsia="Times New Roman" w:hAnsi="Times New Roman" w:cs="Times New Roman"/>
          <w:color w:val="000000" w:themeColor="text1"/>
        </w:rPr>
        <w:t>aforementioned PATH</w:t>
      </w:r>
      <w:r w:rsidRPr="005F5181">
        <w:rPr>
          <w:rFonts w:ascii="Times New Roman" w:eastAsia="Times New Roman" w:hAnsi="Times New Roman" w:cs="Times New Roman"/>
          <w:color w:val="000000" w:themeColor="text1"/>
        </w:rPr>
        <w:t xml:space="preserve">, NYTS, and YRBSS surveys collect information on behaviors for which it is illegal for youth to engage, such as tobacco use, alcohol use, and marijuana use (U.S. Department of Health and Human Services, 2022; Centers for Disease Control and Prevention, 2021a; Centers for Disease Control and Prevention, 2021b). Furthermore, the YRBSS collects comprehensive and sensitive data on sexual behavior among youth in 9th through 12th grades (approximately 14 to 18 years of age) (Centers for Disease Control and Prevention, 2021b). Federal public health surveys routinely collect information on mental health, including suicidality. These are also highly stigmatized conditions/identities, but federal surveys of youth routinely collect these data from youth. For example, the YRBSS asks </w:t>
      </w:r>
      <w:r w:rsidRPr="005F5181">
        <w:rPr>
          <w:rFonts w:ascii="Times New Roman" w:eastAsia="Times New Roman" w:hAnsi="Times New Roman" w:cs="Times New Roman"/>
          <w:color w:val="000000" w:themeColor="text1"/>
        </w:rPr>
        <w:t>youth about both mental health concerns and suicidality, and the PATH survey asks about specific mental health diagnoses (Centers for Disease Control and Prevention, 2021b; U.S. Department of Health and Human Services, 2022). Given the frequency with which the federal government conducts surveys that contain SOGI, the FDA and its research partners bring extensive experience in the successful collection, management, and reporting of highly sensitive data to build credible and actionable evidence.</w:t>
      </w:r>
    </w:p>
    <w:p w:rsidR="00D20B41" w:rsidP="005F5181" w14:paraId="5BACF6CB" w14:textId="77777777">
      <w:pPr>
        <w:ind w:left="180"/>
        <w:rPr>
          <w:rFonts w:ascii="Times New Roman" w:eastAsia="Times New Roman" w:hAnsi="Times New Roman" w:cs="Times New Roman"/>
          <w:b/>
          <w:bCs/>
          <w:color w:val="000000" w:themeColor="text1"/>
        </w:rPr>
      </w:pPr>
    </w:p>
    <w:p w:rsidR="005F5181" w:rsidRPr="005F5181" w:rsidP="005F5181" w14:paraId="1584A935" w14:textId="77777777">
      <w:pPr>
        <w:ind w:left="180"/>
        <w:rPr>
          <w:rFonts w:ascii="Times New Roman" w:eastAsia="Times New Roman" w:hAnsi="Times New Roman" w:cs="Times New Roman"/>
          <w:b/>
          <w:bCs/>
          <w:color w:val="000000" w:themeColor="text1"/>
        </w:rPr>
      </w:pPr>
      <w:r w:rsidRPr="005F5181">
        <w:rPr>
          <w:rFonts w:ascii="Times New Roman" w:eastAsia="Times New Roman" w:hAnsi="Times New Roman" w:cs="Times New Roman"/>
          <w:b/>
          <w:bCs/>
          <w:color w:val="000000" w:themeColor="text1"/>
        </w:rPr>
        <w:t>Data Protections and Privacy</w:t>
      </w:r>
    </w:p>
    <w:p w:rsidR="005F5181" w:rsidRPr="005F5181" w:rsidP="005F5181" w14:paraId="1D5C1978"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Privacy Protection Procedures. Furthermore, the federal government’s data and privacy protection procedures are well-established and reviewed and approved by experts in data privacy. Both HHS and FDA privacy reviewed and approved a Privacy Impact Assessment for this study. We discuss these areas in further detail below.</w:t>
      </w:r>
    </w:p>
    <w:p w:rsidR="00E35017" w:rsidP="005F5181" w14:paraId="7149C172" w14:textId="77777777">
      <w:pPr>
        <w:ind w:left="180"/>
        <w:rPr>
          <w:rFonts w:ascii="Times New Roman" w:eastAsia="Times New Roman" w:hAnsi="Times New Roman" w:cs="Times New Roman"/>
          <w:color w:val="000000" w:themeColor="text1"/>
        </w:rPr>
      </w:pPr>
    </w:p>
    <w:p w:rsidR="005F5181" w:rsidP="005F5181" w14:paraId="358F1CBD"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Data security procedures are of the highest standard and actively implemented to ensure data are used as intended. Data are collected through a web-based survey hosted on two separate </w:t>
      </w:r>
      <w:r w:rsidRPr="005F5181">
        <w:rPr>
          <w:rFonts w:ascii="Times New Roman" w:eastAsia="Times New Roman" w:hAnsi="Times New Roman" w:cs="Times New Roman"/>
          <w:color w:val="000000" w:themeColor="text1"/>
        </w:rPr>
        <w:t>platforms;</w:t>
      </w:r>
      <w:r w:rsidRPr="005F5181">
        <w:rPr>
          <w:rFonts w:ascii="Times New Roman" w:eastAsia="Times New Roman" w:hAnsi="Times New Roman" w:cs="Times New Roman"/>
          <w:color w:val="000000" w:themeColor="text1"/>
        </w:rPr>
        <w:t xml:space="preserve"> Blaise for mail to web recruitment and Qualtrics for social media recruitment. Both platforms are used widely for statistical and scientific research and are secure. As described in more detail below, there are numerous security measures put in place to guard against breaches of data.  To date, no known breaches of data stored on these two platforms have occurred in RTI International (RTI) studies.</w:t>
      </w:r>
    </w:p>
    <w:p w:rsidR="00DA3449" w:rsidRPr="005F5181" w:rsidP="005F5181" w14:paraId="4E4E4EE8" w14:textId="77777777">
      <w:pPr>
        <w:ind w:left="180"/>
        <w:rPr>
          <w:rFonts w:ascii="Times New Roman" w:eastAsia="Times New Roman" w:hAnsi="Times New Roman" w:cs="Times New Roman"/>
          <w:color w:val="000000" w:themeColor="text1"/>
        </w:rPr>
      </w:pPr>
    </w:p>
    <w:p w:rsidR="005F5181" w:rsidP="005F5181" w14:paraId="2D3608BA"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Blaise survey will be hosted on RTI’s secure servers. Data are encrypted using https protocols and stored on secure Structured Query Language (SQL) databases. RTI will use a unique alphanumeric variable (i.e., Case ID) to connect screener data (that contain Personally Identifiable Information (PII)) and survey data (that do not contain PII) and determine if a participant has completed the survey. All data files will be stored together in Blaise within RTI servers. RTI servers are restricted, requiring credentials to access. Each project team is granted as-needed access only to the projects they are assigned and only RTI project team staff who need access to the data (for programming, sampling, recruitment, or analysis) will be granted access within project folders. FDA will not have access to survey data files during data collection. At the completion of data collection, the databases will be deleted from RTI’s Blaise account and remain only on RTI’s secure shared drive and RTI’s Federal Information Processing Standards (FIPS) 199 moderate </w:t>
      </w:r>
      <w:r w:rsidRPr="005F5181">
        <w:rPr>
          <w:rFonts w:ascii="Times New Roman" w:eastAsia="Times New Roman" w:hAnsi="Times New Roman" w:cs="Times New Roman"/>
          <w:color w:val="000000" w:themeColor="text1"/>
        </w:rPr>
        <w:t>server</w:t>
      </w:r>
      <w:r w:rsidRPr="005F5181">
        <w:rPr>
          <w:rFonts w:ascii="Times New Roman" w:eastAsia="Times New Roman" w:hAnsi="Times New Roman" w:cs="Times New Roman"/>
          <w:color w:val="000000" w:themeColor="text1"/>
        </w:rPr>
        <w:t>. The data on the FIPS 199 moderate server can only be accessed by connecting to a virtual desktop at a physical RTI location. Data files containing PII will be stored on the FIPS 199 moderate server for five years after the project has ended.</w:t>
      </w:r>
    </w:p>
    <w:p w:rsidR="00DA3449" w:rsidRPr="005F5181" w:rsidP="005F5181" w14:paraId="0CF9975F" w14:textId="77777777">
      <w:pPr>
        <w:ind w:left="180"/>
        <w:rPr>
          <w:rFonts w:ascii="Times New Roman" w:eastAsia="Times New Roman" w:hAnsi="Times New Roman" w:cs="Times New Roman"/>
          <w:color w:val="000000" w:themeColor="text1"/>
        </w:rPr>
      </w:pPr>
    </w:p>
    <w:p w:rsidR="005F5181" w:rsidP="005F5181" w14:paraId="5E30DC25"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The social media recruitment will be hosted on Qualtrics’ secured servers. RTI will use a unique alphanumeric variable (i.e., Case ID) to connect screener data (that contain Personally Identifiable Information (PII)) and survey data (that do not contain PII) and to determine if a participant has completed the survey. Screener data and survey data will be stored separately on Qualtrics servers and encrypted at rest. RTI will use a Secure Sockets Layer (SSL) connection to download data from Qualtrics servers to RTI servers. Once data are downloaded to RTI servers, RTI staff will follow the same protocol described for data collected through Blaise.   </w:t>
      </w:r>
    </w:p>
    <w:p w:rsidR="00DA3449" w:rsidRPr="005F5181" w:rsidP="005F5181" w14:paraId="137A5FF8" w14:textId="77777777">
      <w:pPr>
        <w:ind w:left="180"/>
        <w:rPr>
          <w:rFonts w:ascii="Times New Roman" w:eastAsia="Times New Roman" w:hAnsi="Times New Roman" w:cs="Times New Roman"/>
          <w:color w:val="000000" w:themeColor="text1"/>
        </w:rPr>
      </w:pPr>
    </w:p>
    <w:p w:rsidR="005F5181" w:rsidRPr="005F5181" w:rsidP="005F5181" w14:paraId="58C06F7B"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Data management procedures are carried out so that PII is stripped from individual records; it is not possible to disclose individual youth identities and experiences. No respondent identifiers will be contained in reports to FDA; results will only be presented in aggregate form and all data will be deidentified before delivery to FDA. Any data made available for public use will undergo additional scrutiny to remove small cell sizes with data, or combinations of data, that could be used to deduce the identity of participants. </w:t>
      </w:r>
    </w:p>
    <w:p w:rsidR="0083416F" w:rsidP="005F5181" w14:paraId="310CFED4" w14:textId="77777777">
      <w:pPr>
        <w:ind w:left="180"/>
        <w:rPr>
          <w:rFonts w:ascii="Times New Roman" w:eastAsia="Times New Roman" w:hAnsi="Times New Roman" w:cs="Times New Roman"/>
          <w:color w:val="000000" w:themeColor="text1"/>
        </w:rPr>
      </w:pPr>
    </w:p>
    <w:p w:rsidR="005F5181" w:rsidRPr="005F5181" w:rsidP="005F5181" w14:paraId="698198F9" w14:textId="0BDCCF65">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FDA's design of this evaluation and associated data collection is meant to be limited in scope to collect enough data to get sufficient information to inform understanding of FDA efforts. FDA has carefully weighed the benefit of collecting these data with potential risks.  While there are risks with any research, </w:t>
      </w:r>
      <w:r w:rsidRPr="005F5181">
        <w:rPr>
          <w:rFonts w:ascii="Times New Roman" w:eastAsia="Times New Roman" w:hAnsi="Times New Roman" w:cs="Times New Roman"/>
          <w:color w:val="000000" w:themeColor="text1"/>
        </w:rPr>
        <w:t>FDA</w:t>
      </w:r>
      <w:r w:rsidRPr="005F5181">
        <w:rPr>
          <w:rFonts w:ascii="Times New Roman" w:eastAsia="Times New Roman" w:hAnsi="Times New Roman" w:cs="Times New Roman"/>
          <w:color w:val="000000" w:themeColor="text1"/>
        </w:rPr>
        <w:t xml:space="preserve"> and its research partners (contractors like RTI) have demonstrated a track record of implementing high quality data collection efforts to support program improvement and ensuring that public resources are most effectively utilized. </w:t>
      </w:r>
    </w:p>
    <w:p w:rsidR="0083416F" w:rsidP="005F5181" w14:paraId="1AD4FEE2" w14:textId="77777777">
      <w:pPr>
        <w:ind w:left="180"/>
        <w:rPr>
          <w:rFonts w:ascii="Times New Roman" w:eastAsia="Times New Roman" w:hAnsi="Times New Roman" w:cs="Times New Roman"/>
          <w:color w:val="000000" w:themeColor="text1"/>
        </w:rPr>
      </w:pPr>
    </w:p>
    <w:p w:rsidR="005F5181" w:rsidRPr="005F5181" w:rsidP="005F5181" w14:paraId="2BD679C0" w14:textId="45E5C575">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Survey respondents have the option to only answer the items that they select to answer. They may end the survey at their discretion. We take every measure to ensure that respondents are aware of their choices and provide assent or consent to participate.</w:t>
      </w:r>
    </w:p>
    <w:p w:rsidR="0083416F" w:rsidP="005F5181" w14:paraId="34F569BA" w14:textId="77777777">
      <w:pPr>
        <w:ind w:left="180"/>
        <w:rPr>
          <w:rFonts w:ascii="Times New Roman" w:eastAsia="Times New Roman" w:hAnsi="Times New Roman" w:cs="Times New Roman"/>
          <w:color w:val="000000" w:themeColor="text1"/>
        </w:rPr>
      </w:pPr>
    </w:p>
    <w:p w:rsidR="005F5181" w:rsidP="005F5181" w14:paraId="5E0986CD" w14:textId="5A98DA23">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Before requesting any information from participants, RTI will provide information about data security and ways to request data removal from RTI databases. RTI will also inform participants that they can select “prefer not to answer” to any question and will recommend that participants complete the survey where no one can see their answers. RTI provides study information through informed consent and concludes the survey immediately for participants who state that they do not want to take the survey after reading the study information.</w:t>
      </w:r>
    </w:p>
    <w:p w:rsidR="005F5181" w:rsidRPr="005F5181" w:rsidP="005F5181" w14:paraId="2E854E53" w14:textId="77777777">
      <w:pPr>
        <w:ind w:left="180"/>
        <w:rPr>
          <w:rFonts w:ascii="Times New Roman" w:eastAsia="Times New Roman" w:hAnsi="Times New Roman" w:cs="Times New Roman"/>
          <w:color w:val="000000" w:themeColor="text1"/>
        </w:rPr>
      </w:pPr>
    </w:p>
    <w:p w:rsidR="005F5181" w:rsidRPr="005F5181" w:rsidP="005F5181" w14:paraId="4B1A968D"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b/>
          <w:bCs/>
          <w:color w:val="000000" w:themeColor="text1"/>
        </w:rPr>
        <w:t xml:space="preserve">Data Suppression Techniques. </w:t>
      </w:r>
    </w:p>
    <w:bookmarkEnd w:id="11"/>
    <w:p w:rsidR="00961ED0" w:rsidP="005F5181" w14:paraId="560E753D" w14:textId="77777777">
      <w:pPr>
        <w:ind w:left="180"/>
        <w:rPr>
          <w:rFonts w:ascii="Times New Roman" w:eastAsia="Times New Roman" w:hAnsi="Times New Roman" w:cs="Times New Roman"/>
          <w:color w:val="000000" w:themeColor="text1"/>
        </w:rPr>
      </w:pPr>
      <w:r w:rsidRPr="005F5181">
        <w:rPr>
          <w:rFonts w:ascii="Times New Roman" w:eastAsia="Times New Roman" w:hAnsi="Times New Roman" w:cs="Times New Roman"/>
          <w:color w:val="000000" w:themeColor="text1"/>
        </w:rPr>
        <w:t xml:space="preserve">Data suppression techniques will be used in addition to protect any PII data from collected from respondents in the evaluation. Data suppression is a tool to help understand in which cases data should not be reported </w:t>
      </w:r>
      <w:r w:rsidRPr="005F5181">
        <w:rPr>
          <w:rFonts w:ascii="Times New Roman" w:eastAsia="Times New Roman" w:hAnsi="Times New Roman" w:cs="Times New Roman"/>
          <w:color w:val="000000" w:themeColor="text1"/>
        </w:rPr>
        <w:t>in order to</w:t>
      </w:r>
      <w:r w:rsidRPr="005F5181">
        <w:rPr>
          <w:rFonts w:ascii="Times New Roman" w:eastAsia="Times New Roman" w:hAnsi="Times New Roman" w:cs="Times New Roman"/>
          <w:color w:val="000000" w:themeColor="text1"/>
        </w:rPr>
        <w:t xml:space="preserve"> mitigate disclosure of a participant’s identity or in cases where the estimates are deemed to be unstable (i.e., low precision). Guidelines provided from the Center for Tobacco Products (CTP) Office of Science (OS) guidelines, as well as the National Center for Health Statistics (NCHS) will be applied and enforcement of data suppression will occur if any of the following conditions are met: (1) The coefficient of variation of the proportion or estimate is &gt; 30% and/or (2) n &lt; 50, where n is the unweighted sample size in the denominator of the estimated proportion or the denominator used for calculating the estimate. Additional CTP/OS guidelines will be followed, </w:t>
      </w:r>
      <w:r w:rsidRPr="005F5181">
        <w:rPr>
          <w:rFonts w:ascii="Times New Roman" w:eastAsia="Times New Roman" w:hAnsi="Times New Roman" w:cs="Times New Roman"/>
          <w:color w:val="000000" w:themeColor="text1"/>
        </w:rPr>
        <w:t>in order to</w:t>
      </w:r>
      <w:r w:rsidRPr="005F5181">
        <w:rPr>
          <w:rFonts w:ascii="Times New Roman" w:eastAsia="Times New Roman" w:hAnsi="Times New Roman" w:cs="Times New Roman"/>
          <w:color w:val="000000" w:themeColor="text1"/>
        </w:rPr>
        <w:t xml:space="preserve"> protect sensitive data: (1) Each estimate (or table cell) must be generated based on a numerator of 3, including means, total, numerators of proportions, all table cell counts, and marginal counts. If an estimate is based on a numerator of 1 or 2, it will be combined with another category; (2) table differencing (i.e., calculating the sample size of a small cell from cells of another related table) will be mitigated and will ensure this by using consistent categories across tables; and (3) continuous/ordered variables will be presented so that extreme values pertaining to an individual are not evident.</w:t>
      </w:r>
    </w:p>
    <w:p w:rsidR="00961ED0" w:rsidP="00023F39" w14:paraId="03B49315" w14:textId="77777777">
      <w:pPr>
        <w:ind w:left="180"/>
        <w:rPr>
          <w:rFonts w:ascii="Times New Roman" w:eastAsia="Times New Roman" w:hAnsi="Times New Roman" w:cs="Times New Roman"/>
          <w:color w:val="000000" w:themeColor="text1"/>
        </w:rPr>
      </w:pPr>
    </w:p>
    <w:p w:rsidR="00F734AC" w:rsidRPr="00023F39" w:rsidP="00023F39" w14:paraId="417B5203" w14:textId="77777777">
      <w:pPr>
        <w:ind w:left="180"/>
        <w:rPr>
          <w:rFonts w:ascii="Times New Roman" w:eastAsia="Times New Roman" w:hAnsi="Times New Roman" w:cs="Times New Roman"/>
          <w:color w:val="000000"/>
        </w:rPr>
      </w:pPr>
      <w:r w:rsidRPr="09929043">
        <w:rPr>
          <w:rFonts w:ascii="Times New Roman" w:eastAsia="Times New Roman" w:hAnsi="Times New Roman" w:cs="Times New Roman"/>
          <w:color w:val="000000" w:themeColor="text1"/>
        </w:rPr>
        <w:t xml:space="preserve">The following individuals inside the agency have been consulted on the design of the </w:t>
      </w:r>
      <w:r w:rsidRPr="09929043" w:rsidR="002462E5">
        <w:rPr>
          <w:rFonts w:ascii="Times New Roman" w:eastAsia="Times New Roman" w:hAnsi="Times New Roman" w:cs="Times New Roman"/>
          <w:color w:val="000000" w:themeColor="text1"/>
        </w:rPr>
        <w:t>study</w:t>
      </w:r>
      <w:r w:rsidRPr="09929043">
        <w:rPr>
          <w:rFonts w:ascii="Times New Roman" w:eastAsia="Times New Roman" w:hAnsi="Times New Roman" w:cs="Times New Roman"/>
          <w:color w:val="000000" w:themeColor="text1"/>
        </w:rPr>
        <w:t xml:space="preserve">, </w:t>
      </w:r>
      <w:r w:rsidRPr="09929043" w:rsidR="00333524">
        <w:rPr>
          <w:rFonts w:ascii="Times New Roman" w:eastAsia="Times New Roman" w:hAnsi="Times New Roman" w:cs="Times New Roman"/>
          <w:color w:val="000000" w:themeColor="text1"/>
        </w:rPr>
        <w:t>instrument</w:t>
      </w:r>
      <w:r w:rsidRPr="09929043">
        <w:rPr>
          <w:rFonts w:ascii="Times New Roman" w:eastAsia="Times New Roman" w:hAnsi="Times New Roman" w:cs="Times New Roman"/>
          <w:color w:val="000000" w:themeColor="text1"/>
        </w:rPr>
        <w:t xml:space="preserve"> development, or intra-agency coordination of information collection efforts:</w:t>
      </w:r>
    </w:p>
    <w:p w:rsidR="00296200" w:rsidRPr="00296200" w:rsidP="6A88B60C" w14:paraId="32799444" w14:textId="77777777">
      <w:pPr>
        <w:ind w:left="180"/>
        <w:rPr>
          <w:rFonts w:ascii="Times New Roman" w:hAnsi="Times New Roman" w:cs="Times New Roman"/>
        </w:rPr>
      </w:pPr>
      <w:r w:rsidRPr="1BF77947">
        <w:rPr>
          <w:rFonts w:ascii="Times New Roman" w:hAnsi="Times New Roman" w:cs="Times New Roman"/>
        </w:rPr>
        <w:t>Lindsay Pitzer</w:t>
      </w:r>
    </w:p>
    <w:p w:rsidR="64B04409" w:rsidP="1BF77947" w14:paraId="7D39C7DF" w14:textId="4B1F6508">
      <w:pPr>
        <w:ind w:left="180"/>
        <w:rPr>
          <w:rFonts w:eastAsia="Calibri"/>
        </w:rPr>
      </w:pPr>
      <w:r>
        <w:rPr>
          <w:rFonts w:ascii="Times New Roman" w:eastAsia="Calibri" w:hAnsi="Times New Roman" w:cs="Times New Roman"/>
        </w:rPr>
        <w:t>Senior</w:t>
      </w:r>
      <w:r w:rsidRPr="1BF77947">
        <w:rPr>
          <w:rFonts w:ascii="Times New Roman" w:eastAsia="Calibri" w:hAnsi="Times New Roman" w:cs="Times New Roman"/>
        </w:rPr>
        <w:t xml:space="preserve"> </w:t>
      </w:r>
      <w:r w:rsidRPr="1BF77947" w:rsidR="00EF4C35">
        <w:rPr>
          <w:rFonts w:ascii="Times New Roman" w:eastAsia="Calibri" w:hAnsi="Times New Roman" w:cs="Times New Roman"/>
        </w:rPr>
        <w:t>Scientist</w:t>
      </w:r>
    </w:p>
    <w:p w:rsidR="00296200" w:rsidRPr="00296200" w:rsidP="00296200" w14:paraId="2CB5A7AE"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4FEE86D1"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0CB6DA25"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5DDB653A" w14:textId="77777777">
      <w:pPr>
        <w:ind w:left="180"/>
        <w:rPr>
          <w:rFonts w:ascii="Times New Roman" w:hAnsi="Times New Roman" w:cs="Times New Roman"/>
          <w:szCs w:val="24"/>
        </w:rPr>
      </w:pPr>
      <w:r w:rsidRPr="00296200">
        <w:rPr>
          <w:rFonts w:ascii="Times New Roman" w:hAnsi="Times New Roman" w:cs="Times New Roman"/>
          <w:szCs w:val="24"/>
        </w:rPr>
        <w:t>10903 New Hampshire Avenue</w:t>
      </w:r>
    </w:p>
    <w:p w:rsidR="00296200" w:rsidRPr="00296200" w:rsidP="00296200" w14:paraId="44C74D38"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2CEA2D72" w14:textId="77777777">
      <w:pPr>
        <w:ind w:left="180"/>
        <w:rPr>
          <w:rFonts w:ascii="Times New Roman" w:hAnsi="Times New Roman" w:cs="Times New Roman"/>
          <w:szCs w:val="24"/>
        </w:rPr>
      </w:pPr>
      <w:r w:rsidRPr="00296200">
        <w:rPr>
          <w:rFonts w:ascii="Times New Roman" w:hAnsi="Times New Roman" w:cs="Times New Roman"/>
          <w:szCs w:val="24"/>
        </w:rPr>
        <w:t>Phone:</w:t>
      </w:r>
      <w:r>
        <w:rPr>
          <w:rFonts w:ascii="Times New Roman" w:hAnsi="Times New Roman" w:cs="Times New Roman"/>
          <w:szCs w:val="24"/>
        </w:rPr>
        <w:t xml:space="preserve"> </w:t>
      </w:r>
      <w:r w:rsidRPr="00296200">
        <w:rPr>
          <w:rFonts w:ascii="Times New Roman" w:hAnsi="Times New Roman" w:cs="Times New Roman"/>
          <w:szCs w:val="24"/>
        </w:rPr>
        <w:t>240-620-9526</w:t>
      </w:r>
    </w:p>
    <w:p w:rsidR="00AE062B" w:rsidP="223F8F81" w14:paraId="2EDE288F" w14:textId="77777777">
      <w:pPr>
        <w:ind w:left="180"/>
        <w:rPr>
          <w:rFonts w:ascii="Times New Roman" w:hAnsi="Times New Roman" w:cs="Times New Roman"/>
        </w:rPr>
      </w:pPr>
      <w:r w:rsidRPr="223F8F81">
        <w:rPr>
          <w:rFonts w:ascii="Times New Roman" w:hAnsi="Times New Roman" w:cs="Times New Roman"/>
        </w:rPr>
        <w:t xml:space="preserve">E-mail: lindsay.pitzer@fda.hhs.gov </w:t>
      </w:r>
    </w:p>
    <w:p w:rsidR="00AE062B" w:rsidRPr="00296200" w:rsidP="00296200" w14:paraId="1BC6CDFE" w14:textId="77777777">
      <w:pPr>
        <w:ind w:left="180"/>
        <w:rPr>
          <w:rFonts w:ascii="Times New Roman" w:hAnsi="Times New Roman" w:cs="Times New Roman"/>
          <w:szCs w:val="24"/>
        </w:rPr>
      </w:pPr>
    </w:p>
    <w:p w:rsidR="09929043" w:rsidRPr="0091396D" w:rsidP="1BF77947" w14:paraId="1ECC9948" w14:textId="77777777">
      <w:pPr>
        <w:ind w:left="180"/>
        <w:rPr>
          <w:rFonts w:eastAsia="Calibri"/>
        </w:rPr>
      </w:pPr>
    </w:p>
    <w:p w:rsidR="5B67A2F7" w:rsidRPr="00BF5A80" w:rsidP="09929043" w14:paraId="2A211FBF" w14:textId="77777777">
      <w:pPr>
        <w:ind w:left="180"/>
        <w:rPr>
          <w:rFonts w:ascii="Times New Roman" w:hAnsi="Times New Roman" w:cs="Times New Roman"/>
        </w:rPr>
      </w:pPr>
      <w:r w:rsidRPr="1BF77947">
        <w:rPr>
          <w:rFonts w:ascii="Times New Roman" w:hAnsi="Times New Roman" w:cs="Times New Roman"/>
        </w:rPr>
        <w:t xml:space="preserve">Hibist Astatke </w:t>
      </w:r>
    </w:p>
    <w:p w:rsidR="5B67A2F7" w:rsidP="09929043" w14:paraId="53CBABE4" w14:textId="77777777">
      <w:pPr>
        <w:ind w:left="180"/>
        <w:rPr>
          <w:rFonts w:eastAsia="Calibri"/>
        </w:rPr>
      </w:pPr>
      <w:r w:rsidRPr="1BF77947">
        <w:rPr>
          <w:rFonts w:ascii="Times New Roman" w:eastAsia="Calibri" w:hAnsi="Times New Roman" w:cs="Times New Roman"/>
        </w:rPr>
        <w:t>Social Scientist</w:t>
      </w:r>
    </w:p>
    <w:p w:rsidR="5B67A2F7" w:rsidP="09929043" w14:paraId="478E2AEF" w14:textId="77777777">
      <w:pPr>
        <w:ind w:left="180"/>
        <w:rPr>
          <w:rFonts w:ascii="Times New Roman" w:hAnsi="Times New Roman" w:cs="Times New Roman"/>
        </w:rPr>
      </w:pPr>
      <w:r w:rsidRPr="1BF77947">
        <w:rPr>
          <w:rFonts w:ascii="Times New Roman" w:hAnsi="Times New Roman" w:cs="Times New Roman"/>
        </w:rPr>
        <w:t>Office of Health Communication &amp; Education</w:t>
      </w:r>
    </w:p>
    <w:p w:rsidR="5B67A2F7" w:rsidP="09929043" w14:paraId="3411FC40" w14:textId="77777777">
      <w:pPr>
        <w:ind w:left="180"/>
        <w:rPr>
          <w:rFonts w:ascii="Times New Roman" w:hAnsi="Times New Roman" w:cs="Times New Roman"/>
        </w:rPr>
      </w:pPr>
      <w:r w:rsidRPr="1BF77947">
        <w:rPr>
          <w:rFonts w:ascii="Times New Roman" w:hAnsi="Times New Roman" w:cs="Times New Roman"/>
        </w:rPr>
        <w:t>Center for Tobacco Products</w:t>
      </w:r>
    </w:p>
    <w:p w:rsidR="5B67A2F7" w:rsidP="09929043" w14:paraId="3106EC88" w14:textId="77777777">
      <w:pPr>
        <w:ind w:left="180"/>
        <w:rPr>
          <w:rFonts w:ascii="Times New Roman" w:hAnsi="Times New Roman" w:cs="Times New Roman"/>
        </w:rPr>
      </w:pPr>
      <w:r w:rsidRPr="1BF77947">
        <w:rPr>
          <w:rFonts w:ascii="Times New Roman" w:hAnsi="Times New Roman" w:cs="Times New Roman"/>
        </w:rPr>
        <w:t>Food and Drug Administration</w:t>
      </w:r>
    </w:p>
    <w:p w:rsidR="5B67A2F7" w:rsidP="09929043" w14:paraId="71ACE99B" w14:textId="77777777">
      <w:pPr>
        <w:ind w:left="180"/>
        <w:rPr>
          <w:rFonts w:ascii="Times New Roman" w:hAnsi="Times New Roman" w:cs="Times New Roman"/>
        </w:rPr>
      </w:pPr>
      <w:r w:rsidRPr="1BF77947">
        <w:rPr>
          <w:rFonts w:ascii="Times New Roman" w:hAnsi="Times New Roman" w:cs="Times New Roman"/>
        </w:rPr>
        <w:t>10903 New Hampshire Ave</w:t>
      </w:r>
    </w:p>
    <w:p w:rsidR="5B67A2F7" w:rsidP="09929043" w14:paraId="118AD519" w14:textId="77777777">
      <w:pPr>
        <w:ind w:left="180"/>
        <w:rPr>
          <w:rFonts w:ascii="Times New Roman" w:hAnsi="Times New Roman" w:cs="Times New Roman"/>
        </w:rPr>
      </w:pPr>
      <w:r w:rsidRPr="1BF77947">
        <w:rPr>
          <w:rFonts w:ascii="Times New Roman" w:hAnsi="Times New Roman" w:cs="Times New Roman"/>
        </w:rPr>
        <w:t>Silver Spring, MD 20993</w:t>
      </w:r>
    </w:p>
    <w:p w:rsidR="5B67A2F7" w:rsidP="00DA75C6" w14:paraId="161DE83E" w14:textId="77777777">
      <w:pPr>
        <w:tabs>
          <w:tab w:val="left" w:pos="7050"/>
        </w:tabs>
        <w:ind w:left="180"/>
        <w:rPr>
          <w:rFonts w:ascii="Times New Roman" w:hAnsi="Times New Roman" w:cs="Times New Roman"/>
        </w:rPr>
      </w:pPr>
      <w:r w:rsidRPr="1BF77947">
        <w:rPr>
          <w:rFonts w:ascii="Times New Roman" w:hAnsi="Times New Roman" w:cs="Times New Roman"/>
        </w:rPr>
        <w:t xml:space="preserve">Phone: </w:t>
      </w:r>
      <w:r w:rsidRPr="1BF77947" w:rsidR="5BA7D2AE">
        <w:rPr>
          <w:rFonts w:ascii="Times New Roman" w:hAnsi="Times New Roman" w:cs="Times New Roman"/>
        </w:rPr>
        <w:t>301-796-1038</w:t>
      </w:r>
      <w:r w:rsidR="00DA75C6">
        <w:rPr>
          <w:rFonts w:ascii="Times New Roman" w:hAnsi="Times New Roman" w:cs="Times New Roman"/>
        </w:rPr>
        <w:tab/>
      </w:r>
    </w:p>
    <w:p w:rsidR="5B67A2F7" w:rsidP="09929043" w14:paraId="146342EE" w14:textId="77777777">
      <w:pPr>
        <w:ind w:left="180"/>
        <w:rPr>
          <w:rFonts w:ascii="Times New Roman" w:hAnsi="Times New Roman" w:cs="Times New Roman"/>
        </w:rPr>
      </w:pPr>
      <w:r w:rsidRPr="1BF77947">
        <w:rPr>
          <w:rFonts w:ascii="Times New Roman" w:hAnsi="Times New Roman" w:cs="Times New Roman"/>
        </w:rPr>
        <w:t>E-mail: Hibist.Astatke@fda.hhs.gov</w:t>
      </w:r>
    </w:p>
    <w:p w:rsidR="00296200" w:rsidRPr="00296200" w:rsidP="00296200" w14:paraId="3F0B64F9" w14:textId="77777777">
      <w:pPr>
        <w:ind w:left="180"/>
        <w:rPr>
          <w:rFonts w:ascii="Times New Roman" w:hAnsi="Times New Roman" w:cs="Times New Roman"/>
          <w:szCs w:val="24"/>
        </w:rPr>
      </w:pPr>
    </w:p>
    <w:p w:rsidR="00296200" w:rsidRPr="00296200" w:rsidP="6A88B60C" w14:paraId="332D8D5C" w14:textId="77777777">
      <w:pPr>
        <w:ind w:left="180"/>
        <w:rPr>
          <w:rFonts w:ascii="Times New Roman" w:hAnsi="Times New Roman" w:cs="Times New Roman"/>
        </w:rPr>
      </w:pPr>
      <w:r w:rsidRPr="1BF77947">
        <w:rPr>
          <w:rFonts w:ascii="Times New Roman" w:hAnsi="Times New Roman" w:cs="Times New Roman"/>
        </w:rPr>
        <w:t>Debra Mekos</w:t>
      </w:r>
    </w:p>
    <w:p w:rsidR="00301609" w:rsidP="00301609" w14:paraId="1EE56E91" w14:textId="77777777">
      <w:pPr>
        <w:ind w:left="180"/>
        <w:rPr>
          <w:rFonts w:eastAsia="Calibri"/>
        </w:rPr>
      </w:pPr>
      <w:r w:rsidRPr="1BF77947">
        <w:rPr>
          <w:rFonts w:ascii="Times New Roman" w:eastAsia="Calibri" w:hAnsi="Times New Roman" w:cs="Times New Roman"/>
        </w:rPr>
        <w:t>Social Scientist</w:t>
      </w:r>
    </w:p>
    <w:p w:rsidR="00296200" w:rsidRPr="00296200" w:rsidP="00296200" w14:paraId="66C7F691" w14:textId="77777777">
      <w:pPr>
        <w:ind w:left="180"/>
        <w:rPr>
          <w:rFonts w:ascii="Times New Roman" w:hAnsi="Times New Roman" w:cs="Times New Roman"/>
          <w:szCs w:val="24"/>
        </w:rPr>
      </w:pPr>
      <w:r w:rsidRPr="00296200">
        <w:rPr>
          <w:rFonts w:ascii="Times New Roman" w:hAnsi="Times New Roman" w:cs="Times New Roman"/>
          <w:szCs w:val="24"/>
        </w:rPr>
        <w:t>Office of Health Communication &amp; Education</w:t>
      </w:r>
    </w:p>
    <w:p w:rsidR="00296200" w:rsidRPr="00296200" w:rsidP="00296200" w14:paraId="204B0BFE" w14:textId="77777777">
      <w:pPr>
        <w:ind w:left="180"/>
        <w:rPr>
          <w:rFonts w:ascii="Times New Roman" w:hAnsi="Times New Roman" w:cs="Times New Roman"/>
          <w:szCs w:val="24"/>
        </w:rPr>
      </w:pPr>
      <w:r w:rsidRPr="00296200">
        <w:rPr>
          <w:rFonts w:ascii="Times New Roman" w:hAnsi="Times New Roman" w:cs="Times New Roman"/>
          <w:szCs w:val="24"/>
        </w:rPr>
        <w:t>Center for Tobacco Products</w:t>
      </w:r>
    </w:p>
    <w:p w:rsidR="00296200" w:rsidRPr="00296200" w:rsidP="00296200" w14:paraId="7A17D7A7" w14:textId="77777777">
      <w:pPr>
        <w:ind w:left="180"/>
        <w:rPr>
          <w:rFonts w:ascii="Times New Roman" w:hAnsi="Times New Roman" w:cs="Times New Roman"/>
          <w:szCs w:val="24"/>
        </w:rPr>
      </w:pPr>
      <w:r w:rsidRPr="00296200">
        <w:rPr>
          <w:rFonts w:ascii="Times New Roman" w:hAnsi="Times New Roman" w:cs="Times New Roman"/>
          <w:szCs w:val="24"/>
        </w:rPr>
        <w:t>Food and Drug Administration</w:t>
      </w:r>
    </w:p>
    <w:p w:rsidR="00296200" w:rsidRPr="00296200" w:rsidP="00296200" w14:paraId="7FB90D56" w14:textId="77777777">
      <w:pPr>
        <w:ind w:left="180"/>
        <w:rPr>
          <w:rFonts w:ascii="Times New Roman" w:hAnsi="Times New Roman" w:cs="Times New Roman"/>
          <w:szCs w:val="24"/>
        </w:rPr>
      </w:pPr>
      <w:r w:rsidRPr="00296200">
        <w:rPr>
          <w:rFonts w:ascii="Times New Roman" w:hAnsi="Times New Roman" w:cs="Times New Roman"/>
          <w:szCs w:val="24"/>
        </w:rPr>
        <w:t>10903 New Hampshire Ave</w:t>
      </w:r>
    </w:p>
    <w:p w:rsidR="00296200" w:rsidRPr="00296200" w:rsidP="00296200" w14:paraId="79419D31" w14:textId="77777777">
      <w:pPr>
        <w:ind w:left="180"/>
        <w:rPr>
          <w:rFonts w:ascii="Times New Roman" w:hAnsi="Times New Roman" w:cs="Times New Roman"/>
          <w:szCs w:val="24"/>
        </w:rPr>
      </w:pPr>
      <w:r w:rsidRPr="00296200">
        <w:rPr>
          <w:rFonts w:ascii="Times New Roman" w:hAnsi="Times New Roman" w:cs="Times New Roman"/>
          <w:szCs w:val="24"/>
        </w:rPr>
        <w:t>Silver Spring, MD 20993</w:t>
      </w:r>
    </w:p>
    <w:p w:rsidR="00296200" w:rsidRPr="00296200" w:rsidP="00296200" w14:paraId="653851DE" w14:textId="77777777">
      <w:pPr>
        <w:ind w:left="180"/>
        <w:rPr>
          <w:rFonts w:ascii="Times New Roman" w:hAnsi="Times New Roman" w:cs="Times New Roman"/>
          <w:szCs w:val="24"/>
        </w:rPr>
      </w:pPr>
      <w:r w:rsidRPr="00296200">
        <w:rPr>
          <w:rFonts w:ascii="Times New Roman" w:hAnsi="Times New Roman" w:cs="Times New Roman"/>
          <w:szCs w:val="24"/>
        </w:rPr>
        <w:t>Phone: 301-796-8754</w:t>
      </w:r>
    </w:p>
    <w:p w:rsidR="00296200" w:rsidRPr="00296200" w:rsidP="1E0F7B59" w14:paraId="3CA98F3C" w14:textId="77777777">
      <w:pPr>
        <w:ind w:left="180"/>
        <w:rPr>
          <w:rFonts w:ascii="Times New Roman" w:hAnsi="Times New Roman" w:cs="Times New Roman"/>
        </w:rPr>
      </w:pPr>
      <w:r w:rsidRPr="1E0F7B59">
        <w:rPr>
          <w:rFonts w:ascii="Times New Roman" w:hAnsi="Times New Roman" w:cs="Times New Roman"/>
        </w:rPr>
        <w:t xml:space="preserve">E-mail: </w:t>
      </w:r>
      <w:hyperlink r:id="rId8" w:history="1">
        <w:r w:rsidRPr="1E0F7B59">
          <w:rPr>
            <w:rStyle w:val="Hyperlink"/>
            <w:rFonts w:ascii="Times New Roman" w:hAnsi="Times New Roman" w:cs="Times New Roman"/>
          </w:rPr>
          <w:t>Debra.Mekos@fda.hhs.gov</w:t>
        </w:r>
      </w:hyperlink>
    </w:p>
    <w:p w:rsidR="1E0F7B59" w:rsidP="1E0F7B59" w14:paraId="4FE8C59D" w14:textId="77777777">
      <w:pPr>
        <w:ind w:left="180"/>
        <w:rPr>
          <w:rFonts w:ascii="Times New Roman" w:hAnsi="Times New Roman" w:cs="Times New Roman"/>
        </w:rPr>
      </w:pPr>
    </w:p>
    <w:p w:rsidR="00296200" w:rsidRPr="00296200" w:rsidP="00296200" w14:paraId="2EE921E6" w14:textId="77777777">
      <w:pPr>
        <w:ind w:left="180"/>
        <w:rPr>
          <w:rFonts w:ascii="Times New Roman" w:hAnsi="Times New Roman" w:cs="Times New Roman"/>
          <w:szCs w:val="24"/>
        </w:rPr>
      </w:pPr>
    </w:p>
    <w:p w:rsidR="00976A8B" w:rsidRPr="00023F39" w:rsidP="6A88B60C" w14:paraId="40C64FF8" w14:textId="77777777">
      <w:pPr>
        <w:ind w:left="180"/>
        <w:rPr>
          <w:rFonts w:ascii="Times New Roman" w:eastAsia="Times New Roman" w:hAnsi="Times New Roman" w:cs="Times New Roman"/>
          <w:color w:val="000000"/>
        </w:rPr>
      </w:pPr>
      <w:r w:rsidRPr="1BF77947">
        <w:rPr>
          <w:rFonts w:ascii="Times New Roman" w:eastAsia="Times New Roman" w:hAnsi="Times New Roman" w:cs="Times New Roman"/>
          <w:color w:val="000000" w:themeColor="text1"/>
        </w:rPr>
        <w:t xml:space="preserve">FDA collaborates with other federal government agencies that sponsor or endorse health communication projects, such as the </w:t>
      </w:r>
      <w:r w:rsidR="00921475">
        <w:rPr>
          <w:rFonts w:ascii="Times New Roman" w:eastAsia="Times New Roman" w:hAnsi="Times New Roman" w:cs="Times New Roman"/>
          <w:color w:val="000000" w:themeColor="text1"/>
        </w:rPr>
        <w:t>CDC’s</w:t>
      </w:r>
      <w:r w:rsidRPr="1BF77947">
        <w:rPr>
          <w:rFonts w:ascii="Times New Roman" w:eastAsia="Times New Roman" w:hAnsi="Times New Roman" w:cs="Times New Roman"/>
          <w:color w:val="000000" w:themeColor="text1"/>
        </w:rPr>
        <w:t>, Office on Smoking and Health (CDC/OSH), and the National Institutes of Health National Cancer Institute (NIH/NCI). These affiliations serve as information channels, help prevent redundancy, and promote use of consistent measures of effectiveness. Coordination activities include:</w:t>
      </w:r>
    </w:p>
    <w:p w:rsidR="00976A8B" w:rsidRPr="00023F39" w:rsidP="00976A8B" w14:paraId="12F6A7A7" w14:textId="77777777">
      <w:pPr>
        <w:pStyle w:val="ListParagraph"/>
        <w:numPr>
          <w:ilvl w:val="0"/>
          <w:numId w:val="21"/>
        </w:numPr>
        <w:rPr>
          <w:rFonts w:ascii="Times New Roman" w:hAnsi="Times New Roman" w:cs="Times New Roman"/>
        </w:rPr>
      </w:pPr>
      <w:r w:rsidRPr="00023F39">
        <w:rPr>
          <w:rFonts w:ascii="Times New Roman" w:hAnsi="Times New Roman" w:cs="Times New Roman"/>
        </w:rPr>
        <w:t xml:space="preserve">Review of proposed messages for </w:t>
      </w:r>
      <w:r w:rsidRPr="00023F39">
        <w:rPr>
          <w:rFonts w:ascii="Times New Roman" w:hAnsi="Times New Roman" w:cs="Times New Roman"/>
        </w:rPr>
        <w:t>advertisements;</w:t>
      </w:r>
    </w:p>
    <w:p w:rsidR="00976A8B" w:rsidRPr="00023F39" w:rsidP="00976A8B" w14:paraId="1B8A5AE2" w14:textId="77777777">
      <w:pPr>
        <w:pStyle w:val="ListParagraph"/>
        <w:numPr>
          <w:ilvl w:val="0"/>
          <w:numId w:val="21"/>
        </w:numPr>
        <w:rPr>
          <w:rFonts w:ascii="Times New Roman" w:hAnsi="Times New Roman" w:cs="Times New Roman"/>
        </w:rPr>
      </w:pPr>
      <w:r w:rsidRPr="00023F39">
        <w:rPr>
          <w:rFonts w:ascii="Times New Roman" w:hAnsi="Times New Roman" w:cs="Times New Roman"/>
        </w:rPr>
        <w:t xml:space="preserve">Review of questionnaires for testing </w:t>
      </w:r>
      <w:r w:rsidRPr="00023F39">
        <w:rPr>
          <w:rFonts w:ascii="Times New Roman" w:hAnsi="Times New Roman" w:cs="Times New Roman"/>
        </w:rPr>
        <w:t>purposes;</w:t>
      </w:r>
    </w:p>
    <w:p w:rsidR="00976A8B" w:rsidRPr="00023F39" w:rsidP="00976A8B" w14:paraId="25CD3FD5" w14:textId="77777777">
      <w:pPr>
        <w:pStyle w:val="ListParagraph"/>
        <w:numPr>
          <w:ilvl w:val="0"/>
          <w:numId w:val="21"/>
        </w:numPr>
        <w:rPr>
          <w:rFonts w:ascii="Times New Roman" w:hAnsi="Times New Roman" w:cs="Times New Roman"/>
        </w:rPr>
      </w:pPr>
      <w:r w:rsidRPr="00023F39">
        <w:rPr>
          <w:rFonts w:ascii="Times New Roman" w:hAnsi="Times New Roman" w:cs="Times New Roman"/>
        </w:rPr>
        <w:t>Sharing data; and</w:t>
      </w:r>
    </w:p>
    <w:p w:rsidR="00AE062B" w:rsidP="7F2F2848" w14:paraId="4E169CE7" w14:textId="77777777">
      <w:pPr>
        <w:pStyle w:val="ListParagraph"/>
        <w:numPr>
          <w:ilvl w:val="0"/>
          <w:numId w:val="21"/>
        </w:numPr>
        <w:rPr>
          <w:rFonts w:ascii="Times New Roman" w:hAnsi="Times New Roman" w:cs="Times New Roman"/>
        </w:rPr>
      </w:pPr>
      <w:r w:rsidRPr="7F2F2848">
        <w:rPr>
          <w:rFonts w:ascii="Times New Roman" w:hAnsi="Times New Roman" w:cs="Times New Roman"/>
        </w:rPr>
        <w:t xml:space="preserve">Standardizing survey tools where at all possible. </w:t>
      </w:r>
    </w:p>
    <w:p w:rsidR="00AE062B" w:rsidP="52BD4D66" w14:paraId="548E318B" w14:textId="77777777">
      <w:pPr>
        <w:ind w:left="180"/>
        <w:rPr>
          <w:rFonts w:ascii="Times New Roman" w:hAnsi="Times New Roman" w:cs="Times New Roman"/>
        </w:rPr>
      </w:pPr>
    </w:p>
    <w:p w:rsidR="00296200" w:rsidRPr="00296200" w:rsidP="52BD4D66" w14:paraId="6E0F835A" w14:textId="77777777">
      <w:pPr>
        <w:ind w:left="180"/>
        <w:rPr>
          <w:rFonts w:ascii="Times New Roman" w:hAnsi="Times New Roman" w:cs="Times New Roman"/>
        </w:rPr>
      </w:pPr>
      <w:r w:rsidRPr="1BF77947">
        <w:rPr>
          <w:rFonts w:ascii="Times New Roman" w:hAnsi="Times New Roman" w:cs="Times New Roman"/>
        </w:rPr>
        <w:t xml:space="preserve">The following individuals outside the agency have been consulted on </w:t>
      </w:r>
      <w:r w:rsidRPr="1BF77947" w:rsidR="002F4646">
        <w:rPr>
          <w:rFonts w:ascii="Times New Roman" w:hAnsi="Times New Roman" w:cs="Times New Roman"/>
        </w:rPr>
        <w:t>survey</w:t>
      </w:r>
      <w:r w:rsidRPr="1BF77947">
        <w:rPr>
          <w:rFonts w:ascii="Times New Roman" w:hAnsi="Times New Roman" w:cs="Times New Roman"/>
        </w:rPr>
        <w:t xml:space="preserve"> development. Additionally, input has been solicited and received from FDA on the design of this study, including participation by FDA in meetings with OMB.</w:t>
      </w:r>
    </w:p>
    <w:p w:rsidR="00296200" w:rsidRPr="00296200" w:rsidP="00296200" w14:paraId="642EF613" w14:textId="77777777">
      <w:pPr>
        <w:ind w:left="180"/>
        <w:rPr>
          <w:rFonts w:ascii="Times New Roman" w:hAnsi="Times New Roman" w:cs="Times New Roman"/>
          <w:szCs w:val="24"/>
        </w:rPr>
      </w:pPr>
    </w:p>
    <w:p w:rsidR="00296200" w:rsidP="6A88B60C" w14:paraId="78A323C5" w14:textId="77777777">
      <w:pPr>
        <w:ind w:left="180"/>
        <w:rPr>
          <w:rFonts w:ascii="Times New Roman" w:hAnsi="Times New Roman" w:cs="Times New Roman"/>
        </w:rPr>
      </w:pPr>
      <w:r w:rsidRPr="1BF77947">
        <w:rPr>
          <w:rFonts w:ascii="Times New Roman" w:hAnsi="Times New Roman" w:cs="Times New Roman"/>
        </w:rPr>
        <w:t xml:space="preserve">Anna </w:t>
      </w:r>
      <w:r w:rsidRPr="1BF77947">
        <w:rPr>
          <w:rFonts w:ascii="Times New Roman" w:hAnsi="Times New Roman" w:cs="Times New Roman"/>
        </w:rPr>
        <w:t>MacMonegle</w:t>
      </w:r>
    </w:p>
    <w:p w:rsidR="00EC36EB" w:rsidRPr="00296200" w:rsidP="6A88B60C" w14:paraId="25A039D9" w14:textId="77777777">
      <w:pPr>
        <w:ind w:left="180"/>
        <w:rPr>
          <w:rFonts w:ascii="Times New Roman" w:hAnsi="Times New Roman" w:cs="Times New Roman"/>
        </w:rPr>
      </w:pPr>
      <w:r w:rsidRPr="1BF77947">
        <w:rPr>
          <w:rFonts w:ascii="Times New Roman" w:hAnsi="Times New Roman" w:cs="Times New Roman"/>
        </w:rPr>
        <w:t>Public Health Manager</w:t>
      </w:r>
    </w:p>
    <w:p w:rsidR="00296200" w:rsidRPr="00296200" w:rsidP="00296200" w14:paraId="0ED80849" w14:textId="77777777">
      <w:pPr>
        <w:ind w:left="180"/>
        <w:rPr>
          <w:rFonts w:ascii="Times New Roman" w:hAnsi="Times New Roman" w:cs="Times New Roman"/>
          <w:szCs w:val="24"/>
        </w:rPr>
      </w:pPr>
      <w:r w:rsidRPr="00296200">
        <w:rPr>
          <w:rFonts w:ascii="Times New Roman" w:hAnsi="Times New Roman" w:cs="Times New Roman"/>
          <w:szCs w:val="24"/>
        </w:rPr>
        <w:t>RTI International</w:t>
      </w:r>
    </w:p>
    <w:p w:rsidR="00296200" w:rsidRPr="00296200" w:rsidP="00296200" w14:paraId="10C292D1" w14:textId="77777777">
      <w:pPr>
        <w:ind w:left="180"/>
        <w:rPr>
          <w:rFonts w:ascii="Times New Roman" w:hAnsi="Times New Roman" w:cs="Times New Roman"/>
          <w:szCs w:val="24"/>
        </w:rPr>
      </w:pPr>
      <w:r w:rsidRPr="00296200">
        <w:rPr>
          <w:rFonts w:ascii="Times New Roman" w:hAnsi="Times New Roman" w:cs="Times New Roman"/>
          <w:szCs w:val="24"/>
        </w:rPr>
        <w:t>3040 Cornwallis Road</w:t>
      </w:r>
    </w:p>
    <w:p w:rsidR="00296200" w:rsidRPr="00296200" w:rsidP="00296200" w14:paraId="13871B8B" w14:textId="77777777">
      <w:pPr>
        <w:ind w:left="180"/>
        <w:rPr>
          <w:rFonts w:ascii="Times New Roman" w:hAnsi="Times New Roman" w:cs="Times New Roman"/>
          <w:szCs w:val="24"/>
        </w:rPr>
      </w:pPr>
      <w:r w:rsidRPr="00296200">
        <w:rPr>
          <w:rFonts w:ascii="Times New Roman" w:hAnsi="Times New Roman" w:cs="Times New Roman"/>
          <w:szCs w:val="24"/>
        </w:rPr>
        <w:t>Research Triangle Park, NC 27709</w:t>
      </w:r>
    </w:p>
    <w:p w:rsidR="00296200" w:rsidRPr="00296200" w:rsidP="00296200" w14:paraId="41385F24" w14:textId="77777777">
      <w:pPr>
        <w:ind w:left="180"/>
        <w:rPr>
          <w:rFonts w:ascii="Times New Roman" w:hAnsi="Times New Roman" w:cs="Times New Roman"/>
          <w:szCs w:val="24"/>
        </w:rPr>
      </w:pPr>
      <w:r w:rsidRPr="00296200">
        <w:rPr>
          <w:rFonts w:ascii="Times New Roman" w:hAnsi="Times New Roman" w:cs="Times New Roman"/>
          <w:szCs w:val="24"/>
        </w:rPr>
        <w:t>Phone: 919-990-8427</w:t>
      </w:r>
    </w:p>
    <w:p w:rsidR="00296200" w:rsidRPr="00296200" w:rsidP="00296200" w14:paraId="2AA6B209" w14:textId="77777777">
      <w:pPr>
        <w:ind w:left="180"/>
        <w:rPr>
          <w:rFonts w:ascii="Times New Roman" w:hAnsi="Times New Roman" w:cs="Times New Roman"/>
          <w:szCs w:val="24"/>
        </w:rPr>
      </w:pPr>
      <w:r w:rsidRPr="00296200">
        <w:rPr>
          <w:rFonts w:ascii="Times New Roman" w:hAnsi="Times New Roman" w:cs="Times New Roman"/>
          <w:szCs w:val="24"/>
        </w:rPr>
        <w:t>E-mail: amacmonegle@rti.org</w:t>
      </w:r>
    </w:p>
    <w:p w:rsidR="00296200" w:rsidRPr="00296200" w:rsidP="00296200" w14:paraId="5808C175" w14:textId="77777777">
      <w:pPr>
        <w:ind w:left="180"/>
        <w:rPr>
          <w:rFonts w:ascii="Times New Roman" w:hAnsi="Times New Roman" w:cs="Times New Roman"/>
          <w:szCs w:val="24"/>
        </w:rPr>
      </w:pPr>
    </w:p>
    <w:p w:rsidR="00296200" w:rsidP="1BF77947" w14:paraId="62F29C90" w14:textId="77777777">
      <w:pPr>
        <w:ind w:firstLine="180"/>
        <w:rPr>
          <w:rFonts w:ascii="Times New Roman" w:hAnsi="Times New Roman" w:cs="Times New Roman"/>
        </w:rPr>
      </w:pPr>
      <w:r w:rsidRPr="1BF77947">
        <w:rPr>
          <w:rFonts w:ascii="Times New Roman" w:hAnsi="Times New Roman" w:cs="Times New Roman"/>
        </w:rPr>
        <w:t>Nathaniel Taylor</w:t>
      </w:r>
    </w:p>
    <w:p w:rsidR="005D53BF" w:rsidRPr="00296200" w:rsidP="1BF77947" w14:paraId="106D3235" w14:textId="1E464DAB">
      <w:pPr>
        <w:ind w:firstLine="180"/>
        <w:rPr>
          <w:rFonts w:ascii="Times New Roman" w:hAnsi="Times New Roman" w:cs="Times New Roman"/>
        </w:rPr>
      </w:pPr>
      <w:r>
        <w:rPr>
          <w:rFonts w:ascii="Times New Roman" w:hAnsi="Times New Roman" w:cs="Times New Roman"/>
        </w:rPr>
        <w:t>Public Health Program Manager</w:t>
      </w:r>
    </w:p>
    <w:p w:rsidR="00296200" w:rsidRPr="00296200" w:rsidP="006A146E" w14:paraId="482BD253" w14:textId="77777777">
      <w:pPr>
        <w:ind w:firstLine="180"/>
        <w:rPr>
          <w:rFonts w:ascii="Times New Roman" w:hAnsi="Times New Roman" w:cs="Times New Roman"/>
          <w:szCs w:val="24"/>
        </w:rPr>
      </w:pPr>
      <w:r w:rsidRPr="00296200">
        <w:rPr>
          <w:rFonts w:ascii="Times New Roman" w:hAnsi="Times New Roman" w:cs="Times New Roman"/>
          <w:szCs w:val="24"/>
        </w:rPr>
        <w:t>RTI International</w:t>
      </w:r>
    </w:p>
    <w:p w:rsidR="00296200" w:rsidRPr="00296200" w:rsidP="00296200" w14:paraId="5430A766" w14:textId="77777777">
      <w:pPr>
        <w:ind w:left="180"/>
        <w:rPr>
          <w:rFonts w:ascii="Times New Roman" w:hAnsi="Times New Roman" w:cs="Times New Roman"/>
          <w:szCs w:val="24"/>
        </w:rPr>
      </w:pPr>
      <w:r w:rsidRPr="00296200">
        <w:rPr>
          <w:rFonts w:ascii="Times New Roman" w:hAnsi="Times New Roman" w:cs="Times New Roman"/>
          <w:szCs w:val="24"/>
        </w:rPr>
        <w:t>3040 Cornwallis Road</w:t>
      </w:r>
    </w:p>
    <w:p w:rsidR="00296200" w:rsidRPr="00296200" w:rsidP="00296200" w14:paraId="6992C773" w14:textId="77777777">
      <w:pPr>
        <w:ind w:left="180"/>
        <w:rPr>
          <w:rFonts w:ascii="Times New Roman" w:hAnsi="Times New Roman" w:cs="Times New Roman"/>
          <w:szCs w:val="24"/>
        </w:rPr>
      </w:pPr>
      <w:r w:rsidRPr="00296200">
        <w:rPr>
          <w:rFonts w:ascii="Times New Roman" w:hAnsi="Times New Roman" w:cs="Times New Roman"/>
          <w:szCs w:val="24"/>
        </w:rPr>
        <w:t>Research Triangle Park, NC 27709</w:t>
      </w:r>
    </w:p>
    <w:p w:rsidR="00296200" w:rsidRPr="00296200" w:rsidP="00296200" w14:paraId="3EFA66FC" w14:textId="77777777">
      <w:pPr>
        <w:ind w:left="180"/>
        <w:rPr>
          <w:rFonts w:ascii="Times New Roman" w:hAnsi="Times New Roman" w:cs="Times New Roman"/>
          <w:szCs w:val="24"/>
        </w:rPr>
      </w:pPr>
      <w:r w:rsidRPr="00296200">
        <w:rPr>
          <w:rFonts w:ascii="Times New Roman" w:hAnsi="Times New Roman" w:cs="Times New Roman"/>
          <w:szCs w:val="24"/>
        </w:rPr>
        <w:t>Phone: 919-316-3523</w:t>
      </w:r>
    </w:p>
    <w:p w:rsidR="00296200" w:rsidRPr="00296200" w:rsidP="1BF77947" w14:paraId="274DB414" w14:textId="77777777">
      <w:pPr>
        <w:ind w:left="180"/>
        <w:rPr>
          <w:rFonts w:ascii="Times New Roman" w:hAnsi="Times New Roman" w:cs="Times New Roman"/>
        </w:rPr>
      </w:pPr>
      <w:r w:rsidRPr="1BF77947">
        <w:rPr>
          <w:rFonts w:ascii="Times New Roman" w:hAnsi="Times New Roman" w:cs="Times New Roman"/>
        </w:rPr>
        <w:t>E</w:t>
      </w:r>
      <w:r w:rsidRPr="1BF77947" w:rsidR="006A146E">
        <w:rPr>
          <w:rFonts w:ascii="Times New Roman" w:hAnsi="Times New Roman" w:cs="Times New Roman"/>
        </w:rPr>
        <w:t>-</w:t>
      </w:r>
      <w:r w:rsidRPr="1BF77947">
        <w:rPr>
          <w:rFonts w:ascii="Times New Roman" w:hAnsi="Times New Roman" w:cs="Times New Roman"/>
        </w:rPr>
        <w:t>mail: ntaylor@rti.org</w:t>
      </w:r>
    </w:p>
    <w:p w:rsidR="00296200" w:rsidRPr="00296200" w:rsidP="00296200" w14:paraId="6B0237A2" w14:textId="77777777">
      <w:pPr>
        <w:ind w:left="180"/>
        <w:rPr>
          <w:rFonts w:ascii="Times New Roman" w:hAnsi="Times New Roman" w:cs="Times New Roman"/>
          <w:szCs w:val="24"/>
        </w:rPr>
      </w:pPr>
    </w:p>
    <w:p w:rsidR="007E1BA4" w:rsidP="007E1BA4" w14:paraId="4F1D2FEC" w14:textId="77777777">
      <w:pPr>
        <w:ind w:left="180"/>
        <w:rPr>
          <w:rFonts w:ascii="Times New Roman" w:hAnsi="Times New Roman" w:cs="Times New Roman"/>
        </w:rPr>
      </w:pPr>
      <w:r w:rsidRPr="1BF77947">
        <w:rPr>
          <w:rFonts w:ascii="Times New Roman" w:hAnsi="Times New Roman" w:cs="Times New Roman"/>
        </w:rPr>
        <w:t>Laurel Curry</w:t>
      </w:r>
    </w:p>
    <w:p w:rsidR="006A146E" w:rsidRPr="007E1BA4" w:rsidP="007E1BA4" w14:paraId="2DC44422" w14:textId="77777777">
      <w:pPr>
        <w:ind w:left="180"/>
        <w:rPr>
          <w:rFonts w:ascii="Times New Roman" w:hAnsi="Times New Roman" w:cs="Times New Roman"/>
        </w:rPr>
      </w:pPr>
      <w:r w:rsidRPr="1BF77947">
        <w:rPr>
          <w:rFonts w:ascii="Times New Roman" w:hAnsi="Times New Roman" w:cs="Times New Roman"/>
        </w:rPr>
        <w:t>Research Public Health Analyst</w:t>
      </w:r>
    </w:p>
    <w:p w:rsidR="007E1BA4" w:rsidRPr="007E1BA4" w:rsidP="007E1BA4" w14:paraId="5D768632" w14:textId="77777777">
      <w:pPr>
        <w:ind w:left="180"/>
        <w:rPr>
          <w:rFonts w:ascii="Times New Roman" w:hAnsi="Times New Roman" w:cs="Times New Roman"/>
        </w:rPr>
      </w:pPr>
      <w:bookmarkStart w:id="12" w:name="_Hlk109640182"/>
      <w:r w:rsidRPr="007E1BA4">
        <w:rPr>
          <w:rFonts w:ascii="Times New Roman" w:hAnsi="Times New Roman" w:cs="Times New Roman"/>
        </w:rPr>
        <w:t>RTI International</w:t>
      </w:r>
    </w:p>
    <w:p w:rsidR="007E1BA4" w:rsidRPr="007E1BA4" w:rsidP="007E1BA4" w14:paraId="27070EB2" w14:textId="77777777">
      <w:pPr>
        <w:ind w:left="180"/>
        <w:rPr>
          <w:rFonts w:ascii="Times New Roman" w:hAnsi="Times New Roman" w:cs="Times New Roman"/>
        </w:rPr>
      </w:pPr>
      <w:r w:rsidRPr="007E1BA4">
        <w:rPr>
          <w:rFonts w:ascii="Times New Roman" w:hAnsi="Times New Roman" w:cs="Times New Roman"/>
        </w:rPr>
        <w:t xml:space="preserve">3040 </w:t>
      </w:r>
      <w:r w:rsidR="006D426D">
        <w:rPr>
          <w:rFonts w:ascii="Times New Roman" w:hAnsi="Times New Roman" w:cs="Times New Roman"/>
        </w:rPr>
        <w:t xml:space="preserve">E. </w:t>
      </w:r>
      <w:r w:rsidRPr="007E1BA4">
        <w:rPr>
          <w:rFonts w:ascii="Times New Roman" w:hAnsi="Times New Roman" w:cs="Times New Roman"/>
        </w:rPr>
        <w:t>Cornwallis Road</w:t>
      </w:r>
    </w:p>
    <w:p w:rsidR="007E1BA4" w:rsidRPr="007E1BA4" w:rsidP="007E1BA4" w14:paraId="54CB9708" w14:textId="77777777">
      <w:pPr>
        <w:ind w:left="180"/>
        <w:rPr>
          <w:rFonts w:ascii="Times New Roman" w:hAnsi="Times New Roman" w:cs="Times New Roman"/>
        </w:rPr>
      </w:pPr>
      <w:r w:rsidRPr="007E1BA4">
        <w:rPr>
          <w:rFonts w:ascii="Times New Roman" w:hAnsi="Times New Roman" w:cs="Times New Roman"/>
        </w:rPr>
        <w:t>Research Triangle Park, NC 27709</w:t>
      </w:r>
    </w:p>
    <w:p w:rsidR="007E1BA4" w:rsidRPr="007E1BA4" w:rsidP="007E1BA4" w14:paraId="216DFBFA" w14:textId="77777777">
      <w:pPr>
        <w:ind w:left="180"/>
        <w:rPr>
          <w:rFonts w:ascii="Times New Roman" w:hAnsi="Times New Roman" w:cs="Times New Roman"/>
        </w:rPr>
      </w:pPr>
      <w:r w:rsidRPr="007E1BA4">
        <w:rPr>
          <w:rFonts w:ascii="Times New Roman" w:hAnsi="Times New Roman" w:cs="Times New Roman"/>
        </w:rPr>
        <w:t>Phone:</w:t>
      </w:r>
      <w:r>
        <w:rPr>
          <w:rFonts w:ascii="Times New Roman" w:hAnsi="Times New Roman" w:cs="Times New Roman"/>
        </w:rPr>
        <w:t xml:space="preserve"> </w:t>
      </w:r>
      <w:r w:rsidRPr="00BA0560" w:rsidR="00BA0560">
        <w:rPr>
          <w:rFonts w:ascii="Times New Roman" w:hAnsi="Times New Roman" w:cs="Times New Roman"/>
        </w:rPr>
        <w:t>202-728-2086</w:t>
      </w:r>
    </w:p>
    <w:p w:rsidR="007E1BA4" w:rsidRPr="007E1BA4" w:rsidP="007E1BA4" w14:paraId="13687925" w14:textId="77777777">
      <w:pPr>
        <w:ind w:left="180"/>
        <w:rPr>
          <w:rFonts w:ascii="Times New Roman" w:hAnsi="Times New Roman" w:cs="Times New Roman"/>
        </w:rPr>
      </w:pPr>
      <w:r w:rsidRPr="007E1BA4">
        <w:rPr>
          <w:rFonts w:ascii="Times New Roman" w:hAnsi="Times New Roman" w:cs="Times New Roman"/>
        </w:rPr>
        <w:t>E-mail:</w:t>
      </w:r>
      <w:r w:rsidR="00193625">
        <w:rPr>
          <w:rFonts w:ascii="Times New Roman" w:hAnsi="Times New Roman" w:cs="Times New Roman"/>
        </w:rPr>
        <w:t xml:space="preserve"> </w:t>
      </w:r>
      <w:hyperlink r:id="rId9" w:history="1">
        <w:r w:rsidRPr="00193625" w:rsidR="00193625">
          <w:rPr>
            <w:rStyle w:val="Hyperlink"/>
            <w:rFonts w:ascii="Times New Roman" w:hAnsi="Times New Roman" w:cs="Times New Roman"/>
          </w:rPr>
          <w:t>lcurry@rti.org</w:t>
        </w:r>
      </w:hyperlink>
    </w:p>
    <w:bookmarkEnd w:id="12"/>
    <w:p w:rsidR="00456F1C" w:rsidP="00456F1C" w14:paraId="29FC3352" w14:textId="77777777">
      <w:pPr>
        <w:ind w:left="180"/>
      </w:pPr>
    </w:p>
    <w:p w:rsidR="006A146E" w:rsidRPr="00D92519" w:rsidP="1BF77947" w14:paraId="4B499114" w14:textId="77777777">
      <w:pPr>
        <w:ind w:firstLine="180"/>
        <w:rPr>
          <w:rFonts w:ascii="Times New Roman" w:hAnsi="Times New Roman" w:cs="Times New Roman"/>
        </w:rPr>
      </w:pPr>
      <w:r w:rsidRPr="1BF77947">
        <w:rPr>
          <w:rFonts w:ascii="Times New Roman" w:hAnsi="Times New Roman" w:cs="Times New Roman"/>
        </w:rPr>
        <w:t>LeTonya</w:t>
      </w:r>
      <w:r w:rsidRPr="1BF77947">
        <w:rPr>
          <w:rFonts w:ascii="Times New Roman" w:hAnsi="Times New Roman" w:cs="Times New Roman"/>
        </w:rPr>
        <w:t xml:space="preserve"> Chapman</w:t>
      </w:r>
    </w:p>
    <w:p w:rsidR="006A146E" w:rsidRPr="00D92519" w:rsidP="1BF77947" w14:paraId="604F8042" w14:textId="77777777">
      <w:pPr>
        <w:ind w:firstLine="180"/>
        <w:rPr>
          <w:rFonts w:ascii="Times New Roman" w:hAnsi="Times New Roman" w:cs="Times New Roman"/>
        </w:rPr>
      </w:pPr>
      <w:r w:rsidRPr="1BF77947">
        <w:rPr>
          <w:rFonts w:ascii="Times New Roman" w:hAnsi="Times New Roman" w:cs="Times New Roman"/>
        </w:rPr>
        <w:t>Research Public Health Analyst</w:t>
      </w:r>
    </w:p>
    <w:p w:rsidR="006A146E" w:rsidRPr="00D92519" w:rsidP="1BF77947" w14:paraId="64F85591" w14:textId="77777777">
      <w:pPr>
        <w:ind w:firstLine="180"/>
        <w:rPr>
          <w:rFonts w:ascii="Times New Roman" w:eastAsia="Verdana" w:hAnsi="Times New Roman" w:cs="Times New Roman"/>
        </w:rPr>
      </w:pPr>
      <w:r w:rsidRPr="1BF77947">
        <w:rPr>
          <w:rFonts w:ascii="Times New Roman" w:eastAsia="Verdana" w:hAnsi="Times New Roman" w:cs="Times New Roman"/>
        </w:rPr>
        <w:t>RTI International</w:t>
      </w:r>
    </w:p>
    <w:p w:rsidR="006A146E" w:rsidRPr="00D92519" w:rsidP="1BF77947" w14:paraId="25F7839A" w14:textId="77777777">
      <w:pPr>
        <w:ind w:firstLine="180"/>
        <w:rPr>
          <w:rFonts w:ascii="Times New Roman" w:eastAsia="Verdana" w:hAnsi="Times New Roman" w:cs="Times New Roman"/>
        </w:rPr>
      </w:pPr>
      <w:r w:rsidRPr="1BF77947">
        <w:rPr>
          <w:rFonts w:ascii="Times New Roman" w:eastAsia="Verdana" w:hAnsi="Times New Roman" w:cs="Times New Roman"/>
        </w:rPr>
        <w:t>3040 Cornwallis Road</w:t>
      </w:r>
    </w:p>
    <w:p w:rsidR="006A146E" w:rsidRPr="00D92519" w:rsidP="1BF77947" w14:paraId="23808250" w14:textId="77777777">
      <w:pPr>
        <w:ind w:firstLine="180"/>
        <w:rPr>
          <w:rFonts w:ascii="Times New Roman" w:eastAsia="Verdana" w:hAnsi="Times New Roman" w:cs="Times New Roman"/>
        </w:rPr>
      </w:pPr>
      <w:r w:rsidRPr="1BF77947">
        <w:rPr>
          <w:rFonts w:ascii="Times New Roman" w:eastAsia="Verdana" w:hAnsi="Times New Roman" w:cs="Times New Roman"/>
        </w:rPr>
        <w:t>Research Triangle Park, NC 27709</w:t>
      </w:r>
    </w:p>
    <w:p w:rsidR="006A146E" w:rsidRPr="00D92519" w:rsidP="1BF77947" w14:paraId="141408F6" w14:textId="77777777">
      <w:pPr>
        <w:ind w:firstLine="180"/>
        <w:rPr>
          <w:rFonts w:ascii="Times New Roman" w:hAnsi="Times New Roman" w:cs="Times New Roman"/>
        </w:rPr>
      </w:pPr>
      <w:r w:rsidRPr="1BF77947">
        <w:rPr>
          <w:rFonts w:ascii="Times New Roman" w:hAnsi="Times New Roman" w:cs="Times New Roman"/>
        </w:rPr>
        <w:t>Tel: 770-407-4928</w:t>
      </w:r>
    </w:p>
    <w:p w:rsidR="006A146E" w:rsidRPr="00D92519" w:rsidP="1BF77947" w14:paraId="5FA88D4C" w14:textId="77777777">
      <w:pPr>
        <w:ind w:firstLine="180"/>
        <w:rPr>
          <w:rFonts w:ascii="Times New Roman" w:eastAsia="Malgun Gothic" w:hAnsi="Times New Roman" w:cs="Times New Roman"/>
        </w:rPr>
      </w:pPr>
      <w:r w:rsidRPr="1BF77947">
        <w:rPr>
          <w:rFonts w:ascii="Times New Roman" w:hAnsi="Times New Roman" w:cs="Times New Roman"/>
        </w:rPr>
        <w:t xml:space="preserve">E-mail: </w:t>
      </w:r>
      <w:r w:rsidRPr="1BF77947">
        <w:rPr>
          <w:rFonts w:ascii="Times New Roman" w:eastAsia="Malgun Gothic" w:hAnsi="Times New Roman" w:cs="Times New Roman"/>
        </w:rPr>
        <w:t xml:space="preserve">lchapman@rti.org </w:t>
      </w:r>
    </w:p>
    <w:p w:rsidR="006A146E" w:rsidP="00456F1C" w14:paraId="604184D5" w14:textId="77777777">
      <w:pPr>
        <w:ind w:left="180"/>
      </w:pPr>
    </w:p>
    <w:p w:rsidR="00B71B83" w:rsidP="00456F1C" w14:paraId="4C91D29E" w14:textId="77777777">
      <w:pPr>
        <w:ind w:left="180"/>
        <w:rPr>
          <w:rFonts w:ascii="Times New Roman" w:hAnsi="Times New Roman" w:cs="Times New Roman"/>
        </w:rPr>
      </w:pPr>
      <w:r w:rsidRPr="1BF77947">
        <w:rPr>
          <w:rFonts w:ascii="Times New Roman" w:hAnsi="Times New Roman" w:cs="Times New Roman"/>
        </w:rPr>
        <w:t xml:space="preserve">Patty </w:t>
      </w:r>
      <w:r w:rsidRPr="1BF77947">
        <w:rPr>
          <w:rFonts w:ascii="Times New Roman" w:hAnsi="Times New Roman" w:cs="Times New Roman"/>
        </w:rPr>
        <w:t>LeBaron</w:t>
      </w:r>
    </w:p>
    <w:p w:rsidR="000230EF" w:rsidRPr="00B71B83" w:rsidP="00456F1C" w14:paraId="1149DF2D" w14:textId="77777777">
      <w:pPr>
        <w:ind w:left="180"/>
        <w:rPr>
          <w:rFonts w:ascii="Times New Roman" w:hAnsi="Times New Roman" w:cs="Times New Roman"/>
        </w:rPr>
      </w:pPr>
      <w:r w:rsidRPr="1BF77947">
        <w:rPr>
          <w:rFonts w:ascii="Times New Roman" w:hAnsi="Times New Roman" w:cs="Times New Roman"/>
        </w:rPr>
        <w:t>Survey Methodologist</w:t>
      </w:r>
    </w:p>
    <w:p w:rsidR="00B71B83" w:rsidRPr="00B71B83" w:rsidP="00B71B83" w14:paraId="5A038AC7" w14:textId="77777777">
      <w:pPr>
        <w:ind w:left="180"/>
        <w:rPr>
          <w:rFonts w:ascii="Times New Roman" w:hAnsi="Times New Roman" w:cs="Times New Roman"/>
        </w:rPr>
      </w:pPr>
      <w:r w:rsidRPr="00B71B83">
        <w:rPr>
          <w:rFonts w:ascii="Times New Roman" w:hAnsi="Times New Roman" w:cs="Times New Roman"/>
        </w:rPr>
        <w:t>RTI International</w:t>
      </w:r>
    </w:p>
    <w:p w:rsidR="00B71B83" w:rsidRPr="00B71B83" w:rsidP="00B71B83" w14:paraId="54EFCE6E" w14:textId="77777777">
      <w:pPr>
        <w:ind w:left="180"/>
        <w:rPr>
          <w:rFonts w:ascii="Times New Roman" w:hAnsi="Times New Roman" w:cs="Times New Roman"/>
        </w:rPr>
      </w:pPr>
      <w:r w:rsidRPr="00B71B83">
        <w:rPr>
          <w:rFonts w:ascii="Times New Roman" w:hAnsi="Times New Roman" w:cs="Times New Roman"/>
        </w:rPr>
        <w:t>3040 E. Cornwallis Road</w:t>
      </w:r>
    </w:p>
    <w:p w:rsidR="00B71B83" w:rsidRPr="00B71B83" w:rsidP="00B71B83" w14:paraId="0ECF3F82" w14:textId="77777777">
      <w:pPr>
        <w:ind w:left="180"/>
        <w:rPr>
          <w:rFonts w:ascii="Times New Roman" w:hAnsi="Times New Roman" w:cs="Times New Roman"/>
        </w:rPr>
      </w:pPr>
      <w:r w:rsidRPr="00B71B83">
        <w:rPr>
          <w:rFonts w:ascii="Times New Roman" w:hAnsi="Times New Roman" w:cs="Times New Roman"/>
        </w:rPr>
        <w:t>Research Triangle Park, NC 27709</w:t>
      </w:r>
    </w:p>
    <w:p w:rsidR="00B71B83" w:rsidRPr="00B71B83" w:rsidP="00B71B83" w14:paraId="3FC42722" w14:textId="77777777">
      <w:pPr>
        <w:ind w:left="180"/>
        <w:rPr>
          <w:rFonts w:ascii="Times New Roman" w:hAnsi="Times New Roman" w:cs="Times New Roman"/>
        </w:rPr>
      </w:pPr>
      <w:r w:rsidRPr="00B71B83">
        <w:rPr>
          <w:rFonts w:ascii="Times New Roman" w:hAnsi="Times New Roman" w:cs="Times New Roman"/>
        </w:rPr>
        <w:t>Phone: 312-777-5204</w:t>
      </w:r>
    </w:p>
    <w:p w:rsidR="00AE062B" w:rsidRPr="00B71B83" w:rsidP="00A80641" w14:paraId="631E1313" w14:textId="77777777">
      <w:pPr>
        <w:ind w:left="180"/>
        <w:rPr>
          <w:rFonts w:ascii="Times New Roman" w:hAnsi="Times New Roman" w:cs="Times New Roman"/>
        </w:rPr>
      </w:pPr>
      <w:r w:rsidRPr="7DC1110E">
        <w:rPr>
          <w:rFonts w:ascii="Times New Roman" w:hAnsi="Times New Roman" w:cs="Times New Roman"/>
        </w:rPr>
        <w:t xml:space="preserve">E-mail: </w:t>
      </w:r>
      <w:hyperlink r:id="rId10">
        <w:r w:rsidRPr="7DC1110E">
          <w:rPr>
            <w:rStyle w:val="Hyperlink"/>
            <w:rFonts w:ascii="Times New Roman" w:hAnsi="Times New Roman" w:cs="Times New Roman"/>
          </w:rPr>
          <w:t>plebaron@rti.org</w:t>
        </w:r>
      </w:hyperlink>
      <w:r w:rsidRPr="7DC1110E">
        <w:rPr>
          <w:rFonts w:ascii="Times New Roman" w:hAnsi="Times New Roman" w:cs="Times New Roman"/>
        </w:rPr>
        <w:t xml:space="preserve"> </w:t>
      </w:r>
    </w:p>
    <w:p w:rsidR="7DC1110E" w:rsidRPr="00A019D0" w:rsidP="00A019D0" w14:paraId="13CEA3EF" w14:textId="77777777"/>
    <w:p w:rsidR="00BE1FCB" w:rsidRPr="00F74829" w:rsidP="00674CFB" w14:paraId="7973CE1B"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u w:val="single"/>
        </w:rPr>
      </w:pPr>
      <w:bookmarkStart w:id="13" w:name="_Toc239649230"/>
      <w:r>
        <w:rPr>
          <w:rFonts w:ascii="Times New Roman" w:eastAsia="Times New Roman" w:hAnsi="Times New Roman" w:cs="Times New Roman"/>
          <w:b/>
          <w:bCs/>
          <w:szCs w:val="24"/>
        </w:rPr>
        <w:t xml:space="preserve">9. </w:t>
      </w:r>
      <w:r w:rsidRPr="008265FC">
        <w:rPr>
          <w:rFonts w:ascii="Times New Roman" w:eastAsia="Times New Roman" w:hAnsi="Times New Roman" w:cs="Times New Roman"/>
          <w:b/>
          <w:bCs/>
          <w:szCs w:val="24"/>
          <w:u w:val="single"/>
        </w:rPr>
        <w:t>Explanation of Any Payment or Gift to Respondents</w:t>
      </w:r>
      <w:bookmarkStart w:id="14" w:name="_Toc239649231"/>
      <w:bookmarkEnd w:id="13"/>
    </w:p>
    <w:p w:rsidR="00BE1FCB" w:rsidRPr="00CE3249" w:rsidP="00CE3249" w14:paraId="6AB6CA2E" w14:textId="77777777"/>
    <w:p w:rsidR="00673D29" w:rsidP="1248BFA6" w14:paraId="017747F7" w14:textId="77777777">
      <w:pPr>
        <w:rPr>
          <w:rFonts w:ascii="Times New Roman" w:hAnsi="Times New Roman" w:cs="Times New Roman"/>
        </w:rPr>
      </w:pPr>
      <w:bookmarkStart w:id="15" w:name="_Hlk3981578"/>
      <w:r>
        <w:rPr>
          <w:rFonts w:ascii="Times New Roman" w:hAnsi="Times New Roman" w:cs="Times New Roman"/>
        </w:rPr>
        <w:t xml:space="preserve">At baseline, each household that receives a </w:t>
      </w:r>
      <w:r w:rsidR="00975DB5">
        <w:rPr>
          <w:rFonts w:ascii="Times New Roman" w:hAnsi="Times New Roman" w:cs="Times New Roman"/>
        </w:rPr>
        <w:t>package of screening materials will receive a $1 pre-incentive</w:t>
      </w:r>
      <w:r w:rsidR="005C3E12">
        <w:rPr>
          <w:rFonts w:ascii="Times New Roman" w:hAnsi="Times New Roman" w:cs="Times New Roman"/>
        </w:rPr>
        <w:t xml:space="preserve"> for completing the screening questionnaire. </w:t>
      </w:r>
      <w:r w:rsidRPr="1BF77947" w:rsidR="007C6F25">
        <w:rPr>
          <w:rFonts w:ascii="Times New Roman" w:hAnsi="Times New Roman" w:cs="Times New Roman"/>
        </w:rPr>
        <w:t>A</w:t>
      </w:r>
      <w:r w:rsidRPr="1BF77947" w:rsidR="00595ABE">
        <w:rPr>
          <w:rFonts w:ascii="Times New Roman" w:hAnsi="Times New Roman" w:cs="Times New Roman"/>
        </w:rPr>
        <w:t>t baseline and each wave of follow-up data collection, youth respondents who participate in the main data collection will be offered a $</w:t>
      </w:r>
      <w:r w:rsidR="004A7032">
        <w:rPr>
          <w:rFonts w:ascii="Times New Roman" w:hAnsi="Times New Roman" w:cs="Times New Roman"/>
        </w:rPr>
        <w:t>25</w:t>
      </w:r>
      <w:r w:rsidR="006B660F">
        <w:rPr>
          <w:rFonts w:ascii="Times New Roman" w:hAnsi="Times New Roman" w:cs="Times New Roman"/>
        </w:rPr>
        <w:t xml:space="preserve"> </w:t>
      </w:r>
      <w:r w:rsidRPr="1BF77947" w:rsidR="00595ABE">
        <w:rPr>
          <w:rFonts w:ascii="Times New Roman" w:hAnsi="Times New Roman" w:cs="Times New Roman"/>
        </w:rPr>
        <w:t>incentive</w:t>
      </w:r>
      <w:r w:rsidR="002F164A">
        <w:rPr>
          <w:rFonts w:ascii="Times New Roman" w:hAnsi="Times New Roman" w:cs="Times New Roman"/>
        </w:rPr>
        <w:t xml:space="preserve"> for an</w:t>
      </w:r>
      <w:r w:rsidRPr="002F164A" w:rsidR="002F164A">
        <w:rPr>
          <w:rFonts w:ascii="Times New Roman" w:hAnsi="Times New Roman" w:cs="Times New Roman"/>
        </w:rPr>
        <w:t xml:space="preserve"> </w:t>
      </w:r>
      <w:r w:rsidRPr="1BF77947" w:rsidR="002F164A">
        <w:rPr>
          <w:rFonts w:ascii="Times New Roman" w:hAnsi="Times New Roman" w:cs="Times New Roman"/>
        </w:rPr>
        <w:t xml:space="preserve">estimated average time of 30 minutes </w:t>
      </w:r>
      <w:r w:rsidR="002F164A">
        <w:rPr>
          <w:rFonts w:ascii="Times New Roman" w:hAnsi="Times New Roman" w:cs="Times New Roman"/>
        </w:rPr>
        <w:t xml:space="preserve">for </w:t>
      </w:r>
      <w:r w:rsidRPr="1BF77947" w:rsidR="002F164A">
        <w:rPr>
          <w:rFonts w:ascii="Times New Roman" w:hAnsi="Times New Roman" w:cs="Times New Roman"/>
        </w:rPr>
        <w:t>taking the survey</w:t>
      </w:r>
      <w:r w:rsidR="006B660F">
        <w:rPr>
          <w:rFonts w:ascii="Times New Roman" w:hAnsi="Times New Roman" w:cs="Times New Roman"/>
        </w:rPr>
        <w:t xml:space="preserve">. If a respondent </w:t>
      </w:r>
      <w:r w:rsidR="006B660F">
        <w:rPr>
          <w:rFonts w:ascii="Times New Roman" w:hAnsi="Times New Roman" w:cs="Times New Roman"/>
        </w:rPr>
        <w:t xml:space="preserve">completes </w:t>
      </w:r>
      <w:r w:rsidRPr="1BF77947" w:rsidR="00595ABE">
        <w:rPr>
          <w:rFonts w:ascii="Times New Roman" w:hAnsi="Times New Roman" w:cs="Times New Roman"/>
        </w:rPr>
        <w:t xml:space="preserve">the survey during </w:t>
      </w:r>
      <w:r w:rsidR="006B660F">
        <w:rPr>
          <w:rFonts w:ascii="Times New Roman" w:hAnsi="Times New Roman" w:cs="Times New Roman"/>
        </w:rPr>
        <w:t xml:space="preserve">the approximately </w:t>
      </w:r>
      <w:r w:rsidR="005F5181">
        <w:rPr>
          <w:rFonts w:ascii="Times New Roman" w:hAnsi="Times New Roman" w:cs="Times New Roman"/>
        </w:rPr>
        <w:t>three-week</w:t>
      </w:r>
      <w:r w:rsidR="006B660F">
        <w:rPr>
          <w:rFonts w:ascii="Times New Roman" w:hAnsi="Times New Roman" w:cs="Times New Roman"/>
        </w:rPr>
        <w:t xml:space="preserve"> </w:t>
      </w:r>
      <w:r w:rsidRPr="1BF77947" w:rsidR="00595ABE">
        <w:rPr>
          <w:rFonts w:ascii="Times New Roman" w:hAnsi="Times New Roman" w:cs="Times New Roman"/>
        </w:rPr>
        <w:t xml:space="preserve">early release </w:t>
      </w:r>
      <w:r w:rsidRPr="1BF77947" w:rsidR="005F5181">
        <w:rPr>
          <w:rFonts w:ascii="Times New Roman" w:hAnsi="Times New Roman" w:cs="Times New Roman"/>
        </w:rPr>
        <w:t>period,</w:t>
      </w:r>
      <w:r w:rsidRPr="1BF77947" w:rsidR="00595ABE">
        <w:rPr>
          <w:rFonts w:ascii="Times New Roman" w:hAnsi="Times New Roman" w:cs="Times New Roman"/>
        </w:rPr>
        <w:t xml:space="preserve"> </w:t>
      </w:r>
      <w:r w:rsidR="006B660F">
        <w:rPr>
          <w:rFonts w:ascii="Times New Roman" w:hAnsi="Times New Roman" w:cs="Times New Roman"/>
        </w:rPr>
        <w:t>they will receive a</w:t>
      </w:r>
      <w:r w:rsidR="009D0A3A">
        <w:rPr>
          <w:rFonts w:ascii="Times New Roman" w:hAnsi="Times New Roman" w:cs="Times New Roman"/>
        </w:rPr>
        <w:t xml:space="preserve"> $</w:t>
      </w:r>
      <w:r w:rsidR="006B660F">
        <w:rPr>
          <w:rFonts w:ascii="Times New Roman" w:hAnsi="Times New Roman" w:cs="Times New Roman"/>
        </w:rPr>
        <w:t xml:space="preserve">5 </w:t>
      </w:r>
      <w:r w:rsidR="009D0A3A">
        <w:rPr>
          <w:rFonts w:ascii="Times New Roman" w:hAnsi="Times New Roman" w:cs="Times New Roman"/>
        </w:rPr>
        <w:t>bonus</w:t>
      </w:r>
      <w:r w:rsidR="00DE3124">
        <w:rPr>
          <w:rFonts w:ascii="Times New Roman" w:hAnsi="Times New Roman" w:cs="Times New Roman"/>
        </w:rPr>
        <w:t xml:space="preserve"> (Table 1)</w:t>
      </w:r>
      <w:r w:rsidR="006B660F">
        <w:rPr>
          <w:rFonts w:ascii="Times New Roman" w:hAnsi="Times New Roman" w:cs="Times New Roman"/>
        </w:rPr>
        <w:t xml:space="preserve">. </w:t>
      </w:r>
    </w:p>
    <w:p w:rsidR="00673D29" w:rsidP="1248BFA6" w14:paraId="58108EDE" w14:textId="77777777">
      <w:pPr>
        <w:rPr>
          <w:rFonts w:ascii="Times New Roman" w:hAnsi="Times New Roman" w:cs="Times New Roman"/>
        </w:rPr>
      </w:pPr>
    </w:p>
    <w:p w:rsidR="004B567E" w:rsidP="7DC1110E" w14:paraId="0E45C713" w14:textId="77777777">
      <w:pPr>
        <w:rPr>
          <w:rFonts w:ascii="Times New Roman" w:hAnsi="Times New Roman" w:cs="Times New Roman"/>
        </w:rPr>
      </w:pPr>
      <w:r w:rsidRPr="195FE5D0">
        <w:rPr>
          <w:rFonts w:ascii="Times New Roman" w:hAnsi="Times New Roman" w:cs="Times New Roman"/>
        </w:rPr>
        <w:t>R</w:t>
      </w:r>
      <w:r w:rsidRPr="195FE5D0" w:rsidR="00595ABE">
        <w:rPr>
          <w:rFonts w:ascii="Times New Roman" w:hAnsi="Times New Roman" w:cs="Times New Roman"/>
        </w:rPr>
        <w:t>espondents will be offered a $</w:t>
      </w:r>
      <w:r w:rsidRPr="195FE5D0" w:rsidR="004A7032">
        <w:rPr>
          <w:rFonts w:ascii="Times New Roman" w:hAnsi="Times New Roman" w:cs="Times New Roman"/>
        </w:rPr>
        <w:t>25</w:t>
      </w:r>
      <w:r w:rsidRPr="195FE5D0" w:rsidR="00595ABE">
        <w:rPr>
          <w:rFonts w:ascii="Times New Roman" w:hAnsi="Times New Roman" w:cs="Times New Roman"/>
        </w:rPr>
        <w:t xml:space="preserve"> incentive to complete the survey after the early release period</w:t>
      </w:r>
      <w:r w:rsidRPr="195FE5D0">
        <w:rPr>
          <w:rFonts w:ascii="Times New Roman" w:hAnsi="Times New Roman" w:cs="Times New Roman"/>
        </w:rPr>
        <w:t xml:space="preserve"> and</w:t>
      </w:r>
      <w:r w:rsidRPr="195FE5D0" w:rsidR="00C56567">
        <w:rPr>
          <w:rFonts w:ascii="Times New Roman" w:hAnsi="Times New Roman" w:cs="Times New Roman"/>
        </w:rPr>
        <w:t xml:space="preserve"> </w:t>
      </w:r>
      <w:r w:rsidRPr="195FE5D0">
        <w:rPr>
          <w:rFonts w:ascii="Times New Roman" w:hAnsi="Times New Roman" w:cs="Times New Roman"/>
        </w:rPr>
        <w:t>f</w:t>
      </w:r>
      <w:r w:rsidRPr="195FE5D0" w:rsidR="00595ABE">
        <w:rPr>
          <w:rFonts w:ascii="Times New Roman" w:hAnsi="Times New Roman" w:cs="Times New Roman"/>
        </w:rPr>
        <w:t>or the supplemental baseline data collection</w:t>
      </w:r>
      <w:r w:rsidRPr="195FE5D0">
        <w:rPr>
          <w:rFonts w:ascii="Times New Roman" w:hAnsi="Times New Roman" w:cs="Times New Roman"/>
        </w:rPr>
        <w:t>.</w:t>
      </w:r>
      <w:r w:rsidRPr="195FE5D0" w:rsidR="00C56567">
        <w:rPr>
          <w:rFonts w:ascii="Times New Roman" w:hAnsi="Times New Roman" w:cs="Times New Roman"/>
        </w:rPr>
        <w:t xml:space="preserve"> </w:t>
      </w:r>
      <w:r w:rsidRPr="195FE5D0" w:rsidR="007C6F25">
        <w:rPr>
          <w:rFonts w:ascii="Times New Roman" w:hAnsi="Times New Roman" w:cs="Times New Roman"/>
        </w:rPr>
        <w:t xml:space="preserve">We estimate that the follow-up surveys </w:t>
      </w:r>
      <w:r w:rsidRPr="195FE5D0" w:rsidR="2C518A0B">
        <w:rPr>
          <w:rFonts w:ascii="Times New Roman" w:hAnsi="Times New Roman" w:cs="Times New Roman"/>
        </w:rPr>
        <w:t xml:space="preserve">for the supplemental data collection </w:t>
      </w:r>
      <w:r w:rsidRPr="195FE5D0" w:rsidR="007C6F25">
        <w:rPr>
          <w:rFonts w:ascii="Times New Roman" w:hAnsi="Times New Roman" w:cs="Times New Roman"/>
        </w:rPr>
        <w:t xml:space="preserve">will </w:t>
      </w:r>
      <w:r w:rsidRPr="195FE5D0" w:rsidR="74976D5F">
        <w:rPr>
          <w:rFonts w:ascii="Times New Roman" w:hAnsi="Times New Roman" w:cs="Times New Roman"/>
        </w:rPr>
        <w:t xml:space="preserve">also </w:t>
      </w:r>
      <w:r w:rsidRPr="195FE5D0" w:rsidR="007C6F25">
        <w:rPr>
          <w:rFonts w:ascii="Times New Roman" w:hAnsi="Times New Roman" w:cs="Times New Roman"/>
        </w:rPr>
        <w:t>take 30 minutes to complete.</w:t>
      </w:r>
      <w:r w:rsidRPr="195FE5D0" w:rsidR="00400A64">
        <w:rPr>
          <w:rFonts w:ascii="Times New Roman" w:hAnsi="Times New Roman" w:cs="Times New Roman"/>
        </w:rPr>
        <w:t xml:space="preserve"> </w:t>
      </w:r>
      <w:r w:rsidRPr="195FE5D0" w:rsidR="002032E9">
        <w:rPr>
          <w:rFonts w:ascii="Times New Roman" w:hAnsi="Times New Roman" w:cs="Times New Roman"/>
        </w:rPr>
        <w:t xml:space="preserve">Although </w:t>
      </w:r>
      <w:r w:rsidRPr="195FE5D0" w:rsidR="001E0380">
        <w:rPr>
          <w:rFonts w:ascii="Times New Roman" w:hAnsi="Times New Roman" w:cs="Times New Roman"/>
        </w:rPr>
        <w:t>y</w:t>
      </w:r>
      <w:r w:rsidRPr="195FE5D0" w:rsidR="00595ABE">
        <w:rPr>
          <w:rFonts w:ascii="Times New Roman" w:hAnsi="Times New Roman" w:cs="Times New Roman"/>
        </w:rPr>
        <w:t xml:space="preserve">outh in the supplemental baseline data collection </w:t>
      </w:r>
      <w:r w:rsidRPr="195FE5D0" w:rsidR="001E0380">
        <w:rPr>
          <w:rFonts w:ascii="Times New Roman" w:hAnsi="Times New Roman" w:cs="Times New Roman"/>
        </w:rPr>
        <w:t>w</w:t>
      </w:r>
      <w:r w:rsidRPr="195FE5D0" w:rsidR="00391AE8">
        <w:rPr>
          <w:rFonts w:ascii="Times New Roman" w:hAnsi="Times New Roman" w:cs="Times New Roman"/>
        </w:rPr>
        <w:t xml:space="preserve">ill be </w:t>
      </w:r>
      <w:r w:rsidRPr="195FE5D0" w:rsidR="001E0380">
        <w:rPr>
          <w:rFonts w:ascii="Times New Roman" w:hAnsi="Times New Roman" w:cs="Times New Roman"/>
        </w:rPr>
        <w:t xml:space="preserve">recruited through social media, they </w:t>
      </w:r>
      <w:r w:rsidRPr="195FE5D0" w:rsidR="00595ABE">
        <w:rPr>
          <w:rFonts w:ascii="Times New Roman" w:hAnsi="Times New Roman" w:cs="Times New Roman"/>
        </w:rPr>
        <w:t>will participate in the main data collection at follow-up</w:t>
      </w:r>
      <w:r w:rsidRPr="195FE5D0" w:rsidR="008D2498">
        <w:rPr>
          <w:rFonts w:ascii="Times New Roman" w:hAnsi="Times New Roman" w:cs="Times New Roman"/>
        </w:rPr>
        <w:t xml:space="preserve"> (i.e., </w:t>
      </w:r>
      <w:r w:rsidRPr="195FE5D0" w:rsidR="005E3463">
        <w:rPr>
          <w:rFonts w:ascii="Times New Roman" w:hAnsi="Times New Roman" w:cs="Times New Roman"/>
        </w:rPr>
        <w:t>the supplemental sample will be contacted with the main sample and complete the same questionnaire)</w:t>
      </w:r>
      <w:r w:rsidRPr="195FE5D0" w:rsidR="00014022">
        <w:rPr>
          <w:rFonts w:ascii="Times New Roman" w:hAnsi="Times New Roman" w:cs="Times New Roman"/>
        </w:rPr>
        <w:t>. Participants in the supplemental sample</w:t>
      </w:r>
      <w:r w:rsidRPr="195FE5D0" w:rsidR="00595ABE">
        <w:rPr>
          <w:rFonts w:ascii="Times New Roman" w:hAnsi="Times New Roman" w:cs="Times New Roman"/>
        </w:rPr>
        <w:t xml:space="preserve"> will receive a $</w:t>
      </w:r>
      <w:r w:rsidRPr="195FE5D0" w:rsidR="004A7032">
        <w:rPr>
          <w:rFonts w:ascii="Times New Roman" w:hAnsi="Times New Roman" w:cs="Times New Roman"/>
        </w:rPr>
        <w:t>25</w:t>
      </w:r>
      <w:r w:rsidRPr="195FE5D0" w:rsidR="00595ABE">
        <w:rPr>
          <w:rFonts w:ascii="Times New Roman" w:hAnsi="Times New Roman" w:cs="Times New Roman"/>
        </w:rPr>
        <w:t xml:space="preserve"> incentive</w:t>
      </w:r>
      <w:r w:rsidRPr="195FE5D0" w:rsidR="009D0A3A">
        <w:rPr>
          <w:rFonts w:ascii="Times New Roman" w:hAnsi="Times New Roman" w:cs="Times New Roman"/>
        </w:rPr>
        <w:t>. I</w:t>
      </w:r>
      <w:r w:rsidRPr="195FE5D0" w:rsidR="00595ABE">
        <w:rPr>
          <w:rFonts w:ascii="Times New Roman" w:hAnsi="Times New Roman" w:cs="Times New Roman"/>
        </w:rPr>
        <w:t xml:space="preserve">f </w:t>
      </w:r>
      <w:r w:rsidRPr="195FE5D0" w:rsidR="009D0A3A">
        <w:rPr>
          <w:rFonts w:ascii="Times New Roman" w:hAnsi="Times New Roman" w:cs="Times New Roman"/>
        </w:rPr>
        <w:t xml:space="preserve">the survey is </w:t>
      </w:r>
      <w:r w:rsidRPr="195FE5D0" w:rsidR="00595ABE">
        <w:rPr>
          <w:rFonts w:ascii="Times New Roman" w:hAnsi="Times New Roman" w:cs="Times New Roman"/>
        </w:rPr>
        <w:t xml:space="preserve">completed </w:t>
      </w:r>
      <w:r w:rsidRPr="195FE5D0" w:rsidR="009D0A3A">
        <w:rPr>
          <w:rFonts w:ascii="Times New Roman" w:hAnsi="Times New Roman" w:cs="Times New Roman"/>
        </w:rPr>
        <w:t xml:space="preserve">within the first </w:t>
      </w:r>
      <w:r w:rsidRPr="195FE5D0" w:rsidR="00595ABE">
        <w:rPr>
          <w:rFonts w:ascii="Times New Roman" w:hAnsi="Times New Roman" w:cs="Times New Roman"/>
        </w:rPr>
        <w:t xml:space="preserve">3 weeks of the start of the data collection </w:t>
      </w:r>
      <w:r w:rsidRPr="195FE5D0" w:rsidR="005F5181">
        <w:rPr>
          <w:rFonts w:ascii="Times New Roman" w:hAnsi="Times New Roman" w:cs="Times New Roman"/>
        </w:rPr>
        <w:t>wave,</w:t>
      </w:r>
      <w:r w:rsidRPr="195FE5D0" w:rsidR="009D0A3A">
        <w:rPr>
          <w:rFonts w:ascii="Times New Roman" w:hAnsi="Times New Roman" w:cs="Times New Roman"/>
        </w:rPr>
        <w:t xml:space="preserve"> they will receive a $5 bonus</w:t>
      </w:r>
      <w:r w:rsidRPr="195FE5D0" w:rsidR="00595ABE">
        <w:rPr>
          <w:rFonts w:ascii="Times New Roman" w:hAnsi="Times New Roman" w:cs="Times New Roman"/>
        </w:rPr>
        <w:t>. In addition, the study will use procedures designed to maximize respondent participation</w:t>
      </w:r>
      <w:r w:rsidRPr="195FE5D0" w:rsidR="09B4C735">
        <w:rPr>
          <w:rFonts w:ascii="Times New Roman" w:hAnsi="Times New Roman" w:cs="Times New Roman"/>
        </w:rPr>
        <w:t xml:space="preserve">, such as </w:t>
      </w:r>
      <w:r w:rsidRPr="195FE5D0" w:rsidR="00680889">
        <w:rPr>
          <w:rFonts w:ascii="Times New Roman" w:hAnsi="Times New Roman" w:cs="Times New Roman"/>
        </w:rPr>
        <w:t>e</w:t>
      </w:r>
      <w:r w:rsidRPr="195FE5D0" w:rsidR="009835B8">
        <w:rPr>
          <w:rFonts w:ascii="Times New Roman" w:hAnsi="Times New Roman" w:cs="Times New Roman"/>
        </w:rPr>
        <w:t>-</w:t>
      </w:r>
      <w:r w:rsidRPr="195FE5D0" w:rsidR="00680889">
        <w:rPr>
          <w:rFonts w:ascii="Times New Roman" w:hAnsi="Times New Roman" w:cs="Times New Roman"/>
        </w:rPr>
        <w:t xml:space="preserve">mail, </w:t>
      </w:r>
      <w:r w:rsidRPr="195FE5D0" w:rsidR="009835B8">
        <w:rPr>
          <w:rFonts w:ascii="Times New Roman" w:hAnsi="Times New Roman" w:cs="Times New Roman"/>
        </w:rPr>
        <w:t>text</w:t>
      </w:r>
      <w:r w:rsidRPr="195FE5D0" w:rsidR="00D138E7">
        <w:rPr>
          <w:rFonts w:ascii="Times New Roman" w:hAnsi="Times New Roman" w:cs="Times New Roman"/>
        </w:rPr>
        <w:t>,</w:t>
      </w:r>
      <w:r w:rsidRPr="195FE5D0" w:rsidR="009835B8">
        <w:rPr>
          <w:rFonts w:ascii="Times New Roman" w:hAnsi="Times New Roman" w:cs="Times New Roman"/>
        </w:rPr>
        <w:t xml:space="preserve"> and mail </w:t>
      </w:r>
      <w:r w:rsidRPr="195FE5D0" w:rsidR="001D67DC">
        <w:rPr>
          <w:rFonts w:ascii="Times New Roman" w:hAnsi="Times New Roman" w:cs="Times New Roman"/>
        </w:rPr>
        <w:t>(</w:t>
      </w:r>
      <w:r w:rsidRPr="195FE5D0" w:rsidR="00785717">
        <w:rPr>
          <w:rFonts w:ascii="Times New Roman" w:hAnsi="Times New Roman" w:cs="Times New Roman"/>
        </w:rPr>
        <w:t xml:space="preserve">paper letter) </w:t>
      </w:r>
      <w:r w:rsidRPr="195FE5D0" w:rsidR="009835B8">
        <w:rPr>
          <w:rFonts w:ascii="Times New Roman" w:hAnsi="Times New Roman" w:cs="Times New Roman"/>
        </w:rPr>
        <w:t>reminders</w:t>
      </w:r>
      <w:r w:rsidRPr="195FE5D0" w:rsidR="00900FB2">
        <w:rPr>
          <w:rFonts w:ascii="Times New Roman" w:hAnsi="Times New Roman" w:cs="Times New Roman"/>
        </w:rPr>
        <w:t xml:space="preserve">, </w:t>
      </w:r>
      <w:r w:rsidRPr="195FE5D0" w:rsidR="00547BA5">
        <w:rPr>
          <w:rFonts w:ascii="Times New Roman" w:hAnsi="Times New Roman" w:cs="Times New Roman"/>
        </w:rPr>
        <w:t>encouraging messages</w:t>
      </w:r>
      <w:r w:rsidRPr="195FE5D0" w:rsidR="00097AD2">
        <w:rPr>
          <w:rFonts w:ascii="Times New Roman" w:hAnsi="Times New Roman" w:cs="Times New Roman"/>
        </w:rPr>
        <w:t xml:space="preserve">, </w:t>
      </w:r>
      <w:r w:rsidRPr="195FE5D0" w:rsidR="00547BA5">
        <w:rPr>
          <w:rFonts w:ascii="Times New Roman" w:hAnsi="Times New Roman" w:cs="Times New Roman"/>
        </w:rPr>
        <w:t xml:space="preserve">humorous </w:t>
      </w:r>
      <w:r w:rsidRPr="195FE5D0" w:rsidR="00097AD2">
        <w:rPr>
          <w:rFonts w:ascii="Times New Roman" w:hAnsi="Times New Roman" w:cs="Times New Roman"/>
        </w:rPr>
        <w:t>attention check items, and a landing page to encourage engagement</w:t>
      </w:r>
      <w:r w:rsidRPr="195FE5D0" w:rsidR="001F0671">
        <w:rPr>
          <w:rFonts w:ascii="Times New Roman" w:hAnsi="Times New Roman" w:cs="Times New Roman"/>
        </w:rPr>
        <w:t>.</w:t>
      </w:r>
      <w:r w:rsidRPr="195FE5D0" w:rsidR="00595ABE">
        <w:rPr>
          <w:rFonts w:ascii="Times New Roman" w:hAnsi="Times New Roman" w:cs="Times New Roman"/>
        </w:rPr>
        <w:t xml:space="preserve"> </w:t>
      </w:r>
      <w:r w:rsidRPr="195FE5D0" w:rsidR="006D4FA7">
        <w:rPr>
          <w:rFonts w:ascii="Times New Roman" w:hAnsi="Times New Roman" w:cs="Times New Roman"/>
        </w:rPr>
        <w:t xml:space="preserve">The </w:t>
      </w:r>
      <w:r w:rsidRPr="195FE5D0" w:rsidR="003532B5">
        <w:rPr>
          <w:rFonts w:ascii="Times New Roman" w:hAnsi="Times New Roman" w:cs="Times New Roman"/>
        </w:rPr>
        <w:t>youth</w:t>
      </w:r>
      <w:r w:rsidRPr="195FE5D0" w:rsidR="006D4FA7">
        <w:rPr>
          <w:rFonts w:ascii="Times New Roman" w:hAnsi="Times New Roman" w:cs="Times New Roman"/>
        </w:rPr>
        <w:t xml:space="preserve">’s parent or guardian does not receive </w:t>
      </w:r>
      <w:r w:rsidRPr="195FE5D0" w:rsidR="00EC0F69">
        <w:rPr>
          <w:rFonts w:ascii="Times New Roman" w:hAnsi="Times New Roman" w:cs="Times New Roman"/>
        </w:rPr>
        <w:t>a</w:t>
      </w:r>
      <w:r w:rsidRPr="195FE5D0" w:rsidR="008E341E">
        <w:rPr>
          <w:rFonts w:ascii="Times New Roman" w:hAnsi="Times New Roman" w:cs="Times New Roman"/>
        </w:rPr>
        <w:t xml:space="preserve">n incentive </w:t>
      </w:r>
      <w:r w:rsidRPr="195FE5D0" w:rsidR="006D4FA7">
        <w:rPr>
          <w:rFonts w:ascii="Times New Roman" w:hAnsi="Times New Roman" w:cs="Times New Roman"/>
        </w:rPr>
        <w:t>for completing th</w:t>
      </w:r>
      <w:r w:rsidRPr="195FE5D0" w:rsidR="00BF0635">
        <w:rPr>
          <w:rFonts w:ascii="Times New Roman" w:hAnsi="Times New Roman" w:cs="Times New Roman"/>
        </w:rPr>
        <w:t xml:space="preserve">e screener and household roster </w:t>
      </w:r>
      <w:r w:rsidRPr="195FE5D0" w:rsidR="006D4FA7">
        <w:rPr>
          <w:rFonts w:ascii="Times New Roman" w:hAnsi="Times New Roman" w:cs="Times New Roman"/>
        </w:rPr>
        <w:t>interview</w:t>
      </w:r>
      <w:r w:rsidRPr="195FE5D0" w:rsidR="00BF0635">
        <w:rPr>
          <w:rFonts w:ascii="Times New Roman" w:hAnsi="Times New Roman" w:cs="Times New Roman"/>
        </w:rPr>
        <w:t>.</w:t>
      </w:r>
      <w:r w:rsidRPr="195FE5D0" w:rsidR="00BE3EC3">
        <w:rPr>
          <w:rFonts w:ascii="Times New Roman" w:hAnsi="Times New Roman" w:cs="Times New Roman"/>
        </w:rPr>
        <w:t xml:space="preserve"> </w:t>
      </w:r>
      <w:r w:rsidRPr="195FE5D0" w:rsidR="36A19E9A">
        <w:rPr>
          <w:rFonts w:ascii="Times New Roman" w:hAnsi="Times New Roman" w:cs="Times New Roman"/>
        </w:rPr>
        <w:t>Th</w:t>
      </w:r>
      <w:r w:rsidRPr="195FE5D0" w:rsidR="00352727">
        <w:rPr>
          <w:rFonts w:ascii="Times New Roman" w:hAnsi="Times New Roman" w:cs="Times New Roman"/>
        </w:rPr>
        <w:t>e</w:t>
      </w:r>
      <w:r w:rsidRPr="195FE5D0" w:rsidR="36A19E9A">
        <w:rPr>
          <w:rFonts w:ascii="Times New Roman" w:hAnsi="Times New Roman" w:cs="Times New Roman"/>
        </w:rPr>
        <w:t xml:space="preserve"> </w:t>
      </w:r>
      <w:r w:rsidRPr="195FE5D0" w:rsidR="00314F3D">
        <w:rPr>
          <w:rFonts w:ascii="Times New Roman" w:hAnsi="Times New Roman" w:cs="Times New Roman"/>
        </w:rPr>
        <w:t xml:space="preserve">proposed incentive </w:t>
      </w:r>
      <w:r w:rsidRPr="195FE5D0">
        <w:rPr>
          <w:rFonts w:ascii="Times New Roman" w:hAnsi="Times New Roman" w:cs="Times New Roman"/>
        </w:rPr>
        <w:t>allows us to treat participants justly and with respect by acknowledging competing demands for their time and the effort they spend participating</w:t>
      </w:r>
      <w:r w:rsidRPr="195FE5D0" w:rsidR="001A708A">
        <w:rPr>
          <w:rFonts w:ascii="Times New Roman" w:hAnsi="Times New Roman" w:cs="Times New Roman"/>
        </w:rPr>
        <w:t xml:space="preserve"> </w:t>
      </w:r>
      <w:r w:rsidRPr="195FE5D0" w:rsidR="001A708A">
        <w:rPr>
          <w:rFonts w:ascii="Times New Roman" w:eastAsia="Times New Roman" w:hAnsi="Times New Roman" w:cs="Times New Roman"/>
        </w:rPr>
        <w:t>(Gelinas et al., 2018)</w:t>
      </w:r>
      <w:r w:rsidRPr="195FE5D0">
        <w:rPr>
          <w:rFonts w:ascii="Times New Roman" w:hAnsi="Times New Roman" w:cs="Times New Roman"/>
        </w:rPr>
        <w:t xml:space="preserve">. </w:t>
      </w:r>
    </w:p>
    <w:p w:rsidR="001A708A" w:rsidP="7DC1110E" w14:paraId="25F2DC7A" w14:textId="77777777">
      <w:pPr>
        <w:rPr>
          <w:rFonts w:ascii="Times New Roman" w:hAnsi="Times New Roman" w:cs="Times New Roman"/>
        </w:rPr>
      </w:pPr>
    </w:p>
    <w:p w:rsidR="004B567E" w:rsidP="004B567E" w14:paraId="7100ED1D" w14:textId="77777777">
      <w:pPr>
        <w:rPr>
          <w:rFonts w:ascii="Times New Roman" w:hAnsi="Times New Roman" w:cs="Times New Roman"/>
        </w:rPr>
      </w:pPr>
      <w:bookmarkStart w:id="16" w:name="_Hlk109645701"/>
      <w:bookmarkStart w:id="17" w:name="_Hlk109645681"/>
      <w:r w:rsidRPr="7F2F2848">
        <w:rPr>
          <w:rFonts w:ascii="Times New Roman" w:hAnsi="Times New Roman" w:cs="Times New Roman"/>
        </w:rPr>
        <w:t>RTI</w:t>
      </w:r>
      <w:r w:rsidRPr="7F2F2848" w:rsidR="00A825CA">
        <w:rPr>
          <w:rFonts w:ascii="Times New Roman" w:hAnsi="Times New Roman" w:cs="Times New Roman"/>
        </w:rPr>
        <w:t xml:space="preserve"> International,</w:t>
      </w:r>
      <w:r w:rsidRPr="7F2F2848">
        <w:rPr>
          <w:rFonts w:ascii="Times New Roman" w:hAnsi="Times New Roman" w:cs="Times New Roman"/>
        </w:rPr>
        <w:t xml:space="preserve"> </w:t>
      </w:r>
      <w:r w:rsidRPr="7F2F2848" w:rsidR="00A825CA">
        <w:rPr>
          <w:rFonts w:ascii="Times New Roman" w:eastAsia="Times New Roman" w:hAnsi="Times New Roman" w:cs="Times New Roman"/>
        </w:rPr>
        <w:t>the contractor acting on behalf of FDA,</w:t>
      </w:r>
      <w:r w:rsidRPr="7F2F2848" w:rsidR="00A825CA">
        <w:rPr>
          <w:rFonts w:ascii="Times New Roman" w:hAnsi="Times New Roman" w:cs="Times New Roman"/>
        </w:rPr>
        <w:t xml:space="preserve"> </w:t>
      </w:r>
      <w:r w:rsidRPr="7F2F2848">
        <w:rPr>
          <w:rFonts w:ascii="Times New Roman" w:hAnsi="Times New Roman" w:cs="Times New Roman"/>
        </w:rPr>
        <w:t xml:space="preserve">has experience conducting over 35 different recruitment campaigns specifically with youth, and </w:t>
      </w:r>
      <w:r w:rsidRPr="7F2F2848" w:rsidR="008F0807">
        <w:rPr>
          <w:rFonts w:ascii="Times New Roman" w:hAnsi="Times New Roman" w:cs="Times New Roman"/>
        </w:rPr>
        <w:t>they</w:t>
      </w:r>
      <w:r w:rsidRPr="7F2F2848">
        <w:rPr>
          <w:rFonts w:ascii="Times New Roman" w:hAnsi="Times New Roman" w:cs="Times New Roman"/>
        </w:rPr>
        <w:t xml:space="preserve"> have surveyed more than 15,000 participants using social media data collection</w:t>
      </w:r>
      <w:bookmarkEnd w:id="16"/>
      <w:r w:rsidRPr="7F2F2848">
        <w:rPr>
          <w:rFonts w:ascii="Times New Roman" w:hAnsi="Times New Roman" w:cs="Times New Roman"/>
        </w:rPr>
        <w:t xml:space="preserve">. </w:t>
      </w:r>
      <w:r w:rsidRPr="7F2F2848" w:rsidR="008F0807">
        <w:rPr>
          <w:rFonts w:ascii="Times New Roman" w:hAnsi="Times New Roman" w:cs="Times New Roman"/>
        </w:rPr>
        <w:t>Their observations indicate that</w:t>
      </w:r>
      <w:r w:rsidRPr="7F2F2848">
        <w:rPr>
          <w:rFonts w:ascii="Times New Roman" w:hAnsi="Times New Roman" w:cs="Times New Roman"/>
        </w:rPr>
        <w:t xml:space="preserve"> </w:t>
      </w:r>
      <w:bookmarkEnd w:id="17"/>
      <w:r w:rsidRPr="7F2F2848" w:rsidR="006F700C">
        <w:rPr>
          <w:rFonts w:ascii="Times New Roman" w:hAnsi="Times New Roman" w:cs="Times New Roman"/>
        </w:rPr>
        <w:t>incentive</w:t>
      </w:r>
      <w:r w:rsidRPr="7F2F2848" w:rsidR="008F0807">
        <w:rPr>
          <w:rFonts w:ascii="Times New Roman" w:hAnsi="Times New Roman" w:cs="Times New Roman"/>
        </w:rPr>
        <w:t>s</w:t>
      </w:r>
      <w:r w:rsidRPr="7F2F2848" w:rsidR="006F700C">
        <w:rPr>
          <w:rFonts w:ascii="Times New Roman" w:hAnsi="Times New Roman" w:cs="Times New Roman"/>
        </w:rPr>
        <w:t xml:space="preserve"> </w:t>
      </w:r>
      <w:r w:rsidRPr="7F2F2848">
        <w:rPr>
          <w:rFonts w:ascii="Times New Roman" w:hAnsi="Times New Roman" w:cs="Times New Roman"/>
        </w:rPr>
        <w:t xml:space="preserve">minimize non-response bias, </w:t>
      </w:r>
      <w:r w:rsidRPr="7F2F2848" w:rsidR="008F0807">
        <w:rPr>
          <w:rFonts w:ascii="Times New Roman" w:hAnsi="Times New Roman" w:cs="Times New Roman"/>
        </w:rPr>
        <w:t xml:space="preserve">help to </w:t>
      </w:r>
      <w:r w:rsidRPr="7F2F2848">
        <w:rPr>
          <w:rFonts w:ascii="Times New Roman" w:hAnsi="Times New Roman" w:cs="Times New Roman"/>
        </w:rPr>
        <w:t xml:space="preserve">complete data collection goals in a timely manner, reduce overall burden, and reduce costs. </w:t>
      </w:r>
      <w:r w:rsidRPr="7F2F2848" w:rsidR="008F0807">
        <w:rPr>
          <w:rFonts w:ascii="Times New Roman" w:hAnsi="Times New Roman" w:cs="Times New Roman"/>
        </w:rPr>
        <w:t>Based on their experience</w:t>
      </w:r>
      <w:r w:rsidRPr="7F2F2848" w:rsidR="00A825CA">
        <w:rPr>
          <w:rFonts w:ascii="Times New Roman" w:hAnsi="Times New Roman" w:cs="Times New Roman"/>
        </w:rPr>
        <w:t>,</w:t>
      </w:r>
      <w:r w:rsidRPr="7F2F2848" w:rsidR="008F0807">
        <w:rPr>
          <w:rFonts w:ascii="Times New Roman" w:hAnsi="Times New Roman" w:cs="Times New Roman"/>
        </w:rPr>
        <w:t xml:space="preserve"> </w:t>
      </w:r>
      <w:r w:rsidRPr="7F2F2848" w:rsidR="00EB1C49">
        <w:rPr>
          <w:rFonts w:ascii="Times New Roman" w:hAnsi="Times New Roman" w:cs="Times New Roman"/>
        </w:rPr>
        <w:t xml:space="preserve">older youth are more likely to complete at higher incentive amounts, </w:t>
      </w:r>
      <w:r w:rsidRPr="7F2F2848" w:rsidR="001F204A">
        <w:rPr>
          <w:rFonts w:ascii="Times New Roman" w:hAnsi="Times New Roman" w:cs="Times New Roman"/>
        </w:rPr>
        <w:t>which is reflected in the literature (Martinson et al., 2000; Festinger et al., 2005). W</w:t>
      </w:r>
      <w:r w:rsidRPr="7F2F2848" w:rsidR="00EB1C49">
        <w:rPr>
          <w:rFonts w:ascii="Times New Roman" w:hAnsi="Times New Roman" w:cs="Times New Roman"/>
        </w:rPr>
        <w:t xml:space="preserve">e are seeking to retain as much of our cohort as possible in </w:t>
      </w:r>
      <w:r w:rsidRPr="7F2F2848" w:rsidR="00066819">
        <w:rPr>
          <w:rFonts w:ascii="Times New Roman" w:hAnsi="Times New Roman" w:cs="Times New Roman"/>
        </w:rPr>
        <w:t>follow-up waves</w:t>
      </w:r>
      <w:r w:rsidRPr="7F2F2848" w:rsidR="1ADEF237">
        <w:rPr>
          <w:rFonts w:ascii="Times New Roman" w:hAnsi="Times New Roman" w:cs="Times New Roman"/>
        </w:rPr>
        <w:t xml:space="preserve"> and to maximize the national representativeness of our sample.</w:t>
      </w:r>
      <w:r w:rsidRPr="7F2F2848" w:rsidR="00BE10E5">
        <w:rPr>
          <w:rFonts w:ascii="Times New Roman" w:hAnsi="Times New Roman" w:cs="Times New Roman"/>
        </w:rPr>
        <w:t xml:space="preserve"> </w:t>
      </w:r>
      <w:r w:rsidRPr="7F2F2848" w:rsidR="001574B9">
        <w:rPr>
          <w:rFonts w:ascii="Times New Roman" w:hAnsi="Times New Roman" w:cs="Times New Roman"/>
        </w:rPr>
        <w:t>Other</w:t>
      </w:r>
      <w:r w:rsidRPr="7F2F2848" w:rsidR="00BE10E5">
        <w:rPr>
          <w:rFonts w:ascii="Times New Roman" w:hAnsi="Times New Roman" w:cs="Times New Roman"/>
        </w:rPr>
        <w:t xml:space="preserve"> studies have used similar incentive amounts to the proposed incentive for this study. </w:t>
      </w:r>
      <w:r w:rsidRPr="7F2F2848" w:rsidR="001574B9">
        <w:rPr>
          <w:rFonts w:ascii="Times New Roman" w:hAnsi="Times New Roman" w:cs="Times New Roman"/>
        </w:rPr>
        <w:t xml:space="preserve">OMB Control Number </w:t>
      </w:r>
      <w:r w:rsidRPr="7F2F2848" w:rsidR="00BE10E5">
        <w:rPr>
          <w:rFonts w:ascii="Times New Roman" w:hAnsi="Times New Roman" w:cs="Times New Roman"/>
        </w:rPr>
        <w:t>0930-0110</w:t>
      </w:r>
      <w:r w:rsidRPr="7F2F2848" w:rsidR="001574B9">
        <w:rPr>
          <w:rFonts w:ascii="Times New Roman" w:hAnsi="Times New Roman" w:cs="Times New Roman"/>
        </w:rPr>
        <w:t>,</w:t>
      </w:r>
      <w:r w:rsidRPr="7F2F2848" w:rsidR="00A825CA">
        <w:rPr>
          <w:rFonts w:ascii="Times New Roman" w:hAnsi="Times New Roman" w:cs="Times New Roman"/>
        </w:rPr>
        <w:t xml:space="preserve"> </w:t>
      </w:r>
      <w:r w:rsidRPr="7F2F2848" w:rsidR="00BE10E5">
        <w:rPr>
          <w:rFonts w:ascii="Times New Roman" w:hAnsi="Times New Roman" w:cs="Times New Roman"/>
        </w:rPr>
        <w:t xml:space="preserve">National Study for Drug Use and Health (NSDUH), </w:t>
      </w:r>
      <w:r w:rsidRPr="7F2F2848" w:rsidR="001574B9">
        <w:rPr>
          <w:rFonts w:ascii="Times New Roman" w:hAnsi="Times New Roman" w:cs="Times New Roman"/>
        </w:rPr>
        <w:t xml:space="preserve">currently </w:t>
      </w:r>
      <w:r w:rsidRPr="7F2F2848" w:rsidR="00BE10E5">
        <w:rPr>
          <w:rFonts w:ascii="Times New Roman" w:hAnsi="Times New Roman" w:cs="Times New Roman"/>
        </w:rPr>
        <w:t>uses a</w:t>
      </w:r>
      <w:r w:rsidRPr="7F2F2848" w:rsidR="001574B9">
        <w:rPr>
          <w:rFonts w:ascii="Times New Roman" w:hAnsi="Times New Roman" w:cs="Times New Roman"/>
        </w:rPr>
        <w:t>n</w:t>
      </w:r>
      <w:r w:rsidRPr="7F2F2848" w:rsidR="00BE10E5">
        <w:rPr>
          <w:rFonts w:ascii="Times New Roman" w:hAnsi="Times New Roman" w:cs="Times New Roman"/>
        </w:rPr>
        <w:t xml:space="preserve"> incentive (including cash or gift card) for youth ages 12 to 17. </w:t>
      </w:r>
      <w:r w:rsidRPr="7F2F2848" w:rsidR="001574B9">
        <w:rPr>
          <w:rFonts w:ascii="Times New Roman" w:hAnsi="Times New Roman" w:cs="Times New Roman"/>
        </w:rPr>
        <w:t>T</w:t>
      </w:r>
      <w:r w:rsidRPr="7F2F2848" w:rsidR="00BE10E5">
        <w:rPr>
          <w:rFonts w:ascii="Times New Roman" w:hAnsi="Times New Roman" w:cs="Times New Roman"/>
        </w:rPr>
        <w:t>he study experienced an increase in the weighted overall response rate (screening * interviewing) from 67% to 71%</w:t>
      </w:r>
      <w:r w:rsidRPr="7F2F2848" w:rsidR="001574B9">
        <w:rPr>
          <w:rFonts w:ascii="Times New Roman" w:hAnsi="Times New Roman" w:cs="Times New Roman"/>
        </w:rPr>
        <w:t xml:space="preserve"> from 2001 to 2002 when the incentive was modified to $30.00</w:t>
      </w:r>
      <w:r w:rsidRPr="7F2F2848" w:rsidR="00BE10E5">
        <w:rPr>
          <w:rFonts w:ascii="Times New Roman" w:hAnsi="Times New Roman" w:cs="Times New Roman"/>
        </w:rPr>
        <w:t xml:space="preserve">. </w:t>
      </w:r>
      <w:r w:rsidRPr="7F2F2848" w:rsidR="001574B9">
        <w:rPr>
          <w:rFonts w:ascii="Times New Roman" w:hAnsi="Times New Roman" w:cs="Times New Roman"/>
        </w:rPr>
        <w:t>OMB Control Number</w:t>
      </w:r>
      <w:r w:rsidRPr="7F2F2848" w:rsidR="00A825CA">
        <w:rPr>
          <w:rFonts w:ascii="Times New Roman" w:hAnsi="Times New Roman" w:cs="Times New Roman"/>
        </w:rPr>
        <w:t xml:space="preserve"> </w:t>
      </w:r>
      <w:r w:rsidRPr="7F2F2848" w:rsidR="00BE10E5">
        <w:rPr>
          <w:rFonts w:ascii="Times New Roman" w:hAnsi="Times New Roman" w:cs="Times New Roman"/>
        </w:rPr>
        <w:t>0910-0753</w:t>
      </w:r>
      <w:r w:rsidRPr="7F2F2848" w:rsidR="00A825CA">
        <w:rPr>
          <w:rFonts w:ascii="Times New Roman" w:hAnsi="Times New Roman" w:cs="Times New Roman"/>
        </w:rPr>
        <w:t>,</w:t>
      </w:r>
      <w:r w:rsidRPr="7F2F2848" w:rsidR="00A825CA">
        <w:rPr>
          <w:rFonts w:ascii="Times New Roman" w:hAnsi="Times New Roman" w:cs="Times New Roman"/>
        </w:rPr>
        <w:t xml:space="preserve"> </w:t>
      </w:r>
      <w:r w:rsidRPr="7F2F2848" w:rsidR="001574B9">
        <w:rPr>
          <w:rFonts w:ascii="Times New Roman" w:hAnsi="Times New Roman" w:cs="Times New Roman"/>
        </w:rPr>
        <w:t xml:space="preserve">provided </w:t>
      </w:r>
      <w:r w:rsidRPr="7F2F2848" w:rsidR="00BE10E5">
        <w:rPr>
          <w:rFonts w:ascii="Times New Roman" w:hAnsi="Times New Roman" w:cs="Times New Roman"/>
        </w:rPr>
        <w:t>similar incentives for the first two cohorts of The Real Cost evaluation. In 2013,</w:t>
      </w:r>
      <w:r w:rsidRPr="7F2F2848" w:rsidR="00247239">
        <w:rPr>
          <w:rFonts w:ascii="Times New Roman" w:hAnsi="Times New Roman" w:cs="Times New Roman"/>
        </w:rPr>
        <w:t xml:space="preserve"> </w:t>
      </w:r>
      <w:r w:rsidRPr="7F2F2848" w:rsidR="00BE10E5">
        <w:rPr>
          <w:rFonts w:ascii="Times New Roman" w:hAnsi="Times New Roman" w:cs="Times New Roman"/>
        </w:rPr>
        <w:t>a $20 incentive</w:t>
      </w:r>
      <w:r w:rsidRPr="7F2F2848" w:rsidR="00A825CA">
        <w:rPr>
          <w:rFonts w:ascii="Times New Roman" w:hAnsi="Times New Roman" w:cs="Times New Roman"/>
        </w:rPr>
        <w:t xml:space="preserve"> was offered</w:t>
      </w:r>
      <w:r w:rsidRPr="7F2F2848" w:rsidR="00BE10E5">
        <w:rPr>
          <w:rFonts w:ascii="Times New Roman" w:hAnsi="Times New Roman" w:cs="Times New Roman"/>
        </w:rPr>
        <w:t xml:space="preserve"> for the first cohort which, adjusted for inflation, is $25.35 in 2022 USD (U.S. Bureau of Labor Statistics, 2022) and in 2020, an increased incentive of $25 (and a $5 bonus for responding during the early release period)</w:t>
      </w:r>
      <w:r w:rsidRPr="7F2F2848" w:rsidR="00A825CA">
        <w:rPr>
          <w:rFonts w:ascii="Times New Roman" w:hAnsi="Times New Roman" w:cs="Times New Roman"/>
        </w:rPr>
        <w:t xml:space="preserve"> was offered</w:t>
      </w:r>
      <w:r w:rsidRPr="7F2F2848" w:rsidR="00BE10E5">
        <w:rPr>
          <w:rFonts w:ascii="Times New Roman" w:hAnsi="Times New Roman" w:cs="Times New Roman"/>
        </w:rPr>
        <w:t xml:space="preserve"> for the second cohort of th</w:t>
      </w:r>
      <w:r w:rsidRPr="7F2F2848" w:rsidR="00247239">
        <w:rPr>
          <w:rFonts w:ascii="Times New Roman" w:hAnsi="Times New Roman" w:cs="Times New Roman"/>
        </w:rPr>
        <w:t>e</w:t>
      </w:r>
      <w:r w:rsidRPr="7F2F2848" w:rsidR="00BE10E5">
        <w:rPr>
          <w:rFonts w:ascii="Times New Roman" w:hAnsi="Times New Roman" w:cs="Times New Roman"/>
        </w:rPr>
        <w:t xml:space="preserve"> study.</w:t>
      </w:r>
    </w:p>
    <w:p w:rsidR="3512713B" w:rsidP="1BF77947" w14:paraId="4B956599" w14:textId="77777777">
      <w:pPr>
        <w:rPr>
          <w:rFonts w:eastAsia="Calibri"/>
        </w:rPr>
      </w:pPr>
    </w:p>
    <w:p w:rsidR="00BE10E5" w:rsidP="00BE10E5" w14:paraId="3D67865C" w14:textId="77777777">
      <w:r w:rsidRPr="1BF77947">
        <w:rPr>
          <w:rFonts w:ascii="Times New Roman" w:eastAsia="Times New Roman" w:hAnsi="Times New Roman" w:cs="Times New Roman"/>
        </w:rPr>
        <w:t>In order to</w:t>
      </w:r>
      <w:r w:rsidRPr="1BF77947">
        <w:rPr>
          <w:rFonts w:ascii="Times New Roman" w:eastAsia="Times New Roman" w:hAnsi="Times New Roman" w:cs="Times New Roman"/>
        </w:rPr>
        <w:t xml:space="preserve"> </w:t>
      </w:r>
      <w:r>
        <w:rPr>
          <w:rFonts w:ascii="Times New Roman" w:eastAsia="Times New Roman" w:hAnsi="Times New Roman" w:cs="Times New Roman"/>
        </w:rPr>
        <w:t>recruit</w:t>
      </w:r>
      <w:r w:rsidRPr="1BF77947">
        <w:rPr>
          <w:rFonts w:ascii="Times New Roman" w:eastAsia="Times New Roman" w:hAnsi="Times New Roman" w:cs="Times New Roman"/>
        </w:rPr>
        <w:t xml:space="preserve"> a diverse sample</w:t>
      </w:r>
      <w:r>
        <w:rPr>
          <w:rFonts w:ascii="Times New Roman" w:eastAsia="Times New Roman" w:hAnsi="Times New Roman" w:cs="Times New Roman"/>
        </w:rPr>
        <w:t>,</w:t>
      </w:r>
      <w:r w:rsidRPr="1BF77947">
        <w:rPr>
          <w:rFonts w:ascii="Times New Roman" w:eastAsia="Times New Roman" w:hAnsi="Times New Roman" w:cs="Times New Roman"/>
        </w:rPr>
        <w:t xml:space="preserve"> we want to ensure that we can reach socially disadvantaged groups, including people with low socioeconomic status. People with low socioeconomic status are consistently underrepresented in all types of research studies (</w:t>
      </w:r>
      <w:r w:rsidRPr="1BF77947">
        <w:rPr>
          <w:rFonts w:ascii="Times New Roman" w:eastAsia="Times New Roman" w:hAnsi="Times New Roman" w:cs="Times New Roman"/>
        </w:rPr>
        <w:t>Bonevsk</w:t>
      </w:r>
      <w:r w:rsidRPr="1BF77947">
        <w:rPr>
          <w:rFonts w:ascii="Times New Roman" w:eastAsia="Times New Roman" w:hAnsi="Times New Roman" w:cs="Times New Roman"/>
        </w:rPr>
        <w:t xml:space="preserve"> et al., 2014). When applied in a reasonable manner, </w:t>
      </w:r>
      <w:r>
        <w:rPr>
          <w:rFonts w:ascii="Times New Roman" w:eastAsia="Times New Roman" w:hAnsi="Times New Roman" w:cs="Times New Roman"/>
        </w:rPr>
        <w:t>incentives</w:t>
      </w:r>
      <w:r w:rsidRPr="1BF77947">
        <w:rPr>
          <w:rFonts w:ascii="Times New Roman" w:eastAsia="Times New Roman" w:hAnsi="Times New Roman" w:cs="Times New Roman"/>
        </w:rPr>
        <w:t xml:space="preserve"> are not an unjust inducement—they are an approach that acknowledges participants for their participation (Halpern et al., 2004).</w:t>
      </w:r>
      <w:r>
        <w:t xml:space="preserve"> </w:t>
      </w:r>
    </w:p>
    <w:p w:rsidR="00BE10E5" w:rsidP="1BF77947" w14:paraId="479A40DA" w14:textId="77777777">
      <w:pPr>
        <w:rPr>
          <w:rFonts w:eastAsia="Calibri"/>
        </w:rPr>
      </w:pPr>
    </w:p>
    <w:p w:rsidR="005918A9" w:rsidP="00476535" w14:paraId="03B6C557" w14:textId="77777777">
      <w:r w:rsidRPr="1BF77947">
        <w:rPr>
          <w:rFonts w:ascii="Times New Roman" w:eastAsia="Times New Roman" w:hAnsi="Times New Roman" w:cs="Times New Roman"/>
        </w:rPr>
        <w:t>In general, empirical studies show that incentives can increase response rates and reduce attrition in longitudinal surveys within some respondent populations (Scharff et al., 2010</w:t>
      </w:r>
      <w:r w:rsidR="00796206">
        <w:rPr>
          <w:rFonts w:ascii="Times New Roman" w:eastAsia="Times New Roman" w:hAnsi="Times New Roman" w:cs="Times New Roman"/>
        </w:rPr>
        <w:t xml:space="preserve">; </w:t>
      </w:r>
      <w:r w:rsidR="005669CF">
        <w:rPr>
          <w:rFonts w:ascii="Times New Roman" w:eastAsia="Times New Roman" w:hAnsi="Times New Roman" w:cs="Times New Roman"/>
        </w:rPr>
        <w:t xml:space="preserve">Becker et al., 2019; </w:t>
      </w:r>
      <w:r w:rsidR="00796206">
        <w:rPr>
          <w:rFonts w:ascii="Times New Roman" w:eastAsia="Times New Roman" w:hAnsi="Times New Roman" w:cs="Times New Roman"/>
        </w:rPr>
        <w:t>Pejtersen</w:t>
      </w:r>
      <w:r w:rsidR="008D3787">
        <w:rPr>
          <w:rFonts w:ascii="Times New Roman" w:eastAsia="Times New Roman" w:hAnsi="Times New Roman" w:cs="Times New Roman"/>
        </w:rPr>
        <w:t>, 2020</w:t>
      </w:r>
      <w:r w:rsidRPr="1BF77947">
        <w:rPr>
          <w:rFonts w:ascii="Times New Roman" w:eastAsia="Times New Roman" w:hAnsi="Times New Roman" w:cs="Times New Roman"/>
        </w:rPr>
        <w:t>)</w:t>
      </w:r>
      <w:r w:rsidR="005669CF">
        <w:rPr>
          <w:rFonts w:ascii="Times New Roman" w:eastAsia="Times New Roman" w:hAnsi="Times New Roman" w:cs="Times New Roman"/>
        </w:rPr>
        <w:t xml:space="preserve"> and cash incentives are more effective than non-cash incentives (</w:t>
      </w:r>
      <w:r w:rsidR="00656E74">
        <w:rPr>
          <w:rFonts w:ascii="Times New Roman" w:eastAsia="Times New Roman" w:hAnsi="Times New Roman" w:cs="Times New Roman"/>
        </w:rPr>
        <w:t>Mar</w:t>
      </w:r>
      <w:r w:rsidR="00017F0C">
        <w:rPr>
          <w:rFonts w:ascii="Times New Roman" w:eastAsia="Times New Roman" w:hAnsi="Times New Roman" w:cs="Times New Roman"/>
        </w:rPr>
        <w:t xml:space="preserve">tinson et al., 2000; </w:t>
      </w:r>
      <w:r w:rsidR="004F0977">
        <w:rPr>
          <w:rFonts w:ascii="Times New Roman" w:eastAsia="Times New Roman" w:hAnsi="Times New Roman" w:cs="Times New Roman"/>
        </w:rPr>
        <w:t>Festinger et al., 2005; 2008; Becker et al., 2019</w:t>
      </w:r>
      <w:r w:rsidR="003B2EF5">
        <w:rPr>
          <w:rFonts w:ascii="Times New Roman" w:eastAsia="Times New Roman" w:hAnsi="Times New Roman" w:cs="Times New Roman"/>
        </w:rPr>
        <w:t>)</w:t>
      </w:r>
      <w:r w:rsidRPr="1BF77947">
        <w:rPr>
          <w:rFonts w:ascii="Times New Roman" w:eastAsia="Times New Roman" w:hAnsi="Times New Roman" w:cs="Times New Roman"/>
        </w:rPr>
        <w:t xml:space="preserve">. Although </w:t>
      </w:r>
      <w:r w:rsidR="00F334E5">
        <w:rPr>
          <w:rFonts w:ascii="Times New Roman" w:eastAsia="Times New Roman" w:hAnsi="Times New Roman" w:cs="Times New Roman"/>
        </w:rPr>
        <w:t>most</w:t>
      </w:r>
      <w:r w:rsidRPr="1BF77947">
        <w:rPr>
          <w:rFonts w:ascii="Times New Roman" w:eastAsia="Times New Roman" w:hAnsi="Times New Roman" w:cs="Times New Roman"/>
        </w:rPr>
        <w:t xml:space="preserve"> of </w:t>
      </w:r>
      <w:r w:rsidR="005A167C">
        <w:rPr>
          <w:rFonts w:ascii="Times New Roman" w:eastAsia="Times New Roman" w:hAnsi="Times New Roman" w:cs="Times New Roman"/>
        </w:rPr>
        <w:t xml:space="preserve">the </w:t>
      </w:r>
      <w:r w:rsidRPr="1BF77947">
        <w:rPr>
          <w:rFonts w:ascii="Times New Roman" w:eastAsia="Times New Roman" w:hAnsi="Times New Roman" w:cs="Times New Roman"/>
        </w:rPr>
        <w:t>published research on this topic is based on mail, telephone, or in-person surveys, there are now several studies on the effects of incentives within the context of a web-based survey. For example, a 2006 meta-analysis of 32 studies indicates that incentives increase the odds that potential respondents will begin a web survey, and a second meta-analysis of 26 studies shows that incentives increase the odds of completing a web survey once respondents have begun it (</w:t>
      </w:r>
      <w:r w:rsidRPr="1BF77947">
        <w:rPr>
          <w:rFonts w:ascii="Times New Roman" w:eastAsia="Times New Roman" w:hAnsi="Times New Roman" w:cs="Times New Roman"/>
        </w:rPr>
        <w:t>Göritz</w:t>
      </w:r>
      <w:r w:rsidRPr="1BF77947">
        <w:rPr>
          <w:rFonts w:ascii="Times New Roman" w:eastAsia="Times New Roman" w:hAnsi="Times New Roman" w:cs="Times New Roman"/>
        </w:rPr>
        <w:t xml:space="preserve"> et al., 2006).  </w:t>
      </w:r>
      <w:bookmarkEnd w:id="15"/>
    </w:p>
    <w:p w:rsidR="005918A9" w:rsidP="00476535" w14:paraId="15BD3B6D" w14:textId="77777777"/>
    <w:p w:rsidR="005918A9" w:rsidRPr="00710CC9" w:rsidP="0083416F" w14:paraId="124A5D97" w14:textId="6AD633D4">
      <w:pPr>
        <w:tabs>
          <w:tab w:val="left" w:pos="2592"/>
        </w:tabs>
        <w:spacing w:after="160" w:line="259" w:lineRule="auto"/>
        <w:rPr>
          <w:rFonts w:ascii="Times New Roman" w:hAnsi="Times New Roman" w:cs="Times New Roman"/>
        </w:rPr>
      </w:pPr>
      <w:r>
        <w:rPr>
          <w:rFonts w:ascii="Times New Roman" w:hAnsi="Times New Roman" w:cs="Times New Roman"/>
        </w:rPr>
        <w:tab/>
      </w:r>
      <w:r w:rsidRPr="00710CC9" w:rsidR="00EF4C35">
        <w:rPr>
          <w:rFonts w:ascii="Times New Roman" w:hAnsi="Times New Roman" w:cs="Times New Roman"/>
        </w:rPr>
        <w:t>Table 1. Incentive</w:t>
      </w:r>
      <w:r w:rsidR="00EF4C35">
        <w:rPr>
          <w:rFonts w:ascii="Times New Roman" w:hAnsi="Times New Roman" w:cs="Times New Roman"/>
        </w:rPr>
        <w:t xml:space="preserve"> </w:t>
      </w:r>
      <w:r w:rsidR="00227AA0">
        <w:rPr>
          <w:rFonts w:ascii="Times New Roman" w:hAnsi="Times New Roman" w:cs="Times New Roman"/>
        </w:rPr>
        <w:t>Schedule</w:t>
      </w:r>
    </w:p>
    <w:p w:rsidR="005918A9" w:rsidP="00476535" w14:paraId="49F52785" w14:textId="77777777"/>
    <w:p w:rsidR="005918A9" w:rsidP="00476535" w14:paraId="5CFA05F6" w14:textId="77777777"/>
    <w:p w:rsidR="005918A9" w:rsidP="00476535" w14:paraId="7EC396BD" w14:textId="77777777"/>
    <w:tbl>
      <w:tblPr>
        <w:tblpPr w:leftFromText="180" w:rightFromText="180" w:vertAnchor="text" w:horzAnchor="margin" w:tblpY="-764"/>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2821"/>
        <w:gridCol w:w="1980"/>
        <w:gridCol w:w="1800"/>
        <w:gridCol w:w="1800"/>
      </w:tblGrid>
      <w:tr w14:paraId="36F26DAA" w14:textId="77777777" w:rsidTr="004F7536">
        <w:tblPrEx>
          <w:tblW w:w="8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Ex>
        <w:trPr>
          <w:cantSplit/>
        </w:trPr>
        <w:tc>
          <w:tcPr>
            <w:tcW w:w="2821" w:type="dxa"/>
            <w:vAlign w:val="bottom"/>
          </w:tcPr>
          <w:p w:rsidR="004F7536" w:rsidRPr="00673D29" w:rsidP="004F7536" w14:paraId="307AD1D6" w14:textId="77777777">
            <w:pPr>
              <w:rPr>
                <w:rFonts w:ascii="Times New Roman" w:hAnsi="Times New Roman" w:cs="Times New Roman"/>
                <w:b/>
              </w:rPr>
            </w:pPr>
            <w:r w:rsidRPr="00673D29">
              <w:rPr>
                <w:rFonts w:ascii="Times New Roman" w:hAnsi="Times New Roman" w:cs="Times New Roman"/>
                <w:b/>
              </w:rPr>
              <w:t>Type of Incentive</w:t>
            </w:r>
          </w:p>
        </w:tc>
        <w:tc>
          <w:tcPr>
            <w:tcW w:w="1980" w:type="dxa"/>
            <w:vAlign w:val="bottom"/>
          </w:tcPr>
          <w:p w:rsidR="004F7536" w:rsidRPr="00673D29" w:rsidP="004F7536" w14:paraId="72D0DE46" w14:textId="77777777">
            <w:pPr>
              <w:rPr>
                <w:rFonts w:ascii="Times New Roman" w:hAnsi="Times New Roman" w:cs="Times New Roman"/>
                <w:b/>
              </w:rPr>
            </w:pPr>
            <w:r w:rsidRPr="00673D29">
              <w:rPr>
                <w:rFonts w:ascii="Times New Roman" w:hAnsi="Times New Roman" w:cs="Times New Roman"/>
                <w:b/>
              </w:rPr>
              <w:t>Participant</w:t>
            </w:r>
          </w:p>
        </w:tc>
        <w:tc>
          <w:tcPr>
            <w:tcW w:w="1800" w:type="dxa"/>
            <w:vAlign w:val="bottom"/>
          </w:tcPr>
          <w:p w:rsidR="004F7536" w:rsidRPr="00673D29" w:rsidP="004F7536" w14:paraId="51EC13F9" w14:textId="77777777">
            <w:pPr>
              <w:rPr>
                <w:rFonts w:ascii="Times New Roman" w:hAnsi="Times New Roman" w:cs="Times New Roman"/>
                <w:b/>
              </w:rPr>
            </w:pPr>
            <w:r w:rsidRPr="00673D29">
              <w:rPr>
                <w:rFonts w:ascii="Times New Roman" w:hAnsi="Times New Roman" w:cs="Times New Roman"/>
                <w:b/>
              </w:rPr>
              <w:t>Amount/Value</w:t>
            </w:r>
          </w:p>
        </w:tc>
        <w:tc>
          <w:tcPr>
            <w:tcW w:w="1800" w:type="dxa"/>
          </w:tcPr>
          <w:p w:rsidR="004F7536" w:rsidRPr="00673D29" w:rsidP="004F7536" w14:paraId="68C70AB3" w14:textId="77777777">
            <w:pPr>
              <w:rPr>
                <w:rFonts w:ascii="Times New Roman" w:hAnsi="Times New Roman" w:cs="Times New Roman"/>
                <w:b/>
              </w:rPr>
            </w:pPr>
            <w:r w:rsidRPr="00673D29">
              <w:rPr>
                <w:rFonts w:ascii="Times New Roman" w:hAnsi="Times New Roman" w:cs="Times New Roman"/>
                <w:b/>
              </w:rPr>
              <w:t>Total Amount for Completing Waves</w:t>
            </w:r>
          </w:p>
        </w:tc>
      </w:tr>
      <w:tr w14:paraId="62AB6B39" w14:textId="77777777" w:rsidTr="004F7536">
        <w:tblPrEx>
          <w:tblW w:w="8401" w:type="dxa"/>
          <w:tblLayout w:type="fixed"/>
          <w:tblCellMar>
            <w:left w:w="115" w:type="dxa"/>
            <w:right w:w="115" w:type="dxa"/>
          </w:tblCellMar>
          <w:tblLook w:val="01E0"/>
        </w:tblPrEx>
        <w:trPr>
          <w:cantSplit/>
        </w:trPr>
        <w:tc>
          <w:tcPr>
            <w:tcW w:w="2821" w:type="dxa"/>
          </w:tcPr>
          <w:p w:rsidR="00496F7A" w:rsidRPr="00673D29" w:rsidP="004F7536" w14:paraId="0D65D72C" w14:textId="77777777">
            <w:pPr>
              <w:rPr>
                <w:rFonts w:ascii="Times New Roman" w:hAnsi="Times New Roman" w:cs="Times New Roman"/>
              </w:rPr>
            </w:pPr>
            <w:r>
              <w:rPr>
                <w:rFonts w:ascii="Times New Roman" w:hAnsi="Times New Roman" w:cs="Times New Roman"/>
              </w:rPr>
              <w:t>Parent pre-incentive</w:t>
            </w:r>
          </w:p>
        </w:tc>
        <w:tc>
          <w:tcPr>
            <w:tcW w:w="1980" w:type="dxa"/>
          </w:tcPr>
          <w:p w:rsidR="00496F7A" w:rsidRPr="00673D29" w:rsidP="004F7536" w14:paraId="16FC603E" w14:textId="77777777">
            <w:pPr>
              <w:rPr>
                <w:rFonts w:ascii="Times New Roman" w:hAnsi="Times New Roman" w:cs="Times New Roman"/>
              </w:rPr>
            </w:pPr>
            <w:r>
              <w:rPr>
                <w:rFonts w:ascii="Times New Roman" w:hAnsi="Times New Roman" w:cs="Times New Roman"/>
              </w:rPr>
              <w:t xml:space="preserve">All </w:t>
            </w:r>
            <w:r w:rsidR="00B37724">
              <w:rPr>
                <w:rFonts w:ascii="Times New Roman" w:hAnsi="Times New Roman" w:cs="Times New Roman"/>
              </w:rPr>
              <w:t xml:space="preserve">baseline </w:t>
            </w:r>
            <w:r w:rsidR="003243DE">
              <w:rPr>
                <w:rFonts w:ascii="Times New Roman" w:hAnsi="Times New Roman" w:cs="Times New Roman"/>
              </w:rPr>
              <w:t>households</w:t>
            </w:r>
          </w:p>
        </w:tc>
        <w:tc>
          <w:tcPr>
            <w:tcW w:w="1800" w:type="dxa"/>
          </w:tcPr>
          <w:p w:rsidR="00496F7A" w:rsidRPr="00673D29" w:rsidP="004F7536" w14:paraId="6B04F945" w14:textId="77777777">
            <w:pPr>
              <w:rPr>
                <w:rFonts w:ascii="Times New Roman" w:hAnsi="Times New Roman" w:cs="Times New Roman"/>
              </w:rPr>
            </w:pPr>
            <w:r>
              <w:rPr>
                <w:rFonts w:ascii="Times New Roman" w:hAnsi="Times New Roman" w:cs="Times New Roman"/>
              </w:rPr>
              <w:t>$1</w:t>
            </w:r>
            <w:r w:rsidR="003243DE">
              <w:rPr>
                <w:rFonts w:ascii="Times New Roman" w:hAnsi="Times New Roman" w:cs="Times New Roman"/>
              </w:rPr>
              <w:t>/household</w:t>
            </w:r>
          </w:p>
        </w:tc>
        <w:tc>
          <w:tcPr>
            <w:tcW w:w="1800" w:type="dxa"/>
          </w:tcPr>
          <w:p w:rsidR="00496F7A" w:rsidRPr="00673D29" w:rsidP="004F7536" w14:paraId="38DBC899" w14:textId="77777777">
            <w:pPr>
              <w:rPr>
                <w:rFonts w:ascii="Times New Roman" w:hAnsi="Times New Roman" w:cs="Times New Roman"/>
              </w:rPr>
            </w:pPr>
            <w:r>
              <w:rPr>
                <w:rFonts w:ascii="Times New Roman" w:hAnsi="Times New Roman" w:cs="Times New Roman"/>
              </w:rPr>
              <w:t>$1</w:t>
            </w:r>
          </w:p>
        </w:tc>
      </w:tr>
      <w:tr w14:paraId="6CEEC93A" w14:textId="77777777" w:rsidTr="004F7536">
        <w:tblPrEx>
          <w:tblW w:w="8401" w:type="dxa"/>
          <w:tblLayout w:type="fixed"/>
          <w:tblCellMar>
            <w:left w:w="115" w:type="dxa"/>
            <w:right w:w="115" w:type="dxa"/>
          </w:tblCellMar>
          <w:tblLook w:val="01E0"/>
        </w:tblPrEx>
        <w:trPr>
          <w:cantSplit/>
        </w:trPr>
        <w:tc>
          <w:tcPr>
            <w:tcW w:w="2821" w:type="dxa"/>
          </w:tcPr>
          <w:p w:rsidR="004F7536" w:rsidRPr="00673D29" w:rsidP="004F7536" w14:paraId="653D5B26" w14:textId="77777777">
            <w:pPr>
              <w:rPr>
                <w:rFonts w:ascii="Times New Roman" w:hAnsi="Times New Roman" w:cs="Times New Roman"/>
              </w:rPr>
            </w:pPr>
            <w:r w:rsidRPr="00673D29">
              <w:rPr>
                <w:rFonts w:ascii="Times New Roman" w:hAnsi="Times New Roman" w:cs="Times New Roman"/>
              </w:rPr>
              <w:t xml:space="preserve">Youth </w:t>
            </w:r>
            <w:r>
              <w:rPr>
                <w:rFonts w:ascii="Times New Roman" w:hAnsi="Times New Roman" w:cs="Times New Roman"/>
              </w:rPr>
              <w:t>Survey</w:t>
            </w:r>
            <w:r w:rsidRPr="00673D29">
              <w:rPr>
                <w:rFonts w:ascii="Times New Roman" w:hAnsi="Times New Roman" w:cs="Times New Roman"/>
              </w:rPr>
              <w:t xml:space="preserve"> incentive- Early Release Period: </w:t>
            </w:r>
            <w:r>
              <w:rPr>
                <w:rFonts w:ascii="Times New Roman" w:hAnsi="Times New Roman" w:cs="Times New Roman"/>
              </w:rPr>
              <w:t>C</w:t>
            </w:r>
            <w:r w:rsidRPr="00673D29">
              <w:rPr>
                <w:rFonts w:ascii="Times New Roman" w:hAnsi="Times New Roman" w:cs="Times New Roman"/>
              </w:rPr>
              <w:t>ompletion during the initial three weeks of data collection</w:t>
            </w:r>
          </w:p>
        </w:tc>
        <w:tc>
          <w:tcPr>
            <w:tcW w:w="1980" w:type="dxa"/>
          </w:tcPr>
          <w:p w:rsidR="004F7536" w:rsidRPr="00673D29" w:rsidP="004F7536" w14:paraId="7DDE9ACA" w14:textId="5459D919">
            <w:pPr>
              <w:rPr>
                <w:rFonts w:ascii="Times New Roman" w:hAnsi="Times New Roman" w:cs="Times New Roman"/>
              </w:rPr>
            </w:pPr>
            <w:r w:rsidRPr="00673D29">
              <w:rPr>
                <w:rFonts w:ascii="Times New Roman" w:hAnsi="Times New Roman" w:cs="Times New Roman"/>
              </w:rPr>
              <w:t xml:space="preserve">All longitudinal panel members </w:t>
            </w:r>
            <w:r>
              <w:rPr>
                <w:rFonts w:ascii="Times New Roman" w:hAnsi="Times New Roman" w:cs="Times New Roman"/>
              </w:rPr>
              <w:t xml:space="preserve">at baseline and </w:t>
            </w:r>
            <w:r w:rsidRPr="00673D29">
              <w:rPr>
                <w:rFonts w:ascii="Times New Roman" w:hAnsi="Times New Roman" w:cs="Times New Roman"/>
              </w:rPr>
              <w:t xml:space="preserve">in </w:t>
            </w:r>
            <w:r w:rsidR="00904A32">
              <w:rPr>
                <w:rFonts w:ascii="Times New Roman" w:hAnsi="Times New Roman" w:cs="Times New Roman"/>
              </w:rPr>
              <w:t xml:space="preserve">5 </w:t>
            </w:r>
            <w:r w:rsidRPr="00673D29">
              <w:rPr>
                <w:rFonts w:ascii="Times New Roman" w:hAnsi="Times New Roman" w:cs="Times New Roman"/>
              </w:rPr>
              <w:t xml:space="preserve">follow-up waves </w:t>
            </w:r>
          </w:p>
        </w:tc>
        <w:tc>
          <w:tcPr>
            <w:tcW w:w="1800" w:type="dxa"/>
          </w:tcPr>
          <w:p w:rsidR="004F7536" w:rsidRPr="00673D29" w:rsidP="004F7536" w14:paraId="5FE53D5A" w14:textId="77777777">
            <w:pPr>
              <w:rPr>
                <w:rFonts w:ascii="Times New Roman" w:hAnsi="Times New Roman" w:cs="Times New Roman"/>
              </w:rPr>
            </w:pPr>
            <w:r w:rsidRPr="00673D29">
              <w:rPr>
                <w:rFonts w:ascii="Times New Roman" w:hAnsi="Times New Roman" w:cs="Times New Roman"/>
              </w:rPr>
              <w:t>$</w:t>
            </w:r>
            <w:r>
              <w:rPr>
                <w:rFonts w:ascii="Times New Roman" w:hAnsi="Times New Roman" w:cs="Times New Roman"/>
              </w:rPr>
              <w:t>30</w:t>
            </w:r>
            <w:r w:rsidRPr="00673D29">
              <w:rPr>
                <w:rFonts w:ascii="Times New Roman" w:hAnsi="Times New Roman" w:cs="Times New Roman"/>
              </w:rPr>
              <w:t>/survey</w:t>
            </w:r>
          </w:p>
        </w:tc>
        <w:tc>
          <w:tcPr>
            <w:tcW w:w="1800" w:type="dxa"/>
          </w:tcPr>
          <w:p w:rsidR="004F7536" w:rsidRPr="00673D29" w:rsidP="004F7536" w14:paraId="786F9D34" w14:textId="15EA897F">
            <w:pPr>
              <w:rPr>
                <w:rFonts w:ascii="Times New Roman" w:hAnsi="Times New Roman" w:cs="Times New Roman"/>
              </w:rPr>
            </w:pPr>
            <w:r w:rsidRPr="00673D29">
              <w:rPr>
                <w:rFonts w:ascii="Times New Roman" w:hAnsi="Times New Roman" w:cs="Times New Roman"/>
              </w:rPr>
              <w:t>$</w:t>
            </w:r>
            <w:r>
              <w:rPr>
                <w:rFonts w:ascii="Times New Roman" w:hAnsi="Times New Roman" w:cs="Times New Roman"/>
              </w:rPr>
              <w:t>1</w:t>
            </w:r>
            <w:r w:rsidR="006A1505">
              <w:rPr>
                <w:rFonts w:ascii="Times New Roman" w:hAnsi="Times New Roman" w:cs="Times New Roman"/>
              </w:rPr>
              <w:t>8</w:t>
            </w:r>
            <w:r w:rsidRPr="00673D29">
              <w:rPr>
                <w:rFonts w:ascii="Times New Roman" w:hAnsi="Times New Roman" w:cs="Times New Roman"/>
              </w:rPr>
              <w:t>0</w:t>
            </w:r>
          </w:p>
        </w:tc>
      </w:tr>
      <w:tr w14:paraId="692FC88B" w14:textId="77777777" w:rsidTr="004F7536">
        <w:tblPrEx>
          <w:tblW w:w="8401" w:type="dxa"/>
          <w:tblLayout w:type="fixed"/>
          <w:tblCellMar>
            <w:left w:w="115" w:type="dxa"/>
            <w:right w:w="115" w:type="dxa"/>
          </w:tblCellMar>
          <w:tblLook w:val="01E0"/>
        </w:tblPrEx>
        <w:trPr>
          <w:cantSplit/>
        </w:trPr>
        <w:tc>
          <w:tcPr>
            <w:tcW w:w="2821" w:type="dxa"/>
          </w:tcPr>
          <w:p w:rsidR="004F7536" w:rsidRPr="00673D29" w:rsidP="004F7536" w14:paraId="1FAAA14C" w14:textId="77777777">
            <w:pPr>
              <w:rPr>
                <w:rFonts w:ascii="Times New Roman" w:hAnsi="Times New Roman" w:cs="Times New Roman"/>
              </w:rPr>
            </w:pPr>
            <w:r w:rsidRPr="00673D29">
              <w:rPr>
                <w:rFonts w:ascii="Times New Roman" w:hAnsi="Times New Roman" w:cs="Times New Roman"/>
              </w:rPr>
              <w:t xml:space="preserve">Youth </w:t>
            </w:r>
            <w:r>
              <w:rPr>
                <w:rFonts w:ascii="Times New Roman" w:hAnsi="Times New Roman" w:cs="Times New Roman"/>
              </w:rPr>
              <w:t>Survey</w:t>
            </w:r>
            <w:r w:rsidRPr="00673D29">
              <w:rPr>
                <w:rFonts w:ascii="Times New Roman" w:hAnsi="Times New Roman" w:cs="Times New Roman"/>
              </w:rPr>
              <w:t xml:space="preserve"> </w:t>
            </w:r>
            <w:r w:rsidR="00E2315F">
              <w:rPr>
                <w:rFonts w:ascii="Times New Roman" w:hAnsi="Times New Roman" w:cs="Times New Roman"/>
              </w:rPr>
              <w:t>i</w:t>
            </w:r>
            <w:r w:rsidRPr="00673D29" w:rsidR="00E2315F">
              <w:rPr>
                <w:rFonts w:ascii="Times New Roman" w:hAnsi="Times New Roman" w:cs="Times New Roman"/>
              </w:rPr>
              <w:t>ncentive</w:t>
            </w:r>
            <w:r w:rsidRPr="00673D29">
              <w:rPr>
                <w:rFonts w:ascii="Times New Roman" w:hAnsi="Times New Roman" w:cs="Times New Roman"/>
              </w:rPr>
              <w:t>-</w:t>
            </w:r>
            <w:r>
              <w:rPr>
                <w:rFonts w:ascii="Times New Roman" w:hAnsi="Times New Roman" w:cs="Times New Roman"/>
              </w:rPr>
              <w:t>C</w:t>
            </w:r>
            <w:r w:rsidRPr="00673D29">
              <w:rPr>
                <w:rFonts w:ascii="Times New Roman" w:hAnsi="Times New Roman" w:cs="Times New Roman"/>
              </w:rPr>
              <w:t>ompletion after Early Release Period expires</w:t>
            </w:r>
          </w:p>
        </w:tc>
        <w:tc>
          <w:tcPr>
            <w:tcW w:w="1980" w:type="dxa"/>
          </w:tcPr>
          <w:p w:rsidR="004F7536" w:rsidRPr="00673D29" w:rsidP="004F7536" w14:paraId="6FFA9163" w14:textId="42584EEF">
            <w:pPr>
              <w:rPr>
                <w:rFonts w:ascii="Times New Roman" w:hAnsi="Times New Roman" w:cs="Times New Roman"/>
              </w:rPr>
            </w:pPr>
            <w:r w:rsidRPr="00673D29">
              <w:rPr>
                <w:rFonts w:ascii="Times New Roman" w:hAnsi="Times New Roman" w:cs="Times New Roman"/>
              </w:rPr>
              <w:t xml:space="preserve">All longitudinal panel members </w:t>
            </w:r>
            <w:r>
              <w:rPr>
                <w:rFonts w:ascii="Times New Roman" w:hAnsi="Times New Roman" w:cs="Times New Roman"/>
              </w:rPr>
              <w:t>at baseline and</w:t>
            </w:r>
            <w:r w:rsidRPr="00673D29">
              <w:rPr>
                <w:rFonts w:ascii="Times New Roman" w:hAnsi="Times New Roman" w:cs="Times New Roman"/>
              </w:rPr>
              <w:t xml:space="preserve"> in </w:t>
            </w:r>
            <w:r w:rsidR="00904A32">
              <w:rPr>
                <w:rFonts w:ascii="Times New Roman" w:hAnsi="Times New Roman" w:cs="Times New Roman"/>
              </w:rPr>
              <w:t xml:space="preserve">5 </w:t>
            </w:r>
            <w:r w:rsidRPr="00673D29">
              <w:rPr>
                <w:rFonts w:ascii="Times New Roman" w:hAnsi="Times New Roman" w:cs="Times New Roman"/>
              </w:rPr>
              <w:t xml:space="preserve">follow-up waves </w:t>
            </w:r>
          </w:p>
        </w:tc>
        <w:tc>
          <w:tcPr>
            <w:tcW w:w="1800" w:type="dxa"/>
          </w:tcPr>
          <w:p w:rsidR="004F7536" w:rsidRPr="00673D29" w:rsidP="004F7536" w14:paraId="7AA86651" w14:textId="77777777">
            <w:pPr>
              <w:rPr>
                <w:rFonts w:ascii="Times New Roman" w:hAnsi="Times New Roman" w:cs="Times New Roman"/>
              </w:rPr>
            </w:pPr>
            <w:r w:rsidRPr="00673D29">
              <w:rPr>
                <w:rFonts w:ascii="Times New Roman" w:hAnsi="Times New Roman" w:cs="Times New Roman"/>
              </w:rPr>
              <w:t>$25/survey</w:t>
            </w:r>
          </w:p>
        </w:tc>
        <w:tc>
          <w:tcPr>
            <w:tcW w:w="1800" w:type="dxa"/>
          </w:tcPr>
          <w:p w:rsidR="004F7536" w:rsidRPr="00673D29" w:rsidP="004F7536" w14:paraId="296A2C3C" w14:textId="50D90BD4">
            <w:pPr>
              <w:rPr>
                <w:rFonts w:ascii="Times New Roman" w:hAnsi="Times New Roman" w:cs="Times New Roman"/>
              </w:rPr>
            </w:pPr>
            <w:r w:rsidRPr="00673D29">
              <w:rPr>
                <w:rFonts w:ascii="Times New Roman" w:hAnsi="Times New Roman" w:cs="Times New Roman"/>
              </w:rPr>
              <w:t>$</w:t>
            </w:r>
            <w:r>
              <w:rPr>
                <w:rFonts w:ascii="Times New Roman" w:hAnsi="Times New Roman" w:cs="Times New Roman"/>
              </w:rPr>
              <w:t>1</w:t>
            </w:r>
            <w:r w:rsidR="006A1505">
              <w:rPr>
                <w:rFonts w:ascii="Times New Roman" w:hAnsi="Times New Roman" w:cs="Times New Roman"/>
              </w:rPr>
              <w:t>5</w:t>
            </w:r>
            <w:r>
              <w:rPr>
                <w:rFonts w:ascii="Times New Roman" w:hAnsi="Times New Roman" w:cs="Times New Roman"/>
              </w:rPr>
              <w:t>0</w:t>
            </w:r>
          </w:p>
        </w:tc>
      </w:tr>
      <w:tr w14:paraId="3EB9E8D4" w14:textId="77777777" w:rsidTr="004F7536">
        <w:tblPrEx>
          <w:tblW w:w="8401" w:type="dxa"/>
          <w:tblLayout w:type="fixed"/>
          <w:tblCellMar>
            <w:left w:w="115" w:type="dxa"/>
            <w:right w:w="115" w:type="dxa"/>
          </w:tblCellMar>
          <w:tblLook w:val="01E0"/>
        </w:tblPrEx>
        <w:trPr>
          <w:cantSplit/>
        </w:trPr>
        <w:tc>
          <w:tcPr>
            <w:tcW w:w="2821" w:type="dxa"/>
          </w:tcPr>
          <w:p w:rsidR="004F7536" w:rsidRPr="006C6478" w:rsidP="004F7536" w14:paraId="692D7906" w14:textId="77777777">
            <w:pPr>
              <w:rPr>
                <w:rFonts w:ascii="Times New Roman" w:hAnsi="Times New Roman" w:cs="Times New Roman"/>
                <w:szCs w:val="24"/>
              </w:rPr>
            </w:pPr>
            <w:r w:rsidRPr="006C6478">
              <w:rPr>
                <w:rFonts w:ascii="Times New Roman" w:hAnsi="Times New Roman" w:cs="Times New Roman"/>
                <w:szCs w:val="24"/>
              </w:rPr>
              <w:t>Youth Survey</w:t>
            </w:r>
            <w:r>
              <w:rPr>
                <w:rFonts w:ascii="Times New Roman" w:hAnsi="Times New Roman" w:cs="Times New Roman"/>
                <w:szCs w:val="24"/>
              </w:rPr>
              <w:t>—</w:t>
            </w:r>
            <w:r w:rsidRPr="006C6478">
              <w:rPr>
                <w:rFonts w:ascii="Times New Roman" w:hAnsi="Times New Roman" w:cs="Times New Roman"/>
                <w:szCs w:val="24"/>
              </w:rPr>
              <w:t>Supplemental</w:t>
            </w:r>
            <w:r>
              <w:rPr>
                <w:rFonts w:ascii="Times New Roman" w:hAnsi="Times New Roman" w:cs="Times New Roman"/>
                <w:szCs w:val="24"/>
              </w:rPr>
              <w:t xml:space="preserve"> </w:t>
            </w:r>
          </w:p>
        </w:tc>
        <w:tc>
          <w:tcPr>
            <w:tcW w:w="1980" w:type="dxa"/>
          </w:tcPr>
          <w:p w:rsidR="004F7536" w:rsidRPr="00673D29" w:rsidP="004F7536" w14:paraId="1088D70A" w14:textId="654E55CE">
            <w:pPr>
              <w:rPr>
                <w:rFonts w:ascii="Times New Roman" w:hAnsi="Times New Roman" w:cs="Times New Roman"/>
              </w:rPr>
            </w:pPr>
            <w:r w:rsidRPr="00673D29">
              <w:rPr>
                <w:rFonts w:ascii="Times New Roman" w:hAnsi="Times New Roman" w:cs="Times New Roman"/>
              </w:rPr>
              <w:t xml:space="preserve">All longitudinal panel members </w:t>
            </w:r>
            <w:r>
              <w:rPr>
                <w:rFonts w:ascii="Times New Roman" w:hAnsi="Times New Roman" w:cs="Times New Roman"/>
              </w:rPr>
              <w:t>at baseline</w:t>
            </w:r>
          </w:p>
        </w:tc>
        <w:tc>
          <w:tcPr>
            <w:tcW w:w="1800" w:type="dxa"/>
          </w:tcPr>
          <w:p w:rsidR="004F7536" w:rsidRPr="00673D29" w:rsidP="004F7536" w14:paraId="6CAE57C6" w14:textId="77777777">
            <w:pPr>
              <w:rPr>
                <w:rFonts w:ascii="Times New Roman" w:hAnsi="Times New Roman" w:cs="Times New Roman"/>
              </w:rPr>
            </w:pPr>
            <w:r>
              <w:rPr>
                <w:rFonts w:ascii="Times New Roman" w:hAnsi="Times New Roman" w:cs="Times New Roman"/>
              </w:rPr>
              <w:t>$25</w:t>
            </w:r>
          </w:p>
        </w:tc>
        <w:tc>
          <w:tcPr>
            <w:tcW w:w="1800" w:type="dxa"/>
          </w:tcPr>
          <w:p w:rsidR="004F7536" w:rsidRPr="00673D29" w:rsidP="004F7536" w14:paraId="776A2928" w14:textId="77777777">
            <w:pPr>
              <w:rPr>
                <w:rFonts w:ascii="Times New Roman" w:hAnsi="Times New Roman" w:cs="Times New Roman"/>
              </w:rPr>
            </w:pPr>
            <w:r>
              <w:rPr>
                <w:rFonts w:ascii="Times New Roman" w:hAnsi="Times New Roman" w:cs="Times New Roman"/>
              </w:rPr>
              <w:t>$25</w:t>
            </w:r>
          </w:p>
        </w:tc>
      </w:tr>
    </w:tbl>
    <w:p w:rsidR="40C6BADB" w:rsidP="00476535" w14:paraId="7D25EC3F" w14:textId="77777777"/>
    <w:p w:rsidR="3512713B" w:rsidRPr="004F7536" w:rsidP="004F7536" w14:paraId="32E527EC" w14:textId="77777777"/>
    <w:p w:rsidR="004F7536" w:rsidRPr="004F7536" w:rsidP="004F7536" w14:paraId="1C39461A" w14:textId="77777777"/>
    <w:p w:rsidR="004F7536" w:rsidRPr="004F7536" w:rsidP="004F7536" w14:paraId="5C432437" w14:textId="77777777"/>
    <w:p w:rsidR="00EA3167" w:rsidRPr="00496F7A" w:rsidP="7F2F2848" w14:paraId="16D14AD8" w14:textId="77777777"/>
    <w:p w:rsidR="00E2315F" w:rsidRPr="005A480C" w:rsidP="005A480C" w14:paraId="7630F36B" w14:textId="77777777"/>
    <w:p w:rsidR="00E2315F" w:rsidRPr="005A480C" w:rsidP="005A480C" w14:paraId="4EF73D7E" w14:textId="77777777"/>
    <w:p w:rsidR="00E2315F" w:rsidRPr="005A480C" w:rsidP="005A480C" w14:paraId="7DFEDAB8" w14:textId="77777777"/>
    <w:p w:rsidR="00E2315F" w:rsidRPr="005A480C" w:rsidP="005A480C" w14:paraId="3519BDC7" w14:textId="77777777"/>
    <w:p w:rsidR="00E2315F" w:rsidRPr="005A480C" w:rsidP="005A480C" w14:paraId="37925BBA" w14:textId="77777777"/>
    <w:p w:rsidR="00E2315F" w:rsidRPr="005A480C" w:rsidP="005A480C" w14:paraId="04D5BFA6" w14:textId="77777777"/>
    <w:p w:rsidR="00E2315F" w:rsidRPr="005A480C" w:rsidP="005A480C" w14:paraId="1725E4F3" w14:textId="77777777"/>
    <w:p w:rsidR="00E2315F" w:rsidRPr="005A480C" w:rsidP="005A480C" w14:paraId="23CD071C" w14:textId="77777777"/>
    <w:p w:rsidR="00E2315F" w:rsidRPr="005A480C" w:rsidP="005A480C" w14:paraId="0B9685EE" w14:textId="77777777"/>
    <w:p w:rsidR="00E2315F" w:rsidRPr="005A480C" w:rsidP="005A480C" w14:paraId="289CBD40" w14:textId="77777777"/>
    <w:p w:rsidR="00E2315F" w:rsidRPr="005A480C" w:rsidP="005A480C" w14:paraId="20150629" w14:textId="77777777"/>
    <w:p w:rsidR="00BE1FCB" w:rsidRPr="00E2315F" w:rsidP="223F8F81" w14:paraId="624E1478"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rPr>
      </w:pPr>
      <w:r w:rsidRPr="223F8F81">
        <w:rPr>
          <w:rFonts w:ascii="Times New Roman" w:eastAsia="Times New Roman" w:hAnsi="Times New Roman" w:cs="Times New Roman"/>
          <w:b/>
          <w:bCs/>
        </w:rPr>
        <w:t xml:space="preserve">10. </w:t>
      </w:r>
      <w:r w:rsidRPr="223F8F81">
        <w:rPr>
          <w:rFonts w:ascii="Times New Roman" w:eastAsia="Times New Roman" w:hAnsi="Times New Roman" w:cs="Times New Roman"/>
          <w:b/>
          <w:bCs/>
          <w:u w:val="single"/>
        </w:rPr>
        <w:t>Assurance of Confidentiality Provided to Respondents</w:t>
      </w:r>
      <w:bookmarkEnd w:id="14"/>
    </w:p>
    <w:p w:rsidR="00FE5973" w:rsidP="00E2315F" w14:paraId="68743AEC"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u w:val="single"/>
        </w:rPr>
      </w:pPr>
    </w:p>
    <w:p w:rsidR="003F5644" w:rsidP="003F5644" w14:paraId="4E056F30" w14:textId="77777777">
      <w:pPr>
        <w:ind w:left="180"/>
        <w:rPr>
          <w:rFonts w:ascii="Times New Roman" w:eastAsia="Times New Roman" w:hAnsi="Times New Roman" w:cs="Times New Roman"/>
          <w:iCs/>
          <w:szCs w:val="24"/>
          <w:u w:val="single"/>
        </w:rPr>
      </w:pPr>
      <w:r w:rsidRPr="003F5644">
        <w:rPr>
          <w:rFonts w:ascii="Times New Roman" w:eastAsia="Times New Roman" w:hAnsi="Times New Roman" w:cs="Times New Roman"/>
          <w:iCs/>
          <w:szCs w:val="24"/>
          <w:u w:val="single"/>
        </w:rPr>
        <w:t>Privacy Analysis &amp; Design</w:t>
      </w:r>
    </w:p>
    <w:p w:rsidR="00EF1FF0" w:rsidRPr="003F5644" w:rsidP="003F5644" w14:paraId="41875D27" w14:textId="77777777">
      <w:pPr>
        <w:ind w:left="180"/>
        <w:rPr>
          <w:rFonts w:ascii="Times New Roman" w:eastAsia="Times New Roman" w:hAnsi="Times New Roman" w:cs="Times New Roman"/>
          <w:iCs/>
          <w:szCs w:val="24"/>
          <w:u w:val="single"/>
        </w:rPr>
      </w:pPr>
    </w:p>
    <w:p w:rsidR="003F5644" w:rsidRPr="003F5644" w:rsidP="003F5644" w14:paraId="010D7D69" w14:textId="77777777">
      <w:pPr>
        <w:ind w:left="180"/>
        <w:rPr>
          <w:rFonts w:ascii="Times New Roman" w:eastAsia="Times New Roman" w:hAnsi="Times New Roman" w:cs="Times New Roman"/>
          <w:szCs w:val="24"/>
        </w:rPr>
      </w:pPr>
      <w:r w:rsidRPr="003F5644">
        <w:rPr>
          <w:rFonts w:ascii="Times New Roman" w:eastAsia="Times New Roman" w:hAnsi="Times New Roman" w:cs="Times New Roman"/>
          <w:szCs w:val="24"/>
        </w:rPr>
        <w:t xml:space="preserve">In developing this study, CTP consulted </w:t>
      </w:r>
      <w:r w:rsidR="00DE74E5">
        <w:rPr>
          <w:rFonts w:ascii="Times New Roman" w:eastAsia="Times New Roman" w:hAnsi="Times New Roman" w:cs="Times New Roman"/>
          <w:szCs w:val="24"/>
        </w:rPr>
        <w:t>FDA’s</w:t>
      </w:r>
      <w:r w:rsidRPr="003F5644">
        <w:rPr>
          <w:rFonts w:ascii="Times New Roman" w:eastAsia="Times New Roman" w:hAnsi="Times New Roman" w:cs="Times New Roman"/>
          <w:szCs w:val="24"/>
        </w:rPr>
        <w:t xml:space="preserve"> Privacy Office to identify potential risks to the privacy of participants and other individuals whose information may be handled by or on behalf of FDA in the performance of this study. FDA designed the study to minimize privacy risks in keeping with the Fair Information Practice Principles (FIPPs) and applying controls selected from the National Institute of Standards and Technology (NIST), Special Publication 800-53, </w:t>
      </w:r>
      <w:r w:rsidRPr="003F5644">
        <w:rPr>
          <w:rFonts w:ascii="Times New Roman" w:eastAsia="Times New Roman" w:hAnsi="Times New Roman" w:cs="Times New Roman"/>
          <w:i/>
          <w:szCs w:val="24"/>
        </w:rPr>
        <w:t>Security and Privacy Controls for Federal Information Systems and Organizations</w:t>
      </w:r>
      <w:r w:rsidRPr="003F5644">
        <w:rPr>
          <w:rFonts w:ascii="Times New Roman" w:eastAsia="Times New Roman" w:hAnsi="Times New Roman" w:cs="Times New Roman"/>
          <w:szCs w:val="24"/>
        </w:rPr>
        <w:t>. CTP also identified privacy compliance requirements and coordinated with FDA’s Privacy Offic</w:t>
      </w:r>
      <w:r w:rsidR="00DE74E5">
        <w:rPr>
          <w:rFonts w:ascii="Times New Roman" w:eastAsia="Times New Roman" w:hAnsi="Times New Roman" w:cs="Times New Roman"/>
          <w:szCs w:val="24"/>
        </w:rPr>
        <w:t>e</w:t>
      </w:r>
      <w:r w:rsidRPr="003F5644">
        <w:rPr>
          <w:rFonts w:ascii="Times New Roman" w:eastAsia="Times New Roman" w:hAnsi="Times New Roman" w:cs="Times New Roman"/>
          <w:szCs w:val="24"/>
        </w:rPr>
        <w:t xml:space="preserve"> to ensure responsible offices in CTP satisfy all in accordance with law and policy.</w:t>
      </w:r>
      <w:r w:rsidR="005606CB">
        <w:rPr>
          <w:rFonts w:ascii="Times New Roman" w:eastAsia="Times New Roman" w:hAnsi="Times New Roman" w:cs="Times New Roman"/>
          <w:szCs w:val="24"/>
        </w:rPr>
        <w:t xml:space="preserve"> A privacy threshold analysis was approved by HHS and assigned PTA ID 2</w:t>
      </w:r>
      <w:r w:rsidRPr="005606CB" w:rsidR="005606CB">
        <w:rPr>
          <w:rFonts w:ascii="Times New Roman" w:eastAsia="Times New Roman" w:hAnsi="Times New Roman" w:cs="Times New Roman"/>
          <w:szCs w:val="24"/>
        </w:rPr>
        <w:t>060996</w:t>
      </w:r>
      <w:r w:rsidR="005606CB">
        <w:rPr>
          <w:rFonts w:ascii="Times New Roman" w:eastAsia="Times New Roman" w:hAnsi="Times New Roman" w:cs="Times New Roman"/>
          <w:szCs w:val="24"/>
        </w:rPr>
        <w:t>.</w:t>
      </w:r>
    </w:p>
    <w:p w:rsidR="003F5644" w:rsidP="003F5644" w14:paraId="7D90C942"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rPr>
          <w:rFonts w:ascii="Times New Roman" w:eastAsia="Times New Roman" w:hAnsi="Times New Roman" w:cs="Times New Roman"/>
          <w:szCs w:val="24"/>
          <w:u w:val="single"/>
        </w:rPr>
      </w:pPr>
    </w:p>
    <w:p w:rsidR="00060E16" w:rsidP="00EF1FF0" w14:paraId="3685D7F3"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060E16">
        <w:rPr>
          <w:rFonts w:ascii="Times New Roman" w:eastAsia="Times New Roman" w:hAnsi="Times New Roman" w:cs="Times New Roman"/>
          <w:szCs w:val="24"/>
          <w:u w:val="single"/>
        </w:rPr>
        <w:t>PII Collection</w:t>
      </w:r>
    </w:p>
    <w:p w:rsidR="00EF1FF0" w:rsidRPr="00EF1FF0" w:rsidP="00EF1FF0" w14:paraId="47BA44B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p>
    <w:p w:rsidR="008C339E" w:rsidP="1248BFA6" w14:paraId="4FEC0118" w14:textId="4C80A0CC">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41216E32">
        <w:rPr>
          <w:rFonts w:ascii="Times New Roman" w:eastAsia="Times New Roman" w:hAnsi="Times New Roman" w:cs="Times New Roman"/>
        </w:rPr>
        <w:t>As part of this study, RTI International, the contractor acting on behalf of FDA, is collecting and maintaining personally identifiable information (PII) about participants who complete the online screener</w:t>
      </w:r>
      <w:r w:rsidRPr="41216E32" w:rsidR="00E25223">
        <w:rPr>
          <w:rFonts w:ascii="Times New Roman" w:eastAsia="Times New Roman" w:hAnsi="Times New Roman" w:cs="Times New Roman"/>
        </w:rPr>
        <w:t xml:space="preserve"> and</w:t>
      </w:r>
      <w:r w:rsidRPr="41216E32">
        <w:rPr>
          <w:rFonts w:ascii="Times New Roman" w:eastAsia="Times New Roman" w:hAnsi="Times New Roman" w:cs="Times New Roman"/>
        </w:rPr>
        <w:t xml:space="preserve"> online surveys</w:t>
      </w:r>
      <w:r w:rsidRPr="41216E32" w:rsidR="00F03476">
        <w:rPr>
          <w:rFonts w:ascii="Times New Roman" w:eastAsia="Times New Roman" w:hAnsi="Times New Roman" w:cs="Times New Roman"/>
        </w:rPr>
        <w:t xml:space="preserve"> for the mai</w:t>
      </w:r>
      <w:r w:rsidRPr="41216E32" w:rsidR="00DE74E5">
        <w:rPr>
          <w:rFonts w:ascii="Times New Roman" w:eastAsia="Times New Roman" w:hAnsi="Times New Roman" w:cs="Times New Roman"/>
        </w:rPr>
        <w:t>n</w:t>
      </w:r>
      <w:r w:rsidRPr="41216E32" w:rsidR="00F03476">
        <w:rPr>
          <w:rFonts w:ascii="Times New Roman" w:eastAsia="Times New Roman" w:hAnsi="Times New Roman" w:cs="Times New Roman"/>
        </w:rPr>
        <w:t xml:space="preserve"> and supplemental data collection</w:t>
      </w:r>
      <w:r w:rsidRPr="41216E32" w:rsidR="00DE74E5">
        <w:rPr>
          <w:rFonts w:ascii="Times New Roman" w:eastAsia="Times New Roman" w:hAnsi="Times New Roman" w:cs="Times New Roman"/>
        </w:rPr>
        <w:t>s</w:t>
      </w:r>
      <w:r w:rsidRPr="41216E32" w:rsidR="00023F60">
        <w:rPr>
          <w:rFonts w:ascii="Times New Roman" w:eastAsia="Times New Roman" w:hAnsi="Times New Roman" w:cs="Times New Roman"/>
        </w:rPr>
        <w:t>.</w:t>
      </w:r>
      <w:r w:rsidR="0020465D">
        <w:t xml:space="preserve"> </w:t>
      </w:r>
      <w:r w:rsidRPr="41216E32" w:rsidR="001150EE">
        <w:rPr>
          <w:rFonts w:ascii="Times New Roman" w:hAnsi="Times New Roman" w:cs="Times New Roman"/>
        </w:rPr>
        <w:t xml:space="preserve">As part of </w:t>
      </w:r>
      <w:r w:rsidRPr="41216E32" w:rsidR="001150EE">
        <w:rPr>
          <w:rFonts w:ascii="Times New Roman" w:hAnsi="Times New Roman" w:cs="Times New Roman"/>
        </w:rPr>
        <w:t xml:space="preserve">the online screener process to confirm eligibility, parents are asked to provide the following PII: parent’s first and last name, e-mail address and phone number. The following non-PII is also collected from parents: education level, gender, race/ethnicity, </w:t>
      </w:r>
      <w:r w:rsidRPr="41216E32" w:rsidR="00A942C0">
        <w:rPr>
          <w:rFonts w:ascii="Times New Roman" w:hAnsi="Times New Roman" w:cs="Times New Roman"/>
        </w:rPr>
        <w:t xml:space="preserve">and </w:t>
      </w:r>
      <w:r w:rsidRPr="41216E32" w:rsidR="001150EE">
        <w:rPr>
          <w:rFonts w:ascii="Times New Roman" w:hAnsi="Times New Roman" w:cs="Times New Roman"/>
        </w:rPr>
        <w:t>household income.</w:t>
      </w:r>
      <w:r w:rsidR="001150EE">
        <w:t xml:space="preserve"> </w:t>
      </w:r>
      <w:r w:rsidRPr="41216E32" w:rsidR="00F03476">
        <w:rPr>
          <w:rFonts w:ascii="Times New Roman" w:hAnsi="Times New Roman" w:cs="Times New Roman"/>
        </w:rPr>
        <w:t xml:space="preserve">For the main data collection, </w:t>
      </w:r>
      <w:r w:rsidRPr="41216E32" w:rsidR="00F03476">
        <w:rPr>
          <w:rFonts w:ascii="Times New Roman" w:eastAsia="Times New Roman" w:hAnsi="Times New Roman" w:cs="Times New Roman"/>
        </w:rPr>
        <w:t>t</w:t>
      </w:r>
      <w:r w:rsidRPr="41216E32" w:rsidR="0020465D">
        <w:rPr>
          <w:rFonts w:ascii="Times New Roman" w:eastAsia="Times New Roman" w:hAnsi="Times New Roman" w:cs="Times New Roman"/>
        </w:rPr>
        <w:t xml:space="preserve">he only PII we will be collecting </w:t>
      </w:r>
      <w:r w:rsidRPr="41216E32" w:rsidR="001150EE">
        <w:rPr>
          <w:rFonts w:ascii="Times New Roman" w:eastAsia="Times New Roman" w:hAnsi="Times New Roman" w:cs="Times New Roman"/>
        </w:rPr>
        <w:t xml:space="preserve">from parents </w:t>
      </w:r>
      <w:r w:rsidRPr="41216E32" w:rsidR="0020465D">
        <w:rPr>
          <w:rFonts w:ascii="Times New Roman" w:eastAsia="Times New Roman" w:hAnsi="Times New Roman" w:cs="Times New Roman"/>
        </w:rPr>
        <w:t xml:space="preserve">is </w:t>
      </w:r>
      <w:r w:rsidRPr="41216E32" w:rsidR="004C05D6">
        <w:rPr>
          <w:rFonts w:ascii="Times New Roman" w:eastAsia="Times New Roman" w:hAnsi="Times New Roman" w:cs="Times New Roman"/>
        </w:rPr>
        <w:t xml:space="preserve">parent’s first and last name, </w:t>
      </w:r>
      <w:r w:rsidRPr="41216E32" w:rsidR="0020465D">
        <w:rPr>
          <w:rFonts w:ascii="Times New Roman" w:eastAsia="Times New Roman" w:hAnsi="Times New Roman" w:cs="Times New Roman"/>
        </w:rPr>
        <w:t>email address</w:t>
      </w:r>
      <w:r w:rsidRPr="41216E32" w:rsidR="00757FBF">
        <w:rPr>
          <w:rFonts w:ascii="Times New Roman" w:eastAsia="Times New Roman" w:hAnsi="Times New Roman" w:cs="Times New Roman"/>
        </w:rPr>
        <w:t xml:space="preserve">, </w:t>
      </w:r>
      <w:r w:rsidRPr="41216E32" w:rsidR="0020465D">
        <w:rPr>
          <w:rFonts w:ascii="Times New Roman" w:eastAsia="Times New Roman" w:hAnsi="Times New Roman" w:cs="Times New Roman"/>
        </w:rPr>
        <w:t>IP address,</w:t>
      </w:r>
      <w:r w:rsidRPr="41216E32" w:rsidR="00DC11CB">
        <w:rPr>
          <w:rFonts w:ascii="Times New Roman" w:eastAsia="Times New Roman" w:hAnsi="Times New Roman" w:cs="Times New Roman"/>
        </w:rPr>
        <w:t xml:space="preserve"> </w:t>
      </w:r>
      <w:r w:rsidRPr="41216E32" w:rsidR="00757FBF">
        <w:rPr>
          <w:rFonts w:ascii="Times New Roman" w:eastAsia="Times New Roman" w:hAnsi="Times New Roman" w:cs="Times New Roman"/>
        </w:rPr>
        <w:t>and birthdate</w:t>
      </w:r>
      <w:r w:rsidRPr="41216E32" w:rsidR="001150EE">
        <w:rPr>
          <w:rFonts w:ascii="Times New Roman" w:eastAsia="Times New Roman" w:hAnsi="Times New Roman" w:cs="Times New Roman"/>
        </w:rPr>
        <w:t>.</w:t>
      </w:r>
      <w:r w:rsidRPr="41216E32" w:rsidR="0020465D">
        <w:rPr>
          <w:rFonts w:ascii="Times New Roman" w:eastAsia="Times New Roman" w:hAnsi="Times New Roman" w:cs="Times New Roman"/>
        </w:rPr>
        <w:t xml:space="preserve"> </w:t>
      </w:r>
      <w:r w:rsidRPr="41216E32" w:rsidR="006C5606">
        <w:rPr>
          <w:rFonts w:ascii="Times New Roman" w:eastAsia="Times New Roman" w:hAnsi="Times New Roman" w:cs="Times New Roman"/>
        </w:rPr>
        <w:t>The PII we will be collecting from y</w:t>
      </w:r>
      <w:r w:rsidRPr="41216E32" w:rsidR="001150EE">
        <w:rPr>
          <w:rFonts w:ascii="Times New Roman" w:eastAsia="Times New Roman" w:hAnsi="Times New Roman" w:cs="Times New Roman"/>
        </w:rPr>
        <w:t>outh participants are</w:t>
      </w:r>
      <w:r w:rsidRPr="41216E32" w:rsidR="006C5606">
        <w:rPr>
          <w:rFonts w:ascii="Times New Roman" w:eastAsia="Times New Roman" w:hAnsi="Times New Roman" w:cs="Times New Roman"/>
        </w:rPr>
        <w:t>:</w:t>
      </w:r>
      <w:r w:rsidRPr="41216E32" w:rsidR="001150EE">
        <w:rPr>
          <w:rFonts w:ascii="Times New Roman" w:eastAsia="Times New Roman" w:hAnsi="Times New Roman" w:cs="Times New Roman"/>
        </w:rPr>
        <w:t xml:space="preserve"> first and last name, date of birth, gender, race/ethnicity, grade in school, home address, and phone number as part of </w:t>
      </w:r>
      <w:r w:rsidRPr="41216E32" w:rsidR="003E4308">
        <w:rPr>
          <w:rFonts w:ascii="Times New Roman" w:eastAsia="Times New Roman" w:hAnsi="Times New Roman" w:cs="Times New Roman"/>
        </w:rPr>
        <w:t xml:space="preserve">the baseline and follow-up surveys. Youth participants who are </w:t>
      </w:r>
      <w:r w:rsidRPr="41216E32" w:rsidR="007D31A2">
        <w:rPr>
          <w:rFonts w:ascii="Times New Roman" w:eastAsia="Times New Roman" w:hAnsi="Times New Roman" w:cs="Times New Roman"/>
        </w:rPr>
        <w:t xml:space="preserve">18 </w:t>
      </w:r>
      <w:r w:rsidRPr="41216E32" w:rsidR="003E4308">
        <w:rPr>
          <w:rFonts w:ascii="Times New Roman" w:eastAsia="Times New Roman" w:hAnsi="Times New Roman" w:cs="Times New Roman"/>
        </w:rPr>
        <w:t>years old (1</w:t>
      </w:r>
      <w:r w:rsidRPr="41216E32" w:rsidR="007D31A2">
        <w:rPr>
          <w:rFonts w:ascii="Times New Roman" w:eastAsia="Times New Roman" w:hAnsi="Times New Roman" w:cs="Times New Roman"/>
        </w:rPr>
        <w:t>9</w:t>
      </w:r>
      <w:r w:rsidRPr="41216E32" w:rsidR="003E4308">
        <w:rPr>
          <w:rFonts w:ascii="Times New Roman" w:eastAsia="Times New Roman" w:hAnsi="Times New Roman" w:cs="Times New Roman"/>
        </w:rPr>
        <w:t xml:space="preserve"> in AL/NE) </w:t>
      </w:r>
      <w:r w:rsidRPr="41216E32" w:rsidR="00DE74E5">
        <w:rPr>
          <w:rFonts w:ascii="Times New Roman" w:eastAsia="Times New Roman" w:hAnsi="Times New Roman" w:cs="Times New Roman"/>
        </w:rPr>
        <w:t xml:space="preserve">and </w:t>
      </w:r>
      <w:r w:rsidRPr="41216E32" w:rsidR="003E4308">
        <w:rPr>
          <w:rFonts w:ascii="Times New Roman" w:eastAsia="Times New Roman" w:hAnsi="Times New Roman" w:cs="Times New Roman"/>
        </w:rPr>
        <w:t>complete the follow-up surveys online are also asked to provide their email address</w:t>
      </w:r>
      <w:r w:rsidRPr="41216E32" w:rsidR="00A27B05">
        <w:rPr>
          <w:rFonts w:ascii="Times New Roman" w:eastAsia="Times New Roman" w:hAnsi="Times New Roman" w:cs="Times New Roman"/>
        </w:rPr>
        <w:t xml:space="preserve">, </w:t>
      </w:r>
      <w:r w:rsidRPr="41216E32" w:rsidR="003E4308">
        <w:rPr>
          <w:rFonts w:ascii="Times New Roman" w:eastAsia="Times New Roman" w:hAnsi="Times New Roman" w:cs="Times New Roman"/>
        </w:rPr>
        <w:t xml:space="preserve">physical </w:t>
      </w:r>
      <w:r w:rsidRPr="41216E32" w:rsidR="003E4308">
        <w:rPr>
          <w:rFonts w:ascii="Times New Roman" w:eastAsia="Times New Roman" w:hAnsi="Times New Roman" w:cs="Times New Roman"/>
        </w:rPr>
        <w:t>address</w:t>
      </w:r>
      <w:r w:rsidRPr="41216E32" w:rsidR="003E4308">
        <w:rPr>
          <w:rFonts w:ascii="Times New Roman" w:eastAsia="Times New Roman" w:hAnsi="Times New Roman" w:cs="Times New Roman"/>
        </w:rPr>
        <w:t xml:space="preserve"> </w:t>
      </w:r>
      <w:r w:rsidRPr="41216E32" w:rsidR="00A27B05">
        <w:rPr>
          <w:rFonts w:ascii="Times New Roman" w:eastAsia="Times New Roman" w:hAnsi="Times New Roman" w:cs="Times New Roman"/>
        </w:rPr>
        <w:t xml:space="preserve">and phone number </w:t>
      </w:r>
      <w:r w:rsidRPr="41216E32" w:rsidR="003E4308">
        <w:rPr>
          <w:rFonts w:ascii="Times New Roman" w:eastAsia="Times New Roman" w:hAnsi="Times New Roman" w:cs="Times New Roman"/>
        </w:rPr>
        <w:t xml:space="preserve">so the study team can send them a virtual gift card or Visa gift card incentive for completing the survey. </w:t>
      </w:r>
      <w:r w:rsidRPr="41216E32" w:rsidR="003F034E">
        <w:rPr>
          <w:rFonts w:ascii="Times New Roman" w:eastAsia="Times New Roman" w:hAnsi="Times New Roman" w:cs="Times New Roman"/>
        </w:rPr>
        <w:t xml:space="preserve">The following non-PII is also collected from youth: </w:t>
      </w:r>
      <w:r w:rsidRPr="41216E32" w:rsidR="00C04D7A">
        <w:rPr>
          <w:rFonts w:ascii="Times New Roman" w:eastAsia="Times New Roman" w:hAnsi="Times New Roman" w:cs="Times New Roman"/>
        </w:rPr>
        <w:t xml:space="preserve">media use, sexual orientation, gender identity, grade level. </w:t>
      </w:r>
      <w:r w:rsidRPr="41216E32" w:rsidR="001150EE">
        <w:rPr>
          <w:rFonts w:ascii="Times New Roman" w:eastAsia="Times New Roman" w:hAnsi="Times New Roman" w:cs="Times New Roman"/>
        </w:rPr>
        <w:t>T</w:t>
      </w:r>
      <w:r w:rsidRPr="41216E32" w:rsidR="0020465D">
        <w:rPr>
          <w:rFonts w:ascii="Times New Roman" w:eastAsia="Times New Roman" w:hAnsi="Times New Roman" w:cs="Times New Roman"/>
        </w:rPr>
        <w:t xml:space="preserve">his information will be stored separately from each other and from survey responses (except for 24 hours after download when the fraud detection procedures are completed). </w:t>
      </w:r>
    </w:p>
    <w:p w:rsidR="008C339E" w:rsidP="00060E16" w14:paraId="2BF2C7E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C339E" w:rsidP="1248BFA6" w14:paraId="1BEC3FD1"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 xml:space="preserve">For the main data collection, </w:t>
      </w:r>
      <w:r w:rsidRPr="1BF77947" w:rsidR="00241DA8">
        <w:rPr>
          <w:rFonts w:ascii="Times New Roman" w:eastAsia="Times New Roman" w:hAnsi="Times New Roman" w:cs="Times New Roman"/>
        </w:rPr>
        <w:t>a</w:t>
      </w:r>
      <w:r w:rsidRPr="1BF77947" w:rsidR="00502518">
        <w:rPr>
          <w:rFonts w:ascii="Times New Roman" w:eastAsia="Times New Roman" w:hAnsi="Times New Roman" w:cs="Times New Roman"/>
        </w:rPr>
        <w:t xml:space="preserve">ll PII (address, e-mail address, birthdate, zip code, name) will be collected using Blaise </w:t>
      </w:r>
      <w:r w:rsidRPr="1BF77947" w:rsidR="003446F2">
        <w:rPr>
          <w:rFonts w:ascii="Times New Roman" w:eastAsia="Times New Roman" w:hAnsi="Times New Roman" w:cs="Times New Roman"/>
        </w:rPr>
        <w:t>(</w:t>
      </w:r>
      <w:r w:rsidRPr="1BF77947" w:rsidR="00084CD2">
        <w:rPr>
          <w:rFonts w:ascii="Times New Roman" w:eastAsia="Times New Roman" w:hAnsi="Times New Roman" w:cs="Times New Roman"/>
        </w:rPr>
        <w:t>survey programming software)</w:t>
      </w:r>
      <w:r w:rsidRPr="1BF77947" w:rsidR="00502518">
        <w:rPr>
          <w:rFonts w:ascii="Times New Roman" w:eastAsia="Times New Roman" w:hAnsi="Times New Roman" w:cs="Times New Roman"/>
        </w:rPr>
        <w:t xml:space="preserve"> </w:t>
      </w:r>
      <w:r w:rsidRPr="00DC3C49" w:rsidR="00FB3867">
        <w:rPr>
          <w:rFonts w:ascii="Times New Roman" w:eastAsia="Times New Roman" w:hAnsi="Times New Roman" w:cs="Times New Roman"/>
        </w:rPr>
        <w:t xml:space="preserve">hosted on RTI’s secure servers. Data are encrypted using https protocols and stored on secure Structured Query Language (SQL) databases. </w:t>
      </w:r>
      <w:r w:rsidRPr="1BF77947" w:rsidR="00502518">
        <w:rPr>
          <w:rFonts w:ascii="Times New Roman" w:eastAsia="Times New Roman" w:hAnsi="Times New Roman" w:cs="Times New Roman"/>
        </w:rPr>
        <w:t xml:space="preserve">RTI is using a unique alphanumeric variable to connect screener data and survey data and to determine if a participant has completed the survey. The unique alphanumeric variable, participant responses to the screener, and responses to the body of the survey will be stored by RTI in a Blaise server. As needed, RTI analysts will extract the data to a secure project network location for processing. </w:t>
      </w:r>
      <w:r w:rsidRPr="1BF77947" w:rsidR="00502518">
        <w:rPr>
          <w:rFonts w:ascii="Times New Roman" w:eastAsia="Times New Roman" w:hAnsi="Times New Roman" w:cs="Times New Roman"/>
        </w:rPr>
        <w:t>All of</w:t>
      </w:r>
      <w:r w:rsidRPr="1BF77947" w:rsidR="00502518">
        <w:rPr>
          <w:rFonts w:ascii="Times New Roman" w:eastAsia="Times New Roman" w:hAnsi="Times New Roman" w:cs="Times New Roman"/>
        </w:rPr>
        <w:t xml:space="preserve"> the data files (PII, screener data and survey data (unique variable but no other PII)) will be stored together in Blaise (which has restricted access and requires credentials to access).</w:t>
      </w:r>
      <w:r w:rsidR="00502518">
        <w:t xml:space="preserve"> </w:t>
      </w:r>
      <w:r w:rsidRPr="1BF77947" w:rsidR="00502518">
        <w:rPr>
          <w:rFonts w:ascii="Times New Roman" w:eastAsia="Times New Roman" w:hAnsi="Times New Roman" w:cs="Times New Roman"/>
        </w:rPr>
        <w:t xml:space="preserve">At the completion of data collection, the databases will be deleted from RTI’s Blaise account and remain only on </w:t>
      </w:r>
      <w:r w:rsidRPr="1BF77947" w:rsidR="5E405BAD">
        <w:rPr>
          <w:rFonts w:ascii="Times New Roman" w:eastAsia="Times New Roman" w:hAnsi="Times New Roman" w:cs="Times New Roman"/>
        </w:rPr>
        <w:t>RTI’s Federal</w:t>
      </w:r>
      <w:r w:rsidRPr="1BF77947" w:rsidR="00104846">
        <w:rPr>
          <w:rFonts w:ascii="Times New Roman" w:eastAsia="Times New Roman" w:hAnsi="Times New Roman" w:cs="Times New Roman"/>
        </w:rPr>
        <w:t xml:space="preserve"> Information Processing Standards (FIPS) </w:t>
      </w:r>
      <w:r w:rsidRPr="1BF77947" w:rsidR="00502518">
        <w:rPr>
          <w:rFonts w:ascii="Times New Roman" w:eastAsia="Times New Roman" w:hAnsi="Times New Roman" w:cs="Times New Roman"/>
        </w:rPr>
        <w:t>-moderate network server. Data files containing PII will be stored on the FIPS-moderate network server for five years after the project has ended.</w:t>
      </w:r>
      <w:r w:rsidRPr="1BF77947" w:rsidR="00F94796">
        <w:rPr>
          <w:rFonts w:ascii="Times New Roman" w:eastAsia="Times New Roman" w:hAnsi="Times New Roman" w:cs="Times New Roman"/>
        </w:rPr>
        <w:t xml:space="preserve"> The FIPS moderate network is not accessible through the internet</w:t>
      </w:r>
      <w:r w:rsidRPr="1BF77947" w:rsidR="00CB62E1">
        <w:rPr>
          <w:rFonts w:ascii="Times New Roman" w:eastAsia="Times New Roman" w:hAnsi="Times New Roman" w:cs="Times New Roman"/>
        </w:rPr>
        <w:t xml:space="preserve">. It requires </w:t>
      </w:r>
      <w:r w:rsidRPr="1BF77947" w:rsidR="00C71486">
        <w:rPr>
          <w:rFonts w:ascii="Times New Roman" w:eastAsia="Times New Roman" w:hAnsi="Times New Roman" w:cs="Times New Roman"/>
        </w:rPr>
        <w:t xml:space="preserve">specified users with username and password to access a </w:t>
      </w:r>
      <w:r w:rsidRPr="1BF77947" w:rsidR="0018335C">
        <w:rPr>
          <w:rFonts w:ascii="Times New Roman" w:eastAsia="Times New Roman" w:hAnsi="Times New Roman" w:cs="Times New Roman"/>
        </w:rPr>
        <w:t>Hosted Virtual Network</w:t>
      </w:r>
      <w:r w:rsidRPr="1BF77947" w:rsidR="00F548C2">
        <w:rPr>
          <w:rFonts w:ascii="Times New Roman" w:eastAsia="Times New Roman" w:hAnsi="Times New Roman" w:cs="Times New Roman"/>
        </w:rPr>
        <w:t xml:space="preserve"> to access the data.   </w:t>
      </w:r>
    </w:p>
    <w:p w:rsidR="00502518" w:rsidP="00060E16" w14:paraId="5158E64E"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D62177" w:rsidP="1248BFA6" w14:paraId="5A880CB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r w:rsidRPr="1BF77947">
        <w:rPr>
          <w:rFonts w:ascii="Times New Roman" w:eastAsia="Times New Roman" w:hAnsi="Times New Roman" w:cs="Times New Roman"/>
        </w:rPr>
        <w:t xml:space="preserve">For the supplemental data collection, </w:t>
      </w:r>
      <w:r w:rsidRPr="1BF77947" w:rsidR="001120CA">
        <w:rPr>
          <w:rFonts w:ascii="Times New Roman" w:eastAsia="Times New Roman" w:hAnsi="Times New Roman" w:cs="Times New Roman"/>
        </w:rPr>
        <w:t xml:space="preserve">datasets of screener and survey responses stored in Qualtrics will not contain any PII. All PII (name, mailing address, e-mail address, birthdate, zip code) will be collected separately by Qualtrics, downloaded by RTI, and stored by Qualtrics as one file that contains only PII and an RTI-assigned unique study ID. </w:t>
      </w:r>
      <w:r w:rsidRPr="1BF77947" w:rsidR="00573372">
        <w:rPr>
          <w:rFonts w:ascii="Times New Roman" w:eastAsia="Times New Roman" w:hAnsi="Times New Roman" w:cs="Times New Roman"/>
        </w:rPr>
        <w:t>IP address</w:t>
      </w:r>
      <w:r w:rsidR="00DE74E5">
        <w:rPr>
          <w:rFonts w:ascii="Times New Roman" w:eastAsia="Times New Roman" w:hAnsi="Times New Roman" w:cs="Times New Roman"/>
        </w:rPr>
        <w:t>es</w:t>
      </w:r>
      <w:r w:rsidRPr="1BF77947" w:rsidR="00573372">
        <w:rPr>
          <w:rFonts w:ascii="Times New Roman" w:eastAsia="Times New Roman" w:hAnsi="Times New Roman" w:cs="Times New Roman"/>
        </w:rPr>
        <w:t xml:space="preserve"> will be collected by </w:t>
      </w:r>
      <w:r w:rsidRPr="1BF77947">
        <w:rPr>
          <w:rFonts w:ascii="Times New Roman" w:eastAsia="Times New Roman" w:hAnsi="Times New Roman" w:cs="Times New Roman"/>
        </w:rPr>
        <w:t xml:space="preserve">Qualtrics, downloaded by </w:t>
      </w:r>
      <w:r w:rsidRPr="1BF77947" w:rsidR="00573372">
        <w:rPr>
          <w:rFonts w:ascii="Times New Roman" w:eastAsia="Times New Roman" w:hAnsi="Times New Roman" w:cs="Times New Roman"/>
        </w:rPr>
        <w:t>RTI</w:t>
      </w:r>
      <w:r w:rsidRPr="1BF77947">
        <w:rPr>
          <w:rFonts w:ascii="Times New Roman" w:eastAsia="Times New Roman" w:hAnsi="Times New Roman" w:cs="Times New Roman"/>
        </w:rPr>
        <w:t>,</w:t>
      </w:r>
      <w:r w:rsidRPr="1BF77947" w:rsidR="009B79A1">
        <w:rPr>
          <w:rFonts w:ascii="Times New Roman" w:eastAsia="Times New Roman" w:hAnsi="Times New Roman" w:cs="Times New Roman"/>
        </w:rPr>
        <w:t xml:space="preserve"> an</w:t>
      </w:r>
      <w:r w:rsidRPr="1BF77947" w:rsidR="003452E1">
        <w:rPr>
          <w:rFonts w:ascii="Times New Roman" w:eastAsia="Times New Roman" w:hAnsi="Times New Roman" w:cs="Times New Roman"/>
        </w:rPr>
        <w:t>d</w:t>
      </w:r>
      <w:r w:rsidRPr="1BF77947" w:rsidR="009B79A1">
        <w:rPr>
          <w:rFonts w:ascii="Times New Roman" w:eastAsia="Times New Roman" w:hAnsi="Times New Roman" w:cs="Times New Roman"/>
        </w:rPr>
        <w:t xml:space="preserve"> stored </w:t>
      </w:r>
      <w:r w:rsidRPr="1BF77947">
        <w:rPr>
          <w:rFonts w:ascii="Times New Roman" w:eastAsia="Times New Roman" w:hAnsi="Times New Roman" w:cs="Times New Roman"/>
        </w:rPr>
        <w:t xml:space="preserve">by Qualtrics and RTI </w:t>
      </w:r>
      <w:r w:rsidRPr="1BF77947" w:rsidR="00573372">
        <w:rPr>
          <w:rFonts w:ascii="Times New Roman" w:eastAsia="Times New Roman" w:hAnsi="Times New Roman" w:cs="Times New Roman"/>
        </w:rPr>
        <w:t>as a second file that only contains IP address</w:t>
      </w:r>
      <w:r w:rsidR="00DE74E5">
        <w:rPr>
          <w:rFonts w:ascii="Times New Roman" w:eastAsia="Times New Roman" w:hAnsi="Times New Roman" w:cs="Times New Roman"/>
        </w:rPr>
        <w:t>,</w:t>
      </w:r>
      <w:r w:rsidR="001120CA">
        <w:t xml:space="preserve"> </w:t>
      </w:r>
      <w:r w:rsidRPr="1BF77947" w:rsidR="001120CA">
        <w:rPr>
          <w:rFonts w:ascii="Times New Roman" w:eastAsia="Times New Roman" w:hAnsi="Times New Roman" w:cs="Times New Roman"/>
        </w:rPr>
        <w:t>the unique ID,</w:t>
      </w:r>
      <w:r w:rsidRPr="1BF77947" w:rsidR="003452E1">
        <w:rPr>
          <w:rFonts w:ascii="Times New Roman" w:eastAsia="Times New Roman" w:hAnsi="Times New Roman" w:cs="Times New Roman"/>
        </w:rPr>
        <w:t xml:space="preserve"> </w:t>
      </w:r>
      <w:r w:rsidRPr="1BF77947" w:rsidR="00573372">
        <w:rPr>
          <w:rFonts w:ascii="Times New Roman" w:eastAsia="Times New Roman" w:hAnsi="Times New Roman" w:cs="Times New Roman"/>
        </w:rPr>
        <w:t>and the participant responses to the screener (excluding PII). Responses to the body of the survey will be collected by RT</w:t>
      </w:r>
      <w:r w:rsidRPr="1BF77947" w:rsidR="00DE496A">
        <w:rPr>
          <w:rFonts w:ascii="Times New Roman" w:eastAsia="Times New Roman" w:hAnsi="Times New Roman" w:cs="Times New Roman"/>
        </w:rPr>
        <w:t xml:space="preserve">I </w:t>
      </w:r>
      <w:r w:rsidRPr="1BF77947" w:rsidR="00573372">
        <w:rPr>
          <w:rFonts w:ascii="Times New Roman" w:eastAsia="Times New Roman" w:hAnsi="Times New Roman" w:cs="Times New Roman"/>
        </w:rPr>
        <w:t xml:space="preserve">and stored as a third file. IP address and PII (e-mail address, birthdate, </w:t>
      </w:r>
      <w:r w:rsidRPr="1BF77947" w:rsidR="00A53E1F">
        <w:rPr>
          <w:rFonts w:ascii="Times New Roman" w:eastAsia="Times New Roman" w:hAnsi="Times New Roman" w:cs="Times New Roman"/>
        </w:rPr>
        <w:t xml:space="preserve">state, </w:t>
      </w:r>
      <w:r w:rsidRPr="1BF77947" w:rsidR="00DE496A">
        <w:rPr>
          <w:rFonts w:ascii="Times New Roman" w:eastAsia="Times New Roman" w:hAnsi="Times New Roman" w:cs="Times New Roman"/>
        </w:rPr>
        <w:t xml:space="preserve">and </w:t>
      </w:r>
      <w:r w:rsidRPr="1BF77947" w:rsidR="00573372">
        <w:rPr>
          <w:rFonts w:ascii="Times New Roman" w:eastAsia="Times New Roman" w:hAnsi="Times New Roman" w:cs="Times New Roman"/>
        </w:rPr>
        <w:t xml:space="preserve">zip code) will not be collected in the same file. </w:t>
      </w:r>
      <w:r w:rsidR="001C430D">
        <w:rPr>
          <w:rFonts w:ascii="Times New Roman" w:eastAsia="Times New Roman" w:hAnsi="Times New Roman" w:cs="Times New Roman"/>
        </w:rPr>
        <w:t>All data</w:t>
      </w:r>
      <w:r w:rsidR="002128D8">
        <w:rPr>
          <w:rFonts w:ascii="Times New Roman" w:eastAsia="Times New Roman" w:hAnsi="Times New Roman" w:cs="Times New Roman"/>
        </w:rPr>
        <w:t xml:space="preserve"> on Qualtrics servers are encrypted at rest. RTI will use a Secure Sockets Layer (SSL) connection to download data from Qualtrics serv</w:t>
      </w:r>
      <w:r w:rsidR="00880373">
        <w:rPr>
          <w:rFonts w:ascii="Times New Roman" w:eastAsia="Times New Roman" w:hAnsi="Times New Roman" w:cs="Times New Roman"/>
        </w:rPr>
        <w:t xml:space="preserve">ers to RTI servers. </w:t>
      </w:r>
      <w:r w:rsidRPr="1BF77947" w:rsidR="0020465D">
        <w:rPr>
          <w:rFonts w:ascii="Times New Roman" w:eastAsia="Times New Roman" w:hAnsi="Times New Roman" w:cs="Times New Roman"/>
        </w:rPr>
        <w:t>We are not collecting any</w:t>
      </w:r>
      <w:r w:rsidRPr="1BF77947" w:rsidR="00D54A74">
        <w:rPr>
          <w:rFonts w:ascii="Times New Roman" w:eastAsia="Times New Roman" w:hAnsi="Times New Roman" w:cs="Times New Roman"/>
        </w:rPr>
        <w:t xml:space="preserve"> Protected Health Information,</w:t>
      </w:r>
      <w:r w:rsidRPr="1BF77947" w:rsidR="0020465D">
        <w:rPr>
          <w:rFonts w:ascii="Times New Roman" w:eastAsia="Times New Roman" w:hAnsi="Times New Roman" w:cs="Times New Roman"/>
        </w:rPr>
        <w:t xml:space="preserve"> defined as “Personally identifiable information that relates to a person's health, medical </w:t>
      </w:r>
      <w:r w:rsidRPr="1BF77947" w:rsidR="0020465D">
        <w:rPr>
          <w:rFonts w:ascii="Times New Roman" w:eastAsia="Times New Roman" w:hAnsi="Times New Roman" w:cs="Times New Roman"/>
        </w:rPr>
        <w:t>treatment</w:t>
      </w:r>
      <w:r w:rsidRPr="1BF77947" w:rsidR="0020465D">
        <w:rPr>
          <w:rFonts w:ascii="Times New Roman" w:eastAsia="Times New Roman" w:hAnsi="Times New Roman" w:cs="Times New Roman"/>
        </w:rPr>
        <w:t xml:space="preserve"> or payment, and which was obtained from a "covered entity" (health care provider, health plan, or healthcare clearinghouse), as defined by HIPAA (Health Insurance Portability and Accountability Act) regulations.”</w:t>
      </w:r>
    </w:p>
    <w:p w:rsidR="004E510C" w:rsidP="00060E16" w14:paraId="305C7BC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0E4CF3" w:rsidP="000E4CF3" w14:paraId="670677EF" w14:textId="77777777">
      <w:pPr>
        <w:numPr>
          <w:ilvl w:val="12"/>
          <w:numId w:val="0"/>
        </w:numPr>
        <w:autoSpaceDE w:val="0"/>
        <w:autoSpaceDN w:val="0"/>
        <w:ind w:left="180"/>
        <w:rPr>
          <w:rFonts w:ascii="Times New Roman" w:hAnsi="Times New Roman" w:cs="Times New Roman"/>
          <w:sz w:val="22"/>
        </w:rPr>
      </w:pPr>
      <w:r>
        <w:rPr>
          <w:rFonts w:ascii="Times New Roman" w:hAnsi="Times New Roman" w:cs="Times New Roman"/>
        </w:rPr>
        <w:t>This study is funded by the FDA, a Department of Health and Human Services supported agency, and is covered by a Certificate of Confidentiality (CoC). Section 2012 of the 21st Century Cures Act</w:t>
      </w:r>
      <w:r w:rsidR="00DE74E5">
        <w:rPr>
          <w:rFonts w:ascii="Times New Roman" w:hAnsi="Times New Roman" w:cs="Times New Roman"/>
        </w:rPr>
        <w:t xml:space="preserve"> that</w:t>
      </w:r>
      <w:r>
        <w:rPr>
          <w:rFonts w:ascii="Times New Roman" w:hAnsi="Times New Roman" w:cs="Times New Roman"/>
        </w:rPr>
        <w:t xml:space="preserve"> includes significant amendments</w:t>
      </w:r>
      <w:r w:rsidR="00DE74E5">
        <w:rPr>
          <w:rFonts w:ascii="Times New Roman" w:hAnsi="Times New Roman" w:cs="Times New Roman"/>
        </w:rPr>
        <w:t xml:space="preserve"> </w:t>
      </w:r>
      <w:r>
        <w:rPr>
          <w:rFonts w:ascii="Times New Roman" w:hAnsi="Times New Roman" w:cs="Times New Roman"/>
        </w:rPr>
        <w:t>to the previous statutory authority for such protections to enhance privacy protections for individuals who are the subjects of federally funded research, under subsection 301(d) of the Public Health Service Act (42 U.S.C. 241). Specifically, the amended authority requires the FDA to issue a CoC to investigators or institutions engaged in research funded by the Federal government to protect the privacy of individuals who are subjects of this research. We will notify participants in the consent form of the protections that the Certificate provides.</w:t>
      </w:r>
    </w:p>
    <w:p w:rsidR="00BE1FCB" w:rsidP="00BE1FCB" w14:paraId="7E33ED74"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EF1FF0" w:rsidRPr="004A3DB5" w:rsidP="00BE1FCB" w14:paraId="29296EFB"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u w:val="single"/>
        </w:rPr>
      </w:pPr>
      <w:r w:rsidRPr="004A3DB5">
        <w:rPr>
          <w:rFonts w:ascii="Times New Roman" w:eastAsia="Times New Roman" w:hAnsi="Times New Roman" w:cs="Times New Roman"/>
          <w:szCs w:val="24"/>
          <w:u w:val="single"/>
        </w:rPr>
        <w:t>Privacy Act Applicability</w:t>
      </w:r>
    </w:p>
    <w:p w:rsidR="00EF1FF0" w:rsidP="00BE1FCB" w14:paraId="35936621"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A173CA" w:rsidP="00A173CA" w14:paraId="72C1DCBF"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EF1FF0">
        <w:rPr>
          <w:rFonts w:ascii="Times New Roman" w:eastAsia="Times New Roman" w:hAnsi="Times New Roman" w:cs="Times New Roman"/>
          <w:szCs w:val="24"/>
        </w:rPr>
        <w:t xml:space="preserve">The information collection is not subject to the Privacy Act of 1974. Hence, no Privacy Act Statement is required to be displayed on the form, website, mobile </w:t>
      </w:r>
      <w:r w:rsidRPr="00EF1FF0">
        <w:rPr>
          <w:rFonts w:ascii="Times New Roman" w:eastAsia="Times New Roman" w:hAnsi="Times New Roman" w:cs="Times New Roman"/>
          <w:szCs w:val="24"/>
        </w:rPr>
        <w:t>application</w:t>
      </w:r>
      <w:r w:rsidRPr="00EF1FF0">
        <w:rPr>
          <w:rFonts w:ascii="Times New Roman" w:eastAsia="Times New Roman" w:hAnsi="Times New Roman" w:cs="Times New Roman"/>
          <w:szCs w:val="24"/>
        </w:rPr>
        <w:t xml:space="preserve"> or other point at which individuals submit their information.</w:t>
      </w:r>
    </w:p>
    <w:p w:rsidR="00A173CA" w:rsidP="223F8F81" w14:paraId="123E86A6" w14:textId="7777777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u w:val="single"/>
        </w:rPr>
      </w:pPr>
    </w:p>
    <w:p w:rsidR="00D46CE0" w:rsidRPr="00DD1E6B" w:rsidP="00D46CE0" w14:paraId="03C03A24"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DD1E6B">
        <w:rPr>
          <w:rFonts w:ascii="Times New Roman" w:hAnsi="Times New Roman" w:cs="Times New Roman"/>
          <w:iCs/>
          <w:u w:val="single"/>
        </w:rPr>
        <w:t>Data Minimization</w:t>
      </w:r>
    </w:p>
    <w:p w:rsidR="00D46CE0" w:rsidRPr="00DD1E6B" w:rsidP="00D46CE0" w14:paraId="00833486" w14:textId="77777777">
      <w:pPr>
        <w:numPr>
          <w:ilvl w:val="12"/>
          <w:numId w:val="0"/>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hAnsi="Times New Roman" w:cs="Times New Roman"/>
          <w:iCs/>
          <w:u w:val="single"/>
        </w:rPr>
      </w:pPr>
    </w:p>
    <w:p w:rsidR="00D46CE0" w:rsidRPr="00DD1E6B" w:rsidP="00D46CE0" w14:paraId="4482AA0F" w14:textId="77777777">
      <w:pPr>
        <w:ind w:left="180"/>
        <w:rPr>
          <w:rFonts w:ascii="Times New Roman" w:hAnsi="Times New Roman" w:cs="Times New Roman"/>
        </w:rPr>
      </w:pPr>
      <w:r w:rsidRPr="00DD1E6B">
        <w:rPr>
          <w:rFonts w:ascii="Times New Roman" w:hAnsi="Times New Roman" w:cs="Times New Roman"/>
        </w:rPr>
        <w:t xml:space="preserve">The PII collected for this study is limited to the minimum necessary to achieve the authorized purpose and produce a valid study. The purpose of the study is to evaluate </w:t>
      </w:r>
      <w:r w:rsidRPr="00DD1E6B">
        <w:rPr>
          <w:rFonts w:ascii="Times New Roman" w:hAnsi="Times New Roman" w:cs="Times New Roman"/>
          <w:i/>
        </w:rPr>
        <w:t>The Real Cost</w:t>
      </w:r>
      <w:r w:rsidRPr="00DD1E6B">
        <w:rPr>
          <w:rFonts w:ascii="Times New Roman" w:hAnsi="Times New Roman" w:cs="Times New Roman"/>
        </w:rPr>
        <w:t xml:space="preserve"> public education campaign to reduce and prevent tobacco use being conducted by CTP in support of its mandate to positively impact public health. The PII is necessary </w:t>
      </w:r>
      <w:r w:rsidRPr="00DD1E6B">
        <w:rPr>
          <w:rFonts w:ascii="Times New Roman" w:hAnsi="Times New Roman" w:cs="Times New Roman"/>
        </w:rPr>
        <w:t>in order to</w:t>
      </w:r>
      <w:r w:rsidRPr="00DD1E6B">
        <w:rPr>
          <w:rFonts w:ascii="Times New Roman" w:hAnsi="Times New Roman" w:cs="Times New Roman"/>
        </w:rPr>
        <w:t xml:space="preserve"> determine household eligibility, contact parents for parental permission, invite youth participants to take the baseline and follow-up surveys, conduct quality control checks, and distribute incentives.</w:t>
      </w:r>
    </w:p>
    <w:p w:rsidR="00D46CE0" w:rsidRPr="00DD1E6B" w:rsidP="00D46CE0" w14:paraId="63C2CFD3" w14:textId="77777777">
      <w:pPr>
        <w:ind w:left="180"/>
        <w:rPr>
          <w:rFonts w:ascii="Times New Roman" w:hAnsi="Times New Roman" w:cs="Times New Roman"/>
        </w:rPr>
      </w:pPr>
    </w:p>
    <w:p w:rsidR="00D46CE0" w:rsidRPr="00DD1E6B" w:rsidP="00D46CE0" w14:paraId="43ABB6CE" w14:textId="77777777">
      <w:pPr>
        <w:ind w:left="180"/>
        <w:rPr>
          <w:rFonts w:ascii="Times New Roman" w:hAnsi="Times New Roman" w:cs="Times New Roman"/>
        </w:rPr>
      </w:pPr>
      <w:r w:rsidRPr="00DD1E6B">
        <w:rPr>
          <w:rFonts w:ascii="Times New Roman" w:hAnsi="Times New Roman" w:cs="Times New Roman"/>
        </w:rPr>
        <w:t>Likewise, any potentially sensitive information gathered from participants in association with their PII is limited to that which is essential for the study, such as tobacco use and home tobacco environment. Items such as media use and sensation seeking are collected because they are established risk factors for tobacco use in youth.</w:t>
      </w:r>
    </w:p>
    <w:p w:rsidR="00D46CE0" w:rsidRPr="00DD1E6B" w:rsidP="00D46CE0" w14:paraId="2D90DEEB" w14:textId="77777777">
      <w:pPr>
        <w:ind w:left="180"/>
        <w:rPr>
          <w:rFonts w:ascii="Times New Roman" w:hAnsi="Times New Roman" w:cs="Times New Roman"/>
        </w:rPr>
      </w:pPr>
    </w:p>
    <w:p w:rsidR="00D46CE0" w:rsidRPr="00DD1E6B" w:rsidP="00D46CE0" w14:paraId="29C4AE4C" w14:textId="7DA59C94">
      <w:pPr>
        <w:ind w:left="180"/>
        <w:rPr>
          <w:rFonts w:ascii="Times New Roman" w:hAnsi="Times New Roman" w:cs="Times New Roman"/>
        </w:rPr>
      </w:pPr>
      <w:r w:rsidRPr="5A751C2D">
        <w:rPr>
          <w:rFonts w:ascii="Times New Roman" w:hAnsi="Times New Roman" w:cs="Times New Roman"/>
        </w:rPr>
        <w:t>FDA has minimized the risk of unnecessary access, disclosure, use or proliferation of PII about participants.  FDA and other parties involved in the study maintain study records containing PII only as long as required (</w:t>
      </w:r>
      <w:r w:rsidRPr="5A751C2D">
        <w:rPr>
          <w:rFonts w:ascii="Georgia Pro" w:hAnsi="Georgia Pro"/>
          <w:sz w:val="22"/>
        </w:rPr>
        <w:t xml:space="preserve">until </w:t>
      </w:r>
      <w:r w:rsidRPr="5A751C2D" w:rsidR="00895575">
        <w:rPr>
          <w:rFonts w:ascii="Georgia Pro" w:hAnsi="Georgia Pro"/>
          <w:sz w:val="22"/>
        </w:rPr>
        <w:t>3</w:t>
      </w:r>
      <w:r w:rsidRPr="5A751C2D">
        <w:rPr>
          <w:rFonts w:ascii="Georgia Pro" w:hAnsi="Georgia Pro"/>
          <w:sz w:val="22"/>
        </w:rPr>
        <w:t xml:space="preserve"> years after the project has ended</w:t>
      </w:r>
      <w:r w:rsidRPr="5A751C2D">
        <w:rPr>
          <w:rFonts w:ascii="Times New Roman" w:hAnsi="Times New Roman" w:cs="Times New Roman"/>
        </w:rPr>
        <w:t xml:space="preserve">). RTI International uses </w:t>
      </w:r>
      <w:r w:rsidRPr="5A751C2D" w:rsidR="00245491">
        <w:rPr>
          <w:rFonts w:ascii="Times New Roman" w:hAnsi="Times New Roman" w:cs="Times New Roman"/>
        </w:rPr>
        <w:t>a</w:t>
      </w:r>
      <w:r w:rsidRPr="5A751C2D">
        <w:rPr>
          <w:rFonts w:ascii="Times New Roman" w:hAnsi="Times New Roman" w:cs="Times New Roman"/>
        </w:rPr>
        <w:t xml:space="preserve"> unique case identification number to identify participants. Access to PII is restricted by role to personnel who must access this information. Sensitive records are kept in a secure location until destruction occurs. </w:t>
      </w:r>
      <w:bookmarkStart w:id="18" w:name="_Hlk97047477"/>
      <w:r w:rsidRPr="5A751C2D">
        <w:rPr>
          <w:rFonts w:ascii="Times New Roman" w:hAnsi="Times New Roman" w:cs="Times New Roman"/>
        </w:rPr>
        <w:t xml:space="preserve">RTI has in place standard operating procedures based on RTI Policy to ensure the security and privacy of recorded information during all phases of the destruction process, including pickup and transport of records from RTI’s locations to the destruction site. All PII, including electronic PII, will be destroyed as stipulated in the PIA. Non-identifiable or de-identified data (i.e., responses to the study, but without any PII) will be sent by RTI to FDA. No PII will be sent to or be accessible by FDA at any time. </w:t>
      </w:r>
      <w:bookmarkEnd w:id="18"/>
    </w:p>
    <w:p w:rsidR="00D46CE0" w:rsidRPr="00DD1E6B" w:rsidP="00D46CE0" w14:paraId="795F53AD" w14:textId="77777777">
      <w:pPr>
        <w:ind w:left="180"/>
        <w:rPr>
          <w:rFonts w:ascii="Times New Roman" w:hAnsi="Times New Roman" w:cs="Times New Roman"/>
        </w:rPr>
      </w:pPr>
    </w:p>
    <w:p w:rsidR="00D46CE0" w:rsidRPr="00DD1E6B" w:rsidP="00D46CE0" w14:paraId="591A0B48" w14:textId="77777777">
      <w:pPr>
        <w:ind w:left="180"/>
        <w:rPr>
          <w:rFonts w:ascii="Times New Roman" w:hAnsi="Times New Roman" w:cs="Times New Roman"/>
        </w:rPr>
      </w:pPr>
      <w:r w:rsidRPr="00DD1E6B">
        <w:rPr>
          <w:rFonts w:ascii="Times New Roman" w:hAnsi="Times New Roman" w:cs="Times New Roman"/>
        </w:rPr>
        <w:t>Parents of the youth participants who complete the online survey provide their phone number to receive text reminders, their email address to receive email reminders</w:t>
      </w:r>
      <w:r w:rsidR="00781780">
        <w:rPr>
          <w:rFonts w:ascii="Times New Roman" w:hAnsi="Times New Roman" w:cs="Times New Roman"/>
        </w:rPr>
        <w:t>,</w:t>
      </w:r>
      <w:r w:rsidRPr="00DD1E6B">
        <w:rPr>
          <w:rFonts w:ascii="Times New Roman" w:hAnsi="Times New Roman" w:cs="Times New Roman"/>
        </w:rPr>
        <w:t xml:space="preserve"> and their mailing address</w:t>
      </w:r>
      <w:r w:rsidR="00781780">
        <w:rPr>
          <w:rFonts w:ascii="Times New Roman" w:hAnsi="Times New Roman" w:cs="Times New Roman"/>
        </w:rPr>
        <w:t xml:space="preserve"> </w:t>
      </w:r>
      <w:r w:rsidRPr="00DD1E6B">
        <w:rPr>
          <w:rFonts w:ascii="Times New Roman" w:hAnsi="Times New Roman" w:cs="Times New Roman"/>
        </w:rPr>
        <w:t>so that their child can receive a</w:t>
      </w:r>
      <w:r w:rsidR="00781780">
        <w:rPr>
          <w:rFonts w:ascii="Times New Roman" w:hAnsi="Times New Roman" w:cs="Times New Roman"/>
        </w:rPr>
        <w:t>n incentive for participation</w:t>
      </w:r>
      <w:r w:rsidRPr="00DD1E6B">
        <w:rPr>
          <w:rFonts w:ascii="Times New Roman" w:hAnsi="Times New Roman" w:cs="Times New Roman"/>
        </w:rPr>
        <w:t xml:space="preserve">. RTI study staff will </w:t>
      </w:r>
      <w:r w:rsidRPr="00DD1E6B">
        <w:rPr>
          <w:rFonts w:ascii="Times New Roman" w:hAnsi="Times New Roman" w:cs="Times New Roman"/>
        </w:rPr>
        <w:t xml:space="preserve">provide an encrypted file with the participants’ mailing addresses to the incentive provider group at RTI (Division of Research Services Respondent Incentive Group) so that incentives can be distributed via mail.  RTI does not share this information with FDA. RTI shares Case ID, password, parent first and last names, youth first name, and household mailing addresses with the print vendor for the invitation letters, reminder letters, and postcard reminders for follow-up waves of the survey. This information is sent to the printer vendor via encrypted files. RTI does not share this information with FDA. The print vendor does not have access to any other PII or non-PII from the study. RTI International will not share PII gathered via this collection with any other individuals or entities.  </w:t>
      </w:r>
    </w:p>
    <w:p w:rsidR="00D46CE0" w:rsidRPr="00DD1E6B" w:rsidP="00D46CE0" w14:paraId="572FB7AD" w14:textId="77777777">
      <w:pPr>
        <w:ind w:left="180"/>
        <w:rPr>
          <w:rFonts w:ascii="Times New Roman" w:hAnsi="Times New Roman" w:cs="Times New Roman"/>
        </w:rPr>
      </w:pPr>
    </w:p>
    <w:p w:rsidR="00D46CE0" w:rsidRPr="00DD1E6B" w:rsidP="00D46CE0" w14:paraId="5CA63E9D"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Notice and Transparency</w:t>
      </w:r>
    </w:p>
    <w:p w:rsidR="00D46CE0" w:rsidRPr="00DD1E6B" w:rsidP="00D46CE0" w14:paraId="70BCF3E9" w14:textId="77777777">
      <w:pPr>
        <w:ind w:left="180"/>
        <w:contextualSpacing/>
        <w:rPr>
          <w:rFonts w:ascii="Times New Roman" w:hAnsi="Times New Roman" w:cs="Times New Roman"/>
          <w:iCs/>
          <w:u w:val="single"/>
        </w:rPr>
      </w:pPr>
    </w:p>
    <w:p w:rsidR="00D46CE0" w:rsidRPr="00DD1E6B" w:rsidP="00D46CE0" w14:paraId="1BE61A8C" w14:textId="47D380B0">
      <w:pPr>
        <w:ind w:left="180"/>
        <w:rPr>
          <w:rFonts w:ascii="Times New Roman" w:hAnsi="Times New Roman" w:cs="Times New Roman"/>
        </w:rPr>
      </w:pPr>
      <w:r w:rsidRPr="70D9CFED">
        <w:rPr>
          <w:rFonts w:ascii="Times New Roman" w:hAnsi="Times New Roman" w:cs="Times New Roman"/>
        </w:rPr>
        <w:t xml:space="preserve">All participants are provided notice regarding the collection and use of the information they provide. The purpose of the study and intended use of the information collected </w:t>
      </w:r>
      <w:r w:rsidRPr="70D9CFED" w:rsidR="0AA057D5">
        <w:rPr>
          <w:rFonts w:ascii="Times New Roman" w:hAnsi="Times New Roman" w:cs="Times New Roman"/>
        </w:rPr>
        <w:t xml:space="preserve">is </w:t>
      </w:r>
      <w:r w:rsidRPr="70D9CFED">
        <w:rPr>
          <w:rFonts w:ascii="Times New Roman" w:hAnsi="Times New Roman" w:cs="Times New Roman"/>
        </w:rPr>
        <w:t xml:space="preserve">described on the first page of the </w:t>
      </w:r>
      <w:r w:rsidRPr="70D9CFED" w:rsidR="008D572A">
        <w:rPr>
          <w:rFonts w:ascii="Times New Roman" w:hAnsi="Times New Roman" w:cs="Times New Roman"/>
        </w:rPr>
        <w:t>web</w:t>
      </w:r>
      <w:r w:rsidRPr="70D9CFED">
        <w:rPr>
          <w:rFonts w:ascii="Times New Roman" w:hAnsi="Times New Roman" w:cs="Times New Roman"/>
        </w:rPr>
        <w:t xml:space="preserve"> screeners in the baseline data collection. In the </w:t>
      </w:r>
      <w:r w:rsidRPr="70D9CFED" w:rsidR="008D572A">
        <w:rPr>
          <w:rFonts w:ascii="Times New Roman" w:hAnsi="Times New Roman" w:cs="Times New Roman"/>
        </w:rPr>
        <w:t>web</w:t>
      </w:r>
      <w:r w:rsidRPr="70D9CFED">
        <w:rPr>
          <w:rFonts w:ascii="Times New Roman" w:hAnsi="Times New Roman" w:cs="Times New Roman"/>
        </w:rPr>
        <w:t xml:space="preserve"> screener, parents </w:t>
      </w:r>
      <w:r w:rsidRPr="70D9CFED" w:rsidR="1B2F9E3E">
        <w:rPr>
          <w:rFonts w:ascii="Times New Roman" w:hAnsi="Times New Roman" w:cs="Times New Roman"/>
        </w:rPr>
        <w:t xml:space="preserve">are </w:t>
      </w:r>
      <w:r w:rsidRPr="70D9CFED">
        <w:rPr>
          <w:rFonts w:ascii="Times New Roman" w:hAnsi="Times New Roman" w:cs="Times New Roman"/>
        </w:rPr>
        <w:t xml:space="preserve">told that the information collected would determine their household’s eligibility for the study and must provide their permission for their child to complete the baseline survey. Youth participants who complete the baseline survey and the follow-up surveys must first read an electronic informed assent form and provide their acceptance before they can complete the survey. Youth participants who turn 18 </w:t>
      </w:r>
      <w:r w:rsidRPr="70D9CFED">
        <w:rPr>
          <w:rFonts w:ascii="Times New Roman" w:hAnsi="Times New Roman" w:cs="Times New Roman"/>
        </w:rPr>
        <w:t>during the course of</w:t>
      </w:r>
      <w:r w:rsidRPr="70D9CFED">
        <w:rPr>
          <w:rFonts w:ascii="Times New Roman" w:hAnsi="Times New Roman" w:cs="Times New Roman"/>
        </w:rPr>
        <w:t xml:space="preserve"> the study must read an electronic informed consent form and provide their acceptance. All study materials and website pages clearly </w:t>
      </w:r>
      <w:r w:rsidRPr="70D9CFED" w:rsidR="007259CD">
        <w:rPr>
          <w:rFonts w:ascii="Times New Roman" w:hAnsi="Times New Roman" w:cs="Times New Roman"/>
        </w:rPr>
        <w:t>state that the study is being sponsored by the</w:t>
      </w:r>
      <w:r w:rsidRPr="70D9CFED">
        <w:rPr>
          <w:rFonts w:ascii="Times New Roman" w:hAnsi="Times New Roman" w:cs="Times New Roman"/>
        </w:rPr>
        <w:t xml:space="preserve"> FDA.</w:t>
      </w:r>
    </w:p>
    <w:p w:rsidR="00D46CE0" w:rsidRPr="00DD1E6B" w:rsidP="00D46CE0" w14:paraId="65952BB9" w14:textId="77777777">
      <w:pPr>
        <w:ind w:left="180"/>
        <w:rPr>
          <w:rFonts w:ascii="Times New Roman" w:hAnsi="Times New Roman" w:cs="Times New Roman"/>
        </w:rPr>
      </w:pPr>
    </w:p>
    <w:p w:rsidR="00D46CE0" w:rsidRPr="00DD1E6B" w:rsidP="00D46CE0" w14:paraId="26BB4142"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Individual Participation and Control</w:t>
      </w:r>
    </w:p>
    <w:p w:rsidR="00D46CE0" w:rsidRPr="00DD1E6B" w:rsidP="00D46CE0" w14:paraId="78C34DC6" w14:textId="77777777">
      <w:pPr>
        <w:ind w:left="180"/>
        <w:contextualSpacing/>
        <w:rPr>
          <w:rFonts w:ascii="Times New Roman" w:hAnsi="Times New Roman" w:cs="Times New Roman"/>
          <w:iCs/>
          <w:u w:val="single"/>
        </w:rPr>
      </w:pPr>
    </w:p>
    <w:p w:rsidR="00D46CE0" w:rsidRPr="00DD1E6B" w:rsidP="00D46CE0" w14:paraId="778BAC19" w14:textId="77777777">
      <w:pPr>
        <w:ind w:left="180"/>
        <w:rPr>
          <w:rFonts w:ascii="Times New Roman" w:hAnsi="Times New Roman" w:cs="Times New Roman"/>
        </w:rPr>
      </w:pPr>
      <w:r w:rsidRPr="1BF77947">
        <w:rPr>
          <w:rFonts w:ascii="Times New Roman" w:hAnsi="Times New Roman" w:cs="Times New Roman"/>
        </w:rPr>
        <w:t xml:space="preserve">Participation in </w:t>
      </w:r>
      <w:r w:rsidR="00781780">
        <w:rPr>
          <w:rFonts w:ascii="Times New Roman" w:hAnsi="Times New Roman" w:cs="Times New Roman"/>
        </w:rPr>
        <w:t xml:space="preserve">The </w:t>
      </w:r>
      <w:r w:rsidRPr="1BF77947">
        <w:rPr>
          <w:rFonts w:ascii="Times New Roman" w:hAnsi="Times New Roman" w:cs="Times New Roman"/>
        </w:rPr>
        <w:t>Real Cost Campaign Outcomes Evaluation Study: Cohort 3 is entirely voluntary. Participants may choose to not join the study and are free to withdraw at any time without incurring any negative consequences. For all parent permission, youth assent and youth consent forms, affirmative assent or consent is obtained electronically by clicking an “accept” radial button below the electronic assent text on the</w:t>
      </w:r>
      <w:r w:rsidR="00781780">
        <w:rPr>
          <w:rFonts w:ascii="Times New Roman" w:hAnsi="Times New Roman" w:cs="Times New Roman"/>
        </w:rPr>
        <w:t>ir personal mobile device,</w:t>
      </w:r>
      <w:r w:rsidRPr="1BF77947">
        <w:rPr>
          <w:rFonts w:ascii="Times New Roman" w:hAnsi="Times New Roman" w:cs="Times New Roman"/>
        </w:rPr>
        <w:t xml:space="preserve"> tablet</w:t>
      </w:r>
      <w:r w:rsidR="00781780">
        <w:rPr>
          <w:rFonts w:ascii="Times New Roman" w:hAnsi="Times New Roman" w:cs="Times New Roman"/>
        </w:rPr>
        <w:t xml:space="preserve">, </w:t>
      </w:r>
      <w:r w:rsidRPr="1BF77947">
        <w:rPr>
          <w:rFonts w:ascii="Times New Roman" w:hAnsi="Times New Roman" w:cs="Times New Roman"/>
        </w:rPr>
        <w:t>or laptop.</w:t>
      </w:r>
    </w:p>
    <w:p w:rsidR="00D46CE0" w:rsidRPr="00DD1E6B" w:rsidP="00D46CE0" w14:paraId="44562EFF" w14:textId="77777777">
      <w:pPr>
        <w:ind w:left="180"/>
        <w:rPr>
          <w:rFonts w:ascii="Times New Roman" w:hAnsi="Times New Roman" w:cs="Times New Roman"/>
        </w:rPr>
      </w:pPr>
      <w:bookmarkStart w:id="19" w:name="_Hlk508956935"/>
    </w:p>
    <w:p w:rsidR="00D46CE0" w:rsidRPr="00DD1E6B" w:rsidP="00D46CE0" w14:paraId="3955C67A"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Third-Party Accountability</w:t>
      </w:r>
    </w:p>
    <w:p w:rsidR="00D46CE0" w:rsidRPr="00DD1E6B" w:rsidP="00D46CE0" w14:paraId="2AAC07FE" w14:textId="77777777">
      <w:pPr>
        <w:ind w:left="180"/>
        <w:contextualSpacing/>
        <w:rPr>
          <w:rFonts w:ascii="Times New Roman" w:hAnsi="Times New Roman" w:cs="Times New Roman"/>
          <w:iCs/>
          <w:u w:val="single"/>
        </w:rPr>
      </w:pPr>
    </w:p>
    <w:p w:rsidR="00D46CE0" w:rsidP="00D46CE0" w14:paraId="24BB74AA" w14:textId="73678F33">
      <w:pPr>
        <w:ind w:left="180"/>
        <w:rPr>
          <w:rFonts w:ascii="Times New Roman" w:hAnsi="Times New Roman" w:cs="Times New Roman"/>
        </w:rPr>
      </w:pPr>
      <w:r w:rsidRPr="00DD1E6B">
        <w:rPr>
          <w:rFonts w:ascii="Times New Roman" w:hAnsi="Times New Roman" w:cs="Times New Roman"/>
          <w:bCs/>
        </w:rPr>
        <w:t xml:space="preserve">RTI is held accountable for complying with privacy and security procedures (including reporting data breaches) by its contract with FDA, which requires that RTI complies with 45 CFR part 46 and with the contractor’s current Federal-wide Assurance (FWA) on file with the Office for Human Research Protections (OHRP), Department of Health and Human Services. RTI agrees to provide certification at least annually that the Institutional Review Board has reviewed and approved the procedures, which involve human </w:t>
      </w:r>
      <w:r w:rsidRPr="00DD1E6B" w:rsidR="00E2315F">
        <w:rPr>
          <w:rFonts w:ascii="Times New Roman" w:hAnsi="Times New Roman" w:cs="Times New Roman"/>
          <w:bCs/>
        </w:rPr>
        <w:t>subject’s</w:t>
      </w:r>
      <w:r w:rsidRPr="00DD1E6B">
        <w:rPr>
          <w:rFonts w:ascii="Times New Roman" w:hAnsi="Times New Roman" w:cs="Times New Roman"/>
          <w:bCs/>
        </w:rPr>
        <w:t xml:space="preserve"> </w:t>
      </w:r>
      <w:r w:rsidR="00781780">
        <w:rPr>
          <w:rFonts w:ascii="Times New Roman" w:hAnsi="Times New Roman" w:cs="Times New Roman"/>
          <w:bCs/>
        </w:rPr>
        <w:t xml:space="preserve">protections </w:t>
      </w:r>
      <w:r w:rsidRPr="00DD1E6B">
        <w:rPr>
          <w:rFonts w:ascii="Times New Roman" w:hAnsi="Times New Roman" w:cs="Times New Roman"/>
          <w:bCs/>
        </w:rPr>
        <w:t>in accordance with 45 CFR part 46 and the Assurance of Compliance. RTI also has an established protocol in place for privacy breaches that includes the Project Director notifying RTI’s IRB and CTP, who, in turn, notifies FDA’s IRB. In addition, RTI has an Incident Response and Breach Notification Plan in place that activates first responders when an incident occurs, and</w:t>
      </w:r>
      <w:r w:rsidRPr="00DD1E6B">
        <w:rPr>
          <w:rFonts w:ascii="Times New Roman" w:hAnsi="Times New Roman" w:cs="Times New Roman"/>
        </w:rPr>
        <w:t xml:space="preserve"> as required by law, a breach notification policy with respect to protected health information</w:t>
      </w:r>
      <w:r w:rsidRPr="00DD1E6B">
        <w:rPr>
          <w:rFonts w:ascii="Times New Roman" w:hAnsi="Times New Roman" w:cs="Times New Roman"/>
          <w:bCs/>
        </w:rPr>
        <w:t xml:space="preserve">. RTI </w:t>
      </w:r>
      <w:r w:rsidRPr="00DD1E6B">
        <w:rPr>
          <w:rFonts w:ascii="Times New Roman" w:hAnsi="Times New Roman" w:cs="Times New Roman"/>
        </w:rPr>
        <w:t xml:space="preserve">subcontractors are accountable via contract terms for all data that it handles, uses, </w:t>
      </w:r>
      <w:r w:rsidRPr="00DD1E6B">
        <w:rPr>
          <w:rFonts w:ascii="Times New Roman" w:hAnsi="Times New Roman" w:cs="Times New Roman"/>
        </w:rPr>
        <w:t>shares</w:t>
      </w:r>
      <w:r w:rsidRPr="00DD1E6B">
        <w:rPr>
          <w:rFonts w:ascii="Times New Roman" w:hAnsi="Times New Roman" w:cs="Times New Roman"/>
        </w:rPr>
        <w:t xml:space="preserve"> and maintains as part of this survey.  </w:t>
      </w:r>
    </w:p>
    <w:p w:rsidR="00996B7E" w:rsidP="00D46CE0" w14:paraId="66ED95A1" w14:textId="4392364D">
      <w:pPr>
        <w:ind w:left="180"/>
        <w:rPr>
          <w:rFonts w:ascii="Times New Roman" w:hAnsi="Times New Roman" w:cs="Times New Roman"/>
        </w:rPr>
      </w:pPr>
    </w:p>
    <w:p w:rsidR="00D46CE0" w:rsidRPr="00DD1E6B" w:rsidP="00D46CE0" w14:paraId="6E766E4C" w14:textId="77777777">
      <w:pPr>
        <w:ind w:left="180"/>
        <w:contextualSpacing/>
        <w:rPr>
          <w:rFonts w:ascii="Times New Roman" w:hAnsi="Times New Roman" w:cs="Times New Roman"/>
          <w:iCs/>
          <w:u w:val="single"/>
        </w:rPr>
      </w:pPr>
      <w:r w:rsidRPr="00DD1E6B">
        <w:rPr>
          <w:rFonts w:ascii="Times New Roman" w:hAnsi="Times New Roman" w:cs="Times New Roman"/>
          <w:iCs/>
          <w:u w:val="single"/>
        </w:rPr>
        <w:t>Data Security</w:t>
      </w:r>
    </w:p>
    <w:p w:rsidR="00D46CE0" w:rsidRPr="00DD1E6B" w:rsidP="00D46CE0" w14:paraId="50724BF3" w14:textId="77777777">
      <w:pPr>
        <w:ind w:left="180"/>
        <w:contextualSpacing/>
        <w:rPr>
          <w:rFonts w:ascii="Times New Roman" w:hAnsi="Times New Roman" w:cs="Times New Roman"/>
          <w:iCs/>
          <w:u w:val="single"/>
        </w:rPr>
      </w:pPr>
    </w:p>
    <w:p w:rsidR="223F8F81" w:rsidP="00755197" w14:paraId="4BD88A4F" w14:textId="4F251927">
      <w:pPr>
        <w:ind w:left="180"/>
        <w:rPr>
          <w:rFonts w:ascii="Times New Roman" w:hAnsi="Times New Roman" w:cs="Times New Roman"/>
        </w:rPr>
      </w:pPr>
      <w:r w:rsidRPr="5A751C2D">
        <w:rPr>
          <w:rFonts w:ascii="Times New Roman" w:hAnsi="Times New Roman" w:cs="Times New Roman"/>
        </w:rPr>
        <w:t>RTI International’s data security procedures for the FIPS</w:t>
      </w:r>
      <w:r w:rsidRPr="5A751C2D" w:rsidR="00E11722">
        <w:rPr>
          <w:rFonts w:ascii="Times New Roman" w:hAnsi="Times New Roman" w:cs="Times New Roman"/>
        </w:rPr>
        <w:t xml:space="preserve"> </w:t>
      </w:r>
      <w:r w:rsidRPr="5A751C2D" w:rsidR="00B351C8">
        <w:rPr>
          <w:rFonts w:ascii="Times New Roman" w:hAnsi="Times New Roman" w:cs="Times New Roman"/>
        </w:rPr>
        <w:t>m</w:t>
      </w:r>
      <w:r w:rsidRPr="5A751C2D" w:rsidR="00E11722">
        <w:rPr>
          <w:rFonts w:ascii="Times New Roman" w:hAnsi="Times New Roman" w:cs="Times New Roman"/>
        </w:rPr>
        <w:t>oderate</w:t>
      </w:r>
      <w:r w:rsidRPr="5A751C2D">
        <w:rPr>
          <w:rFonts w:ascii="Times New Roman" w:hAnsi="Times New Roman" w:cs="Times New Roman"/>
        </w:rPr>
        <w:t xml:space="preserve"> network, which is the RTI network on which the data from the evaluation will be stored, have been reviewed by a FedRAMP certified Third Party Organization and deemed acceptable. This organization issued an Authorization to Operate (ATO) for the FIPS </w:t>
      </w:r>
      <w:r w:rsidRPr="5A751C2D" w:rsidR="00D14BD8">
        <w:rPr>
          <w:rFonts w:ascii="Times New Roman" w:hAnsi="Times New Roman" w:cs="Times New Roman"/>
        </w:rPr>
        <w:t>m</w:t>
      </w:r>
      <w:r w:rsidRPr="5A751C2D" w:rsidR="00E11722">
        <w:rPr>
          <w:rFonts w:ascii="Times New Roman" w:hAnsi="Times New Roman" w:cs="Times New Roman"/>
        </w:rPr>
        <w:t>oderate</w:t>
      </w:r>
      <w:r w:rsidRPr="5A751C2D">
        <w:rPr>
          <w:rFonts w:ascii="Times New Roman" w:hAnsi="Times New Roman" w:cs="Times New Roman"/>
        </w:rPr>
        <w:t xml:space="preserve"> network. PII will </w:t>
      </w:r>
      <w:r w:rsidRPr="5A751C2D" w:rsidR="00E11722">
        <w:rPr>
          <w:rFonts w:ascii="Times New Roman" w:hAnsi="Times New Roman" w:cs="Times New Roman"/>
        </w:rPr>
        <w:t>remain on</w:t>
      </w:r>
      <w:r w:rsidRPr="5A751C2D">
        <w:rPr>
          <w:rFonts w:ascii="Times New Roman" w:hAnsi="Times New Roman" w:cs="Times New Roman"/>
        </w:rPr>
        <w:t xml:space="preserve"> the FIPS-moderate network following the end of data collection and </w:t>
      </w:r>
      <w:r w:rsidRPr="5A751C2D" w:rsidR="00E11722">
        <w:rPr>
          <w:rFonts w:ascii="Times New Roman" w:hAnsi="Times New Roman" w:cs="Times New Roman"/>
        </w:rPr>
        <w:t>for</w:t>
      </w:r>
      <w:r w:rsidRPr="5A751C2D">
        <w:rPr>
          <w:rFonts w:ascii="Times New Roman" w:hAnsi="Times New Roman" w:cs="Times New Roman"/>
        </w:rPr>
        <w:t xml:space="preserve"> </w:t>
      </w:r>
      <w:r w:rsidRPr="5A751C2D" w:rsidR="004A0DCD">
        <w:rPr>
          <w:rFonts w:ascii="Times New Roman" w:hAnsi="Times New Roman" w:cs="Times New Roman"/>
        </w:rPr>
        <w:t>3</w:t>
      </w:r>
      <w:r w:rsidRPr="5A751C2D">
        <w:rPr>
          <w:rFonts w:ascii="Times New Roman" w:hAnsi="Times New Roman" w:cs="Times New Roman"/>
        </w:rPr>
        <w:t xml:space="preserve"> years after the project has ended.</w:t>
      </w:r>
      <w:bookmarkEnd w:id="19"/>
    </w:p>
    <w:p w:rsidR="00D46CE0" w:rsidRPr="00DD1E6B" w:rsidP="5A751C2D" w14:paraId="4D3EDB28" w14:textId="77777777">
      <w:pPr>
        <w:spacing w:before="100" w:beforeAutospacing="1" w:after="100" w:afterAutospacing="1"/>
        <w:ind w:left="180"/>
        <w:rPr>
          <w:rFonts w:ascii="Times New Roman" w:hAnsi="Times New Roman" w:cs="Times New Roman"/>
        </w:rPr>
      </w:pPr>
      <w:r w:rsidRPr="5A751C2D">
        <w:rPr>
          <w:rFonts w:ascii="Times New Roman" w:hAnsi="Times New Roman" w:cs="Times New Roman"/>
        </w:rPr>
        <w:t>Advarra’s Institutional Review Board (IRB)</w:t>
      </w:r>
      <w:r w:rsidRPr="5A751C2D" w:rsidR="00781780">
        <w:rPr>
          <w:rFonts w:ascii="Times New Roman" w:hAnsi="Times New Roman" w:cs="Times New Roman"/>
        </w:rPr>
        <w:t xml:space="preserve"> has reviewed and approved</w:t>
      </w:r>
      <w:r w:rsidRPr="5A751C2D">
        <w:rPr>
          <w:rFonts w:ascii="Times New Roman" w:hAnsi="Times New Roman" w:cs="Times New Roman"/>
        </w:rPr>
        <w:t xml:space="preserve"> the </w:t>
      </w:r>
      <w:r w:rsidRPr="5A751C2D" w:rsidR="004E177F">
        <w:rPr>
          <w:rFonts w:ascii="Times New Roman" w:hAnsi="Times New Roman" w:cs="Times New Roman"/>
        </w:rPr>
        <w:t xml:space="preserve">study protocol </w:t>
      </w:r>
      <w:r w:rsidRPr="5A751C2D" w:rsidR="00245491">
        <w:rPr>
          <w:rFonts w:ascii="Times New Roman" w:hAnsi="Times New Roman" w:cs="Times New Roman"/>
        </w:rPr>
        <w:t>and</w:t>
      </w:r>
      <w:r w:rsidRPr="5A751C2D" w:rsidR="004E177F">
        <w:rPr>
          <w:rFonts w:ascii="Times New Roman" w:hAnsi="Times New Roman" w:cs="Times New Roman"/>
        </w:rPr>
        <w:t xml:space="preserve"> </w:t>
      </w:r>
      <w:r w:rsidRPr="5A751C2D">
        <w:rPr>
          <w:rFonts w:ascii="Times New Roman" w:hAnsi="Times New Roman" w:cs="Times New Roman"/>
        </w:rPr>
        <w:t>permission, consent, and assent forms (Attachments 4, 5</w:t>
      </w:r>
      <w:r w:rsidRPr="5A751C2D" w:rsidR="00190B2D">
        <w:rPr>
          <w:rFonts w:ascii="Times New Roman" w:hAnsi="Times New Roman" w:cs="Times New Roman"/>
        </w:rPr>
        <w:t>a</w:t>
      </w:r>
      <w:r w:rsidRPr="5A751C2D">
        <w:rPr>
          <w:rFonts w:ascii="Times New Roman" w:hAnsi="Times New Roman" w:cs="Times New Roman"/>
        </w:rPr>
        <w:t xml:space="preserve">, </w:t>
      </w:r>
      <w:r w:rsidRPr="5A751C2D" w:rsidR="00190B2D">
        <w:rPr>
          <w:rFonts w:ascii="Times New Roman" w:hAnsi="Times New Roman" w:cs="Times New Roman"/>
        </w:rPr>
        <w:t>5b</w:t>
      </w:r>
      <w:r w:rsidRPr="5A751C2D">
        <w:rPr>
          <w:rFonts w:ascii="Times New Roman" w:hAnsi="Times New Roman" w:cs="Times New Roman"/>
        </w:rPr>
        <w:t xml:space="preserve">, 6, 7, 8) for the Outcomes Evaluation Study. These forms include language for parental permission and youth assent (under age 18) or consent (18 or older). The IRB’s primary concern is protecting respondents’ rights, one of which is </w:t>
      </w:r>
      <w:r w:rsidRPr="5A751C2D">
        <w:rPr>
          <w:rFonts w:ascii="Times New Roman" w:hAnsi="Times New Roman" w:cs="Times New Roman"/>
        </w:rPr>
        <w:t>maintaining the privacy of respondent information to the fullest extent</w:t>
      </w:r>
      <w:r w:rsidRPr="5A751C2D">
        <w:rPr>
          <w:rFonts w:ascii="Times New Roman" w:hAnsi="Times New Roman" w:cs="Times New Roman"/>
        </w:rPr>
        <w:t xml:space="preserve"> of the law.</w:t>
      </w:r>
    </w:p>
    <w:p w:rsidR="005606CB" w:rsidP="5A751C2D" w14:paraId="7F6A5AEE" w14:textId="1124C9AF">
      <w:pPr>
        <w:spacing w:before="100" w:beforeAutospacing="1" w:after="100" w:afterAutospacing="1"/>
        <w:ind w:left="180"/>
        <w:rPr>
          <w:rFonts w:ascii="Times New Roman" w:hAnsi="Times New Roman" w:cs="Times New Roman"/>
        </w:rPr>
      </w:pPr>
      <w:r w:rsidRPr="5A751C2D">
        <w:rPr>
          <w:rFonts w:ascii="Times New Roman" w:hAnsi="Times New Roman" w:cs="Times New Roman"/>
        </w:rPr>
        <w:t xml:space="preserve">Concern for privacy and protection of respondents’ rights plays a central part in the implementation of </w:t>
      </w:r>
      <w:r w:rsidRPr="5A751C2D" w:rsidR="00781780">
        <w:rPr>
          <w:rFonts w:ascii="Times New Roman" w:hAnsi="Times New Roman" w:cs="Times New Roman"/>
        </w:rPr>
        <w:t xml:space="preserve">The </w:t>
      </w:r>
      <w:r w:rsidRPr="5A751C2D">
        <w:rPr>
          <w:rFonts w:ascii="Times New Roman" w:hAnsi="Times New Roman" w:cs="Times New Roman"/>
        </w:rPr>
        <w:t xml:space="preserve">Real Cost Campaign Outcomes Evaluation Study: Cohort 3 and will receive the utmost emphasis. All consenting documents include an explanation of the Certificate of Confidentiality (CoC). This text explains that the CoC provides legal protection for respondent information, and outlines contexts in which youth information may or may not be shared. The text specifically notes that the CoC does not affect federal, </w:t>
      </w:r>
      <w:r w:rsidRPr="5A751C2D">
        <w:rPr>
          <w:rFonts w:ascii="Times New Roman" w:hAnsi="Times New Roman" w:cs="Times New Roman"/>
        </w:rPr>
        <w:t>state</w:t>
      </w:r>
      <w:r w:rsidRPr="5A751C2D">
        <w:rPr>
          <w:rFonts w:ascii="Times New Roman" w:hAnsi="Times New Roman" w:cs="Times New Roman"/>
        </w:rPr>
        <w:t xml:space="preserve"> or local reporting requirements such as reporting of child abuse, communicable diseases, and threats to harm self or others. The text also explains that Personally Identifiable Information (PII) will not be disclosed. Parental permission is obtained from the youth’s parent or guardian for those that are ages 11 to 13; subsequently, youth assent is requested. RTI </w:t>
      </w:r>
      <w:r w:rsidRPr="5A751C2D" w:rsidR="00781780">
        <w:rPr>
          <w:rFonts w:ascii="Times New Roman" w:hAnsi="Times New Roman" w:cs="Times New Roman"/>
        </w:rPr>
        <w:t>has re</w:t>
      </w:r>
      <w:r w:rsidRPr="5A751C2D" w:rsidR="00B33BBD">
        <w:rPr>
          <w:rFonts w:ascii="Times New Roman" w:hAnsi="Times New Roman" w:cs="Times New Roman"/>
        </w:rPr>
        <w:t>ceived</w:t>
      </w:r>
      <w:r w:rsidRPr="5A751C2D" w:rsidR="00781780">
        <w:rPr>
          <w:rFonts w:ascii="Times New Roman" w:hAnsi="Times New Roman" w:cs="Times New Roman"/>
        </w:rPr>
        <w:t xml:space="preserve"> a</w:t>
      </w:r>
      <w:r w:rsidRPr="5A751C2D">
        <w:rPr>
          <w:rFonts w:ascii="Times New Roman" w:hAnsi="Times New Roman" w:cs="Times New Roman"/>
        </w:rPr>
        <w:t xml:space="preserve"> waiver of parental permission </w:t>
      </w:r>
      <w:r w:rsidRPr="5A751C2D" w:rsidR="00A36639">
        <w:rPr>
          <w:rFonts w:ascii="Times New Roman" w:hAnsi="Times New Roman" w:cs="Times New Roman"/>
        </w:rPr>
        <w:t xml:space="preserve">from Advarra IRB </w:t>
      </w:r>
      <w:r w:rsidRPr="5A751C2D">
        <w:rPr>
          <w:rFonts w:ascii="Times New Roman" w:hAnsi="Times New Roman" w:cs="Times New Roman"/>
        </w:rPr>
        <w:t xml:space="preserve">for youth ages 14 to 17. Youth who turn 18 </w:t>
      </w:r>
      <w:r w:rsidRPr="5A751C2D">
        <w:rPr>
          <w:rFonts w:ascii="Times New Roman" w:hAnsi="Times New Roman" w:cs="Times New Roman"/>
        </w:rPr>
        <w:t>during the course of</w:t>
      </w:r>
      <w:r w:rsidRPr="5A751C2D">
        <w:rPr>
          <w:rFonts w:ascii="Times New Roman" w:hAnsi="Times New Roman" w:cs="Times New Roman"/>
        </w:rPr>
        <w:t xml:space="preserve"> the study provide their own consent. Signed consent and assent are waived in this study.</w:t>
      </w:r>
    </w:p>
    <w:p w:rsidR="00D46CE0" w:rsidRPr="00DD1E6B" w:rsidP="00D46CE0" w14:paraId="2E2F4EA7" w14:textId="77777777">
      <w:pPr>
        <w:spacing w:before="100" w:beforeAutospacing="1" w:after="100" w:afterAutospacing="1"/>
        <w:ind w:left="180"/>
        <w:rPr>
          <w:rFonts w:ascii="Times New Roman" w:hAnsi="Times New Roman" w:cs="Times New Roman"/>
        </w:rPr>
      </w:pPr>
      <w:r w:rsidRPr="223F8F81">
        <w:rPr>
          <w:rFonts w:ascii="Times New Roman" w:hAnsi="Times New Roman" w:cs="Times New Roman"/>
        </w:rPr>
        <w:t>Names, email addresses, phone numbers, and mailing addresses are never transmitted to FDA/CTP. Only authorized RTI staff will have access to this information on a need-to-know basis.</w:t>
      </w:r>
      <w:r w:rsidRPr="223F8F81" w:rsidR="7541370E">
        <w:rPr>
          <w:rFonts w:ascii="Times New Roman" w:hAnsi="Times New Roman" w:cs="Times New Roman"/>
        </w:rPr>
        <w:t xml:space="preserve"> </w:t>
      </w:r>
      <w:r w:rsidRPr="223F8F81">
        <w:rPr>
          <w:rFonts w:ascii="Times New Roman" w:hAnsi="Times New Roman" w:cs="Times New Roman"/>
        </w:rPr>
        <w:t>Security for youth participants who complete the online baseline and follow-up surveys is assured in a number of ways: (1) parental permission is required for all eligible youth ages 11 to 13 prior to completing the follow-up survey; (2) participants log onto the study’s secure server hosted by RTI using a unique identifier and password; (3) participants are provided with information about the privacy of their data before they encounter the first survey item; (4) respondents are asked to provide their assent or consent to participate before they encounter the first survey item; and (5) participants have the option to decline to respond to any item in the survey for any reason. All study staff who handle or analyze data are required to adhere to RTI’s standard data security policies.</w:t>
      </w:r>
    </w:p>
    <w:p w:rsidR="00D46CE0" w:rsidRPr="00DD1E6B" w:rsidP="00D46CE0" w14:paraId="67E92F9D"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To ensure data security, all RTI project staff are required to adhere to strict standards. RTI maintains restricted access to all data preparation areas (i.e., receipt and coding). All data files on multi-user systems are under the control of a database manager, with access limited to project staff on a “need-to-know” basis. No respondent identifiers will be contained in reports to FDA, and results will only be presented in aggregate form.</w:t>
      </w:r>
    </w:p>
    <w:p w:rsidR="00D46CE0" w:rsidRPr="00DD1E6B" w:rsidP="00D46CE0" w14:paraId="77D476CB" w14:textId="77777777">
      <w:pPr>
        <w:spacing w:before="100" w:beforeAutospacing="1" w:after="100" w:afterAutospacing="1"/>
        <w:ind w:left="180"/>
        <w:rPr>
          <w:rFonts w:ascii="Times New Roman" w:hAnsi="Times New Roman" w:cs="Times New Roman"/>
        </w:rPr>
      </w:pPr>
      <w:r w:rsidRPr="00DD1E6B">
        <w:rPr>
          <w:rFonts w:ascii="Times New Roman" w:hAnsi="Times New Roman" w:cs="Times New Roman"/>
        </w:rPr>
        <w:t>Implementation of data security systems and processes occur as part of the survey data collection. Data security provisions involve the following:</w:t>
      </w:r>
    </w:p>
    <w:p w:rsidR="00D46CE0" w:rsidRPr="00DD1E6B" w:rsidP="00D46CE0" w14:paraId="2CDE4501"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All data collection activities are conducted in full compliance with FDA regulations to maintain the privacy of data obtained from respondents and to protect the rights and welfare of human research subjects as contained in their regulations. Respondents receive information about privacy protections as part of the informed consent process.</w:t>
      </w:r>
    </w:p>
    <w:p w:rsidR="00D46CE0" w:rsidRPr="00DD1E6B" w:rsidP="00D46CE0" w14:paraId="660A098F"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All data entered via the study’s web-based survey is encrypted, as the responses will be on a website with an SSL certificate applied. Data are passed through a firewall at RTI and then collected and stored on a protected network share on the RTI Network. Only authorized RTI project staff members have access to the data on the secure network share.</w:t>
      </w:r>
    </w:p>
    <w:p w:rsidR="00D46CE0" w:rsidRPr="00DD1E6B" w:rsidP="00D46CE0" w14:paraId="2A1D96C1" w14:textId="77777777">
      <w:pPr>
        <w:pStyle w:val="ListParagraph"/>
        <w:numPr>
          <w:ilvl w:val="0"/>
          <w:numId w:val="33"/>
        </w:numPr>
        <w:spacing w:before="100" w:beforeAutospacing="1" w:after="100" w:afterAutospacing="1" w:line="259" w:lineRule="auto"/>
        <w:rPr>
          <w:rFonts w:ascii="Times New Roman" w:hAnsi="Times New Roman" w:cs="Times New Roman"/>
        </w:rPr>
      </w:pPr>
      <w:r w:rsidRPr="00DD1E6B">
        <w:rPr>
          <w:rFonts w:ascii="Times New Roman" w:hAnsi="Times New Roman" w:cs="Times New Roman"/>
        </w:rPr>
        <w:t>Participants access the online baseline and follow-up surveys with a unique Case ID and password and complete the survey on a secure server online.</w:t>
      </w:r>
    </w:p>
    <w:p w:rsidR="00D46CE0" w:rsidRPr="00DD1E6B" w:rsidP="00D46CE0" w14:paraId="4C2D41DB" w14:textId="2CE2B6B4">
      <w:pPr>
        <w:spacing w:before="100" w:beforeAutospacing="1" w:after="100" w:afterAutospacing="1"/>
        <w:ind w:left="180"/>
        <w:rPr>
          <w:rFonts w:ascii="Times New Roman" w:hAnsi="Times New Roman" w:cs="Times New Roman"/>
        </w:rPr>
      </w:pPr>
      <w:r w:rsidRPr="00DD1E6B">
        <w:rPr>
          <w:rFonts w:ascii="Times New Roman" w:hAnsi="Times New Roman" w:cs="Times New Roman"/>
        </w:rPr>
        <w:t>All respondents are assured that the information they provide is maintained in a secure manner and will be used only for the purpose of this research. Respondents are assured that their answers will not be shared with family members and that their names will not be reported with responses provided. Respondents are told that the information obtained from all surveys will be combined into a summary report so that details of individual surveys cannot be linked to a specific participant.</w:t>
      </w:r>
      <w:r w:rsidR="00996B7E">
        <w:rPr>
          <w:rFonts w:ascii="Times New Roman" w:hAnsi="Times New Roman" w:cs="Times New Roman"/>
        </w:rPr>
        <w:t xml:space="preserve"> The data will be kept private to the extent allowed by law.</w:t>
      </w:r>
    </w:p>
    <w:p w:rsidR="00D46CE0" w:rsidP="00D46CE0" w14:paraId="7F443CEE" w14:textId="77777777">
      <w:pPr>
        <w:spacing w:before="100" w:beforeAutospacing="1" w:after="100" w:afterAutospacing="1"/>
        <w:ind w:left="180"/>
        <w:rPr>
          <w:rFonts w:ascii="Times New Roman" w:hAnsi="Times New Roman" w:cs="Times New Roman"/>
        </w:rPr>
      </w:pPr>
      <w:r w:rsidRPr="7DC1110E">
        <w:rPr>
          <w:rFonts w:ascii="Times New Roman" w:hAnsi="Times New Roman" w:cs="Times New Roman"/>
        </w:rPr>
        <w:t>Respondents participate on a voluntary basis. The voluntary nature of the information collection is described in the key information section of the parent permission form (Attachment 4), assent/consent forms (Attachments 5</w:t>
      </w:r>
      <w:r w:rsidR="00F75724">
        <w:rPr>
          <w:rFonts w:ascii="Times New Roman" w:hAnsi="Times New Roman" w:cs="Times New Roman"/>
        </w:rPr>
        <w:t>a</w:t>
      </w:r>
      <w:r w:rsidRPr="7DC1110E">
        <w:rPr>
          <w:rFonts w:ascii="Times New Roman" w:hAnsi="Times New Roman" w:cs="Times New Roman"/>
        </w:rPr>
        <w:t xml:space="preserve">, </w:t>
      </w:r>
      <w:r w:rsidR="00F75724">
        <w:rPr>
          <w:rFonts w:ascii="Times New Roman" w:hAnsi="Times New Roman" w:cs="Times New Roman"/>
        </w:rPr>
        <w:t>5b</w:t>
      </w:r>
      <w:r w:rsidRPr="7DC1110E">
        <w:rPr>
          <w:rFonts w:ascii="Times New Roman" w:hAnsi="Times New Roman" w:cs="Times New Roman"/>
        </w:rPr>
        <w:t>, 6, 7, 8) and the lead letter (Attachment 11a and 11b).</w:t>
      </w:r>
    </w:p>
    <w:p w:rsidR="009C2AE0" w:rsidRPr="00071729" w:rsidP="03F70922" w14:paraId="77E27683" w14:textId="77777777">
      <w:pPr>
        <w:ind w:left="180"/>
        <w:rPr>
          <w:rFonts w:ascii="Times New Roman" w:eastAsia="Calibri" w:hAnsi="Times New Roman" w:cs="Times New Roman"/>
          <w:u w:val="single"/>
        </w:rPr>
      </w:pPr>
      <w:r w:rsidRPr="00E2315F">
        <w:rPr>
          <w:rFonts w:ascii="Times New Roman" w:eastAsia="Calibri" w:hAnsi="Times New Roman" w:cs="Times New Roman"/>
          <w:u w:val="single"/>
        </w:rPr>
        <w:t>Data Suppression Techniques</w:t>
      </w:r>
    </w:p>
    <w:p w:rsidR="00071729" w:rsidRPr="00071729" w:rsidP="009C2AE0" w14:paraId="45E969C3" w14:textId="77777777">
      <w:pPr>
        <w:ind w:left="180"/>
        <w:rPr>
          <w:rFonts w:ascii="Times New Roman" w:eastAsia="Calibri" w:hAnsi="Times New Roman" w:cs="Times New Roman"/>
          <w:b/>
          <w:bCs/>
          <w:szCs w:val="24"/>
        </w:rPr>
      </w:pPr>
    </w:p>
    <w:p w:rsidR="007904A0" w:rsidRPr="00071729" w:rsidP="38A2D8B8" w14:paraId="268B4684" w14:textId="77777777">
      <w:pPr>
        <w:ind w:left="180"/>
        <w:rPr>
          <w:rFonts w:ascii="Times New Roman" w:eastAsia="Calibri" w:hAnsi="Times New Roman" w:cs="Times New Roman"/>
        </w:rPr>
      </w:pPr>
      <w:r w:rsidRPr="7F2F2848">
        <w:rPr>
          <w:rFonts w:ascii="Times New Roman" w:eastAsia="Calibri" w:hAnsi="Times New Roman" w:cs="Times New Roman"/>
        </w:rPr>
        <w:t xml:space="preserve">An additional approach to secure sensitive data will be to employ data suppression techniques to protect any PII data </w:t>
      </w:r>
      <w:r w:rsidR="00E0634A">
        <w:rPr>
          <w:rFonts w:ascii="Times New Roman" w:eastAsia="Calibri" w:hAnsi="Times New Roman" w:cs="Times New Roman"/>
        </w:rPr>
        <w:t xml:space="preserve">from </w:t>
      </w:r>
      <w:r w:rsidRPr="7F2F2848">
        <w:rPr>
          <w:rFonts w:ascii="Times New Roman" w:eastAsia="Calibri" w:hAnsi="Times New Roman" w:cs="Times New Roman"/>
        </w:rPr>
        <w:t xml:space="preserve">survey respondents in the evaluation. Data suppression is a readily applied technique where estimates are not reported if they </w:t>
      </w:r>
      <w:r w:rsidRPr="7F2F2848" w:rsidR="00A620F9">
        <w:rPr>
          <w:rFonts w:ascii="Times New Roman" w:eastAsia="Calibri" w:hAnsi="Times New Roman" w:cs="Times New Roman"/>
        </w:rPr>
        <w:t xml:space="preserve">could result in </w:t>
      </w:r>
      <w:r w:rsidRPr="7F2F2848" w:rsidR="00987B3E">
        <w:rPr>
          <w:rFonts w:ascii="Times New Roman" w:eastAsia="Calibri" w:hAnsi="Times New Roman" w:cs="Times New Roman"/>
        </w:rPr>
        <w:t xml:space="preserve">disclosure of a participant’s identity or </w:t>
      </w:r>
      <w:r w:rsidRPr="7F2F2848">
        <w:rPr>
          <w:rFonts w:ascii="Times New Roman" w:eastAsia="Calibri" w:hAnsi="Times New Roman" w:cs="Times New Roman"/>
        </w:rPr>
        <w:t xml:space="preserve">are deemed to be unstable (i.e., low precision). </w:t>
      </w:r>
    </w:p>
    <w:p w:rsidR="00566D9F" w:rsidP="00071729" w14:paraId="481D0647" w14:textId="77777777">
      <w:pPr>
        <w:ind w:left="180"/>
        <w:rPr>
          <w:rFonts w:ascii="Times New Roman" w:eastAsia="Calibri" w:hAnsi="Times New Roman" w:cs="Times New Roman"/>
          <w:szCs w:val="24"/>
        </w:rPr>
      </w:pPr>
    </w:p>
    <w:p w:rsidR="007904A0" w:rsidRPr="00071729" w:rsidP="00071729" w14:paraId="1C86A0D8" w14:textId="77777777">
      <w:pPr>
        <w:ind w:left="180"/>
        <w:rPr>
          <w:rFonts w:ascii="Times New Roman" w:eastAsia="Calibri" w:hAnsi="Times New Roman" w:cs="Times New Roman"/>
          <w:szCs w:val="24"/>
        </w:rPr>
      </w:pPr>
      <w:r w:rsidRPr="00071729">
        <w:rPr>
          <w:rFonts w:ascii="Times New Roman" w:eastAsia="Calibri" w:hAnsi="Times New Roman" w:cs="Times New Roman"/>
          <w:szCs w:val="24"/>
        </w:rPr>
        <w:t xml:space="preserve">Based on well-established guidelines followed by the Center for Tobacco Products (CTP) Office of Science (OS) guidelines, as well as the National Center for Health Statistics (NCHS), data suppression will be used if any of the following conditions are met: (1) The coefficient of variation of the proportion or estimate is &gt; 30% and/or (2) </w:t>
      </w:r>
      <w:r w:rsidRPr="00071729">
        <w:rPr>
          <w:rFonts w:ascii="Times New Roman" w:eastAsia="Calibri" w:hAnsi="Times New Roman" w:cs="Times New Roman"/>
          <w:i/>
          <w:iCs/>
          <w:szCs w:val="24"/>
        </w:rPr>
        <w:t xml:space="preserve">n </w:t>
      </w:r>
      <w:r w:rsidRPr="00071729">
        <w:rPr>
          <w:rFonts w:ascii="Times New Roman" w:eastAsia="Calibri" w:hAnsi="Times New Roman" w:cs="Times New Roman"/>
          <w:szCs w:val="24"/>
        </w:rPr>
        <w:t xml:space="preserve">&lt; 50, where </w:t>
      </w:r>
      <w:r w:rsidRPr="00071729">
        <w:rPr>
          <w:rFonts w:ascii="Times New Roman" w:eastAsia="Calibri" w:hAnsi="Times New Roman" w:cs="Times New Roman"/>
          <w:i/>
          <w:iCs/>
          <w:szCs w:val="24"/>
        </w:rPr>
        <w:t xml:space="preserve">n </w:t>
      </w:r>
      <w:r w:rsidRPr="00071729">
        <w:rPr>
          <w:rFonts w:ascii="Times New Roman" w:eastAsia="Calibri" w:hAnsi="Times New Roman" w:cs="Times New Roman"/>
          <w:szCs w:val="24"/>
        </w:rPr>
        <w:t xml:space="preserve">is the unweighted </w:t>
      </w:r>
      <w:r w:rsidRPr="00071729">
        <w:rPr>
          <w:rFonts w:ascii="Times New Roman" w:eastAsia="Calibri" w:hAnsi="Times New Roman" w:cs="Times New Roman"/>
          <w:szCs w:val="24"/>
        </w:rPr>
        <w:t xml:space="preserve">sample size in the denominator of the estimated proportion or the denominator used for calculating the estimate.  </w:t>
      </w:r>
    </w:p>
    <w:p w:rsidR="00566D9F" w:rsidP="00071729" w14:paraId="73D54A25" w14:textId="77777777">
      <w:pPr>
        <w:ind w:firstLine="180"/>
        <w:rPr>
          <w:rFonts w:ascii="Times New Roman" w:eastAsia="Calibri" w:hAnsi="Times New Roman" w:cs="Times New Roman"/>
          <w:szCs w:val="24"/>
        </w:rPr>
      </w:pPr>
    </w:p>
    <w:p w:rsidR="007904A0" w:rsidRPr="00071729" w:rsidP="00071729" w14:paraId="588A58D0" w14:textId="77777777">
      <w:pPr>
        <w:ind w:firstLine="180"/>
        <w:rPr>
          <w:rFonts w:ascii="Times New Roman" w:eastAsia="Calibri" w:hAnsi="Times New Roman" w:cs="Times New Roman"/>
          <w:szCs w:val="24"/>
        </w:rPr>
      </w:pPr>
      <w:r w:rsidRPr="00071729">
        <w:rPr>
          <w:rFonts w:ascii="Times New Roman" w:eastAsia="Calibri" w:hAnsi="Times New Roman" w:cs="Times New Roman"/>
          <w:szCs w:val="24"/>
        </w:rPr>
        <w:t xml:space="preserve">To further reduce disclosure, we will follow further established guidance from CTP/OS: </w:t>
      </w:r>
    </w:p>
    <w:p w:rsidR="007904A0" w:rsidRPr="00071729" w:rsidP="007904A0" w14:paraId="4E7E08A4"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 xml:space="preserve">Each estimate (or table cell) must be generated based on a numerator of 3. This includes means, total, numerators of proportions, all table cell counts, and marginal counts. If an estimate is based on a numerator of 1 or 2, it will be combined with another category. </w:t>
      </w:r>
    </w:p>
    <w:p w:rsidR="007904A0" w:rsidRPr="00071729" w:rsidP="007904A0" w14:paraId="541E56B1"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 xml:space="preserve">We will work to ensure table differencing (i.e., calculating the sample size of a small cell from cells of another related table) does not occur by using consistent categories across tables. </w:t>
      </w:r>
    </w:p>
    <w:p w:rsidR="7DC1110E" w:rsidRPr="00E2315F" w:rsidP="00A019D0" w14:paraId="2AF09959" w14:textId="77777777">
      <w:pPr>
        <w:pStyle w:val="ListParagraph"/>
        <w:numPr>
          <w:ilvl w:val="0"/>
          <w:numId w:val="35"/>
        </w:numPr>
        <w:spacing w:after="160" w:line="259" w:lineRule="auto"/>
        <w:rPr>
          <w:rFonts w:ascii="Times New Roman" w:eastAsia="Calibri" w:hAnsi="Times New Roman" w:cs="Times New Roman"/>
          <w:szCs w:val="24"/>
        </w:rPr>
      </w:pPr>
      <w:r w:rsidRPr="00071729">
        <w:rPr>
          <w:rFonts w:ascii="Times New Roman" w:eastAsia="Calibri" w:hAnsi="Times New Roman" w:cs="Times New Roman"/>
          <w:szCs w:val="24"/>
        </w:rPr>
        <w:t>Continuous/ordered variables will be presented so that extreme values pertaining to an individual are not evident.</w:t>
      </w:r>
    </w:p>
    <w:p w:rsidR="00BE1FCB" w:rsidRPr="008265FC" w:rsidP="00755197" w14:paraId="6B37A50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u w:val="single"/>
        </w:rPr>
      </w:pPr>
      <w:bookmarkStart w:id="20" w:name="_Toc239649232"/>
      <w:r w:rsidRPr="7DC1110E">
        <w:rPr>
          <w:rFonts w:ascii="Times New Roman" w:eastAsia="Times New Roman" w:hAnsi="Times New Roman" w:cs="Times New Roman"/>
          <w:b/>
          <w:bCs/>
        </w:rPr>
        <w:t xml:space="preserve">11. </w:t>
      </w:r>
      <w:r w:rsidRPr="7DC1110E">
        <w:rPr>
          <w:rFonts w:ascii="Times New Roman" w:eastAsia="Times New Roman" w:hAnsi="Times New Roman" w:cs="Times New Roman"/>
          <w:b/>
          <w:bCs/>
          <w:u w:val="single"/>
        </w:rPr>
        <w:t>Justification for Sensitive Questions</w:t>
      </w:r>
      <w:bookmarkEnd w:id="20"/>
    </w:p>
    <w:p w:rsidR="00BE1FCB" w:rsidRPr="008265FC" w:rsidP="00BE1FCB" w14:paraId="50C2D22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P="223F8F81" w14:paraId="5D04656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23F8F81">
        <w:rPr>
          <w:rFonts w:ascii="Times New Roman" w:eastAsia="Times New Roman" w:hAnsi="Times New Roman" w:cs="Times New Roman"/>
        </w:rPr>
        <w:t>The majority of</w:t>
      </w:r>
      <w:r w:rsidRPr="223F8F81">
        <w:rPr>
          <w:rFonts w:ascii="Times New Roman" w:eastAsia="Times New Roman" w:hAnsi="Times New Roman" w:cs="Times New Roman"/>
        </w:rPr>
        <w:t xml:space="preserve"> questions asked will not be of a sensitive nature. However, it will be necessary to ask some questions that may be considered sensitive to assess specific health behaviors such as tobacco product use</w:t>
      </w:r>
      <w:r w:rsidR="00E0634A">
        <w:rPr>
          <w:rFonts w:ascii="Times New Roman" w:eastAsia="Times New Roman" w:hAnsi="Times New Roman" w:cs="Times New Roman"/>
        </w:rPr>
        <w:t>.</w:t>
      </w:r>
      <w:r w:rsidRPr="223F8F81">
        <w:rPr>
          <w:rFonts w:ascii="Times New Roman" w:eastAsia="Times New Roman" w:hAnsi="Times New Roman" w:cs="Times New Roman"/>
        </w:rPr>
        <w:t xml:space="preserve"> These questions are essential to the objectives of this data collection. Although we do not anticipate any risks from these questions, some participants may perceive them to be sensitive. </w:t>
      </w:r>
      <w:r w:rsidRPr="223F8F81" w:rsidR="00E33BCF">
        <w:rPr>
          <w:rFonts w:ascii="Times New Roman" w:eastAsia="Times New Roman" w:hAnsi="Times New Roman" w:cs="Times New Roman"/>
        </w:rPr>
        <w:t>Additionally,</w:t>
      </w:r>
      <w:r w:rsidRPr="223F8F81">
        <w:rPr>
          <w:rFonts w:ascii="Times New Roman" w:eastAsia="Times New Roman" w:hAnsi="Times New Roman" w:cs="Times New Roman"/>
        </w:rPr>
        <w:t xml:space="preserve"> some demographic information, such as race and ethnicity</w:t>
      </w:r>
      <w:r w:rsidRPr="223F8F81" w:rsidR="004052E4">
        <w:rPr>
          <w:rFonts w:ascii="Times New Roman" w:eastAsia="Times New Roman" w:hAnsi="Times New Roman" w:cs="Times New Roman"/>
        </w:rPr>
        <w:t>,</w:t>
      </w:r>
      <w:r w:rsidRPr="223F8F81">
        <w:rPr>
          <w:rFonts w:ascii="Times New Roman" w:eastAsia="Times New Roman" w:hAnsi="Times New Roman" w:cs="Times New Roman"/>
        </w:rPr>
        <w:t xml:space="preserve"> could also be considered sensitive</w:t>
      </w:r>
      <w:r w:rsidRPr="223F8F81" w:rsidR="004052E4">
        <w:rPr>
          <w:rFonts w:ascii="Times New Roman" w:eastAsia="Times New Roman" w:hAnsi="Times New Roman" w:cs="Times New Roman"/>
        </w:rPr>
        <w:t>.</w:t>
      </w:r>
      <w:r w:rsidRPr="223F8F81">
        <w:rPr>
          <w:rFonts w:ascii="Times New Roman" w:eastAsia="Times New Roman" w:hAnsi="Times New Roman" w:cs="Times New Roman"/>
        </w:rPr>
        <w:t xml:space="preserve"> </w:t>
      </w:r>
      <w:r w:rsidRPr="223F8F81" w:rsidR="00755647">
        <w:rPr>
          <w:rFonts w:ascii="Times New Roman" w:eastAsia="Times New Roman" w:hAnsi="Times New Roman" w:cs="Times New Roman"/>
        </w:rPr>
        <w:t>Collection of detailed demographic information, including race/ethnicity, sexual orientation, and gender identity</w:t>
      </w:r>
      <w:r w:rsidRPr="223F8F81" w:rsidR="00DC1BA7">
        <w:rPr>
          <w:rFonts w:ascii="Times New Roman" w:eastAsia="Times New Roman" w:hAnsi="Times New Roman" w:cs="Times New Roman"/>
        </w:rPr>
        <w:t>,</w:t>
      </w:r>
      <w:r w:rsidRPr="223F8F81" w:rsidR="00755647">
        <w:rPr>
          <w:rFonts w:ascii="Times New Roman" w:eastAsia="Times New Roman" w:hAnsi="Times New Roman" w:cs="Times New Roman"/>
        </w:rPr>
        <w:t xml:space="preserve"> are necessary </w:t>
      </w:r>
      <w:r w:rsidRPr="223F8F81" w:rsidR="00755647">
        <w:rPr>
          <w:rFonts w:ascii="Times New Roman" w:eastAsia="Times New Roman" w:hAnsi="Times New Roman" w:cs="Times New Roman"/>
        </w:rPr>
        <w:t>in order to</w:t>
      </w:r>
      <w:r w:rsidRPr="223F8F81" w:rsidR="00755647">
        <w:rPr>
          <w:rFonts w:ascii="Times New Roman" w:eastAsia="Times New Roman" w:hAnsi="Times New Roman" w:cs="Times New Roman"/>
        </w:rPr>
        <w:t xml:space="preserve"> assess disparities in tobacco use and possible differences in campaign impact across different populations. </w:t>
      </w:r>
    </w:p>
    <w:p w:rsidR="00BE1FCB" w:rsidP="3512713B" w14:paraId="0CB2EE59"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rPr>
      </w:pPr>
    </w:p>
    <w:p w:rsidR="00BE1FCB" w:rsidP="3512713B" w14:paraId="476E7C36" w14:textId="77777777">
      <w:pPr>
        <w:autoSpaceDE w:val="0"/>
        <w:autoSpaceDN w:val="0"/>
        <w:adjustRightInd w:val="0"/>
        <w:rPr>
          <w:rFonts w:ascii="Times New Roman" w:eastAsia="Times New Roman" w:hAnsi="Times New Roman" w:cs="Times New Roman"/>
        </w:rPr>
      </w:pPr>
      <w:r w:rsidRPr="1BF77947">
        <w:rPr>
          <w:rFonts w:ascii="Times New Roman" w:eastAsia="Times New Roman" w:hAnsi="Times New Roman" w:cs="Times New Roman"/>
        </w:rPr>
        <w:t xml:space="preserve">Decades of research has shown significant disparities in tobacco use by race/ethnicity (e.g., </w:t>
      </w:r>
      <w:r w:rsidRPr="1BF77947">
        <w:rPr>
          <w:rFonts w:ascii="Times New Roman" w:eastAsia="Times New Roman" w:hAnsi="Times New Roman" w:cs="Times New Roman"/>
          <w:color w:val="222222"/>
        </w:rPr>
        <w:t>Harlow et al., 2019; Odani et al, 2018</w:t>
      </w:r>
      <w:r w:rsidRPr="1BF77947">
        <w:rPr>
          <w:rFonts w:ascii="Times New Roman" w:eastAsia="Times New Roman" w:hAnsi="Times New Roman" w:cs="Times New Roman"/>
        </w:rPr>
        <w:t xml:space="preserve">), gender identity (e.g., Johnson et al, 2019; </w:t>
      </w:r>
      <w:r w:rsidRPr="1BF77947">
        <w:rPr>
          <w:rFonts w:ascii="Times New Roman" w:eastAsia="Times New Roman" w:hAnsi="Times New Roman" w:cs="Times New Roman"/>
          <w:color w:val="222222"/>
        </w:rPr>
        <w:t>Delahanty et al, 2019</w:t>
      </w:r>
      <w:r w:rsidRPr="1BF77947">
        <w:rPr>
          <w:rFonts w:ascii="Times New Roman" w:eastAsia="Times New Roman" w:hAnsi="Times New Roman" w:cs="Times New Roman"/>
        </w:rPr>
        <w:t xml:space="preserve">), and sexual orientation (e.g., Johnson et al, 2019; </w:t>
      </w:r>
      <w:r w:rsidRPr="1BF77947">
        <w:rPr>
          <w:rFonts w:ascii="Times New Roman" w:eastAsia="Times New Roman" w:hAnsi="Times New Roman" w:cs="Times New Roman"/>
          <w:color w:val="222222"/>
        </w:rPr>
        <w:t>McCabe et al., 2018</w:t>
      </w:r>
      <w:r w:rsidRPr="1BF77947">
        <w:rPr>
          <w:rFonts w:ascii="Times New Roman" w:eastAsia="Times New Roman" w:hAnsi="Times New Roman" w:cs="Times New Roman"/>
        </w:rPr>
        <w:t>). Therefore, collecting detailed information on these demographic characteristics will allow us to measure these differences with the goal of reducing these disparities.</w:t>
      </w:r>
      <w:r w:rsidR="00E0634A">
        <w:rPr>
          <w:rFonts w:ascii="Times New Roman" w:eastAsia="Times New Roman" w:hAnsi="Times New Roman" w:cs="Times New Roman"/>
        </w:rPr>
        <w:t xml:space="preserve"> M</w:t>
      </w:r>
      <w:r w:rsidRPr="1BF77947">
        <w:rPr>
          <w:rFonts w:ascii="Times New Roman" w:eastAsia="Times New Roman" w:hAnsi="Times New Roman" w:cs="Times New Roman"/>
        </w:rPr>
        <w:t xml:space="preserve">ultiple studies of youth and young adults have reported approximately 12-15% of the sample identified as gender non-conforming/non-binary (e.g., The Human Rights Campaign 2018 LGBTQ+ Youth Report; The Trevor Project 2020 National Survey on LGBT Youth Mental Health; CTP’s evaluation of </w:t>
      </w:r>
      <w:r w:rsidRPr="1BF77947">
        <w:rPr>
          <w:rFonts w:ascii="Times New Roman" w:eastAsia="Times New Roman" w:hAnsi="Times New Roman" w:cs="Times New Roman"/>
          <w:i/>
          <w:iCs/>
        </w:rPr>
        <w:t xml:space="preserve">This Free Life </w:t>
      </w:r>
      <w:r w:rsidRPr="1BF77947">
        <w:rPr>
          <w:rFonts w:ascii="Times New Roman" w:eastAsia="Times New Roman" w:hAnsi="Times New Roman" w:cs="Times New Roman"/>
        </w:rPr>
        <w:t>campaign), includ</w:t>
      </w:r>
      <w:r w:rsidR="00E0634A">
        <w:rPr>
          <w:rFonts w:ascii="Times New Roman" w:eastAsia="Times New Roman" w:hAnsi="Times New Roman" w:cs="Times New Roman"/>
        </w:rPr>
        <w:t>ed</w:t>
      </w:r>
      <w:r w:rsidRPr="1BF77947">
        <w:rPr>
          <w:rFonts w:ascii="Times New Roman" w:eastAsia="Times New Roman" w:hAnsi="Times New Roman" w:cs="Times New Roman"/>
        </w:rPr>
        <w:t xml:space="preserve"> gender non-conforming/non-binary response options is necessary to identify and assess tobacco use and campaign effectiveness among this population. Gender identity questions with gender</w:t>
      </w:r>
      <w:r w:rsidRPr="1BF77947" w:rsidR="00140DC5">
        <w:rPr>
          <w:rFonts w:ascii="Times New Roman" w:eastAsia="Times New Roman" w:hAnsi="Times New Roman" w:cs="Times New Roman"/>
        </w:rPr>
        <w:t xml:space="preserve"> </w:t>
      </w:r>
      <w:r w:rsidRPr="1BF77947">
        <w:rPr>
          <w:rFonts w:ascii="Times New Roman" w:eastAsia="Times New Roman" w:hAnsi="Times New Roman" w:cs="Times New Roman"/>
        </w:rPr>
        <w:t xml:space="preserve">queer/gender non-conforming/non-binary response options have been approved by OMB for </w:t>
      </w:r>
      <w:r w:rsidRPr="1BF77947">
        <w:rPr>
          <w:rFonts w:ascii="Times New Roman" w:eastAsia="Times New Roman" w:hAnsi="Times New Roman" w:cs="Times New Roman"/>
        </w:rPr>
        <w:t>ExPECTT</w:t>
      </w:r>
      <w:r w:rsidRPr="1BF77947">
        <w:rPr>
          <w:rFonts w:ascii="Times New Roman" w:eastAsia="Times New Roman" w:hAnsi="Times New Roman" w:cs="Times New Roman"/>
        </w:rPr>
        <w:t xml:space="preserve"> (0910-0753</w:t>
      </w:r>
      <w:r w:rsidRPr="1BF77947" w:rsidR="03C83C3C">
        <w:rPr>
          <w:rFonts w:ascii="Times New Roman" w:eastAsia="Times New Roman" w:hAnsi="Times New Roman" w:cs="Times New Roman"/>
        </w:rPr>
        <w:t>), RESPECT</w:t>
      </w:r>
      <w:r w:rsidRPr="1BF77947">
        <w:rPr>
          <w:rFonts w:ascii="Times New Roman" w:eastAsia="Times New Roman" w:hAnsi="Times New Roman" w:cs="Times New Roman"/>
        </w:rPr>
        <w:t xml:space="preserve"> (0910-0808)</w:t>
      </w:r>
      <w:r w:rsidRPr="1BF77947" w:rsidR="009D33D4">
        <w:rPr>
          <w:rFonts w:ascii="Times New Roman" w:eastAsia="Times New Roman" w:hAnsi="Times New Roman" w:cs="Times New Roman"/>
        </w:rPr>
        <w:t xml:space="preserve">, and </w:t>
      </w:r>
      <w:r w:rsidRPr="1BF77947" w:rsidR="007A7F3E">
        <w:rPr>
          <w:rFonts w:ascii="Times New Roman" w:eastAsia="Times New Roman" w:hAnsi="Times New Roman" w:cs="Times New Roman"/>
        </w:rPr>
        <w:t>Formative Research Support:</w:t>
      </w:r>
      <w:r w:rsidRPr="1BF77947" w:rsidR="00B75074">
        <w:rPr>
          <w:rFonts w:ascii="Times New Roman" w:eastAsia="Times New Roman" w:hAnsi="Times New Roman" w:cs="Times New Roman"/>
        </w:rPr>
        <w:t xml:space="preserve"> </w:t>
      </w:r>
      <w:r w:rsidRPr="1BF77947" w:rsidR="007A7F3E">
        <w:rPr>
          <w:rFonts w:ascii="Times New Roman" w:eastAsia="Times New Roman" w:hAnsi="Times New Roman" w:cs="Times New Roman"/>
        </w:rPr>
        <w:t>Outcomes and Awareness Measurement Research</w:t>
      </w:r>
      <w:r w:rsidRPr="1BF77947" w:rsidR="00B75074">
        <w:rPr>
          <w:rFonts w:ascii="Times New Roman" w:eastAsia="Times New Roman" w:hAnsi="Times New Roman" w:cs="Times New Roman"/>
        </w:rPr>
        <w:t xml:space="preserve"> (0910-0810)</w:t>
      </w:r>
      <w:r w:rsidRPr="1BF77947">
        <w:rPr>
          <w:rFonts w:ascii="Times New Roman" w:eastAsia="Times New Roman" w:hAnsi="Times New Roman" w:cs="Times New Roman"/>
        </w:rPr>
        <w:t>.</w:t>
      </w:r>
    </w:p>
    <w:p w:rsidR="00E85E49" w:rsidP="3512713B" w14:paraId="74A00013" w14:textId="77777777">
      <w:pPr>
        <w:autoSpaceDE w:val="0"/>
        <w:autoSpaceDN w:val="0"/>
        <w:adjustRightInd w:val="0"/>
        <w:rPr>
          <w:rFonts w:ascii="Times New Roman" w:eastAsia="Times New Roman" w:hAnsi="Times New Roman" w:cs="Times New Roman"/>
        </w:rPr>
      </w:pPr>
    </w:p>
    <w:p w:rsidR="00E85E49" w:rsidP="000A2BB9" w14:paraId="392FDEA6" w14:textId="77777777">
      <w:pPr>
        <w:autoSpaceDE w:val="0"/>
        <w:autoSpaceDN w:val="0"/>
        <w:adjustRightInd w:val="0"/>
        <w:rPr>
          <w:rFonts w:ascii="Times New Roman" w:hAnsi="Times New Roman" w:cs="Times New Roman"/>
        </w:rPr>
      </w:pPr>
      <w:r w:rsidRPr="004A3E11">
        <w:rPr>
          <w:rFonts w:ascii="Times New Roman" w:hAnsi="Times New Roman" w:cs="Times New Roman"/>
        </w:rPr>
        <w:t xml:space="preserve">Furthermore, data </w:t>
      </w:r>
      <w:r w:rsidR="00E0634A">
        <w:rPr>
          <w:rFonts w:ascii="Times New Roman" w:hAnsi="Times New Roman" w:cs="Times New Roman"/>
        </w:rPr>
        <w:t xml:space="preserve">from </w:t>
      </w:r>
      <w:r w:rsidRPr="004A3E11">
        <w:rPr>
          <w:rFonts w:ascii="Times New Roman" w:hAnsi="Times New Roman" w:cs="Times New Roman"/>
        </w:rPr>
        <w:t xml:space="preserve">the 2021 National Youth Tobacco Survey demonstrates that teens who are sexual or gender minorities have higher </w:t>
      </w:r>
      <w:r w:rsidR="00A25630">
        <w:rPr>
          <w:rFonts w:ascii="Times New Roman" w:hAnsi="Times New Roman" w:cs="Times New Roman"/>
        </w:rPr>
        <w:t>rates of cigarette and e-cigarette use</w:t>
      </w:r>
      <w:r w:rsidRPr="004A3E11">
        <w:rPr>
          <w:rFonts w:ascii="Times New Roman" w:hAnsi="Times New Roman" w:cs="Times New Roman"/>
        </w:rPr>
        <w:t xml:space="preserve"> compared to heterosexual teens. </w:t>
      </w:r>
      <w:r w:rsidR="006C25E2">
        <w:rPr>
          <w:rFonts w:ascii="Times New Roman" w:hAnsi="Times New Roman" w:cs="Times New Roman"/>
        </w:rPr>
        <w:t xml:space="preserve">For example, </w:t>
      </w:r>
      <w:r w:rsidR="00487546">
        <w:rPr>
          <w:rFonts w:ascii="Times New Roman" w:hAnsi="Times New Roman" w:cs="Times New Roman"/>
        </w:rPr>
        <w:t>6.0</w:t>
      </w:r>
      <w:r w:rsidRPr="004A3E11">
        <w:rPr>
          <w:rFonts w:ascii="Times New Roman" w:hAnsi="Times New Roman" w:cs="Times New Roman"/>
        </w:rPr>
        <w:t xml:space="preserve">% of heterosexual teens reported ever </w:t>
      </w:r>
      <w:r w:rsidR="00487546">
        <w:rPr>
          <w:rFonts w:ascii="Times New Roman" w:hAnsi="Times New Roman" w:cs="Times New Roman"/>
        </w:rPr>
        <w:t>experimenting with</w:t>
      </w:r>
      <w:r w:rsidR="0054314B">
        <w:rPr>
          <w:rFonts w:ascii="Times New Roman" w:hAnsi="Times New Roman" w:cs="Times New Roman"/>
        </w:rPr>
        <w:t xml:space="preserve"> </w:t>
      </w:r>
      <w:r w:rsidRPr="004A3E11">
        <w:rPr>
          <w:rFonts w:ascii="Times New Roman" w:hAnsi="Times New Roman" w:cs="Times New Roman"/>
        </w:rPr>
        <w:t>cigar</w:t>
      </w:r>
      <w:r w:rsidR="00436BBB">
        <w:rPr>
          <w:rFonts w:ascii="Times New Roman" w:hAnsi="Times New Roman" w:cs="Times New Roman"/>
        </w:rPr>
        <w:t>ettes</w:t>
      </w:r>
      <w:r w:rsidRPr="004A3E11">
        <w:rPr>
          <w:rFonts w:ascii="Times New Roman" w:hAnsi="Times New Roman" w:cs="Times New Roman"/>
        </w:rPr>
        <w:t>,</w:t>
      </w:r>
      <w:r w:rsidR="00436BBB">
        <w:rPr>
          <w:rFonts w:ascii="Times New Roman" w:hAnsi="Times New Roman" w:cs="Times New Roman"/>
        </w:rPr>
        <w:t xml:space="preserve"> compared to</w:t>
      </w:r>
      <w:r w:rsidRPr="004A3E11">
        <w:rPr>
          <w:rFonts w:ascii="Times New Roman" w:hAnsi="Times New Roman" w:cs="Times New Roman"/>
        </w:rPr>
        <w:t xml:space="preserve"> </w:t>
      </w:r>
      <w:r w:rsidR="00436BBB">
        <w:rPr>
          <w:rFonts w:ascii="Times New Roman" w:hAnsi="Times New Roman" w:cs="Times New Roman"/>
        </w:rPr>
        <w:t>10</w:t>
      </w:r>
      <w:r w:rsidRPr="004A3E11">
        <w:rPr>
          <w:rFonts w:ascii="Times New Roman" w:hAnsi="Times New Roman" w:cs="Times New Roman"/>
        </w:rPr>
        <w:t>.9% of gay</w:t>
      </w:r>
      <w:r w:rsidR="00436BBB">
        <w:rPr>
          <w:rFonts w:ascii="Times New Roman" w:hAnsi="Times New Roman" w:cs="Times New Roman"/>
        </w:rPr>
        <w:t xml:space="preserve"> or </w:t>
      </w:r>
      <w:r w:rsidRPr="004A3E11">
        <w:rPr>
          <w:rFonts w:ascii="Times New Roman" w:hAnsi="Times New Roman" w:cs="Times New Roman"/>
        </w:rPr>
        <w:t xml:space="preserve">lesbian teens, </w:t>
      </w:r>
      <w:r w:rsidR="00F31B8D">
        <w:rPr>
          <w:rFonts w:ascii="Times New Roman" w:hAnsi="Times New Roman" w:cs="Times New Roman"/>
        </w:rPr>
        <w:t>1</w:t>
      </w:r>
      <w:r w:rsidRPr="004A3E11">
        <w:rPr>
          <w:rFonts w:ascii="Times New Roman" w:hAnsi="Times New Roman" w:cs="Times New Roman"/>
        </w:rPr>
        <w:t>5.</w:t>
      </w:r>
      <w:r w:rsidR="00F31B8D">
        <w:rPr>
          <w:rFonts w:ascii="Times New Roman" w:hAnsi="Times New Roman" w:cs="Times New Roman"/>
        </w:rPr>
        <w:t>6</w:t>
      </w:r>
      <w:r w:rsidRPr="004A3E11">
        <w:rPr>
          <w:rFonts w:ascii="Times New Roman" w:hAnsi="Times New Roman" w:cs="Times New Roman"/>
        </w:rPr>
        <w:t xml:space="preserve">% of bisexual male teens, </w:t>
      </w:r>
      <w:r w:rsidR="00F31B8D">
        <w:rPr>
          <w:rFonts w:ascii="Times New Roman" w:hAnsi="Times New Roman" w:cs="Times New Roman"/>
        </w:rPr>
        <w:t xml:space="preserve">14.0% of bisexual female teens, </w:t>
      </w:r>
      <w:r w:rsidRPr="004A3E11">
        <w:rPr>
          <w:rFonts w:ascii="Times New Roman" w:hAnsi="Times New Roman" w:cs="Times New Roman"/>
        </w:rPr>
        <w:t>and 1</w:t>
      </w:r>
      <w:r w:rsidR="0034267C">
        <w:rPr>
          <w:rFonts w:ascii="Times New Roman" w:hAnsi="Times New Roman" w:cs="Times New Roman"/>
        </w:rPr>
        <w:t>1</w:t>
      </w:r>
      <w:r w:rsidRPr="004A3E11">
        <w:rPr>
          <w:rFonts w:ascii="Times New Roman" w:hAnsi="Times New Roman" w:cs="Times New Roman"/>
        </w:rPr>
        <w:t xml:space="preserve">.2% of </w:t>
      </w:r>
      <w:r w:rsidR="0034267C">
        <w:rPr>
          <w:rFonts w:ascii="Times New Roman" w:hAnsi="Times New Roman" w:cs="Times New Roman"/>
        </w:rPr>
        <w:t xml:space="preserve">teens who are </w:t>
      </w:r>
      <w:r w:rsidRPr="004A3E11">
        <w:rPr>
          <w:rFonts w:ascii="Times New Roman" w:hAnsi="Times New Roman" w:cs="Times New Roman"/>
        </w:rPr>
        <w:t xml:space="preserve">transgender. </w:t>
      </w:r>
      <w:r w:rsidR="00130338">
        <w:rPr>
          <w:rFonts w:ascii="Times New Roman" w:hAnsi="Times New Roman" w:cs="Times New Roman"/>
        </w:rPr>
        <w:t>Furthermore, 17.9% of heterosexual teens reported ever using e-cigarettes, compared to 27.3% of bisexual male teens, 29.6</w:t>
      </w:r>
      <w:r w:rsidR="00FE2538">
        <w:rPr>
          <w:rFonts w:ascii="Times New Roman" w:hAnsi="Times New Roman" w:cs="Times New Roman"/>
        </w:rPr>
        <w:t xml:space="preserve">% of bisexual female teens, and 30.7% of teens who are transgender. </w:t>
      </w:r>
      <w:r w:rsidRPr="004A3E11">
        <w:rPr>
          <w:rFonts w:ascii="Times New Roman" w:hAnsi="Times New Roman" w:cs="Times New Roman"/>
        </w:rPr>
        <w:t xml:space="preserve">Including survey items </w:t>
      </w:r>
      <w:r w:rsidRPr="004A3E11">
        <w:rPr>
          <w:rFonts w:ascii="Times New Roman" w:hAnsi="Times New Roman" w:cs="Times New Roman"/>
        </w:rPr>
        <w:t xml:space="preserve">on sexual orientation and gender identity is necessary to identify our target audience for education activities and address disparities in </w:t>
      </w:r>
      <w:r w:rsidR="00452C05">
        <w:rPr>
          <w:rFonts w:ascii="Times New Roman" w:hAnsi="Times New Roman" w:cs="Times New Roman"/>
        </w:rPr>
        <w:t xml:space="preserve">cigarette and e-cigarette </w:t>
      </w:r>
      <w:r w:rsidRPr="004A3E11">
        <w:rPr>
          <w:rFonts w:ascii="Times New Roman" w:hAnsi="Times New Roman" w:cs="Times New Roman"/>
        </w:rPr>
        <w:t xml:space="preserve">use.  </w:t>
      </w:r>
    </w:p>
    <w:p w:rsidR="00E85E49" w:rsidRPr="004A3E11" w:rsidP="000A2BB9" w14:paraId="7C7D68FB" w14:textId="77777777">
      <w:pPr>
        <w:autoSpaceDE w:val="0"/>
        <w:autoSpaceDN w:val="0"/>
        <w:adjustRightInd w:val="0"/>
        <w:rPr>
          <w:rFonts w:ascii="Times New Roman" w:hAnsi="Times New Roman" w:cs="Times New Roman"/>
        </w:rPr>
      </w:pPr>
    </w:p>
    <w:p w:rsidR="00E85E49" w:rsidP="000A2BB9" w14:paraId="72316DDA" w14:textId="710F43F5">
      <w:pPr>
        <w:autoSpaceDE w:val="0"/>
        <w:autoSpaceDN w:val="0"/>
        <w:adjustRightInd w:val="0"/>
        <w:rPr>
          <w:rFonts w:ascii="Times New Roman" w:hAnsi="Times New Roman" w:cs="Times New Roman"/>
        </w:rPr>
      </w:pPr>
      <w:r w:rsidRPr="1FEBD9AD">
        <w:rPr>
          <w:rFonts w:ascii="Times New Roman" w:hAnsi="Times New Roman" w:cs="Times New Roman"/>
        </w:rPr>
        <w:t>Along with the extensive and increasing body of literature showing tobacco use disparities among LGBTQ+ populations, the White House issued the Executive Order on Advancing Equality for Lesbian, Gay, Bisexual, Transgender, Queer, and Intersex Individuals</w:t>
      </w:r>
      <w:r w:rsidRPr="1FEBD9AD" w:rsidR="00E0634A">
        <w:rPr>
          <w:rFonts w:ascii="Times New Roman" w:hAnsi="Times New Roman" w:cs="Times New Roman"/>
        </w:rPr>
        <w:t>,</w:t>
      </w:r>
      <w:r w:rsidRPr="1FEBD9AD">
        <w:rPr>
          <w:rFonts w:ascii="Times New Roman" w:hAnsi="Times New Roman" w:cs="Times New Roman"/>
        </w:rPr>
        <w:t xml:space="preserve"> which includes obligations for federal agencies to collect SOGI data. The order states that, “advancing equity and full inclusion for LGBTQI+ individuals requires that the Federal Government use evidence and data to measure and address the disparities that LGBTQI+ individuals, families, and households face.” It also states that federal agencies must “describe disparities faced by LGBTQI+ individuals that could be better understood through Federal statistics and data collection” (White House, 2022).</w:t>
      </w:r>
      <w:r w:rsidRPr="1FEBD9AD" w:rsidR="60912393">
        <w:rPr>
          <w:rFonts w:ascii="Times New Roman" w:hAnsi="Times New Roman" w:cs="Times New Roman"/>
        </w:rPr>
        <w:t xml:space="preserve"> </w:t>
      </w:r>
      <w:r w:rsidRPr="1FEBD9AD" w:rsidR="496518CB">
        <w:rPr>
          <w:rFonts w:ascii="Times New Roman" w:hAnsi="Times New Roman" w:cs="Times New Roman"/>
        </w:rPr>
        <w:t>The Office of the Chief Statistician of the United States developed a report based on Executive Order 14075 (“Advancing Equality for Lesbian, Gay, Bisexual</w:t>
      </w:r>
      <w:r w:rsidRPr="1FEBD9AD" w:rsidR="18D7B256">
        <w:rPr>
          <w:rFonts w:ascii="Times New Roman" w:hAnsi="Times New Roman" w:cs="Times New Roman"/>
        </w:rPr>
        <w:t>, Transgender, Queer, and Intersex Individuals”) to</w:t>
      </w:r>
      <w:r w:rsidRPr="1FEBD9AD" w:rsidR="30F936AC">
        <w:rPr>
          <w:rFonts w:ascii="Times New Roman" w:hAnsi="Times New Roman" w:cs="Times New Roman"/>
        </w:rPr>
        <w:t xml:space="preserve"> </w:t>
      </w:r>
      <w:r w:rsidRPr="1FEBD9AD" w:rsidR="1FE31640">
        <w:rPr>
          <w:rFonts w:ascii="Times New Roman" w:hAnsi="Times New Roman" w:cs="Times New Roman"/>
        </w:rPr>
        <w:t>“</w:t>
      </w:r>
      <w:r w:rsidRPr="1FEBD9AD" w:rsidR="35D52E19">
        <w:rPr>
          <w:rFonts w:ascii="Times New Roman" w:hAnsi="Times New Roman" w:cs="Times New Roman"/>
        </w:rPr>
        <w:t>...</w:t>
      </w:r>
      <w:r w:rsidRPr="1FEBD9AD" w:rsidR="1FE31640">
        <w:rPr>
          <w:rFonts w:ascii="Times New Roman" w:hAnsi="Times New Roman" w:cs="Times New Roman"/>
        </w:rPr>
        <w:t xml:space="preserve">provide </w:t>
      </w:r>
      <w:r w:rsidRPr="1FEBD9AD" w:rsidR="18D7B256">
        <w:rPr>
          <w:rFonts w:ascii="Times New Roman" w:hAnsi="Times New Roman" w:cs="Times New Roman"/>
        </w:rPr>
        <w:t>recommendations for Federal agencies on the current best practi</w:t>
      </w:r>
      <w:r w:rsidRPr="1FEBD9AD" w:rsidR="282F7AAB">
        <w:rPr>
          <w:rFonts w:ascii="Times New Roman" w:hAnsi="Times New Roman" w:cs="Times New Roman"/>
        </w:rPr>
        <w:t>ces for the collection of sel</w:t>
      </w:r>
      <w:r w:rsidRPr="1FEBD9AD" w:rsidR="4C61D508">
        <w:rPr>
          <w:rFonts w:ascii="Times New Roman" w:hAnsi="Times New Roman" w:cs="Times New Roman"/>
        </w:rPr>
        <w:t>f-reported sexual orientation and gender identity (SOGI) data on Federal statistical surveys.” The report sta</w:t>
      </w:r>
      <w:r w:rsidRPr="1FEBD9AD" w:rsidR="42D28964">
        <w:rPr>
          <w:rFonts w:ascii="Times New Roman" w:hAnsi="Times New Roman" w:cs="Times New Roman"/>
        </w:rPr>
        <w:t xml:space="preserve">tes that, “Measuring </w:t>
      </w:r>
      <w:r w:rsidRPr="1FEBD9AD" w:rsidR="14216B87">
        <w:rPr>
          <w:rFonts w:ascii="Times New Roman" w:hAnsi="Times New Roman" w:cs="Times New Roman"/>
        </w:rPr>
        <w:t>Sexual</w:t>
      </w:r>
      <w:r w:rsidRPr="1FEBD9AD" w:rsidR="42D28964">
        <w:rPr>
          <w:rFonts w:ascii="Times New Roman" w:hAnsi="Times New Roman" w:cs="Times New Roman"/>
        </w:rPr>
        <w:t xml:space="preserve"> and gender minority (SGM) populations in </w:t>
      </w:r>
      <w:r w:rsidRPr="1FEBD9AD" w:rsidR="62B1D8AF">
        <w:rPr>
          <w:rFonts w:ascii="Times New Roman" w:hAnsi="Times New Roman" w:cs="Times New Roman"/>
        </w:rPr>
        <w:t>Federal</w:t>
      </w:r>
      <w:r w:rsidRPr="1FEBD9AD" w:rsidR="42D28964">
        <w:rPr>
          <w:rFonts w:ascii="Times New Roman" w:hAnsi="Times New Roman" w:cs="Times New Roman"/>
        </w:rPr>
        <w:t xml:space="preserve"> surveys improves </w:t>
      </w:r>
      <w:r w:rsidRPr="1FEBD9AD" w:rsidR="5F2C7EAA">
        <w:rPr>
          <w:rFonts w:ascii="Times New Roman" w:hAnsi="Times New Roman" w:cs="Times New Roman"/>
        </w:rPr>
        <w:t>understanding</w:t>
      </w:r>
      <w:r w:rsidRPr="1FEBD9AD" w:rsidR="42D28964">
        <w:rPr>
          <w:rFonts w:ascii="Times New Roman" w:hAnsi="Times New Roman" w:cs="Times New Roman"/>
        </w:rPr>
        <w:t xml:space="preserve"> of SGM populations and supports evidence-based po</w:t>
      </w:r>
      <w:r w:rsidRPr="1FEBD9AD" w:rsidR="43CE500B">
        <w:rPr>
          <w:rFonts w:ascii="Times New Roman" w:hAnsi="Times New Roman" w:cs="Times New Roman"/>
        </w:rPr>
        <w:t>licymaking”.</w:t>
      </w:r>
      <w:r w:rsidRPr="1FEBD9AD" w:rsidR="3154E342">
        <w:rPr>
          <w:rFonts w:ascii="Times New Roman" w:hAnsi="Times New Roman" w:cs="Times New Roman"/>
        </w:rPr>
        <w:t xml:space="preserve"> Based on the best practices outlined in this document, any SOGI questions asked are </w:t>
      </w:r>
      <w:r w:rsidRPr="1FEBD9AD" w:rsidR="6E5C0316">
        <w:rPr>
          <w:rFonts w:ascii="Times New Roman" w:hAnsi="Times New Roman" w:cs="Times New Roman"/>
        </w:rPr>
        <w:t>scientifically based</w:t>
      </w:r>
      <w:r w:rsidRPr="1FEBD9AD" w:rsidR="3154E342">
        <w:rPr>
          <w:rFonts w:ascii="Times New Roman" w:hAnsi="Times New Roman" w:cs="Times New Roman"/>
        </w:rPr>
        <w:t xml:space="preserve"> and appropriate for </w:t>
      </w:r>
      <w:r w:rsidRPr="1FEBD9AD" w:rsidR="7FFA42E9">
        <w:rPr>
          <w:rFonts w:ascii="Times New Roman" w:hAnsi="Times New Roman" w:cs="Times New Roman"/>
        </w:rPr>
        <w:t xml:space="preserve">youth participants. </w:t>
      </w:r>
    </w:p>
    <w:p w:rsidR="260DC83D" w:rsidP="260DC83D" w14:paraId="068F5D7D" w14:textId="702E4EA6">
      <w:pPr>
        <w:rPr>
          <w:rFonts w:ascii="Times New Roman" w:hAnsi="Times New Roman" w:cs="Times New Roman"/>
        </w:rPr>
      </w:pPr>
    </w:p>
    <w:p w:rsidR="7FE6B5B4" w:rsidP="260DC83D" w14:paraId="5B198A3D" w14:textId="77777777">
      <w:pPr>
        <w:rPr>
          <w:rFonts w:ascii="Times New Roman" w:hAnsi="Times New Roman" w:cs="Times New Roman"/>
        </w:rPr>
      </w:pPr>
      <w:r w:rsidRPr="260DC83D">
        <w:rPr>
          <w:rFonts w:ascii="Times New Roman" w:hAnsi="Times New Roman" w:cs="Times New Roman"/>
        </w:rPr>
        <w:t xml:space="preserve">Data gaps need to be addressed </w:t>
      </w:r>
      <w:r w:rsidRPr="260DC83D">
        <w:rPr>
          <w:rFonts w:ascii="Times New Roman" w:hAnsi="Times New Roman" w:cs="Times New Roman"/>
        </w:rPr>
        <w:t>in order to</w:t>
      </w:r>
      <w:r w:rsidRPr="260DC83D">
        <w:rPr>
          <w:rFonts w:ascii="Times New Roman" w:hAnsi="Times New Roman" w:cs="Times New Roman"/>
        </w:rPr>
        <w:t xml:space="preserve"> support the needs of LGBTQ+ youth populations. In a 2011 report, the Institute of Medicine asserted that, “the ability to address these [health] disparities [among LGBTQ+ youth] is hampered by our lack of knowledge about LGBT youth...efforts to survey young people about their sexual orientation have been fraught with difficulties at both the institutional review board and community levels. These barriers have impeded important developmental research” (Institute of Medicine, 2011, pg. 42). The lack of data that was cited in 2011 continues to be a barrier to developing health communication interventions aimed at reducing disparities in tobacco use behaviors among this particularly vulnerable population. The FDA cannot support LGBTQ+ youth populations via its programming and resources (i.e., public education campaigns) if it is not aware of how risk factors (such as attitudes, beliefs, and behaviors) may be associated with tobacco use among LGBTQ+ youth to support LGBTQ+ youth populations to be healthy and safe, the FDA needs to be knowledgeable about their specific needs.</w:t>
      </w:r>
    </w:p>
    <w:p w:rsidR="260DC83D" w:rsidP="260DC83D" w14:paraId="2E730887" w14:textId="156E8868">
      <w:pPr>
        <w:rPr>
          <w:rFonts w:ascii="Times New Roman" w:hAnsi="Times New Roman" w:cs="Times New Roman"/>
        </w:rPr>
      </w:pPr>
    </w:p>
    <w:p w:rsidR="00F461EF" w:rsidP="00F461EF" w14:paraId="6D502A05" w14:textId="77777777">
      <w:pPr>
        <w:autoSpaceDE w:val="0"/>
        <w:autoSpaceDN w:val="0"/>
        <w:adjustRightInd w:val="0"/>
        <w:rPr>
          <w:rFonts w:ascii="Times New Roman" w:hAnsi="Times New Roman" w:cs="Times New Roman"/>
        </w:rPr>
      </w:pPr>
    </w:p>
    <w:p w:rsidR="00F461EF" w:rsidP="260DC83D" w14:paraId="464AA42C" w14:textId="663E5834">
      <w:pPr>
        <w:autoSpaceDE w:val="0"/>
        <w:autoSpaceDN w:val="0"/>
        <w:adjustRightInd w:val="0"/>
        <w:rPr>
          <w:rFonts w:ascii="Times New Roman" w:eastAsia="Times New Roman" w:hAnsi="Times New Roman" w:cs="Times New Roman"/>
        </w:rPr>
      </w:pPr>
      <w:r w:rsidRPr="1FEBD9AD">
        <w:rPr>
          <w:rFonts w:ascii="Times New Roman" w:hAnsi="Times New Roman" w:cs="Times New Roman"/>
        </w:rPr>
        <w:t xml:space="preserve">Given that teens who are sexual or gender minorities have higher use of </w:t>
      </w:r>
      <w:r w:rsidRPr="1FEBD9AD" w:rsidR="007C14E4">
        <w:rPr>
          <w:rFonts w:ascii="Times New Roman" w:hAnsi="Times New Roman" w:cs="Times New Roman"/>
        </w:rPr>
        <w:t>cigarette</w:t>
      </w:r>
      <w:r w:rsidRPr="1FEBD9AD" w:rsidR="0012533C">
        <w:rPr>
          <w:rFonts w:ascii="Times New Roman" w:hAnsi="Times New Roman" w:cs="Times New Roman"/>
        </w:rPr>
        <w:t>s and e-cigarettes</w:t>
      </w:r>
      <w:r w:rsidRPr="1FEBD9AD">
        <w:rPr>
          <w:rFonts w:ascii="Times New Roman" w:hAnsi="Times New Roman" w:cs="Times New Roman"/>
        </w:rPr>
        <w:t xml:space="preserve"> compared to heterosexual and cisgender teens, it’s important for us to capture both sexual and gender identity information to accurately identify our target audience for education activities and address disparities in cigar</w:t>
      </w:r>
      <w:r w:rsidRPr="1FEBD9AD" w:rsidR="0012533C">
        <w:rPr>
          <w:rFonts w:ascii="Times New Roman" w:hAnsi="Times New Roman" w:cs="Times New Roman"/>
        </w:rPr>
        <w:t>ette and e-cigarette</w:t>
      </w:r>
      <w:r w:rsidRPr="1FEBD9AD">
        <w:rPr>
          <w:rFonts w:ascii="Times New Roman" w:hAnsi="Times New Roman" w:cs="Times New Roman"/>
        </w:rPr>
        <w:t xml:space="preserve"> product use.</w:t>
      </w:r>
      <w:r w:rsidRPr="1FEBD9AD" w:rsidR="78C1E6E1">
        <w:rPr>
          <w:rFonts w:ascii="Times New Roman" w:hAnsi="Times New Roman" w:cs="Times New Roman"/>
        </w:rPr>
        <w:t xml:space="preserve"> Other federal surveys</w:t>
      </w:r>
      <w:r w:rsidRPr="1FEBD9AD" w:rsidR="5F07B00A">
        <w:rPr>
          <w:rFonts w:ascii="Times New Roman" w:hAnsi="Times New Roman" w:cs="Times New Roman"/>
        </w:rPr>
        <w:t xml:space="preserve"> on youth tobacco use</w:t>
      </w:r>
      <w:r w:rsidRPr="1FEBD9AD" w:rsidR="78C1E6E1">
        <w:rPr>
          <w:rFonts w:ascii="Times New Roman" w:hAnsi="Times New Roman" w:cs="Times New Roman"/>
        </w:rPr>
        <w:t xml:space="preserve"> also collect </w:t>
      </w:r>
      <w:r w:rsidRPr="1FEBD9AD" w:rsidR="3F02265E">
        <w:rPr>
          <w:rFonts w:ascii="Times New Roman" w:hAnsi="Times New Roman" w:cs="Times New Roman"/>
        </w:rPr>
        <w:t>SOGI</w:t>
      </w:r>
      <w:r w:rsidRPr="1FEBD9AD" w:rsidR="79DD0458">
        <w:rPr>
          <w:rFonts w:ascii="Times New Roman" w:hAnsi="Times New Roman" w:cs="Times New Roman"/>
        </w:rPr>
        <w:t xml:space="preserve"> data from youth, including the NYTS </w:t>
      </w:r>
      <w:r w:rsidRPr="1FEBD9AD" w:rsidR="2BE4EB15">
        <w:rPr>
          <w:rFonts w:ascii="Times New Roman" w:hAnsi="Times New Roman" w:cs="Times New Roman"/>
        </w:rPr>
        <w:t>(ages 9-19) and the Population Assessment of Tobacco and Health (</w:t>
      </w:r>
      <w:r w:rsidRPr="1FEBD9AD" w:rsidR="52252B84">
        <w:rPr>
          <w:rFonts w:ascii="Times New Roman" w:hAnsi="Times New Roman" w:cs="Times New Roman"/>
        </w:rPr>
        <w:t xml:space="preserve">PATH; </w:t>
      </w:r>
      <w:r w:rsidRPr="1FEBD9AD" w:rsidR="1AAE8EBB">
        <w:rPr>
          <w:rFonts w:ascii="Times New Roman" w:hAnsi="Times New Roman" w:cs="Times New Roman"/>
        </w:rPr>
        <w:t xml:space="preserve">youth ages </w:t>
      </w:r>
      <w:r w:rsidRPr="1FEBD9AD" w:rsidR="74C62506">
        <w:rPr>
          <w:rFonts w:ascii="Times New Roman" w:hAnsi="Times New Roman" w:cs="Times New Roman"/>
        </w:rPr>
        <w:t xml:space="preserve">13-17). </w:t>
      </w:r>
      <w:r w:rsidRPr="1FEBD9AD" w:rsidR="3F02265E">
        <w:rPr>
          <w:rFonts w:ascii="Times New Roman" w:hAnsi="Times New Roman" w:cs="Times New Roman"/>
        </w:rPr>
        <w:t xml:space="preserve"> </w:t>
      </w:r>
      <w:r w:rsidRPr="1FEBD9AD" w:rsidR="7EDB2D04">
        <w:rPr>
          <w:rFonts w:ascii="Times New Roman" w:eastAsia="Times New Roman" w:hAnsi="Times New Roman" w:cs="Times New Roman"/>
        </w:rPr>
        <w:t>The project team will not conduct or report on statistical analysis for demographic groups for which there is insufficient statistical power. As outlined in the data security section of th</w:t>
      </w:r>
      <w:r w:rsidRPr="1FEBD9AD" w:rsidR="1597CBBE">
        <w:rPr>
          <w:rFonts w:ascii="Times New Roman" w:eastAsia="Times New Roman" w:hAnsi="Times New Roman" w:cs="Times New Roman"/>
        </w:rPr>
        <w:t xml:space="preserve">is document, data are securely maintained in areas that are FedRAMP certified and are </w:t>
      </w:r>
      <w:r w:rsidRPr="1FEBD9AD" w:rsidR="0EA6CFC7">
        <w:rPr>
          <w:rFonts w:ascii="Times New Roman" w:eastAsia="Times New Roman" w:hAnsi="Times New Roman" w:cs="Times New Roman"/>
        </w:rPr>
        <w:t xml:space="preserve">functioning under an Authorization to Operate (ATO). The participants privacy and rights are monitored </w:t>
      </w:r>
      <w:r w:rsidRPr="1FEBD9AD" w:rsidR="50DC0F50">
        <w:rPr>
          <w:rFonts w:ascii="Times New Roman" w:eastAsia="Times New Roman" w:hAnsi="Times New Roman" w:cs="Times New Roman"/>
        </w:rPr>
        <w:t xml:space="preserve">by an </w:t>
      </w:r>
      <w:r w:rsidRPr="1FEBD9AD" w:rsidR="50DC0F50">
        <w:rPr>
          <w:rFonts w:ascii="Times New Roman" w:eastAsia="Times New Roman" w:hAnsi="Times New Roman" w:cs="Times New Roman"/>
        </w:rPr>
        <w:t xml:space="preserve">external Institutional Review Board (IRB). The primary concern of the IRB is protecting </w:t>
      </w:r>
      <w:r w:rsidRPr="1FEBD9AD" w:rsidR="2CB26780">
        <w:rPr>
          <w:rFonts w:ascii="Times New Roman" w:eastAsia="Times New Roman" w:hAnsi="Times New Roman" w:cs="Times New Roman"/>
        </w:rPr>
        <w:t xml:space="preserve">respondents’ rights, including </w:t>
      </w:r>
      <w:r w:rsidRPr="1FEBD9AD" w:rsidR="2CB26780">
        <w:rPr>
          <w:rFonts w:ascii="Times New Roman" w:eastAsia="Times New Roman" w:hAnsi="Times New Roman" w:cs="Times New Roman"/>
        </w:rPr>
        <w:t>maintaining the privacy of respondent information to the fullest extent</w:t>
      </w:r>
      <w:r w:rsidRPr="1FEBD9AD" w:rsidR="2CB26780">
        <w:rPr>
          <w:rFonts w:ascii="Times New Roman" w:eastAsia="Times New Roman" w:hAnsi="Times New Roman" w:cs="Times New Roman"/>
        </w:rPr>
        <w:t xml:space="preserve"> of the law.</w:t>
      </w:r>
      <w:r w:rsidRPr="1FEBD9AD" w:rsidR="210BCA18">
        <w:rPr>
          <w:rFonts w:ascii="Times New Roman" w:eastAsia="Times New Roman" w:hAnsi="Times New Roman" w:cs="Times New Roman"/>
        </w:rPr>
        <w:t xml:space="preserve"> Also, parent or guardian permission is required for youth who are ages 11 to 13. </w:t>
      </w:r>
    </w:p>
    <w:p w:rsidR="00F461EF" w:rsidP="260DC83D" w14:paraId="08AB34A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p>
    <w:p w:rsidR="00F461EF" w:rsidP="260DC83D" w14:paraId="1B8AB20C"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 xml:space="preserve">To address any concerns about inadvertent disclosure of sensitive information, participants will be fully informed of the applicable privacy safeguards. The informed consent protocol will notify participants that these topics will be covered in the survey. This study includes </w:t>
      </w:r>
      <w:r w:rsidRPr="260DC83D">
        <w:rPr>
          <w:rFonts w:ascii="Times New Roman" w:eastAsia="Times New Roman" w:hAnsi="Times New Roman" w:cs="Times New Roman"/>
        </w:rPr>
        <w:t>a number of</w:t>
      </w:r>
      <w:r w:rsidRPr="260DC83D">
        <w:rPr>
          <w:rFonts w:ascii="Times New Roman" w:eastAsia="Times New Roman" w:hAnsi="Times New Roman" w:cs="Times New Roman"/>
        </w:rPr>
        <w:t xml:space="preserve"> procedures and methodological characteristics that will minimize potential negative reactions to these types of questions, including the following:</w:t>
      </w:r>
    </w:p>
    <w:p w:rsidR="00F461EF" w:rsidP="260DC83D" w14:paraId="3635513F" w14:textId="77777777">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Participants will be informed that they need not answer any question that makes them feel uncomfortable or that they simply do not wish to answer.</w:t>
      </w:r>
    </w:p>
    <w:p w:rsidR="00F461EF" w:rsidP="260DC83D" w14:paraId="4DDF3594" w14:textId="77777777">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Web surveys are entirely self-administered and maximize respondent privacy without the need to verbalize responses.</w:t>
      </w:r>
    </w:p>
    <w:p w:rsidR="00F461EF" w:rsidP="260DC83D" w14:paraId="5C820A25" w14:textId="7158ADBA">
      <w:pPr>
        <w:pStyle w:val="ListParagraph"/>
        <w:numPr>
          <w:ilvl w:val="0"/>
          <w:numId w:val="14"/>
        </w:numPr>
        <w:tabs>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Participants will be provided with a phone number and email address for the Principal Investigator should they have any questions or concerns about the study.</w:t>
      </w:r>
    </w:p>
    <w:p w:rsidR="00F461EF" w:rsidP="260DC83D" w14:paraId="3768FC53" w14:textId="2DE7191A">
      <w:pPr>
        <w:autoSpaceDE w:val="0"/>
        <w:autoSpaceDN w:val="0"/>
        <w:adjustRightInd w:val="0"/>
        <w:rPr>
          <w:rFonts w:ascii="Times New Roman" w:hAnsi="Times New Roman" w:cs="Times New Roman"/>
        </w:rPr>
      </w:pPr>
    </w:p>
    <w:p w:rsidR="00BE1FCB" w:rsidRPr="008265FC" w:rsidP="1BF77947" w14:paraId="44D610B5"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u w:val="single"/>
        </w:rPr>
      </w:pPr>
      <w:bookmarkStart w:id="21" w:name="_Toc239649233"/>
      <w:r w:rsidRPr="1BF77947">
        <w:rPr>
          <w:rFonts w:ascii="Times New Roman" w:eastAsia="Times New Roman" w:hAnsi="Times New Roman" w:cs="Times New Roman"/>
          <w:b/>
          <w:bCs/>
        </w:rPr>
        <w:t>12</w:t>
      </w:r>
      <w:r w:rsidRPr="1BF77947" w:rsidR="73EBA1EE">
        <w:rPr>
          <w:rFonts w:ascii="Times New Roman" w:eastAsia="Times New Roman" w:hAnsi="Times New Roman" w:cs="Times New Roman"/>
          <w:b/>
          <w:bCs/>
        </w:rPr>
        <w:t xml:space="preserve">. </w:t>
      </w:r>
      <w:r w:rsidRPr="1BF77947" w:rsidR="73EBA1EE">
        <w:rPr>
          <w:rFonts w:ascii="Times New Roman" w:eastAsia="Times New Roman" w:hAnsi="Times New Roman" w:cs="Times New Roman"/>
          <w:b/>
          <w:bCs/>
          <w:u w:val="single"/>
        </w:rPr>
        <w:t>Estimates</w:t>
      </w:r>
      <w:r w:rsidRPr="1BF77947">
        <w:rPr>
          <w:rFonts w:ascii="Times New Roman" w:eastAsia="Times New Roman" w:hAnsi="Times New Roman" w:cs="Times New Roman"/>
          <w:b/>
          <w:bCs/>
          <w:u w:val="single"/>
        </w:rPr>
        <w:t xml:space="preserve"> of Annualized Burden Hours and Costs</w:t>
      </w:r>
      <w:bookmarkEnd w:id="21"/>
    </w:p>
    <w:p w:rsidR="00BE1FCB" w:rsidRPr="008265FC" w:rsidP="00BE1FCB" w14:paraId="634BB656"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6A9EDF20" w14:textId="77777777">
      <w:pPr>
        <w:autoSpaceDE w:val="0"/>
        <w:autoSpaceDN w:val="0"/>
        <w:adjustRightInd w:val="0"/>
        <w:ind w:left="180"/>
        <w:rPr>
          <w:rFonts w:ascii="Times New Roman" w:eastAsia="Times New Roman" w:hAnsi="Times New Roman" w:cs="Times New Roman"/>
          <w:szCs w:val="24"/>
        </w:rPr>
      </w:pPr>
      <w:r w:rsidRPr="00810AC2">
        <w:rPr>
          <w:rFonts w:ascii="Times New Roman" w:eastAsia="Times New Roman" w:hAnsi="Times New Roman" w:cs="Times New Roman"/>
          <w:szCs w:val="24"/>
        </w:rPr>
        <w:t xml:space="preserve">12 a. </w:t>
      </w:r>
      <w:r w:rsidRPr="008265FC">
        <w:rPr>
          <w:rFonts w:ascii="Times New Roman" w:eastAsia="Times New Roman" w:hAnsi="Times New Roman" w:cs="Times New Roman"/>
          <w:szCs w:val="24"/>
          <w:u w:val="single"/>
        </w:rPr>
        <w:t>Annualized Hour Burden Estimate</w:t>
      </w:r>
    </w:p>
    <w:p w:rsidR="00810AC2" w:rsidP="00BE1FCB" w14:paraId="6BE2BF51" w14:textId="77777777">
      <w:pPr>
        <w:autoSpaceDE w:val="0"/>
        <w:autoSpaceDN w:val="0"/>
        <w:adjustRightInd w:val="0"/>
        <w:ind w:left="180"/>
        <w:rPr>
          <w:rFonts w:ascii="Times New Roman" w:eastAsia="Times New Roman" w:hAnsi="Times New Roman" w:cs="Times New Roman"/>
          <w:szCs w:val="24"/>
        </w:rPr>
      </w:pPr>
    </w:p>
    <w:p w:rsidR="00687A00" w:rsidP="7DC1110E" w14:paraId="74D26774" w14:textId="44C84D75">
      <w:pPr>
        <w:autoSpaceDE w:val="0"/>
        <w:autoSpaceDN w:val="0"/>
        <w:adjustRightInd w:val="0"/>
        <w:rPr>
          <w:rFonts w:ascii="Times New Roman" w:eastAsia="Times New Roman" w:hAnsi="Times New Roman" w:cs="Times New Roman"/>
        </w:rPr>
      </w:pPr>
      <w:r w:rsidRPr="260DC83D">
        <w:rPr>
          <w:rFonts w:ascii="Times New Roman" w:eastAsia="Times New Roman" w:hAnsi="Times New Roman" w:cs="Times New Roman"/>
        </w:rPr>
        <w:t xml:space="preserve">An estimated one-time reporting burden for this collection will be approximately </w:t>
      </w:r>
      <w:r w:rsidRPr="001706F4" w:rsidR="001706F4">
        <w:rPr>
          <w:rFonts w:ascii="Times New Roman" w:eastAsia="Times New Roman" w:hAnsi="Times New Roman" w:cs="Times New Roman"/>
        </w:rPr>
        <w:t>154,9</w:t>
      </w:r>
      <w:r w:rsidR="0022496C">
        <w:rPr>
          <w:rFonts w:ascii="Times New Roman" w:eastAsia="Times New Roman" w:hAnsi="Times New Roman" w:cs="Times New Roman"/>
        </w:rPr>
        <w:t>21</w:t>
      </w:r>
      <w:r w:rsidR="001706F4">
        <w:rPr>
          <w:rFonts w:ascii="Times New Roman" w:eastAsia="Times New Roman" w:hAnsi="Times New Roman" w:cs="Times New Roman"/>
        </w:rPr>
        <w:t xml:space="preserve"> </w:t>
      </w:r>
      <w:r w:rsidRPr="0083416F">
        <w:rPr>
          <w:rFonts w:ascii="Times New Roman" w:eastAsia="Times New Roman" w:hAnsi="Times New Roman" w:cs="Times New Roman"/>
        </w:rPr>
        <w:t>hours</w:t>
      </w:r>
      <w:r w:rsidRPr="260DC83D">
        <w:rPr>
          <w:rFonts w:ascii="Times New Roman" w:eastAsia="Times New Roman" w:hAnsi="Times New Roman" w:cs="Times New Roman"/>
        </w:rPr>
        <w:t xml:space="preserve"> (</w:t>
      </w:r>
      <w:r w:rsidRPr="260DC83D" w:rsidR="00A80641">
        <w:rPr>
          <w:rFonts w:ascii="Times New Roman" w:eastAsia="Times New Roman" w:hAnsi="Times New Roman" w:cs="Times New Roman"/>
        </w:rPr>
        <w:t>Table</w:t>
      </w:r>
      <w:r w:rsidRPr="260DC83D">
        <w:rPr>
          <w:rFonts w:ascii="Times New Roman" w:eastAsia="Times New Roman" w:hAnsi="Times New Roman" w:cs="Times New Roman"/>
        </w:rPr>
        <w:t xml:space="preserve"> </w:t>
      </w:r>
      <w:bookmarkStart w:id="22" w:name="_Toc361824170"/>
      <w:r w:rsidRPr="260DC83D" w:rsidR="00F81D93">
        <w:rPr>
          <w:rFonts w:ascii="Times New Roman" w:eastAsia="Times New Roman" w:hAnsi="Times New Roman" w:cs="Times New Roman"/>
        </w:rPr>
        <w:t>2</w:t>
      </w:r>
      <w:r w:rsidRPr="260DC83D">
        <w:rPr>
          <w:rFonts w:ascii="Times New Roman" w:eastAsia="Times New Roman" w:hAnsi="Times New Roman" w:cs="Times New Roman"/>
        </w:rPr>
        <w:t xml:space="preserve">). This includes the time burden associated with the </w:t>
      </w:r>
      <w:r w:rsidRPr="260DC83D" w:rsidR="005227AE">
        <w:rPr>
          <w:rFonts w:ascii="Times New Roman" w:eastAsia="Times New Roman" w:hAnsi="Times New Roman" w:cs="Times New Roman"/>
        </w:rPr>
        <w:t xml:space="preserve">recruitment materials, </w:t>
      </w:r>
      <w:r w:rsidRPr="260DC83D" w:rsidR="002B6816">
        <w:rPr>
          <w:rFonts w:ascii="Times New Roman" w:eastAsia="Times New Roman" w:hAnsi="Times New Roman" w:cs="Times New Roman"/>
        </w:rPr>
        <w:t xml:space="preserve">parent and youth </w:t>
      </w:r>
      <w:r w:rsidRPr="260DC83D">
        <w:rPr>
          <w:rFonts w:ascii="Times New Roman" w:eastAsia="Times New Roman" w:hAnsi="Times New Roman" w:cs="Times New Roman"/>
        </w:rPr>
        <w:t>screener</w:t>
      </w:r>
      <w:r w:rsidRPr="260DC83D" w:rsidR="002B6816">
        <w:rPr>
          <w:rFonts w:ascii="Times New Roman" w:eastAsia="Times New Roman" w:hAnsi="Times New Roman" w:cs="Times New Roman"/>
        </w:rPr>
        <w:t>s</w:t>
      </w:r>
      <w:r w:rsidRPr="260DC83D" w:rsidR="005227AE">
        <w:rPr>
          <w:rFonts w:ascii="Times New Roman" w:eastAsia="Times New Roman" w:hAnsi="Times New Roman" w:cs="Times New Roman"/>
        </w:rPr>
        <w:t>, household roster, i</w:t>
      </w:r>
      <w:r w:rsidRPr="260DC83D" w:rsidR="00804FE9">
        <w:rPr>
          <w:rFonts w:ascii="Times New Roman" w:eastAsia="Times New Roman" w:hAnsi="Times New Roman" w:cs="Times New Roman"/>
        </w:rPr>
        <w:t>nformed consent</w:t>
      </w:r>
      <w:r w:rsidRPr="260DC83D" w:rsidR="00017037">
        <w:rPr>
          <w:rFonts w:ascii="Times New Roman" w:eastAsia="Times New Roman" w:hAnsi="Times New Roman" w:cs="Times New Roman"/>
        </w:rPr>
        <w:t>, and survey</w:t>
      </w:r>
      <w:r w:rsidRPr="260DC83D">
        <w:rPr>
          <w:rFonts w:ascii="Times New Roman" w:eastAsia="Times New Roman" w:hAnsi="Times New Roman" w:cs="Times New Roman"/>
        </w:rPr>
        <w:t xml:space="preserve">. </w:t>
      </w:r>
      <w:bookmarkStart w:id="23" w:name="_Hlk45028396"/>
      <w:r w:rsidRPr="260DC83D" w:rsidR="008D2CF9">
        <w:rPr>
          <w:rFonts w:ascii="Times New Roman" w:eastAsia="Times New Roman" w:hAnsi="Times New Roman" w:cs="Times New Roman"/>
        </w:rPr>
        <w:t>Our goal is to o</w:t>
      </w:r>
      <w:r w:rsidRPr="260DC83D" w:rsidR="003F6F63">
        <w:rPr>
          <w:rFonts w:ascii="Times New Roman" w:eastAsia="Times New Roman" w:hAnsi="Times New Roman" w:cs="Times New Roman"/>
        </w:rPr>
        <w:t xml:space="preserve">btain a sample size of </w:t>
      </w:r>
      <w:r w:rsidRPr="260DC83D" w:rsidR="00CC608D">
        <w:rPr>
          <w:rFonts w:ascii="Times New Roman" w:eastAsia="Times New Roman" w:hAnsi="Times New Roman" w:cs="Times New Roman"/>
        </w:rPr>
        <w:t>7,500</w:t>
      </w:r>
      <w:r w:rsidRPr="260DC83D" w:rsidR="006C7E88">
        <w:rPr>
          <w:rFonts w:ascii="Times New Roman" w:eastAsia="Times New Roman" w:hAnsi="Times New Roman" w:cs="Times New Roman"/>
        </w:rPr>
        <w:t xml:space="preserve"> </w:t>
      </w:r>
      <w:r w:rsidRPr="260DC83D" w:rsidR="003F6F63">
        <w:rPr>
          <w:rFonts w:ascii="Times New Roman" w:eastAsia="Times New Roman" w:hAnsi="Times New Roman" w:cs="Times New Roman"/>
        </w:rPr>
        <w:t>youth</w:t>
      </w:r>
      <w:r w:rsidRPr="260DC83D" w:rsidR="00955AFC">
        <w:rPr>
          <w:rFonts w:ascii="Times New Roman" w:eastAsia="Times New Roman" w:hAnsi="Times New Roman" w:cs="Times New Roman"/>
        </w:rPr>
        <w:t xml:space="preserve"> at baseline</w:t>
      </w:r>
      <w:r w:rsidRPr="260DC83D" w:rsidR="00B377AB">
        <w:rPr>
          <w:rFonts w:ascii="Times New Roman" w:eastAsia="Times New Roman" w:hAnsi="Times New Roman" w:cs="Times New Roman"/>
        </w:rPr>
        <w:t xml:space="preserve"> that will include </w:t>
      </w:r>
      <w:r w:rsidRPr="260DC83D" w:rsidR="24FE4E96">
        <w:rPr>
          <w:rFonts w:ascii="Times New Roman" w:eastAsia="Times New Roman" w:hAnsi="Times New Roman" w:cs="Times New Roman"/>
        </w:rPr>
        <w:t xml:space="preserve">participants from </w:t>
      </w:r>
      <w:r w:rsidRPr="260DC83D" w:rsidR="00B377AB">
        <w:rPr>
          <w:rFonts w:ascii="Times New Roman" w:eastAsia="Times New Roman" w:hAnsi="Times New Roman" w:cs="Times New Roman"/>
        </w:rPr>
        <w:t xml:space="preserve">the main data collection </w:t>
      </w:r>
      <w:r w:rsidRPr="260DC83D" w:rsidR="00304F33">
        <w:rPr>
          <w:rFonts w:ascii="Times New Roman" w:eastAsia="Times New Roman" w:hAnsi="Times New Roman" w:cs="Times New Roman"/>
        </w:rPr>
        <w:t>(</w:t>
      </w:r>
      <w:r w:rsidRPr="260DC83D" w:rsidR="004A6F3D">
        <w:rPr>
          <w:rFonts w:ascii="Times New Roman" w:eastAsia="Times New Roman" w:hAnsi="Times New Roman" w:cs="Times New Roman"/>
        </w:rPr>
        <w:t>n=6,000)</w:t>
      </w:r>
      <w:r w:rsidRPr="260DC83D" w:rsidR="00B377AB">
        <w:rPr>
          <w:rFonts w:ascii="Times New Roman" w:eastAsia="Times New Roman" w:hAnsi="Times New Roman" w:cs="Times New Roman"/>
        </w:rPr>
        <w:t xml:space="preserve"> and supplemental data collection</w:t>
      </w:r>
      <w:bookmarkEnd w:id="23"/>
      <w:r w:rsidRPr="260DC83D" w:rsidR="004A6F3D">
        <w:rPr>
          <w:rFonts w:ascii="Times New Roman" w:eastAsia="Times New Roman" w:hAnsi="Times New Roman" w:cs="Times New Roman"/>
        </w:rPr>
        <w:t xml:space="preserve"> (n=1,500)</w:t>
      </w:r>
      <w:r w:rsidRPr="260DC83D" w:rsidR="003F6F63">
        <w:rPr>
          <w:rFonts w:ascii="Times New Roman" w:eastAsia="Times New Roman" w:hAnsi="Times New Roman" w:cs="Times New Roman"/>
        </w:rPr>
        <w:t xml:space="preserve">. </w:t>
      </w:r>
    </w:p>
    <w:p w:rsidR="002F5C81" w:rsidP="00BE1FCB" w14:paraId="46D7D609" w14:textId="77777777">
      <w:pPr>
        <w:autoSpaceDE w:val="0"/>
        <w:autoSpaceDN w:val="0"/>
        <w:adjustRightInd w:val="0"/>
        <w:ind w:left="180"/>
        <w:rPr>
          <w:rFonts w:ascii="Times New Roman" w:eastAsia="Times New Roman" w:hAnsi="Times New Roman" w:cs="Times New Roman"/>
        </w:rPr>
      </w:pPr>
    </w:p>
    <w:p w:rsidR="00781624" w:rsidP="00662414" w14:paraId="613AEBB6" w14:textId="4886D5A3">
      <w:pPr>
        <w:contextualSpacing/>
        <w:rPr>
          <w:rFonts w:ascii="Times New Roman" w:hAnsi="Times New Roman" w:cs="Times New Roman"/>
        </w:rPr>
      </w:pPr>
      <w:r w:rsidRPr="260DC83D">
        <w:rPr>
          <w:rFonts w:ascii="Times New Roman" w:hAnsi="Times New Roman" w:cs="Times New Roman"/>
        </w:rPr>
        <w:t xml:space="preserve">The main data collection will include a baseline survey and </w:t>
      </w:r>
      <w:r w:rsidRPr="260DC83D" w:rsidR="00B56B7A">
        <w:rPr>
          <w:rFonts w:ascii="Times New Roman" w:hAnsi="Times New Roman" w:cs="Times New Roman"/>
        </w:rPr>
        <w:t xml:space="preserve">five </w:t>
      </w:r>
      <w:r w:rsidRPr="260DC83D">
        <w:rPr>
          <w:rFonts w:ascii="Times New Roman" w:hAnsi="Times New Roman" w:cs="Times New Roman"/>
        </w:rPr>
        <w:t xml:space="preserve">follow-up surveys. The recruitment sample for the main data collection is youth aged 11 to </w:t>
      </w:r>
      <w:r w:rsidRPr="260DC83D" w:rsidR="0048222F">
        <w:rPr>
          <w:rFonts w:ascii="Times New Roman" w:hAnsi="Times New Roman" w:cs="Times New Roman"/>
        </w:rPr>
        <w:t>20</w:t>
      </w:r>
      <w:r w:rsidRPr="260DC83D">
        <w:rPr>
          <w:rFonts w:ascii="Times New Roman" w:hAnsi="Times New Roman" w:cs="Times New Roman"/>
        </w:rPr>
        <w:t xml:space="preserve">. We intend to replenish the longitudinal sample </w:t>
      </w:r>
      <w:r w:rsidRPr="260DC83D" w:rsidR="003D6B6F">
        <w:rPr>
          <w:rFonts w:ascii="Times New Roman" w:hAnsi="Times New Roman" w:cs="Times New Roman"/>
        </w:rPr>
        <w:t xml:space="preserve">starting </w:t>
      </w:r>
      <w:r w:rsidRPr="260DC83D">
        <w:rPr>
          <w:rFonts w:ascii="Times New Roman" w:hAnsi="Times New Roman" w:cs="Times New Roman"/>
        </w:rPr>
        <w:t xml:space="preserve">at follow-up 2 to obtain </w:t>
      </w:r>
      <w:r w:rsidRPr="260DC83D" w:rsidR="00F711EE">
        <w:rPr>
          <w:rFonts w:ascii="Times New Roman" w:hAnsi="Times New Roman" w:cs="Times New Roman"/>
        </w:rPr>
        <w:t xml:space="preserve">a total of </w:t>
      </w:r>
      <w:r w:rsidRPr="260DC83D">
        <w:rPr>
          <w:rFonts w:ascii="Times New Roman" w:hAnsi="Times New Roman" w:cs="Times New Roman"/>
        </w:rPr>
        <w:t xml:space="preserve">6,000 youth respondents </w:t>
      </w:r>
      <w:r w:rsidRPr="260DC83D">
        <w:rPr>
          <w:rFonts w:ascii="Times New Roman" w:hAnsi="Times New Roman" w:cs="Times New Roman"/>
        </w:rPr>
        <w:t>in order to</w:t>
      </w:r>
      <w:r w:rsidRPr="260DC83D">
        <w:rPr>
          <w:rFonts w:ascii="Times New Roman" w:hAnsi="Times New Roman" w:cs="Times New Roman"/>
        </w:rPr>
        <w:t xml:space="preserve"> maintain at least 4,800 </w:t>
      </w:r>
      <w:r w:rsidRPr="260DC83D" w:rsidR="00A90052">
        <w:rPr>
          <w:rFonts w:ascii="Times New Roman" w:hAnsi="Times New Roman" w:cs="Times New Roman"/>
        </w:rPr>
        <w:t xml:space="preserve">longitudinal </w:t>
      </w:r>
      <w:r w:rsidRPr="260DC83D">
        <w:rPr>
          <w:rFonts w:ascii="Times New Roman" w:hAnsi="Times New Roman" w:cs="Times New Roman"/>
        </w:rPr>
        <w:t xml:space="preserve">respondents at each wave. We expect the screening process to yield a 100 to one ratio of eligible responding households. </w:t>
      </w:r>
      <w:r w:rsidRPr="260DC83D" w:rsidR="00904D1A">
        <w:rPr>
          <w:rFonts w:ascii="Times New Roman" w:hAnsi="Times New Roman" w:cs="Times New Roman"/>
        </w:rPr>
        <w:t xml:space="preserve">For the baseline data collection, </w:t>
      </w:r>
      <w:r w:rsidRPr="260DC83D" w:rsidR="624BE93F">
        <w:rPr>
          <w:rFonts w:ascii="Times New Roman" w:hAnsi="Times New Roman" w:cs="Times New Roman"/>
        </w:rPr>
        <w:t>we</w:t>
      </w:r>
      <w:r w:rsidRPr="260DC83D" w:rsidR="00904D1A">
        <w:rPr>
          <w:rFonts w:ascii="Times New Roman" w:hAnsi="Times New Roman" w:cs="Times New Roman"/>
        </w:rPr>
        <w:t xml:space="preserve"> </w:t>
      </w:r>
      <w:r w:rsidRPr="260DC83D">
        <w:rPr>
          <w:rFonts w:ascii="Times New Roman" w:hAnsi="Times New Roman" w:cs="Times New Roman"/>
        </w:rPr>
        <w:t>mail</w:t>
      </w:r>
      <w:r w:rsidRPr="260DC83D" w:rsidR="0027709D">
        <w:rPr>
          <w:rFonts w:ascii="Times New Roman" w:hAnsi="Times New Roman" w:cs="Times New Roman"/>
        </w:rPr>
        <w:t>ed approximately</w:t>
      </w:r>
      <w:r w:rsidRPr="260DC83D">
        <w:rPr>
          <w:rFonts w:ascii="Times New Roman" w:hAnsi="Times New Roman" w:cs="Times New Roman"/>
        </w:rPr>
        <w:t xml:space="preserve"> </w:t>
      </w:r>
      <w:r w:rsidRPr="260DC83D" w:rsidR="00BC075B">
        <w:rPr>
          <w:rFonts w:ascii="Times New Roman" w:hAnsi="Times New Roman" w:cs="Times New Roman"/>
        </w:rPr>
        <w:t>330</w:t>
      </w:r>
      <w:r w:rsidRPr="260DC83D">
        <w:rPr>
          <w:rFonts w:ascii="Times New Roman" w:hAnsi="Times New Roman" w:cs="Times New Roman"/>
        </w:rPr>
        <w:t>,000 recruitment/study material packages (</w:t>
      </w:r>
      <w:r w:rsidRPr="260DC83D" w:rsidR="2D253DF7">
        <w:rPr>
          <w:rFonts w:ascii="Times New Roman" w:hAnsi="Times New Roman" w:cs="Times New Roman"/>
        </w:rPr>
        <w:t>9</w:t>
      </w:r>
      <w:r w:rsidRPr="260DC83D">
        <w:rPr>
          <w:rFonts w:ascii="Times New Roman" w:hAnsi="Times New Roman" w:cs="Times New Roman"/>
        </w:rPr>
        <w:t xml:space="preserve"> minutes per response) </w:t>
      </w:r>
      <w:r w:rsidRPr="260DC83D">
        <w:rPr>
          <w:rFonts w:ascii="Times New Roman" w:hAnsi="Times New Roman" w:cs="Times New Roman"/>
        </w:rPr>
        <w:t>in order to</w:t>
      </w:r>
      <w:r w:rsidRPr="260DC83D">
        <w:rPr>
          <w:rFonts w:ascii="Times New Roman" w:hAnsi="Times New Roman" w:cs="Times New Roman"/>
        </w:rPr>
        <w:t xml:space="preserve"> receive at least 200,000 completed screeners (5 minutes per response) by adults within households.</w:t>
      </w:r>
      <w:bookmarkStart w:id="24" w:name="_Hlk148434612"/>
      <w:r w:rsidRPr="260DC83D" w:rsidR="005F3B97">
        <w:rPr>
          <w:rFonts w:ascii="Times New Roman" w:hAnsi="Times New Roman" w:cs="Times New Roman"/>
        </w:rPr>
        <w:t xml:space="preserve"> </w:t>
      </w:r>
      <w:bookmarkEnd w:id="24"/>
      <w:r w:rsidRPr="260DC83D" w:rsidR="005F3B97">
        <w:rPr>
          <w:rFonts w:ascii="Times New Roman" w:hAnsi="Times New Roman" w:cs="Times New Roman"/>
        </w:rPr>
        <w:t xml:space="preserve">For households identified as eligible for the study during the screening process (i.e., the presence of one or more youth aged 11 to </w:t>
      </w:r>
      <w:r w:rsidRPr="260DC83D" w:rsidR="00D351EC">
        <w:rPr>
          <w:rFonts w:ascii="Times New Roman" w:hAnsi="Times New Roman" w:cs="Times New Roman"/>
        </w:rPr>
        <w:t>20</w:t>
      </w:r>
      <w:r w:rsidRPr="260DC83D" w:rsidR="005F3B97">
        <w:rPr>
          <w:rFonts w:ascii="Times New Roman" w:hAnsi="Times New Roman" w:cs="Times New Roman"/>
        </w:rPr>
        <w:t xml:space="preserve">), we will ask the parent/guardian </w:t>
      </w:r>
      <w:r w:rsidRPr="260DC83D" w:rsidR="00771C46">
        <w:rPr>
          <w:rFonts w:ascii="Times New Roman" w:hAnsi="Times New Roman" w:cs="Times New Roman"/>
        </w:rPr>
        <w:t xml:space="preserve">or an adult household member </w:t>
      </w:r>
      <w:r w:rsidRPr="260DC83D" w:rsidR="005F3B97">
        <w:rPr>
          <w:rFonts w:ascii="Times New Roman" w:hAnsi="Times New Roman" w:cs="Times New Roman"/>
        </w:rPr>
        <w:t xml:space="preserve">to list all eligible youth in their households for study selection, a process called rostering (5 minutes per response). </w:t>
      </w:r>
    </w:p>
    <w:p w:rsidR="002F5C81" w:rsidRPr="00DE152F" w:rsidP="1BF77947" w14:paraId="2C719A28" w14:textId="77777777">
      <w:pPr>
        <w:contextualSpacing/>
        <w:jc w:val="both"/>
        <w:rPr>
          <w:rFonts w:ascii="Times New Roman" w:hAnsi="Times New Roman" w:cs="Times New Roman"/>
        </w:rPr>
      </w:pPr>
      <w:r w:rsidRPr="1BF77947">
        <w:rPr>
          <w:rFonts w:ascii="Times New Roman" w:hAnsi="Times New Roman" w:cs="Times New Roman"/>
        </w:rPr>
        <w:t xml:space="preserve"> </w:t>
      </w:r>
    </w:p>
    <w:p w:rsidR="002F5C81" w:rsidRPr="00DE152F" w:rsidP="00662414" w14:paraId="1D33BFBC" w14:textId="77777777">
      <w:pPr>
        <w:contextualSpacing/>
        <w:rPr>
          <w:rFonts w:ascii="Times New Roman" w:hAnsi="Times New Roman" w:cs="Times New Roman"/>
        </w:rPr>
      </w:pPr>
      <w:r w:rsidRPr="1BF77947">
        <w:rPr>
          <w:rFonts w:ascii="Times New Roman" w:hAnsi="Times New Roman" w:cs="Times New Roman"/>
        </w:rPr>
        <w:t xml:space="preserve">For the main data collection at baseline, we plan to collect data from approximately 6,000 youth respondents from the 4,000 eligible households identified through screening. More than one eligible youth per household may be recruited for the study. These 6,000 youth respondents </w:t>
      </w:r>
      <w:r w:rsidRPr="1BF77947" w:rsidR="00E27DC9">
        <w:rPr>
          <w:rFonts w:ascii="Times New Roman" w:hAnsi="Times New Roman" w:cs="Times New Roman"/>
        </w:rPr>
        <w:t>will</w:t>
      </w:r>
      <w:r w:rsidRPr="1BF77947" w:rsidR="0022628C">
        <w:rPr>
          <w:rFonts w:ascii="Times New Roman" w:hAnsi="Times New Roman" w:cs="Times New Roman"/>
        </w:rPr>
        <w:t xml:space="preserve"> </w:t>
      </w:r>
      <w:r w:rsidRPr="1BF77947">
        <w:rPr>
          <w:rFonts w:ascii="Times New Roman" w:hAnsi="Times New Roman" w:cs="Times New Roman"/>
        </w:rPr>
        <w:t xml:space="preserve">provide baseline assent (5 minutes per response) and complete the survey (30 minutes per response). For these youth respondents, we will ask the parent/guardian to provide permission (5 minutes per response) for the youth to participate in the study. </w:t>
      </w:r>
    </w:p>
    <w:p w:rsidR="00781624" w:rsidP="00662414" w14:paraId="654F428C" w14:textId="77777777">
      <w:pPr>
        <w:contextualSpacing/>
        <w:rPr>
          <w:rFonts w:ascii="Times New Roman" w:hAnsi="Times New Roman" w:cs="Times New Roman"/>
        </w:rPr>
      </w:pPr>
    </w:p>
    <w:p w:rsidR="002F5C81" w:rsidRPr="00DE152F" w:rsidP="00662414" w14:paraId="2CB8D7FE" w14:textId="69F6DF19">
      <w:pPr>
        <w:contextualSpacing/>
        <w:rPr>
          <w:rFonts w:ascii="Times New Roman" w:hAnsi="Times New Roman" w:cs="Times New Roman"/>
        </w:rPr>
      </w:pPr>
      <w:r w:rsidRPr="260DC83D">
        <w:rPr>
          <w:rFonts w:ascii="Times New Roman" w:hAnsi="Times New Roman" w:cs="Times New Roman"/>
        </w:rPr>
        <w:t>We will send invitations and study materials to all 7,500 Baseline sample respondents</w:t>
      </w:r>
      <w:r w:rsidRPr="260DC83D" w:rsidR="55A6FD10">
        <w:rPr>
          <w:rFonts w:ascii="Times New Roman" w:hAnsi="Times New Roman" w:cs="Times New Roman"/>
        </w:rPr>
        <w:t xml:space="preserve"> </w:t>
      </w:r>
      <w:r w:rsidRPr="260DC83D" w:rsidR="00504801">
        <w:rPr>
          <w:rFonts w:ascii="Times New Roman" w:eastAsia="Times New Roman" w:hAnsi="Times New Roman" w:cs="Times New Roman"/>
        </w:rPr>
        <w:t>(main data collection n=6,000; supplemental data collection n=1,500)</w:t>
      </w:r>
      <w:r w:rsidRPr="260DC83D" w:rsidR="00504801">
        <w:rPr>
          <w:rFonts w:ascii="Times New Roman" w:hAnsi="Times New Roman" w:cs="Times New Roman"/>
        </w:rPr>
        <w:t xml:space="preserve"> </w:t>
      </w:r>
      <w:r w:rsidRPr="260DC83D" w:rsidR="3595CF78">
        <w:rPr>
          <w:rFonts w:ascii="Times New Roman" w:hAnsi="Times New Roman" w:cs="Times New Roman"/>
        </w:rPr>
        <w:t xml:space="preserve">to complete the survey </w:t>
      </w:r>
      <w:r w:rsidRPr="260DC83D" w:rsidR="55A6FD10">
        <w:rPr>
          <w:rFonts w:ascii="Times New Roman" w:hAnsi="Times New Roman" w:cs="Times New Roman"/>
        </w:rPr>
        <w:t xml:space="preserve">at </w:t>
      </w:r>
      <w:r w:rsidRPr="260DC83D" w:rsidR="00076FFD">
        <w:rPr>
          <w:rFonts w:ascii="Times New Roman" w:hAnsi="Times New Roman" w:cs="Times New Roman"/>
        </w:rPr>
        <w:t>Follow-up 1 (</w:t>
      </w:r>
      <w:r w:rsidRPr="260DC83D" w:rsidR="55A6FD10">
        <w:rPr>
          <w:rFonts w:ascii="Times New Roman" w:hAnsi="Times New Roman" w:cs="Times New Roman"/>
        </w:rPr>
        <w:t>FU1</w:t>
      </w:r>
      <w:r w:rsidRPr="260DC83D" w:rsidR="00076FFD">
        <w:rPr>
          <w:rFonts w:ascii="Times New Roman" w:hAnsi="Times New Roman" w:cs="Times New Roman"/>
        </w:rPr>
        <w:t xml:space="preserve">; </w:t>
      </w:r>
      <w:r w:rsidRPr="260DC83D" w:rsidR="6ED8B256">
        <w:rPr>
          <w:rFonts w:ascii="Times New Roman" w:hAnsi="Times New Roman" w:cs="Times New Roman"/>
        </w:rPr>
        <w:t>11</w:t>
      </w:r>
      <w:r w:rsidRPr="260DC83D">
        <w:rPr>
          <w:rFonts w:ascii="Times New Roman" w:hAnsi="Times New Roman" w:cs="Times New Roman"/>
        </w:rPr>
        <w:t xml:space="preserve"> minutes). </w:t>
      </w:r>
      <w:r w:rsidRPr="260DC83D" w:rsidR="35912449">
        <w:rPr>
          <w:rFonts w:ascii="Times New Roman" w:hAnsi="Times New Roman" w:cs="Times New Roman"/>
        </w:rPr>
        <w:t xml:space="preserve">These changes do not necessitate additional burden hours beyond what was approved in the original submission for this collection. </w:t>
      </w:r>
      <w:r w:rsidRPr="260DC83D">
        <w:rPr>
          <w:rFonts w:ascii="Times New Roman" w:hAnsi="Times New Roman" w:cs="Times New Roman"/>
        </w:rPr>
        <w:t>We estimate that we will retain 80% of the sample from baseline and collect data from 4,800 respondents (5 minutes per response) at FU1. These 4,800 youth respondents are estimated to provide assent (5 minutes per response) for follow-up 1 and complete the survey (30 minutes per response). For these youth respondents, we will ask the parent/guardian to provide permission (5 minutes per response) for the youth to participate in the study. We do not intend to replenish the sample at FU1.</w:t>
      </w:r>
    </w:p>
    <w:p w:rsidR="00781624" w:rsidP="00662414" w14:paraId="4A42EAAA" w14:textId="77777777">
      <w:pPr>
        <w:contextualSpacing/>
        <w:rPr>
          <w:rFonts w:ascii="Times New Roman" w:hAnsi="Times New Roman" w:cs="Times New Roman"/>
          <w:szCs w:val="24"/>
        </w:rPr>
      </w:pPr>
    </w:p>
    <w:p w:rsidR="002F5C81" w:rsidRPr="00DE152F" w:rsidP="00662414" w14:paraId="043148DD" w14:textId="3D65D7FF">
      <w:pPr>
        <w:contextualSpacing/>
        <w:rPr>
          <w:rFonts w:ascii="Times New Roman" w:hAnsi="Times New Roman" w:cs="Times New Roman"/>
        </w:rPr>
      </w:pPr>
      <w:r w:rsidRPr="260DC83D">
        <w:rPr>
          <w:rFonts w:ascii="Times New Roman" w:hAnsi="Times New Roman" w:cs="Times New Roman"/>
        </w:rPr>
        <w:t xml:space="preserve">We will send invitations and study materials to all 7,500 Baseline sample respondents </w:t>
      </w:r>
      <w:r w:rsidRPr="260DC83D" w:rsidR="14D606E0">
        <w:rPr>
          <w:rFonts w:ascii="Times New Roman" w:hAnsi="Times New Roman" w:cs="Times New Roman"/>
        </w:rPr>
        <w:t xml:space="preserve">to complete the survey </w:t>
      </w:r>
      <w:r w:rsidRPr="260DC83D">
        <w:rPr>
          <w:rFonts w:ascii="Times New Roman" w:hAnsi="Times New Roman" w:cs="Times New Roman"/>
        </w:rPr>
        <w:t>at FU2 (</w:t>
      </w:r>
      <w:r w:rsidRPr="260DC83D" w:rsidR="132CAA67">
        <w:rPr>
          <w:rFonts w:ascii="Times New Roman" w:hAnsi="Times New Roman" w:cs="Times New Roman"/>
        </w:rPr>
        <w:t>11</w:t>
      </w:r>
      <w:r w:rsidRPr="260DC83D">
        <w:rPr>
          <w:rFonts w:ascii="Times New Roman" w:hAnsi="Times New Roman" w:cs="Times New Roman"/>
        </w:rPr>
        <w:t xml:space="preserve"> minutes). We estimate that we will retain 80% of the sample from FU1 resulting in 3,840 respondents at FU2. To replenish the longitudinal sample at FU2, we will send additional “baseline” screeners to new households. We intend to send recruitment/study material packages to an additional 145,000 households (10 minutes per response) to receive an estimated 72,500 completed screeners (5 minutes per response). For households identified as eligible for the study during the screening process (i.e., the presence of 1 or more youth aged 11 to </w:t>
      </w:r>
      <w:r w:rsidRPr="260DC83D" w:rsidR="0040689E">
        <w:rPr>
          <w:rFonts w:ascii="Times New Roman" w:hAnsi="Times New Roman" w:cs="Times New Roman"/>
        </w:rPr>
        <w:t>20</w:t>
      </w:r>
      <w:r w:rsidRPr="260DC83D">
        <w:rPr>
          <w:rFonts w:ascii="Times New Roman" w:hAnsi="Times New Roman" w:cs="Times New Roman"/>
        </w:rPr>
        <w:t xml:space="preserve">), we will ask </w:t>
      </w:r>
      <w:r w:rsidRPr="260DC83D" w:rsidR="00326772">
        <w:rPr>
          <w:rFonts w:ascii="Times New Roman" w:hAnsi="Times New Roman" w:cs="Times New Roman"/>
        </w:rPr>
        <w:t xml:space="preserve">an adult </w:t>
      </w:r>
      <w:r w:rsidRPr="260DC83D" w:rsidR="003B5355">
        <w:rPr>
          <w:rFonts w:ascii="Times New Roman" w:hAnsi="Times New Roman" w:cs="Times New Roman"/>
        </w:rPr>
        <w:t xml:space="preserve">household </w:t>
      </w:r>
      <w:r w:rsidRPr="260DC83D" w:rsidR="00326772">
        <w:rPr>
          <w:rFonts w:ascii="Times New Roman" w:hAnsi="Times New Roman" w:cs="Times New Roman"/>
        </w:rPr>
        <w:t xml:space="preserve">member </w:t>
      </w:r>
      <w:r w:rsidRPr="260DC83D">
        <w:rPr>
          <w:rFonts w:ascii="Times New Roman" w:hAnsi="Times New Roman" w:cs="Times New Roman"/>
        </w:rPr>
        <w:t>to list all eligible youth in their households for study selection</w:t>
      </w:r>
      <w:r w:rsidRPr="260DC83D" w:rsidR="11115934">
        <w:rPr>
          <w:rFonts w:ascii="Times New Roman" w:hAnsi="Times New Roman" w:cs="Times New Roman"/>
        </w:rPr>
        <w:t xml:space="preserve"> (</w:t>
      </w:r>
      <w:r w:rsidRPr="260DC83D">
        <w:rPr>
          <w:rFonts w:ascii="Times New Roman" w:hAnsi="Times New Roman" w:cs="Times New Roman"/>
        </w:rPr>
        <w:t xml:space="preserve">5 minutes per response). Replenishing the sample will allow us to obtain 6,000 youth respondents at FU2 (3,840 from the original sample, and 2,160 from the replenishment sample) and maintain a minimum study sample of 4,800 respondent at all study waves. These 6,000 youth respondents are estimated to provide assent (5 minutes per response) for follow-up 2 and complete the survey (30 minutes per response).  For these youth respondents, we will ask the parent/guardian to provide permission (5 minutes per response) for the youth to participate in the study. </w:t>
      </w:r>
    </w:p>
    <w:p w:rsidR="00781624" w:rsidP="00662414" w14:paraId="71C4F63D" w14:textId="77777777">
      <w:pPr>
        <w:contextualSpacing/>
        <w:rPr>
          <w:rFonts w:ascii="Times New Roman" w:hAnsi="Times New Roman" w:cs="Times New Roman"/>
          <w:szCs w:val="24"/>
        </w:rPr>
      </w:pPr>
    </w:p>
    <w:p w:rsidR="0075597D" w:rsidP="00662414" w14:paraId="42C79AB9" w14:textId="071C2C27">
      <w:pPr>
        <w:contextualSpacing/>
        <w:rPr>
          <w:rFonts w:ascii="Times New Roman" w:hAnsi="Times New Roman" w:cs="Times New Roman"/>
        </w:rPr>
      </w:pPr>
      <w:r w:rsidRPr="260DC83D">
        <w:rPr>
          <w:rFonts w:ascii="Times New Roman" w:hAnsi="Times New Roman" w:cs="Times New Roman"/>
        </w:rPr>
        <w:t>We will send invitations and study materials to all 7,500 Baseline sample respondents</w:t>
      </w:r>
      <w:r w:rsidRPr="260DC83D" w:rsidR="00B773A3">
        <w:rPr>
          <w:rFonts w:ascii="Times New Roman" w:hAnsi="Times New Roman" w:cs="Times New Roman"/>
        </w:rPr>
        <w:t xml:space="preserve"> as well as the additional 2,160 </w:t>
      </w:r>
      <w:r w:rsidRPr="260DC83D" w:rsidR="00672A72">
        <w:rPr>
          <w:rFonts w:ascii="Times New Roman" w:hAnsi="Times New Roman" w:cs="Times New Roman"/>
        </w:rPr>
        <w:t>sample members recruited at FU2</w:t>
      </w:r>
      <w:r w:rsidRPr="260DC83D">
        <w:rPr>
          <w:rFonts w:ascii="Times New Roman" w:hAnsi="Times New Roman" w:cs="Times New Roman"/>
        </w:rPr>
        <w:t xml:space="preserve"> to complete the survey at FU3 (</w:t>
      </w:r>
      <w:r w:rsidRPr="260DC83D" w:rsidR="2FCF44AC">
        <w:rPr>
          <w:rFonts w:ascii="Times New Roman" w:hAnsi="Times New Roman" w:cs="Times New Roman"/>
        </w:rPr>
        <w:t>11</w:t>
      </w:r>
      <w:r w:rsidRPr="260DC83D">
        <w:rPr>
          <w:rFonts w:ascii="Times New Roman" w:hAnsi="Times New Roman" w:cs="Times New Roman"/>
        </w:rPr>
        <w:t xml:space="preserve"> minutes). We estimate that we will retain 80% of the sample from FU2 and collect data from 4,800 respondents at FU3. We do not intend to replenish the sample at FU3. These 4,800 youth respondents are estimated to provide assent (5 minutes per response) for follow-up </w:t>
      </w:r>
      <w:r w:rsidRPr="260DC83D" w:rsidR="00242D47">
        <w:rPr>
          <w:rFonts w:ascii="Times New Roman" w:hAnsi="Times New Roman" w:cs="Times New Roman"/>
        </w:rPr>
        <w:t>3</w:t>
      </w:r>
      <w:r w:rsidRPr="260DC83D">
        <w:rPr>
          <w:rFonts w:ascii="Times New Roman" w:hAnsi="Times New Roman" w:cs="Times New Roman"/>
        </w:rPr>
        <w:t xml:space="preserve"> and complete the survey (30 minutes per response).  For these youth respondents, we will ask the parent/guardian to provide permission (5 minutes per response) for the youth to participate in the study. </w:t>
      </w:r>
    </w:p>
    <w:p w:rsidR="00C66E12" w:rsidP="00662414" w14:paraId="5D779E73" w14:textId="77777777">
      <w:pPr>
        <w:contextualSpacing/>
        <w:rPr>
          <w:rFonts w:ascii="Times New Roman" w:hAnsi="Times New Roman" w:cs="Times New Roman"/>
        </w:rPr>
      </w:pPr>
    </w:p>
    <w:p w:rsidR="00C66E12" w:rsidRPr="00DE152F" w14:paraId="5EC10F35" w14:textId="26EE36CF">
      <w:pPr>
        <w:contextualSpacing/>
        <w:rPr>
          <w:rFonts w:ascii="Times New Roman" w:hAnsi="Times New Roman" w:cs="Times New Roman"/>
        </w:rPr>
      </w:pPr>
      <w:bookmarkStart w:id="25" w:name="_Int_E9oceeCn"/>
      <w:r w:rsidRPr="260DC83D">
        <w:rPr>
          <w:rFonts w:ascii="Times New Roman" w:hAnsi="Times New Roman" w:cs="Times New Roman"/>
        </w:rPr>
        <w:t xml:space="preserve">For FU4, we will replenish the sample </w:t>
      </w:r>
      <w:r w:rsidRPr="260DC83D">
        <w:rPr>
          <w:rFonts w:ascii="Times New Roman" w:hAnsi="Times New Roman" w:cs="Times New Roman"/>
        </w:rPr>
        <w:t>in order to</w:t>
      </w:r>
      <w:r w:rsidRPr="260DC83D">
        <w:rPr>
          <w:rFonts w:ascii="Times New Roman" w:hAnsi="Times New Roman" w:cs="Times New Roman"/>
        </w:rPr>
        <w:t xml:space="preserve"> obtain a sample size of 6,000 youth.</w:t>
      </w:r>
      <w:bookmarkEnd w:id="25"/>
      <w:r w:rsidRPr="260DC83D">
        <w:rPr>
          <w:rFonts w:ascii="Times New Roman" w:hAnsi="Times New Roman" w:cs="Times New Roman"/>
        </w:rPr>
        <w:t xml:space="preserve"> To achieve this, first, </w:t>
      </w:r>
      <w:r w:rsidRPr="260DC83D" w:rsidR="4368A7C2">
        <w:rPr>
          <w:rFonts w:ascii="Times New Roman" w:hAnsi="Times New Roman" w:cs="Times New Roman"/>
        </w:rPr>
        <w:t>w</w:t>
      </w:r>
      <w:r w:rsidRPr="260DC83D" w:rsidR="4E104627">
        <w:rPr>
          <w:rFonts w:ascii="Times New Roman" w:hAnsi="Times New Roman" w:cs="Times New Roman"/>
        </w:rPr>
        <w:t xml:space="preserve">e will send invitations and study materials to all </w:t>
      </w:r>
      <w:r w:rsidRPr="260DC83D" w:rsidR="5630AA40">
        <w:rPr>
          <w:rFonts w:ascii="Times New Roman" w:hAnsi="Times New Roman" w:cs="Times New Roman"/>
        </w:rPr>
        <w:t>9,6</w:t>
      </w:r>
      <w:r w:rsidRPr="260DC83D" w:rsidR="420F95A1">
        <w:rPr>
          <w:rFonts w:ascii="Times New Roman" w:hAnsi="Times New Roman" w:cs="Times New Roman"/>
        </w:rPr>
        <w:t>6</w:t>
      </w:r>
      <w:r w:rsidRPr="260DC83D" w:rsidR="4E104627">
        <w:rPr>
          <w:rFonts w:ascii="Times New Roman" w:hAnsi="Times New Roman" w:cs="Times New Roman"/>
        </w:rPr>
        <w:t>0 sample respondents</w:t>
      </w:r>
      <w:r w:rsidRPr="260DC83D" w:rsidR="78D80947">
        <w:rPr>
          <w:rFonts w:ascii="Times New Roman" w:hAnsi="Times New Roman" w:cs="Times New Roman"/>
        </w:rPr>
        <w:t xml:space="preserve"> (7,500 Baseline sample respondents and 2,160 sample members recruited at FU2)</w:t>
      </w:r>
      <w:r w:rsidRPr="260DC83D" w:rsidR="4E104627">
        <w:rPr>
          <w:rFonts w:ascii="Times New Roman" w:hAnsi="Times New Roman" w:cs="Times New Roman"/>
        </w:rPr>
        <w:t xml:space="preserve"> to complete the survey at FU</w:t>
      </w:r>
      <w:r w:rsidRPr="260DC83D" w:rsidR="6320175E">
        <w:rPr>
          <w:rFonts w:ascii="Times New Roman" w:hAnsi="Times New Roman" w:cs="Times New Roman"/>
        </w:rPr>
        <w:t>4</w:t>
      </w:r>
      <w:r w:rsidRPr="260DC83D" w:rsidR="4E104627">
        <w:rPr>
          <w:rFonts w:ascii="Times New Roman" w:hAnsi="Times New Roman" w:cs="Times New Roman"/>
        </w:rPr>
        <w:t xml:space="preserve"> (</w:t>
      </w:r>
      <w:r w:rsidRPr="260DC83D" w:rsidR="7A746C56">
        <w:rPr>
          <w:rFonts w:ascii="Times New Roman" w:hAnsi="Times New Roman" w:cs="Times New Roman"/>
        </w:rPr>
        <w:t>11</w:t>
      </w:r>
      <w:r w:rsidRPr="260DC83D" w:rsidR="4E104627">
        <w:rPr>
          <w:rFonts w:ascii="Times New Roman" w:hAnsi="Times New Roman" w:cs="Times New Roman"/>
        </w:rPr>
        <w:t xml:space="preserve"> minutes). We estimate that we will retain 80% of the sample from FU</w:t>
      </w:r>
      <w:r w:rsidRPr="260DC83D" w:rsidR="6A3D350C">
        <w:rPr>
          <w:rFonts w:ascii="Times New Roman" w:hAnsi="Times New Roman" w:cs="Times New Roman"/>
        </w:rPr>
        <w:t>3</w:t>
      </w:r>
      <w:r w:rsidRPr="260DC83D" w:rsidR="4E104627">
        <w:rPr>
          <w:rFonts w:ascii="Times New Roman" w:hAnsi="Times New Roman" w:cs="Times New Roman"/>
        </w:rPr>
        <w:t xml:space="preserve"> and collect data from </w:t>
      </w:r>
      <w:r w:rsidRPr="260DC83D" w:rsidR="606698D3">
        <w:rPr>
          <w:rFonts w:ascii="Times New Roman" w:hAnsi="Times New Roman" w:cs="Times New Roman"/>
        </w:rPr>
        <w:t>3,840</w:t>
      </w:r>
      <w:r w:rsidRPr="260DC83D" w:rsidR="4E104627">
        <w:rPr>
          <w:rFonts w:ascii="Times New Roman" w:hAnsi="Times New Roman" w:cs="Times New Roman"/>
        </w:rPr>
        <w:t xml:space="preserve"> respondents at FU</w:t>
      </w:r>
      <w:r w:rsidRPr="260DC83D" w:rsidR="6A3D350C">
        <w:rPr>
          <w:rFonts w:ascii="Times New Roman" w:hAnsi="Times New Roman" w:cs="Times New Roman"/>
        </w:rPr>
        <w:t>4</w:t>
      </w:r>
      <w:r w:rsidRPr="260DC83D" w:rsidR="4E104627">
        <w:rPr>
          <w:rFonts w:ascii="Times New Roman" w:hAnsi="Times New Roman" w:cs="Times New Roman"/>
        </w:rPr>
        <w:t xml:space="preserve">. </w:t>
      </w:r>
      <w:r w:rsidRPr="260DC83D" w:rsidR="517A2A02">
        <w:rPr>
          <w:rFonts w:ascii="Times New Roman" w:hAnsi="Times New Roman" w:cs="Times New Roman"/>
        </w:rPr>
        <w:t>Next, t</w:t>
      </w:r>
      <w:r w:rsidRPr="260DC83D" w:rsidR="4E104627">
        <w:rPr>
          <w:rFonts w:ascii="Times New Roman" w:hAnsi="Times New Roman" w:cs="Times New Roman"/>
        </w:rPr>
        <w:t>o replenish the longitudinal sample at FU</w:t>
      </w:r>
      <w:r w:rsidRPr="260DC83D" w:rsidR="6A3D350C">
        <w:rPr>
          <w:rFonts w:ascii="Times New Roman" w:hAnsi="Times New Roman" w:cs="Times New Roman"/>
        </w:rPr>
        <w:t>4</w:t>
      </w:r>
      <w:r w:rsidRPr="260DC83D" w:rsidR="4E104627">
        <w:rPr>
          <w:rFonts w:ascii="Times New Roman" w:hAnsi="Times New Roman" w:cs="Times New Roman"/>
        </w:rPr>
        <w:t xml:space="preserve">, we will send additional “baseline” screeners to new households. We intend to send recruitment/study material packages to an additional </w:t>
      </w:r>
      <w:r w:rsidRPr="260DC83D" w:rsidR="6A3D350C">
        <w:rPr>
          <w:rFonts w:ascii="Times New Roman" w:hAnsi="Times New Roman" w:cs="Times New Roman"/>
        </w:rPr>
        <w:t xml:space="preserve">145,000 </w:t>
      </w:r>
      <w:r w:rsidRPr="260DC83D" w:rsidR="4E104627">
        <w:rPr>
          <w:rFonts w:ascii="Times New Roman" w:hAnsi="Times New Roman" w:cs="Times New Roman"/>
        </w:rPr>
        <w:t>households (</w:t>
      </w:r>
      <w:r w:rsidRPr="260DC83D" w:rsidR="040929AA">
        <w:rPr>
          <w:rFonts w:ascii="Times New Roman" w:hAnsi="Times New Roman" w:cs="Times New Roman"/>
        </w:rPr>
        <w:t>9</w:t>
      </w:r>
      <w:r w:rsidRPr="260DC83D" w:rsidR="4E104627">
        <w:rPr>
          <w:rFonts w:ascii="Times New Roman" w:hAnsi="Times New Roman" w:cs="Times New Roman"/>
        </w:rPr>
        <w:t xml:space="preserve"> minutes per response) to receive an estimated </w:t>
      </w:r>
      <w:r w:rsidRPr="260DC83D" w:rsidR="6A3D350C">
        <w:rPr>
          <w:rFonts w:ascii="Times New Roman" w:hAnsi="Times New Roman" w:cs="Times New Roman"/>
        </w:rPr>
        <w:t>72,500</w:t>
      </w:r>
      <w:r w:rsidRPr="260DC83D" w:rsidR="4E104627">
        <w:rPr>
          <w:rFonts w:ascii="Times New Roman" w:hAnsi="Times New Roman" w:cs="Times New Roman"/>
        </w:rPr>
        <w:t xml:space="preserve"> completed screeners (5 minutes per response). For households identified as eligible for the study during the screening process (i.e., the presence of 1 or more youth aged 11 to 20), we will ask an adult member to list all eligible youth in their households for study selection (5 minutes per response). Replenishing the sample will allow us </w:t>
      </w:r>
      <w:r w:rsidRPr="260DC83D" w:rsidR="4E104627">
        <w:rPr>
          <w:rFonts w:ascii="Times New Roman" w:hAnsi="Times New Roman" w:cs="Times New Roman"/>
        </w:rPr>
        <w:t xml:space="preserve">to obtain </w:t>
      </w:r>
      <w:r w:rsidRPr="260DC83D" w:rsidR="3661C4D9">
        <w:rPr>
          <w:rFonts w:ascii="Times New Roman" w:hAnsi="Times New Roman" w:cs="Times New Roman"/>
        </w:rPr>
        <w:t>6,000</w:t>
      </w:r>
      <w:r w:rsidRPr="260DC83D" w:rsidR="4E104627">
        <w:rPr>
          <w:rFonts w:ascii="Times New Roman" w:hAnsi="Times New Roman" w:cs="Times New Roman"/>
        </w:rPr>
        <w:t xml:space="preserve"> respondents at FU</w:t>
      </w:r>
      <w:r w:rsidRPr="260DC83D" w:rsidR="5391F97F">
        <w:rPr>
          <w:rFonts w:ascii="Times New Roman" w:hAnsi="Times New Roman" w:cs="Times New Roman"/>
        </w:rPr>
        <w:t>4</w:t>
      </w:r>
      <w:r w:rsidRPr="260DC83D" w:rsidR="4E104627">
        <w:rPr>
          <w:rFonts w:ascii="Times New Roman" w:hAnsi="Times New Roman" w:cs="Times New Roman"/>
        </w:rPr>
        <w:t xml:space="preserve"> and maintain a minimum study sample of 4,800 respondent at all study waves. These </w:t>
      </w:r>
      <w:r w:rsidRPr="260DC83D" w:rsidR="2F9F2ABF">
        <w:rPr>
          <w:rFonts w:ascii="Times New Roman" w:hAnsi="Times New Roman" w:cs="Times New Roman"/>
        </w:rPr>
        <w:t>6,000</w:t>
      </w:r>
      <w:r w:rsidRPr="260DC83D" w:rsidR="43C7CC30">
        <w:rPr>
          <w:rFonts w:ascii="Times New Roman" w:hAnsi="Times New Roman" w:cs="Times New Roman"/>
        </w:rPr>
        <w:t xml:space="preserve"> </w:t>
      </w:r>
      <w:r w:rsidRPr="260DC83D" w:rsidR="4E104627">
        <w:rPr>
          <w:rFonts w:ascii="Times New Roman" w:hAnsi="Times New Roman" w:cs="Times New Roman"/>
        </w:rPr>
        <w:t xml:space="preserve">respondents are estimated to provide assent (5 minutes per response) for </w:t>
      </w:r>
      <w:r w:rsidRPr="260DC83D" w:rsidR="43C7CC30">
        <w:rPr>
          <w:rFonts w:ascii="Times New Roman" w:hAnsi="Times New Roman" w:cs="Times New Roman"/>
        </w:rPr>
        <w:t>FU</w:t>
      </w:r>
      <w:r w:rsidRPr="260DC83D" w:rsidR="5391F97F">
        <w:rPr>
          <w:rFonts w:ascii="Times New Roman" w:hAnsi="Times New Roman" w:cs="Times New Roman"/>
        </w:rPr>
        <w:t>4</w:t>
      </w:r>
      <w:r w:rsidRPr="260DC83D" w:rsidR="4E104627">
        <w:rPr>
          <w:rFonts w:ascii="Times New Roman" w:hAnsi="Times New Roman" w:cs="Times New Roman"/>
        </w:rPr>
        <w:t xml:space="preserve"> and complete the survey (30 minutes per response). </w:t>
      </w:r>
      <w:r w:rsidRPr="260DC83D" w:rsidR="0151603E">
        <w:rPr>
          <w:rFonts w:ascii="Times New Roman" w:hAnsi="Times New Roman" w:cs="Times New Roman"/>
        </w:rPr>
        <w:t>Where required</w:t>
      </w:r>
      <w:r w:rsidRPr="260DC83D" w:rsidR="4E104627">
        <w:rPr>
          <w:rFonts w:ascii="Times New Roman" w:hAnsi="Times New Roman" w:cs="Times New Roman"/>
        </w:rPr>
        <w:t xml:space="preserve">, we will ask the parent/guardian to provide permission (5 minutes per response) for the youth to participate in the study. </w:t>
      </w:r>
    </w:p>
    <w:p w:rsidR="686F6538" w:rsidP="686F6538" w14:paraId="5A274324" w14:textId="6F3D8900">
      <w:pPr>
        <w:contextualSpacing/>
        <w:rPr>
          <w:rFonts w:ascii="Times New Roman" w:hAnsi="Times New Roman" w:cs="Times New Roman"/>
        </w:rPr>
      </w:pPr>
    </w:p>
    <w:p w:rsidR="36CC32E0" w:rsidP="042C3055" w14:paraId="73131466" w14:textId="1BB9759F">
      <w:pPr>
        <w:contextualSpacing/>
        <w:rPr>
          <w:rFonts w:ascii="Times New Roman" w:hAnsi="Times New Roman" w:cs="Times New Roman"/>
        </w:rPr>
      </w:pPr>
      <w:r w:rsidRPr="260DC83D">
        <w:rPr>
          <w:rFonts w:ascii="Times New Roman" w:hAnsi="Times New Roman" w:cs="Times New Roman"/>
        </w:rPr>
        <w:t>We will send invitations and study materials to all 7,500 Baseline sample respondents as well as the additional 2,160 sample members recruited at FU2 and the 2,160 sample members recruited at FU4 to complete the survey at FU5 (</w:t>
      </w:r>
      <w:r w:rsidRPr="260DC83D" w:rsidR="7FBB21B6">
        <w:rPr>
          <w:rFonts w:ascii="Times New Roman" w:hAnsi="Times New Roman" w:cs="Times New Roman"/>
        </w:rPr>
        <w:t>11</w:t>
      </w:r>
      <w:r w:rsidRPr="260DC83D">
        <w:rPr>
          <w:rFonts w:ascii="Times New Roman" w:hAnsi="Times New Roman" w:cs="Times New Roman"/>
        </w:rPr>
        <w:t xml:space="preserve"> minutes). We estimate that we will retain 80% of the sample from FU4 and collect data from 4,800 respondents at FU5. We do not intend to replenish the sample at FU5. These 4,800 youth respondents are estimated to provide assent (5 minutes per response) for follow-up </w:t>
      </w:r>
      <w:r w:rsidRPr="260DC83D" w:rsidR="2E77167D">
        <w:rPr>
          <w:rFonts w:ascii="Times New Roman" w:hAnsi="Times New Roman" w:cs="Times New Roman"/>
        </w:rPr>
        <w:t>5</w:t>
      </w:r>
      <w:r w:rsidRPr="260DC83D">
        <w:rPr>
          <w:rFonts w:ascii="Times New Roman" w:hAnsi="Times New Roman" w:cs="Times New Roman"/>
        </w:rPr>
        <w:t xml:space="preserve"> and complete the survey (30 minutes per response).  For these youth respondents, we will ask the parent/guardian to provide permission (5 minutes per response) for the youth to participate in the study.</w:t>
      </w:r>
    </w:p>
    <w:p w:rsidR="7DC1110E" w:rsidP="00662414" w14:paraId="7E712D31" w14:textId="77777777">
      <w:pPr>
        <w:contextualSpacing/>
        <w:rPr>
          <w:rFonts w:eastAsia="Calibri"/>
        </w:rPr>
      </w:pPr>
    </w:p>
    <w:p w:rsidR="00523712" w:rsidP="00662414" w14:paraId="56DF9AC0" w14:textId="6303288C">
      <w:pPr>
        <w:contextualSpacing/>
        <w:rPr>
          <w:rFonts w:ascii="Times New Roman" w:hAnsi="Times New Roman" w:cs="Times New Roman"/>
        </w:rPr>
      </w:pPr>
      <w:r w:rsidRPr="5A751C2D">
        <w:rPr>
          <w:rFonts w:ascii="Times New Roman" w:hAnsi="Times New Roman" w:cs="Times New Roman"/>
        </w:rPr>
        <w:t xml:space="preserve">In addition to the main data collection, we intend to collect data from subpopulations shown to be at higher risk of initiating use of cigarettes and ENDS products, such as youth who identify as LGBTQ+ and youth who have a mental </w:t>
      </w:r>
      <w:r w:rsidRPr="5A751C2D" w:rsidR="037F3227">
        <w:rPr>
          <w:rFonts w:ascii="Times New Roman" w:hAnsi="Times New Roman" w:cs="Times New Roman"/>
        </w:rPr>
        <w:t>illness</w:t>
      </w:r>
      <w:r w:rsidRPr="5A751C2D">
        <w:rPr>
          <w:rFonts w:ascii="Times New Roman" w:hAnsi="Times New Roman" w:cs="Times New Roman"/>
        </w:rPr>
        <w:t>.  Data collection will consist of online self-administered surveys</w:t>
      </w:r>
      <w:r w:rsidRPr="5A751C2D" w:rsidR="00E45859">
        <w:rPr>
          <w:rFonts w:ascii="Times New Roman" w:hAnsi="Times New Roman" w:cs="Times New Roman"/>
        </w:rPr>
        <w:t xml:space="preserve"> </w:t>
      </w:r>
      <w:r w:rsidRPr="5A751C2D">
        <w:rPr>
          <w:rFonts w:ascii="Times New Roman" w:hAnsi="Times New Roman" w:cs="Times New Roman"/>
        </w:rPr>
        <w:t>of participants recruited through social media advertisements. The recruitment sample for this data collection will be youth ages 14 to 20 who meet the subpopulation criteria. We intend to collect data at baseline from 1,500 respondents.  We anticipate that we will need to screen 5,000 respondents (5 minutes per response) to obtain a baseline sample of 1,500 respondents who meet the subpopulation criteria. At baseline, we plan to collect data from approximately 1,500 respondents identified as eligible through screening.  These 1,500 youth respondents are estimated to provide assent (5 minutes per response) and complete the survey (30 minutes per response).  We estimate that we will lose approximately 20 percent of the original baseline sample at each FU wave; therefore, estimating 1,200 respondents at FU1, 960 respondents at FU2, 768 respondents at FU3</w:t>
      </w:r>
      <w:r w:rsidR="00BE4AB6">
        <w:rPr>
          <w:rFonts w:ascii="Times New Roman" w:hAnsi="Times New Roman" w:cs="Times New Roman"/>
        </w:rPr>
        <w:t xml:space="preserve">, 614 respondents at FU4, and </w:t>
      </w:r>
      <w:r w:rsidR="00570104">
        <w:rPr>
          <w:rFonts w:ascii="Times New Roman" w:hAnsi="Times New Roman" w:cs="Times New Roman"/>
        </w:rPr>
        <w:t>492 at FU5</w:t>
      </w:r>
      <w:r w:rsidRPr="5A751C2D">
        <w:rPr>
          <w:rFonts w:ascii="Times New Roman" w:hAnsi="Times New Roman" w:cs="Times New Roman"/>
        </w:rPr>
        <w:t>. For the FU samples, youth will provide assent (5 minutes per response) and complete the survey (30 minutes per response).</w:t>
      </w:r>
    </w:p>
    <w:p w:rsidR="00570104" w:rsidP="00662414" w14:paraId="2F3E510D" w14:textId="77777777">
      <w:pPr>
        <w:contextualSpacing/>
        <w:rPr>
          <w:rFonts w:ascii="Times New Roman" w:hAnsi="Times New Roman" w:cs="Times New Roman"/>
        </w:rPr>
      </w:pPr>
    </w:p>
    <w:p w:rsidR="002E7E07" w:rsidP="00662414" w14:paraId="5B408B98" w14:textId="77777777">
      <w:pPr>
        <w:contextualSpacing/>
        <w:rPr>
          <w:rFonts w:eastAsia="Calibri"/>
          <w:szCs w:val="24"/>
        </w:rPr>
      </w:pPr>
      <w:r w:rsidRPr="000051E8">
        <w:rPr>
          <w:rFonts w:ascii="Times New Roman" w:hAnsi="Times New Roman" w:cs="Times New Roman"/>
        </w:rPr>
        <w:t>The</w:t>
      </w:r>
      <w:r>
        <w:rPr>
          <w:rFonts w:ascii="Times New Roman" w:hAnsi="Times New Roman" w:cs="Times New Roman"/>
        </w:rPr>
        <w:t xml:space="preserve"> attachments are provided </w:t>
      </w:r>
      <w:r w:rsidRPr="000051E8">
        <w:rPr>
          <w:rFonts w:ascii="Times New Roman" w:hAnsi="Times New Roman" w:cs="Times New Roman"/>
        </w:rPr>
        <w:t xml:space="preserve">in both English and Spanish.  We will not be recruiting separate English-speaking and Spanish-speaking samples for this study. We are </w:t>
      </w:r>
      <w:r>
        <w:rPr>
          <w:rFonts w:ascii="Times New Roman" w:hAnsi="Times New Roman" w:cs="Times New Roman"/>
        </w:rPr>
        <w:t xml:space="preserve">simply </w:t>
      </w:r>
      <w:r w:rsidRPr="000051E8">
        <w:rPr>
          <w:rFonts w:ascii="Times New Roman" w:hAnsi="Times New Roman" w:cs="Times New Roman"/>
        </w:rPr>
        <w:t xml:space="preserve">providing Spanish-language consent/assent forms and surveys for participants who prefer to complete them over the English-language versions. </w:t>
      </w:r>
      <w:r>
        <w:rPr>
          <w:rFonts w:ascii="Times New Roman" w:hAnsi="Times New Roman" w:cs="Times New Roman"/>
        </w:rPr>
        <w:t xml:space="preserve">Regardless </w:t>
      </w:r>
      <w:r w:rsidRPr="000051E8">
        <w:rPr>
          <w:rFonts w:ascii="Times New Roman" w:hAnsi="Times New Roman" w:cs="Times New Roman"/>
        </w:rPr>
        <w:t>of what language the</w:t>
      </w:r>
      <w:r>
        <w:rPr>
          <w:rFonts w:ascii="Times New Roman" w:hAnsi="Times New Roman" w:cs="Times New Roman"/>
        </w:rPr>
        <w:t xml:space="preserve"> respondents</w:t>
      </w:r>
      <w:r w:rsidRPr="000051E8">
        <w:rPr>
          <w:rFonts w:ascii="Times New Roman" w:hAnsi="Times New Roman" w:cs="Times New Roman"/>
        </w:rPr>
        <w:t xml:space="preserve"> complete the consent/assent and surveys</w:t>
      </w:r>
      <w:r>
        <w:rPr>
          <w:rFonts w:ascii="Times New Roman" w:hAnsi="Times New Roman" w:cs="Times New Roman"/>
        </w:rPr>
        <w:t xml:space="preserve"> in, the estimated burden hours are identical.</w:t>
      </w:r>
    </w:p>
    <w:bookmarkEnd w:id="22"/>
    <w:p w:rsidR="00E2315F" w:rsidP="00613C01" w14:paraId="563829DF" w14:textId="77777777">
      <w:pPr>
        <w:autoSpaceDE w:val="0"/>
        <w:autoSpaceDN w:val="0"/>
        <w:adjustRightInd w:val="0"/>
        <w:ind w:left="180"/>
        <w:jc w:val="center"/>
        <w:rPr>
          <w:rFonts w:ascii="Times New Roman" w:eastAsia="Times New Roman" w:hAnsi="Times New Roman" w:cs="Times New Roman"/>
          <w:sz w:val="20"/>
          <w:szCs w:val="20"/>
          <w:u w:val="single"/>
        </w:rPr>
      </w:pPr>
    </w:p>
    <w:p w:rsidR="00E2315F" w:rsidP="00613C01" w14:paraId="43AB402E" w14:textId="77777777">
      <w:pPr>
        <w:autoSpaceDE w:val="0"/>
        <w:autoSpaceDN w:val="0"/>
        <w:adjustRightInd w:val="0"/>
        <w:ind w:left="180"/>
        <w:jc w:val="center"/>
        <w:rPr>
          <w:rFonts w:ascii="Times New Roman" w:eastAsia="Times New Roman" w:hAnsi="Times New Roman" w:cs="Times New Roman"/>
          <w:sz w:val="20"/>
          <w:szCs w:val="20"/>
          <w:u w:val="single"/>
        </w:rPr>
      </w:pPr>
    </w:p>
    <w:p w:rsidR="007E58CF" w:rsidRPr="00613C01" w:rsidP="00613C01" w14:paraId="1BC9FB55" w14:textId="1243CBC6">
      <w:pPr>
        <w:autoSpaceDE w:val="0"/>
        <w:autoSpaceDN w:val="0"/>
        <w:adjustRightInd w:val="0"/>
        <w:ind w:left="180"/>
        <w:jc w:val="center"/>
        <w:rPr>
          <w:rFonts w:ascii="Times New Roman" w:eastAsia="Times New Roman" w:hAnsi="Times New Roman" w:cs="Times New Roman"/>
          <w:sz w:val="20"/>
          <w:szCs w:val="20"/>
          <w:u w:val="single"/>
        </w:rPr>
      </w:pPr>
      <w:r w:rsidRPr="3BC52C47">
        <w:rPr>
          <w:rFonts w:ascii="Times New Roman" w:eastAsia="Times New Roman" w:hAnsi="Times New Roman" w:cs="Times New Roman"/>
          <w:sz w:val="20"/>
          <w:szCs w:val="20"/>
          <w:u w:val="single"/>
        </w:rPr>
        <w:t xml:space="preserve">Table </w:t>
      </w:r>
      <w:r w:rsidRPr="3BC52C47" w:rsidR="00F81D93">
        <w:rPr>
          <w:rFonts w:ascii="Times New Roman" w:eastAsia="Times New Roman" w:hAnsi="Times New Roman" w:cs="Times New Roman"/>
          <w:sz w:val="20"/>
          <w:szCs w:val="20"/>
          <w:u w:val="single"/>
        </w:rPr>
        <w:t>2</w:t>
      </w:r>
      <w:r w:rsidRPr="3BC52C47">
        <w:rPr>
          <w:rFonts w:ascii="Times New Roman" w:eastAsia="Times New Roman" w:hAnsi="Times New Roman" w:cs="Times New Roman"/>
          <w:sz w:val="20"/>
          <w:szCs w:val="20"/>
          <w:u w:val="single"/>
        </w:rPr>
        <w:t>.--</w:t>
      </w:r>
      <w:r w:rsidRPr="3BC52C47">
        <w:rPr>
          <w:rFonts w:ascii="Times New Roman" w:eastAsia="Times New Roman" w:hAnsi="Times New Roman" w:cs="Times New Roman"/>
          <w:sz w:val="20"/>
          <w:szCs w:val="20"/>
          <w:u w:val="single"/>
        </w:rPr>
        <w:t>Estimated Annual Reporting Burden</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4"/>
        <w:gridCol w:w="1352"/>
        <w:gridCol w:w="1173"/>
        <w:gridCol w:w="1261"/>
        <w:gridCol w:w="1481"/>
        <w:gridCol w:w="1301"/>
      </w:tblGrid>
      <w:tr w14:paraId="3A39D67B" w14:textId="77777777" w:rsidTr="003F31C2">
        <w:tblPrEx>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Height w:val="20"/>
        </w:trPr>
        <w:tc>
          <w:tcPr>
            <w:tcW w:w="1522" w:type="pct"/>
            <w:shd w:val="clear" w:color="auto" w:fill="auto"/>
            <w:vAlign w:val="center"/>
          </w:tcPr>
          <w:p w:rsidR="004F3812" w:rsidRPr="00613C01" w:rsidP="003F31C2" w14:paraId="2EBB9E75" w14:textId="77777777">
            <w:pPr>
              <w:jc w:val="center"/>
              <w:rPr>
                <w:rFonts w:ascii="Times New Roman" w:hAnsi="Times New Roman" w:cs="Times New Roman"/>
                <w:sz w:val="20"/>
                <w:szCs w:val="20"/>
              </w:rPr>
            </w:pPr>
            <w:r w:rsidRPr="00613C01">
              <w:rPr>
                <w:rFonts w:ascii="Times New Roman" w:hAnsi="Times New Roman" w:cs="Times New Roman"/>
                <w:sz w:val="20"/>
                <w:szCs w:val="20"/>
              </w:rPr>
              <w:t>Respondent/Activity</w:t>
            </w:r>
          </w:p>
        </w:tc>
        <w:tc>
          <w:tcPr>
            <w:tcW w:w="716" w:type="pct"/>
            <w:shd w:val="clear" w:color="auto" w:fill="auto"/>
            <w:vAlign w:val="center"/>
          </w:tcPr>
          <w:p w:rsidR="004F3812" w:rsidRPr="00613C01" w:rsidP="003F31C2" w14:paraId="6EBAB948" w14:textId="77777777">
            <w:pPr>
              <w:jc w:val="center"/>
              <w:rPr>
                <w:rFonts w:ascii="Times New Roman" w:hAnsi="Times New Roman" w:cs="Times New Roman"/>
                <w:sz w:val="20"/>
                <w:szCs w:val="20"/>
              </w:rPr>
            </w:pPr>
            <w:r w:rsidRPr="00613C01">
              <w:rPr>
                <w:rFonts w:ascii="Times New Roman" w:hAnsi="Times New Roman" w:cs="Times New Roman"/>
                <w:sz w:val="20"/>
                <w:szCs w:val="20"/>
              </w:rPr>
              <w:t>No. of Respondents</w:t>
            </w:r>
          </w:p>
        </w:tc>
        <w:tc>
          <w:tcPr>
            <w:tcW w:w="621" w:type="pct"/>
            <w:shd w:val="clear" w:color="auto" w:fill="auto"/>
            <w:vAlign w:val="center"/>
          </w:tcPr>
          <w:p w:rsidR="000E2182" w:rsidRPr="000E2182" w:rsidP="003F31C2" w14:paraId="0C62E3A3" w14:textId="77777777">
            <w:pPr>
              <w:jc w:val="center"/>
              <w:rPr>
                <w:rFonts w:ascii="Times New Roman" w:hAnsi="Times New Roman" w:cs="Times New Roman"/>
                <w:sz w:val="20"/>
                <w:szCs w:val="20"/>
              </w:rPr>
            </w:pPr>
            <w:r w:rsidRPr="00613C01">
              <w:rPr>
                <w:rFonts w:ascii="Times New Roman" w:hAnsi="Times New Roman" w:cs="Times New Roman"/>
                <w:sz w:val="20"/>
                <w:szCs w:val="20"/>
              </w:rPr>
              <w:t>No. of Responses per Respondent</w:t>
            </w:r>
          </w:p>
        </w:tc>
        <w:tc>
          <w:tcPr>
            <w:tcW w:w="668" w:type="pct"/>
            <w:shd w:val="clear" w:color="auto" w:fill="auto"/>
            <w:vAlign w:val="center"/>
          </w:tcPr>
          <w:p w:rsidR="004F3812" w:rsidRPr="00613C01" w:rsidP="003F31C2" w14:paraId="48C3AE05" w14:textId="77777777">
            <w:pPr>
              <w:jc w:val="center"/>
              <w:rPr>
                <w:rFonts w:ascii="Times New Roman" w:hAnsi="Times New Roman" w:cs="Times New Roman"/>
                <w:sz w:val="20"/>
                <w:szCs w:val="20"/>
              </w:rPr>
            </w:pPr>
            <w:r w:rsidRPr="00613C01">
              <w:rPr>
                <w:rFonts w:ascii="Times New Roman" w:hAnsi="Times New Roman" w:cs="Times New Roman"/>
                <w:sz w:val="20"/>
                <w:szCs w:val="20"/>
              </w:rPr>
              <w:t>Total Annual Responses</w:t>
            </w:r>
          </w:p>
        </w:tc>
        <w:tc>
          <w:tcPr>
            <w:tcW w:w="784" w:type="pct"/>
            <w:tcBorders>
              <w:bottom w:val="single" w:sz="4" w:space="0" w:color="auto"/>
            </w:tcBorders>
            <w:shd w:val="clear" w:color="auto" w:fill="auto"/>
            <w:vAlign w:val="center"/>
          </w:tcPr>
          <w:p w:rsidR="004F3812" w:rsidRPr="00613C01" w:rsidP="003F31C2" w14:paraId="15F7CC70" w14:textId="77777777">
            <w:pPr>
              <w:jc w:val="center"/>
              <w:rPr>
                <w:rFonts w:ascii="Times New Roman" w:hAnsi="Times New Roman" w:cs="Times New Roman"/>
                <w:sz w:val="20"/>
                <w:szCs w:val="20"/>
              </w:rPr>
            </w:pPr>
            <w:r w:rsidRPr="00613C01">
              <w:rPr>
                <w:rFonts w:ascii="Times New Roman" w:hAnsi="Times New Roman" w:cs="Times New Roman"/>
                <w:sz w:val="20"/>
                <w:szCs w:val="20"/>
              </w:rPr>
              <w:t>Average Burden per Response</w:t>
            </w:r>
          </w:p>
        </w:tc>
        <w:tc>
          <w:tcPr>
            <w:tcW w:w="689" w:type="pct"/>
            <w:tcBorders>
              <w:bottom w:val="single" w:sz="4" w:space="0" w:color="auto"/>
            </w:tcBorders>
            <w:shd w:val="clear" w:color="auto" w:fill="auto"/>
            <w:vAlign w:val="center"/>
          </w:tcPr>
          <w:p w:rsidR="004F3812" w:rsidRPr="00613C01" w:rsidP="003F31C2" w14:paraId="5E6A9743" w14:textId="77777777">
            <w:pPr>
              <w:jc w:val="center"/>
              <w:rPr>
                <w:rFonts w:ascii="Times New Roman" w:hAnsi="Times New Roman" w:cs="Times New Roman"/>
                <w:sz w:val="20"/>
                <w:szCs w:val="20"/>
              </w:rPr>
            </w:pPr>
            <w:r w:rsidRPr="00613C01">
              <w:rPr>
                <w:rFonts w:ascii="Times New Roman" w:hAnsi="Times New Roman" w:cs="Times New Roman"/>
                <w:sz w:val="20"/>
                <w:szCs w:val="20"/>
              </w:rPr>
              <w:t>Total Hours</w:t>
            </w:r>
          </w:p>
        </w:tc>
      </w:tr>
      <w:tr w14:paraId="17B72144" w14:textId="77777777" w:rsidTr="001706F4">
        <w:tblPrEx>
          <w:tblW w:w="5049" w:type="pct"/>
          <w:tblLook w:val="01E0"/>
        </w:tblPrEx>
        <w:trPr>
          <w:cantSplit/>
          <w:trHeight w:val="20"/>
        </w:trPr>
        <w:tc>
          <w:tcPr>
            <w:tcW w:w="1522" w:type="pct"/>
            <w:shd w:val="clear" w:color="auto" w:fill="auto"/>
          </w:tcPr>
          <w:p w:rsidR="001706F4" w:rsidRPr="00613C01" w:rsidP="001706F4" w14:paraId="57E61129" w14:textId="47282F86">
            <w:pPr>
              <w:rPr>
                <w:rFonts w:ascii="Times New Roman" w:hAnsi="Times New Roman" w:cs="Times New Roman"/>
                <w:sz w:val="20"/>
                <w:szCs w:val="20"/>
              </w:rPr>
            </w:pPr>
            <w:r w:rsidRPr="5A751C2D">
              <w:rPr>
                <w:rFonts w:ascii="Times New Roman" w:hAnsi="Times New Roman" w:cs="Times New Roman"/>
                <w:sz w:val="20"/>
                <w:szCs w:val="20"/>
              </w:rPr>
              <w:t>Recruitment Study Materials--Main: Baseline Recruitment &amp; Follow-up</w:t>
            </w:r>
            <w:r>
              <w:rPr>
                <w:rFonts w:ascii="Times New Roman" w:hAnsi="Times New Roman" w:cs="Times New Roman"/>
                <w:sz w:val="20"/>
                <w:szCs w:val="20"/>
              </w:rPr>
              <w:t xml:space="preserve"> </w:t>
            </w:r>
            <w:r w:rsidRPr="5A751C2D">
              <w:rPr>
                <w:rFonts w:ascii="Times New Roman" w:hAnsi="Times New Roman" w:cs="Times New Roman"/>
                <w:sz w:val="20"/>
                <w:szCs w:val="20"/>
              </w:rPr>
              <w:t>Replenishment</w:t>
            </w:r>
            <w:r>
              <w:rPr>
                <w:rFonts w:ascii="Times New Roman" w:hAnsi="Times New Roman" w:cs="Times New Roman"/>
                <w:sz w:val="20"/>
                <w:szCs w:val="20"/>
              </w:rPr>
              <w:t>s</w:t>
            </w:r>
          </w:p>
        </w:tc>
        <w:tc>
          <w:tcPr>
            <w:tcW w:w="716" w:type="pct"/>
            <w:shd w:val="clear" w:color="auto" w:fill="auto"/>
            <w:vAlign w:val="center"/>
          </w:tcPr>
          <w:p w:rsidR="001706F4" w:rsidRPr="00613C01" w:rsidP="001706F4" w14:paraId="302D41FD" w14:textId="75ADA5D6">
            <w:pPr>
              <w:jc w:val="center"/>
              <w:rPr>
                <w:rFonts w:ascii="Times New Roman" w:hAnsi="Times New Roman" w:cs="Times New Roman"/>
                <w:sz w:val="20"/>
                <w:szCs w:val="20"/>
              </w:rPr>
            </w:pPr>
            <w:r>
              <w:rPr>
                <w:rFonts w:ascii="Times New Roman" w:hAnsi="Times New Roman" w:cs="Times New Roman"/>
                <w:sz w:val="20"/>
                <w:szCs w:val="20"/>
              </w:rPr>
              <w:t>620,000</w:t>
            </w:r>
          </w:p>
        </w:tc>
        <w:tc>
          <w:tcPr>
            <w:tcW w:w="621" w:type="pct"/>
            <w:shd w:val="clear" w:color="auto" w:fill="auto"/>
            <w:vAlign w:val="center"/>
          </w:tcPr>
          <w:p w:rsidR="001706F4" w:rsidRPr="00613C01" w:rsidP="001706F4" w14:paraId="5349568F"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3F8A8903" w14:textId="5CDF1F70">
            <w:pPr>
              <w:jc w:val="center"/>
              <w:rPr>
                <w:rFonts w:ascii="Times New Roman" w:hAnsi="Times New Roman" w:cs="Times New Roman"/>
                <w:sz w:val="20"/>
                <w:szCs w:val="20"/>
              </w:rPr>
            </w:pPr>
            <w:r>
              <w:rPr>
                <w:rFonts w:ascii="Times New Roman" w:hAnsi="Times New Roman" w:cs="Times New Roman"/>
                <w:sz w:val="20"/>
                <w:szCs w:val="20"/>
              </w:rPr>
              <w:t>620,000</w:t>
            </w:r>
          </w:p>
        </w:tc>
        <w:tc>
          <w:tcPr>
            <w:tcW w:w="784" w:type="pct"/>
            <w:tcBorders>
              <w:bottom w:val="single" w:sz="4" w:space="0" w:color="auto"/>
            </w:tcBorders>
            <w:shd w:val="clear" w:color="auto" w:fill="auto"/>
            <w:vAlign w:val="center"/>
          </w:tcPr>
          <w:p w:rsidR="001706F4" w:rsidRPr="00613C01" w:rsidP="001706F4" w14:paraId="40B7027E" w14:textId="3DE6FCEF">
            <w:pPr>
              <w:jc w:val="center"/>
              <w:rPr>
                <w:rFonts w:ascii="Times New Roman" w:hAnsi="Times New Roman" w:cs="Times New Roman"/>
                <w:sz w:val="20"/>
                <w:szCs w:val="20"/>
              </w:rPr>
            </w:pPr>
            <w:r w:rsidRPr="260DC83D">
              <w:rPr>
                <w:rFonts w:ascii="Times New Roman" w:hAnsi="Times New Roman" w:cs="Times New Roman"/>
                <w:sz w:val="20"/>
                <w:szCs w:val="20"/>
              </w:rPr>
              <w:t>.15 (9 mins)</w:t>
            </w:r>
          </w:p>
        </w:tc>
        <w:tc>
          <w:tcPr>
            <w:tcW w:w="689" w:type="pct"/>
            <w:tcBorders>
              <w:bottom w:val="single" w:sz="4" w:space="0" w:color="auto"/>
            </w:tcBorders>
            <w:shd w:val="clear" w:color="auto" w:fill="auto"/>
            <w:vAlign w:val="center"/>
          </w:tcPr>
          <w:p w:rsidR="001706F4" w:rsidRPr="00613C01" w:rsidP="001706F4" w14:paraId="47E783C6" w14:textId="74FD8955">
            <w:pPr>
              <w:jc w:val="center"/>
              <w:rPr>
                <w:rFonts w:ascii="Times New Roman" w:eastAsia="Times New Roman" w:hAnsi="Times New Roman" w:cs="Times New Roman"/>
                <w:sz w:val="20"/>
                <w:szCs w:val="20"/>
              </w:rPr>
            </w:pPr>
            <w:r w:rsidRPr="260DC83D">
              <w:rPr>
                <w:rFonts w:ascii="Times New Roman" w:hAnsi="Times New Roman" w:cs="Times New Roman"/>
                <w:sz w:val="20"/>
                <w:szCs w:val="20"/>
              </w:rPr>
              <w:t>93,000</w:t>
            </w:r>
          </w:p>
        </w:tc>
      </w:tr>
      <w:tr w14:paraId="5502DBF4" w14:textId="77777777" w:rsidTr="001706F4">
        <w:tblPrEx>
          <w:tblW w:w="5049" w:type="pct"/>
          <w:tblLook w:val="01E0"/>
        </w:tblPrEx>
        <w:trPr>
          <w:cantSplit/>
          <w:trHeight w:val="20"/>
        </w:trPr>
        <w:tc>
          <w:tcPr>
            <w:tcW w:w="1522" w:type="pct"/>
            <w:shd w:val="clear" w:color="auto" w:fill="auto"/>
          </w:tcPr>
          <w:p w:rsidR="001706F4" w:rsidRPr="41DF01FD" w:rsidP="001706F4" w14:paraId="6783FB7A" w14:textId="33D5CF94">
            <w:pPr>
              <w:rPr>
                <w:rFonts w:ascii="Times New Roman" w:hAnsi="Times New Roman" w:cs="Times New Roman"/>
                <w:sz w:val="20"/>
                <w:szCs w:val="20"/>
              </w:rPr>
            </w:pPr>
            <w:r w:rsidRPr="5A751C2D">
              <w:rPr>
                <w:rFonts w:ascii="Times New Roman" w:hAnsi="Times New Roman" w:cs="Times New Roman"/>
                <w:sz w:val="20"/>
                <w:szCs w:val="20"/>
              </w:rPr>
              <w:t xml:space="preserve">Recruitment Study Materials--Main: Follow-up </w:t>
            </w:r>
            <w:r>
              <w:rPr>
                <w:rFonts w:ascii="Times New Roman" w:hAnsi="Times New Roman" w:cs="Times New Roman"/>
                <w:sz w:val="20"/>
                <w:szCs w:val="20"/>
              </w:rPr>
              <w:t>waves for</w:t>
            </w:r>
            <w:r w:rsidRPr="5A751C2D">
              <w:rPr>
                <w:rFonts w:ascii="Times New Roman" w:hAnsi="Times New Roman" w:cs="Times New Roman"/>
                <w:sz w:val="20"/>
                <w:szCs w:val="20"/>
              </w:rPr>
              <w:t xml:space="preserve"> Longitudinal respondents</w:t>
            </w:r>
          </w:p>
        </w:tc>
        <w:tc>
          <w:tcPr>
            <w:tcW w:w="716" w:type="pct"/>
            <w:shd w:val="clear" w:color="auto" w:fill="auto"/>
            <w:vAlign w:val="center"/>
          </w:tcPr>
          <w:p w:rsidR="001706F4" w:rsidRPr="00613C01" w:rsidP="001706F4" w14:paraId="4D5365FD" w14:textId="255857FA">
            <w:pPr>
              <w:jc w:val="center"/>
              <w:rPr>
                <w:rFonts w:ascii="Times New Roman" w:hAnsi="Times New Roman" w:cs="Times New Roman"/>
                <w:sz w:val="20"/>
                <w:szCs w:val="20"/>
              </w:rPr>
            </w:pPr>
            <w:r>
              <w:rPr>
                <w:rFonts w:ascii="Times New Roman" w:hAnsi="Times New Roman" w:cs="Times New Roman"/>
                <w:sz w:val="20"/>
                <w:szCs w:val="20"/>
              </w:rPr>
              <w:t>46,140</w:t>
            </w:r>
          </w:p>
        </w:tc>
        <w:tc>
          <w:tcPr>
            <w:tcW w:w="621" w:type="pct"/>
            <w:shd w:val="clear" w:color="auto" w:fill="auto"/>
            <w:vAlign w:val="center"/>
          </w:tcPr>
          <w:p w:rsidR="001706F4" w:rsidRPr="00613C01" w:rsidP="001706F4" w14:paraId="137C7F9E" w14:textId="77777777">
            <w:pPr>
              <w:jc w:val="center"/>
              <w:rPr>
                <w:rFonts w:ascii="Times New Roman" w:hAnsi="Times New Roman" w:cs="Times New Roman"/>
                <w:sz w:val="20"/>
                <w:szCs w:val="20"/>
              </w:rPr>
            </w:pPr>
            <w:r w:rsidRPr="3D18928F">
              <w:rPr>
                <w:rFonts w:ascii="Times New Roman" w:hAnsi="Times New Roman" w:cs="Times New Roman"/>
                <w:sz w:val="20"/>
                <w:szCs w:val="20"/>
              </w:rPr>
              <w:t>1</w:t>
            </w:r>
          </w:p>
        </w:tc>
        <w:tc>
          <w:tcPr>
            <w:tcW w:w="668" w:type="pct"/>
            <w:shd w:val="clear" w:color="auto" w:fill="auto"/>
            <w:vAlign w:val="center"/>
          </w:tcPr>
          <w:p w:rsidR="001706F4" w:rsidRPr="00613C01" w:rsidP="001706F4" w14:paraId="2A3888AC" w14:textId="4933DB8D">
            <w:pPr>
              <w:jc w:val="center"/>
              <w:rPr>
                <w:rFonts w:ascii="Times New Roman" w:hAnsi="Times New Roman" w:cs="Times New Roman"/>
                <w:sz w:val="20"/>
                <w:szCs w:val="20"/>
              </w:rPr>
            </w:pPr>
            <w:r w:rsidRPr="1FEBD9AD">
              <w:rPr>
                <w:rFonts w:ascii="Times New Roman" w:hAnsi="Times New Roman" w:cs="Times New Roman"/>
                <w:sz w:val="20"/>
                <w:szCs w:val="20"/>
              </w:rPr>
              <w:t>46,140</w:t>
            </w:r>
          </w:p>
        </w:tc>
        <w:tc>
          <w:tcPr>
            <w:tcW w:w="784" w:type="pct"/>
            <w:tcBorders>
              <w:bottom w:val="single" w:sz="4" w:space="0" w:color="auto"/>
            </w:tcBorders>
            <w:shd w:val="clear" w:color="auto" w:fill="auto"/>
            <w:vAlign w:val="center"/>
          </w:tcPr>
          <w:p w:rsidR="001706F4" w:rsidRPr="00613C01" w:rsidP="001706F4" w14:paraId="55DFF1C5" w14:textId="56572294">
            <w:pPr>
              <w:jc w:val="center"/>
              <w:rPr>
                <w:rFonts w:ascii="Times New Roman" w:hAnsi="Times New Roman" w:cs="Times New Roman"/>
                <w:sz w:val="20"/>
                <w:szCs w:val="20"/>
              </w:rPr>
            </w:pPr>
            <w:r w:rsidRPr="260DC83D">
              <w:rPr>
                <w:rFonts w:ascii="Times New Roman" w:hAnsi="Times New Roman" w:cs="Times New Roman"/>
                <w:sz w:val="20"/>
                <w:szCs w:val="20"/>
              </w:rPr>
              <w:t>.19 (11 mins)</w:t>
            </w:r>
          </w:p>
        </w:tc>
        <w:tc>
          <w:tcPr>
            <w:tcW w:w="689" w:type="pct"/>
            <w:tcBorders>
              <w:bottom w:val="single" w:sz="4" w:space="0" w:color="auto"/>
            </w:tcBorders>
            <w:shd w:val="clear" w:color="auto" w:fill="auto"/>
            <w:vAlign w:val="center"/>
          </w:tcPr>
          <w:p w:rsidR="001706F4" w:rsidRPr="00613C01" w:rsidP="001706F4" w14:paraId="0B4AF0C1" w14:textId="56737AC6">
            <w:pPr>
              <w:jc w:val="center"/>
              <w:rPr>
                <w:rFonts w:ascii="Times New Roman" w:hAnsi="Times New Roman" w:cs="Times New Roman"/>
                <w:sz w:val="20"/>
                <w:szCs w:val="20"/>
              </w:rPr>
            </w:pPr>
            <w:r>
              <w:rPr>
                <w:rFonts w:ascii="Times New Roman" w:hAnsi="Times New Roman" w:cs="Times New Roman"/>
                <w:sz w:val="20"/>
                <w:szCs w:val="20"/>
              </w:rPr>
              <w:t>8,76</w:t>
            </w:r>
            <w:r w:rsidR="0022496C">
              <w:rPr>
                <w:rFonts w:ascii="Times New Roman" w:hAnsi="Times New Roman" w:cs="Times New Roman"/>
                <w:sz w:val="20"/>
                <w:szCs w:val="20"/>
              </w:rPr>
              <w:t>7</w:t>
            </w:r>
          </w:p>
        </w:tc>
      </w:tr>
      <w:tr w14:paraId="0CD5421C" w14:textId="77777777" w:rsidTr="001706F4">
        <w:tblPrEx>
          <w:tblW w:w="5049" w:type="pct"/>
          <w:tblLook w:val="01E0"/>
        </w:tblPrEx>
        <w:trPr>
          <w:cantSplit/>
          <w:trHeight w:val="20"/>
        </w:trPr>
        <w:tc>
          <w:tcPr>
            <w:tcW w:w="1522" w:type="pct"/>
            <w:shd w:val="clear" w:color="auto" w:fill="auto"/>
          </w:tcPr>
          <w:p w:rsidR="001706F4" w:rsidRPr="00613C01" w:rsidP="001706F4" w14:paraId="69BCF030" w14:textId="3DBDFA8B">
            <w:pPr>
              <w:rPr>
                <w:rFonts w:ascii="Times New Roman" w:hAnsi="Times New Roman" w:cs="Times New Roman"/>
                <w:sz w:val="20"/>
                <w:szCs w:val="20"/>
              </w:rPr>
            </w:pPr>
            <w:r w:rsidRPr="00613C01">
              <w:rPr>
                <w:rFonts w:ascii="Times New Roman" w:hAnsi="Times New Roman" w:cs="Times New Roman"/>
                <w:sz w:val="20"/>
                <w:szCs w:val="20"/>
              </w:rPr>
              <w:t>Parent Screener--Main: Baseline &amp; Follow-up Replenishment</w:t>
            </w:r>
            <w:r>
              <w:rPr>
                <w:rFonts w:ascii="Times New Roman" w:hAnsi="Times New Roman" w:cs="Times New Roman"/>
                <w:sz w:val="20"/>
                <w:szCs w:val="20"/>
              </w:rPr>
              <w:t>s</w:t>
            </w:r>
          </w:p>
        </w:tc>
        <w:tc>
          <w:tcPr>
            <w:tcW w:w="716" w:type="pct"/>
            <w:shd w:val="clear" w:color="auto" w:fill="auto"/>
            <w:vAlign w:val="center"/>
          </w:tcPr>
          <w:p w:rsidR="001706F4" w:rsidRPr="00613C01" w:rsidP="001706F4" w14:paraId="10574565" w14:textId="3C416ECD">
            <w:pPr>
              <w:jc w:val="center"/>
              <w:rPr>
                <w:rFonts w:ascii="Times New Roman" w:hAnsi="Times New Roman" w:cs="Times New Roman"/>
                <w:sz w:val="20"/>
                <w:szCs w:val="20"/>
              </w:rPr>
            </w:pPr>
            <w:r>
              <w:rPr>
                <w:rFonts w:ascii="Times New Roman" w:hAnsi="Times New Roman" w:cs="Times New Roman"/>
                <w:sz w:val="20"/>
                <w:szCs w:val="20"/>
              </w:rPr>
              <w:t>345,000</w:t>
            </w:r>
          </w:p>
        </w:tc>
        <w:tc>
          <w:tcPr>
            <w:tcW w:w="621" w:type="pct"/>
            <w:shd w:val="clear" w:color="auto" w:fill="auto"/>
            <w:vAlign w:val="center"/>
          </w:tcPr>
          <w:p w:rsidR="001706F4" w:rsidRPr="00613C01" w:rsidP="001706F4" w14:paraId="7F0DF301"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553059DC" w14:textId="3544932D">
            <w:pPr>
              <w:jc w:val="center"/>
              <w:rPr>
                <w:rFonts w:ascii="Times New Roman" w:hAnsi="Times New Roman" w:cs="Times New Roman"/>
                <w:sz w:val="20"/>
                <w:szCs w:val="20"/>
              </w:rPr>
            </w:pPr>
            <w:r>
              <w:rPr>
                <w:rFonts w:ascii="Times New Roman" w:hAnsi="Times New Roman" w:cs="Times New Roman"/>
                <w:sz w:val="20"/>
                <w:szCs w:val="20"/>
              </w:rPr>
              <w:t>345,000</w:t>
            </w:r>
          </w:p>
        </w:tc>
        <w:tc>
          <w:tcPr>
            <w:tcW w:w="784" w:type="pct"/>
            <w:tcBorders>
              <w:bottom w:val="single" w:sz="4" w:space="0" w:color="auto"/>
            </w:tcBorders>
            <w:shd w:val="clear" w:color="auto" w:fill="auto"/>
            <w:vAlign w:val="center"/>
          </w:tcPr>
          <w:p w:rsidR="001706F4" w:rsidRPr="00613C01" w:rsidP="001706F4" w14:paraId="3AF4275C"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89" w:type="pct"/>
            <w:tcBorders>
              <w:bottom w:val="single" w:sz="4" w:space="0" w:color="auto"/>
            </w:tcBorders>
            <w:shd w:val="clear" w:color="auto" w:fill="auto"/>
            <w:vAlign w:val="center"/>
          </w:tcPr>
          <w:p w:rsidR="001706F4" w:rsidRPr="00613C01" w:rsidP="001706F4" w14:paraId="4396D77A" w14:textId="74E1791D">
            <w:pPr>
              <w:jc w:val="center"/>
              <w:rPr>
                <w:rFonts w:ascii="Times New Roman" w:hAnsi="Times New Roman" w:cs="Times New Roman"/>
                <w:sz w:val="20"/>
                <w:szCs w:val="20"/>
              </w:rPr>
            </w:pPr>
            <w:r>
              <w:rPr>
                <w:rFonts w:ascii="Times New Roman" w:hAnsi="Times New Roman" w:cs="Times New Roman"/>
                <w:sz w:val="20"/>
                <w:szCs w:val="20"/>
              </w:rPr>
              <w:t>27,600</w:t>
            </w:r>
          </w:p>
        </w:tc>
      </w:tr>
      <w:tr w14:paraId="3B794510" w14:textId="77777777" w:rsidTr="001706F4">
        <w:tblPrEx>
          <w:tblW w:w="5049" w:type="pct"/>
          <w:tblLook w:val="01E0"/>
        </w:tblPrEx>
        <w:trPr>
          <w:cantSplit/>
          <w:trHeight w:val="20"/>
        </w:trPr>
        <w:tc>
          <w:tcPr>
            <w:tcW w:w="1522" w:type="pct"/>
            <w:shd w:val="clear" w:color="auto" w:fill="auto"/>
          </w:tcPr>
          <w:p w:rsidR="001706F4" w:rsidRPr="00613C01" w:rsidP="001706F4" w14:paraId="6C55D707" w14:textId="632BD290">
            <w:pPr>
              <w:rPr>
                <w:rFonts w:ascii="Times New Roman" w:hAnsi="Times New Roman" w:cs="Times New Roman"/>
                <w:sz w:val="20"/>
                <w:szCs w:val="20"/>
              </w:rPr>
            </w:pPr>
            <w:r w:rsidRPr="5A751C2D">
              <w:rPr>
                <w:rFonts w:ascii="Times New Roman" w:hAnsi="Times New Roman" w:cs="Times New Roman"/>
                <w:sz w:val="20"/>
                <w:szCs w:val="20"/>
              </w:rPr>
              <w:t>Household Roster--Main: Baseline &amp; Follow-up Replenishment</w:t>
            </w:r>
            <w:r>
              <w:rPr>
                <w:rFonts w:ascii="Times New Roman" w:hAnsi="Times New Roman" w:cs="Times New Roman"/>
                <w:sz w:val="20"/>
                <w:szCs w:val="20"/>
              </w:rPr>
              <w:t>s</w:t>
            </w:r>
          </w:p>
        </w:tc>
        <w:tc>
          <w:tcPr>
            <w:tcW w:w="716" w:type="pct"/>
            <w:shd w:val="clear" w:color="auto" w:fill="auto"/>
            <w:vAlign w:val="center"/>
          </w:tcPr>
          <w:p w:rsidR="001706F4" w:rsidRPr="00613C01" w:rsidP="001706F4" w14:paraId="342723DA" w14:textId="2339C497">
            <w:pPr>
              <w:jc w:val="center"/>
              <w:rPr>
                <w:rFonts w:ascii="Times New Roman" w:hAnsi="Times New Roman" w:cs="Times New Roman"/>
                <w:sz w:val="20"/>
                <w:szCs w:val="20"/>
              </w:rPr>
            </w:pPr>
            <w:r>
              <w:rPr>
                <w:rFonts w:ascii="Times New Roman" w:hAnsi="Times New Roman" w:cs="Times New Roman"/>
                <w:sz w:val="20"/>
                <w:szCs w:val="20"/>
              </w:rPr>
              <w:t>7,000</w:t>
            </w:r>
          </w:p>
        </w:tc>
        <w:tc>
          <w:tcPr>
            <w:tcW w:w="621" w:type="pct"/>
            <w:shd w:val="clear" w:color="auto" w:fill="auto"/>
            <w:vAlign w:val="center"/>
          </w:tcPr>
          <w:p w:rsidR="001706F4" w:rsidRPr="00613C01" w:rsidP="001706F4" w14:paraId="5C9722DB"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2D212265" w14:textId="7A37AC5E">
            <w:pPr>
              <w:jc w:val="center"/>
              <w:rPr>
                <w:rFonts w:ascii="Times New Roman" w:hAnsi="Times New Roman" w:cs="Times New Roman"/>
                <w:sz w:val="20"/>
                <w:szCs w:val="20"/>
              </w:rPr>
            </w:pPr>
            <w:r>
              <w:rPr>
                <w:rFonts w:ascii="Times New Roman" w:hAnsi="Times New Roman" w:cs="Times New Roman"/>
                <w:sz w:val="20"/>
                <w:szCs w:val="20"/>
              </w:rPr>
              <w:t>7,000</w:t>
            </w:r>
          </w:p>
        </w:tc>
        <w:tc>
          <w:tcPr>
            <w:tcW w:w="784" w:type="pct"/>
            <w:tcBorders>
              <w:bottom w:val="single" w:sz="4" w:space="0" w:color="auto"/>
            </w:tcBorders>
            <w:shd w:val="clear" w:color="auto" w:fill="auto"/>
            <w:vAlign w:val="center"/>
          </w:tcPr>
          <w:p w:rsidR="001706F4" w:rsidRPr="00613C01" w:rsidP="001706F4" w14:paraId="6B3159AD"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89" w:type="pct"/>
            <w:tcBorders>
              <w:bottom w:val="single" w:sz="4" w:space="0" w:color="auto"/>
            </w:tcBorders>
            <w:shd w:val="clear" w:color="auto" w:fill="auto"/>
            <w:vAlign w:val="center"/>
          </w:tcPr>
          <w:p w:rsidR="001706F4" w:rsidRPr="001706F4" w:rsidP="001706F4" w14:paraId="5F4A2BA5" w14:textId="4F85B5AF">
            <w:pPr>
              <w:jc w:val="center"/>
              <w:rPr>
                <w:rFonts w:ascii="Times New Roman" w:hAnsi="Times New Roman" w:cs="Times New Roman"/>
                <w:sz w:val="20"/>
                <w:szCs w:val="20"/>
              </w:rPr>
            </w:pPr>
            <w:r>
              <w:rPr>
                <w:rFonts w:ascii="Times New Roman" w:hAnsi="Times New Roman" w:cs="Times New Roman"/>
                <w:sz w:val="20"/>
                <w:szCs w:val="20"/>
              </w:rPr>
              <w:t>560</w:t>
            </w:r>
          </w:p>
        </w:tc>
      </w:tr>
      <w:tr w14:paraId="7C29592E" w14:textId="77777777" w:rsidTr="001706F4">
        <w:tblPrEx>
          <w:tblW w:w="5049" w:type="pct"/>
          <w:tblLook w:val="01E0"/>
        </w:tblPrEx>
        <w:trPr>
          <w:cantSplit/>
          <w:trHeight w:val="20"/>
        </w:trPr>
        <w:tc>
          <w:tcPr>
            <w:tcW w:w="1522" w:type="pct"/>
            <w:shd w:val="clear" w:color="auto" w:fill="auto"/>
          </w:tcPr>
          <w:p w:rsidR="001706F4" w:rsidRPr="00613C01" w:rsidP="001706F4" w14:paraId="302F7AE1" w14:textId="4F1FE178">
            <w:pPr>
              <w:rPr>
                <w:rFonts w:ascii="Times New Roman" w:hAnsi="Times New Roman" w:cs="Times New Roman"/>
                <w:sz w:val="20"/>
                <w:szCs w:val="20"/>
              </w:rPr>
            </w:pPr>
            <w:r w:rsidRPr="00613C01">
              <w:rPr>
                <w:rFonts w:ascii="Times New Roman" w:hAnsi="Times New Roman" w:cs="Times New Roman"/>
                <w:sz w:val="20"/>
                <w:szCs w:val="20"/>
              </w:rPr>
              <w:t xml:space="preserve">Parent Permission--Main: Baseline &amp; Follow-up </w:t>
            </w:r>
            <w:r>
              <w:rPr>
                <w:rFonts w:ascii="Times New Roman" w:hAnsi="Times New Roman" w:cs="Times New Roman"/>
                <w:sz w:val="20"/>
                <w:szCs w:val="20"/>
              </w:rPr>
              <w:t>waves</w:t>
            </w:r>
          </w:p>
        </w:tc>
        <w:tc>
          <w:tcPr>
            <w:tcW w:w="716" w:type="pct"/>
            <w:shd w:val="clear" w:color="auto" w:fill="auto"/>
            <w:vAlign w:val="center"/>
          </w:tcPr>
          <w:p w:rsidR="001706F4" w:rsidRPr="00613C01" w:rsidP="001706F4" w14:paraId="2889C455" w14:textId="15199DE6">
            <w:pPr>
              <w:jc w:val="center"/>
              <w:rPr>
                <w:rFonts w:ascii="Times New Roman" w:hAnsi="Times New Roman" w:cs="Times New Roman"/>
                <w:sz w:val="20"/>
                <w:szCs w:val="20"/>
              </w:rPr>
            </w:pPr>
            <w:r>
              <w:rPr>
                <w:rFonts w:ascii="Times New Roman" w:hAnsi="Times New Roman" w:cs="Times New Roman"/>
                <w:sz w:val="20"/>
                <w:szCs w:val="20"/>
              </w:rPr>
              <w:t>32,400</w:t>
            </w:r>
          </w:p>
        </w:tc>
        <w:tc>
          <w:tcPr>
            <w:tcW w:w="621" w:type="pct"/>
            <w:shd w:val="clear" w:color="auto" w:fill="auto"/>
            <w:vAlign w:val="center"/>
          </w:tcPr>
          <w:p w:rsidR="001706F4" w:rsidRPr="00613C01" w:rsidP="001706F4" w14:paraId="483DCC5E"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05D603AD" w14:textId="12CB4A36">
            <w:pPr>
              <w:jc w:val="center"/>
              <w:rPr>
                <w:rFonts w:ascii="Times New Roman" w:hAnsi="Times New Roman" w:cs="Times New Roman"/>
                <w:sz w:val="20"/>
                <w:szCs w:val="20"/>
              </w:rPr>
            </w:pPr>
            <w:r>
              <w:rPr>
                <w:rFonts w:ascii="Times New Roman" w:hAnsi="Times New Roman" w:cs="Times New Roman"/>
                <w:sz w:val="20"/>
                <w:szCs w:val="20"/>
              </w:rPr>
              <w:t>32,400</w:t>
            </w:r>
          </w:p>
        </w:tc>
        <w:tc>
          <w:tcPr>
            <w:tcW w:w="784" w:type="pct"/>
            <w:tcBorders>
              <w:bottom w:val="single" w:sz="4" w:space="0" w:color="auto"/>
            </w:tcBorders>
            <w:shd w:val="clear" w:color="auto" w:fill="auto"/>
            <w:vAlign w:val="center"/>
          </w:tcPr>
          <w:p w:rsidR="001706F4" w:rsidRPr="00613C01" w:rsidP="001706F4" w14:paraId="7E57A8EF"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89" w:type="pct"/>
            <w:tcBorders>
              <w:bottom w:val="single" w:sz="4" w:space="0" w:color="auto"/>
            </w:tcBorders>
            <w:shd w:val="clear" w:color="auto" w:fill="auto"/>
            <w:vAlign w:val="center"/>
          </w:tcPr>
          <w:p w:rsidR="001706F4" w:rsidRPr="00613C01" w:rsidP="001706F4" w14:paraId="03F8D5A9" w14:textId="3AF6DBEA">
            <w:pPr>
              <w:jc w:val="center"/>
              <w:rPr>
                <w:rFonts w:ascii="Times New Roman" w:hAnsi="Times New Roman" w:cs="Times New Roman"/>
                <w:sz w:val="20"/>
                <w:szCs w:val="20"/>
              </w:rPr>
            </w:pPr>
            <w:r>
              <w:rPr>
                <w:rFonts w:ascii="Times New Roman" w:hAnsi="Times New Roman" w:cs="Times New Roman"/>
                <w:sz w:val="20"/>
                <w:szCs w:val="20"/>
              </w:rPr>
              <w:t>2,592</w:t>
            </w:r>
          </w:p>
        </w:tc>
      </w:tr>
      <w:tr w14:paraId="0FAFA496" w14:textId="77777777" w:rsidTr="001706F4">
        <w:tblPrEx>
          <w:tblW w:w="5049" w:type="pct"/>
          <w:tblLook w:val="01E0"/>
        </w:tblPrEx>
        <w:trPr>
          <w:cantSplit/>
          <w:trHeight w:val="20"/>
        </w:trPr>
        <w:tc>
          <w:tcPr>
            <w:tcW w:w="1522" w:type="pct"/>
            <w:shd w:val="clear" w:color="auto" w:fill="auto"/>
          </w:tcPr>
          <w:p w:rsidR="001706F4" w:rsidRPr="00613C01" w:rsidP="001706F4" w14:paraId="594F4108" w14:textId="29220674">
            <w:pPr>
              <w:rPr>
                <w:rFonts w:ascii="Times New Roman" w:hAnsi="Times New Roman" w:cs="Times New Roman"/>
                <w:sz w:val="20"/>
                <w:szCs w:val="20"/>
              </w:rPr>
            </w:pPr>
            <w:r w:rsidRPr="00613C01">
              <w:rPr>
                <w:rFonts w:ascii="Times New Roman" w:hAnsi="Times New Roman" w:cs="Times New Roman"/>
                <w:sz w:val="20"/>
                <w:szCs w:val="20"/>
              </w:rPr>
              <w:t xml:space="preserve">Youth Assent--Main: Baseline &amp; Follow-up </w:t>
            </w:r>
            <w:r>
              <w:rPr>
                <w:rFonts w:ascii="Times New Roman" w:hAnsi="Times New Roman" w:cs="Times New Roman"/>
                <w:sz w:val="20"/>
                <w:szCs w:val="20"/>
              </w:rPr>
              <w:t>waves</w:t>
            </w:r>
          </w:p>
        </w:tc>
        <w:tc>
          <w:tcPr>
            <w:tcW w:w="716" w:type="pct"/>
            <w:shd w:val="clear" w:color="auto" w:fill="auto"/>
            <w:vAlign w:val="center"/>
          </w:tcPr>
          <w:p w:rsidR="001706F4" w:rsidRPr="00613C01" w:rsidP="001706F4" w14:paraId="507EAB8B" w14:textId="195E5CB8">
            <w:pPr>
              <w:jc w:val="center"/>
              <w:rPr>
                <w:rFonts w:ascii="Times New Roman" w:hAnsi="Times New Roman" w:cs="Times New Roman"/>
                <w:sz w:val="20"/>
                <w:szCs w:val="20"/>
              </w:rPr>
            </w:pPr>
            <w:r>
              <w:rPr>
                <w:rFonts w:ascii="Times New Roman" w:hAnsi="Times New Roman" w:cs="Times New Roman"/>
                <w:sz w:val="20"/>
                <w:szCs w:val="20"/>
              </w:rPr>
              <w:t>32,400</w:t>
            </w:r>
          </w:p>
        </w:tc>
        <w:tc>
          <w:tcPr>
            <w:tcW w:w="621" w:type="pct"/>
            <w:shd w:val="clear" w:color="auto" w:fill="auto"/>
            <w:vAlign w:val="center"/>
          </w:tcPr>
          <w:p w:rsidR="001706F4" w:rsidRPr="00613C01" w:rsidP="001706F4" w14:paraId="2687D2F5"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43B4C437" w14:textId="5417CABF">
            <w:pPr>
              <w:jc w:val="center"/>
              <w:rPr>
                <w:rFonts w:ascii="Times New Roman" w:hAnsi="Times New Roman" w:cs="Times New Roman"/>
                <w:sz w:val="20"/>
                <w:szCs w:val="20"/>
              </w:rPr>
            </w:pPr>
            <w:r>
              <w:rPr>
                <w:rFonts w:ascii="Times New Roman" w:hAnsi="Times New Roman" w:cs="Times New Roman"/>
                <w:sz w:val="20"/>
                <w:szCs w:val="20"/>
              </w:rPr>
              <w:t>32,400</w:t>
            </w:r>
          </w:p>
        </w:tc>
        <w:tc>
          <w:tcPr>
            <w:tcW w:w="784" w:type="pct"/>
            <w:tcBorders>
              <w:bottom w:val="single" w:sz="4" w:space="0" w:color="auto"/>
            </w:tcBorders>
            <w:shd w:val="clear" w:color="auto" w:fill="auto"/>
            <w:vAlign w:val="center"/>
          </w:tcPr>
          <w:p w:rsidR="001706F4" w:rsidRPr="00613C01" w:rsidP="001706F4" w14:paraId="08D84933"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89" w:type="pct"/>
            <w:tcBorders>
              <w:bottom w:val="single" w:sz="4" w:space="0" w:color="auto"/>
            </w:tcBorders>
            <w:shd w:val="clear" w:color="auto" w:fill="auto"/>
            <w:vAlign w:val="center"/>
          </w:tcPr>
          <w:p w:rsidR="001706F4" w:rsidRPr="00613C01" w:rsidP="001706F4" w14:paraId="6C7CED7C" w14:textId="0A2E1BDC">
            <w:pPr>
              <w:jc w:val="center"/>
              <w:rPr>
                <w:rFonts w:ascii="Times New Roman" w:hAnsi="Times New Roman" w:cs="Times New Roman"/>
                <w:sz w:val="20"/>
                <w:szCs w:val="20"/>
              </w:rPr>
            </w:pPr>
            <w:r>
              <w:rPr>
                <w:rFonts w:ascii="Times New Roman" w:hAnsi="Times New Roman" w:cs="Times New Roman"/>
                <w:sz w:val="20"/>
                <w:szCs w:val="20"/>
              </w:rPr>
              <w:t>2,592</w:t>
            </w:r>
          </w:p>
        </w:tc>
      </w:tr>
      <w:tr w14:paraId="5D6295E2" w14:textId="77777777" w:rsidTr="001706F4">
        <w:tblPrEx>
          <w:tblW w:w="5049" w:type="pct"/>
          <w:tblLook w:val="01E0"/>
        </w:tblPrEx>
        <w:trPr>
          <w:cantSplit/>
          <w:trHeight w:val="20"/>
        </w:trPr>
        <w:tc>
          <w:tcPr>
            <w:tcW w:w="1522" w:type="pct"/>
            <w:shd w:val="clear" w:color="auto" w:fill="auto"/>
          </w:tcPr>
          <w:p w:rsidR="001706F4" w:rsidRPr="00613C01" w:rsidP="001706F4" w14:paraId="6049CFC1" w14:textId="02B7E94F">
            <w:pPr>
              <w:rPr>
                <w:rFonts w:ascii="Times New Roman" w:hAnsi="Times New Roman" w:cs="Times New Roman"/>
                <w:sz w:val="20"/>
                <w:szCs w:val="20"/>
              </w:rPr>
            </w:pPr>
            <w:r w:rsidRPr="00613C01">
              <w:rPr>
                <w:rFonts w:ascii="Times New Roman" w:hAnsi="Times New Roman" w:cs="Times New Roman"/>
                <w:sz w:val="20"/>
                <w:szCs w:val="20"/>
              </w:rPr>
              <w:t>Youth Survey--Main: Baseline &amp; Follow-up</w:t>
            </w:r>
            <w:r>
              <w:rPr>
                <w:rFonts w:ascii="Times New Roman" w:hAnsi="Times New Roman" w:cs="Times New Roman"/>
                <w:sz w:val="20"/>
                <w:szCs w:val="20"/>
              </w:rPr>
              <w:t>s</w:t>
            </w:r>
          </w:p>
        </w:tc>
        <w:tc>
          <w:tcPr>
            <w:tcW w:w="716" w:type="pct"/>
            <w:shd w:val="clear" w:color="auto" w:fill="auto"/>
            <w:vAlign w:val="center"/>
          </w:tcPr>
          <w:p w:rsidR="001706F4" w:rsidRPr="00613C01" w:rsidP="001706F4" w14:paraId="0AB400F9" w14:textId="647E2415">
            <w:pPr>
              <w:jc w:val="center"/>
              <w:rPr>
                <w:rFonts w:ascii="Times New Roman" w:hAnsi="Times New Roman" w:cs="Times New Roman"/>
                <w:sz w:val="20"/>
                <w:szCs w:val="20"/>
              </w:rPr>
            </w:pPr>
            <w:r>
              <w:rPr>
                <w:rFonts w:ascii="Times New Roman" w:hAnsi="Times New Roman" w:cs="Times New Roman"/>
                <w:sz w:val="20"/>
                <w:szCs w:val="20"/>
              </w:rPr>
              <w:t>32,400</w:t>
            </w:r>
          </w:p>
        </w:tc>
        <w:tc>
          <w:tcPr>
            <w:tcW w:w="621" w:type="pct"/>
            <w:shd w:val="clear" w:color="auto" w:fill="auto"/>
            <w:vAlign w:val="center"/>
          </w:tcPr>
          <w:p w:rsidR="001706F4" w:rsidRPr="00613C01" w:rsidP="001706F4" w14:paraId="36960C7A"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35696AC1" w14:textId="563B3629">
            <w:pPr>
              <w:jc w:val="center"/>
              <w:rPr>
                <w:rFonts w:ascii="Times New Roman" w:hAnsi="Times New Roman" w:cs="Times New Roman"/>
                <w:sz w:val="20"/>
                <w:szCs w:val="20"/>
              </w:rPr>
            </w:pPr>
            <w:r>
              <w:rPr>
                <w:rFonts w:ascii="Times New Roman" w:hAnsi="Times New Roman" w:cs="Times New Roman"/>
                <w:sz w:val="20"/>
                <w:szCs w:val="20"/>
              </w:rPr>
              <w:t>32,400</w:t>
            </w:r>
          </w:p>
        </w:tc>
        <w:tc>
          <w:tcPr>
            <w:tcW w:w="784" w:type="pct"/>
            <w:tcBorders>
              <w:bottom w:val="single" w:sz="4" w:space="0" w:color="auto"/>
            </w:tcBorders>
            <w:shd w:val="clear" w:color="auto" w:fill="auto"/>
            <w:vAlign w:val="center"/>
          </w:tcPr>
          <w:p w:rsidR="001706F4" w:rsidRPr="00613C01" w:rsidP="001706F4" w14:paraId="28313E10" w14:textId="77777777">
            <w:pPr>
              <w:jc w:val="center"/>
              <w:rPr>
                <w:rFonts w:ascii="Times New Roman" w:hAnsi="Times New Roman" w:cs="Times New Roman"/>
                <w:sz w:val="20"/>
                <w:szCs w:val="20"/>
              </w:rPr>
            </w:pPr>
            <w:r w:rsidRPr="00613C01">
              <w:rPr>
                <w:rFonts w:ascii="Times New Roman" w:hAnsi="Times New Roman" w:cs="Times New Roman"/>
                <w:sz w:val="20"/>
                <w:szCs w:val="20"/>
              </w:rPr>
              <w:t>.50 (30 mins)</w:t>
            </w:r>
          </w:p>
        </w:tc>
        <w:tc>
          <w:tcPr>
            <w:tcW w:w="689" w:type="pct"/>
            <w:tcBorders>
              <w:bottom w:val="single" w:sz="4" w:space="0" w:color="auto"/>
            </w:tcBorders>
            <w:shd w:val="clear" w:color="auto" w:fill="auto"/>
            <w:vAlign w:val="center"/>
          </w:tcPr>
          <w:p w:rsidR="001706F4" w:rsidRPr="00613C01" w:rsidP="001706F4" w14:paraId="0426BE63" w14:textId="6F290D5F">
            <w:pPr>
              <w:jc w:val="center"/>
              <w:rPr>
                <w:rFonts w:ascii="Times New Roman" w:hAnsi="Times New Roman" w:cs="Times New Roman"/>
                <w:sz w:val="20"/>
                <w:szCs w:val="20"/>
              </w:rPr>
            </w:pPr>
            <w:r>
              <w:rPr>
                <w:rFonts w:ascii="Times New Roman" w:hAnsi="Times New Roman" w:cs="Times New Roman"/>
                <w:sz w:val="20"/>
                <w:szCs w:val="20"/>
              </w:rPr>
              <w:t>16,200</w:t>
            </w:r>
          </w:p>
        </w:tc>
      </w:tr>
      <w:tr w14:paraId="760DE80F" w14:textId="77777777" w:rsidTr="001706F4">
        <w:tblPrEx>
          <w:tblW w:w="5049" w:type="pct"/>
          <w:tblLook w:val="01E0"/>
        </w:tblPrEx>
        <w:trPr>
          <w:cantSplit/>
          <w:trHeight w:val="20"/>
        </w:trPr>
        <w:tc>
          <w:tcPr>
            <w:tcW w:w="1522" w:type="pct"/>
            <w:shd w:val="clear" w:color="auto" w:fill="auto"/>
          </w:tcPr>
          <w:p w:rsidR="001706F4" w:rsidRPr="00613C01" w:rsidP="001706F4" w14:paraId="2A1CE89A" w14:textId="2BC422CE">
            <w:pPr>
              <w:rPr>
                <w:rFonts w:ascii="Times New Roman" w:hAnsi="Times New Roman" w:cs="Times New Roman"/>
                <w:sz w:val="20"/>
                <w:szCs w:val="20"/>
              </w:rPr>
            </w:pPr>
            <w:r w:rsidRPr="00613C01">
              <w:rPr>
                <w:rFonts w:ascii="Times New Roman" w:hAnsi="Times New Roman" w:cs="Times New Roman"/>
                <w:sz w:val="20"/>
                <w:szCs w:val="20"/>
              </w:rPr>
              <w:t>Youth Screener</w:t>
            </w:r>
            <w:r>
              <w:rPr>
                <w:rFonts w:ascii="Times New Roman" w:hAnsi="Times New Roman" w:cs="Times New Roman"/>
                <w:sz w:val="20"/>
                <w:szCs w:val="20"/>
              </w:rPr>
              <w:t>—</w:t>
            </w:r>
            <w:r w:rsidRPr="00613C01">
              <w:rPr>
                <w:rFonts w:ascii="Times New Roman" w:hAnsi="Times New Roman" w:cs="Times New Roman"/>
                <w:sz w:val="20"/>
                <w:szCs w:val="20"/>
              </w:rPr>
              <w:t>Supplemental</w:t>
            </w:r>
          </w:p>
        </w:tc>
        <w:tc>
          <w:tcPr>
            <w:tcW w:w="716" w:type="pct"/>
            <w:shd w:val="clear" w:color="auto" w:fill="auto"/>
            <w:vAlign w:val="center"/>
          </w:tcPr>
          <w:p w:rsidR="001706F4" w:rsidRPr="00613C01" w:rsidP="001706F4" w14:paraId="32142C32" w14:textId="77777777">
            <w:pPr>
              <w:jc w:val="center"/>
              <w:rPr>
                <w:rFonts w:ascii="Times New Roman" w:hAnsi="Times New Roman" w:cs="Times New Roman"/>
                <w:sz w:val="20"/>
                <w:szCs w:val="20"/>
              </w:rPr>
            </w:pPr>
            <w:r w:rsidRPr="00613C01">
              <w:rPr>
                <w:rFonts w:ascii="Times New Roman" w:hAnsi="Times New Roman" w:cs="Times New Roman"/>
                <w:sz w:val="20"/>
                <w:szCs w:val="20"/>
              </w:rPr>
              <w:t>5,000</w:t>
            </w:r>
          </w:p>
        </w:tc>
        <w:tc>
          <w:tcPr>
            <w:tcW w:w="621" w:type="pct"/>
            <w:shd w:val="clear" w:color="auto" w:fill="auto"/>
            <w:vAlign w:val="center"/>
          </w:tcPr>
          <w:p w:rsidR="001706F4" w:rsidRPr="00613C01" w:rsidP="001706F4" w14:paraId="4AF0423F"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7E2A3AAF" w14:textId="77777777">
            <w:pPr>
              <w:jc w:val="center"/>
              <w:rPr>
                <w:rFonts w:ascii="Times New Roman" w:hAnsi="Times New Roman" w:cs="Times New Roman"/>
                <w:sz w:val="20"/>
                <w:szCs w:val="20"/>
              </w:rPr>
            </w:pPr>
            <w:r w:rsidRPr="00613C01">
              <w:rPr>
                <w:rFonts w:ascii="Times New Roman" w:hAnsi="Times New Roman" w:cs="Times New Roman"/>
                <w:sz w:val="20"/>
                <w:szCs w:val="20"/>
              </w:rPr>
              <w:t>5,000</w:t>
            </w:r>
          </w:p>
        </w:tc>
        <w:tc>
          <w:tcPr>
            <w:tcW w:w="784" w:type="pct"/>
            <w:tcBorders>
              <w:bottom w:val="single" w:sz="4" w:space="0" w:color="auto"/>
            </w:tcBorders>
            <w:shd w:val="clear" w:color="auto" w:fill="auto"/>
            <w:vAlign w:val="center"/>
          </w:tcPr>
          <w:p w:rsidR="001706F4" w:rsidRPr="00613C01" w:rsidP="001706F4" w14:paraId="351A3693"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89" w:type="pct"/>
            <w:tcBorders>
              <w:bottom w:val="single" w:sz="4" w:space="0" w:color="auto"/>
            </w:tcBorders>
            <w:shd w:val="clear" w:color="auto" w:fill="auto"/>
            <w:vAlign w:val="center"/>
          </w:tcPr>
          <w:p w:rsidR="001706F4" w:rsidRPr="00613C01" w:rsidP="001706F4" w14:paraId="49AC6790" w14:textId="450EBE94">
            <w:pPr>
              <w:jc w:val="center"/>
              <w:rPr>
                <w:rFonts w:ascii="Times New Roman" w:eastAsia="Times New Roman" w:hAnsi="Times New Roman" w:cs="Times New Roman"/>
                <w:sz w:val="20"/>
                <w:szCs w:val="20"/>
              </w:rPr>
            </w:pPr>
            <w:r w:rsidRPr="1FEBD9AD">
              <w:rPr>
                <w:rFonts w:ascii="Times New Roman" w:hAnsi="Times New Roman" w:cs="Times New Roman"/>
                <w:sz w:val="20"/>
                <w:szCs w:val="20"/>
              </w:rPr>
              <w:t>400</w:t>
            </w:r>
          </w:p>
        </w:tc>
      </w:tr>
      <w:tr w14:paraId="432BB536" w14:textId="77777777" w:rsidTr="001706F4">
        <w:tblPrEx>
          <w:tblW w:w="5049" w:type="pct"/>
          <w:tblLook w:val="01E0"/>
        </w:tblPrEx>
        <w:trPr>
          <w:cantSplit/>
          <w:trHeight w:val="20"/>
        </w:trPr>
        <w:tc>
          <w:tcPr>
            <w:tcW w:w="1522" w:type="pct"/>
            <w:shd w:val="clear" w:color="auto" w:fill="auto"/>
          </w:tcPr>
          <w:p w:rsidR="001706F4" w:rsidRPr="00613C01" w:rsidP="001706F4" w14:paraId="0E8C851B" w14:textId="0239BF1C">
            <w:pPr>
              <w:rPr>
                <w:rFonts w:ascii="Times New Roman" w:hAnsi="Times New Roman" w:cs="Times New Roman"/>
                <w:sz w:val="20"/>
                <w:szCs w:val="20"/>
              </w:rPr>
            </w:pPr>
            <w:r w:rsidRPr="00613C01">
              <w:rPr>
                <w:rFonts w:ascii="Times New Roman" w:hAnsi="Times New Roman" w:cs="Times New Roman"/>
                <w:sz w:val="20"/>
                <w:szCs w:val="20"/>
              </w:rPr>
              <w:t xml:space="preserve">Youth Assent--Supplemental: Baseline &amp; Follow-up </w:t>
            </w:r>
            <w:r>
              <w:rPr>
                <w:rFonts w:ascii="Times New Roman" w:hAnsi="Times New Roman" w:cs="Times New Roman"/>
                <w:sz w:val="20"/>
                <w:szCs w:val="20"/>
              </w:rPr>
              <w:t>waves</w:t>
            </w:r>
          </w:p>
        </w:tc>
        <w:tc>
          <w:tcPr>
            <w:tcW w:w="716" w:type="pct"/>
            <w:shd w:val="clear" w:color="auto" w:fill="auto"/>
            <w:vAlign w:val="center"/>
          </w:tcPr>
          <w:p w:rsidR="001706F4" w:rsidRPr="00613C01" w:rsidP="001706F4" w14:paraId="3FDB27D0" w14:textId="7C653E14">
            <w:pPr>
              <w:jc w:val="center"/>
              <w:rPr>
                <w:rFonts w:ascii="Times New Roman" w:hAnsi="Times New Roman" w:cs="Times New Roman"/>
                <w:sz w:val="20"/>
                <w:szCs w:val="20"/>
              </w:rPr>
            </w:pPr>
            <w:r>
              <w:rPr>
                <w:rFonts w:ascii="Times New Roman" w:hAnsi="Times New Roman" w:cs="Times New Roman"/>
                <w:sz w:val="20"/>
                <w:szCs w:val="20"/>
              </w:rPr>
              <w:t>5,534</w:t>
            </w:r>
          </w:p>
        </w:tc>
        <w:tc>
          <w:tcPr>
            <w:tcW w:w="621" w:type="pct"/>
            <w:shd w:val="clear" w:color="auto" w:fill="auto"/>
            <w:vAlign w:val="center"/>
          </w:tcPr>
          <w:p w:rsidR="001706F4" w:rsidRPr="00613C01" w:rsidP="001706F4" w14:paraId="55932995"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09AF1CDD" w14:textId="530B8C37">
            <w:pPr>
              <w:jc w:val="center"/>
              <w:rPr>
                <w:rFonts w:ascii="Times New Roman" w:hAnsi="Times New Roman" w:cs="Times New Roman"/>
                <w:sz w:val="20"/>
                <w:szCs w:val="20"/>
              </w:rPr>
            </w:pPr>
            <w:r>
              <w:rPr>
                <w:rFonts w:ascii="Times New Roman" w:hAnsi="Times New Roman" w:cs="Times New Roman"/>
                <w:sz w:val="20"/>
                <w:szCs w:val="20"/>
              </w:rPr>
              <w:t>5,534</w:t>
            </w:r>
          </w:p>
        </w:tc>
        <w:tc>
          <w:tcPr>
            <w:tcW w:w="784" w:type="pct"/>
            <w:tcBorders>
              <w:bottom w:val="single" w:sz="4" w:space="0" w:color="auto"/>
            </w:tcBorders>
            <w:shd w:val="clear" w:color="auto" w:fill="auto"/>
            <w:vAlign w:val="center"/>
          </w:tcPr>
          <w:p w:rsidR="001706F4" w:rsidRPr="00613C01" w:rsidP="001706F4" w14:paraId="1DF2F4B2" w14:textId="77777777">
            <w:pPr>
              <w:jc w:val="center"/>
              <w:rPr>
                <w:rFonts w:ascii="Times New Roman" w:hAnsi="Times New Roman" w:cs="Times New Roman"/>
                <w:sz w:val="20"/>
                <w:szCs w:val="20"/>
              </w:rPr>
            </w:pPr>
            <w:r w:rsidRPr="00613C01">
              <w:rPr>
                <w:rFonts w:ascii="Times New Roman" w:hAnsi="Times New Roman" w:cs="Times New Roman"/>
                <w:sz w:val="20"/>
                <w:szCs w:val="20"/>
              </w:rPr>
              <w:t>.08 (5 mins)</w:t>
            </w:r>
          </w:p>
        </w:tc>
        <w:tc>
          <w:tcPr>
            <w:tcW w:w="689" w:type="pct"/>
            <w:tcBorders>
              <w:bottom w:val="single" w:sz="4" w:space="0" w:color="auto"/>
            </w:tcBorders>
            <w:shd w:val="clear" w:color="auto" w:fill="auto"/>
            <w:vAlign w:val="center"/>
          </w:tcPr>
          <w:p w:rsidR="001706F4" w:rsidRPr="00613C01" w:rsidP="001706F4" w14:paraId="0CA2232A" w14:textId="706AF9FF">
            <w:pPr>
              <w:jc w:val="center"/>
              <w:rPr>
                <w:rFonts w:ascii="Times New Roman" w:hAnsi="Times New Roman" w:cs="Times New Roman"/>
                <w:sz w:val="20"/>
                <w:szCs w:val="20"/>
              </w:rPr>
            </w:pPr>
            <w:r>
              <w:rPr>
                <w:rFonts w:ascii="Times New Roman" w:hAnsi="Times New Roman" w:cs="Times New Roman"/>
                <w:sz w:val="20"/>
                <w:szCs w:val="20"/>
              </w:rPr>
              <w:t>44</w:t>
            </w:r>
            <w:r w:rsidR="0022496C">
              <w:rPr>
                <w:rFonts w:ascii="Times New Roman" w:hAnsi="Times New Roman" w:cs="Times New Roman"/>
                <w:sz w:val="20"/>
                <w:szCs w:val="20"/>
              </w:rPr>
              <w:t>3</w:t>
            </w:r>
          </w:p>
        </w:tc>
      </w:tr>
      <w:tr w14:paraId="536F0E1A" w14:textId="77777777" w:rsidTr="001706F4">
        <w:tblPrEx>
          <w:tblW w:w="5049" w:type="pct"/>
          <w:tblLook w:val="01E0"/>
        </w:tblPrEx>
        <w:trPr>
          <w:cantSplit/>
          <w:trHeight w:val="20"/>
        </w:trPr>
        <w:tc>
          <w:tcPr>
            <w:tcW w:w="1522" w:type="pct"/>
            <w:shd w:val="clear" w:color="auto" w:fill="auto"/>
          </w:tcPr>
          <w:p w:rsidR="001706F4" w:rsidRPr="00613C01" w:rsidP="001706F4" w14:paraId="7ED39FDF" w14:textId="27FD44E5">
            <w:pPr>
              <w:rPr>
                <w:rFonts w:ascii="Times New Roman" w:hAnsi="Times New Roman" w:cs="Times New Roman"/>
                <w:sz w:val="20"/>
                <w:szCs w:val="20"/>
              </w:rPr>
            </w:pPr>
            <w:r w:rsidRPr="00613C01">
              <w:rPr>
                <w:rFonts w:ascii="Times New Roman" w:hAnsi="Times New Roman" w:cs="Times New Roman"/>
                <w:sz w:val="20"/>
                <w:szCs w:val="20"/>
              </w:rPr>
              <w:t xml:space="preserve">Youth Survey--Supplemental: Baseline &amp; Follow-up </w:t>
            </w:r>
            <w:r>
              <w:rPr>
                <w:rFonts w:ascii="Times New Roman" w:hAnsi="Times New Roman" w:cs="Times New Roman"/>
                <w:sz w:val="20"/>
                <w:szCs w:val="20"/>
              </w:rPr>
              <w:t>waves</w:t>
            </w:r>
          </w:p>
        </w:tc>
        <w:tc>
          <w:tcPr>
            <w:tcW w:w="716" w:type="pct"/>
            <w:shd w:val="clear" w:color="auto" w:fill="auto"/>
            <w:vAlign w:val="center"/>
          </w:tcPr>
          <w:p w:rsidR="001706F4" w:rsidRPr="00613C01" w:rsidP="001706F4" w14:paraId="17A92440" w14:textId="3A48BB4A">
            <w:pPr>
              <w:jc w:val="center"/>
              <w:rPr>
                <w:rFonts w:ascii="Times New Roman" w:hAnsi="Times New Roman" w:cs="Times New Roman"/>
                <w:sz w:val="20"/>
                <w:szCs w:val="20"/>
              </w:rPr>
            </w:pPr>
            <w:r>
              <w:rPr>
                <w:rFonts w:ascii="Times New Roman" w:hAnsi="Times New Roman" w:cs="Times New Roman"/>
                <w:sz w:val="20"/>
                <w:szCs w:val="20"/>
              </w:rPr>
              <w:t>5,534</w:t>
            </w:r>
          </w:p>
        </w:tc>
        <w:tc>
          <w:tcPr>
            <w:tcW w:w="621" w:type="pct"/>
            <w:shd w:val="clear" w:color="auto" w:fill="auto"/>
            <w:vAlign w:val="center"/>
          </w:tcPr>
          <w:p w:rsidR="001706F4" w:rsidRPr="00613C01" w:rsidP="001706F4" w14:paraId="4EE07700" w14:textId="77777777">
            <w:pPr>
              <w:jc w:val="center"/>
              <w:rPr>
                <w:rFonts w:ascii="Times New Roman" w:hAnsi="Times New Roman" w:cs="Times New Roman"/>
                <w:sz w:val="20"/>
                <w:szCs w:val="20"/>
              </w:rPr>
            </w:pPr>
            <w:r w:rsidRPr="00613C01">
              <w:rPr>
                <w:rFonts w:ascii="Times New Roman" w:hAnsi="Times New Roman" w:cs="Times New Roman"/>
                <w:sz w:val="20"/>
                <w:szCs w:val="20"/>
              </w:rPr>
              <w:t>1</w:t>
            </w:r>
          </w:p>
        </w:tc>
        <w:tc>
          <w:tcPr>
            <w:tcW w:w="668" w:type="pct"/>
            <w:shd w:val="clear" w:color="auto" w:fill="auto"/>
            <w:vAlign w:val="center"/>
          </w:tcPr>
          <w:p w:rsidR="001706F4" w:rsidRPr="00613C01" w:rsidP="001706F4" w14:paraId="14422D58" w14:textId="1345E545">
            <w:pPr>
              <w:jc w:val="center"/>
              <w:rPr>
                <w:rFonts w:ascii="Times New Roman" w:hAnsi="Times New Roman" w:cs="Times New Roman"/>
                <w:sz w:val="20"/>
                <w:szCs w:val="20"/>
              </w:rPr>
            </w:pPr>
            <w:r>
              <w:rPr>
                <w:rFonts w:ascii="Times New Roman" w:hAnsi="Times New Roman" w:cs="Times New Roman"/>
                <w:sz w:val="20"/>
                <w:szCs w:val="20"/>
              </w:rPr>
              <w:t>5,534</w:t>
            </w:r>
          </w:p>
        </w:tc>
        <w:tc>
          <w:tcPr>
            <w:tcW w:w="784" w:type="pct"/>
            <w:tcBorders>
              <w:bottom w:val="single" w:sz="4" w:space="0" w:color="auto"/>
            </w:tcBorders>
            <w:shd w:val="clear" w:color="auto" w:fill="auto"/>
            <w:vAlign w:val="center"/>
          </w:tcPr>
          <w:p w:rsidR="001706F4" w:rsidRPr="00613C01" w:rsidP="001706F4" w14:paraId="49D2437D" w14:textId="77777777">
            <w:pPr>
              <w:jc w:val="center"/>
              <w:rPr>
                <w:rFonts w:ascii="Times New Roman" w:hAnsi="Times New Roman" w:cs="Times New Roman"/>
                <w:sz w:val="20"/>
                <w:szCs w:val="20"/>
              </w:rPr>
            </w:pPr>
            <w:r w:rsidRPr="00613C01">
              <w:rPr>
                <w:rFonts w:ascii="Times New Roman" w:hAnsi="Times New Roman" w:cs="Times New Roman"/>
                <w:sz w:val="20"/>
                <w:szCs w:val="20"/>
              </w:rPr>
              <w:t>.50 (30 mins)</w:t>
            </w:r>
          </w:p>
        </w:tc>
        <w:tc>
          <w:tcPr>
            <w:tcW w:w="689" w:type="pct"/>
            <w:tcBorders>
              <w:bottom w:val="single" w:sz="4" w:space="0" w:color="auto"/>
            </w:tcBorders>
            <w:shd w:val="clear" w:color="auto" w:fill="auto"/>
            <w:vAlign w:val="center"/>
          </w:tcPr>
          <w:p w:rsidR="001706F4" w:rsidRPr="00613C01" w:rsidP="001706F4" w14:paraId="2273E6EE" w14:textId="37417B7F">
            <w:pPr>
              <w:jc w:val="center"/>
              <w:rPr>
                <w:rFonts w:ascii="Times New Roman" w:hAnsi="Times New Roman" w:cs="Times New Roman"/>
                <w:sz w:val="20"/>
                <w:szCs w:val="20"/>
              </w:rPr>
            </w:pPr>
            <w:r>
              <w:rPr>
                <w:rFonts w:ascii="Times New Roman" w:hAnsi="Times New Roman" w:cs="Times New Roman"/>
                <w:sz w:val="20"/>
                <w:szCs w:val="20"/>
              </w:rPr>
              <w:t>2,767</w:t>
            </w:r>
          </w:p>
        </w:tc>
      </w:tr>
      <w:tr w14:paraId="366A33C0" w14:textId="77777777" w:rsidTr="00307C25">
        <w:tblPrEx>
          <w:tblW w:w="5049" w:type="pct"/>
          <w:tblLook w:val="01E0"/>
        </w:tblPrEx>
        <w:trPr>
          <w:cantSplit/>
          <w:trHeight w:val="20"/>
        </w:trPr>
        <w:tc>
          <w:tcPr>
            <w:tcW w:w="1522" w:type="pct"/>
            <w:shd w:val="clear" w:color="auto" w:fill="auto"/>
            <w:vAlign w:val="center"/>
          </w:tcPr>
          <w:p w:rsidR="001706F4" w:rsidRPr="004C08E3" w:rsidP="001706F4" w14:paraId="524493F0" w14:textId="77777777">
            <w:pPr>
              <w:rPr>
                <w:rFonts w:ascii="Times New Roman" w:hAnsi="Times New Roman" w:cs="Times New Roman"/>
                <w:b/>
                <w:sz w:val="20"/>
                <w:szCs w:val="20"/>
              </w:rPr>
            </w:pPr>
            <w:r w:rsidRPr="004C08E3">
              <w:rPr>
                <w:rFonts w:ascii="Times New Roman" w:hAnsi="Times New Roman" w:cs="Times New Roman"/>
                <w:b/>
                <w:sz w:val="20"/>
                <w:szCs w:val="20"/>
              </w:rPr>
              <w:t>Total</w:t>
            </w:r>
          </w:p>
        </w:tc>
        <w:tc>
          <w:tcPr>
            <w:tcW w:w="716" w:type="pct"/>
            <w:shd w:val="clear" w:color="auto" w:fill="auto"/>
            <w:vAlign w:val="center"/>
          </w:tcPr>
          <w:p w:rsidR="001706F4" w:rsidRPr="004C08E3" w:rsidP="001706F4" w14:paraId="2BEC2D17" w14:textId="17F2C7EF">
            <w:pPr>
              <w:jc w:val="center"/>
              <w:rPr>
                <w:rFonts w:ascii="Times New Roman" w:hAnsi="Times New Roman" w:cs="Times New Roman"/>
                <w:b/>
                <w:sz w:val="20"/>
                <w:szCs w:val="20"/>
              </w:rPr>
            </w:pPr>
            <w:r>
              <w:rPr>
                <w:rFonts w:ascii="Times New Roman" w:hAnsi="Times New Roman" w:cs="Times New Roman"/>
                <w:b/>
                <w:sz w:val="20"/>
                <w:szCs w:val="20"/>
              </w:rPr>
              <w:t>635,320</w:t>
            </w:r>
          </w:p>
        </w:tc>
        <w:tc>
          <w:tcPr>
            <w:tcW w:w="621" w:type="pct"/>
            <w:shd w:val="clear" w:color="auto" w:fill="auto"/>
            <w:vAlign w:val="center"/>
          </w:tcPr>
          <w:p w:rsidR="001706F4" w:rsidRPr="004C08E3" w:rsidP="001706F4" w14:paraId="1E8A8919" w14:textId="77777777">
            <w:pPr>
              <w:rPr>
                <w:rFonts w:ascii="Times New Roman" w:hAnsi="Times New Roman" w:cs="Times New Roman"/>
                <w:b/>
                <w:sz w:val="20"/>
                <w:szCs w:val="20"/>
              </w:rPr>
            </w:pPr>
          </w:p>
        </w:tc>
        <w:tc>
          <w:tcPr>
            <w:tcW w:w="668" w:type="pct"/>
            <w:shd w:val="clear" w:color="auto" w:fill="auto"/>
            <w:vAlign w:val="center"/>
          </w:tcPr>
          <w:p w:rsidR="001706F4" w:rsidRPr="004C08E3" w:rsidP="001706F4" w14:paraId="43BA5155" w14:textId="77777777">
            <w:pPr>
              <w:rPr>
                <w:rFonts w:ascii="Times New Roman" w:hAnsi="Times New Roman" w:cs="Times New Roman"/>
                <w:b/>
                <w:sz w:val="20"/>
                <w:szCs w:val="20"/>
              </w:rPr>
            </w:pPr>
          </w:p>
        </w:tc>
        <w:tc>
          <w:tcPr>
            <w:tcW w:w="784" w:type="pct"/>
            <w:shd w:val="clear" w:color="auto" w:fill="auto"/>
            <w:vAlign w:val="center"/>
          </w:tcPr>
          <w:p w:rsidR="001706F4" w:rsidRPr="004C08E3" w:rsidP="001706F4" w14:paraId="667CECE2" w14:textId="09E5DC64">
            <w:pPr>
              <w:rPr>
                <w:rFonts w:ascii="Times New Roman" w:hAnsi="Times New Roman" w:cs="Times New Roman"/>
                <w:b/>
                <w:sz w:val="20"/>
                <w:szCs w:val="20"/>
              </w:rPr>
            </w:pPr>
          </w:p>
        </w:tc>
        <w:tc>
          <w:tcPr>
            <w:tcW w:w="689" w:type="pct"/>
            <w:shd w:val="clear" w:color="auto" w:fill="auto"/>
          </w:tcPr>
          <w:p w:rsidR="001706F4" w:rsidRPr="004C08E3" w:rsidP="001706F4" w14:paraId="61989A74" w14:textId="2A02E96D">
            <w:pPr>
              <w:jc w:val="center"/>
              <w:rPr>
                <w:rFonts w:ascii="Times New Roman" w:eastAsia="Times New Roman" w:hAnsi="Times New Roman" w:cs="Times New Roman"/>
                <w:sz w:val="20"/>
                <w:szCs w:val="20"/>
              </w:rPr>
            </w:pPr>
            <w:bookmarkStart w:id="26" w:name="_Hlk179986512"/>
            <w:r>
              <w:rPr>
                <w:rFonts w:ascii="Times New Roman" w:hAnsi="Times New Roman" w:cs="Times New Roman"/>
                <w:b/>
                <w:bCs/>
                <w:sz w:val="20"/>
                <w:szCs w:val="20"/>
              </w:rPr>
              <w:t>154,9</w:t>
            </w:r>
            <w:bookmarkEnd w:id="26"/>
            <w:r w:rsidR="0022496C">
              <w:rPr>
                <w:rFonts w:ascii="Times New Roman" w:hAnsi="Times New Roman" w:cs="Times New Roman"/>
                <w:b/>
                <w:bCs/>
                <w:sz w:val="20"/>
                <w:szCs w:val="20"/>
              </w:rPr>
              <w:t>21</w:t>
            </w:r>
          </w:p>
        </w:tc>
      </w:tr>
    </w:tbl>
    <w:p w:rsidR="002E4427" w:rsidP="004F3812" w14:paraId="23501DE6" w14:textId="77777777">
      <w:pPr>
        <w:autoSpaceDE w:val="0"/>
        <w:autoSpaceDN w:val="0"/>
        <w:adjustRightInd w:val="0"/>
        <w:jc w:val="both"/>
        <w:rPr>
          <w:rFonts w:ascii="Times New Roman" w:eastAsia="Times New Roman" w:hAnsi="Times New Roman" w:cs="Times New Roman"/>
          <w:szCs w:val="24"/>
          <w:u w:val="single"/>
        </w:rPr>
      </w:pPr>
    </w:p>
    <w:p w:rsidR="00BE1FCB" w:rsidRPr="008265FC" w:rsidP="00BE1FCB" w14:paraId="5397CF87" w14:textId="77777777">
      <w:pPr>
        <w:autoSpaceDE w:val="0"/>
        <w:autoSpaceDN w:val="0"/>
        <w:adjustRightInd w:val="0"/>
        <w:ind w:left="180"/>
        <w:jc w:val="both"/>
        <w:rPr>
          <w:rFonts w:ascii="Times New Roman" w:eastAsia="Times New Roman" w:hAnsi="Times New Roman" w:cs="Times New Roman"/>
          <w:szCs w:val="24"/>
          <w:u w:val="single"/>
        </w:rPr>
      </w:pPr>
      <w:r w:rsidRPr="00810AC2">
        <w:rPr>
          <w:rFonts w:ascii="Times New Roman" w:eastAsia="Times New Roman" w:hAnsi="Times New Roman" w:cs="Times New Roman"/>
          <w:szCs w:val="24"/>
        </w:rPr>
        <w:t xml:space="preserve">12b. </w:t>
      </w:r>
      <w:r w:rsidRPr="008265FC">
        <w:rPr>
          <w:rFonts w:ascii="Times New Roman" w:eastAsia="Times New Roman" w:hAnsi="Times New Roman" w:cs="Times New Roman"/>
          <w:szCs w:val="24"/>
          <w:u w:val="single"/>
        </w:rPr>
        <w:t>Annualized Cost Burden Estimate</w:t>
      </w:r>
    </w:p>
    <w:p w:rsidR="00810AC2" w:rsidP="00BE1FCB" w14:paraId="0201591F" w14:textId="77777777">
      <w:pPr>
        <w:autoSpaceDE w:val="0"/>
        <w:autoSpaceDN w:val="0"/>
        <w:adjustRightInd w:val="0"/>
        <w:ind w:left="180"/>
        <w:rPr>
          <w:rFonts w:ascii="Times New Roman" w:eastAsia="Times New Roman" w:hAnsi="Times New Roman" w:cs="Times New Roman"/>
          <w:szCs w:val="24"/>
        </w:rPr>
      </w:pPr>
    </w:p>
    <w:p w:rsidR="00BE1FCB" w:rsidP="00E2315F" w14:paraId="08C49D08" w14:textId="33F94A06">
      <w:pPr>
        <w:autoSpaceDE w:val="0"/>
        <w:autoSpaceDN w:val="0"/>
        <w:adjustRightInd w:val="0"/>
        <w:ind w:left="180"/>
        <w:rPr>
          <w:rFonts w:ascii="Times New Roman" w:eastAsia="Times New Roman" w:hAnsi="Times New Roman" w:cs="Times New Roman"/>
        </w:rPr>
      </w:pPr>
      <w:r w:rsidRPr="1FEBD9AD">
        <w:rPr>
          <w:rFonts w:ascii="Times New Roman" w:eastAsia="Times New Roman" w:hAnsi="Times New Roman" w:cs="Times New Roman"/>
        </w:rPr>
        <w:t xml:space="preserve">Respondents participate on a purely voluntary basis and, therefore, are subject to no direct costs other than time to participate. To calculate </w:t>
      </w:r>
      <w:bookmarkStart w:id="27" w:name="_Hlk46317441"/>
      <w:r w:rsidRPr="1FEBD9AD" w:rsidR="008A72B9">
        <w:rPr>
          <w:rFonts w:ascii="Times New Roman" w:eastAsia="Times New Roman" w:hAnsi="Times New Roman" w:cs="Times New Roman"/>
        </w:rPr>
        <w:t>the estimate</w:t>
      </w:r>
      <w:r w:rsidRPr="1FEBD9AD" w:rsidR="00E0466C">
        <w:rPr>
          <w:rFonts w:ascii="Times New Roman" w:eastAsia="Times New Roman" w:hAnsi="Times New Roman" w:cs="Times New Roman"/>
        </w:rPr>
        <w:t>d</w:t>
      </w:r>
      <w:r w:rsidRPr="1FEBD9AD" w:rsidR="008A72B9">
        <w:rPr>
          <w:rFonts w:ascii="Times New Roman" w:eastAsia="Times New Roman" w:hAnsi="Times New Roman" w:cs="Times New Roman"/>
        </w:rPr>
        <w:t xml:space="preserve"> annual </w:t>
      </w:r>
      <w:r w:rsidRPr="1FEBD9AD">
        <w:rPr>
          <w:rFonts w:ascii="Times New Roman" w:eastAsia="Times New Roman" w:hAnsi="Times New Roman" w:cs="Times New Roman"/>
        </w:rPr>
        <w:t>cost, the mean hourly wage of $7.25 was used for youth</w:t>
      </w:r>
      <w:r w:rsidRPr="1FEBD9AD" w:rsidR="00E031B2">
        <w:rPr>
          <w:rFonts w:ascii="Times New Roman" w:eastAsia="Times New Roman" w:hAnsi="Times New Roman" w:cs="Times New Roman"/>
        </w:rPr>
        <w:t xml:space="preserve"> and </w:t>
      </w:r>
      <w:r w:rsidRPr="1FEBD9AD" w:rsidR="00427FC4">
        <w:rPr>
          <w:rFonts w:ascii="Times New Roman" w:eastAsia="Times New Roman" w:hAnsi="Times New Roman" w:cs="Times New Roman"/>
        </w:rPr>
        <w:t>$</w:t>
      </w:r>
      <w:r w:rsidRPr="1FEBD9AD" w:rsidR="00CC46B3">
        <w:rPr>
          <w:rFonts w:ascii="Times New Roman" w:eastAsia="Times New Roman" w:hAnsi="Times New Roman" w:cs="Times New Roman"/>
        </w:rPr>
        <w:t>26.</w:t>
      </w:r>
      <w:r w:rsidRPr="1FEBD9AD" w:rsidR="00C614C6">
        <w:rPr>
          <w:rFonts w:ascii="Times New Roman" w:eastAsia="Times New Roman" w:hAnsi="Times New Roman" w:cs="Times New Roman"/>
        </w:rPr>
        <w:t>65</w:t>
      </w:r>
      <w:r w:rsidRPr="1FEBD9AD" w:rsidR="00CC46B3">
        <w:rPr>
          <w:rFonts w:ascii="Times New Roman" w:eastAsia="Times New Roman" w:hAnsi="Times New Roman" w:cs="Times New Roman"/>
        </w:rPr>
        <w:t xml:space="preserve"> </w:t>
      </w:r>
      <w:r w:rsidRPr="1FEBD9AD" w:rsidR="00427FC4">
        <w:rPr>
          <w:rFonts w:ascii="Times New Roman" w:eastAsia="Times New Roman" w:hAnsi="Times New Roman" w:cs="Times New Roman"/>
        </w:rPr>
        <w:t xml:space="preserve">was used for </w:t>
      </w:r>
      <w:r w:rsidRPr="1FEBD9AD" w:rsidR="00E031B2">
        <w:rPr>
          <w:rFonts w:ascii="Times New Roman" w:eastAsia="Times New Roman" w:hAnsi="Times New Roman" w:cs="Times New Roman"/>
        </w:rPr>
        <w:t>young adults</w:t>
      </w:r>
      <w:r w:rsidRPr="1FEBD9AD">
        <w:rPr>
          <w:rFonts w:ascii="Times New Roman" w:eastAsia="Times New Roman" w:hAnsi="Times New Roman" w:cs="Times New Roman"/>
        </w:rPr>
        <w:t xml:space="preserve">. </w:t>
      </w:r>
      <w:bookmarkEnd w:id="27"/>
      <w:r w:rsidRPr="1FEBD9AD" w:rsidR="00C44863">
        <w:rPr>
          <w:rFonts w:ascii="Times New Roman" w:eastAsia="Times New Roman" w:hAnsi="Times New Roman" w:cs="Times New Roman"/>
        </w:rPr>
        <w:t xml:space="preserve">The youth </w:t>
      </w:r>
      <w:r w:rsidRPr="1FEBD9AD" w:rsidR="00EC5766">
        <w:rPr>
          <w:rFonts w:ascii="Times New Roman" w:eastAsia="Times New Roman" w:hAnsi="Times New Roman" w:cs="Times New Roman"/>
        </w:rPr>
        <w:t>costs</w:t>
      </w:r>
      <w:r w:rsidRPr="1FEBD9AD" w:rsidR="00C44863">
        <w:rPr>
          <w:rFonts w:ascii="Times New Roman" w:eastAsia="Times New Roman" w:hAnsi="Times New Roman" w:cs="Times New Roman"/>
        </w:rPr>
        <w:t xml:space="preserve"> represent the minimum wage, and the young adult costs represent the mean hourly wage for </w:t>
      </w:r>
      <w:r w:rsidRPr="1FEBD9AD" w:rsidR="00D81F3F">
        <w:rPr>
          <w:rFonts w:ascii="Times New Roman" w:eastAsia="Times New Roman" w:hAnsi="Times New Roman" w:cs="Times New Roman"/>
        </w:rPr>
        <w:t xml:space="preserve">all </w:t>
      </w:r>
      <w:r w:rsidRPr="1FEBD9AD" w:rsidR="00B00EFE">
        <w:rPr>
          <w:rFonts w:ascii="Times New Roman" w:eastAsia="Times New Roman" w:hAnsi="Times New Roman" w:cs="Times New Roman"/>
        </w:rPr>
        <w:t>other</w:t>
      </w:r>
      <w:r w:rsidRPr="1FEBD9AD" w:rsidR="00C44863">
        <w:rPr>
          <w:rFonts w:ascii="Times New Roman" w:eastAsia="Times New Roman" w:hAnsi="Times New Roman" w:cs="Times New Roman"/>
        </w:rPr>
        <w:t xml:space="preserve"> </w:t>
      </w:r>
      <w:r w:rsidRPr="1FEBD9AD" w:rsidR="00D81F3F">
        <w:rPr>
          <w:rFonts w:ascii="Times New Roman" w:eastAsia="Times New Roman" w:hAnsi="Times New Roman" w:cs="Times New Roman"/>
        </w:rPr>
        <w:t xml:space="preserve">Life, Physical, and Social Science </w:t>
      </w:r>
      <w:r w:rsidRPr="1FEBD9AD" w:rsidR="00C44863">
        <w:rPr>
          <w:rFonts w:ascii="Times New Roman" w:eastAsia="Times New Roman" w:hAnsi="Times New Roman" w:cs="Times New Roman"/>
        </w:rPr>
        <w:t>occupation</w:t>
      </w:r>
      <w:r w:rsidRPr="1FEBD9AD" w:rsidR="00E53B28">
        <w:rPr>
          <w:rFonts w:ascii="Times New Roman" w:eastAsia="Times New Roman" w:hAnsi="Times New Roman" w:cs="Times New Roman"/>
        </w:rPr>
        <w:t xml:space="preserve"> earning</w:t>
      </w:r>
      <w:r w:rsidRPr="1FEBD9AD" w:rsidR="00C44863">
        <w:rPr>
          <w:rFonts w:ascii="Times New Roman" w:eastAsia="Times New Roman" w:hAnsi="Times New Roman" w:cs="Times New Roman"/>
        </w:rPr>
        <w:t xml:space="preserve">s from the </w:t>
      </w:r>
      <w:r w:rsidRPr="1FEBD9AD" w:rsidR="005E3BBC">
        <w:rPr>
          <w:rFonts w:ascii="Times New Roman" w:eastAsia="Times New Roman" w:hAnsi="Times New Roman" w:cs="Times New Roman"/>
        </w:rPr>
        <w:t>U.S. Department of Labor Bureau of Labor Statistics</w:t>
      </w:r>
      <w:r w:rsidRPr="1FEBD9AD" w:rsidR="00C44863">
        <w:rPr>
          <w:rFonts w:ascii="Times New Roman" w:eastAsia="Times New Roman" w:hAnsi="Times New Roman" w:cs="Times New Roman"/>
        </w:rPr>
        <w:t xml:space="preserve"> (</w:t>
      </w:r>
      <w:hyperlink r:id="rId11" w:anchor="19-0000">
        <w:r w:rsidRPr="1FEBD9AD" w:rsidR="002D7BCA">
          <w:rPr>
            <w:rStyle w:val="Hyperlink"/>
            <w:rFonts w:ascii="Times New Roman" w:eastAsia="Times New Roman" w:hAnsi="Times New Roman" w:cs="Times New Roman"/>
          </w:rPr>
          <w:t>https://www.bls.gov/oes/current/oes_nat.htm#19-0000</w:t>
        </w:r>
      </w:hyperlink>
      <w:r w:rsidRPr="1FEBD9AD" w:rsidR="002D7BCA">
        <w:rPr>
          <w:rFonts w:ascii="Times New Roman" w:eastAsia="Times New Roman" w:hAnsi="Times New Roman" w:cs="Times New Roman"/>
        </w:rPr>
        <w:t xml:space="preserve"> </w:t>
      </w:r>
      <w:r w:rsidRPr="1FEBD9AD" w:rsidR="00C44863">
        <w:rPr>
          <w:rFonts w:ascii="Times New Roman" w:eastAsia="Times New Roman" w:hAnsi="Times New Roman" w:cs="Times New Roman"/>
        </w:rPr>
        <w:t>May 20</w:t>
      </w:r>
      <w:r w:rsidRPr="1FEBD9AD" w:rsidR="00E75926">
        <w:rPr>
          <w:rFonts w:ascii="Times New Roman" w:eastAsia="Times New Roman" w:hAnsi="Times New Roman" w:cs="Times New Roman"/>
        </w:rPr>
        <w:t>2</w:t>
      </w:r>
      <w:r w:rsidRPr="1FEBD9AD" w:rsidR="00D81F3F">
        <w:rPr>
          <w:rFonts w:ascii="Times New Roman" w:eastAsia="Times New Roman" w:hAnsi="Times New Roman" w:cs="Times New Roman"/>
        </w:rPr>
        <w:t>1</w:t>
      </w:r>
      <w:r w:rsidRPr="1FEBD9AD" w:rsidR="00E75926">
        <w:rPr>
          <w:rFonts w:ascii="Times New Roman" w:eastAsia="Times New Roman" w:hAnsi="Times New Roman" w:cs="Times New Roman"/>
        </w:rPr>
        <w:t xml:space="preserve"> </w:t>
      </w:r>
      <w:r w:rsidRPr="1FEBD9AD" w:rsidR="00C44863">
        <w:rPr>
          <w:rFonts w:ascii="Times New Roman" w:eastAsia="Times New Roman" w:hAnsi="Times New Roman" w:cs="Times New Roman"/>
        </w:rPr>
        <w:t xml:space="preserve">data). </w:t>
      </w:r>
      <w:r w:rsidRPr="1FEBD9AD">
        <w:rPr>
          <w:rFonts w:ascii="Times New Roman" w:eastAsia="Times New Roman" w:hAnsi="Times New Roman" w:cs="Times New Roman"/>
        </w:rPr>
        <w:t xml:space="preserve">There are no direct costs to respondents associated with participation in this information collection. </w:t>
      </w:r>
      <w:r w:rsidRPr="1FEBD9AD" w:rsidR="0091733F">
        <w:rPr>
          <w:rFonts w:ascii="Times New Roman" w:eastAsia="Times New Roman" w:hAnsi="Times New Roman" w:cs="Times New Roman"/>
        </w:rPr>
        <w:t xml:space="preserve">RTI has conducted many smoking-related surveys of similar length among youth and adults. </w:t>
      </w:r>
      <w:r w:rsidRPr="1FEBD9AD" w:rsidR="00134DCE">
        <w:rPr>
          <w:rFonts w:ascii="Times New Roman" w:eastAsia="Times New Roman" w:hAnsi="Times New Roman" w:cs="Times New Roman"/>
        </w:rPr>
        <w:t xml:space="preserve">We have examined diagnostic data from each of these prior surveys and estimate that data collection for this study will take, on average, </w:t>
      </w:r>
      <w:r w:rsidRPr="1FEBD9AD" w:rsidR="00495504">
        <w:rPr>
          <w:rFonts w:ascii="Times New Roman" w:eastAsia="Times New Roman" w:hAnsi="Times New Roman" w:cs="Times New Roman"/>
        </w:rPr>
        <w:t>5</w:t>
      </w:r>
      <w:r w:rsidRPr="1FEBD9AD" w:rsidR="00804FE9">
        <w:rPr>
          <w:rFonts w:ascii="Times New Roman" w:eastAsia="Times New Roman" w:hAnsi="Times New Roman" w:cs="Times New Roman"/>
        </w:rPr>
        <w:t xml:space="preserve"> minutes per respondent for screening, </w:t>
      </w:r>
      <w:r w:rsidRPr="1FEBD9AD" w:rsidR="00495504">
        <w:rPr>
          <w:rFonts w:ascii="Times New Roman" w:eastAsia="Times New Roman" w:hAnsi="Times New Roman" w:cs="Times New Roman"/>
        </w:rPr>
        <w:t>5</w:t>
      </w:r>
      <w:r w:rsidRPr="1FEBD9AD" w:rsidR="00804FE9">
        <w:rPr>
          <w:rFonts w:ascii="Times New Roman" w:eastAsia="Times New Roman" w:hAnsi="Times New Roman" w:cs="Times New Roman"/>
        </w:rPr>
        <w:t xml:space="preserve"> minutes per respondent for assenting/consenting, and approximately </w:t>
      </w:r>
      <w:r w:rsidRPr="1FEBD9AD" w:rsidR="00254637">
        <w:rPr>
          <w:rFonts w:ascii="Times New Roman" w:eastAsia="Times New Roman" w:hAnsi="Times New Roman" w:cs="Times New Roman"/>
        </w:rPr>
        <w:t>3</w:t>
      </w:r>
      <w:r w:rsidRPr="1FEBD9AD" w:rsidR="00C167DC">
        <w:rPr>
          <w:rFonts w:ascii="Times New Roman" w:eastAsia="Times New Roman" w:hAnsi="Times New Roman" w:cs="Times New Roman"/>
        </w:rPr>
        <w:t>0</w:t>
      </w:r>
      <w:r w:rsidRPr="1FEBD9AD" w:rsidR="00804FE9">
        <w:rPr>
          <w:rFonts w:ascii="Times New Roman" w:eastAsia="Times New Roman" w:hAnsi="Times New Roman" w:cs="Times New Roman"/>
        </w:rPr>
        <w:t xml:space="preserve"> minutes per respondent for the online surveys</w:t>
      </w:r>
      <w:r w:rsidRPr="1FEBD9AD" w:rsidR="00134DCE">
        <w:rPr>
          <w:rFonts w:ascii="Times New Roman" w:eastAsia="Times New Roman" w:hAnsi="Times New Roman" w:cs="Times New Roman"/>
        </w:rPr>
        <w:t xml:space="preserve">. </w:t>
      </w:r>
      <w:r w:rsidRPr="1FEBD9AD">
        <w:rPr>
          <w:rFonts w:ascii="Times New Roman" w:eastAsia="Times New Roman" w:hAnsi="Times New Roman" w:cs="Times New Roman"/>
        </w:rPr>
        <w:t>Thus, assuming an average hourly wage of $7.25 and $</w:t>
      </w:r>
      <w:r w:rsidRPr="1FEBD9AD" w:rsidR="004C0C3A">
        <w:rPr>
          <w:rFonts w:ascii="Times New Roman" w:eastAsia="Times New Roman" w:hAnsi="Times New Roman" w:cs="Times New Roman"/>
        </w:rPr>
        <w:t>26.</w:t>
      </w:r>
      <w:r w:rsidRPr="1FEBD9AD" w:rsidR="0042418E">
        <w:rPr>
          <w:rFonts w:ascii="Times New Roman" w:eastAsia="Times New Roman" w:hAnsi="Times New Roman" w:cs="Times New Roman"/>
        </w:rPr>
        <w:t>65</w:t>
      </w:r>
      <w:r w:rsidRPr="1FEBD9AD" w:rsidR="004C0C3A">
        <w:rPr>
          <w:rFonts w:ascii="Times New Roman" w:eastAsia="Times New Roman" w:hAnsi="Times New Roman" w:cs="Times New Roman"/>
        </w:rPr>
        <w:t xml:space="preserve"> </w:t>
      </w:r>
      <w:r w:rsidRPr="1FEBD9AD">
        <w:rPr>
          <w:rFonts w:ascii="Times New Roman" w:eastAsia="Times New Roman" w:hAnsi="Times New Roman" w:cs="Times New Roman"/>
        </w:rPr>
        <w:t xml:space="preserve">(youth and </w:t>
      </w:r>
      <w:r w:rsidRPr="1FEBD9AD" w:rsidR="004C0C3A">
        <w:rPr>
          <w:rFonts w:ascii="Times New Roman" w:eastAsia="Times New Roman" w:hAnsi="Times New Roman" w:cs="Times New Roman"/>
        </w:rPr>
        <w:t>adult</w:t>
      </w:r>
      <w:r w:rsidRPr="1FEBD9AD">
        <w:rPr>
          <w:rFonts w:ascii="Times New Roman" w:eastAsia="Times New Roman" w:hAnsi="Times New Roman" w:cs="Times New Roman"/>
        </w:rPr>
        <w:t>)</w:t>
      </w:r>
      <w:r w:rsidRPr="1FEBD9AD" w:rsidR="00CA7D03">
        <w:rPr>
          <w:rFonts w:ascii="Times New Roman" w:eastAsia="Times New Roman" w:hAnsi="Times New Roman" w:cs="Times New Roman"/>
        </w:rPr>
        <w:t xml:space="preserve"> and doubling this to account for benefits and overhead, yielding an hourly wage rate of $</w:t>
      </w:r>
      <w:r w:rsidRPr="1FEBD9AD" w:rsidR="0087481A">
        <w:rPr>
          <w:rFonts w:ascii="Times New Roman" w:eastAsia="Times New Roman" w:hAnsi="Times New Roman" w:cs="Times New Roman"/>
        </w:rPr>
        <w:t>14.50</w:t>
      </w:r>
      <w:r w:rsidRPr="1FEBD9AD" w:rsidR="00CA7D03">
        <w:rPr>
          <w:rFonts w:ascii="Times New Roman" w:eastAsia="Times New Roman" w:hAnsi="Times New Roman" w:cs="Times New Roman"/>
        </w:rPr>
        <w:t xml:space="preserve"> for youth and young adult $</w:t>
      </w:r>
      <w:r w:rsidRPr="1FEBD9AD" w:rsidR="0087481A">
        <w:rPr>
          <w:rFonts w:ascii="Times New Roman" w:eastAsia="Times New Roman" w:hAnsi="Times New Roman" w:cs="Times New Roman"/>
        </w:rPr>
        <w:t>53.30</w:t>
      </w:r>
      <w:r w:rsidRPr="1FEBD9AD" w:rsidR="00CA7D03">
        <w:rPr>
          <w:rFonts w:ascii="Times New Roman" w:eastAsia="Times New Roman" w:hAnsi="Times New Roman" w:cs="Times New Roman"/>
        </w:rPr>
        <w:t xml:space="preserve">, the estimated one-time cost to participants </w:t>
      </w:r>
      <w:r w:rsidRPr="1FEBD9AD" w:rsidR="00C73C9B">
        <w:rPr>
          <w:rFonts w:ascii="Times New Roman" w:eastAsia="Times New Roman" w:hAnsi="Times New Roman" w:cs="Times New Roman"/>
        </w:rPr>
        <w:t xml:space="preserve">is estimated to </w:t>
      </w:r>
      <w:r w:rsidRPr="1FEBD9AD" w:rsidR="00CA7D03">
        <w:rPr>
          <w:rFonts w:ascii="Times New Roman" w:eastAsia="Times New Roman" w:hAnsi="Times New Roman" w:cs="Times New Roman"/>
        </w:rPr>
        <w:t xml:space="preserve">be </w:t>
      </w:r>
      <w:r w:rsidRPr="1FEBD9AD" w:rsidR="00C73C9B">
        <w:rPr>
          <w:rFonts w:ascii="Times New Roman" w:eastAsia="Times New Roman" w:hAnsi="Times New Roman" w:cs="Times New Roman"/>
        </w:rPr>
        <w:t>$</w:t>
      </w:r>
      <w:r w:rsidRPr="0022496C" w:rsidR="0022496C">
        <w:rPr>
          <w:rFonts w:ascii="Times New Roman" w:eastAsia="Times New Roman" w:hAnsi="Times New Roman" w:cs="Times New Roman"/>
        </w:rPr>
        <w:t>7,381,668.20</w:t>
      </w:r>
      <w:r w:rsidR="0083416F">
        <w:rPr>
          <w:rFonts w:ascii="Times New Roman" w:eastAsia="Times New Roman" w:hAnsi="Times New Roman" w:cs="Times New Roman"/>
        </w:rPr>
        <w:t xml:space="preserve">. </w:t>
      </w:r>
      <w:r w:rsidRPr="1FEBD9AD">
        <w:rPr>
          <w:rFonts w:ascii="Times New Roman" w:eastAsia="Times New Roman" w:hAnsi="Times New Roman" w:cs="Times New Roman"/>
        </w:rPr>
        <w:t xml:space="preserve">The estimated value of respondents’ time for participating in the information collection is summarized </w:t>
      </w:r>
      <w:r w:rsidRPr="1FEBD9AD" w:rsidR="00A80641">
        <w:rPr>
          <w:rFonts w:ascii="Times New Roman" w:eastAsia="Times New Roman" w:hAnsi="Times New Roman" w:cs="Times New Roman"/>
        </w:rPr>
        <w:t>below</w:t>
      </w:r>
      <w:r w:rsidRPr="1FEBD9AD">
        <w:rPr>
          <w:rFonts w:ascii="Times New Roman" w:eastAsia="Times New Roman" w:hAnsi="Times New Roman" w:cs="Times New Roman"/>
        </w:rPr>
        <w:t>.</w:t>
      </w:r>
    </w:p>
    <w:p w:rsidR="00094020" w:rsidRPr="00E2315F" w:rsidP="00E2315F" w14:paraId="79C8FA2C" w14:textId="77777777">
      <w:pPr>
        <w:autoSpaceDE w:val="0"/>
        <w:autoSpaceDN w:val="0"/>
        <w:adjustRightInd w:val="0"/>
        <w:ind w:left="180"/>
        <w:rPr>
          <w:rFonts w:ascii="Times New Roman" w:eastAsia="Times New Roman" w:hAnsi="Times New Roman" w:cs="Times New Roman"/>
        </w:rPr>
      </w:pPr>
    </w:p>
    <w:tbl>
      <w:tblPr>
        <w:tblW w:w="9629" w:type="dxa"/>
        <w:tblInd w:w="-1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
      <w:tblGrid>
        <w:gridCol w:w="1620"/>
        <w:gridCol w:w="2764"/>
        <w:gridCol w:w="1906"/>
        <w:gridCol w:w="1515"/>
        <w:gridCol w:w="1824"/>
      </w:tblGrid>
      <w:tr w14:paraId="5C7F876F" w14:textId="77777777" w:rsidTr="008F1365">
        <w:tblPrEx>
          <w:tblW w:w="9629" w:type="dxa"/>
          <w:tblInd w:w="-10" w:type="dxa"/>
          <w:tblBorders>
            <w:top w:val="single" w:sz="12" w:space="0" w:color="auto"/>
            <w:bottom w:val="single" w:sz="12" w:space="0" w:color="auto"/>
            <w:insideH w:val="single" w:sz="6" w:space="0" w:color="auto"/>
            <w:insideV w:val="single" w:sz="6" w:space="0" w:color="auto"/>
          </w:tblBorders>
          <w:tblLayout w:type="fixed"/>
          <w:tblCellMar>
            <w:left w:w="58" w:type="dxa"/>
            <w:right w:w="58" w:type="dxa"/>
          </w:tblCellMar>
          <w:tblLook w:val="00A0"/>
        </w:tblPrEx>
        <w:trPr>
          <w:cantSplit/>
          <w:trHeight w:val="263"/>
          <w:tblHeader/>
        </w:trPr>
        <w:tc>
          <w:tcPr>
            <w:tcW w:w="9629" w:type="dxa"/>
            <w:gridSpan w:val="5"/>
            <w:tcBorders>
              <w:top w:val="single" w:sz="8" w:space="0" w:color="auto"/>
              <w:left w:val="single" w:sz="8" w:space="0" w:color="auto"/>
              <w:bottom w:val="single" w:sz="6" w:space="0" w:color="auto"/>
              <w:right w:val="single" w:sz="8" w:space="0" w:color="auto"/>
            </w:tcBorders>
            <w:vAlign w:val="bottom"/>
          </w:tcPr>
          <w:p w:rsidR="00910CCF" w:rsidRPr="00910CCF" w:rsidP="3BC52C47" w14:paraId="2E3258A5" w14:textId="4DED1D6F">
            <w:pPr>
              <w:keepNext/>
              <w:autoSpaceDE w:val="0"/>
              <w:autoSpaceDN w:val="0"/>
              <w:adjustRightInd w:val="0"/>
              <w:ind w:left="180"/>
              <w:jc w:val="center"/>
              <w:rPr>
                <w:rFonts w:ascii="Times New Roman" w:eastAsia="Times New Roman" w:hAnsi="Times New Roman" w:cs="Times New Roman"/>
                <w:b/>
                <w:bCs/>
              </w:rPr>
            </w:pPr>
            <w:r w:rsidRPr="195FE5D0">
              <w:rPr>
                <w:rFonts w:ascii="Times New Roman" w:eastAsia="Times New Roman" w:hAnsi="Times New Roman" w:cs="Times New Roman"/>
                <w:b/>
                <w:bCs/>
              </w:rPr>
              <w:t>Annualized Cost Burden</w:t>
            </w:r>
          </w:p>
        </w:tc>
      </w:tr>
      <w:tr w14:paraId="720EA5D1" w14:textId="77777777" w:rsidTr="0083416F">
        <w:tblPrEx>
          <w:tblW w:w="9629" w:type="dxa"/>
          <w:tblInd w:w="-10" w:type="dxa"/>
          <w:tblLayout w:type="fixed"/>
          <w:tblCellMar>
            <w:left w:w="58" w:type="dxa"/>
            <w:right w:w="58" w:type="dxa"/>
          </w:tblCellMar>
          <w:tblLook w:val="00A0"/>
        </w:tblPrEx>
        <w:trPr>
          <w:cantSplit/>
          <w:trHeight w:val="515"/>
          <w:tblHeader/>
        </w:trPr>
        <w:tc>
          <w:tcPr>
            <w:tcW w:w="1620" w:type="dxa"/>
            <w:tcBorders>
              <w:top w:val="single" w:sz="8" w:space="0" w:color="auto"/>
              <w:left w:val="single" w:sz="8" w:space="0" w:color="auto"/>
              <w:bottom w:val="single" w:sz="6" w:space="0" w:color="auto"/>
            </w:tcBorders>
            <w:vAlign w:val="bottom"/>
          </w:tcPr>
          <w:p w:rsidR="00BE1FCB" w:rsidRPr="00613C01" w:rsidP="00613C01" w14:paraId="237B90D5" w14:textId="77777777">
            <w:pPr>
              <w:keepNext/>
              <w:autoSpaceDE w:val="0"/>
              <w:autoSpaceDN w:val="0"/>
              <w:adjustRightInd w:val="0"/>
              <w:ind w:left="180"/>
              <w:rPr>
                <w:rFonts w:ascii="Times New Roman" w:eastAsia="Times New Roman" w:hAnsi="Times New Roman" w:cs="Times New Roman"/>
                <w:b/>
                <w:szCs w:val="24"/>
              </w:rPr>
            </w:pPr>
            <w:r w:rsidRPr="00613C01">
              <w:rPr>
                <w:rFonts w:ascii="Times New Roman" w:eastAsia="Times New Roman" w:hAnsi="Times New Roman" w:cs="Times New Roman"/>
                <w:b/>
                <w:szCs w:val="24"/>
              </w:rPr>
              <w:t>Type of Respondent</w:t>
            </w:r>
          </w:p>
        </w:tc>
        <w:tc>
          <w:tcPr>
            <w:tcW w:w="2764" w:type="dxa"/>
            <w:tcBorders>
              <w:top w:val="single" w:sz="8" w:space="0" w:color="auto"/>
              <w:bottom w:val="single" w:sz="6" w:space="0" w:color="auto"/>
            </w:tcBorders>
            <w:vAlign w:val="center"/>
          </w:tcPr>
          <w:p w:rsidR="00BE1FCB" w:rsidRPr="00613C01" w:rsidP="0083416F" w14:paraId="566FF73F"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Activity</w:t>
            </w:r>
          </w:p>
        </w:tc>
        <w:tc>
          <w:tcPr>
            <w:tcW w:w="1906" w:type="dxa"/>
            <w:tcBorders>
              <w:top w:val="single" w:sz="8" w:space="0" w:color="auto"/>
              <w:bottom w:val="single" w:sz="6" w:space="0" w:color="auto"/>
            </w:tcBorders>
            <w:vAlign w:val="bottom"/>
          </w:tcPr>
          <w:p w:rsidR="00BE1FCB" w:rsidRPr="00613C01" w:rsidP="00F3750D" w14:paraId="206D0AC0"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Annual Burden Hours</w:t>
            </w:r>
          </w:p>
        </w:tc>
        <w:tc>
          <w:tcPr>
            <w:tcW w:w="1515" w:type="dxa"/>
            <w:tcBorders>
              <w:top w:val="single" w:sz="8" w:space="0" w:color="auto"/>
              <w:bottom w:val="single" w:sz="6" w:space="0" w:color="auto"/>
            </w:tcBorders>
            <w:vAlign w:val="bottom"/>
          </w:tcPr>
          <w:p w:rsidR="00BE1FCB" w:rsidRPr="00613C01" w:rsidP="00F3750D" w14:paraId="12421995"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Hourly Wage Rate</w:t>
            </w:r>
          </w:p>
        </w:tc>
        <w:tc>
          <w:tcPr>
            <w:tcW w:w="1824" w:type="dxa"/>
            <w:tcBorders>
              <w:top w:val="single" w:sz="8" w:space="0" w:color="auto"/>
              <w:bottom w:val="single" w:sz="6" w:space="0" w:color="auto"/>
              <w:right w:val="single" w:sz="8" w:space="0" w:color="auto"/>
            </w:tcBorders>
            <w:vAlign w:val="bottom"/>
          </w:tcPr>
          <w:p w:rsidR="00BE1FCB" w:rsidRPr="00613C01" w:rsidP="00F3750D" w14:paraId="0CDC1497" w14:textId="77777777">
            <w:pPr>
              <w:keepNext/>
              <w:autoSpaceDE w:val="0"/>
              <w:autoSpaceDN w:val="0"/>
              <w:adjustRightInd w:val="0"/>
              <w:ind w:left="180"/>
              <w:jc w:val="center"/>
              <w:rPr>
                <w:rFonts w:ascii="Times New Roman" w:eastAsia="Times New Roman" w:hAnsi="Times New Roman" w:cs="Times New Roman"/>
                <w:b/>
                <w:szCs w:val="24"/>
              </w:rPr>
            </w:pPr>
            <w:r w:rsidRPr="00613C01">
              <w:rPr>
                <w:rFonts w:ascii="Times New Roman" w:eastAsia="Times New Roman" w:hAnsi="Times New Roman" w:cs="Times New Roman"/>
                <w:b/>
                <w:szCs w:val="24"/>
              </w:rPr>
              <w:t>Total Cost</w:t>
            </w:r>
            <w:r w:rsidRPr="00613C01">
              <w:rPr>
                <w:rFonts w:ascii="Times New Roman" w:eastAsia="Times New Roman" w:hAnsi="Times New Roman" w:cs="Times New Roman"/>
                <w:b/>
                <w:szCs w:val="24"/>
                <w:vertAlign w:val="superscript"/>
              </w:rPr>
              <w:t>1</w:t>
            </w:r>
          </w:p>
        </w:tc>
      </w:tr>
      <w:tr w14:paraId="2306C317" w14:textId="77777777" w:rsidTr="0083416F">
        <w:tblPrEx>
          <w:tblW w:w="9629" w:type="dxa"/>
          <w:tblInd w:w="-10" w:type="dxa"/>
          <w:tblLayout w:type="fixed"/>
          <w:tblCellMar>
            <w:left w:w="58" w:type="dxa"/>
            <w:right w:w="58" w:type="dxa"/>
          </w:tblCellMar>
          <w:tblLook w:val="00A0"/>
        </w:tblPrEx>
        <w:trPr>
          <w:cantSplit/>
          <w:trHeight w:val="423"/>
        </w:trPr>
        <w:tc>
          <w:tcPr>
            <w:tcW w:w="1620" w:type="dxa"/>
            <w:vMerge w:val="restart"/>
            <w:tcBorders>
              <w:top w:val="single" w:sz="6" w:space="0" w:color="auto"/>
              <w:left w:val="single" w:sz="4" w:space="0" w:color="auto"/>
              <w:bottom w:val="single" w:sz="6" w:space="0" w:color="auto"/>
            </w:tcBorders>
            <w:vAlign w:val="center"/>
          </w:tcPr>
          <w:p w:rsidR="00AC37AF" w:rsidRPr="00613C01" w:rsidP="00AC37AF" w14:paraId="36FC2F46" w14:textId="77777777">
            <w:pPr>
              <w:autoSpaceDE w:val="0"/>
              <w:autoSpaceDN w:val="0"/>
              <w:adjustRightInd w:val="0"/>
              <w:ind w:left="180"/>
              <w:rPr>
                <w:rFonts w:ascii="Times New Roman" w:eastAsia="Times New Roman" w:hAnsi="Times New Roman" w:cs="Times New Roman"/>
              </w:rPr>
            </w:pPr>
            <w:r w:rsidRPr="12C988AA">
              <w:rPr>
                <w:rFonts w:ascii="Times New Roman" w:eastAsia="Times New Roman" w:hAnsi="Times New Roman" w:cs="Times New Roman"/>
              </w:rPr>
              <w:t>Parents of Youth aged 11-17</w:t>
            </w:r>
          </w:p>
        </w:tc>
        <w:tc>
          <w:tcPr>
            <w:tcW w:w="2764" w:type="dxa"/>
            <w:tcBorders>
              <w:top w:val="single" w:sz="6" w:space="0" w:color="auto"/>
              <w:bottom w:val="single" w:sz="6" w:space="0" w:color="auto"/>
            </w:tcBorders>
            <w:vAlign w:val="center"/>
          </w:tcPr>
          <w:p w:rsidR="00AC37AF" w:rsidRPr="00613C01" w:rsidP="00AC37AF" w14:paraId="03AE5D16" w14:textId="6D4DF455">
            <w:pPr>
              <w:keepNext/>
              <w:autoSpaceDE w:val="0"/>
              <w:autoSpaceDN w:val="0"/>
              <w:adjustRightInd w:val="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Parent Recruitment Study Materials</w:t>
            </w:r>
          </w:p>
        </w:tc>
        <w:tc>
          <w:tcPr>
            <w:tcW w:w="1906" w:type="dxa"/>
            <w:tcBorders>
              <w:top w:val="single" w:sz="6" w:space="0" w:color="auto"/>
              <w:bottom w:val="single" w:sz="6" w:space="0" w:color="auto"/>
            </w:tcBorders>
            <w:vAlign w:val="center"/>
          </w:tcPr>
          <w:p w:rsidR="00AC37AF" w:rsidRPr="00613C01" w:rsidP="00AC37AF" w14:paraId="5335C180" w14:textId="4A51CD39">
            <w:pPr>
              <w:autoSpaceDE w:val="0"/>
              <w:autoSpaceDN w:val="0"/>
              <w:adjustRightInd w:val="0"/>
              <w:ind w:left="180"/>
              <w:jc w:val="center"/>
              <w:rPr>
                <w:rFonts w:ascii="Times New Roman" w:eastAsia="Times New Roman" w:hAnsi="Times New Roman" w:cs="Times New Roman"/>
              </w:rPr>
            </w:pPr>
            <w:r>
              <w:rPr>
                <w:rFonts w:ascii="Times New Roman" w:eastAsia="Times New Roman" w:hAnsi="Times New Roman" w:cs="Times New Roman"/>
              </w:rPr>
              <w:t>101,76</w:t>
            </w:r>
            <w:r w:rsidR="0022496C">
              <w:rPr>
                <w:rFonts w:ascii="Times New Roman" w:eastAsia="Times New Roman" w:hAnsi="Times New Roman" w:cs="Times New Roman"/>
              </w:rPr>
              <w:t>7</w:t>
            </w:r>
          </w:p>
        </w:tc>
        <w:tc>
          <w:tcPr>
            <w:tcW w:w="1515" w:type="dxa"/>
            <w:tcBorders>
              <w:top w:val="single" w:sz="6" w:space="0" w:color="auto"/>
              <w:bottom w:val="single" w:sz="6" w:space="0" w:color="auto"/>
            </w:tcBorders>
            <w:vAlign w:val="center"/>
          </w:tcPr>
          <w:p w:rsidR="00AC37AF" w:rsidRPr="00613C01" w:rsidP="00AC37AF" w14:paraId="504D214B" w14:textId="77777777">
            <w:pPr>
              <w:autoSpaceDE w:val="0"/>
              <w:autoSpaceDN w:val="0"/>
              <w:adjustRightInd w:val="0"/>
              <w:ind w:left="18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w:t>
            </w:r>
            <w:r>
              <w:rPr>
                <w:rFonts w:ascii="Times New Roman" w:eastAsia="Times New Roman" w:hAnsi="Times New Roman" w:cs="Times New Roman"/>
                <w:szCs w:val="24"/>
              </w:rPr>
              <w:t>53.30</w:t>
            </w:r>
            <w:r w:rsidRPr="00613C01">
              <w:rPr>
                <w:rFonts w:ascii="Times New Roman" w:eastAsia="Times New Roman" w:hAnsi="Times New Roman" w:cs="Times New Roman"/>
                <w:szCs w:val="24"/>
              </w:rPr>
              <w:t xml:space="preserve"> </w:t>
            </w:r>
          </w:p>
        </w:tc>
        <w:tc>
          <w:tcPr>
            <w:tcW w:w="1824" w:type="dxa"/>
            <w:tcBorders>
              <w:top w:val="single" w:sz="6" w:space="0" w:color="auto"/>
              <w:bottom w:val="single" w:sz="6" w:space="0" w:color="auto"/>
              <w:right w:val="single" w:sz="8" w:space="0" w:color="auto"/>
            </w:tcBorders>
            <w:vAlign w:val="center"/>
          </w:tcPr>
          <w:p w:rsidR="00AC37AF" w:rsidRPr="00613C01" w:rsidP="00AC37AF" w14:paraId="3A031343" w14:textId="732F8B9E">
            <w:pPr>
              <w:autoSpaceDE w:val="0"/>
              <w:autoSpaceDN w:val="0"/>
              <w:adjustRightInd w:val="0"/>
              <w:ind w:left="180"/>
              <w:jc w:val="center"/>
              <w:rPr>
                <w:rFonts w:ascii="Times New Roman" w:eastAsia="Times New Roman" w:hAnsi="Times New Roman" w:cs="Times New Roman"/>
              </w:rPr>
            </w:pPr>
            <w:r w:rsidRPr="1FEBD9AD">
              <w:rPr>
                <w:rFonts w:ascii="Times New Roman" w:eastAsia="Times New Roman" w:hAnsi="Times New Roman" w:cs="Times New Roman"/>
              </w:rPr>
              <w:t>$</w:t>
            </w:r>
            <w:r w:rsidRPr="0022496C" w:rsidR="0022496C">
              <w:rPr>
                <w:rFonts w:ascii="Times New Roman" w:eastAsia="Times New Roman" w:hAnsi="Times New Roman" w:cs="Times New Roman"/>
              </w:rPr>
              <w:t>5,424,181.1</w:t>
            </w:r>
            <w:r w:rsidR="0022496C">
              <w:rPr>
                <w:rFonts w:ascii="Times New Roman" w:eastAsia="Times New Roman" w:hAnsi="Times New Roman" w:cs="Times New Roman"/>
              </w:rPr>
              <w:t>0</w:t>
            </w:r>
          </w:p>
        </w:tc>
      </w:tr>
      <w:tr w14:paraId="66B72F34" w14:textId="77777777" w:rsidTr="0083416F">
        <w:tblPrEx>
          <w:tblW w:w="9629" w:type="dxa"/>
          <w:tblInd w:w="-10" w:type="dxa"/>
          <w:tblLayout w:type="fixed"/>
          <w:tblCellMar>
            <w:left w:w="58" w:type="dxa"/>
            <w:right w:w="58" w:type="dxa"/>
          </w:tblCellMar>
          <w:tblLook w:val="00A0"/>
        </w:tblPrEx>
        <w:trPr>
          <w:cantSplit/>
          <w:trHeight w:val="312"/>
        </w:trPr>
        <w:tc>
          <w:tcPr>
            <w:tcW w:w="1620" w:type="dxa"/>
            <w:vMerge/>
            <w:tcBorders>
              <w:top w:val="single" w:sz="6" w:space="0" w:color="auto"/>
              <w:left w:val="single" w:sz="4" w:space="0" w:color="auto"/>
              <w:bottom w:val="single" w:sz="6" w:space="0" w:color="auto"/>
            </w:tcBorders>
            <w:vAlign w:val="center"/>
          </w:tcPr>
          <w:p w:rsidR="00AC37AF" w:rsidRPr="00DC3C49" w:rsidP="00AC37AF" w14:paraId="55770359" w14:textId="77777777">
            <w:pPr>
              <w:autoSpaceDE w:val="0"/>
              <w:autoSpaceDN w:val="0"/>
              <w:adjustRightInd w:val="0"/>
              <w:ind w:left="180"/>
              <w:rPr>
                <w:rFonts w:ascii="Times New Roman" w:eastAsia="Times New Roman" w:hAnsi="Times New Roman" w:cs="Times New Roman"/>
                <w:szCs w:val="24"/>
              </w:rPr>
            </w:pPr>
          </w:p>
        </w:tc>
        <w:tc>
          <w:tcPr>
            <w:tcW w:w="2764" w:type="dxa"/>
            <w:tcBorders>
              <w:top w:val="single" w:sz="6" w:space="0" w:color="auto"/>
            </w:tcBorders>
            <w:vAlign w:val="center"/>
          </w:tcPr>
          <w:p w:rsidR="00AC37AF" w:rsidRPr="00613C01" w:rsidP="00AC37AF" w14:paraId="51C85DCC" w14:textId="77777777">
            <w:pPr>
              <w:jc w:val="center"/>
              <w:rPr>
                <w:rFonts w:ascii="Times New Roman" w:hAnsi="Times New Roman" w:cs="Times New Roman"/>
                <w:szCs w:val="24"/>
              </w:rPr>
            </w:pPr>
            <w:r w:rsidRPr="00613C01">
              <w:rPr>
                <w:rFonts w:ascii="Times New Roman" w:hAnsi="Times New Roman" w:cs="Times New Roman"/>
                <w:szCs w:val="24"/>
              </w:rPr>
              <w:t>Parent Screening</w:t>
            </w:r>
          </w:p>
        </w:tc>
        <w:tc>
          <w:tcPr>
            <w:tcW w:w="1906" w:type="dxa"/>
            <w:tcBorders>
              <w:top w:val="single" w:sz="6" w:space="0" w:color="auto"/>
            </w:tcBorders>
            <w:vAlign w:val="center"/>
          </w:tcPr>
          <w:p w:rsidR="00AC37AF" w:rsidRPr="00613C01" w:rsidP="00AC37AF" w14:paraId="0EC34D9A" w14:textId="551E5D0C">
            <w:pPr>
              <w:ind w:left="180"/>
              <w:jc w:val="center"/>
              <w:rPr>
                <w:rFonts w:ascii="Times New Roman" w:eastAsia="Times New Roman" w:hAnsi="Times New Roman" w:cs="Times New Roman"/>
                <w:szCs w:val="24"/>
              </w:rPr>
            </w:pPr>
            <w:r w:rsidRPr="1FEBD9AD">
              <w:rPr>
                <w:rFonts w:ascii="Times New Roman" w:eastAsia="Times New Roman" w:hAnsi="Times New Roman" w:cs="Times New Roman"/>
              </w:rPr>
              <w:t>27,</w:t>
            </w:r>
            <w:r>
              <w:rPr>
                <w:rFonts w:ascii="Times New Roman" w:eastAsia="Times New Roman" w:hAnsi="Times New Roman" w:cs="Times New Roman"/>
              </w:rPr>
              <w:t>600</w:t>
            </w:r>
          </w:p>
        </w:tc>
        <w:tc>
          <w:tcPr>
            <w:tcW w:w="1515" w:type="dxa"/>
            <w:tcBorders>
              <w:top w:val="single" w:sz="6" w:space="0" w:color="auto"/>
            </w:tcBorders>
            <w:vAlign w:val="center"/>
          </w:tcPr>
          <w:p w:rsidR="00AC37AF" w:rsidRPr="00613C01" w:rsidP="00AC37AF" w14:paraId="7584D566" w14:textId="77777777">
            <w:pPr>
              <w:autoSpaceDE w:val="0"/>
              <w:autoSpaceDN w:val="0"/>
              <w:adjustRightInd w:val="0"/>
              <w:ind w:left="180"/>
              <w:jc w:val="center"/>
              <w:rPr>
                <w:rFonts w:ascii="Times New Roman" w:eastAsia="Times New Roman" w:hAnsi="Times New Roman" w:cs="Times New Roman"/>
                <w:szCs w:val="24"/>
              </w:rPr>
            </w:pPr>
            <w:r w:rsidRPr="00613C01">
              <w:rPr>
                <w:rFonts w:ascii="Times New Roman" w:eastAsia="Times New Roman" w:hAnsi="Times New Roman" w:cs="Times New Roman"/>
                <w:szCs w:val="24"/>
              </w:rPr>
              <w:t>$</w:t>
            </w:r>
            <w:r>
              <w:rPr>
                <w:rFonts w:ascii="Times New Roman" w:eastAsia="Times New Roman" w:hAnsi="Times New Roman" w:cs="Times New Roman"/>
                <w:szCs w:val="24"/>
              </w:rPr>
              <w:t>53.30</w:t>
            </w:r>
          </w:p>
        </w:tc>
        <w:tc>
          <w:tcPr>
            <w:tcW w:w="1824" w:type="dxa"/>
            <w:tcBorders>
              <w:top w:val="single" w:sz="6" w:space="0" w:color="auto"/>
              <w:bottom w:val="single" w:sz="6" w:space="0" w:color="auto"/>
              <w:right w:val="single" w:sz="8" w:space="0" w:color="auto"/>
            </w:tcBorders>
            <w:vAlign w:val="center"/>
          </w:tcPr>
          <w:p w:rsidR="00AC37AF" w:rsidRPr="0083416F" w:rsidP="00AC37AF" w14:paraId="03FB9CB3" w14:textId="670EF127">
            <w:pPr>
              <w:autoSpaceDE w:val="0"/>
              <w:autoSpaceDN w:val="0"/>
              <w:adjustRightInd w:val="0"/>
              <w:ind w:left="180"/>
              <w:jc w:val="center"/>
              <w:rPr>
                <w:rFonts w:ascii="Times New Roman" w:eastAsia="Times New Roman" w:hAnsi="Times New Roman" w:cs="Times New Roman"/>
              </w:rPr>
            </w:pPr>
            <w:r w:rsidRPr="1FEBD9AD">
              <w:rPr>
                <w:rFonts w:ascii="Times New Roman" w:eastAsia="Times New Roman" w:hAnsi="Times New Roman" w:cs="Times New Roman"/>
              </w:rPr>
              <w:t>$</w:t>
            </w:r>
            <w:r w:rsidRPr="00AC37AF">
              <w:rPr>
                <w:rFonts w:ascii="Times New Roman" w:eastAsia="Times New Roman" w:hAnsi="Times New Roman" w:cs="Times New Roman"/>
              </w:rPr>
              <w:t>1,471,080</w:t>
            </w:r>
            <w:r>
              <w:rPr>
                <w:rFonts w:ascii="Times New Roman" w:eastAsia="Times New Roman" w:hAnsi="Times New Roman" w:cs="Times New Roman"/>
              </w:rPr>
              <w:t>.00</w:t>
            </w:r>
          </w:p>
        </w:tc>
      </w:tr>
      <w:tr w14:paraId="6E33C00B" w14:textId="77777777" w:rsidTr="0083416F">
        <w:tblPrEx>
          <w:tblW w:w="9629" w:type="dxa"/>
          <w:tblInd w:w="-10" w:type="dxa"/>
          <w:tblLayout w:type="fixed"/>
          <w:tblCellMar>
            <w:left w:w="58" w:type="dxa"/>
            <w:right w:w="58" w:type="dxa"/>
          </w:tblCellMar>
          <w:tblLook w:val="00A0"/>
        </w:tblPrEx>
        <w:trPr>
          <w:cantSplit/>
          <w:trHeight w:val="397"/>
        </w:trPr>
        <w:tc>
          <w:tcPr>
            <w:tcW w:w="1620" w:type="dxa"/>
            <w:vMerge/>
            <w:tcBorders>
              <w:top w:val="single" w:sz="6" w:space="0" w:color="auto"/>
              <w:left w:val="single" w:sz="4" w:space="0" w:color="auto"/>
              <w:bottom w:val="single" w:sz="6" w:space="0" w:color="auto"/>
            </w:tcBorders>
            <w:vAlign w:val="center"/>
          </w:tcPr>
          <w:p w:rsidR="00AC37AF" w:rsidRPr="00DC3C49" w:rsidP="00AC37AF" w14:paraId="1C9AD63A"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AC37AF" w:rsidRPr="00DC3C49" w:rsidP="00AC37AF" w14:paraId="7B193DF7" w14:textId="77777777">
            <w:pPr>
              <w:keepNext/>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Household Rostering</w:t>
            </w:r>
          </w:p>
        </w:tc>
        <w:tc>
          <w:tcPr>
            <w:tcW w:w="1906" w:type="dxa"/>
            <w:vAlign w:val="center"/>
          </w:tcPr>
          <w:p w:rsidR="00AC37AF" w:rsidRPr="0083416F" w:rsidP="00AC37AF" w14:paraId="126B3733" w14:textId="1C475F1D">
            <w:pPr>
              <w:ind w:left="180"/>
              <w:jc w:val="center"/>
              <w:rPr>
                <w:rFonts w:ascii="Times New Roman" w:eastAsia="Times New Roman" w:hAnsi="Times New Roman" w:cs="Times New Roman"/>
                <w:szCs w:val="24"/>
              </w:rPr>
            </w:pPr>
            <w:r w:rsidRPr="1FEBD9AD">
              <w:rPr>
                <w:rFonts w:ascii="Times New Roman" w:eastAsia="Times New Roman" w:hAnsi="Times New Roman" w:cs="Times New Roman"/>
              </w:rPr>
              <w:t>5</w:t>
            </w:r>
            <w:r>
              <w:rPr>
                <w:rFonts w:ascii="Times New Roman" w:eastAsia="Times New Roman" w:hAnsi="Times New Roman" w:cs="Times New Roman"/>
              </w:rPr>
              <w:t>60</w:t>
            </w:r>
          </w:p>
        </w:tc>
        <w:tc>
          <w:tcPr>
            <w:tcW w:w="1515" w:type="dxa"/>
            <w:vAlign w:val="center"/>
          </w:tcPr>
          <w:p w:rsidR="00AC37AF" w:rsidRPr="00DC3C49" w:rsidP="00AC37AF" w14:paraId="36316CC8" w14:textId="7777777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Pr>
                <w:rFonts w:ascii="Times New Roman" w:eastAsia="Times New Roman" w:hAnsi="Times New Roman" w:cs="Times New Roman"/>
                <w:szCs w:val="24"/>
              </w:rPr>
              <w:t>53.30</w:t>
            </w:r>
          </w:p>
        </w:tc>
        <w:tc>
          <w:tcPr>
            <w:tcW w:w="1824" w:type="dxa"/>
            <w:tcBorders>
              <w:top w:val="single" w:sz="6" w:space="0" w:color="auto"/>
              <w:bottom w:val="single" w:sz="6" w:space="0" w:color="auto"/>
              <w:right w:val="single" w:sz="8" w:space="0" w:color="auto"/>
            </w:tcBorders>
            <w:vAlign w:val="center"/>
          </w:tcPr>
          <w:p w:rsidR="00AC37AF" w:rsidRPr="00AC37AF" w:rsidP="00AC37AF" w14:paraId="2126F28D" w14:textId="6247A6B3">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w:t>
            </w:r>
            <w:r w:rsidRPr="00AC37AF">
              <w:rPr>
                <w:rFonts w:ascii="Times New Roman" w:eastAsia="Times New Roman" w:hAnsi="Times New Roman" w:cs="Times New Roman"/>
                <w:szCs w:val="24"/>
              </w:rPr>
              <w:t>29,848</w:t>
            </w:r>
            <w:r>
              <w:rPr>
                <w:rFonts w:ascii="Times New Roman" w:eastAsia="Times New Roman" w:hAnsi="Times New Roman" w:cs="Times New Roman"/>
                <w:szCs w:val="24"/>
              </w:rPr>
              <w:t>.00</w:t>
            </w:r>
          </w:p>
        </w:tc>
      </w:tr>
      <w:tr w14:paraId="58469A81" w14:textId="77777777" w:rsidTr="0083416F">
        <w:tblPrEx>
          <w:tblW w:w="9629" w:type="dxa"/>
          <w:tblInd w:w="-10" w:type="dxa"/>
          <w:tblLayout w:type="fixed"/>
          <w:tblCellMar>
            <w:left w:w="58" w:type="dxa"/>
            <w:right w:w="58" w:type="dxa"/>
          </w:tblCellMar>
          <w:tblLook w:val="00A0"/>
        </w:tblPrEx>
        <w:trPr>
          <w:cantSplit/>
          <w:trHeight w:val="329"/>
        </w:trPr>
        <w:tc>
          <w:tcPr>
            <w:tcW w:w="1620" w:type="dxa"/>
            <w:vMerge/>
            <w:tcBorders>
              <w:top w:val="single" w:sz="6" w:space="0" w:color="auto"/>
              <w:left w:val="single" w:sz="4" w:space="0" w:color="auto"/>
              <w:bottom w:val="single" w:sz="6" w:space="0" w:color="auto"/>
            </w:tcBorders>
            <w:vAlign w:val="center"/>
          </w:tcPr>
          <w:p w:rsidR="00AC37AF" w:rsidRPr="00DC3C49" w:rsidP="00AC37AF" w14:paraId="525B685F"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AC37AF" w:rsidRPr="00DC3C49" w:rsidP="00AC37AF" w14:paraId="17BFE074" w14:textId="77777777">
            <w:pPr>
              <w:keepNext/>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Parent Permission</w:t>
            </w:r>
          </w:p>
        </w:tc>
        <w:tc>
          <w:tcPr>
            <w:tcW w:w="1906" w:type="dxa"/>
            <w:vAlign w:val="center"/>
          </w:tcPr>
          <w:p w:rsidR="00AC37AF" w:rsidRPr="00DC3C49" w:rsidP="00AC37AF" w14:paraId="371270BF" w14:textId="33F6C098">
            <w:pPr>
              <w:ind w:left="180"/>
              <w:jc w:val="center"/>
              <w:rPr>
                <w:rFonts w:ascii="Times New Roman" w:eastAsia="Times New Roman" w:hAnsi="Times New Roman" w:cs="Times New Roman"/>
                <w:szCs w:val="24"/>
              </w:rPr>
            </w:pPr>
            <w:r w:rsidRPr="1FEBD9AD">
              <w:rPr>
                <w:rFonts w:ascii="Times New Roman" w:eastAsia="Times New Roman" w:hAnsi="Times New Roman" w:cs="Times New Roman"/>
              </w:rPr>
              <w:t>2,</w:t>
            </w:r>
            <w:r>
              <w:rPr>
                <w:rFonts w:ascii="Times New Roman" w:eastAsia="Times New Roman" w:hAnsi="Times New Roman" w:cs="Times New Roman"/>
              </w:rPr>
              <w:t>592</w:t>
            </w:r>
          </w:p>
        </w:tc>
        <w:tc>
          <w:tcPr>
            <w:tcW w:w="1515" w:type="dxa"/>
            <w:vAlign w:val="center"/>
          </w:tcPr>
          <w:p w:rsidR="00AC37AF" w:rsidRPr="00DC3C49" w:rsidP="00AC37AF" w14:paraId="597C287A" w14:textId="7777777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Pr>
                <w:rFonts w:ascii="Times New Roman" w:eastAsia="Times New Roman" w:hAnsi="Times New Roman" w:cs="Times New Roman"/>
                <w:szCs w:val="24"/>
              </w:rPr>
              <w:t>53.30</w:t>
            </w:r>
          </w:p>
        </w:tc>
        <w:tc>
          <w:tcPr>
            <w:tcW w:w="1824" w:type="dxa"/>
            <w:tcBorders>
              <w:top w:val="single" w:sz="6" w:space="0" w:color="auto"/>
              <w:bottom w:val="single" w:sz="6" w:space="0" w:color="auto"/>
              <w:right w:val="single" w:sz="8" w:space="0" w:color="auto"/>
            </w:tcBorders>
            <w:vAlign w:val="center"/>
          </w:tcPr>
          <w:p w:rsidR="00AC37AF" w:rsidRPr="0083416F" w:rsidP="00AC37AF" w14:paraId="0B29A90A" w14:textId="526B2941">
            <w:pPr>
              <w:ind w:left="180"/>
              <w:jc w:val="center"/>
              <w:rPr>
                <w:rFonts w:ascii="Times New Roman" w:eastAsia="Times New Roman" w:hAnsi="Times New Roman" w:cs="Times New Roman"/>
              </w:rPr>
            </w:pPr>
            <w:r w:rsidRPr="1FEBD9AD">
              <w:rPr>
                <w:rFonts w:ascii="Times New Roman" w:eastAsia="Times New Roman" w:hAnsi="Times New Roman" w:cs="Times New Roman"/>
              </w:rPr>
              <w:t>$</w:t>
            </w:r>
            <w:r w:rsidRPr="00AC37AF">
              <w:rPr>
                <w:rFonts w:ascii="Times New Roman" w:eastAsia="Times New Roman" w:hAnsi="Times New Roman" w:cs="Times New Roman"/>
              </w:rPr>
              <w:t>138,153.6</w:t>
            </w:r>
            <w:r>
              <w:rPr>
                <w:rFonts w:ascii="Times New Roman" w:eastAsia="Times New Roman" w:hAnsi="Times New Roman" w:cs="Times New Roman"/>
              </w:rPr>
              <w:t>0</w:t>
            </w:r>
          </w:p>
        </w:tc>
      </w:tr>
      <w:tr w14:paraId="4CA0E951" w14:textId="77777777" w:rsidTr="0083416F">
        <w:tblPrEx>
          <w:tblW w:w="9629" w:type="dxa"/>
          <w:tblInd w:w="-10" w:type="dxa"/>
          <w:tblLayout w:type="fixed"/>
          <w:tblCellMar>
            <w:left w:w="58" w:type="dxa"/>
            <w:right w:w="58" w:type="dxa"/>
          </w:tblCellMar>
          <w:tblLook w:val="00A0"/>
        </w:tblPrEx>
        <w:trPr>
          <w:cantSplit/>
          <w:trHeight w:val="263"/>
        </w:trPr>
        <w:tc>
          <w:tcPr>
            <w:tcW w:w="1620" w:type="dxa"/>
            <w:vMerge w:val="restart"/>
            <w:tcBorders>
              <w:top w:val="single" w:sz="6" w:space="0" w:color="auto"/>
              <w:left w:val="single" w:sz="4" w:space="0" w:color="auto"/>
              <w:bottom w:val="single" w:sz="6" w:space="0" w:color="auto"/>
            </w:tcBorders>
            <w:vAlign w:val="center"/>
          </w:tcPr>
          <w:p w:rsidR="00AC37AF" w:rsidRPr="00613C01" w:rsidP="00AC37AF" w14:paraId="27A237B5" w14:textId="77777777">
            <w:pPr>
              <w:autoSpaceDE w:val="0"/>
              <w:autoSpaceDN w:val="0"/>
              <w:adjustRightInd w:val="0"/>
              <w:ind w:left="180"/>
              <w:rPr>
                <w:rFonts w:ascii="Times New Roman" w:eastAsia="Times New Roman" w:hAnsi="Times New Roman" w:cs="Times New Roman"/>
                <w:szCs w:val="24"/>
              </w:rPr>
            </w:pPr>
            <w:r w:rsidRPr="00613C01">
              <w:rPr>
                <w:rFonts w:ascii="Times New Roman" w:eastAsia="Times New Roman" w:hAnsi="Times New Roman" w:cs="Times New Roman"/>
                <w:szCs w:val="24"/>
              </w:rPr>
              <w:t xml:space="preserve">Youth </w:t>
            </w:r>
            <w:r w:rsidRPr="00613C01">
              <w:rPr>
                <w:rFonts w:ascii="Times New Roman" w:eastAsia="Times New Roman" w:hAnsi="Times New Roman" w:cs="Times New Roman"/>
                <w:szCs w:val="24"/>
              </w:rPr>
              <w:t>aged</w:t>
            </w:r>
            <w:r w:rsidRPr="00613C01">
              <w:rPr>
                <w:rFonts w:ascii="Times New Roman" w:eastAsia="Times New Roman" w:hAnsi="Times New Roman" w:cs="Times New Roman"/>
                <w:szCs w:val="24"/>
              </w:rPr>
              <w:t xml:space="preserve"> </w:t>
            </w:r>
          </w:p>
          <w:p w:rsidR="00AC37AF" w:rsidRPr="00613C01" w:rsidP="00AC37AF" w14:paraId="153FE35D" w14:textId="77777777">
            <w:pPr>
              <w:autoSpaceDE w:val="0"/>
              <w:autoSpaceDN w:val="0"/>
              <w:adjustRightInd w:val="0"/>
              <w:ind w:left="180"/>
              <w:rPr>
                <w:rFonts w:ascii="Times New Roman" w:eastAsia="Times New Roman" w:hAnsi="Times New Roman" w:cs="Times New Roman"/>
                <w:szCs w:val="24"/>
              </w:rPr>
            </w:pPr>
            <w:r w:rsidRPr="00613C01">
              <w:rPr>
                <w:rFonts w:ascii="Times New Roman" w:eastAsia="Times New Roman" w:hAnsi="Times New Roman" w:cs="Times New Roman"/>
                <w:szCs w:val="24"/>
              </w:rPr>
              <w:t>11–20</w:t>
            </w:r>
          </w:p>
        </w:tc>
        <w:tc>
          <w:tcPr>
            <w:tcW w:w="2764" w:type="dxa"/>
            <w:shd w:val="clear" w:color="auto" w:fill="808080" w:themeFill="background1" w:themeFillShade="80"/>
            <w:vAlign w:val="center"/>
          </w:tcPr>
          <w:p w:rsidR="00AC37AF" w:rsidRPr="00613C01" w:rsidP="00AC37AF" w14:paraId="4F021AA3" w14:textId="77777777">
            <w:pPr>
              <w:autoSpaceDE w:val="0"/>
              <w:autoSpaceDN w:val="0"/>
              <w:adjustRightInd w:val="0"/>
              <w:ind w:left="180"/>
              <w:jc w:val="center"/>
              <w:rPr>
                <w:rFonts w:ascii="Times New Roman" w:eastAsia="Times New Roman" w:hAnsi="Times New Roman" w:cs="Times New Roman"/>
                <w:szCs w:val="24"/>
              </w:rPr>
            </w:pPr>
          </w:p>
        </w:tc>
        <w:tc>
          <w:tcPr>
            <w:tcW w:w="1906" w:type="dxa"/>
            <w:shd w:val="clear" w:color="auto" w:fill="808080" w:themeFill="background1" w:themeFillShade="80"/>
            <w:vAlign w:val="center"/>
          </w:tcPr>
          <w:p w:rsidR="00AC37AF" w:rsidRPr="00613C01" w:rsidP="00AC37AF" w14:paraId="1EC4AD5E" w14:textId="77777777">
            <w:pPr>
              <w:autoSpaceDE w:val="0"/>
              <w:autoSpaceDN w:val="0"/>
              <w:adjustRightInd w:val="0"/>
              <w:ind w:left="180"/>
              <w:jc w:val="center"/>
              <w:rPr>
                <w:rFonts w:ascii="Times New Roman" w:eastAsia="Times New Roman" w:hAnsi="Times New Roman" w:cs="Times New Roman"/>
                <w:szCs w:val="24"/>
              </w:rPr>
            </w:pPr>
          </w:p>
        </w:tc>
        <w:tc>
          <w:tcPr>
            <w:tcW w:w="1515" w:type="dxa"/>
            <w:shd w:val="clear" w:color="auto" w:fill="808080" w:themeFill="background1" w:themeFillShade="80"/>
            <w:vAlign w:val="center"/>
          </w:tcPr>
          <w:p w:rsidR="00AC37AF" w:rsidRPr="00613C01" w:rsidP="00AC37AF" w14:paraId="7A3BB3EE" w14:textId="77777777">
            <w:pPr>
              <w:autoSpaceDE w:val="0"/>
              <w:autoSpaceDN w:val="0"/>
              <w:adjustRightInd w:val="0"/>
              <w:ind w:left="180"/>
              <w:jc w:val="center"/>
              <w:rPr>
                <w:rFonts w:ascii="Times New Roman" w:eastAsia="Times New Roman" w:hAnsi="Times New Roman" w:cs="Times New Roman"/>
                <w:szCs w:val="24"/>
              </w:rPr>
            </w:pPr>
          </w:p>
        </w:tc>
        <w:tc>
          <w:tcPr>
            <w:tcW w:w="1824" w:type="dxa"/>
            <w:tcBorders>
              <w:top w:val="single" w:sz="6" w:space="0" w:color="auto"/>
              <w:bottom w:val="single" w:sz="6" w:space="0" w:color="auto"/>
              <w:right w:val="single" w:sz="8" w:space="0" w:color="auto"/>
            </w:tcBorders>
            <w:shd w:val="clear" w:color="auto" w:fill="808080" w:themeFill="background1" w:themeFillShade="80"/>
            <w:vAlign w:val="center"/>
          </w:tcPr>
          <w:p w:rsidR="00AC37AF" w:rsidRPr="00613C01" w:rsidP="00AC37AF" w14:paraId="5F72A7EC" w14:textId="77777777">
            <w:pPr>
              <w:autoSpaceDE w:val="0"/>
              <w:autoSpaceDN w:val="0"/>
              <w:adjustRightInd w:val="0"/>
              <w:ind w:left="180"/>
              <w:jc w:val="center"/>
              <w:rPr>
                <w:rFonts w:ascii="Times New Roman" w:eastAsia="Times New Roman" w:hAnsi="Times New Roman" w:cs="Times New Roman"/>
                <w:szCs w:val="24"/>
              </w:rPr>
            </w:pPr>
          </w:p>
        </w:tc>
      </w:tr>
      <w:tr w14:paraId="5BD7FA48" w14:textId="77777777" w:rsidTr="0083416F">
        <w:tblPrEx>
          <w:tblW w:w="9629" w:type="dxa"/>
          <w:tblInd w:w="-10" w:type="dxa"/>
          <w:tblLayout w:type="fixed"/>
          <w:tblCellMar>
            <w:left w:w="58" w:type="dxa"/>
            <w:right w:w="58" w:type="dxa"/>
          </w:tblCellMar>
          <w:tblLook w:val="00A0"/>
        </w:tblPrEx>
        <w:trPr>
          <w:cantSplit/>
          <w:trHeight w:val="274"/>
        </w:trPr>
        <w:tc>
          <w:tcPr>
            <w:tcW w:w="1620" w:type="dxa"/>
            <w:vMerge/>
            <w:tcBorders>
              <w:top w:val="single" w:sz="6" w:space="0" w:color="auto"/>
              <w:left w:val="single" w:sz="4" w:space="0" w:color="auto"/>
              <w:bottom w:val="single" w:sz="6" w:space="0" w:color="auto"/>
            </w:tcBorders>
            <w:vAlign w:val="center"/>
          </w:tcPr>
          <w:p w:rsidR="00AC37AF" w:rsidRPr="00DC3C49" w:rsidP="00AC37AF" w14:paraId="5423A76F"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AC37AF" w:rsidRPr="00DC3C49" w:rsidP="00AC37AF" w14:paraId="76DB3373" w14:textId="77777777">
            <w:pPr>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Youth Assent</w:t>
            </w:r>
          </w:p>
        </w:tc>
        <w:tc>
          <w:tcPr>
            <w:tcW w:w="1906" w:type="dxa"/>
            <w:vAlign w:val="center"/>
          </w:tcPr>
          <w:p w:rsidR="00AC37AF" w:rsidRPr="00DC3C49" w:rsidP="00AC37AF" w14:paraId="5251B2B8" w14:textId="0D489131">
            <w:pPr>
              <w:autoSpaceDE w:val="0"/>
              <w:autoSpaceDN w:val="0"/>
              <w:adjustRightInd w:val="0"/>
              <w:ind w:left="180"/>
              <w:jc w:val="center"/>
              <w:rPr>
                <w:rFonts w:ascii="Times New Roman" w:eastAsia="Times New Roman" w:hAnsi="Times New Roman" w:cs="Times New Roman"/>
              </w:rPr>
            </w:pPr>
            <w:r w:rsidRPr="1FEBD9AD">
              <w:rPr>
                <w:rFonts w:ascii="Times New Roman" w:eastAsia="Times New Roman" w:hAnsi="Times New Roman" w:cs="Times New Roman"/>
              </w:rPr>
              <w:t>2,</w:t>
            </w:r>
            <w:r>
              <w:rPr>
                <w:rFonts w:ascii="Times New Roman" w:eastAsia="Times New Roman" w:hAnsi="Times New Roman" w:cs="Times New Roman"/>
              </w:rPr>
              <w:t>592</w:t>
            </w:r>
          </w:p>
        </w:tc>
        <w:tc>
          <w:tcPr>
            <w:tcW w:w="1515" w:type="dxa"/>
            <w:vAlign w:val="center"/>
          </w:tcPr>
          <w:p w:rsidR="00AC37AF" w:rsidRPr="00DC3C49" w:rsidP="00AC37AF" w14:paraId="23422512" w14:textId="7777777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Pr>
                <w:rFonts w:ascii="Times New Roman" w:eastAsia="Times New Roman" w:hAnsi="Times New Roman" w:cs="Times New Roman"/>
                <w:szCs w:val="24"/>
              </w:rPr>
              <w:t>14.50</w:t>
            </w:r>
          </w:p>
        </w:tc>
        <w:tc>
          <w:tcPr>
            <w:tcW w:w="1824" w:type="dxa"/>
            <w:tcBorders>
              <w:top w:val="single" w:sz="6" w:space="0" w:color="auto"/>
              <w:bottom w:val="single" w:sz="6" w:space="0" w:color="auto"/>
              <w:right w:val="single" w:sz="8" w:space="0" w:color="auto"/>
            </w:tcBorders>
            <w:vAlign w:val="center"/>
          </w:tcPr>
          <w:p w:rsidR="00AC37AF" w:rsidRPr="0083416F" w:rsidP="00AC37AF" w14:paraId="3B94F06B" w14:textId="1D3731C5">
            <w:pPr>
              <w:autoSpaceDE w:val="0"/>
              <w:autoSpaceDN w:val="0"/>
              <w:adjustRightInd w:val="0"/>
              <w:ind w:left="180"/>
              <w:jc w:val="center"/>
              <w:rPr>
                <w:rFonts w:ascii="Times New Roman" w:eastAsia="Times New Roman" w:hAnsi="Times New Roman" w:cs="Times New Roman"/>
              </w:rPr>
            </w:pPr>
            <w:r w:rsidRPr="1FEBD9AD">
              <w:rPr>
                <w:rFonts w:ascii="Times New Roman" w:eastAsia="Times New Roman" w:hAnsi="Times New Roman" w:cs="Times New Roman"/>
              </w:rPr>
              <w:t>$</w:t>
            </w:r>
            <w:r w:rsidRPr="0016554B">
              <w:rPr>
                <w:rFonts w:ascii="Times New Roman" w:eastAsia="Times New Roman" w:hAnsi="Times New Roman" w:cs="Times New Roman"/>
              </w:rPr>
              <w:t>37,584</w:t>
            </w:r>
            <w:r>
              <w:rPr>
                <w:rFonts w:ascii="Times New Roman" w:eastAsia="Times New Roman" w:hAnsi="Times New Roman" w:cs="Times New Roman"/>
              </w:rPr>
              <w:t>.00</w:t>
            </w:r>
          </w:p>
        </w:tc>
      </w:tr>
      <w:tr w14:paraId="374209AB" w14:textId="77777777" w:rsidTr="0083416F">
        <w:tblPrEx>
          <w:tblW w:w="9629" w:type="dxa"/>
          <w:tblInd w:w="-10" w:type="dxa"/>
          <w:tblLayout w:type="fixed"/>
          <w:tblCellMar>
            <w:left w:w="58" w:type="dxa"/>
            <w:right w:w="58" w:type="dxa"/>
          </w:tblCellMar>
          <w:tblLook w:val="00A0"/>
        </w:tblPrEx>
        <w:trPr>
          <w:cantSplit/>
          <w:trHeight w:val="397"/>
        </w:trPr>
        <w:tc>
          <w:tcPr>
            <w:tcW w:w="1620" w:type="dxa"/>
            <w:vMerge/>
            <w:tcBorders>
              <w:top w:val="single" w:sz="6" w:space="0" w:color="auto"/>
              <w:left w:val="single" w:sz="4" w:space="0" w:color="auto"/>
              <w:bottom w:val="single" w:sz="6" w:space="0" w:color="auto"/>
            </w:tcBorders>
            <w:vAlign w:val="center"/>
          </w:tcPr>
          <w:p w:rsidR="00AC37AF" w:rsidRPr="00DC3C49" w:rsidP="00AC37AF" w14:paraId="07A98BF4"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AC37AF" w:rsidRPr="00DC3C49" w:rsidP="00AC37AF" w14:paraId="0E6AC36B" w14:textId="77777777">
            <w:pPr>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Online Survey</w:t>
            </w:r>
          </w:p>
        </w:tc>
        <w:tc>
          <w:tcPr>
            <w:tcW w:w="1906" w:type="dxa"/>
            <w:vAlign w:val="center"/>
          </w:tcPr>
          <w:p w:rsidR="00AC37AF" w:rsidRPr="00DC3C49" w:rsidP="00AC37AF" w14:paraId="30D7A70E" w14:textId="18B25A8D">
            <w:pPr>
              <w:autoSpaceDE w:val="0"/>
              <w:autoSpaceDN w:val="0"/>
              <w:adjustRightInd w:val="0"/>
              <w:ind w:left="180"/>
              <w:jc w:val="center"/>
              <w:rPr>
                <w:rFonts w:ascii="Times New Roman" w:eastAsia="Times New Roman" w:hAnsi="Times New Roman" w:cs="Times New Roman"/>
              </w:rPr>
            </w:pPr>
            <w:r>
              <w:rPr>
                <w:rFonts w:ascii="Times New Roman" w:eastAsia="Times New Roman" w:hAnsi="Times New Roman" w:cs="Times New Roman"/>
              </w:rPr>
              <w:t>16,200</w:t>
            </w:r>
          </w:p>
        </w:tc>
        <w:tc>
          <w:tcPr>
            <w:tcW w:w="1515" w:type="dxa"/>
            <w:vAlign w:val="center"/>
          </w:tcPr>
          <w:p w:rsidR="00AC37AF" w:rsidRPr="00DC3C49" w:rsidP="00AC37AF" w14:paraId="5C308CFD" w14:textId="7777777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Pr>
                <w:rFonts w:ascii="Times New Roman" w:eastAsia="Times New Roman" w:hAnsi="Times New Roman" w:cs="Times New Roman"/>
                <w:szCs w:val="24"/>
              </w:rPr>
              <w:t>14.50</w:t>
            </w:r>
          </w:p>
        </w:tc>
        <w:tc>
          <w:tcPr>
            <w:tcW w:w="1824" w:type="dxa"/>
            <w:tcBorders>
              <w:top w:val="single" w:sz="6" w:space="0" w:color="auto"/>
              <w:bottom w:val="single" w:sz="6" w:space="0" w:color="auto"/>
              <w:right w:val="single" w:sz="8" w:space="0" w:color="auto"/>
            </w:tcBorders>
            <w:vAlign w:val="center"/>
          </w:tcPr>
          <w:p w:rsidR="00AC37AF" w:rsidRPr="00DC3C49" w:rsidP="00AC37AF" w14:paraId="4D9DBBFF" w14:textId="0EA2F900">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w:t>
            </w:r>
            <w:r>
              <w:rPr>
                <w:rFonts w:ascii="Times New Roman" w:eastAsia="Times New Roman" w:hAnsi="Times New Roman" w:cs="Times New Roman"/>
                <w:szCs w:val="24"/>
              </w:rPr>
              <w:t>234,900.00</w:t>
            </w:r>
          </w:p>
        </w:tc>
      </w:tr>
      <w:tr w14:paraId="098C8072" w14:textId="77777777" w:rsidTr="0083416F">
        <w:tblPrEx>
          <w:tblW w:w="9629" w:type="dxa"/>
          <w:tblInd w:w="-10" w:type="dxa"/>
          <w:tblLayout w:type="fixed"/>
          <w:tblCellMar>
            <w:left w:w="58" w:type="dxa"/>
            <w:right w:w="58" w:type="dxa"/>
          </w:tblCellMar>
          <w:tblLook w:val="00A0"/>
        </w:tblPrEx>
        <w:trPr>
          <w:cantSplit/>
          <w:trHeight w:val="397"/>
        </w:trPr>
        <w:tc>
          <w:tcPr>
            <w:tcW w:w="1620" w:type="dxa"/>
            <w:vMerge/>
            <w:tcBorders>
              <w:top w:val="single" w:sz="6" w:space="0" w:color="auto"/>
              <w:left w:val="single" w:sz="4" w:space="0" w:color="auto"/>
              <w:bottom w:val="single" w:sz="6" w:space="0" w:color="auto"/>
            </w:tcBorders>
            <w:vAlign w:val="center"/>
          </w:tcPr>
          <w:p w:rsidR="00AC37AF" w:rsidRPr="00DC3C49" w:rsidP="00AC37AF" w14:paraId="7B79AB67" w14:textId="77777777">
            <w:pPr>
              <w:autoSpaceDE w:val="0"/>
              <w:autoSpaceDN w:val="0"/>
              <w:adjustRightInd w:val="0"/>
              <w:ind w:left="180"/>
              <w:rPr>
                <w:rFonts w:ascii="Times New Roman" w:eastAsia="Times New Roman" w:hAnsi="Times New Roman" w:cs="Times New Roman"/>
                <w:szCs w:val="24"/>
              </w:rPr>
            </w:pPr>
          </w:p>
        </w:tc>
        <w:tc>
          <w:tcPr>
            <w:tcW w:w="2764" w:type="dxa"/>
            <w:vAlign w:val="center"/>
          </w:tcPr>
          <w:p w:rsidR="00AC37AF" w:rsidRPr="00DC3C49" w:rsidP="00AC37AF" w14:paraId="05B176CC" w14:textId="77777777">
            <w:pPr>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Youth Assent--Supplemental</w:t>
            </w:r>
          </w:p>
        </w:tc>
        <w:tc>
          <w:tcPr>
            <w:tcW w:w="1906" w:type="dxa"/>
            <w:vAlign w:val="center"/>
          </w:tcPr>
          <w:p w:rsidR="00AC37AF" w:rsidRPr="0083416F" w:rsidP="00AC37AF" w14:paraId="042724A3" w14:textId="46A0C98B">
            <w:pPr>
              <w:ind w:left="180"/>
              <w:jc w:val="center"/>
              <w:rPr>
                <w:rFonts w:ascii="Times New Roman" w:eastAsia="Times New Roman" w:hAnsi="Times New Roman" w:cs="Times New Roman"/>
                <w:szCs w:val="24"/>
              </w:rPr>
            </w:pPr>
            <w:r w:rsidRPr="1FEBD9AD">
              <w:rPr>
                <w:rFonts w:ascii="Times New Roman" w:eastAsia="Times New Roman" w:hAnsi="Times New Roman" w:cs="Times New Roman"/>
              </w:rPr>
              <w:t>4</w:t>
            </w:r>
            <w:r>
              <w:rPr>
                <w:rFonts w:ascii="Times New Roman" w:eastAsia="Times New Roman" w:hAnsi="Times New Roman" w:cs="Times New Roman"/>
              </w:rPr>
              <w:t>00</w:t>
            </w:r>
          </w:p>
        </w:tc>
        <w:tc>
          <w:tcPr>
            <w:tcW w:w="1515" w:type="dxa"/>
            <w:vAlign w:val="center"/>
          </w:tcPr>
          <w:p w:rsidR="00AC37AF" w:rsidRPr="00DC3C49" w:rsidP="00AC37AF" w14:paraId="6CB5415A" w14:textId="7777777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Pr>
                <w:rFonts w:ascii="Times New Roman" w:eastAsia="Times New Roman" w:hAnsi="Times New Roman" w:cs="Times New Roman"/>
                <w:szCs w:val="24"/>
              </w:rPr>
              <w:t>14.50</w:t>
            </w:r>
          </w:p>
        </w:tc>
        <w:tc>
          <w:tcPr>
            <w:tcW w:w="1824" w:type="dxa"/>
            <w:tcBorders>
              <w:top w:val="single" w:sz="6" w:space="0" w:color="auto"/>
              <w:bottom w:val="single" w:sz="6" w:space="0" w:color="auto"/>
              <w:right w:val="single" w:sz="8" w:space="0" w:color="auto"/>
            </w:tcBorders>
            <w:vAlign w:val="center"/>
          </w:tcPr>
          <w:p w:rsidR="00AC37AF" w:rsidRPr="0083416F" w:rsidP="00AC37AF" w14:paraId="0099061F" w14:textId="12E5A2CB">
            <w:pPr>
              <w:ind w:left="180"/>
              <w:jc w:val="center"/>
              <w:rPr>
                <w:rFonts w:ascii="Times New Roman" w:eastAsia="Times New Roman" w:hAnsi="Times New Roman" w:cs="Times New Roman"/>
              </w:rPr>
            </w:pPr>
            <w:r w:rsidRPr="1FEBD9AD">
              <w:rPr>
                <w:rFonts w:ascii="Times New Roman" w:eastAsia="Times New Roman" w:hAnsi="Times New Roman" w:cs="Times New Roman"/>
              </w:rPr>
              <w:t>$</w:t>
            </w:r>
            <w:r w:rsidRPr="0016554B">
              <w:rPr>
                <w:rFonts w:ascii="Times New Roman" w:eastAsia="Times New Roman" w:hAnsi="Times New Roman" w:cs="Times New Roman"/>
              </w:rPr>
              <w:t>5,800</w:t>
            </w:r>
            <w:r>
              <w:rPr>
                <w:rFonts w:ascii="Times New Roman" w:eastAsia="Times New Roman" w:hAnsi="Times New Roman" w:cs="Times New Roman"/>
              </w:rPr>
              <w:t>.00</w:t>
            </w:r>
          </w:p>
        </w:tc>
      </w:tr>
      <w:tr w14:paraId="3FCB4F2C" w14:textId="77777777" w:rsidTr="0083416F">
        <w:tblPrEx>
          <w:tblW w:w="9629" w:type="dxa"/>
          <w:tblInd w:w="-10" w:type="dxa"/>
          <w:tblLayout w:type="fixed"/>
          <w:tblCellMar>
            <w:left w:w="58" w:type="dxa"/>
            <w:right w:w="58" w:type="dxa"/>
          </w:tblCellMar>
          <w:tblLook w:val="00A0"/>
        </w:tblPrEx>
        <w:trPr>
          <w:cantSplit/>
          <w:trHeight w:val="423"/>
        </w:trPr>
        <w:tc>
          <w:tcPr>
            <w:tcW w:w="1620" w:type="dxa"/>
            <w:vMerge/>
            <w:tcBorders>
              <w:top w:val="single" w:sz="6" w:space="0" w:color="auto"/>
              <w:left w:val="single" w:sz="4" w:space="0" w:color="auto"/>
              <w:bottom w:val="single" w:sz="6" w:space="0" w:color="auto"/>
            </w:tcBorders>
            <w:vAlign w:val="center"/>
          </w:tcPr>
          <w:p w:rsidR="00AC37AF" w:rsidRPr="00DC3C49" w:rsidP="00AC37AF" w14:paraId="6E285D32" w14:textId="77777777">
            <w:pPr>
              <w:autoSpaceDE w:val="0"/>
              <w:autoSpaceDN w:val="0"/>
              <w:adjustRightInd w:val="0"/>
              <w:ind w:left="180"/>
              <w:rPr>
                <w:rFonts w:ascii="Times New Roman" w:eastAsia="Times New Roman" w:hAnsi="Times New Roman" w:cs="Times New Roman"/>
                <w:szCs w:val="24"/>
              </w:rPr>
            </w:pPr>
          </w:p>
        </w:tc>
        <w:tc>
          <w:tcPr>
            <w:tcW w:w="2764" w:type="dxa"/>
            <w:tcBorders>
              <w:bottom w:val="single" w:sz="6" w:space="0" w:color="auto"/>
            </w:tcBorders>
            <w:vAlign w:val="center"/>
          </w:tcPr>
          <w:p w:rsidR="00AC37AF" w:rsidRPr="00DC3C49" w:rsidP="00AC37AF" w14:paraId="1D8C2CF5" w14:textId="77777777">
            <w:pPr>
              <w:keepNext/>
              <w:autoSpaceDE w:val="0"/>
              <w:autoSpaceDN w:val="0"/>
              <w:adjustRightInd w:val="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Online Survey-Supplemental</w:t>
            </w:r>
          </w:p>
        </w:tc>
        <w:tc>
          <w:tcPr>
            <w:tcW w:w="1906" w:type="dxa"/>
            <w:tcBorders>
              <w:bottom w:val="single" w:sz="6" w:space="0" w:color="auto"/>
            </w:tcBorders>
            <w:vAlign w:val="center"/>
          </w:tcPr>
          <w:p w:rsidR="00AC37AF" w:rsidRPr="00DC3C49" w:rsidP="00AC37AF" w14:paraId="25A57086" w14:textId="2160C6AB">
            <w:pPr>
              <w:autoSpaceDE w:val="0"/>
              <w:autoSpaceDN w:val="0"/>
              <w:adjustRightInd w:val="0"/>
              <w:ind w:left="180"/>
              <w:jc w:val="center"/>
              <w:rPr>
                <w:rFonts w:ascii="Times New Roman" w:eastAsia="Times New Roman" w:hAnsi="Times New Roman" w:cs="Times New Roman"/>
              </w:rPr>
            </w:pPr>
            <w:r>
              <w:rPr>
                <w:rFonts w:ascii="Times New Roman" w:eastAsia="Times New Roman" w:hAnsi="Times New Roman" w:cs="Times New Roman"/>
              </w:rPr>
              <w:t>2,767</w:t>
            </w:r>
          </w:p>
        </w:tc>
        <w:tc>
          <w:tcPr>
            <w:tcW w:w="1515" w:type="dxa"/>
            <w:tcBorders>
              <w:bottom w:val="single" w:sz="6" w:space="0" w:color="auto"/>
            </w:tcBorders>
            <w:vAlign w:val="center"/>
          </w:tcPr>
          <w:p w:rsidR="00AC37AF" w:rsidRPr="00DC3C49" w:rsidP="00AC37AF" w14:paraId="56DA7D06" w14:textId="77777777">
            <w:pPr>
              <w:autoSpaceDE w:val="0"/>
              <w:autoSpaceDN w:val="0"/>
              <w:adjustRightInd w:val="0"/>
              <w:ind w:left="180"/>
              <w:jc w:val="center"/>
              <w:rPr>
                <w:rFonts w:ascii="Times New Roman" w:eastAsia="Times New Roman" w:hAnsi="Times New Roman" w:cs="Times New Roman"/>
                <w:szCs w:val="24"/>
              </w:rPr>
            </w:pPr>
            <w:r w:rsidRPr="00DC3C49">
              <w:rPr>
                <w:rFonts w:ascii="Times New Roman" w:eastAsia="Times New Roman" w:hAnsi="Times New Roman" w:cs="Times New Roman"/>
                <w:szCs w:val="24"/>
              </w:rPr>
              <w:t>$</w:t>
            </w:r>
            <w:r>
              <w:rPr>
                <w:rFonts w:ascii="Times New Roman" w:eastAsia="Times New Roman" w:hAnsi="Times New Roman" w:cs="Times New Roman"/>
                <w:szCs w:val="24"/>
              </w:rPr>
              <w:t>14.50</w:t>
            </w:r>
          </w:p>
        </w:tc>
        <w:tc>
          <w:tcPr>
            <w:tcW w:w="1824" w:type="dxa"/>
            <w:tcBorders>
              <w:top w:val="single" w:sz="6" w:space="0" w:color="auto"/>
              <w:bottom w:val="single" w:sz="6" w:space="0" w:color="auto"/>
              <w:right w:val="single" w:sz="8" w:space="0" w:color="auto"/>
            </w:tcBorders>
            <w:vAlign w:val="center"/>
          </w:tcPr>
          <w:p w:rsidR="00AC37AF" w:rsidRPr="00DC3C49" w:rsidP="00AC37AF" w14:paraId="16FB3FCD" w14:textId="15BEF48E">
            <w:pPr>
              <w:autoSpaceDE w:val="0"/>
              <w:autoSpaceDN w:val="0"/>
              <w:adjustRightInd w:val="0"/>
              <w:ind w:left="180"/>
              <w:jc w:val="center"/>
              <w:rPr>
                <w:rFonts w:ascii="Times New Roman" w:eastAsia="Times New Roman" w:hAnsi="Times New Roman" w:cs="Times New Roman"/>
                <w:szCs w:val="24"/>
              </w:rPr>
            </w:pPr>
            <w:r w:rsidRPr="00C73C9B">
              <w:rPr>
                <w:rFonts w:ascii="Times New Roman" w:eastAsia="Times New Roman" w:hAnsi="Times New Roman" w:cs="Times New Roman"/>
                <w:szCs w:val="24"/>
              </w:rPr>
              <w:t>$</w:t>
            </w:r>
            <w:r>
              <w:rPr>
                <w:rFonts w:ascii="Times New Roman" w:eastAsia="Times New Roman" w:hAnsi="Times New Roman" w:cs="Times New Roman"/>
                <w:szCs w:val="24"/>
              </w:rPr>
              <w:t>40,121.50</w:t>
            </w:r>
          </w:p>
        </w:tc>
      </w:tr>
      <w:tr w14:paraId="1E99B834" w14:textId="77777777" w:rsidTr="0083416F">
        <w:tblPrEx>
          <w:tblW w:w="9629" w:type="dxa"/>
          <w:tblInd w:w="-10" w:type="dxa"/>
          <w:tblLayout w:type="fixed"/>
          <w:tblCellMar>
            <w:left w:w="58" w:type="dxa"/>
            <w:right w:w="58" w:type="dxa"/>
          </w:tblCellMar>
          <w:tblLook w:val="00A0"/>
        </w:tblPrEx>
        <w:trPr>
          <w:cantSplit/>
          <w:trHeight w:val="526"/>
        </w:trPr>
        <w:tc>
          <w:tcPr>
            <w:tcW w:w="1620" w:type="dxa"/>
            <w:tcBorders>
              <w:top w:val="single" w:sz="6" w:space="0" w:color="auto"/>
              <w:left w:val="single" w:sz="6" w:space="0" w:color="auto"/>
              <w:bottom w:val="single" w:sz="8" w:space="0" w:color="auto"/>
            </w:tcBorders>
            <w:vAlign w:val="center"/>
          </w:tcPr>
          <w:p w:rsidR="00BE1FCB" w:rsidRPr="004C08E3" w:rsidP="00F3750D" w14:paraId="75A9318F" w14:textId="77777777">
            <w:pPr>
              <w:autoSpaceDE w:val="0"/>
              <w:autoSpaceDN w:val="0"/>
              <w:adjustRightInd w:val="0"/>
              <w:ind w:left="180"/>
              <w:rPr>
                <w:rFonts w:ascii="Times New Roman" w:eastAsia="Times New Roman" w:hAnsi="Times New Roman" w:cs="Times New Roman"/>
                <w:b/>
                <w:szCs w:val="24"/>
              </w:rPr>
            </w:pPr>
            <w:r w:rsidRPr="004C08E3">
              <w:rPr>
                <w:rFonts w:ascii="Times New Roman" w:eastAsia="Times New Roman" w:hAnsi="Times New Roman" w:cs="Times New Roman"/>
                <w:b/>
                <w:szCs w:val="24"/>
              </w:rPr>
              <w:t>Total</w:t>
            </w:r>
          </w:p>
        </w:tc>
        <w:tc>
          <w:tcPr>
            <w:tcW w:w="2764" w:type="dxa"/>
            <w:tcBorders>
              <w:top w:val="single" w:sz="6" w:space="0" w:color="auto"/>
              <w:bottom w:val="single" w:sz="8" w:space="0" w:color="auto"/>
            </w:tcBorders>
            <w:vAlign w:val="center"/>
          </w:tcPr>
          <w:p w:rsidR="00BE1FCB" w:rsidRPr="00613C01" w:rsidP="0083416F" w14:paraId="76DF2E56" w14:textId="77777777">
            <w:pPr>
              <w:keepNext/>
              <w:autoSpaceDE w:val="0"/>
              <w:autoSpaceDN w:val="0"/>
              <w:adjustRightInd w:val="0"/>
              <w:ind w:left="180"/>
              <w:jc w:val="center"/>
              <w:rPr>
                <w:rFonts w:ascii="Times New Roman" w:eastAsia="Times New Roman" w:hAnsi="Times New Roman" w:cs="Times New Roman"/>
                <w:szCs w:val="24"/>
              </w:rPr>
            </w:pPr>
          </w:p>
        </w:tc>
        <w:tc>
          <w:tcPr>
            <w:tcW w:w="1906" w:type="dxa"/>
            <w:tcBorders>
              <w:top w:val="single" w:sz="6" w:space="0" w:color="auto"/>
              <w:bottom w:val="single" w:sz="8" w:space="0" w:color="auto"/>
            </w:tcBorders>
            <w:vAlign w:val="center"/>
          </w:tcPr>
          <w:p w:rsidR="00BE1FCB" w:rsidRPr="00613C01" w:rsidP="0083416F" w14:paraId="6B018EF4" w14:textId="77777777">
            <w:pPr>
              <w:autoSpaceDE w:val="0"/>
              <w:autoSpaceDN w:val="0"/>
              <w:adjustRightInd w:val="0"/>
              <w:ind w:left="180"/>
              <w:jc w:val="center"/>
              <w:rPr>
                <w:rFonts w:ascii="Times New Roman" w:eastAsia="Times New Roman" w:hAnsi="Times New Roman" w:cs="Times New Roman"/>
                <w:szCs w:val="24"/>
              </w:rPr>
            </w:pPr>
          </w:p>
        </w:tc>
        <w:tc>
          <w:tcPr>
            <w:tcW w:w="1515" w:type="dxa"/>
            <w:tcBorders>
              <w:top w:val="single" w:sz="6" w:space="0" w:color="auto"/>
              <w:bottom w:val="single" w:sz="8" w:space="0" w:color="auto"/>
            </w:tcBorders>
            <w:vAlign w:val="center"/>
          </w:tcPr>
          <w:p w:rsidR="00BE1FCB" w:rsidRPr="00613C01" w:rsidP="0083416F" w14:paraId="35D60E44" w14:textId="77777777">
            <w:pPr>
              <w:autoSpaceDE w:val="0"/>
              <w:autoSpaceDN w:val="0"/>
              <w:adjustRightInd w:val="0"/>
              <w:ind w:left="180"/>
              <w:jc w:val="center"/>
              <w:rPr>
                <w:rFonts w:ascii="Times New Roman" w:eastAsia="Times New Roman" w:hAnsi="Times New Roman" w:cs="Times New Roman"/>
                <w:szCs w:val="24"/>
              </w:rPr>
            </w:pPr>
          </w:p>
        </w:tc>
        <w:tc>
          <w:tcPr>
            <w:tcW w:w="1824" w:type="dxa"/>
            <w:tcBorders>
              <w:top w:val="single" w:sz="6" w:space="0" w:color="auto"/>
              <w:bottom w:val="single" w:sz="8" w:space="0" w:color="auto"/>
              <w:right w:val="single" w:sz="8" w:space="0" w:color="auto"/>
            </w:tcBorders>
            <w:vAlign w:val="center"/>
          </w:tcPr>
          <w:p w:rsidR="00BE1FCB" w:rsidRPr="004C08E3" w:rsidP="0083416F" w14:paraId="6FEE28A2" w14:textId="0FB25947">
            <w:pPr>
              <w:autoSpaceDE w:val="0"/>
              <w:autoSpaceDN w:val="0"/>
              <w:adjustRightInd w:val="0"/>
              <w:ind w:left="180"/>
              <w:jc w:val="center"/>
              <w:rPr>
                <w:rFonts w:ascii="Times New Roman" w:eastAsia="Times New Roman" w:hAnsi="Times New Roman" w:cs="Times New Roman"/>
                <w:b/>
                <w:bCs/>
                <w:noProof/>
              </w:rPr>
            </w:pPr>
            <w:r w:rsidRPr="1FEBD9AD">
              <w:rPr>
                <w:rFonts w:ascii="Times New Roman" w:eastAsia="Times New Roman" w:hAnsi="Times New Roman" w:cs="Times New Roman"/>
                <w:b/>
                <w:bCs/>
                <w:noProof/>
              </w:rPr>
              <w:t>$</w:t>
            </w:r>
            <w:bookmarkStart w:id="28" w:name="_Hlk179987600"/>
            <w:r w:rsidRPr="0022496C" w:rsidR="0022496C">
              <w:rPr>
                <w:rFonts w:ascii="Times New Roman" w:eastAsia="Times New Roman" w:hAnsi="Times New Roman" w:cs="Times New Roman"/>
                <w:b/>
                <w:bCs/>
                <w:noProof/>
              </w:rPr>
              <w:t>7,381,668.2</w:t>
            </w:r>
            <w:r w:rsidR="0022496C">
              <w:rPr>
                <w:rFonts w:ascii="Times New Roman" w:eastAsia="Times New Roman" w:hAnsi="Times New Roman" w:cs="Times New Roman"/>
                <w:b/>
                <w:bCs/>
                <w:noProof/>
              </w:rPr>
              <w:t>0</w:t>
            </w:r>
            <w:bookmarkEnd w:id="28"/>
          </w:p>
        </w:tc>
      </w:tr>
    </w:tbl>
    <w:p w:rsidR="00BE1FCB" w:rsidP="00E2315F" w14:paraId="0A3C655B" w14:textId="77777777">
      <w:pPr>
        <w:autoSpaceDE w:val="0"/>
        <w:autoSpaceDN w:val="0"/>
        <w:adjustRightInd w:val="0"/>
        <w:rPr>
          <w:rFonts w:ascii="Times New Roman" w:eastAsia="Times New Roman" w:hAnsi="Times New Roman" w:cs="Times New Roman"/>
          <w:color w:val="000000"/>
          <w:sz w:val="18"/>
          <w:szCs w:val="28"/>
        </w:rPr>
      </w:pPr>
      <w:r w:rsidRPr="00667AFF">
        <w:rPr>
          <w:rFonts w:ascii="Times New Roman" w:eastAsia="Times New Roman" w:hAnsi="Times New Roman" w:cs="Times New Roman"/>
          <w:color w:val="000000"/>
          <w:sz w:val="18"/>
          <w:szCs w:val="28"/>
          <w:vertAlign w:val="superscript"/>
        </w:rPr>
        <w:t>1</w:t>
      </w:r>
      <w:r w:rsidRPr="00667AFF">
        <w:rPr>
          <w:rFonts w:ascii="Times New Roman" w:eastAsia="Times New Roman" w:hAnsi="Times New Roman" w:cs="Times New Roman"/>
          <w:sz w:val="14"/>
        </w:rPr>
        <w:t xml:space="preserve"> </w:t>
      </w:r>
      <w:r w:rsidRPr="00613C01">
        <w:rPr>
          <w:rFonts w:ascii="Times New Roman" w:eastAsia="Times New Roman" w:hAnsi="Times New Roman" w:cs="Times New Roman"/>
          <w:color w:val="000000"/>
          <w:sz w:val="20"/>
          <w:szCs w:val="20"/>
        </w:rPr>
        <w:t>Cost was rounded up to the next dollar.</w:t>
      </w:r>
    </w:p>
    <w:p w:rsidR="00B05E20" w:rsidP="00BE1FCB" w14:paraId="4A090BF4"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05E20" w:rsidRPr="00667AFF" w:rsidP="00BE1FCB" w14:paraId="581C7CCF" w14:textId="77777777">
      <w:pPr>
        <w:autoSpaceDE w:val="0"/>
        <w:autoSpaceDN w:val="0"/>
        <w:adjustRightInd w:val="0"/>
        <w:ind w:left="180" w:firstLine="540"/>
        <w:rPr>
          <w:rFonts w:ascii="Times New Roman" w:eastAsia="Times New Roman" w:hAnsi="Times New Roman" w:cs="Times New Roman"/>
          <w:color w:val="000000"/>
          <w:sz w:val="18"/>
          <w:szCs w:val="28"/>
        </w:rPr>
      </w:pPr>
    </w:p>
    <w:p w:rsidR="00BE1FCB" w:rsidP="00BE1FCB" w14:paraId="57ED03FD"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29" w:name="_Toc239649234"/>
      <w:r w:rsidRPr="008265FC">
        <w:rPr>
          <w:rFonts w:ascii="Times New Roman" w:eastAsia="Times New Roman" w:hAnsi="Times New Roman" w:cs="Times New Roman"/>
          <w:b/>
          <w:bCs/>
          <w:szCs w:val="24"/>
        </w:rPr>
        <w:t xml:space="preserve">13.  </w:t>
      </w:r>
      <w:r w:rsidRPr="008265FC">
        <w:rPr>
          <w:rFonts w:ascii="Times New Roman" w:eastAsia="Times New Roman" w:hAnsi="Times New Roman" w:cs="Times New Roman"/>
          <w:b/>
          <w:bCs/>
          <w:szCs w:val="24"/>
          <w:u w:val="single"/>
        </w:rPr>
        <w:t>Estimates of Other Total Annual Cost Burden to Respondents or Record Keepers</w:t>
      </w:r>
      <w:bookmarkEnd w:id="29"/>
    </w:p>
    <w:p w:rsidR="00D17384" w:rsidP="00D17384" w14:paraId="3ABEE53D" w14:textId="77777777">
      <w:pPr>
        <w:ind w:left="270"/>
        <w:contextualSpacing/>
        <w:rPr>
          <w:rFonts w:ascii="Times New Roman" w:eastAsia="Times New Roman" w:hAnsi="Times New Roman" w:cs="Times New Roman"/>
          <w:szCs w:val="24"/>
        </w:rPr>
      </w:pPr>
    </w:p>
    <w:p w:rsidR="00D17384" w:rsidRPr="008265FC" w:rsidP="00D17384" w14:paraId="486D3751" w14:textId="77777777">
      <w:pPr>
        <w:ind w:left="270"/>
        <w:contextualSpacing/>
        <w:rPr>
          <w:rFonts w:ascii="Times New Roman" w:eastAsia="Times New Roman" w:hAnsi="Times New Roman" w:cs="Times New Roman"/>
          <w:szCs w:val="24"/>
        </w:rPr>
      </w:pPr>
      <w:r w:rsidRPr="008265FC">
        <w:rPr>
          <w:rFonts w:ascii="Times New Roman" w:eastAsia="Times New Roman" w:hAnsi="Times New Roman" w:cs="Times New Roman"/>
          <w:szCs w:val="24"/>
        </w:rPr>
        <w:t xml:space="preserve">There </w:t>
      </w:r>
      <w:r w:rsidRPr="008265FC">
        <w:rPr>
          <w:rFonts w:ascii="Times New Roman" w:eastAsia="Times New Roman" w:hAnsi="Times New Roman" w:cs="Times New Roman"/>
          <w:szCs w:val="24"/>
        </w:rPr>
        <w:t>are</w:t>
      </w:r>
      <w:r w:rsidRPr="008265FC">
        <w:rPr>
          <w:rFonts w:ascii="Times New Roman" w:eastAsia="Times New Roman" w:hAnsi="Times New Roman" w:cs="Times New Roman"/>
          <w:szCs w:val="24"/>
        </w:rPr>
        <w:t xml:space="preserve"> no capital, start-up, operating, or maintenance costs associated with this </w:t>
      </w:r>
      <w:r>
        <w:rPr>
          <w:rFonts w:ascii="Times New Roman" w:eastAsia="Times New Roman" w:hAnsi="Times New Roman" w:cs="Times New Roman"/>
          <w:szCs w:val="24"/>
        </w:rPr>
        <w:t>data</w:t>
      </w:r>
      <w:r w:rsidRPr="008265FC">
        <w:rPr>
          <w:rFonts w:ascii="Times New Roman" w:eastAsia="Times New Roman" w:hAnsi="Times New Roman" w:cs="Times New Roman"/>
          <w:szCs w:val="24"/>
        </w:rPr>
        <w:t xml:space="preserve"> collection.</w:t>
      </w:r>
    </w:p>
    <w:p w:rsidR="00D17384" w:rsidRPr="00D17384" w:rsidP="00D17384" w14:paraId="20EFF652" w14:textId="77777777"/>
    <w:p w:rsidR="0053034E" w:rsidRPr="00123D1B" w:rsidP="00123D1B" w14:paraId="30C95DBD" w14:textId="77777777">
      <w:pPr>
        <w:pStyle w:val="ListParagraph"/>
        <w:numPr>
          <w:ilvl w:val="0"/>
          <w:numId w:val="22"/>
        </w:numPr>
        <w:tabs>
          <w:tab w:val="left" w:pos="0"/>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2"/>
        <w:rPr>
          <w:rFonts w:ascii="Times New Roman" w:eastAsia="Times New Roman" w:hAnsi="Times New Roman" w:cs="Times New Roman"/>
          <w:b/>
          <w:bCs/>
          <w:szCs w:val="24"/>
        </w:rPr>
      </w:pPr>
      <w:r w:rsidRPr="00123D1B">
        <w:rPr>
          <w:rFonts w:ascii="Times New Roman" w:eastAsia="Times New Roman" w:hAnsi="Times New Roman" w:cs="Times New Roman"/>
          <w:b/>
          <w:bCs/>
          <w:szCs w:val="24"/>
          <w:u w:val="single"/>
        </w:rPr>
        <w:t>Annualized</w:t>
      </w:r>
      <w:r w:rsidRPr="00123D1B" w:rsidR="009A4BBD">
        <w:rPr>
          <w:rFonts w:ascii="Times New Roman" w:eastAsia="Times New Roman" w:hAnsi="Times New Roman" w:cs="Times New Roman"/>
          <w:b/>
          <w:bCs/>
          <w:szCs w:val="24"/>
          <w:u w:val="single"/>
        </w:rPr>
        <w:t xml:space="preserve"> Cost to the Federal Government</w:t>
      </w:r>
      <w:r w:rsidRPr="00123D1B">
        <w:rPr>
          <w:rFonts w:ascii="Times New Roman" w:eastAsia="Times New Roman" w:hAnsi="Times New Roman" w:cs="Times New Roman"/>
          <w:b/>
          <w:bCs/>
          <w:szCs w:val="24"/>
        </w:rPr>
        <w:t xml:space="preserve"> </w:t>
      </w:r>
    </w:p>
    <w:p w:rsidR="0083416F" w:rsidP="0083416F" w14:paraId="30A07AE6" w14:textId="0203E394">
      <w:pPr>
        <w:spacing w:before="100" w:beforeAutospacing="1" w:after="100" w:afterAutospacing="1"/>
        <w:ind w:left="180"/>
        <w:rPr>
          <w:rFonts w:ascii="Times New Roman" w:hAnsi="Times New Roman" w:cs="Times New Roman"/>
        </w:rPr>
      </w:pPr>
      <w:bookmarkStart w:id="30" w:name="_Toc239649235"/>
      <w:r w:rsidRPr="3BC52C47">
        <w:rPr>
          <w:rFonts w:ascii="Times New Roman" w:hAnsi="Times New Roman" w:cs="Times New Roman"/>
        </w:rPr>
        <w:t xml:space="preserve">This information collection is funded through a contract with RTI. The estimated costs attributable to this data collection are </w:t>
      </w:r>
      <w:r w:rsidRPr="3BC52C47" w:rsidR="00C12674">
        <w:rPr>
          <w:rFonts w:ascii="Times New Roman" w:hAnsi="Times New Roman" w:cs="Times New Roman"/>
        </w:rPr>
        <w:t>$</w:t>
      </w:r>
      <w:r w:rsidRPr="3BC52C47" w:rsidR="00DA7983">
        <w:rPr>
          <w:rFonts w:ascii="Times New Roman" w:hAnsi="Times New Roman" w:cs="Times New Roman"/>
        </w:rPr>
        <w:t>753,587 per year</w:t>
      </w:r>
      <w:r w:rsidRPr="3BC52C47">
        <w:rPr>
          <w:rFonts w:ascii="Times New Roman" w:hAnsi="Times New Roman" w:cs="Times New Roman"/>
        </w:rPr>
        <w:t xml:space="preserve">. There are additional contract-funded activities occurring before and after this data collection that include project planning and data analysis. Other activities outside this data collection include coordination with FDA, instrument development, reporting, </w:t>
      </w:r>
      <w:r w:rsidRPr="3BC52C47" w:rsidR="00CA5442">
        <w:rPr>
          <w:rFonts w:ascii="Times New Roman" w:hAnsi="Times New Roman" w:cs="Times New Roman"/>
        </w:rPr>
        <w:t>Advarra</w:t>
      </w:r>
      <w:r w:rsidRPr="3BC52C47">
        <w:rPr>
          <w:rFonts w:ascii="Times New Roman" w:hAnsi="Times New Roman" w:cs="Times New Roman"/>
        </w:rPr>
        <w:t xml:space="preserve"> IRB</w:t>
      </w:r>
      <w:r w:rsidRPr="3BC52C47" w:rsidR="001124F6">
        <w:rPr>
          <w:rFonts w:ascii="Times New Roman" w:hAnsi="Times New Roman" w:cs="Times New Roman"/>
        </w:rPr>
        <w:t xml:space="preserve">, </w:t>
      </w:r>
      <w:r w:rsidRPr="3BC52C47">
        <w:rPr>
          <w:rFonts w:ascii="Times New Roman" w:hAnsi="Times New Roman" w:cs="Times New Roman"/>
        </w:rPr>
        <w:t>project management</w:t>
      </w:r>
      <w:r w:rsidRPr="3BC52C47" w:rsidR="001124F6">
        <w:rPr>
          <w:rFonts w:ascii="Times New Roman" w:hAnsi="Times New Roman" w:cs="Times New Roman"/>
        </w:rPr>
        <w:t xml:space="preserve"> and progress reporting</w:t>
      </w:r>
      <w:r w:rsidRPr="3BC52C47">
        <w:rPr>
          <w:rFonts w:ascii="Times New Roman" w:hAnsi="Times New Roman" w:cs="Times New Roman"/>
        </w:rPr>
        <w:t>. This information collection will occur f</w:t>
      </w:r>
      <w:r w:rsidRPr="3BC52C47" w:rsidR="009D0A3A">
        <w:rPr>
          <w:rFonts w:ascii="Times New Roman" w:hAnsi="Times New Roman" w:cs="Times New Roman"/>
        </w:rPr>
        <w:t>or two years after OMB approval</w:t>
      </w:r>
      <w:r w:rsidRPr="3BC52C47" w:rsidR="00E2315F">
        <w:rPr>
          <w:rFonts w:ascii="Times New Roman" w:hAnsi="Times New Roman" w:cs="Times New Roman"/>
        </w:rPr>
        <w:t>.</w:t>
      </w:r>
    </w:p>
    <w:tbl>
      <w:tblPr>
        <w:tblW w:w="8589" w:type="dxa"/>
        <w:tblInd w:w="372" w:type="dxa"/>
        <w:tblCellMar>
          <w:left w:w="0" w:type="dxa"/>
          <w:right w:w="0" w:type="dxa"/>
        </w:tblCellMar>
        <w:tblLook w:val="04A0"/>
      </w:tblPr>
      <w:tblGrid>
        <w:gridCol w:w="2342"/>
        <w:gridCol w:w="1982"/>
        <w:gridCol w:w="2669"/>
        <w:gridCol w:w="1596"/>
      </w:tblGrid>
      <w:tr w14:paraId="6F4B7A9E" w14:textId="77777777" w:rsidTr="1FEBD9AD">
        <w:tblPrEx>
          <w:tblW w:w="8589" w:type="dxa"/>
          <w:tblInd w:w="372" w:type="dxa"/>
          <w:tblCellMar>
            <w:left w:w="0" w:type="dxa"/>
            <w:right w:w="0" w:type="dxa"/>
          </w:tblCellMar>
          <w:tblLook w:val="04A0"/>
        </w:tblPrEx>
        <w:trPr>
          <w:trHeight w:val="107"/>
        </w:trPr>
        <w:tc>
          <w:tcPr>
            <w:tcW w:w="8589"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5606CB" w:rsidRPr="008A74EB" w:rsidP="00F3750D" w14:paraId="6F1E0FA7" w14:textId="63B0D4D5">
            <w:pPr>
              <w:pStyle w:val="FigureTitle"/>
              <w:spacing w:before="0" w:after="120"/>
              <w:jc w:val="center"/>
              <w:rPr>
                <w:sz w:val="22"/>
                <w:szCs w:val="22"/>
              </w:rPr>
            </w:pPr>
            <w:r>
              <w:rPr>
                <w:sz w:val="22"/>
                <w:szCs w:val="22"/>
              </w:rPr>
              <w:t>A</w:t>
            </w:r>
            <w:r w:rsidRPr="195FE5D0" w:rsidR="00EF4C35">
              <w:rPr>
                <w:sz w:val="22"/>
                <w:szCs w:val="22"/>
              </w:rPr>
              <w:t>nnualized Cost to the Federal Government</w:t>
            </w:r>
          </w:p>
        </w:tc>
      </w:tr>
      <w:tr w14:paraId="2639512B" w14:textId="77777777" w:rsidTr="1FEBD9AD">
        <w:tblPrEx>
          <w:tblW w:w="8589" w:type="dxa"/>
          <w:tblInd w:w="372" w:type="dxa"/>
          <w:tblCellMar>
            <w:left w:w="0" w:type="dxa"/>
            <w:right w:w="0" w:type="dxa"/>
          </w:tblCellMar>
          <w:tblLook w:val="04A0"/>
        </w:tblPrEx>
        <w:trPr>
          <w:trHeight w:val="107"/>
        </w:trPr>
        <w:tc>
          <w:tcPr>
            <w:tcW w:w="234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E1FCB" w:rsidRPr="008A74EB" w:rsidP="00F3750D" w14:paraId="3DABF077" w14:textId="77777777">
            <w:pPr>
              <w:pStyle w:val="FigureTitle"/>
              <w:spacing w:before="0" w:after="120"/>
              <w:jc w:val="center"/>
            </w:pPr>
            <w:r w:rsidRPr="1F1AD9AC">
              <w:rPr>
                <w:sz w:val="22"/>
                <w:szCs w:val="22"/>
              </w:rPr>
              <w:t>Government Personnel</w:t>
            </w:r>
          </w:p>
        </w:tc>
        <w:tc>
          <w:tcPr>
            <w:tcW w:w="198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0834E2D2" w14:textId="77777777">
            <w:pPr>
              <w:pStyle w:val="FigureTitle"/>
              <w:spacing w:before="0" w:after="120"/>
              <w:jc w:val="center"/>
            </w:pPr>
            <w:r w:rsidRPr="008A74EB">
              <w:rPr>
                <w:sz w:val="22"/>
                <w:szCs w:val="22"/>
              </w:rPr>
              <w:t>Time Commitment</w:t>
            </w:r>
          </w:p>
        </w:tc>
        <w:tc>
          <w:tcPr>
            <w:tcW w:w="26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E1FCB" w:rsidRPr="008A74EB" w:rsidP="00F3750D" w14:paraId="6FEE40BE" w14:textId="77777777">
            <w:pPr>
              <w:pStyle w:val="FigureTitle"/>
              <w:spacing w:before="0" w:after="120"/>
              <w:jc w:val="center"/>
            </w:pPr>
            <w:r w:rsidRPr="008A74EB">
              <w:rPr>
                <w:sz w:val="22"/>
                <w:szCs w:val="22"/>
              </w:rPr>
              <w:t>Average Annual Salary</w:t>
            </w:r>
          </w:p>
        </w:tc>
        <w:tc>
          <w:tcPr>
            <w:tcW w:w="15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E1FCB" w:rsidRPr="008A74EB" w:rsidP="00F3750D" w14:paraId="2236AA8B" w14:textId="77777777">
            <w:pPr>
              <w:pStyle w:val="FigureTitle"/>
              <w:spacing w:before="0" w:after="120"/>
              <w:jc w:val="center"/>
            </w:pPr>
            <w:r w:rsidRPr="008A74EB">
              <w:rPr>
                <w:sz w:val="22"/>
                <w:szCs w:val="22"/>
              </w:rPr>
              <w:t>Total</w:t>
            </w:r>
            <w:r w:rsidRPr="008A74EB">
              <w:rPr>
                <w:sz w:val="22"/>
                <w:szCs w:val="22"/>
                <w:vertAlign w:val="superscript"/>
              </w:rPr>
              <w:t>1</w:t>
            </w:r>
          </w:p>
        </w:tc>
      </w:tr>
      <w:tr w14:paraId="6795CD6E" w14:textId="77777777" w:rsidTr="1FEBD9AD">
        <w:tblPrEx>
          <w:tblW w:w="8589" w:type="dxa"/>
          <w:tblInd w:w="372" w:type="dxa"/>
          <w:tblCellMar>
            <w:left w:w="0" w:type="dxa"/>
            <w:right w:w="0" w:type="dxa"/>
          </w:tblCellMar>
          <w:tblLook w:val="04A0"/>
        </w:tblPrEx>
        <w:trPr>
          <w:trHeight w:val="369"/>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7FEB9AB6" w14:textId="77777777">
            <w:pPr>
              <w:pStyle w:val="FigureTitle"/>
              <w:spacing w:before="0" w:after="60"/>
              <w:jc w:val="center"/>
              <w:rPr>
                <w:b w:val="0"/>
                <w:sz w:val="22"/>
                <w:szCs w:val="22"/>
              </w:rPr>
            </w:pPr>
            <w:r w:rsidRPr="1BF77947">
              <w:rPr>
                <w:b w:val="0"/>
                <w:sz w:val="22"/>
                <w:szCs w:val="22"/>
              </w:rPr>
              <w:t>GS-12</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0C9B2BE3" w14:textId="77777777">
            <w:pPr>
              <w:pStyle w:val="FigureTitle"/>
              <w:spacing w:before="0" w:after="60"/>
              <w:jc w:val="center"/>
              <w:rPr>
                <w:b w:val="0"/>
                <w:sz w:val="22"/>
                <w:szCs w:val="22"/>
              </w:rPr>
            </w:pPr>
            <w:r w:rsidRPr="008A74EB">
              <w:rPr>
                <w:b w:val="0"/>
                <w:bCs/>
                <w:sz w:val="22"/>
                <w:szCs w:val="22"/>
              </w:rPr>
              <w:t>5%</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37EF4901" w14:textId="77777777">
            <w:pPr>
              <w:pStyle w:val="FigureTitle"/>
              <w:spacing w:before="0" w:after="60"/>
              <w:jc w:val="right"/>
              <w:rPr>
                <w:b w:val="0"/>
                <w:sz w:val="22"/>
                <w:szCs w:val="22"/>
              </w:rPr>
            </w:pPr>
            <w:r w:rsidRPr="1BF77947">
              <w:rPr>
                <w:b w:val="0"/>
                <w:sz w:val="22"/>
                <w:szCs w:val="22"/>
              </w:rPr>
              <w:t>$</w:t>
            </w:r>
            <w:r w:rsidRPr="1BF77947" w:rsidR="65A58A0C">
              <w:rPr>
                <w:b w:val="0"/>
                <w:sz w:val="22"/>
                <w:szCs w:val="22"/>
              </w:rPr>
              <w:t>104,808</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DA7983" w:rsidP="00D03E02" w14:paraId="71D08546" w14:textId="77777777">
            <w:pPr>
              <w:pStyle w:val="FigureTitle"/>
              <w:spacing w:before="0" w:after="60"/>
              <w:jc w:val="right"/>
              <w:rPr>
                <w:b w:val="0"/>
                <w:sz w:val="22"/>
                <w:szCs w:val="22"/>
              </w:rPr>
            </w:pPr>
            <w:r w:rsidRPr="1BF77947">
              <w:rPr>
                <w:b w:val="0"/>
                <w:sz w:val="22"/>
                <w:szCs w:val="22"/>
              </w:rPr>
              <w:t>$</w:t>
            </w:r>
            <w:r w:rsidRPr="1BF77947" w:rsidR="2DFB3F3C">
              <w:rPr>
                <w:b w:val="0"/>
                <w:sz w:val="22"/>
                <w:szCs w:val="22"/>
              </w:rPr>
              <w:t>5,240</w:t>
            </w:r>
          </w:p>
        </w:tc>
      </w:tr>
      <w:tr w14:paraId="37B0B5A1" w14:textId="77777777" w:rsidTr="1FEBD9AD">
        <w:tblPrEx>
          <w:tblW w:w="8589" w:type="dxa"/>
          <w:tblInd w:w="372" w:type="dxa"/>
          <w:tblCellMar>
            <w:left w:w="0" w:type="dxa"/>
            <w:right w:w="0" w:type="dxa"/>
          </w:tblCellMar>
          <w:tblLook w:val="04A0"/>
        </w:tblPrEx>
        <w:trPr>
          <w:trHeight w:val="316"/>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78F6F0AA" w14:textId="77777777">
            <w:pPr>
              <w:pStyle w:val="FigureTitle"/>
              <w:spacing w:before="0" w:after="60"/>
              <w:jc w:val="center"/>
              <w:rPr>
                <w:b w:val="0"/>
                <w:sz w:val="22"/>
                <w:szCs w:val="22"/>
              </w:rPr>
            </w:pPr>
            <w:r w:rsidRPr="008A74EB">
              <w:rPr>
                <w:b w:val="0"/>
                <w:bCs/>
                <w:sz w:val="22"/>
                <w:szCs w:val="22"/>
              </w:rPr>
              <w:t>GS-13</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347BA5B1" w14:textId="77777777">
            <w:pPr>
              <w:pStyle w:val="FigureTitle"/>
              <w:spacing w:before="0" w:after="60"/>
              <w:jc w:val="center"/>
              <w:rPr>
                <w:b w:val="0"/>
                <w:sz w:val="22"/>
                <w:szCs w:val="22"/>
              </w:rPr>
            </w:pPr>
            <w:r w:rsidRPr="1BF77947">
              <w:rPr>
                <w:b w:val="0"/>
                <w:sz w:val="22"/>
                <w:szCs w:val="22"/>
              </w:rPr>
              <w:t>20%</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D03E02" w14:paraId="06903B90" w14:textId="77777777">
            <w:pPr>
              <w:pStyle w:val="FigureTitle"/>
              <w:spacing w:before="0" w:after="60"/>
              <w:jc w:val="right"/>
              <w:rPr>
                <w:b w:val="0"/>
                <w:sz w:val="22"/>
                <w:szCs w:val="22"/>
              </w:rPr>
            </w:pPr>
            <w:r w:rsidRPr="1BF77947">
              <w:rPr>
                <w:b w:val="0"/>
                <w:sz w:val="22"/>
                <w:szCs w:val="22"/>
              </w:rPr>
              <w:t>$</w:t>
            </w:r>
            <w:r w:rsidRPr="1BF77947" w:rsidR="386D3A07">
              <w:rPr>
                <w:b w:val="0"/>
                <w:sz w:val="22"/>
                <w:szCs w:val="22"/>
              </w:rPr>
              <w:t>121,065</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DA7983" w:rsidP="00D03E02" w14:paraId="6649C8FE" w14:textId="77777777">
            <w:pPr>
              <w:pStyle w:val="FigureTitle"/>
              <w:spacing w:before="0" w:after="60"/>
              <w:jc w:val="right"/>
              <w:rPr>
                <w:b w:val="0"/>
                <w:sz w:val="22"/>
                <w:szCs w:val="22"/>
              </w:rPr>
            </w:pPr>
            <w:r w:rsidRPr="1BF77947">
              <w:rPr>
                <w:b w:val="0"/>
                <w:sz w:val="22"/>
                <w:szCs w:val="22"/>
              </w:rPr>
              <w:t>$</w:t>
            </w:r>
            <w:r w:rsidRPr="1BF77947" w:rsidR="62846D32">
              <w:rPr>
                <w:b w:val="0"/>
                <w:sz w:val="22"/>
                <w:szCs w:val="22"/>
              </w:rPr>
              <w:t>24,213</w:t>
            </w:r>
          </w:p>
        </w:tc>
      </w:tr>
      <w:tr w14:paraId="512E6781" w14:textId="77777777" w:rsidTr="1FEBD9AD">
        <w:tblPrEx>
          <w:tblW w:w="8589" w:type="dxa"/>
          <w:tblInd w:w="372" w:type="dxa"/>
          <w:tblCellMar>
            <w:left w:w="0" w:type="dxa"/>
            <w:right w:w="0" w:type="dxa"/>
          </w:tblCellMar>
          <w:tblLook w:val="04A0"/>
        </w:tblPrEx>
        <w:trPr>
          <w:trHeight w:val="341"/>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1FCB" w:rsidRPr="008A74EB" w:rsidP="00D03E02" w14:paraId="1134B6E9" w14:textId="77777777">
            <w:pPr>
              <w:pStyle w:val="FigureTitle"/>
              <w:spacing w:before="0" w:after="60"/>
              <w:jc w:val="center"/>
              <w:rPr>
                <w:b w:val="0"/>
                <w:sz w:val="22"/>
                <w:szCs w:val="22"/>
              </w:rPr>
            </w:pPr>
            <w:r w:rsidRPr="008A74EB">
              <w:rPr>
                <w:b w:val="0"/>
                <w:sz w:val="22"/>
                <w:szCs w:val="22"/>
              </w:rPr>
              <w:t>GS-13</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8A74EB" w:rsidP="00D03E02" w14:paraId="2E59BED2" w14:textId="77777777">
            <w:pPr>
              <w:pStyle w:val="FigureTitle"/>
              <w:spacing w:before="0" w:after="60"/>
              <w:jc w:val="center"/>
              <w:rPr>
                <w:b w:val="0"/>
                <w:sz w:val="22"/>
                <w:szCs w:val="22"/>
              </w:rPr>
            </w:pPr>
            <w:r w:rsidRPr="1BF77947">
              <w:rPr>
                <w:b w:val="0"/>
                <w:sz w:val="22"/>
                <w:szCs w:val="22"/>
              </w:rPr>
              <w:t>20%</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8A74EB" w:rsidP="00D03E02" w14:paraId="43FA3E47" w14:textId="77777777">
            <w:pPr>
              <w:pStyle w:val="FigureTitle"/>
              <w:spacing w:before="0" w:after="60"/>
              <w:jc w:val="right"/>
              <w:rPr>
                <w:b w:val="0"/>
                <w:sz w:val="22"/>
                <w:szCs w:val="22"/>
              </w:rPr>
            </w:pPr>
            <w:r w:rsidRPr="1BF77947">
              <w:rPr>
                <w:b w:val="0"/>
                <w:sz w:val="22"/>
                <w:szCs w:val="22"/>
              </w:rPr>
              <w:t>$</w:t>
            </w:r>
            <w:r w:rsidRPr="1BF77947" w:rsidR="075BE461">
              <w:rPr>
                <w:b w:val="0"/>
                <w:sz w:val="22"/>
                <w:szCs w:val="22"/>
              </w:rPr>
              <w:t>121,065</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DA7983" w:rsidP="1BF77947" w14:paraId="72340846" w14:textId="77777777">
            <w:pPr>
              <w:pStyle w:val="FigureTitle"/>
              <w:spacing w:before="0" w:after="60"/>
              <w:jc w:val="right"/>
              <w:rPr>
                <w:bCs/>
                <w:szCs w:val="24"/>
              </w:rPr>
            </w:pPr>
            <w:r w:rsidRPr="1BF77947">
              <w:rPr>
                <w:b w:val="0"/>
                <w:sz w:val="22"/>
                <w:szCs w:val="22"/>
              </w:rPr>
              <w:t>$</w:t>
            </w:r>
            <w:r w:rsidRPr="1BF77947" w:rsidR="6C4C26EF">
              <w:rPr>
                <w:b w:val="0"/>
                <w:sz w:val="22"/>
                <w:szCs w:val="22"/>
              </w:rPr>
              <w:t>24,213</w:t>
            </w:r>
          </w:p>
        </w:tc>
      </w:tr>
      <w:tr w14:paraId="3C98606D" w14:textId="77777777" w:rsidTr="003F31C2">
        <w:tblPrEx>
          <w:tblW w:w="8589" w:type="dxa"/>
          <w:tblInd w:w="372" w:type="dxa"/>
          <w:tblCellMar>
            <w:left w:w="0" w:type="dxa"/>
            <w:right w:w="0" w:type="dxa"/>
          </w:tblCellMar>
          <w:tblLook w:val="04A0"/>
        </w:tblPrEx>
        <w:trPr>
          <w:trHeight w:val="376"/>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328C2FE5" w:rsidRPr="00FD0B71" w:rsidP="003F31C2" w14:paraId="7C45A649" w14:textId="77777777">
            <w:pPr>
              <w:pStyle w:val="FigureTitle"/>
              <w:spacing w:before="0" w:after="0"/>
              <w:jc w:val="center"/>
              <w:rPr>
                <w:b w:val="0"/>
                <w:sz w:val="22"/>
                <w:szCs w:val="22"/>
              </w:rPr>
            </w:pPr>
            <w:r w:rsidRPr="1BF77947">
              <w:rPr>
                <w:b w:val="0"/>
                <w:sz w:val="22"/>
                <w:szCs w:val="22"/>
              </w:rPr>
              <w:t>GS-1</w:t>
            </w:r>
            <w:r w:rsidRPr="1BF77947" w:rsidR="706BD58D">
              <w:rPr>
                <w:b w:val="0"/>
                <w:sz w:val="22"/>
                <w:szCs w:val="22"/>
              </w:rPr>
              <w:t>4</w:t>
            </w: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tcPr>
          <w:p w:rsidR="696A4F17" w:rsidRPr="00FD0B71" w:rsidP="003F31C2" w14:paraId="17094A57" w14:textId="77777777">
            <w:pPr>
              <w:pStyle w:val="FigureTitle"/>
              <w:spacing w:before="0" w:after="0"/>
              <w:jc w:val="center"/>
              <w:rPr>
                <w:b w:val="0"/>
                <w:sz w:val="22"/>
                <w:szCs w:val="22"/>
              </w:rPr>
            </w:pPr>
            <w:r w:rsidRPr="1BF77947">
              <w:rPr>
                <w:b w:val="0"/>
                <w:sz w:val="22"/>
                <w:szCs w:val="22"/>
              </w:rPr>
              <w:t>1</w:t>
            </w:r>
            <w:r w:rsidRPr="1BF77947" w:rsidR="7B948AE3">
              <w:rPr>
                <w:b w:val="0"/>
                <w:sz w:val="22"/>
                <w:szCs w:val="22"/>
              </w:rPr>
              <w:t>0%</w:t>
            </w: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tcPr>
          <w:p w:rsidR="696A4F17" w:rsidRPr="00FD0B71" w:rsidP="003F31C2" w14:paraId="5A759CFB" w14:textId="77777777">
            <w:pPr>
              <w:pStyle w:val="FigureTitle"/>
              <w:spacing w:before="0" w:after="0"/>
              <w:jc w:val="right"/>
              <w:rPr>
                <w:b w:val="0"/>
                <w:sz w:val="22"/>
                <w:szCs w:val="22"/>
              </w:rPr>
            </w:pPr>
            <w:r w:rsidRPr="1BF77947">
              <w:rPr>
                <w:b w:val="0"/>
                <w:sz w:val="22"/>
                <w:szCs w:val="22"/>
              </w:rPr>
              <w:t>$</w:t>
            </w:r>
            <w:r w:rsidRPr="1BF77947" w:rsidR="06D3811B">
              <w:rPr>
                <w:b w:val="0"/>
                <w:sz w:val="22"/>
                <w:szCs w:val="22"/>
              </w:rPr>
              <w:t>143,064</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tcPr>
          <w:p w:rsidR="48C8079A" w:rsidRPr="00FD0B71" w:rsidP="003F31C2" w14:paraId="6D143DEB" w14:textId="4EA1E804">
            <w:pPr>
              <w:pStyle w:val="FigureTitle"/>
              <w:spacing w:before="0" w:after="0"/>
              <w:jc w:val="right"/>
              <w:rPr>
                <w:b w:val="0"/>
                <w:sz w:val="22"/>
                <w:szCs w:val="22"/>
              </w:rPr>
            </w:pPr>
            <w:r w:rsidRPr="1FEBD9AD">
              <w:rPr>
                <w:b w:val="0"/>
                <w:sz w:val="22"/>
                <w:szCs w:val="22"/>
              </w:rPr>
              <w:t>$</w:t>
            </w:r>
            <w:r w:rsidRPr="1FEBD9AD" w:rsidR="7D1BCD44">
              <w:rPr>
                <w:b w:val="0"/>
                <w:sz w:val="22"/>
                <w:szCs w:val="22"/>
              </w:rPr>
              <w:t>14,306</w:t>
            </w:r>
          </w:p>
        </w:tc>
      </w:tr>
      <w:tr w14:paraId="4A1A8299" w14:textId="77777777" w:rsidTr="00832A97">
        <w:tblPrEx>
          <w:tblW w:w="8589" w:type="dxa"/>
          <w:tblInd w:w="372" w:type="dxa"/>
          <w:tblCellMar>
            <w:left w:w="0" w:type="dxa"/>
            <w:right w:w="0" w:type="dxa"/>
          </w:tblCellMar>
          <w:tblLook w:val="04A0"/>
        </w:tblPrEx>
        <w:trPr>
          <w:trHeight w:val="260"/>
        </w:trPr>
        <w:tc>
          <w:tcPr>
            <w:tcW w:w="234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E1FCB" w:rsidRPr="008A74EB" w:rsidP="00832A97" w14:paraId="3CB7F969" w14:textId="77777777">
            <w:pPr>
              <w:pStyle w:val="FigureTitle"/>
              <w:spacing w:before="0" w:after="60"/>
              <w:jc w:val="right"/>
              <w:rPr>
                <w:b w:val="0"/>
                <w:sz w:val="22"/>
                <w:szCs w:val="22"/>
              </w:rPr>
            </w:pPr>
          </w:p>
        </w:tc>
        <w:tc>
          <w:tcPr>
            <w:tcW w:w="1982" w:type="dxa"/>
            <w:tcBorders>
              <w:top w:val="nil"/>
              <w:left w:val="nil"/>
              <w:bottom w:val="single" w:sz="8" w:space="0" w:color="auto"/>
              <w:right w:val="single" w:sz="8" w:space="0" w:color="auto"/>
            </w:tcBorders>
            <w:tcMar>
              <w:top w:w="0" w:type="dxa"/>
              <w:left w:w="108" w:type="dxa"/>
              <w:bottom w:w="0" w:type="dxa"/>
              <w:right w:w="108" w:type="dxa"/>
            </w:tcMar>
            <w:vAlign w:val="center"/>
          </w:tcPr>
          <w:p w:rsidR="00BE1FCB" w:rsidRPr="008A74EB" w:rsidP="00832A97" w14:paraId="78E7F361" w14:textId="77777777">
            <w:pPr>
              <w:pStyle w:val="FigureTitle"/>
              <w:spacing w:before="0" w:after="60"/>
              <w:jc w:val="right"/>
              <w:rPr>
                <w:b w:val="0"/>
                <w:sz w:val="22"/>
                <w:szCs w:val="22"/>
              </w:rPr>
            </w:pPr>
          </w:p>
        </w:tc>
        <w:tc>
          <w:tcPr>
            <w:tcW w:w="26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832A97" w14:paraId="7570BFF4" w14:textId="77777777">
            <w:pPr>
              <w:pStyle w:val="FigureTitle"/>
              <w:spacing w:before="0" w:after="60"/>
              <w:jc w:val="right"/>
              <w:rPr>
                <w:sz w:val="22"/>
                <w:szCs w:val="22"/>
              </w:rPr>
            </w:pPr>
            <w:r w:rsidRPr="008A74EB">
              <w:rPr>
                <w:sz w:val="22"/>
                <w:szCs w:val="22"/>
              </w:rPr>
              <w:t>Total</w:t>
            </w:r>
            <w:r w:rsidR="00672B9A">
              <w:rPr>
                <w:sz w:val="22"/>
                <w:szCs w:val="22"/>
              </w:rPr>
              <w:t xml:space="preserve"> Annual</w:t>
            </w:r>
            <w:r w:rsidRPr="008A74EB">
              <w:rPr>
                <w:sz w:val="22"/>
                <w:szCs w:val="22"/>
              </w:rPr>
              <w:t xml:space="preserve"> Salary Costs</w:t>
            </w:r>
          </w:p>
        </w:tc>
        <w:tc>
          <w:tcPr>
            <w:tcW w:w="15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E1FCB" w:rsidRPr="008A74EB" w:rsidP="00832A97" w14:paraId="0180ED41" w14:textId="77777777">
            <w:pPr>
              <w:pStyle w:val="FigureTitle"/>
              <w:spacing w:before="0" w:after="60"/>
              <w:jc w:val="right"/>
              <w:rPr>
                <w:b w:val="0"/>
                <w:sz w:val="22"/>
                <w:szCs w:val="22"/>
              </w:rPr>
            </w:pPr>
            <w:r w:rsidRPr="1BF77947">
              <w:rPr>
                <w:b w:val="0"/>
                <w:sz w:val="22"/>
                <w:szCs w:val="22"/>
              </w:rPr>
              <w:t>$</w:t>
            </w:r>
            <w:r w:rsidRPr="1BF77947" w:rsidR="6E801190">
              <w:rPr>
                <w:b w:val="0"/>
                <w:sz w:val="22"/>
                <w:szCs w:val="22"/>
              </w:rPr>
              <w:t>67,972</w:t>
            </w:r>
          </w:p>
        </w:tc>
      </w:tr>
      <w:tr w14:paraId="21715E23" w14:textId="77777777" w:rsidTr="00832A97">
        <w:tblPrEx>
          <w:tblW w:w="8589" w:type="dxa"/>
          <w:tblInd w:w="372" w:type="dxa"/>
          <w:tblCellMar>
            <w:left w:w="0" w:type="dxa"/>
            <w:right w:w="0" w:type="dxa"/>
          </w:tblCellMar>
          <w:tblLook w:val="04A0"/>
        </w:tblPrEx>
        <w:trPr>
          <w:trHeight w:val="459"/>
        </w:trPr>
        <w:tc>
          <w:tcPr>
            <w:tcW w:w="6993" w:type="dxa"/>
            <w:gridSpan w:val="3"/>
            <w:tcBorders>
              <w:top w:val="nil"/>
              <w:left w:val="single" w:sz="8" w:space="0" w:color="auto"/>
              <w:bottom w:val="single" w:sz="12" w:space="0" w:color="auto"/>
              <w:right w:val="single" w:sz="8" w:space="0" w:color="auto"/>
            </w:tcBorders>
            <w:tcMar>
              <w:top w:w="0" w:type="dxa"/>
              <w:left w:w="108" w:type="dxa"/>
              <w:bottom w:w="0" w:type="dxa"/>
              <w:right w:w="108" w:type="dxa"/>
            </w:tcMar>
            <w:vAlign w:val="center"/>
            <w:hideMark/>
          </w:tcPr>
          <w:p w:rsidR="00BE1FCB" w:rsidRPr="004D7181" w:rsidP="00832A97" w14:paraId="7610F2F5" w14:textId="77777777">
            <w:pPr>
              <w:pStyle w:val="FigureTitle"/>
              <w:spacing w:before="0" w:after="60"/>
              <w:jc w:val="right"/>
              <w:rPr>
                <w:sz w:val="22"/>
                <w:szCs w:val="22"/>
              </w:rPr>
            </w:pPr>
            <w:r>
              <w:rPr>
                <w:sz w:val="22"/>
                <w:szCs w:val="22"/>
              </w:rPr>
              <w:t xml:space="preserve">Annual </w:t>
            </w:r>
            <w:r w:rsidRPr="004D7181">
              <w:rPr>
                <w:sz w:val="22"/>
                <w:szCs w:val="22"/>
              </w:rPr>
              <w:t>Contract Cost</w:t>
            </w:r>
          </w:p>
        </w:tc>
        <w:tc>
          <w:tcPr>
            <w:tcW w:w="1596" w:type="dxa"/>
            <w:tcBorders>
              <w:top w:val="nil"/>
              <w:left w:val="nil"/>
              <w:bottom w:val="single" w:sz="12" w:space="0" w:color="auto"/>
              <w:right w:val="single" w:sz="8" w:space="0" w:color="auto"/>
            </w:tcBorders>
            <w:tcMar>
              <w:top w:w="0" w:type="dxa"/>
              <w:left w:w="108" w:type="dxa"/>
              <w:bottom w:w="0" w:type="dxa"/>
              <w:right w:w="108" w:type="dxa"/>
            </w:tcMar>
            <w:vAlign w:val="center"/>
          </w:tcPr>
          <w:p w:rsidR="00BE1FCB" w:rsidRPr="004D7181" w:rsidP="00832A97" w14:paraId="0345A256" w14:textId="77777777">
            <w:pPr>
              <w:pStyle w:val="FigureTitle"/>
              <w:spacing w:before="0" w:after="60"/>
              <w:jc w:val="right"/>
              <w:rPr>
                <w:b w:val="0"/>
                <w:sz w:val="22"/>
                <w:szCs w:val="22"/>
              </w:rPr>
            </w:pPr>
            <w:r w:rsidRPr="1BF77947">
              <w:rPr>
                <w:b w:val="0"/>
                <w:sz w:val="22"/>
                <w:szCs w:val="22"/>
              </w:rPr>
              <w:t>$</w:t>
            </w:r>
            <w:r w:rsidRPr="1BF77947" w:rsidR="64FDCBE4">
              <w:rPr>
                <w:b w:val="0"/>
                <w:sz w:val="22"/>
                <w:szCs w:val="22"/>
              </w:rPr>
              <w:t>2,212,572</w:t>
            </w:r>
          </w:p>
        </w:tc>
      </w:tr>
      <w:tr w14:paraId="76A0F534" w14:textId="77777777" w:rsidTr="00832A97">
        <w:tblPrEx>
          <w:tblW w:w="8589" w:type="dxa"/>
          <w:tblInd w:w="372" w:type="dxa"/>
          <w:tblCellMar>
            <w:left w:w="0" w:type="dxa"/>
            <w:right w:w="0" w:type="dxa"/>
          </w:tblCellMar>
          <w:tblLook w:val="04A0"/>
        </w:tblPrEx>
        <w:trPr>
          <w:trHeight w:val="459"/>
        </w:trPr>
        <w:tc>
          <w:tcPr>
            <w:tcW w:w="6993"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FCB" w:rsidRPr="004D7181" w:rsidP="00832A97" w14:paraId="15353498" w14:textId="77777777">
            <w:pPr>
              <w:pStyle w:val="FigureTitle"/>
              <w:spacing w:before="0" w:after="60"/>
              <w:jc w:val="right"/>
              <w:rPr>
                <w:sz w:val="22"/>
                <w:szCs w:val="22"/>
              </w:rPr>
            </w:pPr>
            <w:r w:rsidRPr="004D7181">
              <w:rPr>
                <w:sz w:val="22"/>
                <w:szCs w:val="22"/>
              </w:rPr>
              <w:t>Total</w:t>
            </w:r>
            <w:r w:rsidR="00672B9A">
              <w:rPr>
                <w:sz w:val="22"/>
                <w:szCs w:val="22"/>
              </w:rPr>
              <w:t xml:space="preserve"> Annual Cost</w:t>
            </w:r>
          </w:p>
        </w:tc>
        <w:tc>
          <w:tcPr>
            <w:tcW w:w="15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E1FCB" w:rsidRPr="004D7181" w:rsidP="00832A97" w14:paraId="352F6776" w14:textId="77777777">
            <w:pPr>
              <w:pStyle w:val="FigureTitle"/>
              <w:spacing w:before="0" w:after="60"/>
              <w:jc w:val="right"/>
              <w:rPr>
                <w:sz w:val="22"/>
                <w:szCs w:val="22"/>
              </w:rPr>
            </w:pPr>
            <w:r w:rsidRPr="195FE5D0">
              <w:rPr>
                <w:sz w:val="22"/>
                <w:szCs w:val="22"/>
              </w:rPr>
              <w:t>$</w:t>
            </w:r>
            <w:r w:rsidRPr="195FE5D0" w:rsidR="3753E2B2">
              <w:rPr>
                <w:sz w:val="22"/>
                <w:szCs w:val="22"/>
              </w:rPr>
              <w:t>2,280,544</w:t>
            </w:r>
          </w:p>
        </w:tc>
      </w:tr>
    </w:tbl>
    <w:p w:rsidR="00BE1FCB" w:rsidP="00BB4995" w14:paraId="17EBB5D8" w14:textId="06BABB6F">
      <w:pPr>
        <w:rPr>
          <w:rFonts w:ascii="Times New Roman" w:eastAsia="Times New Roman" w:hAnsi="Times New Roman" w:cs="Times New Roman"/>
          <w:sz w:val="20"/>
          <w:szCs w:val="20"/>
        </w:rPr>
      </w:pPr>
      <w:r w:rsidRPr="007F424F">
        <w:rPr>
          <w:rFonts w:ascii="Times New Roman" w:eastAsia="Times New Roman" w:hAnsi="Times New Roman" w:cs="Times New Roman"/>
          <w:szCs w:val="24"/>
        </w:rPr>
        <w:t xml:space="preserve">      </w:t>
      </w:r>
      <w:r w:rsidRPr="007F424F">
        <w:rPr>
          <w:rFonts w:ascii="Times New Roman" w:eastAsia="Times New Roman" w:hAnsi="Times New Roman" w:cs="Times New Roman"/>
          <w:szCs w:val="24"/>
          <w:vertAlign w:val="superscript"/>
        </w:rPr>
        <w:t>1</w:t>
      </w:r>
      <w:r w:rsidRPr="007F424F">
        <w:rPr>
          <w:rFonts w:ascii="Times New Roman" w:eastAsia="Times New Roman" w:hAnsi="Times New Roman" w:cs="Times New Roman"/>
          <w:szCs w:val="24"/>
        </w:rPr>
        <w:t xml:space="preserve"> </w:t>
      </w:r>
      <w:r w:rsidRPr="00613C01">
        <w:rPr>
          <w:rFonts w:ascii="Times New Roman" w:eastAsia="Times New Roman" w:hAnsi="Times New Roman" w:cs="Times New Roman"/>
          <w:sz w:val="20"/>
          <w:szCs w:val="20"/>
        </w:rPr>
        <w:t>Cost</w:t>
      </w:r>
      <w:r w:rsidRPr="00613C01" w:rsidR="007F424F">
        <w:rPr>
          <w:rFonts w:ascii="Times New Roman" w:eastAsia="Times New Roman" w:hAnsi="Times New Roman" w:cs="Times New Roman"/>
          <w:sz w:val="20"/>
          <w:szCs w:val="20"/>
        </w:rPr>
        <w:t>s</w:t>
      </w:r>
      <w:r w:rsidRPr="00613C01">
        <w:rPr>
          <w:rFonts w:ascii="Times New Roman" w:eastAsia="Times New Roman" w:hAnsi="Times New Roman" w:cs="Times New Roman"/>
          <w:sz w:val="20"/>
          <w:szCs w:val="20"/>
        </w:rPr>
        <w:t xml:space="preserve"> w</w:t>
      </w:r>
      <w:r w:rsidRPr="00613C01" w:rsidR="007F424F">
        <w:rPr>
          <w:rFonts w:ascii="Times New Roman" w:eastAsia="Times New Roman" w:hAnsi="Times New Roman" w:cs="Times New Roman"/>
          <w:sz w:val="20"/>
          <w:szCs w:val="20"/>
        </w:rPr>
        <w:t>ere</w:t>
      </w:r>
      <w:r w:rsidRPr="00613C01">
        <w:rPr>
          <w:rFonts w:ascii="Times New Roman" w:eastAsia="Times New Roman" w:hAnsi="Times New Roman" w:cs="Times New Roman"/>
          <w:sz w:val="20"/>
          <w:szCs w:val="20"/>
        </w:rPr>
        <w:t xml:space="preserve"> rounded up to the next dollar.</w:t>
      </w:r>
    </w:p>
    <w:p w:rsidR="00832A97" w:rsidP="00BB4995" w14:paraId="2C66D85A" w14:textId="77777777">
      <w:pPr>
        <w:rPr>
          <w:rFonts w:ascii="Times New Roman" w:eastAsia="Times New Roman" w:hAnsi="Times New Roman" w:cs="Times New Roman"/>
          <w:sz w:val="20"/>
          <w:szCs w:val="20"/>
        </w:rPr>
      </w:pPr>
    </w:p>
    <w:p w:rsidR="00832A97" w:rsidP="00BB4995" w14:paraId="53ECA8B2" w14:textId="77777777">
      <w:pPr>
        <w:rPr>
          <w:rFonts w:ascii="Times New Roman" w:eastAsia="Times New Roman" w:hAnsi="Times New Roman" w:cs="Times New Roman"/>
          <w:sz w:val="20"/>
          <w:szCs w:val="20"/>
        </w:rPr>
      </w:pPr>
    </w:p>
    <w:p w:rsidR="00BE1FCB" w:rsidRPr="008265FC" w:rsidP="00BE1FCB" w14:paraId="01E269F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31" w:name="_Toc239649236"/>
      <w:bookmarkEnd w:id="30"/>
      <w:r>
        <w:rPr>
          <w:rFonts w:ascii="Times New Roman" w:eastAsia="Times New Roman" w:hAnsi="Times New Roman" w:cs="Times New Roman"/>
          <w:b/>
          <w:bCs/>
          <w:szCs w:val="24"/>
        </w:rPr>
        <w:t>1</w:t>
      </w:r>
      <w:r w:rsidR="00CF281F">
        <w:rPr>
          <w:rFonts w:ascii="Times New Roman" w:eastAsia="Times New Roman" w:hAnsi="Times New Roman" w:cs="Times New Roman"/>
          <w:b/>
          <w:bCs/>
          <w:szCs w:val="24"/>
        </w:rPr>
        <w:t>5</w:t>
      </w:r>
      <w:r w:rsidRPr="008265FC">
        <w:rPr>
          <w:rFonts w:ascii="Times New Roman" w:eastAsia="Times New Roman" w:hAnsi="Times New Roman" w:cs="Times New Roman"/>
          <w:b/>
          <w:bCs/>
          <w:szCs w:val="24"/>
        </w:rPr>
        <w:t>.</w:t>
      </w:r>
      <w:r w:rsidRPr="008265FC">
        <w:rPr>
          <w:rFonts w:ascii="Times New Roman" w:eastAsia="Times New Roman" w:hAnsi="Times New Roman" w:cs="Times New Roman"/>
          <w:szCs w:val="24"/>
        </w:rPr>
        <w:t xml:space="preserve">  </w:t>
      </w:r>
      <w:r w:rsidRPr="008265FC">
        <w:rPr>
          <w:rFonts w:ascii="Times New Roman" w:eastAsia="Times New Roman" w:hAnsi="Times New Roman" w:cs="Times New Roman"/>
          <w:b/>
          <w:bCs/>
          <w:szCs w:val="24"/>
          <w:u w:val="single"/>
        </w:rPr>
        <w:t>Explanation for Program Changes or Adjustments</w:t>
      </w:r>
      <w:bookmarkEnd w:id="31"/>
    </w:p>
    <w:p w:rsidR="00BE1FCB" w:rsidRPr="008265FC" w:rsidP="00BE1FCB" w14:paraId="6606BFA0"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14954" w:rsidP="4BEA02A2" w14:paraId="466F7AE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r w:rsidRPr="003407F1">
        <w:rPr>
          <w:rFonts w:ascii="Times New Roman" w:eastAsia="Times New Roman" w:hAnsi="Times New Roman" w:cs="Times New Roman"/>
          <w:szCs w:val="24"/>
        </w:rPr>
        <w:t>We are submitting this change request to</w:t>
      </w:r>
      <w:r w:rsidRPr="003407F1">
        <w:rPr>
          <w:rFonts w:ascii="Times New Roman" w:eastAsia="Times New Roman" w:hAnsi="Times New Roman" w:cs="Times New Roman"/>
          <w:szCs w:val="24"/>
        </w:rPr>
        <w:t>:</w:t>
      </w:r>
    </w:p>
    <w:p w:rsidR="0083416F" w:rsidRPr="003407F1" w:rsidP="4BEA02A2" w14:paraId="4A6371C4"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794FE1" w:rsidRPr="003407F1" w:rsidP="00794FE1" w14:paraId="0A66DCF3" w14:textId="77777777">
      <w:pPr>
        <w:pStyle w:val="ListParagraph"/>
        <w:numPr>
          <w:ilvl w:val="1"/>
          <w:numId w:val="25"/>
        </w:numPr>
        <w:rPr>
          <w:rFonts w:ascii="Times New Roman" w:eastAsia="Times New Roman" w:hAnsi="Times New Roman" w:cs="Times New Roman"/>
          <w:szCs w:val="24"/>
        </w:rPr>
      </w:pPr>
      <w:r w:rsidRPr="003407F1">
        <w:rPr>
          <w:rFonts w:ascii="Times New Roman" w:eastAsia="Times New Roman" w:hAnsi="Times New Roman" w:cs="Times New Roman"/>
          <w:szCs w:val="24"/>
        </w:rPr>
        <w:t>A</w:t>
      </w:r>
      <w:r w:rsidRPr="003407F1" w:rsidR="005B1A53">
        <w:rPr>
          <w:rFonts w:ascii="Times New Roman" w:eastAsia="Times New Roman" w:hAnsi="Times New Roman" w:cs="Times New Roman"/>
          <w:szCs w:val="24"/>
        </w:rPr>
        <w:t>d</w:t>
      </w:r>
      <w:r w:rsidRPr="003407F1">
        <w:rPr>
          <w:rFonts w:ascii="Times New Roman" w:eastAsia="Times New Roman" w:hAnsi="Times New Roman" w:cs="Times New Roman"/>
          <w:szCs w:val="24"/>
        </w:rPr>
        <w:t>d two additional follow up waves of data collection – FU4 and FU5.</w:t>
      </w:r>
      <w:r w:rsidRPr="003407F1" w:rsidR="005B1A53">
        <w:rPr>
          <w:rFonts w:ascii="Times New Roman" w:eastAsia="Times New Roman" w:hAnsi="Times New Roman" w:cs="Times New Roman"/>
          <w:szCs w:val="24"/>
        </w:rPr>
        <w:t xml:space="preserve"> We have been asked by our Center leadership to prioritize our assessment of the impact of The Real Cost campaign on tobacco use behavior. Because behavior change happens over time, often many years, we plan to add two additional follow-up waves of data collection to allow us to follow our longitudinal sample for more time to assess for campaign effects on tobacco use initiation and other tobacco use behaviors.</w:t>
      </w:r>
    </w:p>
    <w:p w:rsidR="00794FE1" w:rsidRPr="003407F1" w:rsidP="003407F1" w14:paraId="2C85DEB5" w14:textId="35B026E3">
      <w:pPr>
        <w:pStyle w:val="ListParagraph"/>
        <w:numPr>
          <w:ilvl w:val="1"/>
          <w:numId w:val="25"/>
        </w:numPr>
        <w:rPr>
          <w:rFonts w:ascii="Times New Roman" w:eastAsia="Times New Roman" w:hAnsi="Times New Roman" w:cs="Times New Roman"/>
          <w:szCs w:val="24"/>
        </w:rPr>
      </w:pPr>
      <w:r w:rsidRPr="003407F1">
        <w:rPr>
          <w:rFonts w:ascii="Times New Roman" w:eastAsia="Times New Roman" w:hAnsi="Times New Roman" w:cs="Times New Roman"/>
          <w:szCs w:val="24"/>
        </w:rPr>
        <w:t>Add a replenishment sample at FU4</w:t>
      </w:r>
      <w:r w:rsidRPr="003407F1">
        <w:rPr>
          <w:rFonts w:ascii="Times New Roman" w:eastAsia="Times New Roman" w:hAnsi="Times New Roman" w:cs="Times New Roman"/>
          <w:szCs w:val="24"/>
        </w:rPr>
        <w:t xml:space="preserve"> </w:t>
      </w:r>
      <w:r w:rsidRPr="003407F1" w:rsidR="002660E6">
        <w:rPr>
          <w:rFonts w:ascii="Times New Roman" w:eastAsia="Times New Roman" w:hAnsi="Times New Roman" w:cs="Times New Roman"/>
          <w:szCs w:val="24"/>
        </w:rPr>
        <w:t xml:space="preserve">(ages 11-20 years) </w:t>
      </w:r>
      <w:r w:rsidRPr="003407F1">
        <w:rPr>
          <w:rFonts w:ascii="Times New Roman" w:eastAsia="Times New Roman" w:hAnsi="Times New Roman" w:cs="Times New Roman"/>
          <w:szCs w:val="24"/>
        </w:rPr>
        <w:t xml:space="preserve">to ensure we have sufficient sample sizes (and therefore, sufficient statistical power) to detect campaign effects of tobacco use behavior. The replenishment sample will also ensure we have a sufficient number of </w:t>
      </w:r>
      <w:r w:rsidRPr="003407F1">
        <w:rPr>
          <w:rFonts w:ascii="Times New Roman" w:eastAsia="Times New Roman" w:hAnsi="Times New Roman" w:cs="Times New Roman"/>
          <w:szCs w:val="24"/>
        </w:rPr>
        <w:t>youth</w:t>
      </w:r>
      <w:r w:rsidRPr="003407F1">
        <w:rPr>
          <w:rFonts w:ascii="Times New Roman" w:eastAsia="Times New Roman" w:hAnsi="Times New Roman" w:cs="Times New Roman"/>
          <w:szCs w:val="24"/>
        </w:rPr>
        <w:t xml:space="preserve"> in the sample (the intended audience for The Real Cost) given that participants are aging up over time.</w:t>
      </w:r>
    </w:p>
    <w:p w:rsidR="005B1A53" w:rsidRPr="003407F1" w:rsidP="17DC0FB1" w14:paraId="47C72D33" w14:textId="6CF18375">
      <w:pPr>
        <w:pStyle w:val="ListParagraph"/>
        <w:numPr>
          <w:ilvl w:val="1"/>
          <w:numId w:val="2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rPr>
      </w:pPr>
      <w:r w:rsidRPr="1FEBD9AD">
        <w:rPr>
          <w:rFonts w:ascii="Times New Roman" w:eastAsia="Times New Roman" w:hAnsi="Times New Roman" w:cs="Times New Roman"/>
        </w:rPr>
        <w:t>Adjustments to estimated burden hours and estimated annualized costs based on the above changes.</w:t>
      </w:r>
      <w:r w:rsidRPr="1FEBD9AD" w:rsidR="003407F1">
        <w:rPr>
          <w:rFonts w:ascii="Times New Roman" w:eastAsia="Times New Roman" w:hAnsi="Times New Roman" w:cs="Times New Roman"/>
        </w:rPr>
        <w:t xml:space="preserve"> Based on these adjustments, we estimate a net increase of </w:t>
      </w:r>
      <w:r w:rsidR="00AC37AF">
        <w:rPr>
          <w:rFonts w:ascii="Times New Roman" w:eastAsia="Times New Roman" w:hAnsi="Times New Roman" w:cs="Times New Roman"/>
        </w:rPr>
        <w:t>39,52</w:t>
      </w:r>
      <w:r w:rsidR="0022496C">
        <w:rPr>
          <w:rFonts w:ascii="Times New Roman" w:eastAsia="Times New Roman" w:hAnsi="Times New Roman" w:cs="Times New Roman"/>
        </w:rPr>
        <w:t>2</w:t>
      </w:r>
      <w:r w:rsidRPr="1FEBD9AD" w:rsidR="003407F1">
        <w:rPr>
          <w:rFonts w:ascii="Times New Roman" w:eastAsia="Times New Roman" w:hAnsi="Times New Roman" w:cs="Times New Roman"/>
        </w:rPr>
        <w:t xml:space="preserve"> burden hours for a new total of </w:t>
      </w:r>
      <w:r w:rsidRPr="1FEBD9AD" w:rsidR="62FFDB23">
        <w:rPr>
          <w:rFonts w:ascii="Times New Roman" w:eastAsia="Times New Roman" w:hAnsi="Times New Roman" w:cs="Times New Roman"/>
        </w:rPr>
        <w:t>1</w:t>
      </w:r>
      <w:r w:rsidR="00AC37AF">
        <w:rPr>
          <w:rFonts w:ascii="Times New Roman" w:eastAsia="Times New Roman" w:hAnsi="Times New Roman" w:cs="Times New Roman"/>
        </w:rPr>
        <w:t>54,9</w:t>
      </w:r>
      <w:r w:rsidR="0022496C">
        <w:rPr>
          <w:rFonts w:ascii="Times New Roman" w:eastAsia="Times New Roman" w:hAnsi="Times New Roman" w:cs="Times New Roman"/>
        </w:rPr>
        <w:t>21</w:t>
      </w:r>
      <w:r w:rsidRPr="1FEBD9AD" w:rsidR="003407F1">
        <w:rPr>
          <w:rFonts w:ascii="Times New Roman" w:eastAsia="Times New Roman" w:hAnsi="Times New Roman" w:cs="Times New Roman"/>
        </w:rPr>
        <w:t>.</w:t>
      </w:r>
    </w:p>
    <w:p w:rsidR="00185AB0" w:rsidRPr="006F2DD8" w:rsidP="00AC37AF" w14:paraId="0E1640A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szCs w:val="24"/>
        </w:rPr>
      </w:pPr>
    </w:p>
    <w:p w:rsidR="00BE1FCB" w:rsidRPr="006F2DD8" w:rsidP="00BE1FCB" w14:paraId="095186D4"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bookmarkStart w:id="32" w:name="_Toc239649237"/>
      <w:r w:rsidRPr="006F2DD8">
        <w:rPr>
          <w:rFonts w:ascii="Times New Roman" w:eastAsia="Times New Roman" w:hAnsi="Times New Roman" w:cs="Times New Roman"/>
          <w:b/>
          <w:bCs/>
          <w:szCs w:val="24"/>
        </w:rPr>
        <w:t>1</w:t>
      </w:r>
      <w:r w:rsidRPr="006F2DD8" w:rsidR="004B3D08">
        <w:rPr>
          <w:rFonts w:ascii="Times New Roman" w:eastAsia="Times New Roman" w:hAnsi="Times New Roman" w:cs="Times New Roman"/>
          <w:b/>
          <w:bCs/>
          <w:szCs w:val="24"/>
        </w:rPr>
        <w:t>6</w:t>
      </w:r>
      <w:r w:rsidRPr="006F2DD8">
        <w:rPr>
          <w:rFonts w:ascii="Times New Roman" w:eastAsia="Times New Roman" w:hAnsi="Times New Roman" w:cs="Times New Roman"/>
          <w:b/>
          <w:bCs/>
          <w:szCs w:val="24"/>
        </w:rPr>
        <w:t>.</w:t>
      </w:r>
      <w:r w:rsidRPr="006F2DD8">
        <w:rPr>
          <w:rFonts w:ascii="Times New Roman" w:eastAsia="Times New Roman" w:hAnsi="Times New Roman" w:cs="Times New Roman"/>
          <w:szCs w:val="24"/>
        </w:rPr>
        <w:t xml:space="preserve">  </w:t>
      </w:r>
      <w:r w:rsidRPr="006F2DD8">
        <w:rPr>
          <w:rFonts w:ascii="Times New Roman" w:eastAsia="Times New Roman" w:hAnsi="Times New Roman" w:cs="Times New Roman"/>
          <w:b/>
          <w:bCs/>
          <w:szCs w:val="24"/>
          <w:u w:val="single"/>
        </w:rPr>
        <w:t>Plans for Reporting and Project Time Schedule</w:t>
      </w:r>
      <w:bookmarkEnd w:id="32"/>
    </w:p>
    <w:p w:rsidR="00BE1FCB" w:rsidRPr="008265FC" w:rsidP="00BE1FCB" w14:paraId="17AE31F5"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872138" w:rsidRPr="00872138" w:rsidP="7DC1110E" w14:paraId="10BF4DA9" w14:textId="77777777">
      <w:pPr>
        <w:ind w:left="180"/>
        <w:rPr>
          <w:rFonts w:ascii="Times New Roman" w:eastAsia="Times New Roman" w:hAnsi="Times New Roman" w:cs="Times New Roman"/>
        </w:rPr>
      </w:pPr>
      <w:r w:rsidRPr="1BF77947">
        <w:rPr>
          <w:rFonts w:ascii="Times New Roman" w:eastAsia="Times New Roman" w:hAnsi="Times New Roman" w:cs="Times New Roman"/>
        </w:rPr>
        <w:t xml:space="preserve">Data from this information collection will be used to estimate awareness of </w:t>
      </w:r>
      <w:r w:rsidRPr="1BF77947" w:rsidR="00FF63F4">
        <w:rPr>
          <w:rFonts w:ascii="Times New Roman" w:eastAsia="Times New Roman" w:hAnsi="Times New Roman" w:cs="Times New Roman"/>
        </w:rPr>
        <w:t xml:space="preserve">the </w:t>
      </w:r>
      <w:r w:rsidRPr="1BF77947">
        <w:rPr>
          <w:rFonts w:ascii="Times New Roman" w:eastAsia="Times New Roman" w:hAnsi="Times New Roman" w:cs="Times New Roman"/>
        </w:rPr>
        <w:t>campaign among youth</w:t>
      </w:r>
      <w:r w:rsidRPr="1BF77947" w:rsidR="004930FE">
        <w:rPr>
          <w:rFonts w:ascii="Times New Roman" w:eastAsia="Times New Roman" w:hAnsi="Times New Roman" w:cs="Times New Roman"/>
        </w:rPr>
        <w:t xml:space="preserve"> </w:t>
      </w:r>
      <w:r w:rsidRPr="1BF77947" w:rsidR="00FF63F4">
        <w:rPr>
          <w:rFonts w:ascii="Times New Roman" w:eastAsia="Times New Roman" w:hAnsi="Times New Roman" w:cs="Times New Roman"/>
        </w:rPr>
        <w:t>and model the effects of exposure to the campaign on a</w:t>
      </w:r>
      <w:r w:rsidRPr="1BF77947" w:rsidR="004930FE">
        <w:rPr>
          <w:rFonts w:ascii="Times New Roman" w:eastAsia="Times New Roman" w:hAnsi="Times New Roman" w:cs="Times New Roman"/>
        </w:rPr>
        <w:t xml:space="preserve"> variety of intended </w:t>
      </w:r>
      <w:r w:rsidRPr="1BF77947" w:rsidR="00FF63F4">
        <w:rPr>
          <w:rFonts w:ascii="Times New Roman" w:eastAsia="Times New Roman" w:hAnsi="Times New Roman" w:cs="Times New Roman"/>
        </w:rPr>
        <w:t xml:space="preserve">psychosocial </w:t>
      </w:r>
      <w:r w:rsidRPr="1BF77947" w:rsidR="004930FE">
        <w:rPr>
          <w:rFonts w:ascii="Times New Roman" w:eastAsia="Times New Roman" w:hAnsi="Times New Roman" w:cs="Times New Roman"/>
        </w:rPr>
        <w:t>outcomes</w:t>
      </w:r>
      <w:r w:rsidRPr="1BF77947" w:rsidR="00FF63F4">
        <w:rPr>
          <w:rFonts w:ascii="Times New Roman" w:eastAsia="Times New Roman" w:hAnsi="Times New Roman" w:cs="Times New Roman"/>
        </w:rPr>
        <w:t xml:space="preserve"> and predictors of tobacco use behaviors</w:t>
      </w:r>
      <w:r w:rsidRPr="1BF77947">
        <w:rPr>
          <w:rFonts w:ascii="Times New Roman" w:eastAsia="Times New Roman" w:hAnsi="Times New Roman" w:cs="Times New Roman"/>
        </w:rPr>
        <w:t xml:space="preserve">. </w:t>
      </w:r>
      <w:r w:rsidRPr="1BF77947" w:rsidR="006927F0">
        <w:rPr>
          <w:rFonts w:ascii="Times New Roman" w:eastAsia="Times New Roman" w:hAnsi="Times New Roman" w:cs="Times New Roman"/>
        </w:rPr>
        <w:t>E</w:t>
      </w:r>
      <w:r w:rsidRPr="1BF77947">
        <w:rPr>
          <w:rFonts w:ascii="Times New Roman" w:eastAsia="Times New Roman" w:hAnsi="Times New Roman" w:cs="Times New Roman"/>
        </w:rPr>
        <w:t xml:space="preserve">stimates will take the form of </w:t>
      </w:r>
      <w:r w:rsidRPr="1BF77947" w:rsidR="006927F0">
        <w:rPr>
          <w:rFonts w:ascii="Times New Roman" w:eastAsia="Times New Roman" w:hAnsi="Times New Roman" w:cs="Times New Roman"/>
        </w:rPr>
        <w:t xml:space="preserve">descriptive data on survey items such as </w:t>
      </w:r>
      <w:r w:rsidRPr="1BF77947">
        <w:rPr>
          <w:rFonts w:ascii="Times New Roman" w:eastAsia="Times New Roman" w:hAnsi="Times New Roman" w:cs="Times New Roman"/>
        </w:rPr>
        <w:t xml:space="preserve">self-reported ad recognition and recall that assess basic exposure as well as frequency of ad exposure. </w:t>
      </w:r>
      <w:r w:rsidRPr="1BF77947" w:rsidR="006927F0">
        <w:rPr>
          <w:rFonts w:ascii="Times New Roman" w:eastAsia="Times New Roman" w:hAnsi="Times New Roman" w:cs="Times New Roman"/>
        </w:rPr>
        <w:t xml:space="preserve">Data </w:t>
      </w:r>
      <w:r w:rsidRPr="1BF77947" w:rsidR="007B2E7F">
        <w:rPr>
          <w:rFonts w:ascii="Times New Roman" w:eastAsia="Times New Roman" w:hAnsi="Times New Roman" w:cs="Times New Roman"/>
        </w:rPr>
        <w:t>will also be</w:t>
      </w:r>
      <w:r w:rsidRPr="1BF77947" w:rsidR="00043CD0">
        <w:rPr>
          <w:rFonts w:ascii="Times New Roman" w:eastAsia="Times New Roman" w:hAnsi="Times New Roman" w:cs="Times New Roman"/>
        </w:rPr>
        <w:t xml:space="preserve"> </w:t>
      </w:r>
      <w:r w:rsidRPr="1BF77947" w:rsidR="006927F0">
        <w:rPr>
          <w:rFonts w:ascii="Times New Roman" w:eastAsia="Times New Roman" w:hAnsi="Times New Roman" w:cs="Times New Roman"/>
        </w:rPr>
        <w:t>used to examine</w:t>
      </w:r>
      <w:r w:rsidRPr="1BF77947" w:rsidR="00043CD0">
        <w:rPr>
          <w:rFonts w:ascii="Times New Roman" w:eastAsia="Times New Roman" w:hAnsi="Times New Roman" w:cs="Times New Roman"/>
        </w:rPr>
        <w:t xml:space="preserve"> </w:t>
      </w:r>
      <w:r w:rsidRPr="1BF77947">
        <w:rPr>
          <w:rFonts w:ascii="Times New Roman" w:eastAsia="Times New Roman" w:hAnsi="Times New Roman" w:cs="Times New Roman"/>
        </w:rPr>
        <w:t xml:space="preserve">statistical associations between exposure to the campaign and pre-post changes in specific outcomes of interest. This will be accomplished with the use of multivariate models that estimate follow-up measures of each relevant outcome as a function of prior self-reported exposure to the campaign, controlling for individual </w:t>
      </w:r>
      <w:r w:rsidRPr="1BF77947" w:rsidR="00043CD0">
        <w:rPr>
          <w:rFonts w:ascii="Times New Roman" w:eastAsia="Times New Roman" w:hAnsi="Times New Roman" w:cs="Times New Roman"/>
        </w:rPr>
        <w:t xml:space="preserve">and </w:t>
      </w:r>
      <w:r w:rsidRPr="1BF77947" w:rsidR="00A54161">
        <w:rPr>
          <w:rFonts w:ascii="Times New Roman" w:eastAsia="Times New Roman" w:hAnsi="Times New Roman" w:cs="Times New Roman"/>
        </w:rPr>
        <w:t xml:space="preserve">other </w:t>
      </w:r>
      <w:r w:rsidRPr="1BF77947">
        <w:rPr>
          <w:rFonts w:ascii="Times New Roman" w:eastAsia="Times New Roman" w:hAnsi="Times New Roman" w:cs="Times New Roman"/>
        </w:rPr>
        <w:t>characteristics that may confound the relationship between campaign exposure and changes in outcomes. We hypothesize that there should be larger changes in</w:t>
      </w:r>
      <w:r w:rsidRPr="1BF77947" w:rsidR="00A54161">
        <w:rPr>
          <w:rFonts w:ascii="Times New Roman" w:eastAsia="Times New Roman" w:hAnsi="Times New Roman" w:cs="Times New Roman"/>
        </w:rPr>
        <w:t xml:space="preserve"> intended</w:t>
      </w:r>
      <w:r w:rsidRPr="1BF77947">
        <w:rPr>
          <w:rFonts w:ascii="Times New Roman" w:eastAsia="Times New Roman" w:hAnsi="Times New Roman" w:cs="Times New Roman"/>
        </w:rPr>
        <w:t xml:space="preserve"> outcomes among individuals who </w:t>
      </w:r>
      <w:r w:rsidRPr="1BF77947" w:rsidR="0025211B">
        <w:rPr>
          <w:rFonts w:ascii="Times New Roman" w:eastAsia="Times New Roman" w:hAnsi="Times New Roman" w:cs="Times New Roman"/>
        </w:rPr>
        <w:t>report great</w:t>
      </w:r>
      <w:r w:rsidRPr="1BF77947" w:rsidR="008F1527">
        <w:rPr>
          <w:rFonts w:ascii="Times New Roman" w:eastAsia="Times New Roman" w:hAnsi="Times New Roman" w:cs="Times New Roman"/>
        </w:rPr>
        <w:t>er</w:t>
      </w:r>
      <w:r w:rsidRPr="1BF77947">
        <w:rPr>
          <w:rFonts w:ascii="Times New Roman" w:eastAsia="Times New Roman" w:hAnsi="Times New Roman" w:cs="Times New Roman"/>
        </w:rPr>
        <w:t xml:space="preserve"> expos</w:t>
      </w:r>
      <w:r w:rsidRPr="1BF77947" w:rsidR="008F1527">
        <w:rPr>
          <w:rFonts w:ascii="Times New Roman" w:eastAsia="Times New Roman" w:hAnsi="Times New Roman" w:cs="Times New Roman"/>
        </w:rPr>
        <w:t>ure to</w:t>
      </w:r>
      <w:r w:rsidRPr="1BF77947">
        <w:rPr>
          <w:rFonts w:ascii="Times New Roman" w:eastAsia="Times New Roman" w:hAnsi="Times New Roman" w:cs="Times New Roman"/>
        </w:rPr>
        <w:t xml:space="preserve"> the campaign (i.e., dose-response effects).</w:t>
      </w:r>
    </w:p>
    <w:p w:rsidR="00872138" w:rsidRPr="00872138" w:rsidP="00872138" w14:paraId="16131514" w14:textId="77777777">
      <w:pPr>
        <w:ind w:left="180"/>
        <w:rPr>
          <w:rFonts w:ascii="Times New Roman" w:eastAsia="Times New Roman" w:hAnsi="Times New Roman" w:cs="Times New Roman"/>
          <w:szCs w:val="20"/>
        </w:rPr>
      </w:pPr>
    </w:p>
    <w:p w:rsidR="00872138" w:rsidRPr="00872138" w:rsidP="7DC1110E" w14:paraId="751C5B15" w14:textId="77777777">
      <w:pPr>
        <w:ind w:left="180"/>
        <w:rPr>
          <w:rFonts w:ascii="Times New Roman" w:eastAsia="Times New Roman" w:hAnsi="Times New Roman" w:cs="Times New Roman"/>
        </w:rPr>
      </w:pPr>
      <w:r w:rsidRPr="1BF77947">
        <w:rPr>
          <w:rFonts w:ascii="Times New Roman" w:eastAsia="Times New Roman" w:hAnsi="Times New Roman" w:cs="Times New Roman"/>
        </w:rPr>
        <w:t>The reporting and dissemination mechanism will consist of three primary components</w:t>
      </w:r>
      <w:r w:rsidRPr="1BF77947" w:rsidR="00BA1E98">
        <w:rPr>
          <w:rFonts w:ascii="Times New Roman" w:eastAsia="Times New Roman" w:hAnsi="Times New Roman" w:cs="Times New Roman"/>
        </w:rPr>
        <w:t xml:space="preserve"> </w:t>
      </w:r>
      <w:r w:rsidRPr="1BF77947" w:rsidR="002B2E85">
        <w:rPr>
          <w:rFonts w:ascii="Times New Roman" w:eastAsia="Times New Roman" w:hAnsi="Times New Roman" w:cs="Times New Roman"/>
        </w:rPr>
        <w:t>after each survey wave</w:t>
      </w:r>
      <w:r w:rsidRPr="1BF77947">
        <w:rPr>
          <w:rFonts w:ascii="Times New Roman" w:eastAsia="Times New Roman" w:hAnsi="Times New Roman" w:cs="Times New Roman"/>
        </w:rPr>
        <w:t xml:space="preserve">: (1) summary statistics </w:t>
      </w:r>
      <w:r w:rsidRPr="1BF77947" w:rsidR="00BA1E98">
        <w:rPr>
          <w:rFonts w:ascii="Times New Roman" w:eastAsia="Times New Roman" w:hAnsi="Times New Roman" w:cs="Times New Roman"/>
        </w:rPr>
        <w:t xml:space="preserve">produced from analytic data files </w:t>
      </w:r>
      <w:r w:rsidRPr="1BF77947">
        <w:rPr>
          <w:rFonts w:ascii="Times New Roman" w:eastAsia="Times New Roman" w:hAnsi="Times New Roman" w:cs="Times New Roman"/>
        </w:rPr>
        <w:t>on individual awareness of and campaign</w:t>
      </w:r>
      <w:r w:rsidRPr="1BF77947" w:rsidR="002B2E85">
        <w:rPr>
          <w:rFonts w:ascii="Times New Roman" w:eastAsia="Times New Roman" w:hAnsi="Times New Roman" w:cs="Times New Roman"/>
        </w:rPr>
        <w:t xml:space="preserve"> outcomes</w:t>
      </w:r>
      <w:r w:rsidRPr="1BF77947">
        <w:rPr>
          <w:rFonts w:ascii="Times New Roman" w:eastAsia="Times New Roman" w:hAnsi="Times New Roman" w:cs="Times New Roman"/>
        </w:rPr>
        <w:t xml:space="preserve">, (2) </w:t>
      </w:r>
      <w:r w:rsidRPr="1BF77947" w:rsidR="005B768F">
        <w:rPr>
          <w:rFonts w:ascii="Times New Roman" w:eastAsia="Times New Roman" w:hAnsi="Times New Roman" w:cs="Times New Roman"/>
        </w:rPr>
        <w:t xml:space="preserve">data analyses </w:t>
      </w:r>
      <w:r w:rsidRPr="1BF77947" w:rsidR="00D236EC">
        <w:rPr>
          <w:rFonts w:ascii="Times New Roman" w:eastAsia="Times New Roman" w:hAnsi="Times New Roman" w:cs="Times New Roman"/>
        </w:rPr>
        <w:t xml:space="preserve">summarized in a report format </w:t>
      </w:r>
      <w:r w:rsidRPr="1BF77947" w:rsidR="005B768F">
        <w:rPr>
          <w:rFonts w:ascii="Times New Roman" w:eastAsia="Times New Roman" w:hAnsi="Times New Roman" w:cs="Times New Roman"/>
        </w:rPr>
        <w:t xml:space="preserve">(e.g., PowerPoint presentations, </w:t>
      </w:r>
      <w:r w:rsidRPr="1BF77947" w:rsidR="00D236EC">
        <w:rPr>
          <w:rFonts w:ascii="Times New Roman" w:eastAsia="Times New Roman" w:hAnsi="Times New Roman" w:cs="Times New Roman"/>
        </w:rPr>
        <w:t xml:space="preserve">data dashboards, </w:t>
      </w:r>
      <w:r w:rsidRPr="1BF77947" w:rsidR="005B768F">
        <w:rPr>
          <w:rFonts w:ascii="Times New Roman" w:eastAsia="Times New Roman" w:hAnsi="Times New Roman" w:cs="Times New Roman"/>
        </w:rPr>
        <w:t>etc.)</w:t>
      </w:r>
      <w:r w:rsidRPr="1BF77947" w:rsidR="00D236EC">
        <w:rPr>
          <w:rFonts w:ascii="Times New Roman" w:eastAsia="Times New Roman" w:hAnsi="Times New Roman" w:cs="Times New Roman"/>
        </w:rPr>
        <w:t xml:space="preserve">, </w:t>
      </w:r>
      <w:r w:rsidRPr="1BF77947">
        <w:rPr>
          <w:rFonts w:ascii="Times New Roman" w:eastAsia="Times New Roman" w:hAnsi="Times New Roman" w:cs="Times New Roman"/>
        </w:rPr>
        <w:t xml:space="preserve">and (3) </w:t>
      </w:r>
      <w:r w:rsidRPr="1BF77947" w:rsidR="00D236EC">
        <w:rPr>
          <w:rFonts w:ascii="Times New Roman" w:eastAsia="Times New Roman" w:hAnsi="Times New Roman" w:cs="Times New Roman"/>
        </w:rPr>
        <w:t xml:space="preserve">report writing for various audiences, which could include briefings, written reports, and/or </w:t>
      </w:r>
      <w:r w:rsidRPr="1BF77947">
        <w:rPr>
          <w:rFonts w:ascii="Times New Roman" w:eastAsia="Times New Roman" w:hAnsi="Times New Roman" w:cs="Times New Roman"/>
        </w:rPr>
        <w:t xml:space="preserve">peer-reviewed journal articles that document the relationships between campaign exposure and changes in the aforementioned outcomes of interest. The key events </w:t>
      </w:r>
      <w:r w:rsidRPr="1BF77947" w:rsidR="00F86276">
        <w:rPr>
          <w:rFonts w:ascii="Times New Roman" w:eastAsia="Times New Roman" w:hAnsi="Times New Roman" w:cs="Times New Roman"/>
        </w:rPr>
        <w:t xml:space="preserve">after each round of data collection </w:t>
      </w:r>
      <w:r w:rsidRPr="1BF77947">
        <w:rPr>
          <w:rFonts w:ascii="Times New Roman" w:eastAsia="Times New Roman" w:hAnsi="Times New Roman" w:cs="Times New Roman"/>
        </w:rPr>
        <w:t xml:space="preserve">are listed </w:t>
      </w:r>
      <w:r w:rsidR="00A80641">
        <w:rPr>
          <w:rFonts w:ascii="Times New Roman" w:eastAsia="Times New Roman" w:hAnsi="Times New Roman" w:cs="Times New Roman"/>
        </w:rPr>
        <w:t>below</w:t>
      </w:r>
      <w:r w:rsidRPr="1BF77947">
        <w:rPr>
          <w:rFonts w:ascii="Times New Roman" w:eastAsia="Times New Roman" w:hAnsi="Times New Roman" w:cs="Times New Roman"/>
        </w:rPr>
        <w:t>.</w:t>
      </w:r>
    </w:p>
    <w:p w:rsidR="001706F4" w:rsidP="1BF77947" w14:paraId="2E3774C1" w14:textId="77777777">
      <w:pPr>
        <w:keepNext/>
        <w:keepLines/>
        <w:ind w:left="180"/>
        <w:rPr>
          <w:rFonts w:ascii="Times New Roman" w:eastAsia="Times New Roman" w:hAnsi="Times New Roman" w:cs="Times New Roman"/>
          <w:b/>
          <w:bCs/>
        </w:rPr>
      </w:pPr>
      <w:bookmarkStart w:id="33" w:name="_Toc361824172"/>
    </w:p>
    <w:p w:rsidR="001706F4" w:rsidP="1BF77947" w14:paraId="6EADF6A5" w14:textId="77777777">
      <w:pPr>
        <w:keepNext/>
        <w:keepLines/>
        <w:ind w:left="180"/>
        <w:rPr>
          <w:rFonts w:ascii="Times New Roman" w:eastAsia="Times New Roman" w:hAnsi="Times New Roman" w:cs="Times New Roman"/>
          <w:b/>
          <w:bCs/>
        </w:rPr>
      </w:pPr>
    </w:p>
    <w:p w:rsidR="001706F4" w:rsidP="1BF77947" w14:paraId="6C97C33A" w14:textId="77777777">
      <w:pPr>
        <w:keepNext/>
        <w:keepLines/>
        <w:ind w:left="180"/>
        <w:rPr>
          <w:rFonts w:ascii="Times New Roman" w:eastAsia="Times New Roman" w:hAnsi="Times New Roman" w:cs="Times New Roman"/>
          <w:b/>
          <w:bCs/>
        </w:rPr>
      </w:pPr>
    </w:p>
    <w:p w:rsidR="001706F4" w:rsidP="1BF77947" w14:paraId="71FC7E2D" w14:textId="77777777">
      <w:pPr>
        <w:keepNext/>
        <w:keepLines/>
        <w:ind w:left="180"/>
        <w:rPr>
          <w:rFonts w:ascii="Times New Roman" w:eastAsia="Times New Roman" w:hAnsi="Times New Roman" w:cs="Times New Roman"/>
          <w:b/>
          <w:bCs/>
        </w:rPr>
      </w:pPr>
    </w:p>
    <w:p w:rsidR="00BE1FCB" w:rsidRPr="008265FC" w:rsidP="1BF77947" w14:paraId="1A9C1C57" w14:textId="152971B9">
      <w:pPr>
        <w:keepNext/>
        <w:keepLines/>
        <w:ind w:left="180"/>
        <w:rPr>
          <w:rFonts w:ascii="Times New Roman" w:eastAsia="Times New Roman" w:hAnsi="Times New Roman" w:cs="Times New Roman"/>
          <w:b/>
          <w:bCs/>
        </w:rPr>
      </w:pPr>
      <w:r w:rsidRPr="1BF77947">
        <w:rPr>
          <w:rFonts w:ascii="Times New Roman" w:eastAsia="Times New Roman" w:hAnsi="Times New Roman" w:cs="Times New Roman"/>
          <w:b/>
          <w:bCs/>
        </w:rPr>
        <w:t>Approximate Project Schedule</w:t>
      </w:r>
      <w:bookmarkEnd w:id="33"/>
    </w:p>
    <w:p w:rsidR="00BE1FCB" w:rsidRPr="008265FC" w:rsidP="00BE1FCB" w14:paraId="71F8022E" w14:textId="77777777">
      <w:pPr>
        <w:autoSpaceDE w:val="0"/>
        <w:autoSpaceDN w:val="0"/>
        <w:adjustRightInd w:val="0"/>
        <w:ind w:left="180"/>
        <w:rPr>
          <w:rFonts w:ascii="Courier 10cpi" w:eastAsia="Times New Roman" w:hAnsi="Courier 10cpi" w:cs="Times New Roman"/>
          <w:sz w:val="20"/>
          <w:szCs w:val="20"/>
        </w:rPr>
      </w:pPr>
    </w:p>
    <w:tbl>
      <w:tblPr>
        <w:tblW w:w="8733" w:type="dxa"/>
        <w:tblInd w:w="864" w:type="dxa"/>
        <w:tblBorders>
          <w:top w:val="single" w:sz="12" w:space="0" w:color="auto"/>
        </w:tblBorders>
        <w:tblLayout w:type="fixed"/>
        <w:tblCellMar>
          <w:top w:w="29" w:type="dxa"/>
          <w:left w:w="115" w:type="dxa"/>
          <w:right w:w="115" w:type="dxa"/>
        </w:tblCellMar>
        <w:tblLook w:val="01E0"/>
      </w:tblPr>
      <w:tblGrid>
        <w:gridCol w:w="3211"/>
        <w:gridCol w:w="5522"/>
      </w:tblGrid>
      <w:tr w14:paraId="274C04CF" w14:textId="77777777" w:rsidTr="195FE5D0">
        <w:tblPrEx>
          <w:tblW w:w="8733" w:type="dxa"/>
          <w:tblInd w:w="864" w:type="dxa"/>
          <w:tblBorders>
            <w:top w:val="single" w:sz="12" w:space="0" w:color="auto"/>
          </w:tblBorders>
          <w:tblLayout w:type="fixed"/>
          <w:tblCellMar>
            <w:top w:w="29" w:type="dxa"/>
            <w:left w:w="115" w:type="dxa"/>
            <w:right w:w="115" w:type="dxa"/>
          </w:tblCellMar>
          <w:tblLook w:val="01E0"/>
        </w:tblPrEx>
        <w:trPr>
          <w:cantSplit/>
        </w:trPr>
        <w:tc>
          <w:tcPr>
            <w:tcW w:w="3211" w:type="dxa"/>
            <w:tcBorders>
              <w:top w:val="single" w:sz="12" w:space="0" w:color="auto"/>
              <w:bottom w:val="single" w:sz="6" w:space="0" w:color="auto"/>
            </w:tcBorders>
            <w:vAlign w:val="bottom"/>
          </w:tcPr>
          <w:p w:rsidR="00BE1FCB" w:rsidRPr="008265FC" w:rsidP="00F3750D" w14:paraId="527890FA"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Project Activity</w:t>
            </w:r>
          </w:p>
        </w:tc>
        <w:tc>
          <w:tcPr>
            <w:tcW w:w="5522" w:type="dxa"/>
            <w:tcBorders>
              <w:top w:val="single" w:sz="12" w:space="0" w:color="auto"/>
              <w:bottom w:val="single" w:sz="6" w:space="0" w:color="auto"/>
            </w:tcBorders>
            <w:vAlign w:val="bottom"/>
          </w:tcPr>
          <w:p w:rsidR="00BE1FCB" w:rsidRPr="008265FC" w:rsidP="00F3750D" w14:paraId="765EA0CE" w14:textId="77777777">
            <w:pPr>
              <w:keepNext/>
              <w:ind w:left="180"/>
              <w:rPr>
                <w:rFonts w:ascii="Times New Roman" w:eastAsia="Times New Roman" w:hAnsi="Times New Roman" w:cs="Times New Roman"/>
                <w:b/>
                <w:bCs/>
                <w:sz w:val="18"/>
              </w:rPr>
            </w:pPr>
            <w:r w:rsidRPr="008265FC">
              <w:rPr>
                <w:rFonts w:ascii="Times New Roman" w:eastAsia="Times New Roman" w:hAnsi="Times New Roman" w:cs="Times New Roman"/>
                <w:b/>
                <w:bCs/>
                <w:sz w:val="18"/>
              </w:rPr>
              <w:t>Date</w:t>
            </w:r>
          </w:p>
        </w:tc>
      </w:tr>
      <w:tr w14:paraId="251B2669"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Pr>
          <w:p w:rsidR="00BE1FCB" w:rsidRPr="008265FC" w:rsidP="00F3750D" w14:paraId="2A614A59"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Survey</w:t>
            </w:r>
            <w:r w:rsidR="005E681F">
              <w:rPr>
                <w:rFonts w:ascii="Times New Roman" w:eastAsia="Times New Roman" w:hAnsi="Times New Roman" w:cs="Times New Roman"/>
                <w:sz w:val="18"/>
              </w:rPr>
              <w:t>s</w:t>
            </w:r>
          </w:p>
        </w:tc>
        <w:tc>
          <w:tcPr>
            <w:tcW w:w="5522" w:type="dxa"/>
          </w:tcPr>
          <w:p w:rsidR="00BE1FCB" w:rsidRPr="008265FC" w:rsidP="17DC0FB1" w14:paraId="716E074E" w14:textId="4D3AFDDF">
            <w:pPr>
              <w:keepNext/>
              <w:autoSpaceDE w:val="0"/>
              <w:autoSpaceDN w:val="0"/>
              <w:adjustRightInd w:val="0"/>
              <w:ind w:left="180"/>
              <w:rPr>
                <w:rFonts w:ascii="Times New Roman" w:eastAsia="Times New Roman" w:hAnsi="Times New Roman" w:cs="Times New Roman"/>
                <w:sz w:val="18"/>
                <w:szCs w:val="18"/>
              </w:rPr>
            </w:pPr>
            <w:r w:rsidRPr="195FE5D0">
              <w:rPr>
                <w:rFonts w:ascii="Times New Roman" w:eastAsia="Times New Roman" w:hAnsi="Times New Roman" w:cs="Times New Roman"/>
                <w:sz w:val="18"/>
                <w:szCs w:val="18"/>
              </w:rPr>
              <w:t>April 20</w:t>
            </w:r>
            <w:r w:rsidRPr="195FE5D0" w:rsidR="2936E66E">
              <w:rPr>
                <w:rFonts w:ascii="Times New Roman" w:eastAsia="Times New Roman" w:hAnsi="Times New Roman" w:cs="Times New Roman"/>
                <w:sz w:val="18"/>
                <w:szCs w:val="18"/>
              </w:rPr>
              <w:t>2</w:t>
            </w:r>
            <w:r w:rsidRPr="195FE5D0">
              <w:rPr>
                <w:rFonts w:ascii="Times New Roman" w:eastAsia="Times New Roman" w:hAnsi="Times New Roman" w:cs="Times New Roman"/>
                <w:sz w:val="18"/>
                <w:szCs w:val="18"/>
              </w:rPr>
              <w:t>3 to April 20</w:t>
            </w:r>
            <w:r w:rsidRPr="195FE5D0" w:rsidR="2936E66E">
              <w:rPr>
                <w:rFonts w:ascii="Times New Roman" w:eastAsia="Times New Roman" w:hAnsi="Times New Roman" w:cs="Times New Roman"/>
                <w:sz w:val="18"/>
                <w:szCs w:val="18"/>
              </w:rPr>
              <w:t>2</w:t>
            </w:r>
            <w:r w:rsidRPr="195FE5D0" w:rsidR="00434B90">
              <w:rPr>
                <w:rFonts w:ascii="Times New Roman" w:eastAsia="Times New Roman" w:hAnsi="Times New Roman" w:cs="Times New Roman"/>
                <w:sz w:val="18"/>
                <w:szCs w:val="18"/>
              </w:rPr>
              <w:t>7</w:t>
            </w:r>
            <w:r w:rsidRPr="195FE5D0">
              <w:rPr>
                <w:rFonts w:ascii="Times New Roman" w:eastAsia="Times New Roman" w:hAnsi="Times New Roman" w:cs="Times New Roman"/>
                <w:sz w:val="18"/>
                <w:szCs w:val="18"/>
              </w:rPr>
              <w:t xml:space="preserve"> (Approximate)</w:t>
            </w:r>
          </w:p>
        </w:tc>
      </w:tr>
      <w:tr w14:paraId="2D2D4602"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3A58ED" w:rsidP="001E6213" w14:paraId="1D9D535A" w14:textId="77777777">
            <w:pPr>
              <w:keepNext/>
              <w:autoSpaceDE w:val="0"/>
              <w:autoSpaceDN w:val="0"/>
              <w:adjustRightInd w:val="0"/>
              <w:ind w:left="180"/>
              <w:rPr>
                <w:rFonts w:ascii="Times New Roman" w:eastAsia="Times New Roman" w:hAnsi="Times New Roman" w:cs="Times New Roman"/>
                <w:sz w:val="18"/>
              </w:rPr>
            </w:pPr>
            <w:r w:rsidRPr="003A58ED">
              <w:rPr>
                <w:rFonts w:ascii="Times New Roman" w:hAnsi="Times New Roman" w:cs="Times New Roman"/>
                <w:sz w:val="18"/>
                <w:szCs w:val="16"/>
              </w:rPr>
              <w:t xml:space="preserve">Preparation of analytic data </w:t>
            </w:r>
            <w:r w:rsidRPr="003A58ED" w:rsidR="008B4CDA">
              <w:rPr>
                <w:rFonts w:ascii="Times New Roman" w:hAnsi="Times New Roman" w:cs="Times New Roman"/>
                <w:sz w:val="18"/>
                <w:szCs w:val="16"/>
              </w:rPr>
              <w:t>file</w:t>
            </w:r>
            <w:r w:rsidR="008B4CDA">
              <w:rPr>
                <w:rFonts w:ascii="Times New Roman" w:hAnsi="Times New Roman" w:cs="Times New Roman"/>
                <w:sz w:val="18"/>
                <w:szCs w:val="16"/>
              </w:rPr>
              <w:t>s</w:t>
            </w:r>
          </w:p>
        </w:tc>
        <w:tc>
          <w:tcPr>
            <w:tcW w:w="5522" w:type="dxa"/>
          </w:tcPr>
          <w:p w:rsidR="001E6213" w:rsidRPr="001E6213" w:rsidP="001E6213" w14:paraId="379368EE" w14:textId="77777777">
            <w:pPr>
              <w:keepNext/>
              <w:autoSpaceDE w:val="0"/>
              <w:autoSpaceDN w:val="0"/>
              <w:adjustRightInd w:val="0"/>
              <w:ind w:left="180"/>
              <w:rPr>
                <w:rFonts w:ascii="Times New Roman" w:eastAsia="Times New Roman" w:hAnsi="Times New Roman" w:cs="Times New Roman"/>
                <w:sz w:val="18"/>
                <w:szCs w:val="18"/>
              </w:rPr>
            </w:pPr>
            <w:r w:rsidRPr="001E6213">
              <w:rPr>
                <w:rFonts w:ascii="Times New Roman" w:hAnsi="Times New Roman" w:cs="Times New Roman"/>
                <w:sz w:val="18"/>
                <w:szCs w:val="18"/>
              </w:rPr>
              <w:t xml:space="preserve">Approximately </w:t>
            </w:r>
            <w:r w:rsidR="0057660A">
              <w:rPr>
                <w:rFonts w:ascii="Times New Roman" w:hAnsi="Times New Roman" w:cs="Times New Roman"/>
                <w:sz w:val="18"/>
                <w:szCs w:val="18"/>
              </w:rPr>
              <w:t>6</w:t>
            </w:r>
            <w:r w:rsidRPr="001E6213">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of </w:t>
            </w:r>
            <w:r w:rsidRPr="001E6213">
              <w:rPr>
                <w:rFonts w:ascii="Times New Roman" w:hAnsi="Times New Roman" w:cs="Times New Roman"/>
                <w:sz w:val="18"/>
                <w:szCs w:val="18"/>
              </w:rPr>
              <w:t>data collection</w:t>
            </w:r>
          </w:p>
        </w:tc>
      </w:tr>
      <w:tr w14:paraId="06189013"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Borders>
              <w:bottom w:val="nil"/>
            </w:tcBorders>
          </w:tcPr>
          <w:p w:rsidR="001E6213" w:rsidRPr="008265FC" w:rsidP="001E6213" w14:paraId="3CE38282" w14:textId="77777777">
            <w:pPr>
              <w:keepNext/>
              <w:autoSpaceDE w:val="0"/>
              <w:autoSpaceDN w:val="0"/>
              <w:adjustRightInd w:val="0"/>
              <w:ind w:left="180"/>
              <w:rPr>
                <w:rFonts w:ascii="Times New Roman" w:eastAsia="Times New Roman" w:hAnsi="Times New Roman" w:cs="Times New Roman"/>
                <w:sz w:val="18"/>
              </w:rPr>
            </w:pPr>
            <w:r>
              <w:rPr>
                <w:rFonts w:ascii="Times New Roman" w:eastAsia="Times New Roman" w:hAnsi="Times New Roman" w:cs="Times New Roman"/>
                <w:sz w:val="18"/>
              </w:rPr>
              <w:t>Data Analysis</w:t>
            </w:r>
          </w:p>
        </w:tc>
        <w:tc>
          <w:tcPr>
            <w:tcW w:w="5522" w:type="dxa"/>
          </w:tcPr>
          <w:p w:rsidR="001E6213" w:rsidRPr="001E6213" w:rsidP="001E6213" w14:paraId="7F128F83" w14:textId="77777777">
            <w:pPr>
              <w:keepNext/>
              <w:autoSpaceDE w:val="0"/>
              <w:autoSpaceDN w:val="0"/>
              <w:adjustRightInd w:val="0"/>
              <w:ind w:left="180"/>
              <w:rPr>
                <w:rFonts w:ascii="Times New Roman" w:eastAsia="Times New Roman" w:hAnsi="Times New Roman" w:cs="Times New Roman"/>
                <w:sz w:val="18"/>
                <w:szCs w:val="18"/>
              </w:rPr>
            </w:pPr>
            <w:r>
              <w:rPr>
                <w:rFonts w:ascii="Times New Roman" w:hAnsi="Times New Roman" w:cs="Times New Roman"/>
                <w:sz w:val="18"/>
                <w:szCs w:val="18"/>
              </w:rPr>
              <w:t xml:space="preserve">Approximately </w:t>
            </w:r>
            <w:r w:rsidR="0057660A">
              <w:rPr>
                <w:rFonts w:ascii="Times New Roman" w:hAnsi="Times New Roman" w:cs="Times New Roman"/>
                <w:sz w:val="18"/>
                <w:szCs w:val="18"/>
              </w:rPr>
              <w:t>12</w:t>
            </w:r>
            <w:r w:rsidR="004F4612">
              <w:rPr>
                <w:rFonts w:ascii="Times New Roman" w:hAnsi="Times New Roman" w:cs="Times New Roman"/>
                <w:sz w:val="18"/>
                <w:szCs w:val="18"/>
              </w:rPr>
              <w:t xml:space="preserve"> weeks after completion of </w:t>
            </w:r>
            <w:r w:rsidR="004D3DE2">
              <w:rPr>
                <w:rFonts w:ascii="Times New Roman" w:hAnsi="Times New Roman" w:cs="Times New Roman"/>
                <w:sz w:val="18"/>
                <w:szCs w:val="18"/>
              </w:rPr>
              <w:t xml:space="preserve">each wave </w:t>
            </w:r>
            <w:r w:rsidR="004F4612">
              <w:rPr>
                <w:rFonts w:ascii="Times New Roman" w:hAnsi="Times New Roman" w:cs="Times New Roman"/>
                <w:sz w:val="18"/>
                <w:szCs w:val="18"/>
              </w:rPr>
              <w:t>data collection</w:t>
            </w:r>
          </w:p>
        </w:tc>
      </w:tr>
      <w:tr w14:paraId="006FFEF2" w14:textId="77777777" w:rsidTr="195FE5D0">
        <w:tblPrEx>
          <w:tblW w:w="8733" w:type="dxa"/>
          <w:tblInd w:w="864" w:type="dxa"/>
          <w:tblLayout w:type="fixed"/>
          <w:tblCellMar>
            <w:top w:w="0" w:type="dxa"/>
            <w:left w:w="115" w:type="dxa"/>
            <w:right w:w="115" w:type="dxa"/>
          </w:tblCellMar>
          <w:tblLook w:val="01E0"/>
        </w:tblPrEx>
        <w:trPr>
          <w:cantSplit/>
        </w:trPr>
        <w:tc>
          <w:tcPr>
            <w:tcW w:w="3211" w:type="dxa"/>
            <w:tcBorders>
              <w:top w:val="nil"/>
              <w:bottom w:val="single" w:sz="12" w:space="0" w:color="auto"/>
            </w:tcBorders>
          </w:tcPr>
          <w:p w:rsidR="00BE1FCB" w:rsidRPr="008265FC" w:rsidP="00F3750D" w14:paraId="775BE990" w14:textId="77777777">
            <w:pPr>
              <w:keepNext/>
              <w:autoSpaceDE w:val="0"/>
              <w:autoSpaceDN w:val="0"/>
              <w:adjustRightInd w:val="0"/>
              <w:ind w:left="180"/>
              <w:rPr>
                <w:rFonts w:ascii="Times New Roman" w:eastAsia="Times New Roman" w:hAnsi="Times New Roman" w:cs="Times New Roman"/>
                <w:sz w:val="18"/>
              </w:rPr>
            </w:pPr>
            <w:r w:rsidRPr="008265FC">
              <w:rPr>
                <w:rFonts w:ascii="Times New Roman" w:eastAsia="Times New Roman" w:hAnsi="Times New Roman" w:cs="Times New Roman"/>
                <w:sz w:val="18"/>
              </w:rPr>
              <w:t xml:space="preserve">Report Writing </w:t>
            </w:r>
          </w:p>
        </w:tc>
        <w:tc>
          <w:tcPr>
            <w:tcW w:w="5522" w:type="dxa"/>
            <w:tcBorders>
              <w:top w:val="nil"/>
              <w:bottom w:val="single" w:sz="12" w:space="0" w:color="auto"/>
            </w:tcBorders>
          </w:tcPr>
          <w:p w:rsidR="00BE1FCB" w:rsidRPr="008265FC" w:rsidP="00F3750D" w14:paraId="1C1C3027" w14:textId="77777777">
            <w:pPr>
              <w:keepNext/>
              <w:autoSpaceDE w:val="0"/>
              <w:autoSpaceDN w:val="0"/>
              <w:adjustRightInd w:val="0"/>
              <w:ind w:left="180"/>
              <w:rPr>
                <w:rFonts w:ascii="Times New Roman" w:eastAsia="Times New Roman" w:hAnsi="Times New Roman" w:cs="Times New Roman"/>
                <w:sz w:val="18"/>
              </w:rPr>
            </w:pPr>
            <w:r w:rsidRPr="00850225">
              <w:rPr>
                <w:rFonts w:ascii="Times New Roman" w:eastAsia="Times New Roman" w:hAnsi="Times New Roman" w:cs="Times New Roman"/>
                <w:sz w:val="18"/>
              </w:rPr>
              <w:t xml:space="preserve">Approximately </w:t>
            </w:r>
            <w:r w:rsidR="004F4612">
              <w:rPr>
                <w:rFonts w:ascii="Times New Roman" w:eastAsia="Times New Roman" w:hAnsi="Times New Roman" w:cs="Times New Roman"/>
                <w:sz w:val="18"/>
              </w:rPr>
              <w:t>1</w:t>
            </w:r>
            <w:r w:rsidR="0057660A">
              <w:rPr>
                <w:rFonts w:ascii="Times New Roman" w:eastAsia="Times New Roman" w:hAnsi="Times New Roman" w:cs="Times New Roman"/>
                <w:sz w:val="18"/>
              </w:rPr>
              <w:t>6</w:t>
            </w:r>
            <w:r w:rsidRPr="00850225">
              <w:rPr>
                <w:rFonts w:ascii="Times New Roman" w:eastAsia="Times New Roman" w:hAnsi="Times New Roman" w:cs="Times New Roman"/>
                <w:sz w:val="18"/>
              </w:rPr>
              <w:t xml:space="preserve"> weeks </w:t>
            </w:r>
            <w:r w:rsidRPr="000A3256" w:rsidR="000A3256">
              <w:rPr>
                <w:rFonts w:ascii="Times New Roman" w:eastAsia="Times New Roman" w:hAnsi="Times New Roman" w:cs="Times New Roman"/>
                <w:sz w:val="18"/>
              </w:rPr>
              <w:t xml:space="preserve">after completion of </w:t>
            </w:r>
            <w:r w:rsidR="004D3DE2">
              <w:rPr>
                <w:rFonts w:ascii="Times New Roman" w:eastAsia="Times New Roman" w:hAnsi="Times New Roman" w:cs="Times New Roman"/>
                <w:sz w:val="18"/>
              </w:rPr>
              <w:t>each w</w:t>
            </w:r>
            <w:r w:rsidR="002B2E85">
              <w:rPr>
                <w:rFonts w:ascii="Times New Roman" w:eastAsia="Times New Roman" w:hAnsi="Times New Roman" w:cs="Times New Roman"/>
                <w:sz w:val="18"/>
              </w:rPr>
              <w:t>a</w:t>
            </w:r>
            <w:r w:rsidR="004D3DE2">
              <w:rPr>
                <w:rFonts w:ascii="Times New Roman" w:eastAsia="Times New Roman" w:hAnsi="Times New Roman" w:cs="Times New Roman"/>
                <w:sz w:val="18"/>
              </w:rPr>
              <w:t xml:space="preserve">ve of </w:t>
            </w:r>
            <w:r w:rsidRPr="000A3256" w:rsidR="000A3256">
              <w:rPr>
                <w:rFonts w:ascii="Times New Roman" w:eastAsia="Times New Roman" w:hAnsi="Times New Roman" w:cs="Times New Roman"/>
                <w:sz w:val="18"/>
              </w:rPr>
              <w:t>data collection</w:t>
            </w:r>
          </w:p>
        </w:tc>
      </w:tr>
    </w:tbl>
    <w:p w:rsidR="00A2736D" w:rsidP="00BE1FCB" w14:paraId="639434EC" w14:textId="77777777">
      <w:pPr>
        <w:autoSpaceDE w:val="0"/>
        <w:autoSpaceDN w:val="0"/>
        <w:adjustRightInd w:val="0"/>
        <w:ind w:left="180"/>
        <w:rPr>
          <w:rFonts w:ascii="Courier 10cpi" w:eastAsia="Times New Roman" w:hAnsi="Courier 10cpi" w:cs="Times New Roman"/>
          <w:sz w:val="20"/>
          <w:szCs w:val="20"/>
        </w:rPr>
      </w:pPr>
    </w:p>
    <w:p w:rsidR="00CE3249" w:rsidP="00BE1FCB" w14:paraId="47BF259D" w14:textId="77777777">
      <w:pPr>
        <w:autoSpaceDE w:val="0"/>
        <w:autoSpaceDN w:val="0"/>
        <w:adjustRightInd w:val="0"/>
        <w:ind w:left="180"/>
        <w:rPr>
          <w:rFonts w:ascii="Courier 10cpi" w:eastAsia="Times New Roman" w:hAnsi="Courier 10cpi" w:cs="Times New Roman"/>
          <w:sz w:val="20"/>
          <w:szCs w:val="20"/>
        </w:rPr>
      </w:pPr>
    </w:p>
    <w:p w:rsidR="00BE1FCB" w:rsidRPr="008265FC" w:rsidP="00BE1FCB" w14:paraId="0B12E236"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u w:val="single"/>
        </w:rPr>
      </w:pPr>
      <w:bookmarkStart w:id="34" w:name="_Toc239649238"/>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7</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Reason(s) Display of OMB Expiration Date is Inappropriate</w:t>
      </w:r>
      <w:bookmarkEnd w:id="34"/>
    </w:p>
    <w:p w:rsidR="00BE1FCB" w:rsidRPr="008265FC" w:rsidP="00BE1FCB" w14:paraId="6E7CF3D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4AA3E1EA"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977DF3">
        <w:rPr>
          <w:rFonts w:ascii="Times New Roman" w:eastAsia="Times New Roman" w:hAnsi="Times New Roman" w:cs="Times New Roman"/>
          <w:szCs w:val="24"/>
        </w:rPr>
        <w:t xml:space="preserve">All data collection instruments will display the </w:t>
      </w:r>
      <w:r w:rsidR="000F41B7">
        <w:rPr>
          <w:rFonts w:ascii="Times New Roman" w:eastAsia="Times New Roman" w:hAnsi="Times New Roman" w:cs="Times New Roman"/>
          <w:szCs w:val="24"/>
        </w:rPr>
        <w:t xml:space="preserve">OMB approved </w:t>
      </w:r>
      <w:r w:rsidRPr="00977DF3">
        <w:rPr>
          <w:rFonts w:ascii="Times New Roman" w:eastAsia="Times New Roman" w:hAnsi="Times New Roman" w:cs="Times New Roman"/>
          <w:szCs w:val="24"/>
        </w:rPr>
        <w:t>expiration date</w:t>
      </w:r>
      <w:r w:rsidR="000F41B7">
        <w:rPr>
          <w:rFonts w:ascii="Times New Roman" w:eastAsia="Times New Roman" w:hAnsi="Times New Roman" w:cs="Times New Roman"/>
          <w:szCs w:val="24"/>
        </w:rPr>
        <w:t>.</w:t>
      </w:r>
    </w:p>
    <w:p w:rsidR="00BE1FCB" w:rsidRPr="00BB4995" w:rsidP="00BB4995" w14:paraId="0C1EA142" w14:textId="77777777">
      <w:bookmarkStart w:id="35" w:name="_Toc239649239"/>
    </w:p>
    <w:p w:rsidR="00BE1FCB" w:rsidRPr="008265FC" w:rsidP="00BE1FCB" w14:paraId="0E1D0CE3"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outlineLvl w:val="2"/>
        <w:rPr>
          <w:rFonts w:ascii="Times New Roman" w:eastAsia="Times New Roman" w:hAnsi="Times New Roman" w:cs="Times New Roman"/>
          <w:b/>
          <w:bCs/>
          <w:szCs w:val="24"/>
          <w:u w:val="single"/>
        </w:rPr>
      </w:pPr>
      <w:r w:rsidRPr="008265FC">
        <w:rPr>
          <w:rFonts w:ascii="Times New Roman" w:eastAsia="Times New Roman" w:hAnsi="Times New Roman" w:cs="Times New Roman"/>
          <w:b/>
          <w:bCs/>
          <w:szCs w:val="24"/>
        </w:rPr>
        <w:t>1</w:t>
      </w:r>
      <w:r w:rsidR="004D7181">
        <w:rPr>
          <w:rFonts w:ascii="Times New Roman" w:eastAsia="Times New Roman" w:hAnsi="Times New Roman" w:cs="Times New Roman"/>
          <w:b/>
          <w:bCs/>
          <w:szCs w:val="24"/>
        </w:rPr>
        <w:t>8</w:t>
      </w:r>
      <w:r w:rsidRPr="008265FC">
        <w:rPr>
          <w:rFonts w:ascii="Times New Roman" w:eastAsia="Times New Roman" w:hAnsi="Times New Roman" w:cs="Times New Roman"/>
          <w:b/>
          <w:bCs/>
          <w:szCs w:val="24"/>
        </w:rPr>
        <w:t xml:space="preserve">.  </w:t>
      </w:r>
      <w:r w:rsidRPr="008265FC">
        <w:rPr>
          <w:rFonts w:ascii="Times New Roman" w:eastAsia="Times New Roman" w:hAnsi="Times New Roman" w:cs="Times New Roman"/>
          <w:b/>
          <w:bCs/>
          <w:szCs w:val="24"/>
          <w:u w:val="single"/>
        </w:rPr>
        <w:t>Exceptions to Certification for Paperwork Reduction Act Submissions</w:t>
      </w:r>
      <w:bookmarkEnd w:id="35"/>
    </w:p>
    <w:p w:rsidR="00BE1FCB" w:rsidRPr="008265FC" w:rsidP="00BE1FCB" w14:paraId="0B8424E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szCs w:val="24"/>
        </w:rPr>
      </w:pPr>
    </w:p>
    <w:p w:rsidR="00BE1FCB" w:rsidRPr="008265FC" w:rsidP="00BE1FCB" w14:paraId="678778FE" w14:textId="77777777">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80"/>
        <w:rPr>
          <w:rFonts w:ascii="Times New Roman" w:eastAsia="Times New Roman" w:hAnsi="Times New Roman" w:cs="Times New Roman"/>
          <w:b/>
          <w:bCs/>
          <w:szCs w:val="24"/>
        </w:rPr>
      </w:pPr>
      <w:r w:rsidRPr="008265FC">
        <w:rPr>
          <w:rFonts w:ascii="Times New Roman" w:eastAsia="Times New Roman" w:hAnsi="Times New Roman" w:cs="Times New Roman"/>
          <w:szCs w:val="24"/>
        </w:rPr>
        <w:t>These information collection activities involve no exception to the Certification for Paperwork Reduction Act Submissions.</w:t>
      </w:r>
      <w:r w:rsidRPr="008265FC">
        <w:rPr>
          <w:rFonts w:ascii="Times New Roman" w:eastAsia="Times New Roman" w:hAnsi="Times New Roman" w:cs="Times New Roman"/>
          <w:b/>
          <w:bCs/>
          <w:szCs w:val="24"/>
        </w:rPr>
        <w:t xml:space="preserve"> </w:t>
      </w:r>
    </w:p>
    <w:p w:rsidR="00CF7DDC" w:rsidRPr="00CF03D5" w:rsidP="003F31C2" w14:paraId="6457B521" w14:textId="1A00A410">
      <w:pPr>
        <w:numPr>
          <w:ilvl w:val="12"/>
          <w:numId w:val="0"/>
        </w:numPr>
        <w:tabs>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eastAsia="Times New Roman" w:hAnsi="Times New Roman" w:cs="Times New Roman"/>
          <w:b/>
          <w:color w:val="000000"/>
          <w:szCs w:val="24"/>
          <w:u w:color="000000"/>
          <w:bdr w:val="nil"/>
        </w:rPr>
      </w:pPr>
      <w:r>
        <w:rPr>
          <w:rFonts w:ascii="Times New Roman" w:eastAsia="Times New Roman" w:hAnsi="Times New Roman" w:cs="Times New Roman"/>
          <w:b/>
          <w:bCs/>
          <w:szCs w:val="24"/>
        </w:rPr>
        <w:br w:type="page"/>
      </w:r>
      <w:r w:rsidRPr="00CF03D5">
        <w:rPr>
          <w:rFonts w:ascii="Times New Roman" w:eastAsia="Times New Roman" w:hAnsi="Times New Roman" w:cs="Times New Roman"/>
          <w:b/>
          <w:color w:val="000000"/>
          <w:szCs w:val="24"/>
          <w:u w:color="000000"/>
        </w:rPr>
        <w:t>References</w:t>
      </w:r>
    </w:p>
    <w:p w:rsidR="001A0AD7" w:rsidRPr="00CF03D5" w:rsidP="00CF03D5" w14:paraId="13CCAED9" w14:textId="77777777">
      <w:pPr>
        <w:contextualSpacing/>
        <w:rPr>
          <w:rFonts w:ascii="Times New Roman" w:eastAsia="Times New Roman" w:hAnsi="Times New Roman" w:cs="Times New Roman"/>
          <w:szCs w:val="24"/>
        </w:rPr>
      </w:pPr>
    </w:p>
    <w:p w:rsidR="00E961B8" w:rsidP="00E961B8" w14:paraId="2E5C77FA" w14:textId="77777777">
      <w:pPr>
        <w:widowControl w:val="0"/>
        <w:spacing w:after="240"/>
        <w:ind w:left="720" w:hanging="720"/>
        <w:contextualSpacing/>
        <w:rPr>
          <w:rFonts w:ascii="Times New Roman" w:eastAsia="Times New Roman" w:hAnsi="Times New Roman" w:cs="Times New Roman"/>
        </w:rPr>
      </w:pPr>
      <w:r>
        <w:rPr>
          <w:rFonts w:ascii="Times New Roman" w:eastAsia="Times New Roman" w:hAnsi="Times New Roman" w:cs="Times New Roman"/>
        </w:rPr>
        <w:t xml:space="preserve">Becker, R., Moser, S., &amp; </w:t>
      </w:r>
      <w:r>
        <w:rPr>
          <w:rFonts w:ascii="Times New Roman" w:eastAsia="Times New Roman" w:hAnsi="Times New Roman" w:cs="Times New Roman"/>
        </w:rPr>
        <w:t>Glauser</w:t>
      </w:r>
      <w:r>
        <w:rPr>
          <w:rFonts w:ascii="Times New Roman" w:eastAsia="Times New Roman" w:hAnsi="Times New Roman" w:cs="Times New Roman"/>
        </w:rPr>
        <w:t xml:space="preserve">, D. (2019). Cash vs. vouchers vs. gifts in web surveys of a mature panel study – main effects in </w:t>
      </w:r>
      <w:r>
        <w:rPr>
          <w:rFonts w:ascii="Times New Roman" w:eastAsia="Times New Roman" w:hAnsi="Times New Roman" w:cs="Times New Roman"/>
        </w:rPr>
        <w:t>a long-term incentives</w:t>
      </w:r>
      <w:r>
        <w:rPr>
          <w:rFonts w:ascii="Times New Roman" w:eastAsia="Times New Roman" w:hAnsi="Times New Roman" w:cs="Times New Roman"/>
        </w:rPr>
        <w:t xml:space="preserve"> experiment across three panel waves. Social Science Research. 81. 221-234.</w:t>
      </w:r>
    </w:p>
    <w:p w:rsidR="00E961B8" w:rsidP="1BF77947" w14:paraId="2C736DB1" w14:textId="77777777">
      <w:pPr>
        <w:widowControl w:val="0"/>
        <w:spacing w:after="240"/>
        <w:ind w:left="720" w:hanging="720"/>
        <w:contextualSpacing/>
        <w:rPr>
          <w:rFonts w:ascii="Times New Roman" w:eastAsia="Times New Roman" w:hAnsi="Times New Roman" w:cs="Times New Roman"/>
        </w:rPr>
      </w:pPr>
    </w:p>
    <w:p w:rsidR="00F34121" w:rsidRPr="00CF03D5" w:rsidP="1BF77947" w14:paraId="6343D7CB" w14:textId="77777777">
      <w:pPr>
        <w:widowControl w:val="0"/>
        <w:spacing w:after="240"/>
        <w:ind w:left="720" w:hanging="720"/>
        <w:contextualSpacing/>
        <w:rPr>
          <w:rFonts w:ascii="Times New Roman" w:hAnsi="Times New Roman" w:cs="Times New Roman"/>
        </w:rPr>
      </w:pPr>
      <w:r w:rsidRPr="1BF77947">
        <w:rPr>
          <w:rFonts w:ascii="Times New Roman" w:eastAsia="Times New Roman" w:hAnsi="Times New Roman" w:cs="Times New Roman"/>
        </w:rPr>
        <w:t>Bonevski</w:t>
      </w:r>
      <w:r w:rsidRPr="1BF77947">
        <w:rPr>
          <w:rFonts w:ascii="Times New Roman" w:eastAsia="Times New Roman" w:hAnsi="Times New Roman" w:cs="Times New Roman"/>
        </w:rPr>
        <w:t xml:space="preserve">, B., Randell, M., Paul, C. et al. Reaching the hard-to-reach: a systematic review of strategies for improving health and medical research with socially disadvantaged groups. BMC Med Res </w:t>
      </w:r>
      <w:r w:rsidRPr="1BF77947">
        <w:rPr>
          <w:rFonts w:ascii="Times New Roman" w:eastAsia="Times New Roman" w:hAnsi="Times New Roman" w:cs="Times New Roman"/>
        </w:rPr>
        <w:t>Methodol</w:t>
      </w:r>
      <w:r w:rsidRPr="1BF77947">
        <w:rPr>
          <w:rFonts w:ascii="Times New Roman" w:eastAsia="Times New Roman" w:hAnsi="Times New Roman" w:cs="Times New Roman"/>
        </w:rPr>
        <w:t xml:space="preserve"> 14, 42 (2014</w:t>
      </w:r>
      <w:r w:rsidRPr="1BF77947">
        <w:rPr>
          <w:rFonts w:ascii="Times New Roman" w:eastAsia="Times New Roman" w:hAnsi="Times New Roman" w:cs="Times New Roman"/>
          <w:color w:val="000000" w:themeColor="text1"/>
        </w:rPr>
        <w:t xml:space="preserve">). </w:t>
      </w:r>
      <w:hyperlink r:id="rId12" w:history="1">
        <w:r w:rsidRPr="1BF77947">
          <w:rPr>
            <w:rStyle w:val="Hyperlink"/>
            <w:rFonts w:ascii="Times New Roman" w:eastAsia="Franklin Gothic Book" w:hAnsi="Times New Roman" w:cs="Times New Roman"/>
            <w:color w:val="000000" w:themeColor="text1"/>
          </w:rPr>
          <w:t>https://doi.org/10.1186/1471-2288-14-42</w:t>
        </w:r>
      </w:hyperlink>
    </w:p>
    <w:p w:rsidR="00CF03D5" w:rsidRPr="00CF03D5" w:rsidP="1BF77947" w14:paraId="3CBA854D" w14:textId="77777777">
      <w:pPr>
        <w:ind w:left="720" w:hanging="720"/>
        <w:contextualSpacing/>
        <w:rPr>
          <w:rFonts w:ascii="Times New Roman" w:hAnsi="Times New Roman" w:cs="Times New Roman"/>
        </w:rPr>
      </w:pPr>
    </w:p>
    <w:p w:rsidR="00CF03D5" w:rsidRPr="00CF03D5" w:rsidP="1BF77947" w14:paraId="5A98ACCB"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color w:val="000000" w:themeColor="text1"/>
        </w:rPr>
        <w:t xml:space="preserve">Dai, H., &amp; Leventhal, A. (2019). Prevalence of e-cigarette use among adults in the United States, 2014-2018. </w:t>
      </w:r>
      <w:r w:rsidRPr="1BF77947">
        <w:rPr>
          <w:rFonts w:ascii="Times New Roman" w:eastAsia="Times New Roman" w:hAnsi="Times New Roman" w:cs="Times New Roman"/>
          <w:i/>
          <w:iCs/>
          <w:color w:val="000000" w:themeColor="text1"/>
        </w:rPr>
        <w:t xml:space="preserve">JAMA. </w:t>
      </w:r>
      <w:r w:rsidRPr="1BF77947">
        <w:rPr>
          <w:rFonts w:ascii="Times New Roman" w:eastAsia="Times New Roman" w:hAnsi="Times New Roman" w:cs="Times New Roman"/>
          <w:color w:val="000000" w:themeColor="text1"/>
        </w:rPr>
        <w:t>322(18), 1824-1827.</w:t>
      </w:r>
    </w:p>
    <w:p w:rsidR="00CF03D5" w:rsidRPr="00CF03D5" w:rsidP="1BF77947" w14:paraId="2E29CF13" w14:textId="77777777">
      <w:pPr>
        <w:contextualSpacing/>
        <w:rPr>
          <w:rFonts w:ascii="Times New Roman" w:eastAsia="Times New Roman" w:hAnsi="Times New Roman" w:cs="Times New Roman"/>
          <w:color w:val="222222"/>
        </w:rPr>
      </w:pPr>
    </w:p>
    <w:p w:rsidR="00CF03D5" w:rsidRPr="00CF03D5" w:rsidP="1BF77947" w14:paraId="14F9D1E3" w14:textId="77777777">
      <w:pPr>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Delahanty, J., Ganz, O., Hoffman, L., Guillory, J., Crankshaw, E., &amp; Farrelly, M. (2019). </w:t>
      </w:r>
    </w:p>
    <w:p w:rsidR="00CF03D5" w:rsidRPr="00CF03D5" w:rsidP="1BF77947" w14:paraId="4EF5BDF7" w14:textId="77777777">
      <w:pPr>
        <w:ind w:left="720"/>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Tobacco </w:t>
      </w:r>
      <w:r w:rsidRPr="1BF77947">
        <w:rPr>
          <w:rFonts w:ascii="Times New Roman" w:eastAsia="Times New Roman" w:hAnsi="Times New Roman" w:cs="Times New Roman"/>
          <w:color w:val="222222"/>
        </w:rPr>
        <w:t>use</w:t>
      </w:r>
      <w:r w:rsidRPr="1BF77947">
        <w:rPr>
          <w:rFonts w:ascii="Times New Roman" w:eastAsia="Times New Roman" w:hAnsi="Times New Roman" w:cs="Times New Roman"/>
          <w:color w:val="222222"/>
        </w:rPr>
        <w:t xml:space="preserve"> among lesbian, gay, bisexual and transgender young adults varies by sexual and gender identity. </w:t>
      </w:r>
      <w:r w:rsidRPr="1BF77947">
        <w:rPr>
          <w:rFonts w:ascii="Times New Roman" w:eastAsia="Times New Roman" w:hAnsi="Times New Roman" w:cs="Times New Roman"/>
          <w:i/>
          <w:iCs/>
          <w:color w:val="222222"/>
        </w:rPr>
        <w:t>Drug and alcohol dependence</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201</w:t>
      </w:r>
      <w:r w:rsidRPr="1BF77947">
        <w:rPr>
          <w:rFonts w:ascii="Times New Roman" w:eastAsia="Times New Roman" w:hAnsi="Times New Roman" w:cs="Times New Roman"/>
          <w:color w:val="222222"/>
        </w:rPr>
        <w:t xml:space="preserve">, 161-170. </w:t>
      </w:r>
    </w:p>
    <w:p w:rsidR="00CF03D5" w:rsidRPr="00CF03D5" w:rsidP="1BF77947" w14:paraId="44859807" w14:textId="77777777">
      <w:pPr>
        <w:tabs>
          <w:tab w:val="left" w:pos="5670"/>
        </w:tabs>
        <w:contextualSpacing/>
        <w:rPr>
          <w:rFonts w:eastAsia="Calibri" w:cs="Arial"/>
          <w:szCs w:val="24"/>
        </w:rPr>
      </w:pPr>
    </w:p>
    <w:p w:rsidR="00B07999" w:rsidP="00B07999" w14:paraId="54262294" w14:textId="77777777">
      <w:pPr>
        <w:contextualSpacing/>
        <w:rPr>
          <w:rFonts w:ascii="Times New Roman" w:eastAsia="Times New Roman" w:hAnsi="Times New Roman" w:cs="Times New Roman"/>
        </w:rPr>
      </w:pPr>
      <w:r>
        <w:rPr>
          <w:rFonts w:ascii="Times New Roman" w:eastAsia="Times New Roman" w:hAnsi="Times New Roman" w:cs="Times New Roman"/>
        </w:rPr>
        <w:t xml:space="preserve">Festinger, D.S., Marlowe, D.B., </w:t>
      </w:r>
      <w:r>
        <w:rPr>
          <w:rFonts w:ascii="Times New Roman" w:eastAsia="Times New Roman" w:hAnsi="Times New Roman" w:cs="Times New Roman"/>
        </w:rPr>
        <w:t>Dugosh</w:t>
      </w:r>
      <w:r>
        <w:rPr>
          <w:rFonts w:ascii="Times New Roman" w:eastAsia="Times New Roman" w:hAnsi="Times New Roman" w:cs="Times New Roman"/>
        </w:rPr>
        <w:t xml:space="preserve">, K.L., et al. (2005). Do research payments </w:t>
      </w:r>
      <w:r>
        <w:rPr>
          <w:rFonts w:ascii="Times New Roman" w:eastAsia="Times New Roman" w:hAnsi="Times New Roman" w:cs="Times New Roman"/>
        </w:rPr>
        <w:t>precipitate</w:t>
      </w:r>
    </w:p>
    <w:p w:rsidR="00B07999" w:rsidP="00B07999" w14:paraId="56096008" w14:textId="77777777">
      <w:pPr>
        <w:ind w:firstLine="720"/>
        <w:contextualSpacing/>
        <w:rPr>
          <w:rFonts w:ascii="Times New Roman" w:eastAsia="Times New Roman" w:hAnsi="Times New Roman" w:cs="Times New Roman"/>
        </w:rPr>
      </w:pPr>
      <w:r>
        <w:rPr>
          <w:rFonts w:ascii="Times New Roman" w:eastAsia="Times New Roman" w:hAnsi="Times New Roman" w:cs="Times New Roman"/>
        </w:rPr>
        <w:t>drug use or coerce participation? Drug and Alcohol Dependence. 78:275-281.</w:t>
      </w:r>
    </w:p>
    <w:p w:rsidR="00B07999" w:rsidP="00B07999" w14:paraId="40B5EBB2" w14:textId="77777777">
      <w:pPr>
        <w:contextualSpacing/>
        <w:rPr>
          <w:rFonts w:ascii="Times New Roman" w:eastAsia="Times New Roman" w:hAnsi="Times New Roman" w:cs="Times New Roman"/>
        </w:rPr>
      </w:pPr>
    </w:p>
    <w:p w:rsidR="00B07999" w:rsidP="00B07999" w14:paraId="1E1FEEDF" w14:textId="77777777">
      <w:pPr>
        <w:contextualSpacing/>
        <w:rPr>
          <w:rFonts w:ascii="Times New Roman" w:eastAsia="Times New Roman" w:hAnsi="Times New Roman" w:cs="Times New Roman"/>
        </w:rPr>
      </w:pPr>
      <w:r>
        <w:rPr>
          <w:rFonts w:ascii="Times New Roman" w:eastAsia="Times New Roman" w:hAnsi="Times New Roman" w:cs="Times New Roman"/>
        </w:rPr>
        <w:t>Festinger, D.S., Marlow, D.B., Croft, J.R., et al. (2008). Higher magnitude cash payments</w:t>
      </w:r>
      <w:r>
        <w:rPr>
          <w:rFonts w:ascii="Times New Roman" w:eastAsia="Times New Roman" w:hAnsi="Times New Roman" w:cs="Times New Roman"/>
        </w:rPr>
        <w:tab/>
        <w:t>improve research follow-up rates without increasing drug use or perceived coercion.</w:t>
      </w:r>
      <w:r>
        <w:rPr>
          <w:rFonts w:ascii="Times New Roman" w:eastAsia="Times New Roman" w:hAnsi="Times New Roman" w:cs="Times New Roman"/>
        </w:rPr>
        <w:tab/>
        <w:t>Drug and Alcohol Dependence. 86:128-135.</w:t>
      </w:r>
    </w:p>
    <w:p w:rsidR="00B07999" w:rsidP="1BF77947" w14:paraId="4A1BA75E" w14:textId="77777777">
      <w:pPr>
        <w:contextualSpacing/>
        <w:rPr>
          <w:rFonts w:ascii="Times New Roman" w:eastAsia="Times New Roman" w:hAnsi="Times New Roman" w:cs="Times New Roman"/>
        </w:rPr>
      </w:pPr>
    </w:p>
    <w:p w:rsidR="00CF03D5" w:rsidRPr="00CF03D5" w:rsidP="1BF77947" w14:paraId="21F0B07E" w14:textId="77777777">
      <w:pPr>
        <w:contextualSpacing/>
        <w:rPr>
          <w:rFonts w:ascii="Times New Roman" w:eastAsia="Times New Roman" w:hAnsi="Times New Roman" w:cs="Times New Roman"/>
        </w:rPr>
      </w:pPr>
      <w:r w:rsidRPr="1BF77947">
        <w:rPr>
          <w:rFonts w:ascii="Times New Roman" w:eastAsia="Times New Roman" w:hAnsi="Times New Roman" w:cs="Times New Roman"/>
        </w:rPr>
        <w:t xml:space="preserve">Gelinas L, Largent EA, Cohen IG, </w:t>
      </w:r>
      <w:r w:rsidRPr="1BF77947">
        <w:rPr>
          <w:rFonts w:ascii="Times New Roman" w:eastAsia="Times New Roman" w:hAnsi="Times New Roman" w:cs="Times New Roman"/>
        </w:rPr>
        <w:t>Kornetsky</w:t>
      </w:r>
      <w:r w:rsidRPr="1BF77947">
        <w:rPr>
          <w:rFonts w:ascii="Times New Roman" w:eastAsia="Times New Roman" w:hAnsi="Times New Roman" w:cs="Times New Roman"/>
        </w:rPr>
        <w:t xml:space="preserve"> S, </w:t>
      </w:r>
      <w:r w:rsidRPr="1BF77947">
        <w:rPr>
          <w:rFonts w:ascii="Times New Roman" w:eastAsia="Times New Roman" w:hAnsi="Times New Roman" w:cs="Times New Roman"/>
        </w:rPr>
        <w:t>Bierer</w:t>
      </w:r>
      <w:r w:rsidRPr="1BF77947">
        <w:rPr>
          <w:rFonts w:ascii="Times New Roman" w:eastAsia="Times New Roman" w:hAnsi="Times New Roman" w:cs="Times New Roman"/>
        </w:rPr>
        <w:t xml:space="preserve"> BE, Fernandez Lynch H. A Framework </w:t>
      </w:r>
    </w:p>
    <w:p w:rsidR="00CF03D5" w:rsidRPr="00CF03D5" w:rsidP="1BF77947" w14:paraId="29AFA878" w14:textId="77777777">
      <w:pPr>
        <w:tabs>
          <w:tab w:val="left" w:pos="720"/>
        </w:tabs>
        <w:contextualSpacing/>
        <w:rPr>
          <w:rFonts w:ascii="Times New Roman" w:eastAsia="Times New Roman" w:hAnsi="Times New Roman" w:cs="Times New Roman"/>
        </w:rPr>
      </w:pPr>
      <w:r w:rsidRPr="00CF03D5">
        <w:rPr>
          <w:rFonts w:ascii="Times New Roman" w:eastAsia="Times New Roman" w:hAnsi="Times New Roman" w:cs="Times New Roman"/>
          <w:szCs w:val="24"/>
        </w:rPr>
        <w:tab/>
      </w:r>
      <w:r w:rsidRPr="1BF77947" w:rsidR="00F34121">
        <w:rPr>
          <w:rFonts w:ascii="Times New Roman" w:eastAsia="Times New Roman" w:hAnsi="Times New Roman" w:cs="Times New Roman"/>
        </w:rPr>
        <w:t xml:space="preserve">for Ethical Payment to Research Participants. N Engl J Med. 2018;378(8):766-771. </w:t>
      </w:r>
    </w:p>
    <w:p w:rsidR="00F34121" w:rsidRPr="00CF03D5" w:rsidP="1BF77947" w14:paraId="52DEBD23" w14:textId="77777777">
      <w:pPr>
        <w:tabs>
          <w:tab w:val="left" w:pos="720"/>
        </w:tabs>
        <w:contextualSpacing/>
        <w:rPr>
          <w:rFonts w:ascii="Times New Roman" w:eastAsia="Times New Roman" w:hAnsi="Times New Roman" w:cs="Times New Roman"/>
        </w:rPr>
      </w:pPr>
      <w:r w:rsidRPr="00CF03D5">
        <w:rPr>
          <w:rFonts w:ascii="Times New Roman" w:eastAsia="Times New Roman" w:hAnsi="Times New Roman" w:cs="Times New Roman"/>
          <w:szCs w:val="24"/>
        </w:rPr>
        <w:tab/>
      </w:r>
      <w:r w:rsidRPr="1BF77947">
        <w:rPr>
          <w:rFonts w:ascii="Times New Roman" w:eastAsia="Times New Roman" w:hAnsi="Times New Roman" w:cs="Times New Roman"/>
        </w:rPr>
        <w:t xml:space="preserve">doi:10.1056/NEJMsb1710591 </w:t>
      </w:r>
    </w:p>
    <w:p w:rsidR="00F34121" w:rsidRPr="00CF03D5" w:rsidP="1BF77947" w14:paraId="460AD4BC" w14:textId="77777777">
      <w:pPr>
        <w:tabs>
          <w:tab w:val="left" w:pos="5670"/>
        </w:tabs>
        <w:contextualSpacing/>
        <w:rPr>
          <w:rFonts w:ascii="Times New Roman" w:eastAsia="Times New Roman" w:hAnsi="Times New Roman" w:cs="Times New Roman"/>
        </w:rPr>
      </w:pPr>
    </w:p>
    <w:p w:rsidR="00CF03D5" w:rsidRPr="00CF03D5" w:rsidP="1BF77947" w14:paraId="28901527" w14:textId="77777777">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Göritz</w:t>
      </w:r>
      <w:r w:rsidRPr="1BF77947">
        <w:rPr>
          <w:rFonts w:ascii="Times New Roman" w:eastAsia="Times New Roman" w:hAnsi="Times New Roman" w:cs="Times New Roman"/>
        </w:rPr>
        <w:t xml:space="preserve"> AS. (2006). Incentives in web studies: methodological issues and a review. Int J Internet Science. 1(1), 58-70.</w:t>
      </w:r>
    </w:p>
    <w:p w:rsidR="00CF03D5" w:rsidRPr="00CF03D5" w:rsidP="1BF77947" w14:paraId="3A883F60" w14:textId="77777777">
      <w:pPr>
        <w:ind w:left="720" w:hanging="720"/>
        <w:contextualSpacing/>
        <w:rPr>
          <w:rFonts w:ascii="Times New Roman" w:hAnsi="Times New Roman" w:cs="Times New Roman"/>
        </w:rPr>
      </w:pPr>
    </w:p>
    <w:p w:rsidR="00F34121" w:rsidRPr="00CF03D5" w:rsidP="1BF77947" w14:paraId="17F42749" w14:textId="77777777">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 xml:space="preserve">Halpern, SD., </w:t>
      </w:r>
      <w:r w:rsidRPr="1BF77947">
        <w:rPr>
          <w:rFonts w:ascii="Times New Roman" w:eastAsia="Times New Roman" w:hAnsi="Times New Roman" w:cs="Times New Roman"/>
        </w:rPr>
        <w:t>Karlawish</w:t>
      </w:r>
      <w:r w:rsidRPr="1BF77947">
        <w:rPr>
          <w:rFonts w:ascii="Times New Roman" w:eastAsia="Times New Roman" w:hAnsi="Times New Roman" w:cs="Times New Roman"/>
        </w:rPr>
        <w:t xml:space="preserve">, JH., </w:t>
      </w:r>
      <w:r w:rsidRPr="1BF77947">
        <w:rPr>
          <w:rFonts w:ascii="Times New Roman" w:eastAsia="Times New Roman" w:hAnsi="Times New Roman" w:cs="Times New Roman"/>
        </w:rPr>
        <w:t>Casarett</w:t>
      </w:r>
      <w:r w:rsidRPr="1BF77947">
        <w:rPr>
          <w:rFonts w:ascii="Times New Roman" w:eastAsia="Times New Roman" w:hAnsi="Times New Roman" w:cs="Times New Roman"/>
        </w:rPr>
        <w:t>, D., Berlin, JA., Asch, DA. Empirical assessment of whether moderate payments are undue or unjust inducements for participation in clinical trials. Archives of Internal Medicine. 2004; 164(7), 80l-803.</w:t>
      </w:r>
    </w:p>
    <w:p w:rsidR="00F34121" w:rsidRPr="00CF03D5" w:rsidP="1BF77947" w14:paraId="0C93D418" w14:textId="77777777">
      <w:pPr>
        <w:contextualSpacing/>
        <w:rPr>
          <w:rFonts w:ascii="Times New Roman" w:eastAsia="Times New Roman" w:hAnsi="Times New Roman" w:cs="Times New Roman"/>
        </w:rPr>
      </w:pPr>
    </w:p>
    <w:p w:rsidR="00CF03D5" w:rsidRPr="00CF03D5" w:rsidP="1BF77947" w14:paraId="1E3C5584" w14:textId="77777777">
      <w:pPr>
        <w:spacing w:before="100" w:beforeAutospacing="1" w:after="100" w:afterAutospacing="1"/>
        <w:contextualSpacing/>
        <w:rPr>
          <w:rFonts w:ascii="Times New Roman" w:eastAsia="Times New Roman" w:hAnsi="Times New Roman" w:cs="Times New Roman"/>
        </w:rPr>
      </w:pPr>
      <w:r w:rsidRPr="1BF77947">
        <w:rPr>
          <w:rFonts w:ascii="Times New Roman" w:eastAsia="Times New Roman" w:hAnsi="Times New Roman" w:cs="Times New Roman"/>
        </w:rPr>
        <w:t xml:space="preserve">Harlow, A. F., Stokes, A., &amp; Brooks, D. R. (2019). Socioeconomic and racial/ethnic differences </w:t>
      </w:r>
    </w:p>
    <w:p w:rsidR="00CF03D5" w:rsidRPr="00CF03D5" w:rsidP="1BF77947" w14:paraId="0BA976A8" w14:textId="77777777">
      <w:pPr>
        <w:spacing w:before="100" w:beforeAutospacing="1" w:after="100" w:afterAutospacing="1"/>
        <w:ind w:left="720"/>
        <w:contextualSpacing/>
        <w:rPr>
          <w:rFonts w:ascii="Times New Roman" w:eastAsia="Times New Roman" w:hAnsi="Times New Roman" w:cs="Times New Roman"/>
        </w:rPr>
      </w:pPr>
      <w:r w:rsidRPr="1BF77947">
        <w:rPr>
          <w:rFonts w:ascii="Times New Roman" w:eastAsia="Times New Roman" w:hAnsi="Times New Roman" w:cs="Times New Roman"/>
        </w:rPr>
        <w:t>in e-cigarette uptake among cigarette smokers: longitudinal analysis of the population assessment of tobacco and health (PATH) study. Nicotine and Tobacco Research, 21(10), 1385-1393.</w:t>
      </w:r>
    </w:p>
    <w:p w:rsidR="00CF03D5" w:rsidRPr="00CF03D5" w:rsidP="1BF77947" w14:paraId="7F39CC5D"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p>
    <w:p w:rsidR="00934B69" w:rsidP="00934B69" w14:paraId="67621AF9" w14:textId="77777777">
      <w:pPr>
        <w:spacing w:before="100" w:beforeAutospacing="1" w:after="100" w:afterAutospacing="1"/>
        <w:contextualSpacing/>
        <w:rPr>
          <w:rFonts w:ascii="Times New Roman" w:eastAsia="Times New Roman" w:hAnsi="Times New Roman" w:cs="Times New Roman"/>
        </w:rPr>
      </w:pPr>
      <w:r w:rsidRPr="00934B69">
        <w:rPr>
          <w:rFonts w:ascii="Times New Roman" w:eastAsia="Times New Roman" w:hAnsi="Times New Roman" w:cs="Times New Roman"/>
        </w:rPr>
        <w:t>Institute of Medicine. 2011. The Health of Lesbian, Gay, Bisexual, and Transgender People:</w:t>
      </w:r>
    </w:p>
    <w:p w:rsidR="00934B69" w:rsidP="00934B69" w14:paraId="39B1A0CB" w14:textId="77777777">
      <w:pPr>
        <w:spacing w:before="100" w:beforeAutospacing="1" w:after="100" w:afterAutospacing="1"/>
        <w:ind w:left="720"/>
        <w:contextualSpacing/>
        <w:rPr>
          <w:rFonts w:ascii="Times New Roman" w:eastAsia="Times New Roman" w:hAnsi="Times New Roman" w:cs="Times New Roman"/>
        </w:rPr>
      </w:pPr>
      <w:r w:rsidRPr="00934B69">
        <w:rPr>
          <w:rFonts w:ascii="Times New Roman" w:eastAsia="Times New Roman" w:hAnsi="Times New Roman" w:cs="Times New Roman"/>
        </w:rPr>
        <w:t xml:space="preserve">Building a Foundation for Better Understanding. Washington, DC: The National Academies Press. </w:t>
      </w:r>
      <w:r>
        <w:rPr>
          <w:rFonts w:ascii="Times New Roman" w:eastAsia="Times New Roman" w:hAnsi="Times New Roman" w:cs="Times New Roman"/>
        </w:rPr>
        <w:t>https://doi.org/10.17226/13128</w:t>
      </w:r>
      <w:r w:rsidRPr="00934B69">
        <w:rPr>
          <w:rFonts w:ascii="Times New Roman" w:eastAsia="Times New Roman" w:hAnsi="Times New Roman" w:cs="Times New Roman"/>
        </w:rPr>
        <w:t>.</w:t>
      </w:r>
    </w:p>
    <w:p w:rsidR="00934B69" w:rsidP="00DC3C49" w14:paraId="6E725985" w14:textId="77777777">
      <w:pPr>
        <w:spacing w:before="100" w:beforeAutospacing="1" w:after="100" w:afterAutospacing="1"/>
        <w:ind w:left="720"/>
        <w:contextualSpacing/>
        <w:rPr>
          <w:rFonts w:ascii="Times New Roman" w:eastAsia="Times New Roman" w:hAnsi="Times New Roman" w:cs="Times New Roman"/>
        </w:rPr>
      </w:pPr>
    </w:p>
    <w:p w:rsidR="00CF03D5" w:rsidRPr="00CF03D5" w:rsidP="1BF77947" w14:paraId="33E131FD" w14:textId="77777777">
      <w:pPr>
        <w:spacing w:before="100" w:beforeAutospacing="1" w:after="100" w:afterAutospacing="1"/>
        <w:contextualSpacing/>
        <w:rPr>
          <w:rFonts w:ascii="Times New Roman" w:eastAsia="Times New Roman" w:hAnsi="Times New Roman" w:cs="Times New Roman"/>
        </w:rPr>
      </w:pPr>
      <w:r w:rsidRPr="1BF77947">
        <w:rPr>
          <w:rFonts w:ascii="Times New Roman" w:eastAsia="Times New Roman" w:hAnsi="Times New Roman" w:cs="Times New Roman"/>
        </w:rPr>
        <w:t xml:space="preserve">Johnson SE, O'Brien EK, Coleman B, </w:t>
      </w:r>
      <w:r w:rsidRPr="1BF77947">
        <w:rPr>
          <w:rFonts w:ascii="Times New Roman" w:eastAsia="Times New Roman" w:hAnsi="Times New Roman" w:cs="Times New Roman"/>
        </w:rPr>
        <w:t>Tessman</w:t>
      </w:r>
      <w:r w:rsidRPr="1BF77947">
        <w:rPr>
          <w:rFonts w:ascii="Times New Roman" w:eastAsia="Times New Roman" w:hAnsi="Times New Roman" w:cs="Times New Roman"/>
        </w:rPr>
        <w:t xml:space="preserve"> GK, Hoffman L, Delahanty J. Sexual and gender </w:t>
      </w:r>
    </w:p>
    <w:p w:rsidR="00CF03D5" w:rsidRPr="009C02AF" w:rsidP="1BF77947" w14:paraId="61477553" w14:textId="77777777">
      <w:pPr>
        <w:spacing w:before="100" w:beforeAutospacing="1" w:after="100" w:afterAutospacing="1"/>
        <w:ind w:left="720"/>
        <w:contextualSpacing/>
        <w:rPr>
          <w:rFonts w:ascii="Times New Roman" w:eastAsia="Times New Roman" w:hAnsi="Times New Roman" w:cs="Times New Roman"/>
          <w:lang w:val="es-MX"/>
        </w:rPr>
      </w:pPr>
      <w:r w:rsidRPr="1BF77947">
        <w:rPr>
          <w:rFonts w:ascii="Times New Roman" w:eastAsia="Times New Roman" w:hAnsi="Times New Roman" w:cs="Times New Roman"/>
        </w:rPr>
        <w:t xml:space="preserve">minority U.S. youth tobacco use: Population Assessment of Tobacco and Health (PATH) Study Wave 3, 2015-2016. Am J Prev Med. 2019;57(2):256-61. Available from: </w:t>
      </w:r>
      <w:hyperlink r:id="rId13" w:history="1">
        <w:r w:rsidRPr="1BF77947">
          <w:rPr>
            <w:rStyle w:val="Hyperlink"/>
            <w:rFonts w:ascii="Times New Roman" w:eastAsia="Calibri" w:hAnsi="Times New Roman" w:cs="Times New Roman"/>
            <w:color w:val="000000" w:themeColor="text1"/>
          </w:rPr>
          <w:t>https://www.ncbi.nlm.nih.gov/pubmed/31326009</w:t>
        </w:r>
      </w:hyperlink>
      <w:r w:rsidRPr="1BF77947">
        <w:rPr>
          <w:rFonts w:ascii="Times New Roman" w:eastAsia="Times New Roman" w:hAnsi="Times New Roman" w:cs="Times New Roman"/>
          <w:color w:val="000000" w:themeColor="text1"/>
        </w:rPr>
        <w:t xml:space="preserve">. </w:t>
      </w:r>
      <w:r w:rsidRPr="1BF77947">
        <w:rPr>
          <w:rFonts w:ascii="Times New Roman" w:eastAsia="Times New Roman" w:hAnsi="Times New Roman" w:cs="Times New Roman"/>
          <w:color w:val="000000" w:themeColor="text1"/>
          <w:lang w:val="es-MX"/>
        </w:rPr>
        <w:t>DOI</w:t>
      </w:r>
      <w:r w:rsidRPr="1BF77947">
        <w:rPr>
          <w:rFonts w:ascii="Times New Roman" w:eastAsia="Times New Roman" w:hAnsi="Times New Roman" w:cs="Times New Roman"/>
          <w:lang w:val="es-MX"/>
        </w:rPr>
        <w:t>: 10.1016/j.amepre.2019.03.021</w:t>
      </w:r>
    </w:p>
    <w:p w:rsidR="00CF03D5" w:rsidRPr="009C02AF" w:rsidP="1BF77947" w14:paraId="0D6CD6C2"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lang w:val="es-MX"/>
        </w:rPr>
      </w:pPr>
    </w:p>
    <w:p w:rsidR="00CF03D5" w:rsidRPr="00CF03D5" w:rsidP="1BF77947" w14:paraId="23778FA5" w14:textId="77777777">
      <w:pPr>
        <w:widowControl w:val="0"/>
        <w:autoSpaceDE w:val="0"/>
        <w:autoSpaceDN w:val="0"/>
        <w:adjustRightInd w:val="0"/>
        <w:spacing w:after="240"/>
        <w:ind w:left="720" w:hanging="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color w:val="000000" w:themeColor="text1"/>
          <w:lang w:val="es-MX"/>
        </w:rPr>
        <w:t>Kasza</w:t>
      </w:r>
      <w:r w:rsidRPr="1BF77947">
        <w:rPr>
          <w:rFonts w:ascii="Times New Roman" w:eastAsia="Times New Roman" w:hAnsi="Times New Roman" w:cs="Times New Roman"/>
          <w:color w:val="000000" w:themeColor="text1"/>
          <w:lang w:val="es-MX"/>
        </w:rPr>
        <w:t xml:space="preserve">, K., Ambrose, B., Conway, K., et al. </w:t>
      </w:r>
      <w:r w:rsidRPr="1BF77947">
        <w:rPr>
          <w:rFonts w:ascii="Times New Roman" w:eastAsia="Times New Roman" w:hAnsi="Times New Roman" w:cs="Times New Roman"/>
          <w:color w:val="000000" w:themeColor="text1"/>
        </w:rPr>
        <w:t xml:space="preserve">(2017). Tobacco-product use by adults and youths in the United States in 2013 and 2014. </w:t>
      </w:r>
      <w:r w:rsidRPr="1BF77947">
        <w:rPr>
          <w:rFonts w:ascii="Times New Roman" w:eastAsia="Times New Roman" w:hAnsi="Times New Roman" w:cs="Times New Roman"/>
          <w:i/>
          <w:iCs/>
          <w:color w:val="000000" w:themeColor="text1"/>
        </w:rPr>
        <w:t xml:space="preserve">N. Engl J. Med. </w:t>
      </w:r>
      <w:r w:rsidRPr="1BF77947">
        <w:rPr>
          <w:rFonts w:ascii="Times New Roman" w:eastAsia="Times New Roman" w:hAnsi="Times New Roman" w:cs="Times New Roman"/>
          <w:color w:val="000000" w:themeColor="text1"/>
        </w:rPr>
        <w:t>376(4), 342-353.</w:t>
      </w:r>
    </w:p>
    <w:p w:rsidR="00CF03D5" w:rsidRPr="00CF03D5" w:rsidP="1BF77947" w14:paraId="3CCE6523" w14:textId="77777777">
      <w:pPr>
        <w:ind w:left="720" w:hanging="720"/>
        <w:contextualSpacing/>
        <w:rPr>
          <w:rFonts w:ascii="Times New Roman" w:eastAsia="Times New Roman" w:hAnsi="Times New Roman" w:cs="Times New Roman"/>
        </w:rPr>
      </w:pPr>
    </w:p>
    <w:p w:rsidR="004D512E" w:rsidP="004D512E" w14:paraId="550AD265" w14:textId="77777777">
      <w:pPr>
        <w:ind w:left="720" w:hanging="720"/>
        <w:contextualSpacing/>
        <w:rPr>
          <w:rFonts w:ascii="Times New Roman" w:eastAsia="Times New Roman" w:hAnsi="Times New Roman" w:cs="Times New Roman"/>
        </w:rPr>
      </w:pPr>
      <w:r w:rsidRPr="001C7A00">
        <w:rPr>
          <w:rFonts w:ascii="Times New Roman" w:eastAsia="Times New Roman" w:hAnsi="Times New Roman" w:cs="Times New Roman"/>
        </w:rPr>
        <w:t>Martinson, et al. (2000). Effectiveness of monetary incentives for recruiting adolescents to an intervention trial to reduce smoking. Preventive Medicine, 31, 706-713.</w:t>
      </w:r>
    </w:p>
    <w:p w:rsidR="004D512E" w:rsidP="004D512E" w14:paraId="1B364F00" w14:textId="77777777">
      <w:pPr>
        <w:ind w:left="720" w:hanging="720"/>
        <w:contextualSpacing/>
        <w:rPr>
          <w:rFonts w:ascii="Times New Roman" w:eastAsia="Times New Roman" w:hAnsi="Times New Roman" w:cs="Times New Roman"/>
        </w:rPr>
      </w:pPr>
    </w:p>
    <w:p w:rsidR="00CF03D5" w:rsidRPr="00CF03D5" w:rsidP="1BF77947" w14:paraId="0D817278" w14:textId="77777777">
      <w:pPr>
        <w:spacing w:before="100" w:beforeAutospacing="1" w:after="100" w:afterAutospacing="1"/>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McCabe, S. E., Matthews, A. K., Lee, J. G., </w:t>
      </w:r>
      <w:r w:rsidRPr="1BF77947">
        <w:rPr>
          <w:rFonts w:ascii="Times New Roman" w:eastAsia="Times New Roman" w:hAnsi="Times New Roman" w:cs="Times New Roman"/>
          <w:color w:val="222222"/>
        </w:rPr>
        <w:t>Veliz</w:t>
      </w:r>
      <w:r w:rsidRPr="1BF77947">
        <w:rPr>
          <w:rFonts w:ascii="Times New Roman" w:eastAsia="Times New Roman" w:hAnsi="Times New Roman" w:cs="Times New Roman"/>
          <w:color w:val="222222"/>
        </w:rPr>
        <w:t xml:space="preserve">, P., Hughes, T. L., &amp; Boyd, C. J. (2018). </w:t>
      </w:r>
    </w:p>
    <w:p w:rsidR="00CF03D5" w:rsidRPr="00CF03D5" w:rsidP="1BF77947" w14:paraId="3A11134D" w14:textId="77777777">
      <w:pPr>
        <w:spacing w:before="100" w:beforeAutospacing="1" w:after="100" w:afterAutospacing="1"/>
        <w:ind w:left="720"/>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Tobacco use and sexual orientation in a national cross-sectional study: age, race/ethnicity, and sexual identity–attraction differences. </w:t>
      </w:r>
      <w:r w:rsidRPr="1BF77947">
        <w:rPr>
          <w:rFonts w:ascii="Times New Roman" w:eastAsia="Times New Roman" w:hAnsi="Times New Roman" w:cs="Times New Roman"/>
          <w:i/>
          <w:iCs/>
          <w:color w:val="222222"/>
        </w:rPr>
        <w:t>American journal of preventive medicine</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54</w:t>
      </w:r>
      <w:r w:rsidRPr="1BF77947">
        <w:rPr>
          <w:rFonts w:ascii="Times New Roman" w:eastAsia="Times New Roman" w:hAnsi="Times New Roman" w:cs="Times New Roman"/>
          <w:color w:val="222222"/>
        </w:rPr>
        <w:t>(6), 736-745.</w:t>
      </w:r>
    </w:p>
    <w:p w:rsidR="00CF03D5" w:rsidRPr="00CF03D5" w:rsidP="1BF77947" w14:paraId="3C1E432B" w14:textId="77777777">
      <w:pPr>
        <w:ind w:left="720" w:hanging="720"/>
        <w:contextualSpacing/>
        <w:rPr>
          <w:rFonts w:ascii="Times New Roman" w:eastAsia="Times New Roman" w:hAnsi="Times New Roman" w:cs="Times New Roman"/>
        </w:rPr>
      </w:pPr>
    </w:p>
    <w:p w:rsidR="00CF03D5" w:rsidRPr="00CF03D5" w:rsidP="1BF77947" w14:paraId="7003AC6C" w14:textId="77777777">
      <w:pPr>
        <w:spacing w:before="100" w:beforeAutospacing="1" w:after="100" w:afterAutospacing="1"/>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Odani, S., </w:t>
      </w:r>
      <w:r w:rsidRPr="1BF77947">
        <w:rPr>
          <w:rFonts w:ascii="Times New Roman" w:eastAsia="Times New Roman" w:hAnsi="Times New Roman" w:cs="Times New Roman"/>
          <w:color w:val="222222"/>
        </w:rPr>
        <w:t>Armour</w:t>
      </w:r>
      <w:r w:rsidRPr="1BF77947">
        <w:rPr>
          <w:rFonts w:ascii="Times New Roman" w:eastAsia="Times New Roman" w:hAnsi="Times New Roman" w:cs="Times New Roman"/>
          <w:color w:val="222222"/>
        </w:rPr>
        <w:t xml:space="preserve">, B. S., &amp; </w:t>
      </w:r>
      <w:r w:rsidRPr="1BF77947">
        <w:rPr>
          <w:rFonts w:ascii="Times New Roman" w:eastAsia="Times New Roman" w:hAnsi="Times New Roman" w:cs="Times New Roman"/>
          <w:color w:val="222222"/>
        </w:rPr>
        <w:t>Agaku</w:t>
      </w:r>
      <w:r w:rsidRPr="1BF77947">
        <w:rPr>
          <w:rFonts w:ascii="Times New Roman" w:eastAsia="Times New Roman" w:hAnsi="Times New Roman" w:cs="Times New Roman"/>
          <w:color w:val="222222"/>
        </w:rPr>
        <w:t xml:space="preserve">, I. T. (2018). Racial/ethnic disparities in tobacco product use </w:t>
      </w:r>
    </w:p>
    <w:p w:rsidR="00CF03D5" w:rsidRPr="00CF03D5" w:rsidP="1BF77947" w14:paraId="57FAA956" w14:textId="77777777">
      <w:pPr>
        <w:spacing w:before="100" w:beforeAutospacing="1" w:after="100" w:afterAutospacing="1"/>
        <w:ind w:left="720"/>
        <w:contextualSpacing/>
        <w:rPr>
          <w:rFonts w:ascii="Times New Roman" w:eastAsia="Times New Roman" w:hAnsi="Times New Roman" w:cs="Times New Roman"/>
          <w:color w:val="222222"/>
        </w:rPr>
      </w:pPr>
      <w:r w:rsidRPr="1BF77947">
        <w:rPr>
          <w:rFonts w:ascii="Times New Roman" w:eastAsia="Times New Roman" w:hAnsi="Times New Roman" w:cs="Times New Roman"/>
          <w:color w:val="222222"/>
        </w:rPr>
        <w:t xml:space="preserve">among middle and high school students—United States, 2014–2017. </w:t>
      </w:r>
      <w:r w:rsidRPr="1BF77947">
        <w:rPr>
          <w:rFonts w:ascii="Times New Roman" w:eastAsia="Times New Roman" w:hAnsi="Times New Roman" w:cs="Times New Roman"/>
          <w:i/>
          <w:iCs/>
          <w:color w:val="222222"/>
        </w:rPr>
        <w:t>Morbidity and Mortality Weekly Report</w:t>
      </w:r>
      <w:r w:rsidRPr="1BF77947">
        <w:rPr>
          <w:rFonts w:ascii="Times New Roman" w:eastAsia="Times New Roman" w:hAnsi="Times New Roman" w:cs="Times New Roman"/>
          <w:color w:val="222222"/>
        </w:rPr>
        <w:t xml:space="preserve">, </w:t>
      </w:r>
      <w:r w:rsidRPr="1BF77947">
        <w:rPr>
          <w:rFonts w:ascii="Times New Roman" w:eastAsia="Times New Roman" w:hAnsi="Times New Roman" w:cs="Times New Roman"/>
          <w:i/>
          <w:iCs/>
          <w:color w:val="222222"/>
        </w:rPr>
        <w:t>67</w:t>
      </w:r>
      <w:r w:rsidRPr="1BF77947">
        <w:rPr>
          <w:rFonts w:ascii="Times New Roman" w:eastAsia="Times New Roman" w:hAnsi="Times New Roman" w:cs="Times New Roman"/>
          <w:color w:val="222222"/>
        </w:rPr>
        <w:t>(34), 952.</w:t>
      </w:r>
    </w:p>
    <w:p w:rsidR="00CF03D5" w:rsidRPr="00CF03D5" w:rsidP="1BF77947" w14:paraId="463F3D0E" w14:textId="77777777">
      <w:pPr>
        <w:ind w:left="720" w:hanging="720"/>
        <w:contextualSpacing/>
        <w:rPr>
          <w:rFonts w:ascii="Times New Roman" w:eastAsia="Times New Roman" w:hAnsi="Times New Roman" w:cs="Times New Roman"/>
        </w:rPr>
      </w:pPr>
    </w:p>
    <w:p w:rsidR="004D512E" w:rsidP="004D512E" w14:paraId="031622BF" w14:textId="77777777">
      <w:pPr>
        <w:ind w:left="720" w:hanging="720"/>
        <w:contextualSpacing/>
        <w:rPr>
          <w:rFonts w:ascii="Times New Roman" w:eastAsia="Times New Roman" w:hAnsi="Times New Roman" w:cs="Times New Roman"/>
        </w:rPr>
      </w:pPr>
      <w:r w:rsidRPr="001C7A00">
        <w:rPr>
          <w:rFonts w:ascii="Times New Roman" w:eastAsia="Times New Roman" w:hAnsi="Times New Roman" w:cs="Times New Roman"/>
        </w:rPr>
        <w:t>Pejtersen</w:t>
      </w:r>
      <w:r w:rsidRPr="001C7A00">
        <w:rPr>
          <w:rFonts w:ascii="Times New Roman" w:eastAsia="Times New Roman" w:hAnsi="Times New Roman" w:cs="Times New Roman"/>
        </w:rPr>
        <w:t xml:space="preserve">, J. H. (2020). The effect of monetary incentive on survey response for vulnerable children and youths: A randomized controlled trial. </w:t>
      </w:r>
      <w:r w:rsidRPr="001C7A00">
        <w:rPr>
          <w:rFonts w:ascii="Times New Roman" w:eastAsia="Times New Roman" w:hAnsi="Times New Roman" w:cs="Times New Roman"/>
        </w:rPr>
        <w:t>PLoS</w:t>
      </w:r>
      <w:r w:rsidRPr="001C7A00">
        <w:rPr>
          <w:rFonts w:ascii="Times New Roman" w:eastAsia="Times New Roman" w:hAnsi="Times New Roman" w:cs="Times New Roman"/>
        </w:rPr>
        <w:t xml:space="preserve"> One, 15, e0233025.</w:t>
      </w:r>
    </w:p>
    <w:p w:rsidR="004D512E" w:rsidP="1BF77947" w14:paraId="033FB901" w14:textId="77777777">
      <w:pPr>
        <w:ind w:left="720" w:hanging="720"/>
        <w:contextualSpacing/>
        <w:rPr>
          <w:rFonts w:ascii="Times New Roman" w:eastAsia="Times New Roman" w:hAnsi="Times New Roman" w:cs="Times New Roman"/>
        </w:rPr>
      </w:pPr>
    </w:p>
    <w:p w:rsidR="00F34121" w:rsidRPr="00CF03D5" w:rsidP="1BF77947" w14:paraId="3EA91702" w14:textId="77777777">
      <w:pPr>
        <w:ind w:left="720" w:hanging="720"/>
        <w:contextualSpacing/>
        <w:rPr>
          <w:rFonts w:ascii="Times New Roman" w:eastAsia="Times New Roman" w:hAnsi="Times New Roman" w:cs="Times New Roman"/>
        </w:rPr>
      </w:pPr>
      <w:r w:rsidRPr="1BF77947">
        <w:rPr>
          <w:rFonts w:ascii="Times New Roman" w:eastAsia="Times New Roman" w:hAnsi="Times New Roman" w:cs="Times New Roman"/>
        </w:rPr>
        <w:t xml:space="preserve">Scharff DP, Mathews KJ, Jackson P, </w:t>
      </w:r>
      <w:r w:rsidRPr="1BF77947">
        <w:rPr>
          <w:rFonts w:ascii="Times New Roman" w:eastAsia="Times New Roman" w:hAnsi="Times New Roman" w:cs="Times New Roman"/>
        </w:rPr>
        <w:t>Hoffsuemmer</w:t>
      </w:r>
      <w:r w:rsidRPr="1BF77947">
        <w:rPr>
          <w:rFonts w:ascii="Times New Roman" w:eastAsia="Times New Roman" w:hAnsi="Times New Roman" w:cs="Times New Roman"/>
        </w:rPr>
        <w:t xml:space="preserve"> J, Martin E, Edwards D. More than Tuskegee: Understanding Mistrust About Research Participation. Journal of health care for the poor and underserved. 2010; 21(3):879-897.</w:t>
      </w:r>
    </w:p>
    <w:p w:rsidR="00F34121" w:rsidRPr="00CF03D5" w:rsidP="1BF77947" w14:paraId="77E488AD" w14:textId="77777777">
      <w:pPr>
        <w:contextualSpacing/>
        <w:rPr>
          <w:rFonts w:ascii="Times New Roman" w:eastAsia="Times New Roman" w:hAnsi="Times New Roman" w:cs="Times New Roman"/>
        </w:rPr>
      </w:pPr>
    </w:p>
    <w:p w:rsidR="00DC3B3D" w:rsidP="00DC3B3D" w14:paraId="155C4F0F" w14:textId="77777777">
      <w:pPr>
        <w:ind w:left="720" w:hanging="720"/>
        <w:contextualSpacing/>
        <w:rPr>
          <w:rFonts w:ascii="Times New Roman" w:hAnsi="Times New Roman" w:cs="Times New Roman"/>
        </w:rPr>
      </w:pPr>
      <w:r>
        <w:rPr>
          <w:rFonts w:ascii="Times New Roman" w:hAnsi="Times New Roman" w:cs="Times New Roman"/>
        </w:rPr>
        <w:t>U.S. Bureau of Labor Statistics. (2022). All items in U.S. city average, all urban consumers, not seasonally adjusted. https://www.bls.gov/data/inflation_calculator.htm. Retrieved October 26, 2022.</w:t>
      </w:r>
    </w:p>
    <w:p w:rsidR="00DC3B3D" w:rsidP="1BF77947" w14:paraId="1151AFD2" w14:textId="77777777">
      <w:pPr>
        <w:spacing w:after="240"/>
        <w:ind w:left="720" w:hanging="720"/>
        <w:contextualSpacing/>
        <w:rPr>
          <w:rFonts w:ascii="Times New Roman" w:eastAsia="Times New Roman" w:hAnsi="Times New Roman" w:cs="Times New Roman"/>
          <w:color w:val="000000" w:themeColor="text1"/>
        </w:rPr>
      </w:pPr>
    </w:p>
    <w:p w:rsidR="00CF03D5" w:rsidP="1BF77947" w14:paraId="05D2B5B4" w14:textId="77777777">
      <w:pPr>
        <w:spacing w:after="240"/>
        <w:ind w:left="720" w:hanging="720"/>
        <w:contextualSpacing/>
        <w:rPr>
          <w:rFonts w:ascii="Times New Roman" w:eastAsia="Times New Roman" w:hAnsi="Times New Roman" w:cs="Times New Roman"/>
          <w:color w:val="000000" w:themeColor="text1"/>
        </w:rPr>
      </w:pPr>
      <w:r w:rsidRPr="1BF77947">
        <w:rPr>
          <w:rFonts w:ascii="Times New Roman" w:eastAsia="Times New Roman" w:hAnsi="Times New Roman" w:cs="Times New Roman"/>
          <w:color w:val="000000" w:themeColor="text1"/>
        </w:rPr>
        <w:t xml:space="preserve">Wang, T., </w:t>
      </w:r>
      <w:r w:rsidRPr="1BF77947">
        <w:rPr>
          <w:rFonts w:ascii="Times New Roman" w:eastAsia="Times New Roman" w:hAnsi="Times New Roman" w:cs="Times New Roman"/>
          <w:color w:val="000000" w:themeColor="text1"/>
        </w:rPr>
        <w:t>Gentzke</w:t>
      </w:r>
      <w:r w:rsidRPr="1BF77947">
        <w:rPr>
          <w:rFonts w:ascii="Times New Roman" w:eastAsia="Times New Roman" w:hAnsi="Times New Roman" w:cs="Times New Roman"/>
          <w:color w:val="000000" w:themeColor="text1"/>
        </w:rPr>
        <w:t xml:space="preserve">, A., Creamer, M., et al. (2019). Tobacco product use and associated factors among middle and high school students – United States, 2019. </w:t>
      </w:r>
      <w:r w:rsidRPr="1BF77947">
        <w:rPr>
          <w:rFonts w:ascii="Times New Roman" w:eastAsia="Times New Roman" w:hAnsi="Times New Roman" w:cs="Times New Roman"/>
          <w:i/>
          <w:iCs/>
          <w:color w:val="000000" w:themeColor="text1"/>
        </w:rPr>
        <w:t xml:space="preserve">Morbidity and Mortality Weekly Report. </w:t>
      </w:r>
      <w:r w:rsidRPr="1BF77947">
        <w:rPr>
          <w:rFonts w:ascii="Times New Roman" w:eastAsia="Times New Roman" w:hAnsi="Times New Roman" w:cs="Times New Roman"/>
          <w:color w:val="000000" w:themeColor="text1"/>
        </w:rPr>
        <w:t xml:space="preserve">68(12). </w:t>
      </w:r>
    </w:p>
    <w:p w:rsidR="00850F43" w:rsidP="1BF77947" w14:paraId="7F916685" w14:textId="77777777">
      <w:pPr>
        <w:spacing w:after="240"/>
        <w:ind w:left="720" w:hanging="720"/>
        <w:contextualSpacing/>
        <w:rPr>
          <w:rFonts w:ascii="Times New Roman" w:eastAsia="Times New Roman" w:hAnsi="Times New Roman" w:cs="Times New Roman"/>
          <w:color w:val="000000" w:themeColor="text1"/>
        </w:rPr>
      </w:pPr>
    </w:p>
    <w:p w:rsidR="00F5301B" w:rsidP="00850F43" w14:paraId="0816FBFF" w14:textId="77777777">
      <w:pPr>
        <w:ind w:left="720" w:hanging="720"/>
        <w:contextualSpacing/>
        <w:rPr>
          <w:rFonts w:ascii="Times New Roman" w:eastAsia="Times New Roman" w:hAnsi="Times New Roman" w:cs="Times New Roman"/>
        </w:rPr>
      </w:pPr>
      <w:r w:rsidRPr="00F5301B">
        <w:rPr>
          <w:rFonts w:ascii="Times New Roman" w:eastAsia="Times New Roman" w:hAnsi="Times New Roman" w:cs="Times New Roman"/>
        </w:rPr>
        <w:t xml:space="preserve">The White House. (2022). Executive Order on Advancing Equality for Lesbian, Gay, Bisexual, Transgender, Queer, and Intersex Individuals.  Retrieved from </w:t>
      </w:r>
      <w:r w:rsidRPr="00F5301B">
        <w:rPr>
          <w:rFonts w:ascii="Times New Roman" w:eastAsia="Times New Roman" w:hAnsi="Times New Roman" w:cs="Times New Roman"/>
        </w:rPr>
        <w:t>https://www.whitehouse.gov/briefing-room/presidential-actions/2022/06/15/executive-order-on-advancing-equality-for-lesbian-gay-bisexual-transgender-queer-and-intersex-individuals/</w:t>
      </w:r>
    </w:p>
    <w:p w:rsidR="00850F43" w:rsidRPr="00CF03D5" w:rsidP="1BF77947" w14:paraId="74CE2CE4" w14:textId="77777777">
      <w:pPr>
        <w:spacing w:after="240"/>
        <w:ind w:left="720" w:hanging="720"/>
        <w:contextualSpacing/>
        <w:rPr>
          <w:rFonts w:ascii="Times New Roman" w:eastAsia="Times New Roman" w:hAnsi="Times New Roman" w:cs="Times New Roman"/>
          <w:color w:val="000000" w:themeColor="text1"/>
        </w:rPr>
      </w:pPr>
    </w:p>
    <w:p w:rsidR="00F3750D" w:rsidP="1BF77947" w14:paraId="249D1D11" w14:textId="77777777">
      <w:pPr>
        <w:spacing w:before="100" w:beforeAutospacing="1" w:after="100" w:afterAutospacing="1"/>
        <w:ind w:left="720" w:hanging="720"/>
        <w:contextualSpacing/>
        <w:rPr>
          <w:rFonts w:eastAsia="Calibri" w:cs="Arial"/>
          <w:szCs w:val="24"/>
        </w:rPr>
      </w:pPr>
    </w:p>
    <w:p w:rsidR="00F3750D" w:rsidP="1BF77947" w14:paraId="3A70E0EE" w14:textId="77777777">
      <w:pPr>
        <w:spacing w:before="100" w:beforeAutospacing="1" w:after="100" w:afterAutospacing="1"/>
        <w:contextualSpacing/>
        <w:rPr>
          <w:rFonts w:eastAsia="Calibri" w:cs="Arial"/>
          <w:color w:val="222222"/>
          <w:szCs w:val="24"/>
        </w:rPr>
      </w:pPr>
    </w:p>
    <w:p w:rsidR="00F3750D" w:rsidP="1BF77947" w14:paraId="1771D671" w14:textId="77777777">
      <w:pPr>
        <w:spacing w:before="100" w:beforeAutospacing="1" w:after="100" w:afterAutospacing="1"/>
        <w:contextualSpacing/>
        <w:rPr>
          <w:rFonts w:eastAsia="Calibri" w:cs="Arial"/>
          <w:color w:val="222222"/>
          <w:szCs w:val="24"/>
        </w:rPr>
      </w:pPr>
    </w:p>
    <w:p w:rsidR="00F3750D" w:rsidP="1BF77947" w14:paraId="053C6793" w14:textId="77777777">
      <w:pPr>
        <w:spacing w:before="100" w:beforeAutospacing="1" w:after="100" w:afterAutospacing="1"/>
        <w:contextualSpacing/>
        <w:rPr>
          <w:rFonts w:eastAsia="Calibri" w:cs="Arial"/>
          <w:color w:val="222222"/>
          <w:szCs w:val="24"/>
        </w:rPr>
      </w:pPr>
    </w:p>
    <w:p w:rsidR="00F3750D" w:rsidP="1BF77947" w14:paraId="795E208E" w14:textId="77777777">
      <w:pPr>
        <w:spacing w:before="100" w:beforeAutospacing="1" w:after="100" w:afterAutospacing="1"/>
        <w:contextualSpacing/>
        <w:rPr>
          <w:rFonts w:eastAsia="Calibri" w:cs="Arial"/>
          <w:szCs w:val="24"/>
        </w:rPr>
      </w:pPr>
    </w:p>
    <w:p w:rsidR="00DE152F" w:rsidP="00DE152F" w14:paraId="2B13E398" w14:textId="77777777"/>
    <w:sectPr w:rsidSect="00FF7B9A">
      <w:footerReference w:type="default" r:id="rId14"/>
      <w:footerReference w:type="first" r:id="rId15"/>
      <w:pgSz w:w="12240" w:h="15840"/>
      <w:pgMar w:top="1440" w:right="1440" w:bottom="1440" w:left="1440" w:header="720" w:footer="720" w:gutter="0"/>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Georgia Pro">
    <w:charset w:val="00"/>
    <w:family w:val="roman"/>
    <w:pitch w:val="variable"/>
    <w:sig w:usb0="800002AF" w:usb1="00000003"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Times New Roman" w:hAnsi="Times New Roman" w:cs="Times New Roman"/>
      </w:rPr>
      <w:id w:val="-969744564"/>
      <w:docPartObj>
        <w:docPartGallery w:val="Page Numbers (Bottom of Page)"/>
        <w:docPartUnique/>
      </w:docPartObj>
    </w:sdtPr>
    <w:sdtEndPr>
      <w:rPr>
        <w:noProof/>
      </w:rPr>
    </w:sdtEndPr>
    <w:sdtContent>
      <w:p w:rsidR="00FA4269" w:rsidRPr="00533205" w14:paraId="1CE76279" w14:textId="77777777">
        <w:pPr>
          <w:pStyle w:val="Footer"/>
          <w:jc w:val="right"/>
          <w:rPr>
            <w:rFonts w:ascii="Times New Roman" w:hAnsi="Times New Roman" w:cs="Times New Roman"/>
          </w:rPr>
        </w:pPr>
        <w:r w:rsidRPr="00533205">
          <w:rPr>
            <w:rFonts w:ascii="Times New Roman" w:hAnsi="Times New Roman" w:cs="Times New Roman"/>
          </w:rPr>
          <w:fldChar w:fldCharType="begin"/>
        </w:r>
        <w:r w:rsidRPr="00533205">
          <w:rPr>
            <w:rFonts w:ascii="Times New Roman" w:hAnsi="Times New Roman" w:cs="Times New Roman"/>
          </w:rPr>
          <w:instrText xml:space="preserve"> PAGE   \* MERGEFORMAT </w:instrText>
        </w:r>
        <w:r w:rsidRPr="00533205">
          <w:rPr>
            <w:rFonts w:ascii="Times New Roman" w:hAnsi="Times New Roman" w:cs="Times New Roman"/>
          </w:rPr>
          <w:fldChar w:fldCharType="separate"/>
        </w:r>
        <w:r>
          <w:rPr>
            <w:rFonts w:ascii="Times New Roman" w:hAnsi="Times New Roman" w:cs="Times New Roman"/>
            <w:noProof/>
          </w:rPr>
          <w:t>13</w:t>
        </w:r>
        <w:r w:rsidRPr="00533205">
          <w:rPr>
            <w:rFonts w:ascii="Times New Roman" w:hAnsi="Times New Roman" w:cs="Times New Roman"/>
            <w:noProof/>
          </w:rPr>
          <w:fldChar w:fldCharType="end"/>
        </w:r>
      </w:p>
    </w:sdtContent>
  </w:sdt>
  <w:p w:rsidR="00FA4269" w:rsidRPr="00533205" w:rsidP="00F3750D" w14:paraId="73B97114" w14:textId="77777777">
    <w:pPr>
      <w:pStyle w:val="Footer"/>
      <w:rPr>
        <w:rFonts w:ascii="Times New Roman" w:hAnsi="Times New Roman" w:cs="Times New Roman"/>
        <w:sz w:val="16"/>
        <w:szCs w:val="16"/>
      </w:rPr>
    </w:pPr>
  </w:p>
  <w:p w:rsidR="00FA4269" w14:paraId="2C340427"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4269" w:rsidRPr="00C361E3" w14:paraId="4CE7053A" w14:textId="77777777">
    <w:pPr>
      <w:pStyle w:val="Footer"/>
      <w:jc w:val="right"/>
      <w:rPr>
        <w:rFonts w:ascii="Times New Roman" w:hAnsi="Times New Roman" w:cs="Times New Roman"/>
      </w:rPr>
    </w:pPr>
    <w:r w:rsidRPr="00C361E3">
      <w:rPr>
        <w:rFonts w:ascii="Times New Roman" w:hAnsi="Times New Roman" w:cs="Times New Roman"/>
      </w:rPr>
      <w:fldChar w:fldCharType="begin"/>
    </w:r>
    <w:r w:rsidRPr="00C361E3">
      <w:rPr>
        <w:rFonts w:ascii="Times New Roman" w:hAnsi="Times New Roman" w:cs="Times New Roman"/>
      </w:rPr>
      <w:instrText xml:space="preserve"> PAGE   \* MERGEFORMAT </w:instrText>
    </w:r>
    <w:r w:rsidRPr="00C361E3">
      <w:rPr>
        <w:rFonts w:ascii="Times New Roman" w:hAnsi="Times New Roman" w:cs="Times New Roman"/>
      </w:rPr>
      <w:fldChar w:fldCharType="separate"/>
    </w:r>
    <w:r>
      <w:rPr>
        <w:rFonts w:ascii="Times New Roman" w:hAnsi="Times New Roman" w:cs="Times New Roman"/>
        <w:noProof/>
      </w:rPr>
      <w:t>1</w:t>
    </w:r>
    <w:r w:rsidRPr="00C361E3">
      <w:rPr>
        <w:rFonts w:ascii="Times New Roman" w:hAnsi="Times New Roman" w:cs="Times New Roman"/>
        <w:noProof/>
      </w:rPr>
      <w:fldChar w:fldCharType="end"/>
    </w:r>
  </w:p>
  <w:p w:rsidR="00FA4269" w:rsidRPr="00C361E3" w14:paraId="55C07370" w14:textId="77777777">
    <w:pPr>
      <w:rPr>
        <w:rFonts w:ascii="Times New Roman" w:hAnsi="Times New Roman" w:cs="Times New Roman"/>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113F66"/>
    <w:multiLevelType w:val="hybridMultilevel"/>
    <w:tmpl w:val="F26C9DEE"/>
    <w:lvl w:ilvl="0">
      <w:start w:val="1"/>
      <w:numFmt w:val="bullet"/>
      <w:lvlText w:val=""/>
      <w:lvlJc w:val="left"/>
      <w:pPr>
        <w:ind w:left="99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8A130B5"/>
    <w:multiLevelType w:val="hybridMultilevel"/>
    <w:tmpl w:val="92BA6EE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
    <w:nsid w:val="09DF6C04"/>
    <w:multiLevelType w:val="hybridMultilevel"/>
    <w:tmpl w:val="5FBC0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106E26"/>
    <w:multiLevelType w:val="hybridMultilevel"/>
    <w:tmpl w:val="119E31F8"/>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4">
    <w:nsid w:val="0E517964"/>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0FB7111A"/>
    <w:multiLevelType w:val="hybridMultilevel"/>
    <w:tmpl w:val="98EAEB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6">
    <w:nsid w:val="1C9C4800"/>
    <w:multiLevelType w:val="multilevel"/>
    <w:tmpl w:val="3196BB78"/>
    <w:lvl w:ilvl="0">
      <w:start w:val="1"/>
      <w:numFmt w:val="bullet"/>
      <w:lvlText w:val="o"/>
      <w:lvlJc w:val="left"/>
      <w:pPr>
        <w:tabs>
          <w:tab w:val="num" w:pos="720"/>
        </w:tabs>
        <w:ind w:left="720" w:hanging="360"/>
      </w:pPr>
      <w:rPr>
        <w:rFonts w:ascii="Courier New" w:hAnsi="Courier New" w:hint="default"/>
        <w:sz w:val="20"/>
      </w:rPr>
    </w:lvl>
    <w:lvl w:ilvl="1">
      <w:start w:val="1"/>
      <w:numFmt w:val="decimal"/>
      <w:lvlText w:val="%2."/>
      <w:lvlJc w:val="left"/>
      <w:pPr>
        <w:ind w:left="1440" w:hanging="360"/>
      </w:pPr>
      <w:rPr>
        <w:rFonts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nsid w:val="1EC0683F"/>
    <w:multiLevelType w:val="hybridMultilevel"/>
    <w:tmpl w:val="74D81D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27E6D8E"/>
    <w:multiLevelType w:val="hybridMultilevel"/>
    <w:tmpl w:val="472CEF4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A180B57"/>
    <w:multiLevelType w:val="hybridMultilevel"/>
    <w:tmpl w:val="9960768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B2E4934"/>
    <w:multiLevelType w:val="hybridMultilevel"/>
    <w:tmpl w:val="07605CE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687B79"/>
    <w:multiLevelType w:val="multilevel"/>
    <w:tmpl w:val="56FEB2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399D09AB"/>
    <w:multiLevelType w:val="multilevel"/>
    <w:tmpl w:val="D548D0F8"/>
    <w:lvl w:ilvl="0">
      <w:start w:val="1"/>
      <w:numFmt w:val="decimal"/>
      <w:lvlText w:val="%1."/>
      <w:lvlJc w:val="left"/>
      <w:pPr>
        <w:tabs>
          <w:tab w:val="num" w:pos="360"/>
        </w:tabs>
        <w:ind w:left="360" w:hanging="360"/>
      </w:pPr>
    </w:lvl>
    <w:lvl w:ilvl="1">
      <w:start w:val="0"/>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D157F59"/>
    <w:multiLevelType w:val="hybridMultilevel"/>
    <w:tmpl w:val="B7CCACC6"/>
    <w:lvl w:ilvl="0">
      <w:start w:val="1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8175F00"/>
    <w:multiLevelType w:val="multilevel"/>
    <w:tmpl w:val="7DC22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F82002F"/>
    <w:multiLevelType w:val="hybridMultilevel"/>
    <w:tmpl w:val="703A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4FAE1965"/>
    <w:multiLevelType w:val="hybridMultilevel"/>
    <w:tmpl w:val="A8E881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8577FF"/>
    <w:multiLevelType w:val="multilevel"/>
    <w:tmpl w:val="97FC1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nsid w:val="58090B39"/>
    <w:multiLevelType w:val="multilevel"/>
    <w:tmpl w:val="76F887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nsid w:val="5C1021D0"/>
    <w:multiLevelType w:val="hybridMultilevel"/>
    <w:tmpl w:val="D0502A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E5F250A"/>
    <w:multiLevelType w:val="multilevel"/>
    <w:tmpl w:val="319486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62E82A9C"/>
    <w:multiLevelType w:val="hybridMultilevel"/>
    <w:tmpl w:val="C6CE7E92"/>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3">
    <w:nsid w:val="64C10E29"/>
    <w:multiLevelType w:val="hybridMultilevel"/>
    <w:tmpl w:val="CA96503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7992EE4"/>
    <w:multiLevelType w:val="multilevel"/>
    <w:tmpl w:val="2514E9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682F3358"/>
    <w:multiLevelType w:val="hybridMultilevel"/>
    <w:tmpl w:val="266C4CF0"/>
    <w:lvl w:ilvl="0">
      <w:start w:val="1"/>
      <w:numFmt w:val="bullet"/>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nsid w:val="6CDF7F29"/>
    <w:multiLevelType w:val="hybridMultilevel"/>
    <w:tmpl w:val="2D1C0DDE"/>
    <w:lvl w:ilvl="0">
      <w:start w:val="1"/>
      <w:numFmt w:val="bullet"/>
      <w:lvlText w:val="o"/>
      <w:lvlJc w:val="left"/>
      <w:pPr>
        <w:ind w:left="2880" w:hanging="360"/>
      </w:pPr>
      <w:rPr>
        <w:rFonts w:ascii="Courier New" w:hAnsi="Courier New" w:cs="Courier New"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7">
    <w:nsid w:val="6CFC3C59"/>
    <w:multiLevelType w:val="hybridMultilevel"/>
    <w:tmpl w:val="C37638E0"/>
    <w:lvl w:ilvl="0">
      <w:start w:val="0"/>
      <w:numFmt w:val="bullet"/>
      <w:lvlText w:val="•"/>
      <w:lvlJc w:val="left"/>
      <w:pPr>
        <w:ind w:left="990" w:hanging="450"/>
      </w:pPr>
      <w:rPr>
        <w:rFonts w:ascii="Times New Roman" w:eastAsia="Times New Roman" w:hAnsi="Times New Roman" w:cs="Times New Roman"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28">
    <w:nsid w:val="6FF840C7"/>
    <w:multiLevelType w:val="hybridMultilevel"/>
    <w:tmpl w:val="532E9F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08E58B6"/>
    <w:multiLevelType w:val="hybridMultilevel"/>
    <w:tmpl w:val="1198612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0">
    <w:nsid w:val="70960B5C"/>
    <w:multiLevelType w:val="hybridMultilevel"/>
    <w:tmpl w:val="F75E6BB6"/>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abstractNum w:abstractNumId="31">
    <w:nsid w:val="713258B4"/>
    <w:multiLevelType w:val="hybridMultilevel"/>
    <w:tmpl w:val="90EEA74C"/>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32">
    <w:nsid w:val="720989E3"/>
    <w:multiLevelType w:val="hybridMultilevel"/>
    <w:tmpl w:val="34C4CF30"/>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78049ED"/>
    <w:multiLevelType w:val="hybridMultilevel"/>
    <w:tmpl w:val="6CEACE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A2526C0"/>
    <w:multiLevelType w:val="hybridMultilevel"/>
    <w:tmpl w:val="695A0E9A"/>
    <w:lvl w:ilvl="0">
      <w:start w:val="14"/>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5">
    <w:nsid w:val="7C8C62A9"/>
    <w:multiLevelType w:val="hybridMultilevel"/>
    <w:tmpl w:val="850465C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6">
    <w:nsid w:val="7E63028A"/>
    <w:multiLevelType w:val="hybridMultilevel"/>
    <w:tmpl w:val="388A997E"/>
    <w:lvl w:ilvl="0">
      <w:start w:val="1"/>
      <w:numFmt w:val="bullet"/>
      <w:lvlText w:val=""/>
      <w:lvlJc w:val="left"/>
      <w:pPr>
        <w:ind w:left="990" w:hanging="360"/>
      </w:pPr>
      <w:rPr>
        <w:rFonts w:ascii="Symbol" w:hAnsi="Symbol" w:hint="default"/>
      </w:rPr>
    </w:lvl>
    <w:lvl w:ilvl="1" w:tentative="1">
      <w:start w:val="1"/>
      <w:numFmt w:val="bullet"/>
      <w:lvlText w:val="o"/>
      <w:lvlJc w:val="left"/>
      <w:pPr>
        <w:ind w:left="1710" w:hanging="360"/>
      </w:pPr>
      <w:rPr>
        <w:rFonts w:ascii="Courier New" w:hAnsi="Courier New" w:cs="Courier New" w:hint="default"/>
      </w:rPr>
    </w:lvl>
    <w:lvl w:ilvl="2" w:tentative="1">
      <w:start w:val="1"/>
      <w:numFmt w:val="bullet"/>
      <w:lvlText w:val=""/>
      <w:lvlJc w:val="left"/>
      <w:pPr>
        <w:ind w:left="2430" w:hanging="360"/>
      </w:pPr>
      <w:rPr>
        <w:rFonts w:ascii="Wingdings" w:hAnsi="Wingdings" w:hint="default"/>
      </w:rPr>
    </w:lvl>
    <w:lvl w:ilvl="3" w:tentative="1">
      <w:start w:val="1"/>
      <w:numFmt w:val="bullet"/>
      <w:lvlText w:val=""/>
      <w:lvlJc w:val="left"/>
      <w:pPr>
        <w:ind w:left="3150" w:hanging="360"/>
      </w:pPr>
      <w:rPr>
        <w:rFonts w:ascii="Symbol" w:hAnsi="Symbol" w:hint="default"/>
      </w:rPr>
    </w:lvl>
    <w:lvl w:ilvl="4" w:tentative="1">
      <w:start w:val="1"/>
      <w:numFmt w:val="bullet"/>
      <w:lvlText w:val="o"/>
      <w:lvlJc w:val="left"/>
      <w:pPr>
        <w:ind w:left="3870" w:hanging="360"/>
      </w:pPr>
      <w:rPr>
        <w:rFonts w:ascii="Courier New" w:hAnsi="Courier New" w:cs="Courier New" w:hint="default"/>
      </w:rPr>
    </w:lvl>
    <w:lvl w:ilvl="5" w:tentative="1">
      <w:start w:val="1"/>
      <w:numFmt w:val="bullet"/>
      <w:lvlText w:val=""/>
      <w:lvlJc w:val="left"/>
      <w:pPr>
        <w:ind w:left="4590" w:hanging="360"/>
      </w:pPr>
      <w:rPr>
        <w:rFonts w:ascii="Wingdings" w:hAnsi="Wingdings" w:hint="default"/>
      </w:rPr>
    </w:lvl>
    <w:lvl w:ilvl="6" w:tentative="1">
      <w:start w:val="1"/>
      <w:numFmt w:val="bullet"/>
      <w:lvlText w:val=""/>
      <w:lvlJc w:val="left"/>
      <w:pPr>
        <w:ind w:left="5310" w:hanging="360"/>
      </w:pPr>
      <w:rPr>
        <w:rFonts w:ascii="Symbol" w:hAnsi="Symbol" w:hint="default"/>
      </w:rPr>
    </w:lvl>
    <w:lvl w:ilvl="7" w:tentative="1">
      <w:start w:val="1"/>
      <w:numFmt w:val="bullet"/>
      <w:lvlText w:val="o"/>
      <w:lvlJc w:val="left"/>
      <w:pPr>
        <w:ind w:left="6030" w:hanging="360"/>
      </w:pPr>
      <w:rPr>
        <w:rFonts w:ascii="Courier New" w:hAnsi="Courier New" w:cs="Courier New" w:hint="default"/>
      </w:rPr>
    </w:lvl>
    <w:lvl w:ilvl="8" w:tentative="1">
      <w:start w:val="1"/>
      <w:numFmt w:val="bullet"/>
      <w:lvlText w:val=""/>
      <w:lvlJc w:val="left"/>
      <w:pPr>
        <w:ind w:left="6750" w:hanging="360"/>
      </w:pPr>
      <w:rPr>
        <w:rFonts w:ascii="Wingdings" w:hAnsi="Wingdings" w:hint="default"/>
      </w:rPr>
    </w:lvl>
  </w:abstractNum>
  <w:num w:numId="1" w16cid:durableId="754399591">
    <w:abstractNumId w:val="25"/>
  </w:num>
  <w:num w:numId="2" w16cid:durableId="1267037773">
    <w:abstractNumId w:val="23"/>
  </w:num>
  <w:num w:numId="3" w16cid:durableId="1752772585">
    <w:abstractNumId w:val="12"/>
  </w:num>
  <w:num w:numId="4" w16cid:durableId="1115177444">
    <w:abstractNumId w:val="10"/>
  </w:num>
  <w:num w:numId="5" w16cid:durableId="1989744483">
    <w:abstractNumId w:val="3"/>
  </w:num>
  <w:num w:numId="6" w16cid:durableId="246962986">
    <w:abstractNumId w:val="27"/>
  </w:num>
  <w:num w:numId="7" w16cid:durableId="856387946">
    <w:abstractNumId w:val="30"/>
  </w:num>
  <w:num w:numId="8" w16cid:durableId="1466316414">
    <w:abstractNumId w:val="22"/>
  </w:num>
  <w:num w:numId="9" w16cid:durableId="1213885042">
    <w:abstractNumId w:val="36"/>
  </w:num>
  <w:num w:numId="10" w16cid:durableId="1486435029">
    <w:abstractNumId w:val="8"/>
  </w:num>
  <w:num w:numId="11" w16cid:durableId="929311845">
    <w:abstractNumId w:val="1"/>
  </w:num>
  <w:num w:numId="12" w16cid:durableId="733042856">
    <w:abstractNumId w:val="16"/>
  </w:num>
  <w:num w:numId="13" w16cid:durableId="108278471">
    <w:abstractNumId w:val="0"/>
  </w:num>
  <w:num w:numId="14" w16cid:durableId="1843086858">
    <w:abstractNumId w:val="31"/>
  </w:num>
  <w:num w:numId="15" w16cid:durableId="1039621279">
    <w:abstractNumId w:val="13"/>
  </w:num>
  <w:num w:numId="16" w16cid:durableId="778062251">
    <w:abstractNumId w:val="14"/>
  </w:num>
  <w:num w:numId="17" w16cid:durableId="849370190">
    <w:abstractNumId w:val="9"/>
  </w:num>
  <w:num w:numId="18" w16cid:durableId="519665192">
    <w:abstractNumId w:val="24"/>
  </w:num>
  <w:num w:numId="19" w16cid:durableId="194579484">
    <w:abstractNumId w:val="11"/>
  </w:num>
  <w:num w:numId="20" w16cid:durableId="1932077655">
    <w:abstractNumId w:val="35"/>
  </w:num>
  <w:num w:numId="21" w16cid:durableId="551886992">
    <w:abstractNumId w:val="2"/>
  </w:num>
  <w:num w:numId="22" w16cid:durableId="2098668005">
    <w:abstractNumId w:val="34"/>
  </w:num>
  <w:num w:numId="23" w16cid:durableId="401098067">
    <w:abstractNumId w:val="15"/>
  </w:num>
  <w:num w:numId="24" w16cid:durableId="1872691527">
    <w:abstractNumId w:val="21"/>
  </w:num>
  <w:num w:numId="25" w16cid:durableId="1358576671">
    <w:abstractNumId w:val="6"/>
  </w:num>
  <w:num w:numId="26" w16cid:durableId="1140808091">
    <w:abstractNumId w:val="19"/>
  </w:num>
  <w:num w:numId="27" w16cid:durableId="1700542549">
    <w:abstractNumId w:val="26"/>
  </w:num>
  <w:num w:numId="28" w16cid:durableId="674722648">
    <w:abstractNumId w:val="7"/>
  </w:num>
  <w:num w:numId="29" w16cid:durableId="1360665659">
    <w:abstractNumId w:val="29"/>
  </w:num>
  <w:num w:numId="30" w16cid:durableId="1884831878">
    <w:abstractNumId w:val="18"/>
  </w:num>
  <w:num w:numId="31" w16cid:durableId="1027943930">
    <w:abstractNumId w:val="4"/>
  </w:num>
  <w:num w:numId="32" w16cid:durableId="695696752">
    <w:abstractNumId w:val="20"/>
  </w:num>
  <w:num w:numId="33" w16cid:durableId="2015496005">
    <w:abstractNumId w:val="5"/>
  </w:num>
  <w:num w:numId="34" w16cid:durableId="1318144346">
    <w:abstractNumId w:val="28"/>
  </w:num>
  <w:num w:numId="35" w16cid:durableId="378625117">
    <w:abstractNumId w:val="32"/>
  </w:num>
  <w:num w:numId="36" w16cid:durableId="928209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1645399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FCB"/>
    <w:rsid w:val="0000177B"/>
    <w:rsid w:val="00002895"/>
    <w:rsid w:val="000036E7"/>
    <w:rsid w:val="00003B72"/>
    <w:rsid w:val="000051E8"/>
    <w:rsid w:val="000055C2"/>
    <w:rsid w:val="000056E4"/>
    <w:rsid w:val="00005AF1"/>
    <w:rsid w:val="0000792F"/>
    <w:rsid w:val="0000795C"/>
    <w:rsid w:val="000137EA"/>
    <w:rsid w:val="00013916"/>
    <w:rsid w:val="00014022"/>
    <w:rsid w:val="0001556E"/>
    <w:rsid w:val="00015AB3"/>
    <w:rsid w:val="00015E7E"/>
    <w:rsid w:val="000165E3"/>
    <w:rsid w:val="00017037"/>
    <w:rsid w:val="00017F0C"/>
    <w:rsid w:val="00017F81"/>
    <w:rsid w:val="0002113E"/>
    <w:rsid w:val="00021493"/>
    <w:rsid w:val="00022757"/>
    <w:rsid w:val="000230EF"/>
    <w:rsid w:val="000236A7"/>
    <w:rsid w:val="00023788"/>
    <w:rsid w:val="00023F39"/>
    <w:rsid w:val="00023F60"/>
    <w:rsid w:val="00025BEE"/>
    <w:rsid w:val="00025C23"/>
    <w:rsid w:val="000269E4"/>
    <w:rsid w:val="00026F69"/>
    <w:rsid w:val="00027209"/>
    <w:rsid w:val="000278F8"/>
    <w:rsid w:val="00027A77"/>
    <w:rsid w:val="0003283B"/>
    <w:rsid w:val="00034B42"/>
    <w:rsid w:val="000353DA"/>
    <w:rsid w:val="000356D3"/>
    <w:rsid w:val="00035F1C"/>
    <w:rsid w:val="00036737"/>
    <w:rsid w:val="00041EAE"/>
    <w:rsid w:val="00041FBB"/>
    <w:rsid w:val="00042FE3"/>
    <w:rsid w:val="00043725"/>
    <w:rsid w:val="00043CD0"/>
    <w:rsid w:val="00043EEF"/>
    <w:rsid w:val="00044764"/>
    <w:rsid w:val="000456A6"/>
    <w:rsid w:val="0004629E"/>
    <w:rsid w:val="000474CE"/>
    <w:rsid w:val="000477A6"/>
    <w:rsid w:val="00047942"/>
    <w:rsid w:val="00047F68"/>
    <w:rsid w:val="00050BA3"/>
    <w:rsid w:val="00051C3A"/>
    <w:rsid w:val="0005277F"/>
    <w:rsid w:val="000543FF"/>
    <w:rsid w:val="00060E16"/>
    <w:rsid w:val="000610E2"/>
    <w:rsid w:val="0006119E"/>
    <w:rsid w:val="00064079"/>
    <w:rsid w:val="00064409"/>
    <w:rsid w:val="00066819"/>
    <w:rsid w:val="00066E34"/>
    <w:rsid w:val="00066F47"/>
    <w:rsid w:val="000673AB"/>
    <w:rsid w:val="000675C5"/>
    <w:rsid w:val="0006781A"/>
    <w:rsid w:val="00067D7D"/>
    <w:rsid w:val="00070054"/>
    <w:rsid w:val="00070227"/>
    <w:rsid w:val="000709D7"/>
    <w:rsid w:val="00070B99"/>
    <w:rsid w:val="00070E4A"/>
    <w:rsid w:val="00071729"/>
    <w:rsid w:val="00073B0B"/>
    <w:rsid w:val="00074DCB"/>
    <w:rsid w:val="00076FFD"/>
    <w:rsid w:val="00077B16"/>
    <w:rsid w:val="0008004C"/>
    <w:rsid w:val="0008258D"/>
    <w:rsid w:val="00082A84"/>
    <w:rsid w:val="00082C3F"/>
    <w:rsid w:val="00082CC6"/>
    <w:rsid w:val="00084169"/>
    <w:rsid w:val="00084BB2"/>
    <w:rsid w:val="00084CD2"/>
    <w:rsid w:val="00084F88"/>
    <w:rsid w:val="000873AA"/>
    <w:rsid w:val="00090F17"/>
    <w:rsid w:val="00090F25"/>
    <w:rsid w:val="0009110C"/>
    <w:rsid w:val="00091895"/>
    <w:rsid w:val="00092B57"/>
    <w:rsid w:val="00092B62"/>
    <w:rsid w:val="00093DF4"/>
    <w:rsid w:val="00094020"/>
    <w:rsid w:val="000941DC"/>
    <w:rsid w:val="0009466A"/>
    <w:rsid w:val="00095051"/>
    <w:rsid w:val="00095227"/>
    <w:rsid w:val="00095561"/>
    <w:rsid w:val="000967E3"/>
    <w:rsid w:val="000968B8"/>
    <w:rsid w:val="00096DD8"/>
    <w:rsid w:val="000979B6"/>
    <w:rsid w:val="00097AD2"/>
    <w:rsid w:val="00097D6A"/>
    <w:rsid w:val="000A0A45"/>
    <w:rsid w:val="000A1ACE"/>
    <w:rsid w:val="000A1B3A"/>
    <w:rsid w:val="000A2BB9"/>
    <w:rsid w:val="000A3256"/>
    <w:rsid w:val="000A3E53"/>
    <w:rsid w:val="000A4D7B"/>
    <w:rsid w:val="000A4F01"/>
    <w:rsid w:val="000A51FF"/>
    <w:rsid w:val="000A5C15"/>
    <w:rsid w:val="000A5D80"/>
    <w:rsid w:val="000A6E00"/>
    <w:rsid w:val="000A7ECE"/>
    <w:rsid w:val="000B02E4"/>
    <w:rsid w:val="000B2898"/>
    <w:rsid w:val="000B2E13"/>
    <w:rsid w:val="000B47F3"/>
    <w:rsid w:val="000B4990"/>
    <w:rsid w:val="000B775D"/>
    <w:rsid w:val="000C029D"/>
    <w:rsid w:val="000C0CBB"/>
    <w:rsid w:val="000C20C6"/>
    <w:rsid w:val="000C3FBF"/>
    <w:rsid w:val="000C411F"/>
    <w:rsid w:val="000C427B"/>
    <w:rsid w:val="000C47D8"/>
    <w:rsid w:val="000C4B03"/>
    <w:rsid w:val="000C5A4C"/>
    <w:rsid w:val="000C5A66"/>
    <w:rsid w:val="000C5FB3"/>
    <w:rsid w:val="000C6734"/>
    <w:rsid w:val="000D0142"/>
    <w:rsid w:val="000D04F7"/>
    <w:rsid w:val="000D0711"/>
    <w:rsid w:val="000D10F4"/>
    <w:rsid w:val="000D2F57"/>
    <w:rsid w:val="000D411F"/>
    <w:rsid w:val="000D4771"/>
    <w:rsid w:val="000D4DC0"/>
    <w:rsid w:val="000E034C"/>
    <w:rsid w:val="000E121D"/>
    <w:rsid w:val="000E1751"/>
    <w:rsid w:val="000E1D39"/>
    <w:rsid w:val="000E2182"/>
    <w:rsid w:val="000E29F8"/>
    <w:rsid w:val="000E2A53"/>
    <w:rsid w:val="000E3693"/>
    <w:rsid w:val="000E3CDE"/>
    <w:rsid w:val="000E444B"/>
    <w:rsid w:val="000E4CF3"/>
    <w:rsid w:val="000E4FE7"/>
    <w:rsid w:val="000E56C9"/>
    <w:rsid w:val="000E642C"/>
    <w:rsid w:val="000E71B3"/>
    <w:rsid w:val="000F011B"/>
    <w:rsid w:val="000F0744"/>
    <w:rsid w:val="000F11F4"/>
    <w:rsid w:val="000F3216"/>
    <w:rsid w:val="000F41B7"/>
    <w:rsid w:val="000F4441"/>
    <w:rsid w:val="000F5ADA"/>
    <w:rsid w:val="000F6904"/>
    <w:rsid w:val="000F7A77"/>
    <w:rsid w:val="000F7E48"/>
    <w:rsid w:val="0010082A"/>
    <w:rsid w:val="00101059"/>
    <w:rsid w:val="00101469"/>
    <w:rsid w:val="00101BD6"/>
    <w:rsid w:val="00102729"/>
    <w:rsid w:val="00102C8F"/>
    <w:rsid w:val="00104846"/>
    <w:rsid w:val="00106E6D"/>
    <w:rsid w:val="001072FF"/>
    <w:rsid w:val="00107445"/>
    <w:rsid w:val="00111F91"/>
    <w:rsid w:val="001120CA"/>
    <w:rsid w:val="001124F6"/>
    <w:rsid w:val="001127B4"/>
    <w:rsid w:val="0011296E"/>
    <w:rsid w:val="00113A1E"/>
    <w:rsid w:val="00113B52"/>
    <w:rsid w:val="00114041"/>
    <w:rsid w:val="001149CE"/>
    <w:rsid w:val="001150EE"/>
    <w:rsid w:val="00117C79"/>
    <w:rsid w:val="00121E41"/>
    <w:rsid w:val="00122656"/>
    <w:rsid w:val="00122747"/>
    <w:rsid w:val="0012364B"/>
    <w:rsid w:val="00123D1B"/>
    <w:rsid w:val="00124F55"/>
    <w:rsid w:val="0012533C"/>
    <w:rsid w:val="00127F99"/>
    <w:rsid w:val="00130338"/>
    <w:rsid w:val="001303FD"/>
    <w:rsid w:val="0013104B"/>
    <w:rsid w:val="00131556"/>
    <w:rsid w:val="001319E6"/>
    <w:rsid w:val="00134DCE"/>
    <w:rsid w:val="001355EE"/>
    <w:rsid w:val="001363C9"/>
    <w:rsid w:val="00136E4C"/>
    <w:rsid w:val="00140DC5"/>
    <w:rsid w:val="00140F4E"/>
    <w:rsid w:val="001415E3"/>
    <w:rsid w:val="00141D9E"/>
    <w:rsid w:val="0014415B"/>
    <w:rsid w:val="00144473"/>
    <w:rsid w:val="00145330"/>
    <w:rsid w:val="0014570F"/>
    <w:rsid w:val="00145878"/>
    <w:rsid w:val="00150BF4"/>
    <w:rsid w:val="001518D2"/>
    <w:rsid w:val="00152056"/>
    <w:rsid w:val="0015280E"/>
    <w:rsid w:val="00152B52"/>
    <w:rsid w:val="00152EA8"/>
    <w:rsid w:val="00152FDF"/>
    <w:rsid w:val="00153A3B"/>
    <w:rsid w:val="00153FD0"/>
    <w:rsid w:val="001543B4"/>
    <w:rsid w:val="00154907"/>
    <w:rsid w:val="00154FB9"/>
    <w:rsid w:val="00157138"/>
    <w:rsid w:val="001574B9"/>
    <w:rsid w:val="001601F8"/>
    <w:rsid w:val="00160211"/>
    <w:rsid w:val="00161EBF"/>
    <w:rsid w:val="00162682"/>
    <w:rsid w:val="001637CD"/>
    <w:rsid w:val="00164DA0"/>
    <w:rsid w:val="0016554B"/>
    <w:rsid w:val="00166E22"/>
    <w:rsid w:val="00167795"/>
    <w:rsid w:val="001706F4"/>
    <w:rsid w:val="00170A17"/>
    <w:rsid w:val="00170D27"/>
    <w:rsid w:val="001710BE"/>
    <w:rsid w:val="00171645"/>
    <w:rsid w:val="001721E9"/>
    <w:rsid w:val="00172219"/>
    <w:rsid w:val="0017233A"/>
    <w:rsid w:val="0017397D"/>
    <w:rsid w:val="0017488C"/>
    <w:rsid w:val="00174A2E"/>
    <w:rsid w:val="00175840"/>
    <w:rsid w:val="00175A31"/>
    <w:rsid w:val="00175CC7"/>
    <w:rsid w:val="00175E0F"/>
    <w:rsid w:val="0017609F"/>
    <w:rsid w:val="0017611E"/>
    <w:rsid w:val="00176BBC"/>
    <w:rsid w:val="0018052C"/>
    <w:rsid w:val="001808DD"/>
    <w:rsid w:val="00180A98"/>
    <w:rsid w:val="00181C0D"/>
    <w:rsid w:val="00181D39"/>
    <w:rsid w:val="00182D04"/>
    <w:rsid w:val="0018335C"/>
    <w:rsid w:val="00183E97"/>
    <w:rsid w:val="001843C9"/>
    <w:rsid w:val="001859F1"/>
    <w:rsid w:val="00185AB0"/>
    <w:rsid w:val="00185DBE"/>
    <w:rsid w:val="001860EC"/>
    <w:rsid w:val="00186164"/>
    <w:rsid w:val="00187204"/>
    <w:rsid w:val="001906A1"/>
    <w:rsid w:val="00190B2D"/>
    <w:rsid w:val="00191131"/>
    <w:rsid w:val="00191221"/>
    <w:rsid w:val="00191B3B"/>
    <w:rsid w:val="0019313F"/>
    <w:rsid w:val="00193625"/>
    <w:rsid w:val="00193B32"/>
    <w:rsid w:val="0019469E"/>
    <w:rsid w:val="00194D16"/>
    <w:rsid w:val="001960EC"/>
    <w:rsid w:val="001975BD"/>
    <w:rsid w:val="001A0AC4"/>
    <w:rsid w:val="001A0AD7"/>
    <w:rsid w:val="001A0B37"/>
    <w:rsid w:val="001A1993"/>
    <w:rsid w:val="001A1EB5"/>
    <w:rsid w:val="001A2171"/>
    <w:rsid w:val="001A2462"/>
    <w:rsid w:val="001A253C"/>
    <w:rsid w:val="001A3C31"/>
    <w:rsid w:val="001A4605"/>
    <w:rsid w:val="001A5074"/>
    <w:rsid w:val="001A5D4F"/>
    <w:rsid w:val="001A6C34"/>
    <w:rsid w:val="001A7059"/>
    <w:rsid w:val="001A708A"/>
    <w:rsid w:val="001A72DE"/>
    <w:rsid w:val="001A741D"/>
    <w:rsid w:val="001A791A"/>
    <w:rsid w:val="001A7E31"/>
    <w:rsid w:val="001B0020"/>
    <w:rsid w:val="001B0A39"/>
    <w:rsid w:val="001B0B7A"/>
    <w:rsid w:val="001B1939"/>
    <w:rsid w:val="001B3A6F"/>
    <w:rsid w:val="001B4125"/>
    <w:rsid w:val="001B51BA"/>
    <w:rsid w:val="001B662A"/>
    <w:rsid w:val="001B7D41"/>
    <w:rsid w:val="001C0FB6"/>
    <w:rsid w:val="001C15B6"/>
    <w:rsid w:val="001C2443"/>
    <w:rsid w:val="001C34F8"/>
    <w:rsid w:val="001C430D"/>
    <w:rsid w:val="001C5AF3"/>
    <w:rsid w:val="001C6A01"/>
    <w:rsid w:val="001C7A00"/>
    <w:rsid w:val="001C7AEF"/>
    <w:rsid w:val="001D01AD"/>
    <w:rsid w:val="001D0BA4"/>
    <w:rsid w:val="001D0E6D"/>
    <w:rsid w:val="001D0EEF"/>
    <w:rsid w:val="001D1FEA"/>
    <w:rsid w:val="001D2861"/>
    <w:rsid w:val="001D3031"/>
    <w:rsid w:val="001D46C3"/>
    <w:rsid w:val="001D5631"/>
    <w:rsid w:val="001D5EF6"/>
    <w:rsid w:val="001D643B"/>
    <w:rsid w:val="001D64AB"/>
    <w:rsid w:val="001D67DC"/>
    <w:rsid w:val="001D6B8B"/>
    <w:rsid w:val="001D7888"/>
    <w:rsid w:val="001E0380"/>
    <w:rsid w:val="001E0548"/>
    <w:rsid w:val="001E0C97"/>
    <w:rsid w:val="001E38B2"/>
    <w:rsid w:val="001E403E"/>
    <w:rsid w:val="001E4959"/>
    <w:rsid w:val="001E49B8"/>
    <w:rsid w:val="001E4B25"/>
    <w:rsid w:val="001E50BC"/>
    <w:rsid w:val="001E583C"/>
    <w:rsid w:val="001E6213"/>
    <w:rsid w:val="001E72E4"/>
    <w:rsid w:val="001E74B0"/>
    <w:rsid w:val="001F0671"/>
    <w:rsid w:val="001F1EF2"/>
    <w:rsid w:val="001F204A"/>
    <w:rsid w:val="001F229E"/>
    <w:rsid w:val="001F2575"/>
    <w:rsid w:val="001F3658"/>
    <w:rsid w:val="001F3E34"/>
    <w:rsid w:val="001F416F"/>
    <w:rsid w:val="001F44E5"/>
    <w:rsid w:val="001F4806"/>
    <w:rsid w:val="001F5E19"/>
    <w:rsid w:val="001F607F"/>
    <w:rsid w:val="001F6EF5"/>
    <w:rsid w:val="001F7840"/>
    <w:rsid w:val="001F7E7E"/>
    <w:rsid w:val="002000D1"/>
    <w:rsid w:val="00200BDF"/>
    <w:rsid w:val="00200CE7"/>
    <w:rsid w:val="00201444"/>
    <w:rsid w:val="00201680"/>
    <w:rsid w:val="00201A71"/>
    <w:rsid w:val="00201CE1"/>
    <w:rsid w:val="002032E9"/>
    <w:rsid w:val="00203EC1"/>
    <w:rsid w:val="0020465D"/>
    <w:rsid w:val="0020751A"/>
    <w:rsid w:val="002078A9"/>
    <w:rsid w:val="00210926"/>
    <w:rsid w:val="00211DBC"/>
    <w:rsid w:val="00211E1F"/>
    <w:rsid w:val="00212443"/>
    <w:rsid w:val="002128D8"/>
    <w:rsid w:val="00213763"/>
    <w:rsid w:val="002145DA"/>
    <w:rsid w:val="0021488A"/>
    <w:rsid w:val="00215880"/>
    <w:rsid w:val="00215E19"/>
    <w:rsid w:val="00215E7D"/>
    <w:rsid w:val="002162F7"/>
    <w:rsid w:val="00216ED7"/>
    <w:rsid w:val="00217154"/>
    <w:rsid w:val="0022012A"/>
    <w:rsid w:val="00221D99"/>
    <w:rsid w:val="002234B4"/>
    <w:rsid w:val="00223A2D"/>
    <w:rsid w:val="0022496C"/>
    <w:rsid w:val="00225BAB"/>
    <w:rsid w:val="00225D69"/>
    <w:rsid w:val="0022628C"/>
    <w:rsid w:val="00227028"/>
    <w:rsid w:val="00227AA0"/>
    <w:rsid w:val="00227B2B"/>
    <w:rsid w:val="00231B62"/>
    <w:rsid w:val="00231BA2"/>
    <w:rsid w:val="0023291A"/>
    <w:rsid w:val="0023298D"/>
    <w:rsid w:val="002329D0"/>
    <w:rsid w:val="00233374"/>
    <w:rsid w:val="00235105"/>
    <w:rsid w:val="00236C42"/>
    <w:rsid w:val="0023732D"/>
    <w:rsid w:val="00237F54"/>
    <w:rsid w:val="002408FD"/>
    <w:rsid w:val="00241064"/>
    <w:rsid w:val="00241DA8"/>
    <w:rsid w:val="00242D47"/>
    <w:rsid w:val="0024371B"/>
    <w:rsid w:val="00245491"/>
    <w:rsid w:val="002462E5"/>
    <w:rsid w:val="00246F35"/>
    <w:rsid w:val="00247239"/>
    <w:rsid w:val="002474AE"/>
    <w:rsid w:val="00247573"/>
    <w:rsid w:val="0024771E"/>
    <w:rsid w:val="002479F7"/>
    <w:rsid w:val="0025071C"/>
    <w:rsid w:val="00250FFD"/>
    <w:rsid w:val="0025211B"/>
    <w:rsid w:val="00252722"/>
    <w:rsid w:val="002527BF"/>
    <w:rsid w:val="00252B6D"/>
    <w:rsid w:val="00253A1B"/>
    <w:rsid w:val="00254637"/>
    <w:rsid w:val="00256B42"/>
    <w:rsid w:val="00257AD0"/>
    <w:rsid w:val="00260006"/>
    <w:rsid w:val="0026002E"/>
    <w:rsid w:val="002608EB"/>
    <w:rsid w:val="0026187A"/>
    <w:rsid w:val="00261CB8"/>
    <w:rsid w:val="00261CF8"/>
    <w:rsid w:val="00262840"/>
    <w:rsid w:val="00264D46"/>
    <w:rsid w:val="00265C66"/>
    <w:rsid w:val="002660E6"/>
    <w:rsid w:val="002664D2"/>
    <w:rsid w:val="002674C2"/>
    <w:rsid w:val="002703EC"/>
    <w:rsid w:val="0027113B"/>
    <w:rsid w:val="002742D3"/>
    <w:rsid w:val="002744F8"/>
    <w:rsid w:val="002746AC"/>
    <w:rsid w:val="00275070"/>
    <w:rsid w:val="00275737"/>
    <w:rsid w:val="0027709D"/>
    <w:rsid w:val="002819FF"/>
    <w:rsid w:val="00283733"/>
    <w:rsid w:val="00283FAE"/>
    <w:rsid w:val="00286A65"/>
    <w:rsid w:val="00286C05"/>
    <w:rsid w:val="00287450"/>
    <w:rsid w:val="002908FE"/>
    <w:rsid w:val="0029136E"/>
    <w:rsid w:val="00292409"/>
    <w:rsid w:val="00292465"/>
    <w:rsid w:val="00294DA6"/>
    <w:rsid w:val="002952B6"/>
    <w:rsid w:val="00295C70"/>
    <w:rsid w:val="00295F51"/>
    <w:rsid w:val="00296200"/>
    <w:rsid w:val="002967EA"/>
    <w:rsid w:val="0029E950"/>
    <w:rsid w:val="002A01C1"/>
    <w:rsid w:val="002A0CF2"/>
    <w:rsid w:val="002A1230"/>
    <w:rsid w:val="002A1478"/>
    <w:rsid w:val="002A19BC"/>
    <w:rsid w:val="002A224F"/>
    <w:rsid w:val="002A3335"/>
    <w:rsid w:val="002A39B4"/>
    <w:rsid w:val="002A3C48"/>
    <w:rsid w:val="002A3EBD"/>
    <w:rsid w:val="002A42D2"/>
    <w:rsid w:val="002A4557"/>
    <w:rsid w:val="002A5386"/>
    <w:rsid w:val="002A5610"/>
    <w:rsid w:val="002B06D2"/>
    <w:rsid w:val="002B2412"/>
    <w:rsid w:val="002B25EF"/>
    <w:rsid w:val="002B2E85"/>
    <w:rsid w:val="002B2EB4"/>
    <w:rsid w:val="002B35E0"/>
    <w:rsid w:val="002B36CF"/>
    <w:rsid w:val="002B5AA0"/>
    <w:rsid w:val="002B61A4"/>
    <w:rsid w:val="002B62EA"/>
    <w:rsid w:val="002B6816"/>
    <w:rsid w:val="002B7AE1"/>
    <w:rsid w:val="002C02BA"/>
    <w:rsid w:val="002C1558"/>
    <w:rsid w:val="002C3216"/>
    <w:rsid w:val="002C3980"/>
    <w:rsid w:val="002C4DBC"/>
    <w:rsid w:val="002C5F0E"/>
    <w:rsid w:val="002C6C34"/>
    <w:rsid w:val="002C7948"/>
    <w:rsid w:val="002D139A"/>
    <w:rsid w:val="002D1526"/>
    <w:rsid w:val="002D2125"/>
    <w:rsid w:val="002D2334"/>
    <w:rsid w:val="002D2875"/>
    <w:rsid w:val="002D42D3"/>
    <w:rsid w:val="002D4C9E"/>
    <w:rsid w:val="002D6B3B"/>
    <w:rsid w:val="002D6CA4"/>
    <w:rsid w:val="002D7BCA"/>
    <w:rsid w:val="002E01E3"/>
    <w:rsid w:val="002E0AD3"/>
    <w:rsid w:val="002E1795"/>
    <w:rsid w:val="002E1CA8"/>
    <w:rsid w:val="002E1E9A"/>
    <w:rsid w:val="002E2B92"/>
    <w:rsid w:val="002E2D9F"/>
    <w:rsid w:val="002E3246"/>
    <w:rsid w:val="002E3364"/>
    <w:rsid w:val="002E35CB"/>
    <w:rsid w:val="002E4427"/>
    <w:rsid w:val="002E4C2A"/>
    <w:rsid w:val="002E6DAD"/>
    <w:rsid w:val="002E73BC"/>
    <w:rsid w:val="002E7B83"/>
    <w:rsid w:val="002E7DBF"/>
    <w:rsid w:val="002E7E07"/>
    <w:rsid w:val="002E7FB6"/>
    <w:rsid w:val="002F0F66"/>
    <w:rsid w:val="002F1208"/>
    <w:rsid w:val="002F164A"/>
    <w:rsid w:val="002F2852"/>
    <w:rsid w:val="002F2B74"/>
    <w:rsid w:val="002F3D83"/>
    <w:rsid w:val="002F3E73"/>
    <w:rsid w:val="002F4646"/>
    <w:rsid w:val="002F515E"/>
    <w:rsid w:val="002F5C81"/>
    <w:rsid w:val="002F6B9D"/>
    <w:rsid w:val="002F75DD"/>
    <w:rsid w:val="002F7F3F"/>
    <w:rsid w:val="002F7F60"/>
    <w:rsid w:val="00300C8D"/>
    <w:rsid w:val="00301609"/>
    <w:rsid w:val="00301FDC"/>
    <w:rsid w:val="003023A5"/>
    <w:rsid w:val="00302AF3"/>
    <w:rsid w:val="00302D42"/>
    <w:rsid w:val="00302DE8"/>
    <w:rsid w:val="00303DC5"/>
    <w:rsid w:val="00303FF8"/>
    <w:rsid w:val="00304F33"/>
    <w:rsid w:val="003054FA"/>
    <w:rsid w:val="0030664E"/>
    <w:rsid w:val="00306863"/>
    <w:rsid w:val="003075C0"/>
    <w:rsid w:val="003101EC"/>
    <w:rsid w:val="00310434"/>
    <w:rsid w:val="00311659"/>
    <w:rsid w:val="00312015"/>
    <w:rsid w:val="0031424C"/>
    <w:rsid w:val="00314892"/>
    <w:rsid w:val="00314F3D"/>
    <w:rsid w:val="00315C02"/>
    <w:rsid w:val="00315DF4"/>
    <w:rsid w:val="00320804"/>
    <w:rsid w:val="00320D11"/>
    <w:rsid w:val="00321A8D"/>
    <w:rsid w:val="00321D00"/>
    <w:rsid w:val="00323D4B"/>
    <w:rsid w:val="003243DE"/>
    <w:rsid w:val="00324E27"/>
    <w:rsid w:val="003258DF"/>
    <w:rsid w:val="00325D3B"/>
    <w:rsid w:val="003264A7"/>
    <w:rsid w:val="00326772"/>
    <w:rsid w:val="00327DD6"/>
    <w:rsid w:val="003312F6"/>
    <w:rsid w:val="003314AE"/>
    <w:rsid w:val="00331CA3"/>
    <w:rsid w:val="003328D5"/>
    <w:rsid w:val="00332CC9"/>
    <w:rsid w:val="0033321D"/>
    <w:rsid w:val="00333524"/>
    <w:rsid w:val="00333796"/>
    <w:rsid w:val="003338CA"/>
    <w:rsid w:val="00333D9D"/>
    <w:rsid w:val="003407F1"/>
    <w:rsid w:val="00341429"/>
    <w:rsid w:val="00341BA6"/>
    <w:rsid w:val="00341D59"/>
    <w:rsid w:val="00341E3B"/>
    <w:rsid w:val="0034216D"/>
    <w:rsid w:val="0034267C"/>
    <w:rsid w:val="003426BD"/>
    <w:rsid w:val="0034447E"/>
    <w:rsid w:val="003446F2"/>
    <w:rsid w:val="00344B1B"/>
    <w:rsid w:val="00344B66"/>
    <w:rsid w:val="003452E1"/>
    <w:rsid w:val="00345E1D"/>
    <w:rsid w:val="003464A4"/>
    <w:rsid w:val="003466E5"/>
    <w:rsid w:val="00346853"/>
    <w:rsid w:val="00346AAF"/>
    <w:rsid w:val="00347134"/>
    <w:rsid w:val="003477BF"/>
    <w:rsid w:val="00347BFC"/>
    <w:rsid w:val="00351EFE"/>
    <w:rsid w:val="00352727"/>
    <w:rsid w:val="00352B72"/>
    <w:rsid w:val="00353105"/>
    <w:rsid w:val="003532B5"/>
    <w:rsid w:val="003550DF"/>
    <w:rsid w:val="0035744F"/>
    <w:rsid w:val="00360C79"/>
    <w:rsid w:val="003610BF"/>
    <w:rsid w:val="00361B91"/>
    <w:rsid w:val="00361FC2"/>
    <w:rsid w:val="003620C0"/>
    <w:rsid w:val="0036278E"/>
    <w:rsid w:val="003637CF"/>
    <w:rsid w:val="00364036"/>
    <w:rsid w:val="00364525"/>
    <w:rsid w:val="0036630F"/>
    <w:rsid w:val="0037144B"/>
    <w:rsid w:val="003714B2"/>
    <w:rsid w:val="003717C0"/>
    <w:rsid w:val="00373697"/>
    <w:rsid w:val="00374076"/>
    <w:rsid w:val="003748FE"/>
    <w:rsid w:val="003758A3"/>
    <w:rsid w:val="00376A62"/>
    <w:rsid w:val="00377542"/>
    <w:rsid w:val="00377E0D"/>
    <w:rsid w:val="00380681"/>
    <w:rsid w:val="0038070F"/>
    <w:rsid w:val="00380787"/>
    <w:rsid w:val="003807AB"/>
    <w:rsid w:val="00382E18"/>
    <w:rsid w:val="0038350E"/>
    <w:rsid w:val="003842EF"/>
    <w:rsid w:val="00384655"/>
    <w:rsid w:val="00384783"/>
    <w:rsid w:val="00384F9F"/>
    <w:rsid w:val="0038507C"/>
    <w:rsid w:val="00385330"/>
    <w:rsid w:val="00386A84"/>
    <w:rsid w:val="00390062"/>
    <w:rsid w:val="003912C9"/>
    <w:rsid w:val="00391AE8"/>
    <w:rsid w:val="003920EF"/>
    <w:rsid w:val="003949FE"/>
    <w:rsid w:val="00394F14"/>
    <w:rsid w:val="00395041"/>
    <w:rsid w:val="00395CA8"/>
    <w:rsid w:val="0039643B"/>
    <w:rsid w:val="003A0E8D"/>
    <w:rsid w:val="003A2A35"/>
    <w:rsid w:val="003A5531"/>
    <w:rsid w:val="003A58ED"/>
    <w:rsid w:val="003A6106"/>
    <w:rsid w:val="003A63D1"/>
    <w:rsid w:val="003A6B65"/>
    <w:rsid w:val="003A73A5"/>
    <w:rsid w:val="003B0A99"/>
    <w:rsid w:val="003B15ED"/>
    <w:rsid w:val="003B1B6C"/>
    <w:rsid w:val="003B1D90"/>
    <w:rsid w:val="003B2482"/>
    <w:rsid w:val="003B2BA8"/>
    <w:rsid w:val="003B2EF5"/>
    <w:rsid w:val="003B3304"/>
    <w:rsid w:val="003B4771"/>
    <w:rsid w:val="003B49A2"/>
    <w:rsid w:val="003B4BD1"/>
    <w:rsid w:val="003B5355"/>
    <w:rsid w:val="003B581C"/>
    <w:rsid w:val="003B5935"/>
    <w:rsid w:val="003B5D47"/>
    <w:rsid w:val="003B7512"/>
    <w:rsid w:val="003B7D28"/>
    <w:rsid w:val="003B7E72"/>
    <w:rsid w:val="003C0F24"/>
    <w:rsid w:val="003C1809"/>
    <w:rsid w:val="003C2E0E"/>
    <w:rsid w:val="003C490F"/>
    <w:rsid w:val="003C495C"/>
    <w:rsid w:val="003C58DC"/>
    <w:rsid w:val="003C5FD5"/>
    <w:rsid w:val="003C7CC1"/>
    <w:rsid w:val="003D1704"/>
    <w:rsid w:val="003D1D72"/>
    <w:rsid w:val="003D6A09"/>
    <w:rsid w:val="003D6A14"/>
    <w:rsid w:val="003D6B6F"/>
    <w:rsid w:val="003D731A"/>
    <w:rsid w:val="003E0EF4"/>
    <w:rsid w:val="003E1C68"/>
    <w:rsid w:val="003E2BC5"/>
    <w:rsid w:val="003E33EF"/>
    <w:rsid w:val="003E3F65"/>
    <w:rsid w:val="003E41E6"/>
    <w:rsid w:val="003E4308"/>
    <w:rsid w:val="003E4DCD"/>
    <w:rsid w:val="003E55EB"/>
    <w:rsid w:val="003E5DB0"/>
    <w:rsid w:val="003E70FA"/>
    <w:rsid w:val="003F034E"/>
    <w:rsid w:val="003F0808"/>
    <w:rsid w:val="003F14AA"/>
    <w:rsid w:val="003F19E5"/>
    <w:rsid w:val="003F19F1"/>
    <w:rsid w:val="003F20E9"/>
    <w:rsid w:val="003F230C"/>
    <w:rsid w:val="003F31C2"/>
    <w:rsid w:val="003F5122"/>
    <w:rsid w:val="003F5644"/>
    <w:rsid w:val="003F6F63"/>
    <w:rsid w:val="004006C8"/>
    <w:rsid w:val="00400A64"/>
    <w:rsid w:val="00400D17"/>
    <w:rsid w:val="00401C86"/>
    <w:rsid w:val="004023E0"/>
    <w:rsid w:val="00403D86"/>
    <w:rsid w:val="00403E9F"/>
    <w:rsid w:val="004052E4"/>
    <w:rsid w:val="0040611D"/>
    <w:rsid w:val="0040689E"/>
    <w:rsid w:val="00406A13"/>
    <w:rsid w:val="004071C6"/>
    <w:rsid w:val="00410035"/>
    <w:rsid w:val="0041079F"/>
    <w:rsid w:val="00410D99"/>
    <w:rsid w:val="00415A8F"/>
    <w:rsid w:val="00415F6D"/>
    <w:rsid w:val="00417295"/>
    <w:rsid w:val="004211EC"/>
    <w:rsid w:val="004211F6"/>
    <w:rsid w:val="0042167C"/>
    <w:rsid w:val="00421694"/>
    <w:rsid w:val="004216DE"/>
    <w:rsid w:val="004218F9"/>
    <w:rsid w:val="00422190"/>
    <w:rsid w:val="00422271"/>
    <w:rsid w:val="00423C78"/>
    <w:rsid w:val="0042418E"/>
    <w:rsid w:val="00425452"/>
    <w:rsid w:val="00426E05"/>
    <w:rsid w:val="004279E0"/>
    <w:rsid w:val="00427FC4"/>
    <w:rsid w:val="0043137E"/>
    <w:rsid w:val="00431EEE"/>
    <w:rsid w:val="0043201F"/>
    <w:rsid w:val="004324B6"/>
    <w:rsid w:val="00433571"/>
    <w:rsid w:val="00433B0D"/>
    <w:rsid w:val="00433BA5"/>
    <w:rsid w:val="00434A11"/>
    <w:rsid w:val="00434A98"/>
    <w:rsid w:val="00434B90"/>
    <w:rsid w:val="004354C4"/>
    <w:rsid w:val="00436A9C"/>
    <w:rsid w:val="00436BBB"/>
    <w:rsid w:val="004373A1"/>
    <w:rsid w:val="00437638"/>
    <w:rsid w:val="00441029"/>
    <w:rsid w:val="00441068"/>
    <w:rsid w:val="004412EF"/>
    <w:rsid w:val="004417E8"/>
    <w:rsid w:val="00441830"/>
    <w:rsid w:val="0044186B"/>
    <w:rsid w:val="004421A9"/>
    <w:rsid w:val="004437F1"/>
    <w:rsid w:val="00444080"/>
    <w:rsid w:val="0044648C"/>
    <w:rsid w:val="00446DEA"/>
    <w:rsid w:val="004471B7"/>
    <w:rsid w:val="00451236"/>
    <w:rsid w:val="0045149D"/>
    <w:rsid w:val="00451577"/>
    <w:rsid w:val="00451A32"/>
    <w:rsid w:val="00451A95"/>
    <w:rsid w:val="0045255C"/>
    <w:rsid w:val="00452C05"/>
    <w:rsid w:val="0045371B"/>
    <w:rsid w:val="00453869"/>
    <w:rsid w:val="0045397D"/>
    <w:rsid w:val="0045449E"/>
    <w:rsid w:val="0045460B"/>
    <w:rsid w:val="00454930"/>
    <w:rsid w:val="00456AC8"/>
    <w:rsid w:val="00456F1C"/>
    <w:rsid w:val="004570B5"/>
    <w:rsid w:val="004574BC"/>
    <w:rsid w:val="00457B22"/>
    <w:rsid w:val="00457DB0"/>
    <w:rsid w:val="00460726"/>
    <w:rsid w:val="00460A99"/>
    <w:rsid w:val="00460EB3"/>
    <w:rsid w:val="004613B8"/>
    <w:rsid w:val="0046370E"/>
    <w:rsid w:val="0046449A"/>
    <w:rsid w:val="00464A80"/>
    <w:rsid w:val="00464C19"/>
    <w:rsid w:val="0046592D"/>
    <w:rsid w:val="00466D3C"/>
    <w:rsid w:val="00467170"/>
    <w:rsid w:val="00470C61"/>
    <w:rsid w:val="00470E36"/>
    <w:rsid w:val="00471EF9"/>
    <w:rsid w:val="0047210E"/>
    <w:rsid w:val="00475437"/>
    <w:rsid w:val="004756CB"/>
    <w:rsid w:val="00475D27"/>
    <w:rsid w:val="00476535"/>
    <w:rsid w:val="0047683F"/>
    <w:rsid w:val="0047693F"/>
    <w:rsid w:val="00477FCE"/>
    <w:rsid w:val="00480A93"/>
    <w:rsid w:val="0048222F"/>
    <w:rsid w:val="004835CE"/>
    <w:rsid w:val="004838D5"/>
    <w:rsid w:val="00484237"/>
    <w:rsid w:val="004849E6"/>
    <w:rsid w:val="0048512E"/>
    <w:rsid w:val="00485D53"/>
    <w:rsid w:val="00486D8D"/>
    <w:rsid w:val="0048736E"/>
    <w:rsid w:val="00487546"/>
    <w:rsid w:val="00490233"/>
    <w:rsid w:val="00490487"/>
    <w:rsid w:val="00490D18"/>
    <w:rsid w:val="004925D5"/>
    <w:rsid w:val="00493065"/>
    <w:rsid w:val="004930FE"/>
    <w:rsid w:val="00493C5D"/>
    <w:rsid w:val="00494EC6"/>
    <w:rsid w:val="00495318"/>
    <w:rsid w:val="00495504"/>
    <w:rsid w:val="0049592A"/>
    <w:rsid w:val="0049645B"/>
    <w:rsid w:val="0049682C"/>
    <w:rsid w:val="00496F7A"/>
    <w:rsid w:val="004A0534"/>
    <w:rsid w:val="004A062E"/>
    <w:rsid w:val="004A0DCD"/>
    <w:rsid w:val="004A15CD"/>
    <w:rsid w:val="004A3218"/>
    <w:rsid w:val="004A3DB5"/>
    <w:rsid w:val="004A3E11"/>
    <w:rsid w:val="004A43AE"/>
    <w:rsid w:val="004A4D8F"/>
    <w:rsid w:val="004A4F73"/>
    <w:rsid w:val="004A5D20"/>
    <w:rsid w:val="004A65A2"/>
    <w:rsid w:val="004A69E8"/>
    <w:rsid w:val="004A6F3D"/>
    <w:rsid w:val="004A6F94"/>
    <w:rsid w:val="004A7032"/>
    <w:rsid w:val="004B0C6A"/>
    <w:rsid w:val="004B102E"/>
    <w:rsid w:val="004B1E44"/>
    <w:rsid w:val="004B229E"/>
    <w:rsid w:val="004B2F57"/>
    <w:rsid w:val="004B3D08"/>
    <w:rsid w:val="004B4217"/>
    <w:rsid w:val="004B430B"/>
    <w:rsid w:val="004B567E"/>
    <w:rsid w:val="004B7EC9"/>
    <w:rsid w:val="004C05D6"/>
    <w:rsid w:val="004C070C"/>
    <w:rsid w:val="004C08E3"/>
    <w:rsid w:val="004C0C3A"/>
    <w:rsid w:val="004C1573"/>
    <w:rsid w:val="004C17B1"/>
    <w:rsid w:val="004C17B2"/>
    <w:rsid w:val="004C1A04"/>
    <w:rsid w:val="004C1D46"/>
    <w:rsid w:val="004C42D1"/>
    <w:rsid w:val="004C4D95"/>
    <w:rsid w:val="004C5137"/>
    <w:rsid w:val="004C65F2"/>
    <w:rsid w:val="004C6BFF"/>
    <w:rsid w:val="004C6D2E"/>
    <w:rsid w:val="004C78BE"/>
    <w:rsid w:val="004C7D06"/>
    <w:rsid w:val="004D0D5E"/>
    <w:rsid w:val="004D14CF"/>
    <w:rsid w:val="004D3DE2"/>
    <w:rsid w:val="004D43D8"/>
    <w:rsid w:val="004D512E"/>
    <w:rsid w:val="004D547A"/>
    <w:rsid w:val="004D6182"/>
    <w:rsid w:val="004D6AA1"/>
    <w:rsid w:val="004D7181"/>
    <w:rsid w:val="004D752C"/>
    <w:rsid w:val="004D76D7"/>
    <w:rsid w:val="004D7E61"/>
    <w:rsid w:val="004E0836"/>
    <w:rsid w:val="004E0846"/>
    <w:rsid w:val="004E177F"/>
    <w:rsid w:val="004E330B"/>
    <w:rsid w:val="004E3AEC"/>
    <w:rsid w:val="004E510C"/>
    <w:rsid w:val="004E6C08"/>
    <w:rsid w:val="004E7696"/>
    <w:rsid w:val="004F02AA"/>
    <w:rsid w:val="004F055C"/>
    <w:rsid w:val="004F0977"/>
    <w:rsid w:val="004F0C26"/>
    <w:rsid w:val="004F15F8"/>
    <w:rsid w:val="004F27E6"/>
    <w:rsid w:val="004F3812"/>
    <w:rsid w:val="004F3B3B"/>
    <w:rsid w:val="004F3C13"/>
    <w:rsid w:val="004F4612"/>
    <w:rsid w:val="004F5699"/>
    <w:rsid w:val="004F6CE7"/>
    <w:rsid w:val="004F7452"/>
    <w:rsid w:val="004F7536"/>
    <w:rsid w:val="0050000A"/>
    <w:rsid w:val="00501C6F"/>
    <w:rsid w:val="00502518"/>
    <w:rsid w:val="005032F4"/>
    <w:rsid w:val="00504801"/>
    <w:rsid w:val="005054AD"/>
    <w:rsid w:val="005055A6"/>
    <w:rsid w:val="00510407"/>
    <w:rsid w:val="005105A0"/>
    <w:rsid w:val="0051083C"/>
    <w:rsid w:val="005125BA"/>
    <w:rsid w:val="00512905"/>
    <w:rsid w:val="0051341E"/>
    <w:rsid w:val="005135A3"/>
    <w:rsid w:val="00514BAA"/>
    <w:rsid w:val="00517103"/>
    <w:rsid w:val="00521981"/>
    <w:rsid w:val="00521C3C"/>
    <w:rsid w:val="005227AE"/>
    <w:rsid w:val="00523712"/>
    <w:rsid w:val="00523F74"/>
    <w:rsid w:val="00524243"/>
    <w:rsid w:val="005246A4"/>
    <w:rsid w:val="005256E0"/>
    <w:rsid w:val="00525816"/>
    <w:rsid w:val="00525A76"/>
    <w:rsid w:val="005264B8"/>
    <w:rsid w:val="005274AE"/>
    <w:rsid w:val="00527CE0"/>
    <w:rsid w:val="0053034E"/>
    <w:rsid w:val="005316F7"/>
    <w:rsid w:val="00531812"/>
    <w:rsid w:val="00531991"/>
    <w:rsid w:val="00531CA1"/>
    <w:rsid w:val="00531F76"/>
    <w:rsid w:val="005321AC"/>
    <w:rsid w:val="00532597"/>
    <w:rsid w:val="005325C9"/>
    <w:rsid w:val="00532699"/>
    <w:rsid w:val="0053280E"/>
    <w:rsid w:val="00533205"/>
    <w:rsid w:val="005356B5"/>
    <w:rsid w:val="0053615A"/>
    <w:rsid w:val="00540639"/>
    <w:rsid w:val="00540C7A"/>
    <w:rsid w:val="005423C5"/>
    <w:rsid w:val="00542E7D"/>
    <w:rsid w:val="0054314B"/>
    <w:rsid w:val="00543EB5"/>
    <w:rsid w:val="00544BEA"/>
    <w:rsid w:val="00547BA5"/>
    <w:rsid w:val="00551066"/>
    <w:rsid w:val="00552AC8"/>
    <w:rsid w:val="005533B0"/>
    <w:rsid w:val="00553A97"/>
    <w:rsid w:val="005543C4"/>
    <w:rsid w:val="005567B3"/>
    <w:rsid w:val="005574B1"/>
    <w:rsid w:val="00557573"/>
    <w:rsid w:val="00557C71"/>
    <w:rsid w:val="005606CB"/>
    <w:rsid w:val="00561EA4"/>
    <w:rsid w:val="00562961"/>
    <w:rsid w:val="00563491"/>
    <w:rsid w:val="00563927"/>
    <w:rsid w:val="00563BC3"/>
    <w:rsid w:val="00563D23"/>
    <w:rsid w:val="005669CF"/>
    <w:rsid w:val="00566D9F"/>
    <w:rsid w:val="00567940"/>
    <w:rsid w:val="00567ECC"/>
    <w:rsid w:val="00570104"/>
    <w:rsid w:val="00570B94"/>
    <w:rsid w:val="00572BFD"/>
    <w:rsid w:val="00573372"/>
    <w:rsid w:val="00574E16"/>
    <w:rsid w:val="00575214"/>
    <w:rsid w:val="0057539D"/>
    <w:rsid w:val="0057660A"/>
    <w:rsid w:val="0057666B"/>
    <w:rsid w:val="005773DC"/>
    <w:rsid w:val="005774EA"/>
    <w:rsid w:val="005801B4"/>
    <w:rsid w:val="00581358"/>
    <w:rsid w:val="00582CED"/>
    <w:rsid w:val="00583432"/>
    <w:rsid w:val="00583DC9"/>
    <w:rsid w:val="00584305"/>
    <w:rsid w:val="00584D19"/>
    <w:rsid w:val="00585150"/>
    <w:rsid w:val="00587F28"/>
    <w:rsid w:val="00587FCA"/>
    <w:rsid w:val="00590018"/>
    <w:rsid w:val="005918A9"/>
    <w:rsid w:val="00591ADA"/>
    <w:rsid w:val="0059232C"/>
    <w:rsid w:val="005926CB"/>
    <w:rsid w:val="0059282B"/>
    <w:rsid w:val="00592E5C"/>
    <w:rsid w:val="0059329E"/>
    <w:rsid w:val="00593643"/>
    <w:rsid w:val="00593FC3"/>
    <w:rsid w:val="00595013"/>
    <w:rsid w:val="005957AE"/>
    <w:rsid w:val="00595ABE"/>
    <w:rsid w:val="005A06B9"/>
    <w:rsid w:val="005A0C84"/>
    <w:rsid w:val="005A0C85"/>
    <w:rsid w:val="005A11F6"/>
    <w:rsid w:val="005A133E"/>
    <w:rsid w:val="005A167C"/>
    <w:rsid w:val="005A216D"/>
    <w:rsid w:val="005A24AD"/>
    <w:rsid w:val="005A29DE"/>
    <w:rsid w:val="005A2BF4"/>
    <w:rsid w:val="005A480C"/>
    <w:rsid w:val="005A5183"/>
    <w:rsid w:val="005A52B4"/>
    <w:rsid w:val="005A561A"/>
    <w:rsid w:val="005A7375"/>
    <w:rsid w:val="005B16F9"/>
    <w:rsid w:val="005B1A53"/>
    <w:rsid w:val="005B1A90"/>
    <w:rsid w:val="005B1EDE"/>
    <w:rsid w:val="005B2D10"/>
    <w:rsid w:val="005B40E7"/>
    <w:rsid w:val="005B5EAC"/>
    <w:rsid w:val="005B768F"/>
    <w:rsid w:val="005B7C37"/>
    <w:rsid w:val="005C1646"/>
    <w:rsid w:val="005C2CA5"/>
    <w:rsid w:val="005C3052"/>
    <w:rsid w:val="005C3D71"/>
    <w:rsid w:val="005C3E12"/>
    <w:rsid w:val="005C5E87"/>
    <w:rsid w:val="005C7926"/>
    <w:rsid w:val="005C7F2F"/>
    <w:rsid w:val="005D1D79"/>
    <w:rsid w:val="005D2079"/>
    <w:rsid w:val="005D296B"/>
    <w:rsid w:val="005D2B68"/>
    <w:rsid w:val="005D4FAA"/>
    <w:rsid w:val="005D53BF"/>
    <w:rsid w:val="005D69E0"/>
    <w:rsid w:val="005D6D70"/>
    <w:rsid w:val="005E0B64"/>
    <w:rsid w:val="005E16AA"/>
    <w:rsid w:val="005E1EBD"/>
    <w:rsid w:val="005E3463"/>
    <w:rsid w:val="005E3BBC"/>
    <w:rsid w:val="005E3E8A"/>
    <w:rsid w:val="005E5526"/>
    <w:rsid w:val="005E5EB4"/>
    <w:rsid w:val="005E5F6A"/>
    <w:rsid w:val="005E617B"/>
    <w:rsid w:val="005E6318"/>
    <w:rsid w:val="005E681F"/>
    <w:rsid w:val="005E694B"/>
    <w:rsid w:val="005E6E16"/>
    <w:rsid w:val="005E7F35"/>
    <w:rsid w:val="005F022B"/>
    <w:rsid w:val="005F02C9"/>
    <w:rsid w:val="005F034F"/>
    <w:rsid w:val="005F0F02"/>
    <w:rsid w:val="005F17EC"/>
    <w:rsid w:val="005F3977"/>
    <w:rsid w:val="005F3B97"/>
    <w:rsid w:val="005F3EC5"/>
    <w:rsid w:val="005F4A87"/>
    <w:rsid w:val="005F5181"/>
    <w:rsid w:val="005F5ADF"/>
    <w:rsid w:val="005F625B"/>
    <w:rsid w:val="005F68B2"/>
    <w:rsid w:val="005F74C2"/>
    <w:rsid w:val="005F7D9A"/>
    <w:rsid w:val="00600AC4"/>
    <w:rsid w:val="00600BBB"/>
    <w:rsid w:val="0060241A"/>
    <w:rsid w:val="00602A13"/>
    <w:rsid w:val="00602EF3"/>
    <w:rsid w:val="006036A9"/>
    <w:rsid w:val="00607E62"/>
    <w:rsid w:val="0060B1B2"/>
    <w:rsid w:val="00612A59"/>
    <w:rsid w:val="00613C01"/>
    <w:rsid w:val="00614BCC"/>
    <w:rsid w:val="00614E45"/>
    <w:rsid w:val="006157BC"/>
    <w:rsid w:val="00615AB4"/>
    <w:rsid w:val="00616283"/>
    <w:rsid w:val="006162F1"/>
    <w:rsid w:val="0061718A"/>
    <w:rsid w:val="00617CB1"/>
    <w:rsid w:val="00620187"/>
    <w:rsid w:val="0062037D"/>
    <w:rsid w:val="0062156B"/>
    <w:rsid w:val="006218F9"/>
    <w:rsid w:val="00621ED5"/>
    <w:rsid w:val="00621F88"/>
    <w:rsid w:val="006224BD"/>
    <w:rsid w:val="00624A51"/>
    <w:rsid w:val="006253FF"/>
    <w:rsid w:val="00626A6A"/>
    <w:rsid w:val="00626B3E"/>
    <w:rsid w:val="006306D0"/>
    <w:rsid w:val="0063099D"/>
    <w:rsid w:val="00632549"/>
    <w:rsid w:val="00632FEA"/>
    <w:rsid w:val="00633F09"/>
    <w:rsid w:val="00635591"/>
    <w:rsid w:val="00635625"/>
    <w:rsid w:val="0063572C"/>
    <w:rsid w:val="006359A0"/>
    <w:rsid w:val="00643982"/>
    <w:rsid w:val="00643AFF"/>
    <w:rsid w:val="00644020"/>
    <w:rsid w:val="00644394"/>
    <w:rsid w:val="006443AB"/>
    <w:rsid w:val="00645CC9"/>
    <w:rsid w:val="00645FFC"/>
    <w:rsid w:val="00646EE5"/>
    <w:rsid w:val="0064793D"/>
    <w:rsid w:val="00650249"/>
    <w:rsid w:val="006507C4"/>
    <w:rsid w:val="00651707"/>
    <w:rsid w:val="00651B83"/>
    <w:rsid w:val="00652273"/>
    <w:rsid w:val="0065293F"/>
    <w:rsid w:val="006541B6"/>
    <w:rsid w:val="00654867"/>
    <w:rsid w:val="00654F10"/>
    <w:rsid w:val="00654F87"/>
    <w:rsid w:val="006550DB"/>
    <w:rsid w:val="006551B6"/>
    <w:rsid w:val="00656245"/>
    <w:rsid w:val="00656680"/>
    <w:rsid w:val="0065669C"/>
    <w:rsid w:val="006568CE"/>
    <w:rsid w:val="00656E74"/>
    <w:rsid w:val="00657371"/>
    <w:rsid w:val="006579D0"/>
    <w:rsid w:val="00657F18"/>
    <w:rsid w:val="00661954"/>
    <w:rsid w:val="00662414"/>
    <w:rsid w:val="006628A1"/>
    <w:rsid w:val="00662AF7"/>
    <w:rsid w:val="00664825"/>
    <w:rsid w:val="0066526D"/>
    <w:rsid w:val="00667AFF"/>
    <w:rsid w:val="0067150C"/>
    <w:rsid w:val="00671B55"/>
    <w:rsid w:val="00672A72"/>
    <w:rsid w:val="00672B9A"/>
    <w:rsid w:val="0067357C"/>
    <w:rsid w:val="006739E6"/>
    <w:rsid w:val="00673BD6"/>
    <w:rsid w:val="00673D29"/>
    <w:rsid w:val="00674CFB"/>
    <w:rsid w:val="00676044"/>
    <w:rsid w:val="006767E7"/>
    <w:rsid w:val="00676A0D"/>
    <w:rsid w:val="00676E4D"/>
    <w:rsid w:val="0067727A"/>
    <w:rsid w:val="00677B08"/>
    <w:rsid w:val="00677D50"/>
    <w:rsid w:val="006800B2"/>
    <w:rsid w:val="00680794"/>
    <w:rsid w:val="00680889"/>
    <w:rsid w:val="00680C4B"/>
    <w:rsid w:val="00681D16"/>
    <w:rsid w:val="00683AD0"/>
    <w:rsid w:val="00684019"/>
    <w:rsid w:val="0068466F"/>
    <w:rsid w:val="00684A13"/>
    <w:rsid w:val="00684BFD"/>
    <w:rsid w:val="00684F06"/>
    <w:rsid w:val="00685BEE"/>
    <w:rsid w:val="0068610A"/>
    <w:rsid w:val="00686D80"/>
    <w:rsid w:val="00687A00"/>
    <w:rsid w:val="00690722"/>
    <w:rsid w:val="00691200"/>
    <w:rsid w:val="00691F18"/>
    <w:rsid w:val="006927F0"/>
    <w:rsid w:val="00693440"/>
    <w:rsid w:val="00693C0F"/>
    <w:rsid w:val="00693DC1"/>
    <w:rsid w:val="006946D7"/>
    <w:rsid w:val="00694FDD"/>
    <w:rsid w:val="00696CED"/>
    <w:rsid w:val="0069719A"/>
    <w:rsid w:val="0069766E"/>
    <w:rsid w:val="006A102C"/>
    <w:rsid w:val="006A10EC"/>
    <w:rsid w:val="006A146E"/>
    <w:rsid w:val="006A1505"/>
    <w:rsid w:val="006A1BAE"/>
    <w:rsid w:val="006A1FB1"/>
    <w:rsid w:val="006A2192"/>
    <w:rsid w:val="006A2414"/>
    <w:rsid w:val="006A25DA"/>
    <w:rsid w:val="006A2999"/>
    <w:rsid w:val="006A2FA3"/>
    <w:rsid w:val="006A37EE"/>
    <w:rsid w:val="006A3B17"/>
    <w:rsid w:val="006A48BB"/>
    <w:rsid w:val="006A5443"/>
    <w:rsid w:val="006A5ED5"/>
    <w:rsid w:val="006A61AC"/>
    <w:rsid w:val="006A69C3"/>
    <w:rsid w:val="006B12B0"/>
    <w:rsid w:val="006B1BFE"/>
    <w:rsid w:val="006B2245"/>
    <w:rsid w:val="006B25CA"/>
    <w:rsid w:val="006B2B5D"/>
    <w:rsid w:val="006B4B28"/>
    <w:rsid w:val="006B57D7"/>
    <w:rsid w:val="006B660F"/>
    <w:rsid w:val="006C087E"/>
    <w:rsid w:val="006C0CD1"/>
    <w:rsid w:val="006C1A5A"/>
    <w:rsid w:val="006C25E2"/>
    <w:rsid w:val="006C27E7"/>
    <w:rsid w:val="006C3016"/>
    <w:rsid w:val="006C3351"/>
    <w:rsid w:val="006C46E9"/>
    <w:rsid w:val="006C4F41"/>
    <w:rsid w:val="006C55B0"/>
    <w:rsid w:val="006C5606"/>
    <w:rsid w:val="006C5CB1"/>
    <w:rsid w:val="006C60DC"/>
    <w:rsid w:val="006C6478"/>
    <w:rsid w:val="006C6D28"/>
    <w:rsid w:val="006C7042"/>
    <w:rsid w:val="006C71DC"/>
    <w:rsid w:val="006C7AF7"/>
    <w:rsid w:val="006C7E88"/>
    <w:rsid w:val="006D0742"/>
    <w:rsid w:val="006D12D3"/>
    <w:rsid w:val="006D1491"/>
    <w:rsid w:val="006D1751"/>
    <w:rsid w:val="006D2551"/>
    <w:rsid w:val="006D25EC"/>
    <w:rsid w:val="006D2A0F"/>
    <w:rsid w:val="006D426D"/>
    <w:rsid w:val="006D4FA7"/>
    <w:rsid w:val="006D573A"/>
    <w:rsid w:val="006D5BB5"/>
    <w:rsid w:val="006D6BE7"/>
    <w:rsid w:val="006D7246"/>
    <w:rsid w:val="006D742F"/>
    <w:rsid w:val="006D7C4C"/>
    <w:rsid w:val="006E0047"/>
    <w:rsid w:val="006E1E1B"/>
    <w:rsid w:val="006E1E40"/>
    <w:rsid w:val="006E284F"/>
    <w:rsid w:val="006E335E"/>
    <w:rsid w:val="006E3AE8"/>
    <w:rsid w:val="006E3C94"/>
    <w:rsid w:val="006E40C9"/>
    <w:rsid w:val="006E41C0"/>
    <w:rsid w:val="006E5D68"/>
    <w:rsid w:val="006E610C"/>
    <w:rsid w:val="006E702D"/>
    <w:rsid w:val="006E703A"/>
    <w:rsid w:val="006E7051"/>
    <w:rsid w:val="006F1511"/>
    <w:rsid w:val="006F2DD8"/>
    <w:rsid w:val="006F3DA0"/>
    <w:rsid w:val="006F55E2"/>
    <w:rsid w:val="006F5C1F"/>
    <w:rsid w:val="006F633D"/>
    <w:rsid w:val="006F6837"/>
    <w:rsid w:val="006F6CBD"/>
    <w:rsid w:val="006F700C"/>
    <w:rsid w:val="006F7F18"/>
    <w:rsid w:val="00700E66"/>
    <w:rsid w:val="007018FE"/>
    <w:rsid w:val="0070261F"/>
    <w:rsid w:val="0070312B"/>
    <w:rsid w:val="007034FE"/>
    <w:rsid w:val="00703BFE"/>
    <w:rsid w:val="0070427D"/>
    <w:rsid w:val="007045CC"/>
    <w:rsid w:val="00704FC2"/>
    <w:rsid w:val="00705808"/>
    <w:rsid w:val="00706C12"/>
    <w:rsid w:val="00710731"/>
    <w:rsid w:val="007108A6"/>
    <w:rsid w:val="00710AB8"/>
    <w:rsid w:val="00710CC9"/>
    <w:rsid w:val="007118CD"/>
    <w:rsid w:val="0071281F"/>
    <w:rsid w:val="00713411"/>
    <w:rsid w:val="00714A9B"/>
    <w:rsid w:val="00715B66"/>
    <w:rsid w:val="007174B6"/>
    <w:rsid w:val="00717C51"/>
    <w:rsid w:val="00717CFB"/>
    <w:rsid w:val="00717F08"/>
    <w:rsid w:val="00720166"/>
    <w:rsid w:val="00720263"/>
    <w:rsid w:val="0072045A"/>
    <w:rsid w:val="007207E8"/>
    <w:rsid w:val="00720A2F"/>
    <w:rsid w:val="00720C77"/>
    <w:rsid w:val="0072135B"/>
    <w:rsid w:val="0072299B"/>
    <w:rsid w:val="007245E0"/>
    <w:rsid w:val="007259CD"/>
    <w:rsid w:val="0072649F"/>
    <w:rsid w:val="007265FA"/>
    <w:rsid w:val="00726F48"/>
    <w:rsid w:val="00727371"/>
    <w:rsid w:val="00727BD0"/>
    <w:rsid w:val="00730B1F"/>
    <w:rsid w:val="00730B9E"/>
    <w:rsid w:val="00731443"/>
    <w:rsid w:val="00731D08"/>
    <w:rsid w:val="00732C21"/>
    <w:rsid w:val="00733B38"/>
    <w:rsid w:val="00735E23"/>
    <w:rsid w:val="00736620"/>
    <w:rsid w:val="00736FE8"/>
    <w:rsid w:val="00740663"/>
    <w:rsid w:val="00741C37"/>
    <w:rsid w:val="00741F60"/>
    <w:rsid w:val="00742073"/>
    <w:rsid w:val="0074240B"/>
    <w:rsid w:val="007429BA"/>
    <w:rsid w:val="00743B04"/>
    <w:rsid w:val="007447ED"/>
    <w:rsid w:val="00744A53"/>
    <w:rsid w:val="007458E0"/>
    <w:rsid w:val="00745993"/>
    <w:rsid w:val="00746C47"/>
    <w:rsid w:val="00746E18"/>
    <w:rsid w:val="007478CB"/>
    <w:rsid w:val="00750900"/>
    <w:rsid w:val="00750D7A"/>
    <w:rsid w:val="00751435"/>
    <w:rsid w:val="00751519"/>
    <w:rsid w:val="00754B7E"/>
    <w:rsid w:val="00754C15"/>
    <w:rsid w:val="00754F07"/>
    <w:rsid w:val="00755197"/>
    <w:rsid w:val="007553B4"/>
    <w:rsid w:val="0075548A"/>
    <w:rsid w:val="00755647"/>
    <w:rsid w:val="0075597D"/>
    <w:rsid w:val="00757FBF"/>
    <w:rsid w:val="00761FF9"/>
    <w:rsid w:val="007625AD"/>
    <w:rsid w:val="00763212"/>
    <w:rsid w:val="007632AE"/>
    <w:rsid w:val="00763344"/>
    <w:rsid w:val="00763A74"/>
    <w:rsid w:val="00763D08"/>
    <w:rsid w:val="00764AFE"/>
    <w:rsid w:val="00765743"/>
    <w:rsid w:val="0076614F"/>
    <w:rsid w:val="00770075"/>
    <w:rsid w:val="00771C46"/>
    <w:rsid w:val="00773A37"/>
    <w:rsid w:val="00773D80"/>
    <w:rsid w:val="0077495A"/>
    <w:rsid w:val="00774B6B"/>
    <w:rsid w:val="00775BCF"/>
    <w:rsid w:val="0077644D"/>
    <w:rsid w:val="007766C6"/>
    <w:rsid w:val="00776F27"/>
    <w:rsid w:val="0077793D"/>
    <w:rsid w:val="007808DF"/>
    <w:rsid w:val="0078110D"/>
    <w:rsid w:val="00781624"/>
    <w:rsid w:val="00781780"/>
    <w:rsid w:val="0078295B"/>
    <w:rsid w:val="00783358"/>
    <w:rsid w:val="00785549"/>
    <w:rsid w:val="00785717"/>
    <w:rsid w:val="00785A45"/>
    <w:rsid w:val="007864CD"/>
    <w:rsid w:val="007869FC"/>
    <w:rsid w:val="007878E7"/>
    <w:rsid w:val="007904A0"/>
    <w:rsid w:val="00792269"/>
    <w:rsid w:val="00794292"/>
    <w:rsid w:val="007946CB"/>
    <w:rsid w:val="00794FE1"/>
    <w:rsid w:val="007951D6"/>
    <w:rsid w:val="00796206"/>
    <w:rsid w:val="007A04B7"/>
    <w:rsid w:val="007A0C62"/>
    <w:rsid w:val="007A1442"/>
    <w:rsid w:val="007A2CD9"/>
    <w:rsid w:val="007A5292"/>
    <w:rsid w:val="007A59FB"/>
    <w:rsid w:val="007A5DB6"/>
    <w:rsid w:val="007A5F06"/>
    <w:rsid w:val="007A68A1"/>
    <w:rsid w:val="007A7AC4"/>
    <w:rsid w:val="007A7F3E"/>
    <w:rsid w:val="007B067D"/>
    <w:rsid w:val="007B2395"/>
    <w:rsid w:val="007B2C05"/>
    <w:rsid w:val="007B2E7F"/>
    <w:rsid w:val="007B4F97"/>
    <w:rsid w:val="007B777B"/>
    <w:rsid w:val="007C05F5"/>
    <w:rsid w:val="007C145A"/>
    <w:rsid w:val="007C14E4"/>
    <w:rsid w:val="007C1702"/>
    <w:rsid w:val="007C223A"/>
    <w:rsid w:val="007C28A1"/>
    <w:rsid w:val="007C2ACA"/>
    <w:rsid w:val="007C2C9B"/>
    <w:rsid w:val="007C3100"/>
    <w:rsid w:val="007C3306"/>
    <w:rsid w:val="007C3910"/>
    <w:rsid w:val="007C3D79"/>
    <w:rsid w:val="007C3F53"/>
    <w:rsid w:val="007C44AC"/>
    <w:rsid w:val="007C4F3A"/>
    <w:rsid w:val="007C50DB"/>
    <w:rsid w:val="007C59B8"/>
    <w:rsid w:val="007C6F25"/>
    <w:rsid w:val="007D0701"/>
    <w:rsid w:val="007D15B8"/>
    <w:rsid w:val="007D167B"/>
    <w:rsid w:val="007D185C"/>
    <w:rsid w:val="007D209E"/>
    <w:rsid w:val="007D2436"/>
    <w:rsid w:val="007D309A"/>
    <w:rsid w:val="007D31A2"/>
    <w:rsid w:val="007D3880"/>
    <w:rsid w:val="007D4E35"/>
    <w:rsid w:val="007D5E33"/>
    <w:rsid w:val="007D7A7E"/>
    <w:rsid w:val="007D7D1A"/>
    <w:rsid w:val="007E0F5D"/>
    <w:rsid w:val="007E10A4"/>
    <w:rsid w:val="007E1671"/>
    <w:rsid w:val="007E1701"/>
    <w:rsid w:val="007E1BA4"/>
    <w:rsid w:val="007E1C3D"/>
    <w:rsid w:val="007E20FE"/>
    <w:rsid w:val="007E2138"/>
    <w:rsid w:val="007E22C9"/>
    <w:rsid w:val="007E26AD"/>
    <w:rsid w:val="007E31C8"/>
    <w:rsid w:val="007E32F9"/>
    <w:rsid w:val="007E58CF"/>
    <w:rsid w:val="007E68FF"/>
    <w:rsid w:val="007E6C3D"/>
    <w:rsid w:val="007E7693"/>
    <w:rsid w:val="007F0707"/>
    <w:rsid w:val="007F0D14"/>
    <w:rsid w:val="007F0FF8"/>
    <w:rsid w:val="007F36CF"/>
    <w:rsid w:val="007F3A38"/>
    <w:rsid w:val="007F40C7"/>
    <w:rsid w:val="007F424F"/>
    <w:rsid w:val="007F4407"/>
    <w:rsid w:val="007F666D"/>
    <w:rsid w:val="007F78B8"/>
    <w:rsid w:val="00800620"/>
    <w:rsid w:val="00801C98"/>
    <w:rsid w:val="00801EB0"/>
    <w:rsid w:val="00801EBF"/>
    <w:rsid w:val="008030F2"/>
    <w:rsid w:val="00803388"/>
    <w:rsid w:val="008039DE"/>
    <w:rsid w:val="0080436E"/>
    <w:rsid w:val="008045A7"/>
    <w:rsid w:val="00804FE9"/>
    <w:rsid w:val="00807807"/>
    <w:rsid w:val="00807DFF"/>
    <w:rsid w:val="00810AC2"/>
    <w:rsid w:val="00812B5E"/>
    <w:rsid w:val="00812FBB"/>
    <w:rsid w:val="00813DD6"/>
    <w:rsid w:val="00813EE2"/>
    <w:rsid w:val="0081471E"/>
    <w:rsid w:val="00814954"/>
    <w:rsid w:val="008152C6"/>
    <w:rsid w:val="0081628C"/>
    <w:rsid w:val="008207C8"/>
    <w:rsid w:val="00820C3A"/>
    <w:rsid w:val="00821CDF"/>
    <w:rsid w:val="008237B7"/>
    <w:rsid w:val="00825D0A"/>
    <w:rsid w:val="008265FC"/>
    <w:rsid w:val="00830756"/>
    <w:rsid w:val="00830CB8"/>
    <w:rsid w:val="00830D83"/>
    <w:rsid w:val="00831624"/>
    <w:rsid w:val="00831B1F"/>
    <w:rsid w:val="0083202C"/>
    <w:rsid w:val="00832146"/>
    <w:rsid w:val="008328C4"/>
    <w:rsid w:val="00832A97"/>
    <w:rsid w:val="00834156"/>
    <w:rsid w:val="0083416F"/>
    <w:rsid w:val="00834C65"/>
    <w:rsid w:val="00834DA5"/>
    <w:rsid w:val="00835F3F"/>
    <w:rsid w:val="00836FFE"/>
    <w:rsid w:val="00837DB4"/>
    <w:rsid w:val="00837F6E"/>
    <w:rsid w:val="0083B896"/>
    <w:rsid w:val="00840107"/>
    <w:rsid w:val="008436FF"/>
    <w:rsid w:val="00843B70"/>
    <w:rsid w:val="008444A9"/>
    <w:rsid w:val="00844E5E"/>
    <w:rsid w:val="00846644"/>
    <w:rsid w:val="00847417"/>
    <w:rsid w:val="00850225"/>
    <w:rsid w:val="00850AFE"/>
    <w:rsid w:val="00850D6F"/>
    <w:rsid w:val="00850F43"/>
    <w:rsid w:val="00851300"/>
    <w:rsid w:val="0085141E"/>
    <w:rsid w:val="008514AF"/>
    <w:rsid w:val="00851988"/>
    <w:rsid w:val="00852229"/>
    <w:rsid w:val="00852E3E"/>
    <w:rsid w:val="008552FF"/>
    <w:rsid w:val="008557D3"/>
    <w:rsid w:val="008558A4"/>
    <w:rsid w:val="00855EB2"/>
    <w:rsid w:val="0085697A"/>
    <w:rsid w:val="00856D93"/>
    <w:rsid w:val="00860B0E"/>
    <w:rsid w:val="00860C0A"/>
    <w:rsid w:val="0086181E"/>
    <w:rsid w:val="00861CCD"/>
    <w:rsid w:val="00861D5F"/>
    <w:rsid w:val="00863302"/>
    <w:rsid w:val="00864436"/>
    <w:rsid w:val="008644D3"/>
    <w:rsid w:val="00865B8E"/>
    <w:rsid w:val="008661D4"/>
    <w:rsid w:val="0086777A"/>
    <w:rsid w:val="00867F04"/>
    <w:rsid w:val="00871EAD"/>
    <w:rsid w:val="00872138"/>
    <w:rsid w:val="008731B4"/>
    <w:rsid w:val="00874104"/>
    <w:rsid w:val="0087481A"/>
    <w:rsid w:val="0087732A"/>
    <w:rsid w:val="00880373"/>
    <w:rsid w:val="00880C71"/>
    <w:rsid w:val="00881C8D"/>
    <w:rsid w:val="00881F12"/>
    <w:rsid w:val="00882F0C"/>
    <w:rsid w:val="0088386E"/>
    <w:rsid w:val="0088418F"/>
    <w:rsid w:val="0088542B"/>
    <w:rsid w:val="00886A13"/>
    <w:rsid w:val="00895575"/>
    <w:rsid w:val="0089582A"/>
    <w:rsid w:val="00895BE2"/>
    <w:rsid w:val="00895E85"/>
    <w:rsid w:val="008964AD"/>
    <w:rsid w:val="008A0924"/>
    <w:rsid w:val="008A0B4E"/>
    <w:rsid w:val="008A0F81"/>
    <w:rsid w:val="008A2296"/>
    <w:rsid w:val="008A2973"/>
    <w:rsid w:val="008A36D7"/>
    <w:rsid w:val="008A4B63"/>
    <w:rsid w:val="008A4B96"/>
    <w:rsid w:val="008A4BB5"/>
    <w:rsid w:val="008A570A"/>
    <w:rsid w:val="008A5D91"/>
    <w:rsid w:val="008A610A"/>
    <w:rsid w:val="008A7248"/>
    <w:rsid w:val="008A72B9"/>
    <w:rsid w:val="008A74EB"/>
    <w:rsid w:val="008A75DC"/>
    <w:rsid w:val="008B03E6"/>
    <w:rsid w:val="008B1D9E"/>
    <w:rsid w:val="008B2F30"/>
    <w:rsid w:val="008B364E"/>
    <w:rsid w:val="008B4CDA"/>
    <w:rsid w:val="008B5364"/>
    <w:rsid w:val="008C1534"/>
    <w:rsid w:val="008C261E"/>
    <w:rsid w:val="008C3270"/>
    <w:rsid w:val="008C339E"/>
    <w:rsid w:val="008C3E1F"/>
    <w:rsid w:val="008C3FA9"/>
    <w:rsid w:val="008C49EF"/>
    <w:rsid w:val="008C70E9"/>
    <w:rsid w:val="008C7931"/>
    <w:rsid w:val="008C7EC6"/>
    <w:rsid w:val="008D117C"/>
    <w:rsid w:val="008D15AD"/>
    <w:rsid w:val="008D19CF"/>
    <w:rsid w:val="008D2498"/>
    <w:rsid w:val="008D2CF9"/>
    <w:rsid w:val="008D362C"/>
    <w:rsid w:val="008D3787"/>
    <w:rsid w:val="008D435F"/>
    <w:rsid w:val="008D4DC0"/>
    <w:rsid w:val="008D54BB"/>
    <w:rsid w:val="008D572A"/>
    <w:rsid w:val="008D5FBC"/>
    <w:rsid w:val="008D68E5"/>
    <w:rsid w:val="008D6974"/>
    <w:rsid w:val="008D6BC2"/>
    <w:rsid w:val="008D752E"/>
    <w:rsid w:val="008D7E17"/>
    <w:rsid w:val="008E0B56"/>
    <w:rsid w:val="008E2AEE"/>
    <w:rsid w:val="008E2CEE"/>
    <w:rsid w:val="008E341E"/>
    <w:rsid w:val="008E4708"/>
    <w:rsid w:val="008E47F7"/>
    <w:rsid w:val="008F00BD"/>
    <w:rsid w:val="008F0226"/>
    <w:rsid w:val="008F0807"/>
    <w:rsid w:val="008F135A"/>
    <w:rsid w:val="008F1365"/>
    <w:rsid w:val="008F1527"/>
    <w:rsid w:val="008F26BD"/>
    <w:rsid w:val="008F272E"/>
    <w:rsid w:val="008F2D33"/>
    <w:rsid w:val="008F317E"/>
    <w:rsid w:val="008F32CE"/>
    <w:rsid w:val="008F3499"/>
    <w:rsid w:val="008F3642"/>
    <w:rsid w:val="008F3E4C"/>
    <w:rsid w:val="008F4891"/>
    <w:rsid w:val="008F4A09"/>
    <w:rsid w:val="008F6364"/>
    <w:rsid w:val="00900C46"/>
    <w:rsid w:val="00900FB2"/>
    <w:rsid w:val="009029B4"/>
    <w:rsid w:val="009031D9"/>
    <w:rsid w:val="00903488"/>
    <w:rsid w:val="0090371C"/>
    <w:rsid w:val="00903FA5"/>
    <w:rsid w:val="00904A32"/>
    <w:rsid w:val="00904D1A"/>
    <w:rsid w:val="00904E69"/>
    <w:rsid w:val="00905E94"/>
    <w:rsid w:val="00906084"/>
    <w:rsid w:val="009070EC"/>
    <w:rsid w:val="00907F3A"/>
    <w:rsid w:val="00910CCF"/>
    <w:rsid w:val="00911073"/>
    <w:rsid w:val="00911DA4"/>
    <w:rsid w:val="00912B6C"/>
    <w:rsid w:val="00913890"/>
    <w:rsid w:val="0091396D"/>
    <w:rsid w:val="009154F9"/>
    <w:rsid w:val="00916552"/>
    <w:rsid w:val="009170AC"/>
    <w:rsid w:val="0091733F"/>
    <w:rsid w:val="00920F79"/>
    <w:rsid w:val="00921471"/>
    <w:rsid w:val="00921475"/>
    <w:rsid w:val="00922F43"/>
    <w:rsid w:val="00923E94"/>
    <w:rsid w:val="0092496A"/>
    <w:rsid w:val="00924B66"/>
    <w:rsid w:val="00925312"/>
    <w:rsid w:val="00925DBF"/>
    <w:rsid w:val="00925E2D"/>
    <w:rsid w:val="009268A0"/>
    <w:rsid w:val="00926D8A"/>
    <w:rsid w:val="00926DFB"/>
    <w:rsid w:val="00926E48"/>
    <w:rsid w:val="00927E99"/>
    <w:rsid w:val="0093151C"/>
    <w:rsid w:val="00931C96"/>
    <w:rsid w:val="009324CC"/>
    <w:rsid w:val="009325E0"/>
    <w:rsid w:val="0093383A"/>
    <w:rsid w:val="009340CD"/>
    <w:rsid w:val="009345A8"/>
    <w:rsid w:val="00934B69"/>
    <w:rsid w:val="00934C75"/>
    <w:rsid w:val="00935090"/>
    <w:rsid w:val="0093619E"/>
    <w:rsid w:val="00936E81"/>
    <w:rsid w:val="0093753B"/>
    <w:rsid w:val="00937E81"/>
    <w:rsid w:val="00941862"/>
    <w:rsid w:val="00941C1B"/>
    <w:rsid w:val="00941FD8"/>
    <w:rsid w:val="00942792"/>
    <w:rsid w:val="00942E34"/>
    <w:rsid w:val="00942EC1"/>
    <w:rsid w:val="009433A1"/>
    <w:rsid w:val="00943B26"/>
    <w:rsid w:val="00945178"/>
    <w:rsid w:val="00946361"/>
    <w:rsid w:val="009463FE"/>
    <w:rsid w:val="0094672E"/>
    <w:rsid w:val="00946D48"/>
    <w:rsid w:val="00946D88"/>
    <w:rsid w:val="00946E19"/>
    <w:rsid w:val="00947D18"/>
    <w:rsid w:val="009500C2"/>
    <w:rsid w:val="0095026C"/>
    <w:rsid w:val="00950997"/>
    <w:rsid w:val="0095223A"/>
    <w:rsid w:val="009523DD"/>
    <w:rsid w:val="00952D6D"/>
    <w:rsid w:val="00953C80"/>
    <w:rsid w:val="00955323"/>
    <w:rsid w:val="00955AFC"/>
    <w:rsid w:val="00955EFA"/>
    <w:rsid w:val="00957BDD"/>
    <w:rsid w:val="00960388"/>
    <w:rsid w:val="00960956"/>
    <w:rsid w:val="009618F3"/>
    <w:rsid w:val="00961CAE"/>
    <w:rsid w:val="00961ED0"/>
    <w:rsid w:val="00962513"/>
    <w:rsid w:val="009649B5"/>
    <w:rsid w:val="0096514D"/>
    <w:rsid w:val="0097049D"/>
    <w:rsid w:val="009714C2"/>
    <w:rsid w:val="00971D77"/>
    <w:rsid w:val="00972D11"/>
    <w:rsid w:val="00973277"/>
    <w:rsid w:val="00973F6A"/>
    <w:rsid w:val="00973F7A"/>
    <w:rsid w:val="009741DB"/>
    <w:rsid w:val="0097526D"/>
    <w:rsid w:val="00975DB5"/>
    <w:rsid w:val="009763AA"/>
    <w:rsid w:val="00976A8B"/>
    <w:rsid w:val="009773A5"/>
    <w:rsid w:val="00977DF3"/>
    <w:rsid w:val="00980BB4"/>
    <w:rsid w:val="00980CB4"/>
    <w:rsid w:val="009816E5"/>
    <w:rsid w:val="009818A4"/>
    <w:rsid w:val="00982BE4"/>
    <w:rsid w:val="0098333F"/>
    <w:rsid w:val="0098355F"/>
    <w:rsid w:val="009835B8"/>
    <w:rsid w:val="00983769"/>
    <w:rsid w:val="00984C6E"/>
    <w:rsid w:val="00984EFD"/>
    <w:rsid w:val="00984FCC"/>
    <w:rsid w:val="00985187"/>
    <w:rsid w:val="00986466"/>
    <w:rsid w:val="009868B7"/>
    <w:rsid w:val="00987B3E"/>
    <w:rsid w:val="00987F55"/>
    <w:rsid w:val="00987F60"/>
    <w:rsid w:val="0099181A"/>
    <w:rsid w:val="00991E0A"/>
    <w:rsid w:val="00991FE1"/>
    <w:rsid w:val="009920FA"/>
    <w:rsid w:val="00992CAB"/>
    <w:rsid w:val="00992E34"/>
    <w:rsid w:val="00992F4E"/>
    <w:rsid w:val="00994FF6"/>
    <w:rsid w:val="0099586E"/>
    <w:rsid w:val="009959CC"/>
    <w:rsid w:val="009959D5"/>
    <w:rsid w:val="00995BDD"/>
    <w:rsid w:val="00996B56"/>
    <w:rsid w:val="00996B7E"/>
    <w:rsid w:val="009A17E7"/>
    <w:rsid w:val="009A1891"/>
    <w:rsid w:val="009A2EE5"/>
    <w:rsid w:val="009A3E89"/>
    <w:rsid w:val="009A3E90"/>
    <w:rsid w:val="009A4034"/>
    <w:rsid w:val="009A4BBD"/>
    <w:rsid w:val="009A4D07"/>
    <w:rsid w:val="009A5CA9"/>
    <w:rsid w:val="009A5F52"/>
    <w:rsid w:val="009A72FA"/>
    <w:rsid w:val="009A734D"/>
    <w:rsid w:val="009A74D8"/>
    <w:rsid w:val="009B083E"/>
    <w:rsid w:val="009B14B9"/>
    <w:rsid w:val="009B17FB"/>
    <w:rsid w:val="009B1C14"/>
    <w:rsid w:val="009B1DD5"/>
    <w:rsid w:val="009B536C"/>
    <w:rsid w:val="009B653E"/>
    <w:rsid w:val="009B6BAC"/>
    <w:rsid w:val="009B79A1"/>
    <w:rsid w:val="009B7EE1"/>
    <w:rsid w:val="009C02AF"/>
    <w:rsid w:val="009C1429"/>
    <w:rsid w:val="009C175E"/>
    <w:rsid w:val="009C18CF"/>
    <w:rsid w:val="009C1B43"/>
    <w:rsid w:val="009C2AE0"/>
    <w:rsid w:val="009C3108"/>
    <w:rsid w:val="009C3804"/>
    <w:rsid w:val="009C43D5"/>
    <w:rsid w:val="009C4669"/>
    <w:rsid w:val="009C48E7"/>
    <w:rsid w:val="009C6121"/>
    <w:rsid w:val="009C618E"/>
    <w:rsid w:val="009C6430"/>
    <w:rsid w:val="009C6A5D"/>
    <w:rsid w:val="009C7091"/>
    <w:rsid w:val="009C78E9"/>
    <w:rsid w:val="009C7BA0"/>
    <w:rsid w:val="009D01AB"/>
    <w:rsid w:val="009D0A3A"/>
    <w:rsid w:val="009D1B53"/>
    <w:rsid w:val="009D2240"/>
    <w:rsid w:val="009D2925"/>
    <w:rsid w:val="009D2FB4"/>
    <w:rsid w:val="009D30E9"/>
    <w:rsid w:val="009D33D4"/>
    <w:rsid w:val="009D3895"/>
    <w:rsid w:val="009D41D1"/>
    <w:rsid w:val="009D4B18"/>
    <w:rsid w:val="009D4D51"/>
    <w:rsid w:val="009D679F"/>
    <w:rsid w:val="009D7CC1"/>
    <w:rsid w:val="009E03BB"/>
    <w:rsid w:val="009E2B20"/>
    <w:rsid w:val="009E300C"/>
    <w:rsid w:val="009E3A33"/>
    <w:rsid w:val="009E4510"/>
    <w:rsid w:val="009E6468"/>
    <w:rsid w:val="009E6583"/>
    <w:rsid w:val="009F1BF9"/>
    <w:rsid w:val="009F31B5"/>
    <w:rsid w:val="009F55F4"/>
    <w:rsid w:val="009F6C35"/>
    <w:rsid w:val="009F6EBE"/>
    <w:rsid w:val="00A00452"/>
    <w:rsid w:val="00A00AFD"/>
    <w:rsid w:val="00A016B7"/>
    <w:rsid w:val="00A019D0"/>
    <w:rsid w:val="00A023ED"/>
    <w:rsid w:val="00A03206"/>
    <w:rsid w:val="00A035D6"/>
    <w:rsid w:val="00A0375E"/>
    <w:rsid w:val="00A04B70"/>
    <w:rsid w:val="00A062EA"/>
    <w:rsid w:val="00A06469"/>
    <w:rsid w:val="00A100AC"/>
    <w:rsid w:val="00A10142"/>
    <w:rsid w:val="00A110BB"/>
    <w:rsid w:val="00A11C9F"/>
    <w:rsid w:val="00A12227"/>
    <w:rsid w:val="00A127EB"/>
    <w:rsid w:val="00A14486"/>
    <w:rsid w:val="00A154EB"/>
    <w:rsid w:val="00A163CF"/>
    <w:rsid w:val="00A173CA"/>
    <w:rsid w:val="00A17FC7"/>
    <w:rsid w:val="00A20853"/>
    <w:rsid w:val="00A20E5D"/>
    <w:rsid w:val="00A221F2"/>
    <w:rsid w:val="00A22E7B"/>
    <w:rsid w:val="00A23591"/>
    <w:rsid w:val="00A23753"/>
    <w:rsid w:val="00A23C2A"/>
    <w:rsid w:val="00A23CD5"/>
    <w:rsid w:val="00A24F3A"/>
    <w:rsid w:val="00A250B0"/>
    <w:rsid w:val="00A25630"/>
    <w:rsid w:val="00A266D0"/>
    <w:rsid w:val="00A26817"/>
    <w:rsid w:val="00A2736D"/>
    <w:rsid w:val="00A27B05"/>
    <w:rsid w:val="00A30147"/>
    <w:rsid w:val="00A302B7"/>
    <w:rsid w:val="00A31A39"/>
    <w:rsid w:val="00A31F92"/>
    <w:rsid w:val="00A33709"/>
    <w:rsid w:val="00A33735"/>
    <w:rsid w:val="00A35C6D"/>
    <w:rsid w:val="00A36639"/>
    <w:rsid w:val="00A372B2"/>
    <w:rsid w:val="00A37E00"/>
    <w:rsid w:val="00A40277"/>
    <w:rsid w:val="00A402D5"/>
    <w:rsid w:val="00A40855"/>
    <w:rsid w:val="00A41B61"/>
    <w:rsid w:val="00A4211F"/>
    <w:rsid w:val="00A428C4"/>
    <w:rsid w:val="00A43E1F"/>
    <w:rsid w:val="00A44023"/>
    <w:rsid w:val="00A44296"/>
    <w:rsid w:val="00A44880"/>
    <w:rsid w:val="00A44A51"/>
    <w:rsid w:val="00A45584"/>
    <w:rsid w:val="00A464E7"/>
    <w:rsid w:val="00A46E31"/>
    <w:rsid w:val="00A47761"/>
    <w:rsid w:val="00A52264"/>
    <w:rsid w:val="00A52B0D"/>
    <w:rsid w:val="00A53894"/>
    <w:rsid w:val="00A53E1F"/>
    <w:rsid w:val="00A54161"/>
    <w:rsid w:val="00A54475"/>
    <w:rsid w:val="00A555B5"/>
    <w:rsid w:val="00A57022"/>
    <w:rsid w:val="00A620F9"/>
    <w:rsid w:val="00A629CE"/>
    <w:rsid w:val="00A62AD1"/>
    <w:rsid w:val="00A62F0A"/>
    <w:rsid w:val="00A6307C"/>
    <w:rsid w:val="00A632AC"/>
    <w:rsid w:val="00A63823"/>
    <w:rsid w:val="00A66473"/>
    <w:rsid w:val="00A66C3E"/>
    <w:rsid w:val="00A66C9A"/>
    <w:rsid w:val="00A67ABB"/>
    <w:rsid w:val="00A70A32"/>
    <w:rsid w:val="00A74ADE"/>
    <w:rsid w:val="00A751F1"/>
    <w:rsid w:val="00A75A9C"/>
    <w:rsid w:val="00A76053"/>
    <w:rsid w:val="00A7617F"/>
    <w:rsid w:val="00A762FE"/>
    <w:rsid w:val="00A77133"/>
    <w:rsid w:val="00A77233"/>
    <w:rsid w:val="00A77484"/>
    <w:rsid w:val="00A77A29"/>
    <w:rsid w:val="00A77C64"/>
    <w:rsid w:val="00A80641"/>
    <w:rsid w:val="00A8173C"/>
    <w:rsid w:val="00A8249C"/>
    <w:rsid w:val="00A825CA"/>
    <w:rsid w:val="00A82821"/>
    <w:rsid w:val="00A84BC2"/>
    <w:rsid w:val="00A84E48"/>
    <w:rsid w:val="00A85304"/>
    <w:rsid w:val="00A85AEA"/>
    <w:rsid w:val="00A87409"/>
    <w:rsid w:val="00A90052"/>
    <w:rsid w:val="00A90242"/>
    <w:rsid w:val="00A90A05"/>
    <w:rsid w:val="00A90B33"/>
    <w:rsid w:val="00A929E8"/>
    <w:rsid w:val="00A9302E"/>
    <w:rsid w:val="00A942C0"/>
    <w:rsid w:val="00A949D2"/>
    <w:rsid w:val="00A958E9"/>
    <w:rsid w:val="00A966F2"/>
    <w:rsid w:val="00AA0109"/>
    <w:rsid w:val="00AA13F8"/>
    <w:rsid w:val="00AA19C3"/>
    <w:rsid w:val="00AA1E4D"/>
    <w:rsid w:val="00AA28CA"/>
    <w:rsid w:val="00AA408B"/>
    <w:rsid w:val="00AA51EC"/>
    <w:rsid w:val="00AA61E5"/>
    <w:rsid w:val="00AB11B2"/>
    <w:rsid w:val="00AB123B"/>
    <w:rsid w:val="00AB4080"/>
    <w:rsid w:val="00AB40AB"/>
    <w:rsid w:val="00AB42F6"/>
    <w:rsid w:val="00AB4B4B"/>
    <w:rsid w:val="00AB597C"/>
    <w:rsid w:val="00AB6938"/>
    <w:rsid w:val="00AB755E"/>
    <w:rsid w:val="00AB7CC5"/>
    <w:rsid w:val="00AC10F8"/>
    <w:rsid w:val="00AC2051"/>
    <w:rsid w:val="00AC2CA3"/>
    <w:rsid w:val="00AC2CD0"/>
    <w:rsid w:val="00AC3193"/>
    <w:rsid w:val="00AC37AF"/>
    <w:rsid w:val="00AC4096"/>
    <w:rsid w:val="00AC40F8"/>
    <w:rsid w:val="00AC4740"/>
    <w:rsid w:val="00AC510F"/>
    <w:rsid w:val="00AD2068"/>
    <w:rsid w:val="00AD2629"/>
    <w:rsid w:val="00AD4140"/>
    <w:rsid w:val="00AD4173"/>
    <w:rsid w:val="00AD6825"/>
    <w:rsid w:val="00AD72CA"/>
    <w:rsid w:val="00AE0255"/>
    <w:rsid w:val="00AE062B"/>
    <w:rsid w:val="00AE087C"/>
    <w:rsid w:val="00AE1165"/>
    <w:rsid w:val="00AE1258"/>
    <w:rsid w:val="00AE20B7"/>
    <w:rsid w:val="00AE2611"/>
    <w:rsid w:val="00AE3A7B"/>
    <w:rsid w:val="00AE3BE9"/>
    <w:rsid w:val="00AE46BC"/>
    <w:rsid w:val="00AE4D01"/>
    <w:rsid w:val="00AE66F0"/>
    <w:rsid w:val="00AE6AA5"/>
    <w:rsid w:val="00AE7897"/>
    <w:rsid w:val="00AF0C53"/>
    <w:rsid w:val="00AF25B2"/>
    <w:rsid w:val="00AF33AA"/>
    <w:rsid w:val="00AF4DA8"/>
    <w:rsid w:val="00AF58A3"/>
    <w:rsid w:val="00AF62F5"/>
    <w:rsid w:val="00AF69D5"/>
    <w:rsid w:val="00AF7C47"/>
    <w:rsid w:val="00B001B0"/>
    <w:rsid w:val="00B003A7"/>
    <w:rsid w:val="00B00EFE"/>
    <w:rsid w:val="00B021E3"/>
    <w:rsid w:val="00B04DCB"/>
    <w:rsid w:val="00B05C90"/>
    <w:rsid w:val="00B05E20"/>
    <w:rsid w:val="00B06811"/>
    <w:rsid w:val="00B0779D"/>
    <w:rsid w:val="00B07999"/>
    <w:rsid w:val="00B07EDF"/>
    <w:rsid w:val="00B11B3A"/>
    <w:rsid w:val="00B120E6"/>
    <w:rsid w:val="00B12131"/>
    <w:rsid w:val="00B12156"/>
    <w:rsid w:val="00B13A7C"/>
    <w:rsid w:val="00B15740"/>
    <w:rsid w:val="00B1656D"/>
    <w:rsid w:val="00B16E5F"/>
    <w:rsid w:val="00B176FA"/>
    <w:rsid w:val="00B17B14"/>
    <w:rsid w:val="00B205B5"/>
    <w:rsid w:val="00B207D6"/>
    <w:rsid w:val="00B208F4"/>
    <w:rsid w:val="00B215B0"/>
    <w:rsid w:val="00B217A4"/>
    <w:rsid w:val="00B219EE"/>
    <w:rsid w:val="00B22A49"/>
    <w:rsid w:val="00B23063"/>
    <w:rsid w:val="00B23136"/>
    <w:rsid w:val="00B232DA"/>
    <w:rsid w:val="00B23817"/>
    <w:rsid w:val="00B23954"/>
    <w:rsid w:val="00B23C02"/>
    <w:rsid w:val="00B241F1"/>
    <w:rsid w:val="00B24632"/>
    <w:rsid w:val="00B25C7E"/>
    <w:rsid w:val="00B270FA"/>
    <w:rsid w:val="00B27676"/>
    <w:rsid w:val="00B2771C"/>
    <w:rsid w:val="00B27CAD"/>
    <w:rsid w:val="00B27F52"/>
    <w:rsid w:val="00B304FC"/>
    <w:rsid w:val="00B31A6D"/>
    <w:rsid w:val="00B31D6E"/>
    <w:rsid w:val="00B33BBD"/>
    <w:rsid w:val="00B3427E"/>
    <w:rsid w:val="00B34E36"/>
    <w:rsid w:val="00B351C8"/>
    <w:rsid w:val="00B36262"/>
    <w:rsid w:val="00B3626E"/>
    <w:rsid w:val="00B372B7"/>
    <w:rsid w:val="00B37724"/>
    <w:rsid w:val="00B377AB"/>
    <w:rsid w:val="00B403F8"/>
    <w:rsid w:val="00B40E9F"/>
    <w:rsid w:val="00B41ECB"/>
    <w:rsid w:val="00B42741"/>
    <w:rsid w:val="00B42ECD"/>
    <w:rsid w:val="00B430F4"/>
    <w:rsid w:val="00B4310B"/>
    <w:rsid w:val="00B43C55"/>
    <w:rsid w:val="00B44495"/>
    <w:rsid w:val="00B44555"/>
    <w:rsid w:val="00B4470F"/>
    <w:rsid w:val="00B45271"/>
    <w:rsid w:val="00B45B1F"/>
    <w:rsid w:val="00B4639C"/>
    <w:rsid w:val="00B46D4B"/>
    <w:rsid w:val="00B47106"/>
    <w:rsid w:val="00B50DB1"/>
    <w:rsid w:val="00B51BA9"/>
    <w:rsid w:val="00B53F6A"/>
    <w:rsid w:val="00B55714"/>
    <w:rsid w:val="00B5587E"/>
    <w:rsid w:val="00B56A90"/>
    <w:rsid w:val="00B56B7A"/>
    <w:rsid w:val="00B578EC"/>
    <w:rsid w:val="00B602CC"/>
    <w:rsid w:val="00B60D33"/>
    <w:rsid w:val="00B61868"/>
    <w:rsid w:val="00B61E24"/>
    <w:rsid w:val="00B637E3"/>
    <w:rsid w:val="00B64D2C"/>
    <w:rsid w:val="00B650FA"/>
    <w:rsid w:val="00B65EF2"/>
    <w:rsid w:val="00B665BA"/>
    <w:rsid w:val="00B67E6A"/>
    <w:rsid w:val="00B7016C"/>
    <w:rsid w:val="00B71283"/>
    <w:rsid w:val="00B71B83"/>
    <w:rsid w:val="00B71BF0"/>
    <w:rsid w:val="00B75074"/>
    <w:rsid w:val="00B75DA6"/>
    <w:rsid w:val="00B75EE3"/>
    <w:rsid w:val="00B76198"/>
    <w:rsid w:val="00B773A3"/>
    <w:rsid w:val="00B77913"/>
    <w:rsid w:val="00B77C7D"/>
    <w:rsid w:val="00B806B0"/>
    <w:rsid w:val="00B80BA2"/>
    <w:rsid w:val="00B8405A"/>
    <w:rsid w:val="00B84589"/>
    <w:rsid w:val="00B847F8"/>
    <w:rsid w:val="00B84E7B"/>
    <w:rsid w:val="00B857E0"/>
    <w:rsid w:val="00B8665D"/>
    <w:rsid w:val="00B86FE7"/>
    <w:rsid w:val="00B91598"/>
    <w:rsid w:val="00B91F86"/>
    <w:rsid w:val="00B92511"/>
    <w:rsid w:val="00B92789"/>
    <w:rsid w:val="00B936C4"/>
    <w:rsid w:val="00B9425B"/>
    <w:rsid w:val="00B96625"/>
    <w:rsid w:val="00B96D95"/>
    <w:rsid w:val="00B96EED"/>
    <w:rsid w:val="00BA0474"/>
    <w:rsid w:val="00BA0560"/>
    <w:rsid w:val="00BA09CD"/>
    <w:rsid w:val="00BA1E92"/>
    <w:rsid w:val="00BA1E98"/>
    <w:rsid w:val="00BA227B"/>
    <w:rsid w:val="00BA2917"/>
    <w:rsid w:val="00BA2A62"/>
    <w:rsid w:val="00BA2C50"/>
    <w:rsid w:val="00BA2CBC"/>
    <w:rsid w:val="00BA4351"/>
    <w:rsid w:val="00BA4C4A"/>
    <w:rsid w:val="00BA4CA6"/>
    <w:rsid w:val="00BA641E"/>
    <w:rsid w:val="00BA7178"/>
    <w:rsid w:val="00BA7A19"/>
    <w:rsid w:val="00BA7C55"/>
    <w:rsid w:val="00BA7F32"/>
    <w:rsid w:val="00BB03D2"/>
    <w:rsid w:val="00BB068B"/>
    <w:rsid w:val="00BB1511"/>
    <w:rsid w:val="00BB287C"/>
    <w:rsid w:val="00BB3266"/>
    <w:rsid w:val="00BB393B"/>
    <w:rsid w:val="00BB4995"/>
    <w:rsid w:val="00BB51B6"/>
    <w:rsid w:val="00BB5DE5"/>
    <w:rsid w:val="00BB7BD7"/>
    <w:rsid w:val="00BC075B"/>
    <w:rsid w:val="00BC150D"/>
    <w:rsid w:val="00BC1F4E"/>
    <w:rsid w:val="00BC4576"/>
    <w:rsid w:val="00BC4D96"/>
    <w:rsid w:val="00BC58E7"/>
    <w:rsid w:val="00BC5EAF"/>
    <w:rsid w:val="00BC5FA0"/>
    <w:rsid w:val="00BC7532"/>
    <w:rsid w:val="00BD158C"/>
    <w:rsid w:val="00BD16F5"/>
    <w:rsid w:val="00BD24F1"/>
    <w:rsid w:val="00BD36C2"/>
    <w:rsid w:val="00BD4F72"/>
    <w:rsid w:val="00BD6334"/>
    <w:rsid w:val="00BD64EC"/>
    <w:rsid w:val="00BE0176"/>
    <w:rsid w:val="00BE019E"/>
    <w:rsid w:val="00BE07B5"/>
    <w:rsid w:val="00BE0CED"/>
    <w:rsid w:val="00BE10E5"/>
    <w:rsid w:val="00BE1659"/>
    <w:rsid w:val="00BE16A8"/>
    <w:rsid w:val="00BE1B89"/>
    <w:rsid w:val="00BE1F3D"/>
    <w:rsid w:val="00BE1FCB"/>
    <w:rsid w:val="00BE242A"/>
    <w:rsid w:val="00BE2685"/>
    <w:rsid w:val="00BE2A87"/>
    <w:rsid w:val="00BE3024"/>
    <w:rsid w:val="00BE338B"/>
    <w:rsid w:val="00BE35C0"/>
    <w:rsid w:val="00BE35E0"/>
    <w:rsid w:val="00BE3EC3"/>
    <w:rsid w:val="00BE4806"/>
    <w:rsid w:val="00BE4AB6"/>
    <w:rsid w:val="00BE4CD9"/>
    <w:rsid w:val="00BE5971"/>
    <w:rsid w:val="00BF0635"/>
    <w:rsid w:val="00BF13BA"/>
    <w:rsid w:val="00BF13E1"/>
    <w:rsid w:val="00BF2049"/>
    <w:rsid w:val="00BF3E99"/>
    <w:rsid w:val="00BF562C"/>
    <w:rsid w:val="00BF5A80"/>
    <w:rsid w:val="00BF62B2"/>
    <w:rsid w:val="00BF6BFD"/>
    <w:rsid w:val="00BF6FEF"/>
    <w:rsid w:val="00BF758A"/>
    <w:rsid w:val="00BF7F17"/>
    <w:rsid w:val="00C007B1"/>
    <w:rsid w:val="00C01A0F"/>
    <w:rsid w:val="00C02004"/>
    <w:rsid w:val="00C040A8"/>
    <w:rsid w:val="00C04D7A"/>
    <w:rsid w:val="00C0678D"/>
    <w:rsid w:val="00C070E8"/>
    <w:rsid w:val="00C07298"/>
    <w:rsid w:val="00C10C6F"/>
    <w:rsid w:val="00C10E7E"/>
    <w:rsid w:val="00C12674"/>
    <w:rsid w:val="00C1383B"/>
    <w:rsid w:val="00C13D4C"/>
    <w:rsid w:val="00C15756"/>
    <w:rsid w:val="00C167DC"/>
    <w:rsid w:val="00C169BD"/>
    <w:rsid w:val="00C16EBB"/>
    <w:rsid w:val="00C1715B"/>
    <w:rsid w:val="00C20B10"/>
    <w:rsid w:val="00C21349"/>
    <w:rsid w:val="00C22CB3"/>
    <w:rsid w:val="00C24E0A"/>
    <w:rsid w:val="00C2515F"/>
    <w:rsid w:val="00C25CEF"/>
    <w:rsid w:val="00C26D8D"/>
    <w:rsid w:val="00C270DE"/>
    <w:rsid w:val="00C30FAD"/>
    <w:rsid w:val="00C31ECB"/>
    <w:rsid w:val="00C328B7"/>
    <w:rsid w:val="00C334D0"/>
    <w:rsid w:val="00C3386C"/>
    <w:rsid w:val="00C361E3"/>
    <w:rsid w:val="00C36616"/>
    <w:rsid w:val="00C36751"/>
    <w:rsid w:val="00C36A42"/>
    <w:rsid w:val="00C40B5E"/>
    <w:rsid w:val="00C41219"/>
    <w:rsid w:val="00C426FA"/>
    <w:rsid w:val="00C44863"/>
    <w:rsid w:val="00C4552B"/>
    <w:rsid w:val="00C4788C"/>
    <w:rsid w:val="00C478D7"/>
    <w:rsid w:val="00C479AB"/>
    <w:rsid w:val="00C538E3"/>
    <w:rsid w:val="00C552D9"/>
    <w:rsid w:val="00C55A3E"/>
    <w:rsid w:val="00C5645C"/>
    <w:rsid w:val="00C56567"/>
    <w:rsid w:val="00C5698B"/>
    <w:rsid w:val="00C57A2F"/>
    <w:rsid w:val="00C607D6"/>
    <w:rsid w:val="00C611AB"/>
    <w:rsid w:val="00C614C6"/>
    <w:rsid w:val="00C636DE"/>
    <w:rsid w:val="00C648EE"/>
    <w:rsid w:val="00C65FB7"/>
    <w:rsid w:val="00C66E12"/>
    <w:rsid w:val="00C71481"/>
    <w:rsid w:val="00C71486"/>
    <w:rsid w:val="00C717D9"/>
    <w:rsid w:val="00C71A4A"/>
    <w:rsid w:val="00C71D2D"/>
    <w:rsid w:val="00C71EB9"/>
    <w:rsid w:val="00C73C9B"/>
    <w:rsid w:val="00C73E19"/>
    <w:rsid w:val="00C73F28"/>
    <w:rsid w:val="00C74EAE"/>
    <w:rsid w:val="00C752B0"/>
    <w:rsid w:val="00C80B7C"/>
    <w:rsid w:val="00C80DD7"/>
    <w:rsid w:val="00C83870"/>
    <w:rsid w:val="00C83CEF"/>
    <w:rsid w:val="00C85778"/>
    <w:rsid w:val="00C85F3D"/>
    <w:rsid w:val="00C864D9"/>
    <w:rsid w:val="00C86591"/>
    <w:rsid w:val="00C86858"/>
    <w:rsid w:val="00C86B86"/>
    <w:rsid w:val="00C8712B"/>
    <w:rsid w:val="00C8741F"/>
    <w:rsid w:val="00C876C2"/>
    <w:rsid w:val="00C90439"/>
    <w:rsid w:val="00C91A76"/>
    <w:rsid w:val="00C91DA0"/>
    <w:rsid w:val="00C91E39"/>
    <w:rsid w:val="00C9301C"/>
    <w:rsid w:val="00C9376B"/>
    <w:rsid w:val="00C94255"/>
    <w:rsid w:val="00C94F23"/>
    <w:rsid w:val="00C95339"/>
    <w:rsid w:val="00C954DA"/>
    <w:rsid w:val="00C95611"/>
    <w:rsid w:val="00C97461"/>
    <w:rsid w:val="00C97B1D"/>
    <w:rsid w:val="00CA065A"/>
    <w:rsid w:val="00CA28C7"/>
    <w:rsid w:val="00CA29FC"/>
    <w:rsid w:val="00CA3128"/>
    <w:rsid w:val="00CA32BD"/>
    <w:rsid w:val="00CA4AD7"/>
    <w:rsid w:val="00CA519A"/>
    <w:rsid w:val="00CA5442"/>
    <w:rsid w:val="00CA5547"/>
    <w:rsid w:val="00CA6331"/>
    <w:rsid w:val="00CA7D03"/>
    <w:rsid w:val="00CB034C"/>
    <w:rsid w:val="00CB3DBA"/>
    <w:rsid w:val="00CB4A0A"/>
    <w:rsid w:val="00CB534D"/>
    <w:rsid w:val="00CB553B"/>
    <w:rsid w:val="00CB62E1"/>
    <w:rsid w:val="00CB63F8"/>
    <w:rsid w:val="00CB7477"/>
    <w:rsid w:val="00CC0598"/>
    <w:rsid w:val="00CC1498"/>
    <w:rsid w:val="00CC182A"/>
    <w:rsid w:val="00CC1E08"/>
    <w:rsid w:val="00CC2051"/>
    <w:rsid w:val="00CC46B3"/>
    <w:rsid w:val="00CC49ED"/>
    <w:rsid w:val="00CC502C"/>
    <w:rsid w:val="00CC565F"/>
    <w:rsid w:val="00CC5EC7"/>
    <w:rsid w:val="00CC608D"/>
    <w:rsid w:val="00CC6906"/>
    <w:rsid w:val="00CC69BE"/>
    <w:rsid w:val="00CC6DC8"/>
    <w:rsid w:val="00CC6F2F"/>
    <w:rsid w:val="00CC73E7"/>
    <w:rsid w:val="00CC7559"/>
    <w:rsid w:val="00CD01A2"/>
    <w:rsid w:val="00CD1252"/>
    <w:rsid w:val="00CD1BA6"/>
    <w:rsid w:val="00CD1CBF"/>
    <w:rsid w:val="00CD254F"/>
    <w:rsid w:val="00CD349F"/>
    <w:rsid w:val="00CD36E8"/>
    <w:rsid w:val="00CD415D"/>
    <w:rsid w:val="00CD440E"/>
    <w:rsid w:val="00CD7F4D"/>
    <w:rsid w:val="00CE0318"/>
    <w:rsid w:val="00CE11C7"/>
    <w:rsid w:val="00CE1404"/>
    <w:rsid w:val="00CE26AE"/>
    <w:rsid w:val="00CE3249"/>
    <w:rsid w:val="00CE3417"/>
    <w:rsid w:val="00CE38BB"/>
    <w:rsid w:val="00CE514D"/>
    <w:rsid w:val="00CE57A9"/>
    <w:rsid w:val="00CE5FFE"/>
    <w:rsid w:val="00CE604B"/>
    <w:rsid w:val="00CE65F5"/>
    <w:rsid w:val="00CE7F6A"/>
    <w:rsid w:val="00CF03D5"/>
    <w:rsid w:val="00CF1FC3"/>
    <w:rsid w:val="00CF2466"/>
    <w:rsid w:val="00CF281F"/>
    <w:rsid w:val="00CF291A"/>
    <w:rsid w:val="00CF4E69"/>
    <w:rsid w:val="00CF55AD"/>
    <w:rsid w:val="00CF5A7E"/>
    <w:rsid w:val="00CF5AB9"/>
    <w:rsid w:val="00CF7DDC"/>
    <w:rsid w:val="00D00A2E"/>
    <w:rsid w:val="00D010B9"/>
    <w:rsid w:val="00D01821"/>
    <w:rsid w:val="00D01F78"/>
    <w:rsid w:val="00D02758"/>
    <w:rsid w:val="00D03B65"/>
    <w:rsid w:val="00D03E02"/>
    <w:rsid w:val="00D04CB8"/>
    <w:rsid w:val="00D04D87"/>
    <w:rsid w:val="00D04F9B"/>
    <w:rsid w:val="00D05525"/>
    <w:rsid w:val="00D05E07"/>
    <w:rsid w:val="00D068AE"/>
    <w:rsid w:val="00D079B7"/>
    <w:rsid w:val="00D10901"/>
    <w:rsid w:val="00D12111"/>
    <w:rsid w:val="00D12416"/>
    <w:rsid w:val="00D138E7"/>
    <w:rsid w:val="00D1444F"/>
    <w:rsid w:val="00D14BD8"/>
    <w:rsid w:val="00D15F85"/>
    <w:rsid w:val="00D16007"/>
    <w:rsid w:val="00D160E5"/>
    <w:rsid w:val="00D165E2"/>
    <w:rsid w:val="00D17384"/>
    <w:rsid w:val="00D17984"/>
    <w:rsid w:val="00D20418"/>
    <w:rsid w:val="00D20B41"/>
    <w:rsid w:val="00D216CD"/>
    <w:rsid w:val="00D236EC"/>
    <w:rsid w:val="00D2633C"/>
    <w:rsid w:val="00D26D1D"/>
    <w:rsid w:val="00D27163"/>
    <w:rsid w:val="00D276DD"/>
    <w:rsid w:val="00D309F4"/>
    <w:rsid w:val="00D31EDE"/>
    <w:rsid w:val="00D33A7E"/>
    <w:rsid w:val="00D34CB0"/>
    <w:rsid w:val="00D351EC"/>
    <w:rsid w:val="00D351F4"/>
    <w:rsid w:val="00D355AB"/>
    <w:rsid w:val="00D3604D"/>
    <w:rsid w:val="00D40195"/>
    <w:rsid w:val="00D40586"/>
    <w:rsid w:val="00D40981"/>
    <w:rsid w:val="00D4223B"/>
    <w:rsid w:val="00D43016"/>
    <w:rsid w:val="00D43439"/>
    <w:rsid w:val="00D43540"/>
    <w:rsid w:val="00D437E7"/>
    <w:rsid w:val="00D43A01"/>
    <w:rsid w:val="00D43BF3"/>
    <w:rsid w:val="00D43F21"/>
    <w:rsid w:val="00D4400D"/>
    <w:rsid w:val="00D44A2C"/>
    <w:rsid w:val="00D46CE0"/>
    <w:rsid w:val="00D47832"/>
    <w:rsid w:val="00D51BE5"/>
    <w:rsid w:val="00D5281F"/>
    <w:rsid w:val="00D530B1"/>
    <w:rsid w:val="00D54A74"/>
    <w:rsid w:val="00D54C18"/>
    <w:rsid w:val="00D55BA1"/>
    <w:rsid w:val="00D56088"/>
    <w:rsid w:val="00D576CE"/>
    <w:rsid w:val="00D605FE"/>
    <w:rsid w:val="00D60DFB"/>
    <w:rsid w:val="00D619D3"/>
    <w:rsid w:val="00D61FA9"/>
    <w:rsid w:val="00D62177"/>
    <w:rsid w:val="00D63DFD"/>
    <w:rsid w:val="00D63FEC"/>
    <w:rsid w:val="00D643DE"/>
    <w:rsid w:val="00D64916"/>
    <w:rsid w:val="00D656C3"/>
    <w:rsid w:val="00D660AF"/>
    <w:rsid w:val="00D661D7"/>
    <w:rsid w:val="00D662E2"/>
    <w:rsid w:val="00D66F36"/>
    <w:rsid w:val="00D6757D"/>
    <w:rsid w:val="00D700F9"/>
    <w:rsid w:val="00D71D8B"/>
    <w:rsid w:val="00D72194"/>
    <w:rsid w:val="00D727E6"/>
    <w:rsid w:val="00D74314"/>
    <w:rsid w:val="00D76277"/>
    <w:rsid w:val="00D76449"/>
    <w:rsid w:val="00D7785E"/>
    <w:rsid w:val="00D80FB9"/>
    <w:rsid w:val="00D81585"/>
    <w:rsid w:val="00D81A47"/>
    <w:rsid w:val="00D81A51"/>
    <w:rsid w:val="00D81F3F"/>
    <w:rsid w:val="00D822C8"/>
    <w:rsid w:val="00D82A23"/>
    <w:rsid w:val="00D82B51"/>
    <w:rsid w:val="00D82EDD"/>
    <w:rsid w:val="00D84754"/>
    <w:rsid w:val="00D84A18"/>
    <w:rsid w:val="00D84D85"/>
    <w:rsid w:val="00D86655"/>
    <w:rsid w:val="00D87D9D"/>
    <w:rsid w:val="00D9010E"/>
    <w:rsid w:val="00D90196"/>
    <w:rsid w:val="00D91FFB"/>
    <w:rsid w:val="00D921DB"/>
    <w:rsid w:val="00D92519"/>
    <w:rsid w:val="00D93582"/>
    <w:rsid w:val="00D944B3"/>
    <w:rsid w:val="00D945F7"/>
    <w:rsid w:val="00D94A79"/>
    <w:rsid w:val="00D95564"/>
    <w:rsid w:val="00D95F26"/>
    <w:rsid w:val="00D96299"/>
    <w:rsid w:val="00D9629A"/>
    <w:rsid w:val="00DA06A5"/>
    <w:rsid w:val="00DA06B4"/>
    <w:rsid w:val="00DA0A6F"/>
    <w:rsid w:val="00DA1261"/>
    <w:rsid w:val="00DA1BB8"/>
    <w:rsid w:val="00DA3449"/>
    <w:rsid w:val="00DA451A"/>
    <w:rsid w:val="00DA56B8"/>
    <w:rsid w:val="00DA5893"/>
    <w:rsid w:val="00DA5ECA"/>
    <w:rsid w:val="00DA611C"/>
    <w:rsid w:val="00DA70BF"/>
    <w:rsid w:val="00DA732E"/>
    <w:rsid w:val="00DA75C6"/>
    <w:rsid w:val="00DA7983"/>
    <w:rsid w:val="00DB174B"/>
    <w:rsid w:val="00DB3489"/>
    <w:rsid w:val="00DB3F93"/>
    <w:rsid w:val="00DB54E8"/>
    <w:rsid w:val="00DB64BE"/>
    <w:rsid w:val="00DB6C96"/>
    <w:rsid w:val="00DC03E4"/>
    <w:rsid w:val="00DC081F"/>
    <w:rsid w:val="00DC0F1F"/>
    <w:rsid w:val="00DC11CB"/>
    <w:rsid w:val="00DC1BA7"/>
    <w:rsid w:val="00DC2A1B"/>
    <w:rsid w:val="00DC3B3D"/>
    <w:rsid w:val="00DC3C49"/>
    <w:rsid w:val="00DC4763"/>
    <w:rsid w:val="00DC48C0"/>
    <w:rsid w:val="00DC4DDC"/>
    <w:rsid w:val="00DC5121"/>
    <w:rsid w:val="00DC5337"/>
    <w:rsid w:val="00DC6749"/>
    <w:rsid w:val="00DC6F6F"/>
    <w:rsid w:val="00DD0E04"/>
    <w:rsid w:val="00DD0FCC"/>
    <w:rsid w:val="00DD14AB"/>
    <w:rsid w:val="00DD14DE"/>
    <w:rsid w:val="00DD1867"/>
    <w:rsid w:val="00DD190E"/>
    <w:rsid w:val="00DD1D03"/>
    <w:rsid w:val="00DD1E6B"/>
    <w:rsid w:val="00DD1FF0"/>
    <w:rsid w:val="00DD2296"/>
    <w:rsid w:val="00DD2B7A"/>
    <w:rsid w:val="00DD33DE"/>
    <w:rsid w:val="00DD360D"/>
    <w:rsid w:val="00DD5A77"/>
    <w:rsid w:val="00DD5B5E"/>
    <w:rsid w:val="00DD5D56"/>
    <w:rsid w:val="00DE152F"/>
    <w:rsid w:val="00DE3124"/>
    <w:rsid w:val="00DE4379"/>
    <w:rsid w:val="00DE496A"/>
    <w:rsid w:val="00DE50D6"/>
    <w:rsid w:val="00DE5DF0"/>
    <w:rsid w:val="00DE6D23"/>
    <w:rsid w:val="00DE6D26"/>
    <w:rsid w:val="00DE74E5"/>
    <w:rsid w:val="00DE791A"/>
    <w:rsid w:val="00DF0F07"/>
    <w:rsid w:val="00DF1266"/>
    <w:rsid w:val="00DF35E5"/>
    <w:rsid w:val="00DF3630"/>
    <w:rsid w:val="00DF5D46"/>
    <w:rsid w:val="00DF659B"/>
    <w:rsid w:val="00DF6FEB"/>
    <w:rsid w:val="00E019D4"/>
    <w:rsid w:val="00E01D7D"/>
    <w:rsid w:val="00E031B2"/>
    <w:rsid w:val="00E03C4C"/>
    <w:rsid w:val="00E03E0D"/>
    <w:rsid w:val="00E0419E"/>
    <w:rsid w:val="00E0466C"/>
    <w:rsid w:val="00E0555C"/>
    <w:rsid w:val="00E05CA7"/>
    <w:rsid w:val="00E0634A"/>
    <w:rsid w:val="00E070C7"/>
    <w:rsid w:val="00E07498"/>
    <w:rsid w:val="00E075B0"/>
    <w:rsid w:val="00E11268"/>
    <w:rsid w:val="00E11722"/>
    <w:rsid w:val="00E11B9D"/>
    <w:rsid w:val="00E12895"/>
    <w:rsid w:val="00E15B2D"/>
    <w:rsid w:val="00E15D34"/>
    <w:rsid w:val="00E15E2E"/>
    <w:rsid w:val="00E1692E"/>
    <w:rsid w:val="00E16A42"/>
    <w:rsid w:val="00E16E3A"/>
    <w:rsid w:val="00E16E95"/>
    <w:rsid w:val="00E17033"/>
    <w:rsid w:val="00E2037D"/>
    <w:rsid w:val="00E204BE"/>
    <w:rsid w:val="00E20DD2"/>
    <w:rsid w:val="00E21D92"/>
    <w:rsid w:val="00E2254F"/>
    <w:rsid w:val="00E23045"/>
    <w:rsid w:val="00E2315F"/>
    <w:rsid w:val="00E232F6"/>
    <w:rsid w:val="00E2339F"/>
    <w:rsid w:val="00E23DDD"/>
    <w:rsid w:val="00E23EAB"/>
    <w:rsid w:val="00E243E8"/>
    <w:rsid w:val="00E25223"/>
    <w:rsid w:val="00E2542B"/>
    <w:rsid w:val="00E264A8"/>
    <w:rsid w:val="00E26F54"/>
    <w:rsid w:val="00E26F84"/>
    <w:rsid w:val="00E27DC9"/>
    <w:rsid w:val="00E30363"/>
    <w:rsid w:val="00E30744"/>
    <w:rsid w:val="00E30B03"/>
    <w:rsid w:val="00E32F35"/>
    <w:rsid w:val="00E3332E"/>
    <w:rsid w:val="00E33BCF"/>
    <w:rsid w:val="00E35017"/>
    <w:rsid w:val="00E3516D"/>
    <w:rsid w:val="00E36F9F"/>
    <w:rsid w:val="00E43EC6"/>
    <w:rsid w:val="00E4499E"/>
    <w:rsid w:val="00E44B2A"/>
    <w:rsid w:val="00E45859"/>
    <w:rsid w:val="00E46A88"/>
    <w:rsid w:val="00E51375"/>
    <w:rsid w:val="00E52BE7"/>
    <w:rsid w:val="00E53169"/>
    <w:rsid w:val="00E53B28"/>
    <w:rsid w:val="00E54C31"/>
    <w:rsid w:val="00E55299"/>
    <w:rsid w:val="00E5593E"/>
    <w:rsid w:val="00E564A0"/>
    <w:rsid w:val="00E60CB1"/>
    <w:rsid w:val="00E624F1"/>
    <w:rsid w:val="00E62583"/>
    <w:rsid w:val="00E6455B"/>
    <w:rsid w:val="00E64773"/>
    <w:rsid w:val="00E6485E"/>
    <w:rsid w:val="00E64ABE"/>
    <w:rsid w:val="00E66F14"/>
    <w:rsid w:val="00E676EE"/>
    <w:rsid w:val="00E67A46"/>
    <w:rsid w:val="00E67A71"/>
    <w:rsid w:val="00E71449"/>
    <w:rsid w:val="00E71A25"/>
    <w:rsid w:val="00E72D67"/>
    <w:rsid w:val="00E7327C"/>
    <w:rsid w:val="00E73C23"/>
    <w:rsid w:val="00E7492A"/>
    <w:rsid w:val="00E74D3E"/>
    <w:rsid w:val="00E75926"/>
    <w:rsid w:val="00E7692C"/>
    <w:rsid w:val="00E76C02"/>
    <w:rsid w:val="00E76E53"/>
    <w:rsid w:val="00E81DB5"/>
    <w:rsid w:val="00E81E44"/>
    <w:rsid w:val="00E831BF"/>
    <w:rsid w:val="00E844AF"/>
    <w:rsid w:val="00E85BBE"/>
    <w:rsid w:val="00E85E49"/>
    <w:rsid w:val="00E85E92"/>
    <w:rsid w:val="00E876D7"/>
    <w:rsid w:val="00E87E8D"/>
    <w:rsid w:val="00E90ADF"/>
    <w:rsid w:val="00E9252F"/>
    <w:rsid w:val="00E92EE0"/>
    <w:rsid w:val="00E92FF3"/>
    <w:rsid w:val="00E93B43"/>
    <w:rsid w:val="00E93C01"/>
    <w:rsid w:val="00E93D52"/>
    <w:rsid w:val="00E94C16"/>
    <w:rsid w:val="00E94F0D"/>
    <w:rsid w:val="00E9555A"/>
    <w:rsid w:val="00E95A0C"/>
    <w:rsid w:val="00E961B8"/>
    <w:rsid w:val="00E96A14"/>
    <w:rsid w:val="00EA0A11"/>
    <w:rsid w:val="00EA0D40"/>
    <w:rsid w:val="00EA0F9B"/>
    <w:rsid w:val="00EA1D56"/>
    <w:rsid w:val="00EA2A7E"/>
    <w:rsid w:val="00EA2B33"/>
    <w:rsid w:val="00EA3167"/>
    <w:rsid w:val="00EA31D2"/>
    <w:rsid w:val="00EA3901"/>
    <w:rsid w:val="00EA49AA"/>
    <w:rsid w:val="00EA4C58"/>
    <w:rsid w:val="00EA648A"/>
    <w:rsid w:val="00EA6F7B"/>
    <w:rsid w:val="00EB0571"/>
    <w:rsid w:val="00EB0CC0"/>
    <w:rsid w:val="00EB106F"/>
    <w:rsid w:val="00EB1354"/>
    <w:rsid w:val="00EB1712"/>
    <w:rsid w:val="00EB1C49"/>
    <w:rsid w:val="00EB22BA"/>
    <w:rsid w:val="00EB2437"/>
    <w:rsid w:val="00EB45BE"/>
    <w:rsid w:val="00EB4780"/>
    <w:rsid w:val="00EB486A"/>
    <w:rsid w:val="00EB55CB"/>
    <w:rsid w:val="00EB5753"/>
    <w:rsid w:val="00EB6CEC"/>
    <w:rsid w:val="00EB7875"/>
    <w:rsid w:val="00EB7ED2"/>
    <w:rsid w:val="00EC0922"/>
    <w:rsid w:val="00EC0F1E"/>
    <w:rsid w:val="00EC0F69"/>
    <w:rsid w:val="00EC1852"/>
    <w:rsid w:val="00EC3345"/>
    <w:rsid w:val="00EC36EB"/>
    <w:rsid w:val="00EC3CC1"/>
    <w:rsid w:val="00EC4B9E"/>
    <w:rsid w:val="00EC50F6"/>
    <w:rsid w:val="00EC545C"/>
    <w:rsid w:val="00EC5766"/>
    <w:rsid w:val="00EC611B"/>
    <w:rsid w:val="00EC65E5"/>
    <w:rsid w:val="00EC7A02"/>
    <w:rsid w:val="00ED17B0"/>
    <w:rsid w:val="00ED22BE"/>
    <w:rsid w:val="00ED3DA5"/>
    <w:rsid w:val="00ED4ECA"/>
    <w:rsid w:val="00ED5CC5"/>
    <w:rsid w:val="00ED63A0"/>
    <w:rsid w:val="00ED74D1"/>
    <w:rsid w:val="00EE0870"/>
    <w:rsid w:val="00EE1CC9"/>
    <w:rsid w:val="00EE21D6"/>
    <w:rsid w:val="00EE234A"/>
    <w:rsid w:val="00EE2B26"/>
    <w:rsid w:val="00EE3A74"/>
    <w:rsid w:val="00EE4D1F"/>
    <w:rsid w:val="00EE6055"/>
    <w:rsid w:val="00EE6981"/>
    <w:rsid w:val="00EE75CA"/>
    <w:rsid w:val="00EE7784"/>
    <w:rsid w:val="00EE77DB"/>
    <w:rsid w:val="00EF062D"/>
    <w:rsid w:val="00EF1267"/>
    <w:rsid w:val="00EF1712"/>
    <w:rsid w:val="00EF183E"/>
    <w:rsid w:val="00EF1CF1"/>
    <w:rsid w:val="00EF1FF0"/>
    <w:rsid w:val="00EF20D8"/>
    <w:rsid w:val="00EF21B1"/>
    <w:rsid w:val="00EF3797"/>
    <w:rsid w:val="00EF3AD8"/>
    <w:rsid w:val="00EF4C35"/>
    <w:rsid w:val="00EF7DD4"/>
    <w:rsid w:val="00F00127"/>
    <w:rsid w:val="00F00234"/>
    <w:rsid w:val="00F0064C"/>
    <w:rsid w:val="00F018CD"/>
    <w:rsid w:val="00F029DF"/>
    <w:rsid w:val="00F02AF8"/>
    <w:rsid w:val="00F03476"/>
    <w:rsid w:val="00F04277"/>
    <w:rsid w:val="00F047CF"/>
    <w:rsid w:val="00F055BE"/>
    <w:rsid w:val="00F05E58"/>
    <w:rsid w:val="00F06FE2"/>
    <w:rsid w:val="00F07742"/>
    <w:rsid w:val="00F07F73"/>
    <w:rsid w:val="00F104E4"/>
    <w:rsid w:val="00F1101B"/>
    <w:rsid w:val="00F117A3"/>
    <w:rsid w:val="00F11E97"/>
    <w:rsid w:val="00F126C2"/>
    <w:rsid w:val="00F1384C"/>
    <w:rsid w:val="00F14687"/>
    <w:rsid w:val="00F16AEA"/>
    <w:rsid w:val="00F16C1C"/>
    <w:rsid w:val="00F17052"/>
    <w:rsid w:val="00F20ED8"/>
    <w:rsid w:val="00F21873"/>
    <w:rsid w:val="00F21B0E"/>
    <w:rsid w:val="00F22F31"/>
    <w:rsid w:val="00F245C2"/>
    <w:rsid w:val="00F24B8A"/>
    <w:rsid w:val="00F259D1"/>
    <w:rsid w:val="00F25DC5"/>
    <w:rsid w:val="00F264DC"/>
    <w:rsid w:val="00F2670A"/>
    <w:rsid w:val="00F2744E"/>
    <w:rsid w:val="00F307BD"/>
    <w:rsid w:val="00F30F34"/>
    <w:rsid w:val="00F31B8D"/>
    <w:rsid w:val="00F3205B"/>
    <w:rsid w:val="00F334E5"/>
    <w:rsid w:val="00F33969"/>
    <w:rsid w:val="00F33CAC"/>
    <w:rsid w:val="00F34121"/>
    <w:rsid w:val="00F353C2"/>
    <w:rsid w:val="00F354F7"/>
    <w:rsid w:val="00F3595C"/>
    <w:rsid w:val="00F35A43"/>
    <w:rsid w:val="00F3714D"/>
    <w:rsid w:val="00F3750D"/>
    <w:rsid w:val="00F402A8"/>
    <w:rsid w:val="00F40B9D"/>
    <w:rsid w:val="00F4130B"/>
    <w:rsid w:val="00F416EA"/>
    <w:rsid w:val="00F41DFE"/>
    <w:rsid w:val="00F4242B"/>
    <w:rsid w:val="00F4447B"/>
    <w:rsid w:val="00F44FCD"/>
    <w:rsid w:val="00F45155"/>
    <w:rsid w:val="00F45160"/>
    <w:rsid w:val="00F452D8"/>
    <w:rsid w:val="00F45D9D"/>
    <w:rsid w:val="00F461EF"/>
    <w:rsid w:val="00F465DD"/>
    <w:rsid w:val="00F475DC"/>
    <w:rsid w:val="00F508C1"/>
    <w:rsid w:val="00F51355"/>
    <w:rsid w:val="00F5301B"/>
    <w:rsid w:val="00F5445F"/>
    <w:rsid w:val="00F548C2"/>
    <w:rsid w:val="00F5499C"/>
    <w:rsid w:val="00F5569F"/>
    <w:rsid w:val="00F56E20"/>
    <w:rsid w:val="00F5724B"/>
    <w:rsid w:val="00F5799A"/>
    <w:rsid w:val="00F630A8"/>
    <w:rsid w:val="00F63454"/>
    <w:rsid w:val="00F63D50"/>
    <w:rsid w:val="00F64C9F"/>
    <w:rsid w:val="00F653E4"/>
    <w:rsid w:val="00F661B1"/>
    <w:rsid w:val="00F677EB"/>
    <w:rsid w:val="00F70A44"/>
    <w:rsid w:val="00F711EE"/>
    <w:rsid w:val="00F727DA"/>
    <w:rsid w:val="00F7285C"/>
    <w:rsid w:val="00F734AC"/>
    <w:rsid w:val="00F745EF"/>
    <w:rsid w:val="00F74829"/>
    <w:rsid w:val="00F7497C"/>
    <w:rsid w:val="00F75724"/>
    <w:rsid w:val="00F7604A"/>
    <w:rsid w:val="00F7677F"/>
    <w:rsid w:val="00F772F5"/>
    <w:rsid w:val="00F772FC"/>
    <w:rsid w:val="00F80EED"/>
    <w:rsid w:val="00F8102B"/>
    <w:rsid w:val="00F81D93"/>
    <w:rsid w:val="00F829A7"/>
    <w:rsid w:val="00F83E00"/>
    <w:rsid w:val="00F857BB"/>
    <w:rsid w:val="00F86276"/>
    <w:rsid w:val="00F862BC"/>
    <w:rsid w:val="00F864DB"/>
    <w:rsid w:val="00F869BA"/>
    <w:rsid w:val="00F90702"/>
    <w:rsid w:val="00F91D68"/>
    <w:rsid w:val="00F9287B"/>
    <w:rsid w:val="00F93179"/>
    <w:rsid w:val="00F94796"/>
    <w:rsid w:val="00F947AE"/>
    <w:rsid w:val="00F95617"/>
    <w:rsid w:val="00FA032D"/>
    <w:rsid w:val="00FA0C6E"/>
    <w:rsid w:val="00FA12F2"/>
    <w:rsid w:val="00FA17B3"/>
    <w:rsid w:val="00FA1858"/>
    <w:rsid w:val="00FA1A7B"/>
    <w:rsid w:val="00FA4269"/>
    <w:rsid w:val="00FA562C"/>
    <w:rsid w:val="00FA57D5"/>
    <w:rsid w:val="00FA5BB7"/>
    <w:rsid w:val="00FA663B"/>
    <w:rsid w:val="00FA78F7"/>
    <w:rsid w:val="00FA7CD2"/>
    <w:rsid w:val="00FB0059"/>
    <w:rsid w:val="00FB3867"/>
    <w:rsid w:val="00FB39E8"/>
    <w:rsid w:val="00FB42F2"/>
    <w:rsid w:val="00FB4F5D"/>
    <w:rsid w:val="00FB5372"/>
    <w:rsid w:val="00FB55A1"/>
    <w:rsid w:val="00FB56AD"/>
    <w:rsid w:val="00FB70AC"/>
    <w:rsid w:val="00FB79EF"/>
    <w:rsid w:val="00FB7C57"/>
    <w:rsid w:val="00FB7E01"/>
    <w:rsid w:val="00FC1975"/>
    <w:rsid w:val="00FC19B2"/>
    <w:rsid w:val="00FC2C26"/>
    <w:rsid w:val="00FC2FA7"/>
    <w:rsid w:val="00FC4140"/>
    <w:rsid w:val="00FC464F"/>
    <w:rsid w:val="00FC5528"/>
    <w:rsid w:val="00FC610D"/>
    <w:rsid w:val="00FC619A"/>
    <w:rsid w:val="00FC6C47"/>
    <w:rsid w:val="00FC7119"/>
    <w:rsid w:val="00FC77D5"/>
    <w:rsid w:val="00FD01A4"/>
    <w:rsid w:val="00FD0B71"/>
    <w:rsid w:val="00FD1E65"/>
    <w:rsid w:val="00FD4815"/>
    <w:rsid w:val="00FD5B8F"/>
    <w:rsid w:val="00FD674B"/>
    <w:rsid w:val="00FE0063"/>
    <w:rsid w:val="00FE04A8"/>
    <w:rsid w:val="00FE0C93"/>
    <w:rsid w:val="00FE1514"/>
    <w:rsid w:val="00FE249F"/>
    <w:rsid w:val="00FE2538"/>
    <w:rsid w:val="00FE2DFE"/>
    <w:rsid w:val="00FE36BC"/>
    <w:rsid w:val="00FE37AF"/>
    <w:rsid w:val="00FE3B15"/>
    <w:rsid w:val="00FE3F2C"/>
    <w:rsid w:val="00FE4B8C"/>
    <w:rsid w:val="00FE5973"/>
    <w:rsid w:val="00FF06AF"/>
    <w:rsid w:val="00FF12C4"/>
    <w:rsid w:val="00FF179B"/>
    <w:rsid w:val="00FF3B54"/>
    <w:rsid w:val="00FF5DC4"/>
    <w:rsid w:val="00FF63F4"/>
    <w:rsid w:val="00FF6C10"/>
    <w:rsid w:val="00FF7556"/>
    <w:rsid w:val="00FF7B9A"/>
    <w:rsid w:val="00FF7DC6"/>
    <w:rsid w:val="010EC0A9"/>
    <w:rsid w:val="0151603E"/>
    <w:rsid w:val="0162E65D"/>
    <w:rsid w:val="01753679"/>
    <w:rsid w:val="01775E71"/>
    <w:rsid w:val="0193D28F"/>
    <w:rsid w:val="01C3C936"/>
    <w:rsid w:val="01E1B5D8"/>
    <w:rsid w:val="01FCFE5C"/>
    <w:rsid w:val="021374A2"/>
    <w:rsid w:val="02208B3C"/>
    <w:rsid w:val="024A7E2E"/>
    <w:rsid w:val="025DDD0D"/>
    <w:rsid w:val="02731DDF"/>
    <w:rsid w:val="02796A97"/>
    <w:rsid w:val="02AE7316"/>
    <w:rsid w:val="02B14867"/>
    <w:rsid w:val="02D3CF92"/>
    <w:rsid w:val="02F06A82"/>
    <w:rsid w:val="0352C9AB"/>
    <w:rsid w:val="037202E0"/>
    <w:rsid w:val="037F3227"/>
    <w:rsid w:val="03B81B15"/>
    <w:rsid w:val="03C83C3C"/>
    <w:rsid w:val="03F70922"/>
    <w:rsid w:val="040929AA"/>
    <w:rsid w:val="042C3055"/>
    <w:rsid w:val="042DBC62"/>
    <w:rsid w:val="0444FBA8"/>
    <w:rsid w:val="047F6F0A"/>
    <w:rsid w:val="049CE4ED"/>
    <w:rsid w:val="04ADCDA8"/>
    <w:rsid w:val="04D1E2B3"/>
    <w:rsid w:val="0515CD40"/>
    <w:rsid w:val="051DFCDF"/>
    <w:rsid w:val="05206A22"/>
    <w:rsid w:val="0566AD7F"/>
    <w:rsid w:val="0567460D"/>
    <w:rsid w:val="058C7A1E"/>
    <w:rsid w:val="058E0492"/>
    <w:rsid w:val="05D8754D"/>
    <w:rsid w:val="064E1B55"/>
    <w:rsid w:val="065B8EB2"/>
    <w:rsid w:val="065BCA11"/>
    <w:rsid w:val="065FCBE6"/>
    <w:rsid w:val="0677115D"/>
    <w:rsid w:val="0682688A"/>
    <w:rsid w:val="06D3811B"/>
    <w:rsid w:val="075BE461"/>
    <w:rsid w:val="077E4D29"/>
    <w:rsid w:val="0783D6E5"/>
    <w:rsid w:val="07B76483"/>
    <w:rsid w:val="07BFE26E"/>
    <w:rsid w:val="07CF8F7C"/>
    <w:rsid w:val="085BC731"/>
    <w:rsid w:val="089B9F0F"/>
    <w:rsid w:val="0900B968"/>
    <w:rsid w:val="090AC4BA"/>
    <w:rsid w:val="091415F5"/>
    <w:rsid w:val="092AB955"/>
    <w:rsid w:val="0985679B"/>
    <w:rsid w:val="0985BC17"/>
    <w:rsid w:val="098FD761"/>
    <w:rsid w:val="09929043"/>
    <w:rsid w:val="09B4C735"/>
    <w:rsid w:val="09BA37F0"/>
    <w:rsid w:val="09C30D08"/>
    <w:rsid w:val="09F62A00"/>
    <w:rsid w:val="09F79792"/>
    <w:rsid w:val="0A11259E"/>
    <w:rsid w:val="0AA057D5"/>
    <w:rsid w:val="0AAD6CFE"/>
    <w:rsid w:val="0AB7A8D5"/>
    <w:rsid w:val="0B04B084"/>
    <w:rsid w:val="0B1BDD63"/>
    <w:rsid w:val="0B401907"/>
    <w:rsid w:val="0B4CBF58"/>
    <w:rsid w:val="0B6F22DF"/>
    <w:rsid w:val="0B7DFED7"/>
    <w:rsid w:val="0BB9A479"/>
    <w:rsid w:val="0BC76BDC"/>
    <w:rsid w:val="0BCF7EB2"/>
    <w:rsid w:val="0BD153FD"/>
    <w:rsid w:val="0BE2D8F4"/>
    <w:rsid w:val="0CC80593"/>
    <w:rsid w:val="0CE5D3E3"/>
    <w:rsid w:val="0D0BE2F1"/>
    <w:rsid w:val="0D1143AA"/>
    <w:rsid w:val="0D20BC97"/>
    <w:rsid w:val="0D35744A"/>
    <w:rsid w:val="0D411570"/>
    <w:rsid w:val="0D4866EC"/>
    <w:rsid w:val="0D679927"/>
    <w:rsid w:val="0D758CF4"/>
    <w:rsid w:val="0D81D415"/>
    <w:rsid w:val="0D9A9434"/>
    <w:rsid w:val="0E1A1F98"/>
    <w:rsid w:val="0E3D63A7"/>
    <w:rsid w:val="0EA6CFC7"/>
    <w:rsid w:val="0EBDAF5C"/>
    <w:rsid w:val="0EFFB4B3"/>
    <w:rsid w:val="0F366495"/>
    <w:rsid w:val="0F429DF8"/>
    <w:rsid w:val="0F4A3AF8"/>
    <w:rsid w:val="0F8DA9CD"/>
    <w:rsid w:val="0FCE27FE"/>
    <w:rsid w:val="10168A31"/>
    <w:rsid w:val="104FCAB2"/>
    <w:rsid w:val="107A7C35"/>
    <w:rsid w:val="10C45D7D"/>
    <w:rsid w:val="10E9A04A"/>
    <w:rsid w:val="10F2E6F4"/>
    <w:rsid w:val="11115934"/>
    <w:rsid w:val="111BF550"/>
    <w:rsid w:val="11474C6C"/>
    <w:rsid w:val="114A20AE"/>
    <w:rsid w:val="117336E6"/>
    <w:rsid w:val="117B4241"/>
    <w:rsid w:val="117E2CD6"/>
    <w:rsid w:val="11DEA27E"/>
    <w:rsid w:val="12300148"/>
    <w:rsid w:val="123AB519"/>
    <w:rsid w:val="1248BFA6"/>
    <w:rsid w:val="1262C354"/>
    <w:rsid w:val="1265032E"/>
    <w:rsid w:val="126C7A73"/>
    <w:rsid w:val="12AAA5A2"/>
    <w:rsid w:val="12C988AA"/>
    <w:rsid w:val="12DFC085"/>
    <w:rsid w:val="132CAA67"/>
    <w:rsid w:val="13A0995D"/>
    <w:rsid w:val="13A69EEB"/>
    <w:rsid w:val="13D032CE"/>
    <w:rsid w:val="13E76AAD"/>
    <w:rsid w:val="13F493C3"/>
    <w:rsid w:val="140188E6"/>
    <w:rsid w:val="1415AFB6"/>
    <w:rsid w:val="141FD5D5"/>
    <w:rsid w:val="14216B87"/>
    <w:rsid w:val="142FEF17"/>
    <w:rsid w:val="148355FC"/>
    <w:rsid w:val="14D606E0"/>
    <w:rsid w:val="15103FD1"/>
    <w:rsid w:val="152266C7"/>
    <w:rsid w:val="152C9D1D"/>
    <w:rsid w:val="1543F492"/>
    <w:rsid w:val="1553BDE7"/>
    <w:rsid w:val="156E4E22"/>
    <w:rsid w:val="1572BDA9"/>
    <w:rsid w:val="1597CBBE"/>
    <w:rsid w:val="159AB03F"/>
    <w:rsid w:val="15DAF280"/>
    <w:rsid w:val="16000AD8"/>
    <w:rsid w:val="1615F6E9"/>
    <w:rsid w:val="16821AF2"/>
    <w:rsid w:val="16BBDAFC"/>
    <w:rsid w:val="16C32EA2"/>
    <w:rsid w:val="16D8A917"/>
    <w:rsid w:val="16F16643"/>
    <w:rsid w:val="16FC1F68"/>
    <w:rsid w:val="171E5EBC"/>
    <w:rsid w:val="17328B6F"/>
    <w:rsid w:val="1758D454"/>
    <w:rsid w:val="1758E55A"/>
    <w:rsid w:val="1763EC34"/>
    <w:rsid w:val="176D93E7"/>
    <w:rsid w:val="17730E4B"/>
    <w:rsid w:val="17A7F17F"/>
    <w:rsid w:val="17D87BFD"/>
    <w:rsid w:val="17DC0FB1"/>
    <w:rsid w:val="17EE60EA"/>
    <w:rsid w:val="17F4955A"/>
    <w:rsid w:val="180F0662"/>
    <w:rsid w:val="1842695D"/>
    <w:rsid w:val="185373BA"/>
    <w:rsid w:val="188F7000"/>
    <w:rsid w:val="189DB3F5"/>
    <w:rsid w:val="18A5576C"/>
    <w:rsid w:val="18A6EAEA"/>
    <w:rsid w:val="18D7B256"/>
    <w:rsid w:val="18DB27DA"/>
    <w:rsid w:val="195FE5D0"/>
    <w:rsid w:val="19662392"/>
    <w:rsid w:val="196F57CB"/>
    <w:rsid w:val="199EAA3C"/>
    <w:rsid w:val="19A908DA"/>
    <w:rsid w:val="19ADE8B1"/>
    <w:rsid w:val="1A7B9398"/>
    <w:rsid w:val="1A8538E6"/>
    <w:rsid w:val="1AAE8EBB"/>
    <w:rsid w:val="1ABDAC69"/>
    <w:rsid w:val="1AC954B5"/>
    <w:rsid w:val="1ADEF237"/>
    <w:rsid w:val="1AE33D01"/>
    <w:rsid w:val="1AF01FCE"/>
    <w:rsid w:val="1B2B69A3"/>
    <w:rsid w:val="1B2D963C"/>
    <w:rsid w:val="1B2F9E3E"/>
    <w:rsid w:val="1B44D93B"/>
    <w:rsid w:val="1B570906"/>
    <w:rsid w:val="1B6ADFBB"/>
    <w:rsid w:val="1B9F247C"/>
    <w:rsid w:val="1BF77947"/>
    <w:rsid w:val="1C0AC278"/>
    <w:rsid w:val="1C0BFFDE"/>
    <w:rsid w:val="1CA423D2"/>
    <w:rsid w:val="1D67917F"/>
    <w:rsid w:val="1D9E8108"/>
    <w:rsid w:val="1DADEA76"/>
    <w:rsid w:val="1DAFAE97"/>
    <w:rsid w:val="1DD04F11"/>
    <w:rsid w:val="1DE1C0F7"/>
    <w:rsid w:val="1E0F7B59"/>
    <w:rsid w:val="1E13ED43"/>
    <w:rsid w:val="1E1EAA51"/>
    <w:rsid w:val="1E1FC96A"/>
    <w:rsid w:val="1E5C015A"/>
    <w:rsid w:val="1E6E997B"/>
    <w:rsid w:val="1E7994F4"/>
    <w:rsid w:val="1EB29921"/>
    <w:rsid w:val="1ECD91D9"/>
    <w:rsid w:val="1EFEE4F6"/>
    <w:rsid w:val="1F04B976"/>
    <w:rsid w:val="1F08805C"/>
    <w:rsid w:val="1F089760"/>
    <w:rsid w:val="1F1AD9AC"/>
    <w:rsid w:val="1F26D451"/>
    <w:rsid w:val="1F78AC89"/>
    <w:rsid w:val="1F840F0C"/>
    <w:rsid w:val="1FE31640"/>
    <w:rsid w:val="1FEBD9AD"/>
    <w:rsid w:val="1FED074F"/>
    <w:rsid w:val="1FFC0C64"/>
    <w:rsid w:val="1FFD8164"/>
    <w:rsid w:val="200D62E2"/>
    <w:rsid w:val="2035038F"/>
    <w:rsid w:val="203E384D"/>
    <w:rsid w:val="20612D69"/>
    <w:rsid w:val="206AE48A"/>
    <w:rsid w:val="2081FB03"/>
    <w:rsid w:val="20B79C98"/>
    <w:rsid w:val="20D621CA"/>
    <w:rsid w:val="20E9E0F3"/>
    <w:rsid w:val="20FF88DF"/>
    <w:rsid w:val="2105CF36"/>
    <w:rsid w:val="210BCA18"/>
    <w:rsid w:val="2137FEC1"/>
    <w:rsid w:val="214DDEEA"/>
    <w:rsid w:val="21662E62"/>
    <w:rsid w:val="21A11FBA"/>
    <w:rsid w:val="21AA7B2E"/>
    <w:rsid w:val="21CC912B"/>
    <w:rsid w:val="223F8F81"/>
    <w:rsid w:val="2243E628"/>
    <w:rsid w:val="224D926E"/>
    <w:rsid w:val="22702E85"/>
    <w:rsid w:val="229B5940"/>
    <w:rsid w:val="22DE98FC"/>
    <w:rsid w:val="22E9AF4B"/>
    <w:rsid w:val="230700C1"/>
    <w:rsid w:val="233EF9B2"/>
    <w:rsid w:val="234AAFAD"/>
    <w:rsid w:val="2368C059"/>
    <w:rsid w:val="236C7122"/>
    <w:rsid w:val="238EA532"/>
    <w:rsid w:val="23D60880"/>
    <w:rsid w:val="23D90A55"/>
    <w:rsid w:val="240DC28C"/>
    <w:rsid w:val="241D5CBD"/>
    <w:rsid w:val="243729A1"/>
    <w:rsid w:val="244855DE"/>
    <w:rsid w:val="249089DF"/>
    <w:rsid w:val="249955FC"/>
    <w:rsid w:val="24B72CEA"/>
    <w:rsid w:val="24FE4E96"/>
    <w:rsid w:val="2510E5F7"/>
    <w:rsid w:val="252796A1"/>
    <w:rsid w:val="252AB616"/>
    <w:rsid w:val="256FBFA1"/>
    <w:rsid w:val="25A992ED"/>
    <w:rsid w:val="25C3B769"/>
    <w:rsid w:val="25D245F4"/>
    <w:rsid w:val="260DC83D"/>
    <w:rsid w:val="267A04D6"/>
    <w:rsid w:val="26884852"/>
    <w:rsid w:val="26B63238"/>
    <w:rsid w:val="26F0CE7E"/>
    <w:rsid w:val="27038F08"/>
    <w:rsid w:val="271A49BF"/>
    <w:rsid w:val="272165AA"/>
    <w:rsid w:val="27461298"/>
    <w:rsid w:val="2750F530"/>
    <w:rsid w:val="27DBEF36"/>
    <w:rsid w:val="281E9A7C"/>
    <w:rsid w:val="282F7AAB"/>
    <w:rsid w:val="2835D8DE"/>
    <w:rsid w:val="28C7D378"/>
    <w:rsid w:val="28E9240C"/>
    <w:rsid w:val="28F54C83"/>
    <w:rsid w:val="29035182"/>
    <w:rsid w:val="2936E66E"/>
    <w:rsid w:val="295FEBF4"/>
    <w:rsid w:val="29ACB4D8"/>
    <w:rsid w:val="29D350CE"/>
    <w:rsid w:val="29D373F3"/>
    <w:rsid w:val="29D79988"/>
    <w:rsid w:val="29E4DA3F"/>
    <w:rsid w:val="2A171D8C"/>
    <w:rsid w:val="2A401CA9"/>
    <w:rsid w:val="2A6DF73F"/>
    <w:rsid w:val="2A8EC9E9"/>
    <w:rsid w:val="2A97288C"/>
    <w:rsid w:val="2AB9F2B9"/>
    <w:rsid w:val="2AD7414D"/>
    <w:rsid w:val="2B0FB076"/>
    <w:rsid w:val="2B18F082"/>
    <w:rsid w:val="2B492B2A"/>
    <w:rsid w:val="2B612F55"/>
    <w:rsid w:val="2B6AB0C6"/>
    <w:rsid w:val="2B80AAA0"/>
    <w:rsid w:val="2BE4EB15"/>
    <w:rsid w:val="2BE7D76B"/>
    <w:rsid w:val="2C22C05E"/>
    <w:rsid w:val="2C4EBFF8"/>
    <w:rsid w:val="2C518A0B"/>
    <w:rsid w:val="2C5637E9"/>
    <w:rsid w:val="2C6A6818"/>
    <w:rsid w:val="2C8C1A99"/>
    <w:rsid w:val="2C951530"/>
    <w:rsid w:val="2CA7C051"/>
    <w:rsid w:val="2CABF8F4"/>
    <w:rsid w:val="2CB26780"/>
    <w:rsid w:val="2D033F26"/>
    <w:rsid w:val="2D08EDAF"/>
    <w:rsid w:val="2D253DF7"/>
    <w:rsid w:val="2D408C4B"/>
    <w:rsid w:val="2D6A58C2"/>
    <w:rsid w:val="2DEB83A9"/>
    <w:rsid w:val="2DFB3F3C"/>
    <w:rsid w:val="2E133142"/>
    <w:rsid w:val="2E2B169F"/>
    <w:rsid w:val="2E2D7E56"/>
    <w:rsid w:val="2E75A80F"/>
    <w:rsid w:val="2E77167D"/>
    <w:rsid w:val="2E79C7CD"/>
    <w:rsid w:val="2E85F350"/>
    <w:rsid w:val="2E950450"/>
    <w:rsid w:val="2EAB469D"/>
    <w:rsid w:val="2EB061D5"/>
    <w:rsid w:val="2EBF3454"/>
    <w:rsid w:val="2EF0BAB7"/>
    <w:rsid w:val="2EF3F98A"/>
    <w:rsid w:val="2F2D2AC2"/>
    <w:rsid w:val="2F44FE43"/>
    <w:rsid w:val="2F7B9856"/>
    <w:rsid w:val="2F9BF749"/>
    <w:rsid w:val="2F9F2ABF"/>
    <w:rsid w:val="2FB418B2"/>
    <w:rsid w:val="2FB4DDE2"/>
    <w:rsid w:val="2FCF44AC"/>
    <w:rsid w:val="2FF68E2C"/>
    <w:rsid w:val="3041E95D"/>
    <w:rsid w:val="30931187"/>
    <w:rsid w:val="3096EF6F"/>
    <w:rsid w:val="309E83DA"/>
    <w:rsid w:val="30B761C5"/>
    <w:rsid w:val="30E8BFB1"/>
    <w:rsid w:val="30F936AC"/>
    <w:rsid w:val="3102195B"/>
    <w:rsid w:val="3114A6B3"/>
    <w:rsid w:val="311768B7"/>
    <w:rsid w:val="31522B66"/>
    <w:rsid w:val="3154E342"/>
    <w:rsid w:val="31D22C0F"/>
    <w:rsid w:val="31DA1D99"/>
    <w:rsid w:val="31DAEDB0"/>
    <w:rsid w:val="31F774AF"/>
    <w:rsid w:val="3205AA30"/>
    <w:rsid w:val="32086053"/>
    <w:rsid w:val="3215F40E"/>
    <w:rsid w:val="328C2FE5"/>
    <w:rsid w:val="32DD750E"/>
    <w:rsid w:val="32E85368"/>
    <w:rsid w:val="333B9C1A"/>
    <w:rsid w:val="333E1C51"/>
    <w:rsid w:val="335ECBB0"/>
    <w:rsid w:val="3375C289"/>
    <w:rsid w:val="33CA7066"/>
    <w:rsid w:val="33FD4E94"/>
    <w:rsid w:val="3405803A"/>
    <w:rsid w:val="34220BF7"/>
    <w:rsid w:val="342A1B38"/>
    <w:rsid w:val="343B6402"/>
    <w:rsid w:val="3468C058"/>
    <w:rsid w:val="3472E8DC"/>
    <w:rsid w:val="348A0967"/>
    <w:rsid w:val="34ABAAC3"/>
    <w:rsid w:val="34D17637"/>
    <w:rsid w:val="34F98169"/>
    <w:rsid w:val="3512713B"/>
    <w:rsid w:val="35619866"/>
    <w:rsid w:val="357ADDA7"/>
    <w:rsid w:val="357E30FB"/>
    <w:rsid w:val="35912449"/>
    <w:rsid w:val="35934481"/>
    <w:rsid w:val="3595CF78"/>
    <w:rsid w:val="35A53A9A"/>
    <w:rsid w:val="35CD5BA4"/>
    <w:rsid w:val="35D52E19"/>
    <w:rsid w:val="360A193B"/>
    <w:rsid w:val="36129905"/>
    <w:rsid w:val="363E8B24"/>
    <w:rsid w:val="36588757"/>
    <w:rsid w:val="3661C4D9"/>
    <w:rsid w:val="368CD97C"/>
    <w:rsid w:val="36984E77"/>
    <w:rsid w:val="369EB01A"/>
    <w:rsid w:val="36A19E9A"/>
    <w:rsid w:val="36C5D828"/>
    <w:rsid w:val="36CC32E0"/>
    <w:rsid w:val="36DA9F85"/>
    <w:rsid w:val="36E2AB9A"/>
    <w:rsid w:val="370992DB"/>
    <w:rsid w:val="37270A88"/>
    <w:rsid w:val="37281DAD"/>
    <w:rsid w:val="3753E2B2"/>
    <w:rsid w:val="377B0397"/>
    <w:rsid w:val="377FDE4A"/>
    <w:rsid w:val="37A1224B"/>
    <w:rsid w:val="37D38515"/>
    <w:rsid w:val="37F8C7AB"/>
    <w:rsid w:val="382FFAE8"/>
    <w:rsid w:val="386534CC"/>
    <w:rsid w:val="386D3A07"/>
    <w:rsid w:val="3884AD56"/>
    <w:rsid w:val="3888BD30"/>
    <w:rsid w:val="388E4082"/>
    <w:rsid w:val="389AFEA0"/>
    <w:rsid w:val="38A2D8B8"/>
    <w:rsid w:val="38C4DA37"/>
    <w:rsid w:val="38C56B28"/>
    <w:rsid w:val="38CE7AFA"/>
    <w:rsid w:val="38F00266"/>
    <w:rsid w:val="391834FC"/>
    <w:rsid w:val="3918FA7A"/>
    <w:rsid w:val="391E0689"/>
    <w:rsid w:val="396B55D4"/>
    <w:rsid w:val="396CB6B9"/>
    <w:rsid w:val="398A2C93"/>
    <w:rsid w:val="39AF4705"/>
    <w:rsid w:val="39BFB6C0"/>
    <w:rsid w:val="39D0C1F3"/>
    <w:rsid w:val="3A28C380"/>
    <w:rsid w:val="3A3C7B77"/>
    <w:rsid w:val="3A613B89"/>
    <w:rsid w:val="3A7867F8"/>
    <w:rsid w:val="3A8199B4"/>
    <w:rsid w:val="3A826692"/>
    <w:rsid w:val="3A831681"/>
    <w:rsid w:val="3AA5CA32"/>
    <w:rsid w:val="3B11367D"/>
    <w:rsid w:val="3B434081"/>
    <w:rsid w:val="3B62F925"/>
    <w:rsid w:val="3B8A11CC"/>
    <w:rsid w:val="3BB95782"/>
    <w:rsid w:val="3BBAC8B1"/>
    <w:rsid w:val="3BC52C47"/>
    <w:rsid w:val="3C34386C"/>
    <w:rsid w:val="3CD49EAF"/>
    <w:rsid w:val="3D18928F"/>
    <w:rsid w:val="3D223C1D"/>
    <w:rsid w:val="3DC9B36E"/>
    <w:rsid w:val="3DCF619A"/>
    <w:rsid w:val="3E16B864"/>
    <w:rsid w:val="3E28FA68"/>
    <w:rsid w:val="3E8A37FF"/>
    <w:rsid w:val="3EAA3611"/>
    <w:rsid w:val="3EC30A3D"/>
    <w:rsid w:val="3ED3FE2B"/>
    <w:rsid w:val="3EDB3D55"/>
    <w:rsid w:val="3EE02E90"/>
    <w:rsid w:val="3F02265E"/>
    <w:rsid w:val="3F1289F3"/>
    <w:rsid w:val="3F1DEBF1"/>
    <w:rsid w:val="3F3AD477"/>
    <w:rsid w:val="3F550AD7"/>
    <w:rsid w:val="3F61F578"/>
    <w:rsid w:val="3FA8869D"/>
    <w:rsid w:val="3FC4CDCB"/>
    <w:rsid w:val="3FC77A6C"/>
    <w:rsid w:val="3FEAD827"/>
    <w:rsid w:val="401AABAB"/>
    <w:rsid w:val="402CE480"/>
    <w:rsid w:val="404EFF3B"/>
    <w:rsid w:val="40843B26"/>
    <w:rsid w:val="40C6BADB"/>
    <w:rsid w:val="410347A4"/>
    <w:rsid w:val="41216E32"/>
    <w:rsid w:val="412EDC34"/>
    <w:rsid w:val="41D06EC8"/>
    <w:rsid w:val="41DF01FD"/>
    <w:rsid w:val="420F95A1"/>
    <w:rsid w:val="4243EA6F"/>
    <w:rsid w:val="425B8DCA"/>
    <w:rsid w:val="425E23C2"/>
    <w:rsid w:val="4260DAE7"/>
    <w:rsid w:val="426E79B6"/>
    <w:rsid w:val="4272FDC2"/>
    <w:rsid w:val="42BE8DBD"/>
    <w:rsid w:val="42D28964"/>
    <w:rsid w:val="4333CD5C"/>
    <w:rsid w:val="4342869E"/>
    <w:rsid w:val="434B78BF"/>
    <w:rsid w:val="4368A7C2"/>
    <w:rsid w:val="438693B0"/>
    <w:rsid w:val="43B846FE"/>
    <w:rsid w:val="43C39C6A"/>
    <w:rsid w:val="43C7CC30"/>
    <w:rsid w:val="43CB2FD3"/>
    <w:rsid w:val="43CC76B2"/>
    <w:rsid w:val="43CE500B"/>
    <w:rsid w:val="43D75C33"/>
    <w:rsid w:val="43EAA07C"/>
    <w:rsid w:val="43EC6533"/>
    <w:rsid w:val="440E3BC9"/>
    <w:rsid w:val="442216EB"/>
    <w:rsid w:val="442C9AE0"/>
    <w:rsid w:val="44469A47"/>
    <w:rsid w:val="4468B26D"/>
    <w:rsid w:val="449F1AD6"/>
    <w:rsid w:val="449FCE2E"/>
    <w:rsid w:val="44BF5B31"/>
    <w:rsid w:val="44D55B65"/>
    <w:rsid w:val="44EEBD62"/>
    <w:rsid w:val="44F98703"/>
    <w:rsid w:val="450D1B52"/>
    <w:rsid w:val="4537B83F"/>
    <w:rsid w:val="45EA1963"/>
    <w:rsid w:val="465D8AD0"/>
    <w:rsid w:val="46B393BA"/>
    <w:rsid w:val="46B5DA4C"/>
    <w:rsid w:val="46C114D3"/>
    <w:rsid w:val="46E8AA1D"/>
    <w:rsid w:val="471FB806"/>
    <w:rsid w:val="472DD8A2"/>
    <w:rsid w:val="4744DA18"/>
    <w:rsid w:val="4779D53A"/>
    <w:rsid w:val="47813707"/>
    <w:rsid w:val="478FA1FB"/>
    <w:rsid w:val="47A27ED3"/>
    <w:rsid w:val="4813B91F"/>
    <w:rsid w:val="485C14F1"/>
    <w:rsid w:val="485FDB15"/>
    <w:rsid w:val="487DD215"/>
    <w:rsid w:val="48AABF2A"/>
    <w:rsid w:val="48C8079A"/>
    <w:rsid w:val="48CB4C2F"/>
    <w:rsid w:val="48F59103"/>
    <w:rsid w:val="49006B8C"/>
    <w:rsid w:val="490F4547"/>
    <w:rsid w:val="49242A23"/>
    <w:rsid w:val="496518CB"/>
    <w:rsid w:val="4996B4A0"/>
    <w:rsid w:val="49BDDF66"/>
    <w:rsid w:val="49C37428"/>
    <w:rsid w:val="4A26B44D"/>
    <w:rsid w:val="4A4888C4"/>
    <w:rsid w:val="4A4BA78D"/>
    <w:rsid w:val="4A625CBA"/>
    <w:rsid w:val="4A78F7F6"/>
    <w:rsid w:val="4A914373"/>
    <w:rsid w:val="4AA74AB8"/>
    <w:rsid w:val="4AF0A33E"/>
    <w:rsid w:val="4AF5ECE5"/>
    <w:rsid w:val="4BCAC803"/>
    <w:rsid w:val="4BD1C3AC"/>
    <w:rsid w:val="4BEA02A2"/>
    <w:rsid w:val="4C05FED1"/>
    <w:rsid w:val="4C062449"/>
    <w:rsid w:val="4C292D31"/>
    <w:rsid w:val="4C61D508"/>
    <w:rsid w:val="4CA7720C"/>
    <w:rsid w:val="4CAC1E89"/>
    <w:rsid w:val="4CAD94B4"/>
    <w:rsid w:val="4D27A421"/>
    <w:rsid w:val="4D2C3F2B"/>
    <w:rsid w:val="4D39A800"/>
    <w:rsid w:val="4D4E8667"/>
    <w:rsid w:val="4D584A79"/>
    <w:rsid w:val="4D88AD89"/>
    <w:rsid w:val="4DA2DCC7"/>
    <w:rsid w:val="4E059D16"/>
    <w:rsid w:val="4E104627"/>
    <w:rsid w:val="4E27E75F"/>
    <w:rsid w:val="4E3B8791"/>
    <w:rsid w:val="4E43B9B8"/>
    <w:rsid w:val="4E5670DE"/>
    <w:rsid w:val="4E757B5C"/>
    <w:rsid w:val="4E774A4C"/>
    <w:rsid w:val="4E8C7B11"/>
    <w:rsid w:val="4F16D3B7"/>
    <w:rsid w:val="4F558D17"/>
    <w:rsid w:val="4F5AB51F"/>
    <w:rsid w:val="4FC04C06"/>
    <w:rsid w:val="4FC823DC"/>
    <w:rsid w:val="4FE251DC"/>
    <w:rsid w:val="4FF89171"/>
    <w:rsid w:val="4FF9A5DF"/>
    <w:rsid w:val="503B3F75"/>
    <w:rsid w:val="503CD06E"/>
    <w:rsid w:val="504CA97E"/>
    <w:rsid w:val="50562450"/>
    <w:rsid w:val="5081F7FA"/>
    <w:rsid w:val="5090508C"/>
    <w:rsid w:val="509BD456"/>
    <w:rsid w:val="50B00DC6"/>
    <w:rsid w:val="50DC0F50"/>
    <w:rsid w:val="5130AF0C"/>
    <w:rsid w:val="516C78FA"/>
    <w:rsid w:val="517A2A02"/>
    <w:rsid w:val="51840D4E"/>
    <w:rsid w:val="51F8F89B"/>
    <w:rsid w:val="52197104"/>
    <w:rsid w:val="52252B84"/>
    <w:rsid w:val="52A41ED1"/>
    <w:rsid w:val="52BD4D66"/>
    <w:rsid w:val="52D1EF72"/>
    <w:rsid w:val="5311F82A"/>
    <w:rsid w:val="533A27B4"/>
    <w:rsid w:val="53443A7E"/>
    <w:rsid w:val="5381B2CA"/>
    <w:rsid w:val="53859786"/>
    <w:rsid w:val="5391F97F"/>
    <w:rsid w:val="53D1EC38"/>
    <w:rsid w:val="53D54EFB"/>
    <w:rsid w:val="53E274FA"/>
    <w:rsid w:val="53FABB1F"/>
    <w:rsid w:val="54B84EEA"/>
    <w:rsid w:val="54BCA9E9"/>
    <w:rsid w:val="55193A5A"/>
    <w:rsid w:val="5541F32D"/>
    <w:rsid w:val="55480D7D"/>
    <w:rsid w:val="55918250"/>
    <w:rsid w:val="55A6FD10"/>
    <w:rsid w:val="55B4D3CE"/>
    <w:rsid w:val="55E45300"/>
    <w:rsid w:val="5630AA40"/>
    <w:rsid w:val="56342CA9"/>
    <w:rsid w:val="5652C801"/>
    <w:rsid w:val="56567401"/>
    <w:rsid w:val="565A2026"/>
    <w:rsid w:val="5668D3E5"/>
    <w:rsid w:val="56822156"/>
    <w:rsid w:val="5689E737"/>
    <w:rsid w:val="56ACA319"/>
    <w:rsid w:val="56C86581"/>
    <w:rsid w:val="56F757B0"/>
    <w:rsid w:val="5744DAC9"/>
    <w:rsid w:val="5747D217"/>
    <w:rsid w:val="5777C8FD"/>
    <w:rsid w:val="57984891"/>
    <w:rsid w:val="579C610B"/>
    <w:rsid w:val="57EF0A76"/>
    <w:rsid w:val="5805E42E"/>
    <w:rsid w:val="585466DD"/>
    <w:rsid w:val="587A9580"/>
    <w:rsid w:val="589F3776"/>
    <w:rsid w:val="58B39D68"/>
    <w:rsid w:val="58B5E1C4"/>
    <w:rsid w:val="58C602E0"/>
    <w:rsid w:val="58EE4CE6"/>
    <w:rsid w:val="5908DEDB"/>
    <w:rsid w:val="5908FD9E"/>
    <w:rsid w:val="5921D8A5"/>
    <w:rsid w:val="595F21AB"/>
    <w:rsid w:val="5963CEF4"/>
    <w:rsid w:val="597D4002"/>
    <w:rsid w:val="598049CD"/>
    <w:rsid w:val="5990C09E"/>
    <w:rsid w:val="599202BC"/>
    <w:rsid w:val="599BC768"/>
    <w:rsid w:val="599D8EFA"/>
    <w:rsid w:val="599E2D0F"/>
    <w:rsid w:val="59F00293"/>
    <w:rsid w:val="5A3499D0"/>
    <w:rsid w:val="5A751C2D"/>
    <w:rsid w:val="5AABD141"/>
    <w:rsid w:val="5B13DACC"/>
    <w:rsid w:val="5B22C356"/>
    <w:rsid w:val="5B67A2F7"/>
    <w:rsid w:val="5B896152"/>
    <w:rsid w:val="5BA7D2AE"/>
    <w:rsid w:val="5BBADCEC"/>
    <w:rsid w:val="5BFBC91C"/>
    <w:rsid w:val="5C0E1B94"/>
    <w:rsid w:val="5C352C43"/>
    <w:rsid w:val="5C37EFCE"/>
    <w:rsid w:val="5C4DC3F7"/>
    <w:rsid w:val="5C9BEFA2"/>
    <w:rsid w:val="5CDEB1F7"/>
    <w:rsid w:val="5CFC3118"/>
    <w:rsid w:val="5D174825"/>
    <w:rsid w:val="5D53D17E"/>
    <w:rsid w:val="5DA13693"/>
    <w:rsid w:val="5DEE1532"/>
    <w:rsid w:val="5E352C00"/>
    <w:rsid w:val="5E405BAD"/>
    <w:rsid w:val="5E5A959E"/>
    <w:rsid w:val="5E884DAF"/>
    <w:rsid w:val="5E9C1032"/>
    <w:rsid w:val="5EC52FB0"/>
    <w:rsid w:val="5EDD3BF9"/>
    <w:rsid w:val="5EF64511"/>
    <w:rsid w:val="5F07B00A"/>
    <w:rsid w:val="5F0CDEB8"/>
    <w:rsid w:val="5F2C7EAA"/>
    <w:rsid w:val="5F3B0B2A"/>
    <w:rsid w:val="5F7DA82A"/>
    <w:rsid w:val="5F7F7DA5"/>
    <w:rsid w:val="5FAED60D"/>
    <w:rsid w:val="5FE8756D"/>
    <w:rsid w:val="5FECBC1A"/>
    <w:rsid w:val="5FF868E7"/>
    <w:rsid w:val="600CB847"/>
    <w:rsid w:val="60135A63"/>
    <w:rsid w:val="6015E6D5"/>
    <w:rsid w:val="601CDD93"/>
    <w:rsid w:val="606698D3"/>
    <w:rsid w:val="60912393"/>
    <w:rsid w:val="60972D45"/>
    <w:rsid w:val="60BE4649"/>
    <w:rsid w:val="60DC9A5F"/>
    <w:rsid w:val="60E78B96"/>
    <w:rsid w:val="60F9A6E1"/>
    <w:rsid w:val="613C10E4"/>
    <w:rsid w:val="616FE2DE"/>
    <w:rsid w:val="617D721E"/>
    <w:rsid w:val="61B45C92"/>
    <w:rsid w:val="61B569A0"/>
    <w:rsid w:val="61B6E843"/>
    <w:rsid w:val="61C9638D"/>
    <w:rsid w:val="622D86EE"/>
    <w:rsid w:val="6246EA18"/>
    <w:rsid w:val="624BE93F"/>
    <w:rsid w:val="626A0074"/>
    <w:rsid w:val="62774E3E"/>
    <w:rsid w:val="62846D32"/>
    <w:rsid w:val="62B1D8AF"/>
    <w:rsid w:val="62F18551"/>
    <w:rsid w:val="62F1E2B7"/>
    <w:rsid w:val="62FFDB23"/>
    <w:rsid w:val="6320175E"/>
    <w:rsid w:val="6350DF96"/>
    <w:rsid w:val="638B8C8B"/>
    <w:rsid w:val="63943B21"/>
    <w:rsid w:val="63B1881D"/>
    <w:rsid w:val="641556BE"/>
    <w:rsid w:val="6429D956"/>
    <w:rsid w:val="6465F9D9"/>
    <w:rsid w:val="64ADDA6B"/>
    <w:rsid w:val="64B04409"/>
    <w:rsid w:val="64DAAFB6"/>
    <w:rsid w:val="64FDCBE4"/>
    <w:rsid w:val="6516ED7F"/>
    <w:rsid w:val="6519C60D"/>
    <w:rsid w:val="6530AD92"/>
    <w:rsid w:val="653CB567"/>
    <w:rsid w:val="6548E8D6"/>
    <w:rsid w:val="6575FD5C"/>
    <w:rsid w:val="65A2AB62"/>
    <w:rsid w:val="65A58A0C"/>
    <w:rsid w:val="65F96B41"/>
    <w:rsid w:val="6601CA3A"/>
    <w:rsid w:val="6616698E"/>
    <w:rsid w:val="6620058E"/>
    <w:rsid w:val="6625B873"/>
    <w:rsid w:val="6686BF95"/>
    <w:rsid w:val="66914961"/>
    <w:rsid w:val="66996D50"/>
    <w:rsid w:val="66CA176B"/>
    <w:rsid w:val="66E72B92"/>
    <w:rsid w:val="66E8B6AB"/>
    <w:rsid w:val="670F49D3"/>
    <w:rsid w:val="671C2EFF"/>
    <w:rsid w:val="676EA23A"/>
    <w:rsid w:val="679AE50A"/>
    <w:rsid w:val="67C3819C"/>
    <w:rsid w:val="67D8FA42"/>
    <w:rsid w:val="67EE76B7"/>
    <w:rsid w:val="68016E97"/>
    <w:rsid w:val="68619D06"/>
    <w:rsid w:val="686F6538"/>
    <w:rsid w:val="695B1528"/>
    <w:rsid w:val="696A4F17"/>
    <w:rsid w:val="697D32FB"/>
    <w:rsid w:val="6A054446"/>
    <w:rsid w:val="6A3605C0"/>
    <w:rsid w:val="6A3D350C"/>
    <w:rsid w:val="6A43B24F"/>
    <w:rsid w:val="6A7CF84A"/>
    <w:rsid w:val="6A88B60C"/>
    <w:rsid w:val="6AD6912B"/>
    <w:rsid w:val="6ADD69DD"/>
    <w:rsid w:val="6B6EA2A9"/>
    <w:rsid w:val="6B70E94C"/>
    <w:rsid w:val="6BB25DCC"/>
    <w:rsid w:val="6BC1E9CD"/>
    <w:rsid w:val="6C2D7843"/>
    <w:rsid w:val="6C3543EB"/>
    <w:rsid w:val="6C4C26EF"/>
    <w:rsid w:val="6C71A74D"/>
    <w:rsid w:val="6C9F479D"/>
    <w:rsid w:val="6CB2F6C5"/>
    <w:rsid w:val="6CBB8F29"/>
    <w:rsid w:val="6CBF3286"/>
    <w:rsid w:val="6CC3F8B6"/>
    <w:rsid w:val="6CD67CB0"/>
    <w:rsid w:val="6D12BE04"/>
    <w:rsid w:val="6D1B31FD"/>
    <w:rsid w:val="6D24D3DC"/>
    <w:rsid w:val="6D272310"/>
    <w:rsid w:val="6D31C5FF"/>
    <w:rsid w:val="6D469514"/>
    <w:rsid w:val="6D4BEB26"/>
    <w:rsid w:val="6D4D07CA"/>
    <w:rsid w:val="6D653834"/>
    <w:rsid w:val="6DD8A754"/>
    <w:rsid w:val="6E29B3DF"/>
    <w:rsid w:val="6E5C0316"/>
    <w:rsid w:val="6E801190"/>
    <w:rsid w:val="6E804620"/>
    <w:rsid w:val="6E92EB1C"/>
    <w:rsid w:val="6E99652B"/>
    <w:rsid w:val="6EB6F79E"/>
    <w:rsid w:val="6ED8B256"/>
    <w:rsid w:val="6EEE1B70"/>
    <w:rsid w:val="6F23217D"/>
    <w:rsid w:val="6F32C32B"/>
    <w:rsid w:val="6F3EF38C"/>
    <w:rsid w:val="6F4BF2F9"/>
    <w:rsid w:val="6F588F9A"/>
    <w:rsid w:val="6F919CF4"/>
    <w:rsid w:val="6F9201B9"/>
    <w:rsid w:val="6FB0DB00"/>
    <w:rsid w:val="6FDA9564"/>
    <w:rsid w:val="701BEF79"/>
    <w:rsid w:val="7040145B"/>
    <w:rsid w:val="70482DD7"/>
    <w:rsid w:val="706BD58D"/>
    <w:rsid w:val="7083D7FA"/>
    <w:rsid w:val="70BB89E9"/>
    <w:rsid w:val="70D9CFED"/>
    <w:rsid w:val="71052668"/>
    <w:rsid w:val="71070CA2"/>
    <w:rsid w:val="71193750"/>
    <w:rsid w:val="7123A9E1"/>
    <w:rsid w:val="716D454E"/>
    <w:rsid w:val="71C4BBD0"/>
    <w:rsid w:val="71C52D58"/>
    <w:rsid w:val="71EE5B87"/>
    <w:rsid w:val="71F1C244"/>
    <w:rsid w:val="72358A43"/>
    <w:rsid w:val="723C64E4"/>
    <w:rsid w:val="7258A719"/>
    <w:rsid w:val="7262E7CC"/>
    <w:rsid w:val="72A5FADE"/>
    <w:rsid w:val="72A6C6D5"/>
    <w:rsid w:val="72B11CB7"/>
    <w:rsid w:val="72D522A6"/>
    <w:rsid w:val="72E3E3AF"/>
    <w:rsid w:val="72E9FE6A"/>
    <w:rsid w:val="731A3C2A"/>
    <w:rsid w:val="732D351C"/>
    <w:rsid w:val="732EC93E"/>
    <w:rsid w:val="7355C0BE"/>
    <w:rsid w:val="736527AF"/>
    <w:rsid w:val="73AD38D6"/>
    <w:rsid w:val="73BC6544"/>
    <w:rsid w:val="73E38137"/>
    <w:rsid w:val="73EBA1EE"/>
    <w:rsid w:val="73EEC8FA"/>
    <w:rsid w:val="73F79C2A"/>
    <w:rsid w:val="740309D2"/>
    <w:rsid w:val="741966B3"/>
    <w:rsid w:val="7430ED58"/>
    <w:rsid w:val="74413182"/>
    <w:rsid w:val="7441CB3F"/>
    <w:rsid w:val="74976D5F"/>
    <w:rsid w:val="74BC9B48"/>
    <w:rsid w:val="74C03410"/>
    <w:rsid w:val="74C62506"/>
    <w:rsid w:val="7513E8EC"/>
    <w:rsid w:val="7541370E"/>
    <w:rsid w:val="7557E412"/>
    <w:rsid w:val="757DF030"/>
    <w:rsid w:val="75A0E00D"/>
    <w:rsid w:val="761E57EB"/>
    <w:rsid w:val="762F7199"/>
    <w:rsid w:val="764E9200"/>
    <w:rsid w:val="76812FBB"/>
    <w:rsid w:val="76832324"/>
    <w:rsid w:val="768CF6A6"/>
    <w:rsid w:val="76A50C07"/>
    <w:rsid w:val="76B28007"/>
    <w:rsid w:val="779F7722"/>
    <w:rsid w:val="77DCCFF7"/>
    <w:rsid w:val="7804EB31"/>
    <w:rsid w:val="781ACBB0"/>
    <w:rsid w:val="7852CC1C"/>
    <w:rsid w:val="788AE9CD"/>
    <w:rsid w:val="788C3A20"/>
    <w:rsid w:val="78962023"/>
    <w:rsid w:val="7897638D"/>
    <w:rsid w:val="78C1E6E1"/>
    <w:rsid w:val="78D80947"/>
    <w:rsid w:val="791631D8"/>
    <w:rsid w:val="791D6D70"/>
    <w:rsid w:val="7949339E"/>
    <w:rsid w:val="7972431B"/>
    <w:rsid w:val="7999E8E5"/>
    <w:rsid w:val="799A95AD"/>
    <w:rsid w:val="79A0D1BD"/>
    <w:rsid w:val="79B1E65F"/>
    <w:rsid w:val="79DD0458"/>
    <w:rsid w:val="79E752C7"/>
    <w:rsid w:val="79ED5090"/>
    <w:rsid w:val="79EE3D7E"/>
    <w:rsid w:val="7A746C56"/>
    <w:rsid w:val="7A75305C"/>
    <w:rsid w:val="7A7979DA"/>
    <w:rsid w:val="7ADB31DD"/>
    <w:rsid w:val="7AE1DB50"/>
    <w:rsid w:val="7AF09775"/>
    <w:rsid w:val="7B5DAB73"/>
    <w:rsid w:val="7B6B2448"/>
    <w:rsid w:val="7B755D19"/>
    <w:rsid w:val="7B948AE3"/>
    <w:rsid w:val="7BFE6D2D"/>
    <w:rsid w:val="7C220640"/>
    <w:rsid w:val="7C6330C0"/>
    <w:rsid w:val="7CA18DA2"/>
    <w:rsid w:val="7CA6FF55"/>
    <w:rsid w:val="7D09B51A"/>
    <w:rsid w:val="7D1BCD44"/>
    <w:rsid w:val="7D676EE2"/>
    <w:rsid w:val="7D8DC5DF"/>
    <w:rsid w:val="7DC1110E"/>
    <w:rsid w:val="7DE44BC3"/>
    <w:rsid w:val="7E12DCDC"/>
    <w:rsid w:val="7EBA0955"/>
    <w:rsid w:val="7EDB2D04"/>
    <w:rsid w:val="7EE0A727"/>
    <w:rsid w:val="7F194EA4"/>
    <w:rsid w:val="7F2F2848"/>
    <w:rsid w:val="7F5D24E7"/>
    <w:rsid w:val="7F865C0B"/>
    <w:rsid w:val="7F8E1942"/>
    <w:rsid w:val="7FBB21B6"/>
    <w:rsid w:val="7FBEF3B1"/>
    <w:rsid w:val="7FD5ED30"/>
    <w:rsid w:val="7FDF6965"/>
    <w:rsid w:val="7FE6B5B4"/>
    <w:rsid w:val="7FFA42E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8F63755"/>
  <w15:chartTrackingRefBased/>
  <w15:docId w15:val="{174FCA8D-7832-4AB2-BDA1-D9CA8BAEC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D4C"/>
    <w:pPr>
      <w:spacing w:after="0" w:line="240" w:lineRule="auto"/>
    </w:pPr>
    <w:rPr>
      <w:rFonts w:ascii="Franklin Gothic Book" w:hAnsi="Franklin Gothic Book"/>
      <w:sz w:val="24"/>
    </w:rPr>
  </w:style>
  <w:style w:type="paragraph" w:styleId="Heading1">
    <w:name w:val="heading 1"/>
    <w:basedOn w:val="Normal"/>
    <w:link w:val="Heading1Char"/>
    <w:uiPriority w:val="9"/>
    <w:qFormat/>
    <w:rsid w:val="00BE1FCB"/>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1FC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BE1FCB"/>
    <w:pPr>
      <w:tabs>
        <w:tab w:val="center" w:pos="4680"/>
        <w:tab w:val="right" w:pos="9360"/>
      </w:tabs>
    </w:pPr>
  </w:style>
  <w:style w:type="character" w:customStyle="1" w:styleId="HeaderChar">
    <w:name w:val="Header Char"/>
    <w:basedOn w:val="DefaultParagraphFont"/>
    <w:link w:val="Header"/>
    <w:uiPriority w:val="99"/>
    <w:rsid w:val="00BE1FCB"/>
    <w:rPr>
      <w:rFonts w:ascii="Franklin Gothic Book" w:hAnsi="Franklin Gothic Book"/>
      <w:sz w:val="24"/>
    </w:rPr>
  </w:style>
  <w:style w:type="paragraph" w:styleId="Footer">
    <w:name w:val="footer"/>
    <w:basedOn w:val="Normal"/>
    <w:link w:val="FooterChar"/>
    <w:uiPriority w:val="99"/>
    <w:unhideWhenUsed/>
    <w:rsid w:val="00BE1FCB"/>
    <w:pPr>
      <w:tabs>
        <w:tab w:val="center" w:pos="4680"/>
        <w:tab w:val="right" w:pos="9360"/>
      </w:tabs>
    </w:pPr>
  </w:style>
  <w:style w:type="character" w:customStyle="1" w:styleId="FooterChar">
    <w:name w:val="Footer Char"/>
    <w:basedOn w:val="DefaultParagraphFont"/>
    <w:link w:val="Footer"/>
    <w:uiPriority w:val="99"/>
    <w:rsid w:val="00BE1FCB"/>
    <w:rPr>
      <w:rFonts w:ascii="Franklin Gothic Book" w:hAnsi="Franklin Gothic Book"/>
      <w:sz w:val="24"/>
    </w:rPr>
  </w:style>
  <w:style w:type="paragraph" w:styleId="ListParagraph">
    <w:name w:val="List Paragraph"/>
    <w:aliases w:val="List Paragraph1,cS List Paragraph"/>
    <w:basedOn w:val="Normal"/>
    <w:uiPriority w:val="34"/>
    <w:qFormat/>
    <w:rsid w:val="00BE1FCB"/>
    <w:pPr>
      <w:ind w:left="720"/>
      <w:contextualSpacing/>
    </w:pPr>
  </w:style>
  <w:style w:type="character" w:styleId="CommentReference">
    <w:name w:val="annotation reference"/>
    <w:basedOn w:val="DefaultParagraphFont"/>
    <w:uiPriority w:val="99"/>
    <w:unhideWhenUsed/>
    <w:rsid w:val="00BE1FCB"/>
    <w:rPr>
      <w:sz w:val="16"/>
      <w:szCs w:val="16"/>
    </w:rPr>
  </w:style>
  <w:style w:type="paragraph" w:styleId="CommentText">
    <w:name w:val="annotation text"/>
    <w:basedOn w:val="Normal"/>
    <w:link w:val="CommentTextChar"/>
    <w:uiPriority w:val="99"/>
    <w:unhideWhenUsed/>
    <w:rsid w:val="00BE1FCB"/>
    <w:rPr>
      <w:sz w:val="20"/>
      <w:szCs w:val="20"/>
    </w:rPr>
  </w:style>
  <w:style w:type="character" w:customStyle="1" w:styleId="CommentTextChar">
    <w:name w:val="Comment Text Char"/>
    <w:basedOn w:val="DefaultParagraphFont"/>
    <w:link w:val="CommentText"/>
    <w:uiPriority w:val="99"/>
    <w:rsid w:val="00BE1FCB"/>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BE1FCB"/>
    <w:rPr>
      <w:b/>
      <w:bCs/>
    </w:rPr>
  </w:style>
  <w:style w:type="character" w:customStyle="1" w:styleId="CommentSubjectChar">
    <w:name w:val="Comment Subject Char"/>
    <w:basedOn w:val="CommentTextChar"/>
    <w:link w:val="CommentSubject"/>
    <w:uiPriority w:val="99"/>
    <w:semiHidden/>
    <w:rsid w:val="00BE1FCB"/>
    <w:rPr>
      <w:rFonts w:ascii="Franklin Gothic Book" w:hAnsi="Franklin Gothic Book"/>
      <w:b/>
      <w:bCs/>
      <w:sz w:val="20"/>
      <w:szCs w:val="20"/>
    </w:rPr>
  </w:style>
  <w:style w:type="paragraph" w:styleId="BalloonText">
    <w:name w:val="Balloon Text"/>
    <w:basedOn w:val="Normal"/>
    <w:link w:val="BalloonTextChar"/>
    <w:uiPriority w:val="99"/>
    <w:semiHidden/>
    <w:unhideWhenUsed/>
    <w:rsid w:val="00BE1FCB"/>
    <w:rPr>
      <w:rFonts w:ascii="Tahoma" w:hAnsi="Tahoma" w:cs="Tahoma"/>
      <w:sz w:val="16"/>
      <w:szCs w:val="16"/>
    </w:rPr>
  </w:style>
  <w:style w:type="character" w:customStyle="1" w:styleId="BalloonTextChar">
    <w:name w:val="Balloon Text Char"/>
    <w:basedOn w:val="DefaultParagraphFont"/>
    <w:link w:val="BalloonText"/>
    <w:uiPriority w:val="99"/>
    <w:semiHidden/>
    <w:rsid w:val="00BE1FCB"/>
    <w:rPr>
      <w:rFonts w:ascii="Tahoma" w:hAnsi="Tahoma" w:cs="Tahoma"/>
      <w:sz w:val="16"/>
      <w:szCs w:val="16"/>
    </w:rPr>
  </w:style>
  <w:style w:type="paragraph" w:customStyle="1" w:styleId="FigureTitle">
    <w:name w:val="Figure Title"/>
    <w:basedOn w:val="Normal"/>
    <w:uiPriority w:val="99"/>
    <w:rsid w:val="00BE1FCB"/>
    <w:pPr>
      <w:keepNext/>
      <w:keepLines/>
      <w:spacing w:before="240" w:after="240"/>
    </w:pPr>
    <w:rPr>
      <w:rFonts w:ascii="Times New Roman" w:eastAsia="Times New Roman" w:hAnsi="Times New Roman" w:cs="Times New Roman"/>
      <w:b/>
      <w:szCs w:val="20"/>
    </w:rPr>
  </w:style>
  <w:style w:type="character" w:styleId="Hyperlink">
    <w:name w:val="Hyperlink"/>
    <w:basedOn w:val="DefaultParagraphFont"/>
    <w:uiPriority w:val="99"/>
    <w:unhideWhenUsed/>
    <w:rsid w:val="00BE1FCB"/>
    <w:rPr>
      <w:color w:val="0000FF"/>
      <w:u w:val="single"/>
    </w:rPr>
  </w:style>
  <w:style w:type="paragraph" w:styleId="Revision">
    <w:name w:val="Revision"/>
    <w:hidden/>
    <w:uiPriority w:val="99"/>
    <w:semiHidden/>
    <w:rsid w:val="00BE1FCB"/>
    <w:pPr>
      <w:spacing w:after="0" w:line="240" w:lineRule="auto"/>
    </w:pPr>
    <w:rPr>
      <w:rFonts w:ascii="Franklin Gothic Book" w:hAnsi="Franklin Gothic Book"/>
      <w:sz w:val="24"/>
    </w:rPr>
  </w:style>
  <w:style w:type="character" w:customStyle="1" w:styleId="UnresolvedMention1">
    <w:name w:val="Unresolved Mention1"/>
    <w:basedOn w:val="DefaultParagraphFont"/>
    <w:uiPriority w:val="99"/>
    <w:semiHidden/>
    <w:unhideWhenUsed/>
    <w:rsid w:val="00BE1FCB"/>
    <w:rPr>
      <w:color w:val="605E5C"/>
      <w:shd w:val="clear" w:color="auto" w:fill="E1DFDD"/>
    </w:rPr>
  </w:style>
  <w:style w:type="paragraph" w:styleId="NormalWeb">
    <w:name w:val="Normal (Web)"/>
    <w:basedOn w:val="Normal"/>
    <w:uiPriority w:val="99"/>
    <w:semiHidden/>
    <w:unhideWhenUsed/>
    <w:rsid w:val="00DA732E"/>
    <w:rPr>
      <w:rFonts w:ascii="Times New Roman" w:hAnsi="Times New Roman" w:cs="Times New Roman"/>
      <w:szCs w:val="24"/>
    </w:rPr>
  </w:style>
  <w:style w:type="character" w:styleId="FollowedHyperlink">
    <w:name w:val="FollowedHyperlink"/>
    <w:basedOn w:val="DefaultParagraphFont"/>
    <w:uiPriority w:val="99"/>
    <w:semiHidden/>
    <w:unhideWhenUsed/>
    <w:rsid w:val="00882F0C"/>
    <w:rPr>
      <w:color w:val="954F72" w:themeColor="followedHyperlink"/>
      <w:u w:val="single"/>
    </w:rPr>
  </w:style>
  <w:style w:type="paragraph" w:customStyle="1" w:styleId="xmsonormal">
    <w:name w:val="x_msonormal"/>
    <w:basedOn w:val="Normal"/>
    <w:rsid w:val="00EE75CA"/>
    <w:rPr>
      <w:rFonts w:ascii="Calibri" w:hAnsi="Calibri" w:cs="Calibri"/>
      <w:sz w:val="22"/>
    </w:rPr>
  </w:style>
  <w:style w:type="paragraph" w:customStyle="1" w:styleId="bodytextpsg">
    <w:name w:val="body text_psg"/>
    <w:basedOn w:val="Normal"/>
    <w:link w:val="bodytextpsgChar"/>
    <w:rsid w:val="0034216D"/>
    <w:pPr>
      <w:spacing w:after="120" w:line="360" w:lineRule="auto"/>
      <w:ind w:firstLine="720"/>
    </w:pPr>
    <w:rPr>
      <w:rFonts w:ascii="Times New Roman" w:eastAsia="Times New Roman" w:hAnsi="Times New Roman" w:cs="Times New Roman"/>
      <w:szCs w:val="20"/>
    </w:rPr>
  </w:style>
  <w:style w:type="character" w:customStyle="1" w:styleId="bodytextpsgChar">
    <w:name w:val="body text_psg Char"/>
    <w:link w:val="bodytextpsg"/>
    <w:locked/>
    <w:rsid w:val="0034216D"/>
    <w:rPr>
      <w:rFonts w:ascii="Times New Roman" w:eastAsia="Times New Roman" w:hAnsi="Times New Roman" w:cs="Times New Roman"/>
      <w:sz w:val="24"/>
      <w:szCs w:val="20"/>
    </w:rPr>
  </w:style>
  <w:style w:type="character" w:styleId="UnresolvedMention">
    <w:name w:val="Unresolved Mention"/>
    <w:basedOn w:val="DefaultParagraphFont"/>
    <w:uiPriority w:val="99"/>
    <w:unhideWhenUsed/>
    <w:rsid w:val="0094672E"/>
    <w:rPr>
      <w:color w:val="605E5C"/>
      <w:shd w:val="clear" w:color="auto" w:fill="E1DFDD"/>
    </w:rPr>
  </w:style>
  <w:style w:type="character" w:styleId="Mention">
    <w:name w:val="Mention"/>
    <w:basedOn w:val="DefaultParagraphFont"/>
    <w:uiPriority w:val="99"/>
    <w:unhideWhenUsed/>
    <w:rsid w:val="0094672E"/>
    <w:rPr>
      <w:color w:val="2B579A"/>
      <w:shd w:val="clear" w:color="auto" w:fill="E1DFDD"/>
    </w:rPr>
  </w:style>
  <w:style w:type="paragraph" w:customStyle="1" w:styleId="paragraph">
    <w:name w:val="paragraph"/>
    <w:basedOn w:val="Normal"/>
    <w:rsid w:val="003E70FA"/>
    <w:pPr>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3E70FA"/>
  </w:style>
  <w:style w:type="character" w:customStyle="1" w:styleId="eop">
    <w:name w:val="eop"/>
    <w:basedOn w:val="DefaultParagraphFont"/>
    <w:rsid w:val="003E70FA"/>
  </w:style>
  <w:style w:type="character" w:customStyle="1" w:styleId="st">
    <w:name w:val="st"/>
    <w:basedOn w:val="DefaultParagraphFont"/>
    <w:rsid w:val="00A173CA"/>
  </w:style>
  <w:style w:type="paragraph" w:styleId="NoSpacing">
    <w:name w:val="No Spacing"/>
    <w:uiPriority w:val="1"/>
    <w:qFormat/>
    <w:rsid w:val="00794FE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plebaron@rti.org" TargetMode="External" /><Relationship Id="rId11" Type="http://schemas.openxmlformats.org/officeDocument/2006/relationships/hyperlink" Target="https://www.bls.gov/oes/current/oes_nat.htm" TargetMode="External" /><Relationship Id="rId12" Type="http://schemas.openxmlformats.org/officeDocument/2006/relationships/hyperlink" Target="https://doi.org/10.1186/1471-2288-14-42" TargetMode="External" /><Relationship Id="rId13" Type="http://schemas.openxmlformats.org/officeDocument/2006/relationships/hyperlink" Target="https://www.ncbi.nlm.nih.gov/pubmed/31326009" TargetMode="Externa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Debra.Mekos@fda.hhs.gov" TargetMode="External" /><Relationship Id="rId9" Type="http://schemas.openxmlformats.org/officeDocument/2006/relationships/hyperlink" Target="file://rtpnfil02/0215534_FDA_Marketing_IDIQ/Cohort_2/008_Monthly_Monitoring_Study/001_Planning_Documents/OMB/lcurry@rti.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15D1FF73F1A4EA21AF0B8EE0FF82B" ma:contentTypeVersion="6" ma:contentTypeDescription="Create a new document." ma:contentTypeScope="" ma:versionID="29e158bad53a61fcb4e52ec23880f23a">
  <xsd:schema xmlns:xsd="http://www.w3.org/2001/XMLSchema" xmlns:xs="http://www.w3.org/2001/XMLSchema" xmlns:p="http://schemas.microsoft.com/office/2006/metadata/properties" xmlns:ns2="5653868e-ade8-460b-9d11-3cd4bf9a7f7b" xmlns:ns3="c291c8b6-0c7a-4bff-b38f-93ee833b2dba" targetNamespace="http://schemas.microsoft.com/office/2006/metadata/properties" ma:root="true" ma:fieldsID="d0672dffec736e94ec8ad7f0e1e737c0" ns2:_="" ns3:_="">
    <xsd:import namespace="5653868e-ade8-460b-9d11-3cd4bf9a7f7b"/>
    <xsd:import namespace="c291c8b6-0c7a-4bff-b38f-93ee833b2d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3868e-ade8-460b-9d11-3cd4bf9a7f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91c8b6-0c7a-4bff-b38f-93ee833b2db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c291c8b6-0c7a-4bff-b38f-93ee833b2dba">
      <UserInfo>
        <DisplayName/>
        <AccountId xsi:nil="true"/>
        <AccountType/>
      </UserInfo>
    </SharedWithUsers>
  </documentManagement>
</p:properties>
</file>

<file path=customXml/itemProps1.xml><?xml version="1.0" encoding="utf-8"?>
<ds:datastoreItem xmlns:ds="http://schemas.openxmlformats.org/officeDocument/2006/customXml" ds:itemID="{4FE995EB-BC45-45E2-99CE-E1F8E9706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3868e-ade8-460b-9d11-3cd4bf9a7f7b"/>
    <ds:schemaRef ds:uri="c291c8b6-0c7a-4bff-b38f-93ee833b2d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2D9422-293F-490F-9534-81007F3ABD1D}">
  <ds:schemaRefs>
    <ds:schemaRef ds:uri="http://schemas.openxmlformats.org/officeDocument/2006/bibliography"/>
  </ds:schemaRefs>
</ds:datastoreItem>
</file>

<file path=customXml/itemProps3.xml><?xml version="1.0" encoding="utf-8"?>
<ds:datastoreItem xmlns:ds="http://schemas.openxmlformats.org/officeDocument/2006/customXml" ds:itemID="{F84B5D49-965E-4637-BC00-D96AA2BA1B82}">
  <ds:schemaRefs>
    <ds:schemaRef ds:uri="http://schemas.microsoft.com/sharepoint/v3/contenttype/forms"/>
  </ds:schemaRefs>
</ds:datastoreItem>
</file>

<file path=customXml/itemProps4.xml><?xml version="1.0" encoding="utf-8"?>
<ds:datastoreItem xmlns:ds="http://schemas.openxmlformats.org/officeDocument/2006/customXml" ds:itemID="{C32E7ECF-45A2-4F3F-801E-13E94AF9C862}">
  <ds:schemaRefs>
    <ds:schemaRef ds:uri="http://schemas.microsoft.com/office/2006/metadata/properties"/>
    <ds:schemaRef ds:uri="http://schemas.microsoft.com/office/infopath/2007/PartnerControls"/>
    <ds:schemaRef ds:uri="c291c8b6-0c7a-4bff-b38f-93ee833b2db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12403</Words>
  <Characters>70701</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Sanford, Amber</dc:creator>
  <cp:lastModifiedBy>APRA - AS</cp:lastModifiedBy>
  <cp:revision>2</cp:revision>
  <dcterms:created xsi:type="dcterms:W3CDTF">2024-10-18T13:18:00Z</dcterms:created>
  <dcterms:modified xsi:type="dcterms:W3CDTF">2024-10-18T13:18:00Z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0x010100F8C15D1FF73F1A4EA21AF0B8EE0FF82B</vt:lpwstr>
  </property>
  <property fmtid="{D5CDD505-2E9C-101B-9397-08002B2CF9AE}" pid="4" name="MediaServiceImageTags">
    <vt:lpwstr/>
  </property>
  <property fmtid="{D5CDD505-2E9C-101B-9397-08002B2CF9AE}" pid="5" name="Order">
    <vt:r8>642300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