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49D2" w:rsidRPr="00F61D71" w:rsidP="007449D2" w14:paraId="15E8EB41" w14:textId="77777777">
      <w:pPr>
        <w:jc w:val="center"/>
        <w:rPr>
          <w:rFonts w:eastAsia="Calibri"/>
        </w:rPr>
      </w:pPr>
      <w:r w:rsidRPr="00F61D71">
        <w:rPr>
          <w:rFonts w:eastAsia="Calibri"/>
          <w:b/>
          <w:bCs/>
        </w:rPr>
        <w:t>CENTER FOR TOBACCO PRODUCTS</w:t>
      </w:r>
    </w:p>
    <w:p w:rsidR="00357C8A" w:rsidP="00357C8A" w14:paraId="640FB032" w14:textId="77777777">
      <w:pPr>
        <w:jc w:val="center"/>
        <w:rPr>
          <w:rFonts w:eastAsia="Calibri"/>
        </w:rPr>
      </w:pPr>
    </w:p>
    <w:p w:rsidR="00357C8A" w:rsidP="00357C8A" w14:paraId="48E76992" w14:textId="77777777">
      <w:pPr>
        <w:jc w:val="center"/>
      </w:pPr>
      <w:r w:rsidRPr="7799379D">
        <w:t>Regulations Restricting the Sale and Distribution of Cigarettes and Smokeless Tobacco to Protect Children and Adolescents</w:t>
      </w:r>
    </w:p>
    <w:p w:rsidR="003640D8" w:rsidP="00357C8A" w14:paraId="70C9E618" w14:textId="77777777">
      <w:pPr>
        <w:jc w:val="center"/>
        <w:rPr>
          <w:rFonts w:eastAsia="Calibri"/>
        </w:rPr>
      </w:pPr>
    </w:p>
    <w:p w:rsidR="00357C8A" w:rsidRPr="007449D2" w:rsidP="00357C8A" w14:paraId="0C8D21AE" w14:textId="77777777">
      <w:pPr>
        <w:jc w:val="center"/>
        <w:rPr>
          <w:rFonts w:eastAsia="Calibri"/>
          <w:u w:val="single"/>
        </w:rPr>
      </w:pPr>
      <w:r w:rsidRPr="007449D2">
        <w:rPr>
          <w:rFonts w:eastAsia="Calibri"/>
          <w:u w:val="single"/>
        </w:rPr>
        <w:t>OMB Control No. 0910-</w:t>
      </w:r>
      <w:r w:rsidRPr="007449D2" w:rsidR="003640D8">
        <w:rPr>
          <w:rFonts w:eastAsia="Calibri"/>
          <w:u w:val="single"/>
        </w:rPr>
        <w:t>0312</w:t>
      </w:r>
    </w:p>
    <w:p w:rsidR="00357C8A" w:rsidP="00357C8A" w14:paraId="1D51C689" w14:textId="77777777">
      <w:pPr>
        <w:jc w:val="center"/>
        <w:rPr>
          <w:rFonts w:eastAsia="Calibri"/>
        </w:rPr>
      </w:pPr>
    </w:p>
    <w:p w:rsidR="00357C8A" w:rsidP="00357C8A" w14:paraId="653A43B1" w14:textId="77777777">
      <w:pPr>
        <w:jc w:val="center"/>
        <w:rPr>
          <w:rFonts w:eastAsia="Calibri"/>
        </w:rPr>
      </w:pPr>
      <w:r w:rsidRPr="00357C8A">
        <w:rPr>
          <w:rFonts w:eastAsia="Calibri"/>
        </w:rPr>
        <w:t>SUPPORTING STATEMENT</w:t>
      </w:r>
    </w:p>
    <w:p w:rsidR="009B4DF2" w:rsidP="00357C8A" w14:paraId="0743D9E9" w14:textId="77777777">
      <w:pPr>
        <w:jc w:val="center"/>
        <w:rPr>
          <w:rFonts w:eastAsia="Calibri"/>
        </w:rPr>
      </w:pPr>
    </w:p>
    <w:p w:rsidR="009B4DF2" w:rsidRPr="00357C8A" w:rsidP="009B4DF2" w14:paraId="510B75BE" w14:textId="77777777">
      <w:pPr>
        <w:rPr>
          <w:rFonts w:eastAsia="Calibri"/>
        </w:rPr>
      </w:pPr>
      <w:r w:rsidRPr="009122AE">
        <w:rPr>
          <w:rFonts w:eastAsia="Calibri"/>
          <w:u w:val="single"/>
        </w:rPr>
        <w:t>Terms of Clearance</w:t>
      </w:r>
      <w:r>
        <w:rPr>
          <w:rFonts w:eastAsia="Calibri"/>
        </w:rPr>
        <w:t xml:space="preserve">: </w:t>
      </w:r>
      <w:r w:rsidR="003640D8">
        <w:rPr>
          <w:rFonts w:eastAsia="Calibri"/>
        </w:rPr>
        <w:t>None</w:t>
      </w:r>
      <w:r w:rsidRPr="009B4DF2">
        <w:t>.</w:t>
      </w:r>
    </w:p>
    <w:p w:rsidR="00357C8A" w:rsidRPr="00357C8A" w:rsidP="00357C8A" w14:paraId="3FB0D968" w14:textId="77777777">
      <w:pPr>
        <w:rPr>
          <w:rFonts w:eastAsia="Calibri"/>
          <w:b/>
        </w:rPr>
      </w:pPr>
    </w:p>
    <w:p w:rsidR="00357C8A" w:rsidP="000D79CC" w14:paraId="7E914D62" w14:textId="77777777">
      <w:pPr>
        <w:rPr>
          <w:rFonts w:eastAsia="Calibri"/>
        </w:rPr>
      </w:pPr>
      <w:r w:rsidRPr="00357C8A">
        <w:rPr>
          <w:rFonts w:eastAsia="Calibri"/>
          <w:b/>
        </w:rPr>
        <w:t>Part A:  Justification</w:t>
      </w:r>
      <w:r w:rsidRPr="00357C8A">
        <w:rPr>
          <w:rFonts w:eastAsia="Calibri"/>
        </w:rPr>
        <w:t>:</w:t>
      </w:r>
    </w:p>
    <w:p w:rsidR="000D79CC" w:rsidRPr="00357C8A" w:rsidP="000D79CC" w14:paraId="2752AA4E" w14:textId="77777777">
      <w:pPr>
        <w:rPr>
          <w:rFonts w:eastAsia="Calibri"/>
        </w:rPr>
      </w:pPr>
    </w:p>
    <w:p w:rsidR="00357C8A" w:rsidRPr="00357C8A" w:rsidP="006705EA" w14:paraId="295C35FF"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3272" w:rsidP="00DD2994" w14:paraId="5190524D" w14:textId="0202048F">
      <w:pPr>
        <w:spacing w:after="200"/>
        <w:ind w:left="360"/>
        <w:rPr>
          <w:rFonts w:eastAsia="Calibri"/>
        </w:rPr>
      </w:pPr>
      <w:r>
        <w:rPr>
          <w:rFonts w:eastAsia="Calibri"/>
        </w:rPr>
        <w:t>This</w:t>
      </w:r>
      <w:r w:rsidRPr="005C71CA">
        <w:rPr>
          <w:rFonts w:eastAsia="Calibri"/>
        </w:rPr>
        <w:t xml:space="preserve"> information collection supports Food and Drug Administration (FDA, </w:t>
      </w:r>
      <w:r w:rsidRPr="005C71CA">
        <w:rPr>
          <w:rFonts w:eastAsia="Calibri"/>
        </w:rPr>
        <w:t>us</w:t>
      </w:r>
      <w:r w:rsidRPr="005C71CA">
        <w:rPr>
          <w:rFonts w:eastAsia="Calibri"/>
        </w:rPr>
        <w:t xml:space="preserve"> or we) regulations</w:t>
      </w:r>
      <w:r w:rsidR="00A94092">
        <w:rPr>
          <w:rFonts w:eastAsia="Calibri"/>
        </w:rPr>
        <w:t xml:space="preserve"> and </w:t>
      </w:r>
      <w:r w:rsidR="00623D38">
        <w:rPr>
          <w:rFonts w:eastAsia="Calibri"/>
        </w:rPr>
        <w:t xml:space="preserve">associated agency </w:t>
      </w:r>
      <w:r w:rsidR="00A94092">
        <w:rPr>
          <w:rFonts w:eastAsia="Calibri"/>
        </w:rPr>
        <w:t>guidance</w:t>
      </w:r>
      <w:r w:rsidRPr="005C71CA">
        <w:rPr>
          <w:rFonts w:eastAsia="Calibri"/>
        </w:rPr>
        <w:t>.</w:t>
      </w:r>
      <w:r w:rsidR="00DD2994">
        <w:rPr>
          <w:rFonts w:eastAsia="Calibri"/>
        </w:rPr>
        <w:t xml:space="preserve"> </w:t>
      </w:r>
      <w:r w:rsidRPr="002F572A" w:rsidR="00DD2994">
        <w:rPr>
          <w:rFonts w:eastAsia="Calibri"/>
        </w:rPr>
        <w:t xml:space="preserve">Tobacco products are governed by chapter IX of the Federal Food, Drug, and Cosmetic Act </w:t>
      </w:r>
      <w:r w:rsidR="00DD2994">
        <w:rPr>
          <w:rFonts w:eastAsia="Calibri"/>
        </w:rPr>
        <w:t>(</w:t>
      </w:r>
      <w:r w:rsidRPr="00DD2994" w:rsidR="00DD2994">
        <w:rPr>
          <w:rFonts w:eastAsia="Calibri"/>
        </w:rPr>
        <w:t>FD&amp;C Act</w:t>
      </w:r>
      <w:r w:rsidR="00DD2994">
        <w:rPr>
          <w:rFonts w:eastAsia="Calibri"/>
        </w:rPr>
        <w:t xml:space="preserve">) </w:t>
      </w:r>
      <w:r w:rsidRPr="002F572A" w:rsidR="00DD2994">
        <w:rPr>
          <w:rFonts w:eastAsia="Calibri"/>
        </w:rPr>
        <w:t>(sections 900 through 920) (21 U.S.C. 387 through 21 U.S.C. 387t).</w:t>
      </w:r>
    </w:p>
    <w:p w:rsidR="00896F55" w:rsidP="00DD2994" w14:paraId="3EAF0887" w14:textId="0FE1FC57">
      <w:pPr>
        <w:spacing w:after="200"/>
        <w:ind w:left="360"/>
        <w:rPr>
          <w:rFonts w:eastAsia="Calibri"/>
        </w:rPr>
      </w:pPr>
      <w:r w:rsidRPr="00DD2994">
        <w:rPr>
          <w:rFonts w:eastAsia="Calibri"/>
        </w:rPr>
        <w:t>Regulations in part 1140 establish permissible forms of labeling and advertising and include reporting requirements directing persons to notify FDA if they intend to use a form of advertising</w:t>
      </w:r>
      <w:r w:rsidR="002A38E8">
        <w:rPr>
          <w:rFonts w:eastAsia="Calibri"/>
        </w:rPr>
        <w:t xml:space="preserve"> or labeling</w:t>
      </w:r>
      <w:r w:rsidRPr="00DD2994">
        <w:rPr>
          <w:rFonts w:eastAsia="Calibri"/>
        </w:rPr>
        <w:t xml:space="preserve"> that is not addressed in the regulations.  Section 1140.30 </w:t>
      </w:r>
      <w:r w:rsidR="00786A49">
        <w:rPr>
          <w:rFonts w:eastAsia="Calibri"/>
        </w:rPr>
        <w:t>advises</w:t>
      </w:r>
      <w:r w:rsidRPr="00DD2994">
        <w:rPr>
          <w:rFonts w:eastAsia="Calibri"/>
        </w:rPr>
        <w:t xml:space="preserve"> </w:t>
      </w:r>
      <w:r w:rsidR="002A38E8">
        <w:rPr>
          <w:rFonts w:eastAsia="Calibri"/>
        </w:rPr>
        <w:t xml:space="preserve">tobacco product </w:t>
      </w:r>
      <w:r w:rsidRPr="00DD2994">
        <w:rPr>
          <w:rFonts w:eastAsia="Calibri"/>
        </w:rPr>
        <w:t xml:space="preserve">manufacturers, distributors, and retailers: </w:t>
      </w:r>
      <w:r w:rsidR="00786A49">
        <w:rPr>
          <w:rFonts w:eastAsia="Calibri"/>
        </w:rPr>
        <w:t xml:space="preserve">to </w:t>
      </w:r>
      <w:r w:rsidRPr="00DD2994">
        <w:rPr>
          <w:rFonts w:eastAsia="Calibri"/>
        </w:rPr>
        <w:t xml:space="preserve">notify FDA if they intend to use advertising </w:t>
      </w:r>
      <w:r w:rsidR="00DC765A">
        <w:t>or labeling</w:t>
      </w:r>
      <w:r w:rsidRPr="00083A70" w:rsidR="00DC765A">
        <w:t xml:space="preserve"> </w:t>
      </w:r>
      <w:r w:rsidR="00DC765A">
        <w:t xml:space="preserve">for cigarettes or smokeless tobacco in a </w:t>
      </w:r>
      <w:r w:rsidRPr="00DD2994">
        <w:rPr>
          <w:rFonts w:eastAsia="Calibri"/>
        </w:rPr>
        <w:t>medium that is not listed in the regulations.</w:t>
      </w:r>
    </w:p>
    <w:p w:rsidR="00423272" w:rsidRPr="00423272" w:rsidP="00DD2994" w14:paraId="55582476" w14:textId="1831E4F8">
      <w:pPr>
        <w:ind w:left="360"/>
        <w:rPr>
          <w:rFonts w:eastAsia="Calibri"/>
          <w:i/>
        </w:rPr>
      </w:pPr>
      <w:r w:rsidRPr="005C71CA">
        <w:rPr>
          <w:rFonts w:eastAsia="Calibri"/>
        </w:rPr>
        <w:t xml:space="preserve">We therefore request OMB approval of </w:t>
      </w:r>
      <w:r w:rsidR="00FF3F28">
        <w:rPr>
          <w:rFonts w:eastAsia="Calibri"/>
        </w:rPr>
        <w:t xml:space="preserve">the </w:t>
      </w:r>
      <w:r w:rsidR="00256819">
        <w:rPr>
          <w:rFonts w:eastAsia="Calibri"/>
        </w:rPr>
        <w:t xml:space="preserve">information collection </w:t>
      </w:r>
      <w:r w:rsidRPr="005C71CA">
        <w:rPr>
          <w:rFonts w:eastAsia="Calibri"/>
        </w:rPr>
        <w:t xml:space="preserve">provisions found in </w:t>
      </w:r>
      <w:r w:rsidRPr="003640D8" w:rsidR="003640D8">
        <w:rPr>
          <w:rFonts w:eastAsia="Calibri"/>
        </w:rPr>
        <w:t>21 CFR Part 1140</w:t>
      </w:r>
      <w:r w:rsidR="00256819">
        <w:rPr>
          <w:rFonts w:eastAsia="Calibri"/>
        </w:rPr>
        <w:t xml:space="preserve"> </w:t>
      </w:r>
      <w:r w:rsidR="00896F55">
        <w:rPr>
          <w:rFonts w:eastAsia="Calibri"/>
        </w:rPr>
        <w:t xml:space="preserve">and the associated guidance, </w:t>
      </w:r>
      <w:r w:rsidRPr="005C71CA">
        <w:rPr>
          <w:rFonts w:eastAsia="Calibri"/>
        </w:rPr>
        <w:t>as discussed in this supporting statement.</w:t>
      </w:r>
    </w:p>
    <w:p w:rsidR="00357C8A" w:rsidRPr="00357C8A" w:rsidP="0022425B" w14:paraId="317B9537" w14:textId="77777777">
      <w:pPr>
        <w:spacing w:after="200"/>
        <w:rPr>
          <w:rFonts w:eastAsia="Calibri"/>
          <w:color w:val="FF0000"/>
        </w:rPr>
      </w:pPr>
    </w:p>
    <w:p w:rsidR="00357C8A" w:rsidRPr="00357C8A" w:rsidP="006705EA" w14:paraId="6D182A5B"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762B3" w:rsidP="003762B3" w14:paraId="531DDAEC" w14:textId="77777777">
      <w:pPr>
        <w:ind w:left="360" w:right="360"/>
        <w:rPr>
          <w:color w:val="000000"/>
        </w:rPr>
      </w:pPr>
      <w:r w:rsidRPr="008F0306">
        <w:rPr>
          <w:color w:val="000000"/>
        </w:rPr>
        <w:t>Federal law direct</w:t>
      </w:r>
      <w:r>
        <w:rPr>
          <w:color w:val="000000"/>
        </w:rPr>
        <w:t>ed</w:t>
      </w:r>
      <w:r w:rsidRPr="008F0306">
        <w:rPr>
          <w:color w:val="000000"/>
        </w:rPr>
        <w:t xml:space="preserve"> the </w:t>
      </w:r>
      <w:r>
        <w:rPr>
          <w:color w:val="000000"/>
        </w:rPr>
        <w:t>FDA to issue</w:t>
      </w:r>
      <w:r w:rsidRPr="008F0306">
        <w:rPr>
          <w:color w:val="000000"/>
        </w:rPr>
        <w:t xml:space="preserve"> regulations pertaining to the sale and distribution of cigarettes and smokeless tobacco to protect children and adolescents. </w:t>
      </w:r>
      <w:r>
        <w:rPr>
          <w:color w:val="000000"/>
        </w:rPr>
        <w:t>We</w:t>
      </w:r>
      <w:r w:rsidRPr="008F0306">
        <w:rPr>
          <w:color w:val="000000"/>
        </w:rPr>
        <w:t xml:space="preserve"> intend to use th</w:t>
      </w:r>
      <w:r>
        <w:rPr>
          <w:color w:val="000000"/>
        </w:rPr>
        <w:t>e</w:t>
      </w:r>
      <w:r w:rsidRPr="008F0306">
        <w:rPr>
          <w:color w:val="000000"/>
        </w:rPr>
        <w:t xml:space="preserve"> information </w:t>
      </w:r>
      <w:r>
        <w:rPr>
          <w:color w:val="000000"/>
        </w:rPr>
        <w:t xml:space="preserve">in this collection to </w:t>
      </w:r>
      <w:r w:rsidRPr="008F0306">
        <w:rPr>
          <w:color w:val="000000"/>
        </w:rPr>
        <w:t>determine whether a party is meeting its regulatory obligations.</w:t>
      </w:r>
      <w:r>
        <w:rPr>
          <w:color w:val="000000"/>
        </w:rPr>
        <w:t xml:space="preserve"> </w:t>
      </w:r>
    </w:p>
    <w:p w:rsidR="003762B3" w:rsidP="003762B3" w14:paraId="3B645EEF" w14:textId="77777777">
      <w:pPr>
        <w:ind w:left="360" w:right="360"/>
        <w:rPr>
          <w:color w:val="000000"/>
        </w:rPr>
      </w:pPr>
    </w:p>
    <w:p w:rsidR="003762B3" w:rsidRPr="008F0306" w:rsidP="003762B3" w14:paraId="149AD071" w14:textId="6F2C06CA">
      <w:pPr>
        <w:ind w:left="360" w:right="360"/>
        <w:rPr>
          <w:color w:val="000000"/>
        </w:rPr>
      </w:pPr>
      <w:r>
        <w:rPr>
          <w:color w:val="000000"/>
        </w:rPr>
        <w:t xml:space="preserve">Respondents to this collection of information are businesses or other for-profit institutions who advertise the availability and sale of </w:t>
      </w:r>
      <w:r w:rsidR="000B301E">
        <w:rPr>
          <w:color w:val="000000"/>
        </w:rPr>
        <w:t xml:space="preserve">cigarette and smokeless </w:t>
      </w:r>
      <w:r>
        <w:rPr>
          <w:color w:val="000000"/>
        </w:rPr>
        <w:t>tobacco products.</w:t>
      </w:r>
    </w:p>
    <w:p w:rsidR="003762B3" w:rsidRPr="008F0306" w:rsidP="003762B3" w14:paraId="123B3BD2" w14:textId="77777777">
      <w:pPr>
        <w:ind w:left="360" w:right="360"/>
        <w:rPr>
          <w:color w:val="000000"/>
        </w:rPr>
      </w:pPr>
    </w:p>
    <w:p w:rsidR="003762B3" w:rsidP="003762B3" w14:paraId="0572A6AF" w14:textId="7B5F16AF">
      <w:pPr>
        <w:ind w:left="360" w:right="360"/>
        <w:rPr>
          <w:color w:val="000000"/>
        </w:rPr>
      </w:pPr>
      <w:r w:rsidRPr="52AA2622">
        <w:rPr>
          <w:color w:val="000000" w:themeColor="text1"/>
        </w:rPr>
        <w:t xml:space="preserve">Section 1140.30 is intended to help protect children and adolescents by reducing the appeal of cigarettes and smokeless tobacco to them.  Section 1140.30, in part, contains a comprehensive list of permissible forms of advertising and labeling; in the unlikely event that a person wishes to use a form of advertising or labeling that is not described in </w:t>
      </w:r>
      <w:r>
        <w:br/>
      </w:r>
      <w:r w:rsidRPr="52AA2622">
        <w:rPr>
          <w:color w:val="000000" w:themeColor="text1"/>
        </w:rPr>
        <w:t xml:space="preserve">§ 1140.30, the section directs respondents to notify FDA of the form of advertising or labeling they intend to use.  </w:t>
      </w:r>
    </w:p>
    <w:p w:rsidR="003762B3" w:rsidP="003762B3" w14:paraId="1A712E51" w14:textId="77777777">
      <w:pPr>
        <w:ind w:left="360" w:right="360"/>
        <w:rPr>
          <w:color w:val="000000"/>
        </w:rPr>
      </w:pPr>
    </w:p>
    <w:p w:rsidR="003762B3" w:rsidRPr="008F0306" w:rsidP="003762B3" w14:paraId="030A8962" w14:textId="77777777">
      <w:pPr>
        <w:ind w:left="360" w:right="360"/>
        <w:rPr>
          <w:color w:val="000000"/>
        </w:rPr>
      </w:pPr>
      <w:r w:rsidRPr="00C23DC9">
        <w:rPr>
          <w:color w:val="000000"/>
        </w:rPr>
        <w:t>As</w:t>
      </w:r>
      <w:r>
        <w:rPr>
          <w:color w:val="000000"/>
        </w:rPr>
        <w:t xml:space="preserve"> noted in </w:t>
      </w:r>
      <w:r w:rsidRPr="00C23DC9">
        <w:rPr>
          <w:color w:val="000000"/>
        </w:rPr>
        <w:t>the FDA guidance entitled “Enforcement Pol</w:t>
      </w:r>
      <w:r>
        <w:rPr>
          <w:color w:val="000000"/>
        </w:rPr>
        <w:t>i</w:t>
      </w:r>
      <w:r w:rsidRPr="00C23DC9">
        <w:rPr>
          <w:color w:val="000000"/>
        </w:rPr>
        <w:t>cy Concerning Certain Regulations Restricting the Sale and Distribution of Cigarettes and Smokeless Tobacco,”</w:t>
      </w:r>
      <w:r>
        <w:rPr>
          <w:color w:val="000000"/>
        </w:rPr>
        <w:t xml:space="preserve"> (</w:t>
      </w:r>
      <w:hyperlink r:id="rId8" w:history="1">
        <w:r w:rsidRPr="00E27A95">
          <w:rPr>
            <w:rStyle w:val="Hyperlink"/>
          </w:rPr>
          <w:t>https://www.fda.gov/regulatory-information/search-fda-guidance-documents/enforcement-policy-concerning-certain-regulations-restricting-sale-and-distribution-cigarettes-and</w:t>
        </w:r>
      </w:hyperlink>
      <w:r>
        <w:rPr>
          <w:color w:val="000000"/>
        </w:rPr>
        <w:t xml:space="preserve">) </w:t>
      </w:r>
      <w:r w:rsidRPr="00C23DC9">
        <w:rPr>
          <w:color w:val="000000"/>
        </w:rPr>
        <w:t xml:space="preserve">the </w:t>
      </w:r>
      <w:r>
        <w:rPr>
          <w:color w:val="000000"/>
        </w:rPr>
        <w:t xml:space="preserve">recordkeeping and </w:t>
      </w:r>
      <w:r w:rsidRPr="00C23DC9">
        <w:rPr>
          <w:color w:val="000000"/>
        </w:rPr>
        <w:t xml:space="preserve">disclosure requirements under section 1140.32 are not being </w:t>
      </w:r>
      <w:r>
        <w:rPr>
          <w:color w:val="000000"/>
        </w:rPr>
        <w:t xml:space="preserve">enforced.  </w:t>
      </w:r>
    </w:p>
    <w:p w:rsidR="003762B3" w:rsidRPr="003762B3" w:rsidP="0022425B" w14:paraId="464531AB" w14:textId="77777777">
      <w:pPr>
        <w:spacing w:after="200"/>
        <w:rPr>
          <w:rFonts w:eastAsia="Calibri"/>
        </w:rPr>
      </w:pPr>
    </w:p>
    <w:p w:rsidR="00357C8A" w:rsidRPr="00357C8A" w:rsidP="006705EA" w14:paraId="678F4862"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780414" w:rsidRPr="00780414" w:rsidP="00780414" w14:paraId="7ED8D195" w14:textId="45CC89DE">
      <w:pPr>
        <w:spacing w:after="200"/>
        <w:ind w:left="360"/>
        <w:rPr>
          <w:rFonts w:eastAsia="Calibri"/>
        </w:rPr>
      </w:pPr>
      <w:r w:rsidRPr="52AA2622">
        <w:rPr>
          <w:rFonts w:eastAsia="Calibri"/>
        </w:rPr>
        <w:t>FDA allow</w:t>
      </w:r>
      <w:r w:rsidRPr="52AA2622" w:rsidR="00F76168">
        <w:rPr>
          <w:rFonts w:eastAsia="Calibri"/>
        </w:rPr>
        <w:t>s</w:t>
      </w:r>
      <w:r w:rsidRPr="52AA2622">
        <w:rPr>
          <w:rFonts w:eastAsia="Calibri"/>
        </w:rPr>
        <w:t xml:space="preserve"> electronic submissions, via FDA's Electronic Submissions Gateway, and written submissions.  FDA strongly encourages electronic submission to facilitate efficiency and timeliness of submission and processing. </w:t>
      </w:r>
      <w:r w:rsidRPr="52AA2622" w:rsidR="007449D2">
        <w:rPr>
          <w:rFonts w:eastAsia="Calibri"/>
        </w:rPr>
        <w:t xml:space="preserve">FDA estimates that 80% of the respondents will use electronic means to submit their plans.    </w:t>
      </w:r>
    </w:p>
    <w:p w:rsidR="007449D2" w:rsidRPr="00AF2051" w:rsidP="007449D2" w14:paraId="688981D8" w14:textId="63FF7802">
      <w:pPr>
        <w:spacing w:after="200"/>
        <w:ind w:left="360"/>
        <w:rPr>
          <w:rFonts w:eastAsia="Calibri"/>
        </w:rPr>
      </w:pPr>
      <w:r>
        <w:rPr>
          <w:rFonts w:eastAsia="Calibri"/>
        </w:rPr>
        <w:t xml:space="preserve">Electronic submissions are made through our </w:t>
      </w:r>
      <w:r w:rsidRPr="001F4390">
        <w:rPr>
          <w:rFonts w:eastAsia="Calibri"/>
        </w:rPr>
        <w:t xml:space="preserve">Electronic Submissions Gateway (ESG) using </w:t>
      </w:r>
      <w:r>
        <w:rPr>
          <w:rFonts w:eastAsia="Calibri"/>
        </w:rPr>
        <w:t>an “</w:t>
      </w:r>
      <w:r w:rsidRPr="001F4390">
        <w:rPr>
          <w:rFonts w:eastAsia="Calibri"/>
        </w:rPr>
        <w:t>eSubmitter</w:t>
      </w:r>
      <w:r>
        <w:rPr>
          <w:rFonts w:eastAsia="Calibri"/>
        </w:rPr>
        <w:t>”</w:t>
      </w:r>
      <w:r w:rsidRPr="001F4390">
        <w:rPr>
          <w:rFonts w:eastAsia="Calibri"/>
        </w:rPr>
        <w:t xml:space="preserve"> tool</w:t>
      </w:r>
      <w:r>
        <w:rPr>
          <w:rFonts w:eastAsia="Calibri"/>
        </w:rPr>
        <w:t xml:space="preserve"> developed by FDA</w:t>
      </w:r>
      <w:r w:rsidRPr="001F4390">
        <w:rPr>
          <w:rFonts w:eastAsia="Calibri"/>
        </w:rPr>
        <w:t xml:space="preserve">.  The FDA ESG system requires users to apply for a free account before submitting data, a process which can take one to three weeks to complete.  Once approved, the user can send all submissions to CTP using the </w:t>
      </w:r>
      <w:r w:rsidRPr="001F4390">
        <w:rPr>
          <w:rFonts w:eastAsia="Calibri"/>
        </w:rPr>
        <w:t>eSubmitter</w:t>
      </w:r>
      <w:r w:rsidRPr="001F4390">
        <w:rPr>
          <w:rFonts w:eastAsia="Calibri"/>
        </w:rPr>
        <w:t xml:space="preserve"> tool and </w:t>
      </w:r>
      <w:r w:rsidR="009B54BB">
        <w:rPr>
          <w:rFonts w:eastAsia="Calibri"/>
        </w:rPr>
        <w:t xml:space="preserve">CTP Portal or </w:t>
      </w:r>
      <w:r w:rsidRPr="001F4390">
        <w:rPr>
          <w:rFonts w:eastAsia="Calibri"/>
        </w:rPr>
        <w:t xml:space="preserve">FDA ESG.  Instructions </w:t>
      </w:r>
      <w:r w:rsidR="00F00339">
        <w:rPr>
          <w:rFonts w:eastAsia="Calibri"/>
        </w:rPr>
        <w:t>for preparing</w:t>
      </w:r>
      <w:r w:rsidR="00CA1B8B">
        <w:rPr>
          <w:rFonts w:eastAsia="Calibri"/>
        </w:rPr>
        <w:t xml:space="preserve"> tobacco </w:t>
      </w:r>
      <w:r w:rsidR="00F00339">
        <w:rPr>
          <w:rFonts w:eastAsia="Calibri"/>
        </w:rPr>
        <w:t>product submissions are available via:</w:t>
      </w:r>
      <w:r w:rsidRPr="001F4390">
        <w:rPr>
          <w:rFonts w:eastAsia="Calibri"/>
        </w:rPr>
        <w:t xml:space="preserve"> </w:t>
      </w:r>
      <w:r w:rsidRPr="00CA1B8B" w:rsidR="00CA1B8B">
        <w:t>https://www.fda.gov/industry/fda-esubmitter/using-esubmitter-prepare-tobacco-product-submissions</w:t>
      </w:r>
      <w:r w:rsidRPr="001F4390">
        <w:rPr>
          <w:rFonts w:eastAsia="Calibri"/>
        </w:rPr>
        <w:t>.</w:t>
      </w:r>
      <w:r>
        <w:rPr>
          <w:rFonts w:eastAsia="Calibri"/>
        </w:rPr>
        <w:t xml:space="preserve"> </w:t>
      </w:r>
      <w:r w:rsidRPr="001F4390">
        <w:rPr>
          <w:rFonts w:eastAsia="Calibri"/>
        </w:rPr>
        <w:t xml:space="preserve"> </w:t>
      </w:r>
      <w:r w:rsidR="00623D38">
        <w:rPr>
          <w:rFonts w:eastAsia="Calibri"/>
        </w:rPr>
        <w:t>Information collection associated with electronic records is currently approved in OMB control number 0910-0303.</w:t>
      </w:r>
    </w:p>
    <w:p w:rsidR="00357C8A" w:rsidRPr="00357C8A" w:rsidP="00780414" w14:paraId="4D46BEC4" w14:textId="601B669A">
      <w:pPr>
        <w:spacing w:after="200"/>
        <w:ind w:left="360"/>
        <w:rPr>
          <w:rFonts w:eastAsia="Calibri"/>
          <w:color w:val="FF0000"/>
        </w:rPr>
      </w:pPr>
      <w:r w:rsidRPr="00446B9F">
        <w:t>Alternatively,</w:t>
      </w:r>
      <w:r>
        <w:t xml:space="preserve"> respondents can mail </w:t>
      </w:r>
      <w:r w:rsidR="00243BC2">
        <w:t xml:space="preserve">notifications </w:t>
      </w:r>
      <w:r>
        <w:t>to FDA</w:t>
      </w:r>
      <w:r w:rsidR="00F87234">
        <w:t xml:space="preserve">.  </w:t>
      </w:r>
      <w:r w:rsidR="00256819">
        <w:t>I</w:t>
      </w:r>
      <w:r w:rsidR="00F87234">
        <w:t xml:space="preserve">nstructions </w:t>
      </w:r>
      <w:r w:rsidR="00A807A3">
        <w:t xml:space="preserve">providing clarification on how to format the notification may be found </w:t>
      </w:r>
      <w:r>
        <w:t xml:space="preserve">in the guidance document </w:t>
      </w:r>
      <w:r w:rsidR="003762B3">
        <w:t>en</w:t>
      </w:r>
      <w:r>
        <w:t xml:space="preserve">titled </w:t>
      </w:r>
      <w:r w:rsidR="00256819">
        <w:t xml:space="preserve"> </w:t>
      </w:r>
      <w:r>
        <w:t>“</w:t>
      </w:r>
      <w:r w:rsidRPr="00780414">
        <w:t>Compliance with Regulations Restricting the Sale and Distribution of Cigarettes and Smokeless Tobacco To Protect Children and Adolescents</w:t>
      </w:r>
      <w:r>
        <w:t>” (</w:t>
      </w:r>
      <w:hyperlink r:id="rId9" w:history="1">
        <w:r w:rsidRPr="009E535C" w:rsidR="009E535C">
          <w:rPr>
            <w:rStyle w:val="Hyperlink"/>
          </w:rPr>
          <w:t>https://www.fda.gov/regulatory-information/search-fda-guidance-documents/compliance-regulations-restricting-sale-and-distribution-cigarettes-and-smokeless-tobacco-protect</w:t>
        </w:r>
      </w:hyperlink>
      <w:r>
        <w:t xml:space="preserve">).  </w:t>
      </w:r>
    </w:p>
    <w:p w:rsidR="00357C8A" w:rsidRPr="00357C8A" w:rsidP="006705EA" w14:paraId="2E1141A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RPr="000C1260" w:rsidP="00A62CE2" w14:paraId="6710F624" w14:textId="77777777">
      <w:pPr>
        <w:spacing w:after="200"/>
        <w:ind w:left="360"/>
      </w:pPr>
      <w:r w:rsidRPr="005C71CA">
        <w:t>We are unaware of duplicative information collection.</w:t>
      </w:r>
    </w:p>
    <w:p w:rsidR="00357C8A" w:rsidRPr="00357C8A" w:rsidP="006705EA" w14:paraId="10BFA5B0"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A62CE2" w14:paraId="234405EA" w14:textId="77777777">
      <w:pPr>
        <w:spacing w:after="200"/>
        <w:ind w:left="360"/>
        <w:rPr>
          <w:rFonts w:eastAsia="Calibri"/>
        </w:rPr>
      </w:pPr>
      <w:r w:rsidRPr="00A62CE2">
        <w:rPr>
          <w:rFonts w:eastAsia="Calibri"/>
        </w:rPr>
        <w:t>The reporting requirements in § 1140.30 affect small businesses if they decide to use a form of advertising or labeling not specified in §</w:t>
      </w:r>
      <w:r w:rsidR="00CA1153">
        <w:rPr>
          <w:rFonts w:eastAsia="Calibri"/>
        </w:rPr>
        <w:t xml:space="preserve"> </w:t>
      </w:r>
      <w:r w:rsidRPr="00A62CE2">
        <w:rPr>
          <w:rFonts w:eastAsia="Calibri"/>
        </w:rPr>
        <w:t>1140.30 or if they decide to advertise in an “adult” publication.  The list of permitted forms of advertising and labeling in §</w:t>
      </w:r>
      <w:r w:rsidR="00CA1153">
        <w:rPr>
          <w:rFonts w:eastAsia="Calibri"/>
        </w:rPr>
        <w:t xml:space="preserve"> </w:t>
      </w:r>
      <w:r w:rsidRPr="00A62CE2">
        <w:rPr>
          <w:rFonts w:eastAsia="Calibri"/>
        </w:rPr>
        <w:t xml:space="preserve">1140.30 is very comprehensive, so </w:t>
      </w:r>
      <w:r w:rsidR="00F76168">
        <w:rPr>
          <w:rFonts w:eastAsia="Calibri"/>
        </w:rPr>
        <w:t>we</w:t>
      </w:r>
      <w:r w:rsidRPr="00A62CE2">
        <w:rPr>
          <w:rFonts w:eastAsia="Calibri"/>
        </w:rPr>
        <w:t xml:space="preserve"> do not anticipate that many small businesses will notify </w:t>
      </w:r>
      <w:r w:rsidR="00F76168">
        <w:rPr>
          <w:rFonts w:eastAsia="Calibri"/>
        </w:rPr>
        <w:t>FDA</w:t>
      </w:r>
      <w:r w:rsidRPr="00A62CE2">
        <w:rPr>
          <w:rFonts w:eastAsia="Calibri"/>
        </w:rPr>
        <w:t xml:space="preserve"> of their intent to use a form of advertising or labeling that is not specified in §</w:t>
      </w:r>
      <w:r w:rsidR="00CA1153">
        <w:rPr>
          <w:rFonts w:eastAsia="Calibri"/>
        </w:rPr>
        <w:t xml:space="preserve"> </w:t>
      </w:r>
      <w:r w:rsidRPr="00A62CE2">
        <w:rPr>
          <w:rFonts w:eastAsia="Calibri"/>
        </w:rPr>
        <w:t xml:space="preserve">1140.30.  </w:t>
      </w:r>
    </w:p>
    <w:p w:rsidR="00357C8A" w:rsidRPr="00357C8A" w:rsidP="006705EA" w14:paraId="03A3A599"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A62CE2" w:rsidP="00A62CE2" w14:paraId="38148BEA" w14:textId="59260FFC">
      <w:pPr>
        <w:spacing w:after="200"/>
        <w:ind w:left="360"/>
        <w:rPr>
          <w:rFonts w:eastAsia="Calibri"/>
        </w:rPr>
      </w:pPr>
      <w:r w:rsidRPr="40E63EE5">
        <w:rPr>
          <w:rFonts w:eastAsia="Calibri"/>
        </w:rPr>
        <w:t xml:space="preserve">This information collection for </w:t>
      </w:r>
      <w:r w:rsidRPr="40E63EE5" w:rsidR="00780414">
        <w:rPr>
          <w:rFonts w:eastAsia="Calibri"/>
        </w:rPr>
        <w:t>submissions regarding cigarette and smokeless tobacco product advertising</w:t>
      </w:r>
      <w:r w:rsidRPr="40E63EE5" w:rsidR="00D63D76">
        <w:rPr>
          <w:rFonts w:eastAsia="Calibri"/>
        </w:rPr>
        <w:t xml:space="preserve"> and labeling</w:t>
      </w:r>
      <w:r w:rsidRPr="40E63EE5">
        <w:rPr>
          <w:rFonts w:eastAsia="Calibri"/>
        </w:rPr>
        <w:t xml:space="preserve"> is statutorily mandated</w:t>
      </w:r>
      <w:r w:rsidR="002F2521">
        <w:rPr>
          <w:rFonts w:eastAsia="Calibri"/>
        </w:rPr>
        <w:t xml:space="preserve"> (</w:t>
      </w:r>
      <w:r w:rsidRPr="002F2521" w:rsidR="002F2521">
        <w:rPr>
          <w:rFonts w:eastAsia="Calibri"/>
        </w:rPr>
        <w:t>Family Smoking Prevention and Tobacco Control Act (Tobacco Control Act) (Public Law 111-31; 123 Stat. 1776) Section 102</w:t>
      </w:r>
      <w:r w:rsidR="002F2521">
        <w:rPr>
          <w:rFonts w:eastAsia="Calibri"/>
        </w:rPr>
        <w:t>).</w:t>
      </w:r>
    </w:p>
    <w:p w:rsidR="00A62CE2" w:rsidRPr="00A62CE2" w:rsidP="00A62CE2" w14:paraId="074865BB" w14:textId="270F34E2">
      <w:pPr>
        <w:spacing w:after="200"/>
        <w:ind w:left="360"/>
        <w:rPr>
          <w:rFonts w:eastAsia="Calibri"/>
        </w:rPr>
      </w:pPr>
      <w:r w:rsidRPr="40E63EE5">
        <w:rPr>
          <w:rFonts w:eastAsia="Calibri"/>
        </w:rPr>
        <w:t>The regulations require respondents to respond to the data collection occasionally; for example, if they need to provide notice of a different medium under §</w:t>
      </w:r>
      <w:r w:rsidRPr="40E63EE5" w:rsidR="00CA1153">
        <w:rPr>
          <w:rFonts w:eastAsia="Calibri"/>
        </w:rPr>
        <w:t xml:space="preserve"> </w:t>
      </w:r>
      <w:r w:rsidRPr="40E63EE5">
        <w:rPr>
          <w:rFonts w:eastAsia="Calibri"/>
        </w:rPr>
        <w:t xml:space="preserve">1140.30.  The frequency </w:t>
      </w:r>
      <w:r w:rsidRPr="00A62CE2">
        <w:rPr>
          <w:rFonts w:eastAsia="Calibri"/>
        </w:rPr>
        <w:t>of response depends on what type of advertising is used, its frequency, and the type of media used to display the advertising</w:t>
      </w:r>
      <w:r w:rsidR="001B6427">
        <w:rPr>
          <w:rFonts w:eastAsia="Calibri"/>
        </w:rPr>
        <w:t xml:space="preserve"> or labeling</w:t>
      </w:r>
      <w:r w:rsidRPr="00A62CE2">
        <w:rPr>
          <w:rFonts w:eastAsia="Calibri"/>
        </w:rPr>
        <w:t xml:space="preserve">. </w:t>
      </w:r>
    </w:p>
    <w:p w:rsidR="00357C8A" w:rsidRPr="00357C8A" w:rsidP="00A62CE2" w14:paraId="7F73629D" w14:textId="5735EF2D">
      <w:pPr>
        <w:spacing w:after="200"/>
        <w:ind w:left="360"/>
        <w:rPr>
          <w:rFonts w:eastAsia="Calibri"/>
          <w:color w:val="FF0000"/>
        </w:rPr>
      </w:pPr>
      <w:r w:rsidRPr="00A62CE2">
        <w:rPr>
          <w:rFonts w:eastAsia="Calibri"/>
        </w:rPr>
        <w:t>If this information is collected less frequently, FDA will be unable to enforce advertising</w:t>
      </w:r>
      <w:r w:rsidR="001B6427">
        <w:rPr>
          <w:rFonts w:eastAsia="Calibri"/>
        </w:rPr>
        <w:t xml:space="preserve"> and labeling</w:t>
      </w:r>
      <w:r w:rsidRPr="00A62CE2">
        <w:rPr>
          <w:rFonts w:eastAsia="Calibri"/>
        </w:rPr>
        <w:t xml:space="preserve"> provisions under</w:t>
      </w:r>
      <w:r w:rsidR="00CA1153">
        <w:rPr>
          <w:rFonts w:eastAsia="Calibri"/>
        </w:rPr>
        <w:t xml:space="preserve"> </w:t>
      </w:r>
      <w:r w:rsidRPr="00A62CE2" w:rsidR="00CA1153">
        <w:rPr>
          <w:rFonts w:eastAsia="Calibri"/>
        </w:rPr>
        <w:t>§</w:t>
      </w:r>
      <w:r w:rsidR="00CA1153">
        <w:rPr>
          <w:rFonts w:eastAsia="Calibri"/>
        </w:rPr>
        <w:t xml:space="preserve"> </w:t>
      </w:r>
      <w:r w:rsidRPr="00A62CE2" w:rsidR="00CA1153">
        <w:rPr>
          <w:rFonts w:eastAsia="Calibri"/>
        </w:rPr>
        <w:t>1140.30</w:t>
      </w:r>
      <w:r>
        <w:rPr>
          <w:rFonts w:eastAsia="Calibri"/>
        </w:rPr>
        <w:t>.</w:t>
      </w:r>
    </w:p>
    <w:p w:rsidR="00357C8A" w:rsidRPr="00357C8A" w:rsidP="006705EA" w14:paraId="089B1D45"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780414" w14:paraId="41BE99D6" w14:textId="77777777">
      <w:pPr>
        <w:spacing w:after="200"/>
        <w:ind w:left="360"/>
        <w:rPr>
          <w:rFonts w:eastAsia="Calibri"/>
        </w:rPr>
      </w:pPr>
      <w:r w:rsidRPr="00780414">
        <w:rPr>
          <w:rFonts w:eastAsia="Calibri"/>
        </w:rPr>
        <w:t xml:space="preserve">This section is not applicable.  There are no </w:t>
      </w:r>
      <w:r w:rsidRPr="00780414">
        <w:rPr>
          <w:rFonts w:eastAsia="Calibri"/>
        </w:rPr>
        <w:t>special circumstances</w:t>
      </w:r>
      <w:r w:rsidRPr="00780414">
        <w:rPr>
          <w:rFonts w:eastAsia="Calibri"/>
        </w:rPr>
        <w:t xml:space="preserve"> for this collection of information.</w:t>
      </w:r>
    </w:p>
    <w:p w:rsidR="00357C8A" w:rsidRPr="00357C8A" w:rsidP="006705EA" w14:paraId="4820824E"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B023AC" w:rsidP="00B023AC" w14:paraId="2233C2D4" w14:textId="4260A58D">
      <w:pPr>
        <w:spacing w:after="200"/>
        <w:ind w:left="360"/>
        <w:rPr>
          <w:rFonts w:eastAsia="Calibri"/>
        </w:rPr>
      </w:pPr>
      <w:r w:rsidRPr="5C68DB5D">
        <w:rPr>
          <w:rFonts w:eastAsia="Calibri"/>
        </w:rPr>
        <w:t>In the Federal Register of</w:t>
      </w:r>
      <w:r w:rsidRPr="5C68DB5D" w:rsidR="00CA1153">
        <w:rPr>
          <w:rFonts w:eastAsia="Calibri"/>
        </w:rPr>
        <w:t xml:space="preserve"> June</w:t>
      </w:r>
      <w:r w:rsidRPr="5C68DB5D">
        <w:rPr>
          <w:rFonts w:eastAsia="Calibri"/>
        </w:rPr>
        <w:t xml:space="preserve"> </w:t>
      </w:r>
      <w:r w:rsidRPr="5C68DB5D" w:rsidR="00CA1153">
        <w:rPr>
          <w:rFonts w:eastAsia="Calibri"/>
        </w:rPr>
        <w:t>27</w:t>
      </w:r>
      <w:r w:rsidRPr="5C68DB5D">
        <w:rPr>
          <w:rFonts w:eastAsia="Calibri"/>
        </w:rPr>
        <w:t>, 2022 (</w:t>
      </w:r>
      <w:r w:rsidRPr="5C68DB5D" w:rsidR="009370EE">
        <w:rPr>
          <w:rFonts w:eastAsia="Calibri"/>
        </w:rPr>
        <w:t>87</w:t>
      </w:r>
      <w:r w:rsidRPr="5C68DB5D">
        <w:rPr>
          <w:rFonts w:eastAsia="Calibri"/>
        </w:rPr>
        <w:t xml:space="preserve"> FR </w:t>
      </w:r>
      <w:r w:rsidRPr="5C68DB5D" w:rsidR="009370EE">
        <w:rPr>
          <w:rFonts w:eastAsia="Calibri"/>
        </w:rPr>
        <w:t>38160</w:t>
      </w:r>
      <w:r w:rsidRPr="5C68DB5D">
        <w:rPr>
          <w:rFonts w:eastAsia="Calibri"/>
        </w:rPr>
        <w:t xml:space="preserve">), FDA published a 60-day notice requesting public comment on the proposed collection of information. </w:t>
      </w:r>
      <w:r w:rsidR="00060FDE">
        <w:rPr>
          <w:rFonts w:eastAsia="Calibri"/>
        </w:rPr>
        <w:t xml:space="preserve">One non-PRA </w:t>
      </w:r>
      <w:r w:rsidRPr="5C68DB5D">
        <w:rPr>
          <w:rFonts w:eastAsia="Calibri"/>
        </w:rPr>
        <w:t>comment</w:t>
      </w:r>
      <w:r w:rsidRPr="5C68DB5D" w:rsidR="494AA56F">
        <w:rPr>
          <w:rFonts w:eastAsia="Calibri"/>
        </w:rPr>
        <w:t xml:space="preserve"> </w:t>
      </w:r>
      <w:r w:rsidRPr="5C68DB5D">
        <w:rPr>
          <w:rFonts w:eastAsia="Calibri"/>
        </w:rPr>
        <w:t>w</w:t>
      </w:r>
      <w:r w:rsidR="00060FDE">
        <w:rPr>
          <w:rFonts w:eastAsia="Calibri"/>
        </w:rPr>
        <w:t>as</w:t>
      </w:r>
      <w:r w:rsidRPr="5C68DB5D">
        <w:rPr>
          <w:rFonts w:eastAsia="Calibri"/>
        </w:rPr>
        <w:t xml:space="preserve"> received.   </w:t>
      </w:r>
    </w:p>
    <w:p w:rsidR="00357C8A" w:rsidRPr="00357C8A" w:rsidP="006705EA" w14:paraId="36C6065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023AC" w:rsidP="00B023AC" w14:paraId="65EE5B2C" w14:textId="77777777">
      <w:pPr>
        <w:spacing w:after="200"/>
        <w:ind w:left="360"/>
        <w:rPr>
          <w:rFonts w:eastAsia="Calibri"/>
          <w:i/>
        </w:rPr>
      </w:pPr>
      <w:r w:rsidRPr="002074FE">
        <w:rPr>
          <w:rFonts w:eastAsia="Calibri"/>
        </w:rPr>
        <w:t>There are no incentives, payments or gifts associated with this information collection.</w:t>
      </w:r>
    </w:p>
    <w:p w:rsidR="00357C8A" w:rsidRPr="00357C8A" w:rsidP="006705EA" w14:paraId="042C94D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C7684" w:rsidRPr="001C7684" w:rsidP="001C7684" w14:paraId="3D566DCB" w14:textId="263B5E1E">
      <w:pPr>
        <w:ind w:left="360"/>
        <w:rPr>
          <w:rFonts w:eastAsia="Calibri"/>
        </w:rPr>
      </w:pPr>
      <w:r w:rsidRPr="001C7684">
        <w:rPr>
          <w:rFonts w:eastAsia="Calibri"/>
        </w:rPr>
        <w:t xml:space="preserve">Among the laws governing the disclosure of </w:t>
      </w:r>
      <w:r w:rsidR="00CA1B8B">
        <w:rPr>
          <w:rFonts w:eastAsia="Calibri"/>
        </w:rPr>
        <w:t xml:space="preserve">information </w:t>
      </w:r>
      <w:r w:rsidRPr="001C7684">
        <w:rPr>
          <w:rFonts w:eastAsia="Calibri"/>
        </w:rPr>
        <w:t xml:space="preserve">submitted under section </w:t>
      </w:r>
      <w:r w:rsidR="00CA1B8B">
        <w:rPr>
          <w:rFonts w:eastAsia="Calibri"/>
        </w:rPr>
        <w:t>102</w:t>
      </w:r>
      <w:r w:rsidRPr="001C7684">
        <w:rPr>
          <w:rFonts w:eastAsia="Calibri"/>
        </w:rPr>
        <w:t xml:space="preserve"> of the FD&amp;C Act are the Freedom of Information Act (FOIA) (5 U.S.C. 552) and FDA’s implementing regulations.  Under FOIA, the public has broad access to agency records, unless the records (or a part of the records) are protected from disclosure by any of the law’s nine exemptions.   </w:t>
      </w:r>
    </w:p>
    <w:p w:rsidR="001C7684" w:rsidRPr="001C7684" w:rsidP="001C7684" w14:paraId="37BEEA5A" w14:textId="77777777">
      <w:pPr>
        <w:ind w:left="360"/>
        <w:rPr>
          <w:rFonts w:eastAsia="Calibri"/>
        </w:rPr>
      </w:pPr>
    </w:p>
    <w:p w:rsidR="00F00339" w:rsidRPr="00F00339" w:rsidP="00F00339" w14:paraId="41D9FE4B" w14:textId="6E667EB1">
      <w:pPr>
        <w:ind w:left="360"/>
        <w:rPr>
          <w:rFonts w:eastAsia="Calibri"/>
        </w:rPr>
      </w:pPr>
      <w:bookmarkStart w:id="0" w:name="_Hlk116998541"/>
      <w:r w:rsidRPr="53036C2A">
        <w:rPr>
          <w:rFonts w:eastAsia="Calibri"/>
        </w:rPr>
        <w:t xml:space="preserve">CTP also identified privacy compliance requirements and coordinated with FDA’s Privacy Officer to ensure responsible offices in CTP satisfy all in accordance with law and policy. </w:t>
      </w:r>
      <w:r w:rsidRPr="00927DC6" w:rsidR="00927DC6">
        <w:rPr>
          <w:rFonts w:eastAsia="Calibri"/>
        </w:rPr>
        <w:t>FDA's web and privacy policies are</w:t>
      </w:r>
      <w:r w:rsidR="00927DC6">
        <w:rPr>
          <w:rFonts w:eastAsia="Calibri"/>
        </w:rPr>
        <w:t xml:space="preserve"> </w:t>
      </w:r>
      <w:r w:rsidRPr="00927DC6" w:rsidR="00927DC6">
        <w:rPr>
          <w:rFonts w:eastAsia="Calibri"/>
        </w:rPr>
        <w:t>provided on all FDA internet (FDA.gov)</w:t>
      </w:r>
      <w:r w:rsidR="00927DC6">
        <w:rPr>
          <w:rFonts w:eastAsia="Calibri"/>
        </w:rPr>
        <w:t xml:space="preserve"> pages the PIA provides further notice.</w:t>
      </w:r>
      <w:r>
        <w:rPr>
          <w:rStyle w:val="FootnoteReference"/>
          <w:rFonts w:eastAsia="Calibri"/>
        </w:rPr>
        <w:footnoteReference w:id="3"/>
      </w:r>
      <w:r w:rsidR="00927DC6">
        <w:rPr>
          <w:rFonts w:eastAsia="Calibri"/>
        </w:rPr>
        <w:t xml:space="preserve"> </w:t>
      </w:r>
      <w:r w:rsidRPr="00F00339">
        <w:rPr>
          <w:rFonts w:eastAsia="Calibri"/>
        </w:rPr>
        <w:t>The Center for Tobacco Products (CTP)</w:t>
      </w:r>
    </w:p>
    <w:p w:rsidR="00357C8A" w:rsidRPr="001C7684" w:rsidP="00F00339" w14:paraId="32313DDC" w14:textId="48F47E57">
      <w:pPr>
        <w:ind w:left="360"/>
        <w:rPr>
          <w:rFonts w:eastAsia="Calibri"/>
        </w:rPr>
      </w:pPr>
      <w:r w:rsidRPr="00F00339">
        <w:rPr>
          <w:rFonts w:eastAsia="Calibri"/>
        </w:rPr>
        <w:t>Electronic Submissions system (</w:t>
      </w:r>
      <w:r w:rsidRPr="00F00339">
        <w:rPr>
          <w:rFonts w:eastAsia="Calibri"/>
        </w:rPr>
        <w:t>eSub</w:t>
      </w:r>
      <w:r w:rsidRPr="00F00339">
        <w:rPr>
          <w:rFonts w:eastAsia="Calibri"/>
        </w:rPr>
        <w:t>) is a</w:t>
      </w:r>
      <w:r>
        <w:rPr>
          <w:rFonts w:eastAsia="Calibri"/>
        </w:rPr>
        <w:t xml:space="preserve"> </w:t>
      </w:r>
      <w:r w:rsidRPr="00F00339">
        <w:rPr>
          <w:rFonts w:eastAsia="Calibri"/>
        </w:rPr>
        <w:t>suite of database-supported applications</w:t>
      </w:r>
      <w:r>
        <w:rPr>
          <w:rFonts w:eastAsia="Calibri"/>
        </w:rPr>
        <w:t xml:space="preserve"> </w:t>
      </w:r>
      <w:r w:rsidRPr="00F00339">
        <w:rPr>
          <w:rFonts w:eastAsia="Calibri"/>
        </w:rPr>
        <w:t>that</w:t>
      </w:r>
      <w:r>
        <w:rPr>
          <w:rFonts w:eastAsia="Calibri"/>
        </w:rPr>
        <w:t xml:space="preserve"> </w:t>
      </w:r>
      <w:r w:rsidRPr="00F00339">
        <w:rPr>
          <w:rFonts w:eastAsia="Calibri"/>
        </w:rPr>
        <w:t>facilitates the collection, logging,</w:t>
      </w:r>
      <w:r>
        <w:rPr>
          <w:rFonts w:eastAsia="Calibri"/>
        </w:rPr>
        <w:t xml:space="preserve"> </w:t>
      </w:r>
      <w:r w:rsidRPr="00F00339">
        <w:rPr>
          <w:rFonts w:eastAsia="Calibri"/>
        </w:rPr>
        <w:t>tracking, and retrieval of documents</w:t>
      </w:r>
      <w:r>
        <w:rPr>
          <w:rFonts w:eastAsia="Calibri"/>
        </w:rPr>
        <w:t xml:space="preserve"> </w:t>
      </w:r>
      <w:r w:rsidRPr="00F00339">
        <w:rPr>
          <w:rFonts w:eastAsia="Calibri"/>
        </w:rPr>
        <w:t>provided to the FDA by the tobacco</w:t>
      </w:r>
      <w:r>
        <w:rPr>
          <w:rFonts w:eastAsia="Calibri"/>
        </w:rPr>
        <w:t xml:space="preserve"> </w:t>
      </w:r>
      <w:r w:rsidRPr="00F00339">
        <w:rPr>
          <w:rFonts w:eastAsia="Calibri"/>
        </w:rPr>
        <w:t>industry and others (e.g., adverse</w:t>
      </w:r>
      <w:r>
        <w:rPr>
          <w:rFonts w:eastAsia="Calibri"/>
        </w:rPr>
        <w:t xml:space="preserve"> </w:t>
      </w:r>
      <w:r w:rsidRPr="00F00339">
        <w:rPr>
          <w:rFonts w:eastAsia="Calibri"/>
        </w:rPr>
        <w:t>experience reports from the general public).</w:t>
      </w:r>
      <w:r>
        <w:rPr>
          <w:rFonts w:eastAsia="Calibri"/>
        </w:rPr>
        <w:t xml:space="preserve"> </w:t>
      </w:r>
      <w:r w:rsidRPr="00F00339">
        <w:rPr>
          <w:rFonts w:eastAsia="Calibri"/>
        </w:rPr>
        <w:t>CTP uses this data to evaluate tobacco</w:t>
      </w:r>
      <w:r>
        <w:rPr>
          <w:rFonts w:eastAsia="Calibri"/>
        </w:rPr>
        <w:t xml:space="preserve"> </w:t>
      </w:r>
      <w:r w:rsidRPr="00F00339">
        <w:rPr>
          <w:rFonts w:eastAsia="Calibri"/>
        </w:rPr>
        <w:t>products, develop policy, and assess</w:t>
      </w:r>
      <w:r>
        <w:rPr>
          <w:rFonts w:eastAsia="Calibri"/>
        </w:rPr>
        <w:t xml:space="preserve"> </w:t>
      </w:r>
      <w:r w:rsidRPr="00F00339">
        <w:rPr>
          <w:rFonts w:eastAsia="Calibri"/>
        </w:rPr>
        <w:t>industry compliance with the Family</w:t>
      </w:r>
      <w:r>
        <w:rPr>
          <w:rFonts w:eastAsia="Calibri"/>
        </w:rPr>
        <w:t xml:space="preserve"> </w:t>
      </w:r>
      <w:r w:rsidRPr="00F00339">
        <w:rPr>
          <w:rFonts w:eastAsia="Calibri"/>
        </w:rPr>
        <w:t>Smoking Prevention</w:t>
      </w:r>
      <w:r>
        <w:rPr>
          <w:rFonts w:eastAsia="Calibri"/>
        </w:rPr>
        <w:t xml:space="preserve"> </w:t>
      </w:r>
      <w:r w:rsidRPr="00F00339">
        <w:rPr>
          <w:rFonts w:eastAsia="Calibri"/>
        </w:rPr>
        <w:t>and Tobacco Control</w:t>
      </w:r>
      <w:r>
        <w:rPr>
          <w:rFonts w:eastAsia="Calibri"/>
        </w:rPr>
        <w:t xml:space="preserve"> Ac</w:t>
      </w:r>
      <w:r w:rsidRPr="00F00339">
        <w:rPr>
          <w:rFonts w:eastAsia="Calibri"/>
        </w:rPr>
        <w:t>t</w:t>
      </w:r>
      <w:r>
        <w:rPr>
          <w:rFonts w:eastAsia="Calibri"/>
        </w:rPr>
        <w:t xml:space="preserve">. </w:t>
      </w:r>
      <w:r w:rsidRPr="53036C2A">
        <w:t>CTP received HHS approval on the privacy impact assessment</w:t>
      </w:r>
      <w:r>
        <w:t xml:space="preserve"> for the Electronic Submissions system</w:t>
      </w:r>
      <w:r w:rsidRPr="53036C2A">
        <w:t xml:space="preserve"> and was assigned PIA ID: 2060831.</w:t>
      </w:r>
    </w:p>
    <w:bookmarkEnd w:id="0"/>
    <w:p w:rsidR="001075D3" w:rsidP="001075D3" w14:paraId="261EFF7C" w14:textId="0962B6D1">
      <w:pPr>
        <w:ind w:left="720"/>
      </w:pPr>
    </w:p>
    <w:p w:rsidR="00357C8A" w:rsidRPr="00357C8A" w:rsidP="006705EA" w14:paraId="0E3BF45E"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977CC6" w:rsidP="00977CC6" w14:paraId="2D1A7618" w14:textId="33362C8A">
      <w:pPr>
        <w:spacing w:after="200"/>
        <w:ind w:left="360"/>
        <w:rPr>
          <w:rFonts w:eastAsia="Calibri"/>
          <w:iCs/>
          <w:color w:val="FF0000"/>
        </w:rPr>
      </w:pPr>
      <w:r w:rsidRPr="00977CC6">
        <w:rPr>
          <w:rFonts w:eastAsia="Calibri"/>
          <w:iCs/>
        </w:rPr>
        <w:t>The collection of information does not involve sensitive questions</w:t>
      </w:r>
      <w:r w:rsidRPr="00977CC6" w:rsidR="00977CC6">
        <w:rPr>
          <w:rFonts w:eastAsia="Calibri"/>
          <w:iCs/>
        </w:rPr>
        <w:t>.</w:t>
      </w:r>
      <w:r w:rsidR="004E788E">
        <w:rPr>
          <w:rFonts w:eastAsia="Calibri"/>
          <w:iCs/>
        </w:rPr>
        <w:br/>
      </w:r>
      <w:r w:rsidRPr="00977CC6">
        <w:rPr>
          <w:rFonts w:eastAsia="Calibri"/>
          <w:iCs/>
          <w:color w:val="FF0000"/>
        </w:rPr>
        <w:t xml:space="preserve"> </w:t>
      </w:r>
    </w:p>
    <w:p w:rsidR="00357C8A" w:rsidRPr="00357C8A" w:rsidP="006705EA" w14:paraId="6B31362E"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977CC6" w:rsidP="00977CC6" w14:paraId="59F87D24" w14:textId="5D1A692A">
      <w:pPr>
        <w:spacing w:after="200"/>
        <w:ind w:left="360"/>
        <w:rPr>
          <w:rFonts w:eastAsia="Calibri"/>
        </w:rPr>
      </w:pPr>
      <w:r w:rsidRPr="005C71CA">
        <w:rPr>
          <w:rFonts w:eastAsia="Calibri"/>
        </w:rPr>
        <w:t>12a.  Annualized Hour Burden Estimat</w:t>
      </w:r>
      <w:r>
        <w:rPr>
          <w:rFonts w:eastAsia="Calibri"/>
        </w:rPr>
        <w:t>e</w:t>
      </w:r>
    </w:p>
    <w:tbl>
      <w:tblPr>
        <w:tblpPr w:leftFromText="180" w:rightFromText="180" w:vertAnchor="text" w:horzAnchor="margin" w:tblpY="205"/>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1"/>
        <w:gridCol w:w="1389"/>
        <w:gridCol w:w="1547"/>
        <w:gridCol w:w="1273"/>
        <w:gridCol w:w="1459"/>
        <w:gridCol w:w="994"/>
      </w:tblGrid>
      <w:tr w14:paraId="0607FEC4" w14:textId="77777777" w:rsidTr="004E788E">
        <w:tblPrEx>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
          <w:tblHeader/>
        </w:trPr>
        <w:tc>
          <w:tcPr>
            <w:tcW w:w="5000" w:type="pct"/>
            <w:gridSpan w:val="6"/>
            <w:tcBorders>
              <w:top w:val="nil"/>
              <w:left w:val="nil"/>
              <w:bottom w:val="single" w:sz="4" w:space="0" w:color="auto"/>
              <w:right w:val="nil"/>
            </w:tcBorders>
            <w:hideMark/>
          </w:tcPr>
          <w:p w:rsidR="00780414" w:rsidRPr="009356F3" w:rsidP="00780414" w14:paraId="2CE5C6CA" w14:textId="77777777">
            <w:pPr>
              <w:jc w:val="center"/>
              <w:rPr>
                <w:lang w:bidi="he-IL"/>
              </w:rPr>
            </w:pPr>
            <w:r w:rsidRPr="009356F3">
              <w:rPr>
                <w:lang w:bidi="he-IL"/>
              </w:rPr>
              <w:t>Table 1.--Estimated Annual Reporting Burden</w:t>
            </w:r>
          </w:p>
        </w:tc>
      </w:tr>
      <w:tr w14:paraId="7B5C7BEB" w14:textId="77777777" w:rsidTr="004E788E">
        <w:tblPrEx>
          <w:tblW w:w="4952" w:type="pct"/>
          <w:tblLook w:val="01E0"/>
        </w:tblPrEx>
        <w:trPr>
          <w:cantSplit/>
          <w:trHeight w:val="36"/>
          <w:tblHeader/>
        </w:trPr>
        <w:tc>
          <w:tcPr>
            <w:tcW w:w="1461" w:type="pct"/>
            <w:tcBorders>
              <w:top w:val="nil"/>
              <w:left w:val="single" w:sz="4" w:space="0" w:color="auto"/>
              <w:bottom w:val="single" w:sz="4" w:space="0" w:color="auto"/>
              <w:right w:val="single" w:sz="4" w:space="0" w:color="auto"/>
            </w:tcBorders>
            <w:vAlign w:val="center"/>
            <w:hideMark/>
          </w:tcPr>
          <w:p w:rsidR="00780414" w:rsidRPr="00977CC6" w:rsidP="00780414" w14:paraId="7BC54E56" w14:textId="77777777">
            <w:pPr>
              <w:jc w:val="center"/>
              <w:rPr>
                <w:sz w:val="22"/>
                <w:szCs w:val="22"/>
                <w:lang w:bidi="he-IL"/>
              </w:rPr>
            </w:pPr>
            <w:r w:rsidRPr="00977CC6">
              <w:rPr>
                <w:sz w:val="22"/>
                <w:szCs w:val="22"/>
                <w:lang w:bidi="he-IL"/>
              </w:rPr>
              <w:t>21 CFR Section</w:t>
            </w:r>
          </w:p>
        </w:tc>
        <w:tc>
          <w:tcPr>
            <w:tcW w:w="738" w:type="pct"/>
            <w:tcBorders>
              <w:top w:val="nil"/>
              <w:left w:val="single" w:sz="4" w:space="0" w:color="auto"/>
              <w:bottom w:val="single" w:sz="4" w:space="0" w:color="auto"/>
              <w:right w:val="single" w:sz="4" w:space="0" w:color="auto"/>
            </w:tcBorders>
            <w:vAlign w:val="center"/>
            <w:hideMark/>
          </w:tcPr>
          <w:p w:rsidR="00780414" w:rsidRPr="00977CC6" w:rsidP="00780414" w14:paraId="5B5B2EBA" w14:textId="1DD946E6">
            <w:pPr>
              <w:jc w:val="center"/>
              <w:rPr>
                <w:sz w:val="22"/>
                <w:szCs w:val="22"/>
                <w:lang w:bidi="he-IL"/>
              </w:rPr>
            </w:pPr>
            <w:r w:rsidRPr="00977CC6">
              <w:rPr>
                <w:sz w:val="22"/>
                <w:szCs w:val="22"/>
                <w:lang w:bidi="he-IL"/>
              </w:rPr>
              <w:t>No. of Respondents</w:t>
            </w:r>
          </w:p>
        </w:tc>
        <w:tc>
          <w:tcPr>
            <w:tcW w:w="822" w:type="pct"/>
            <w:tcBorders>
              <w:top w:val="nil"/>
              <w:left w:val="single" w:sz="4" w:space="0" w:color="auto"/>
              <w:bottom w:val="single" w:sz="4" w:space="0" w:color="auto"/>
              <w:right w:val="single" w:sz="4" w:space="0" w:color="auto"/>
            </w:tcBorders>
            <w:vAlign w:val="center"/>
            <w:hideMark/>
          </w:tcPr>
          <w:p w:rsidR="00780414" w:rsidRPr="00977CC6" w:rsidP="00780414" w14:paraId="541C8E94" w14:textId="77777777">
            <w:pPr>
              <w:jc w:val="center"/>
              <w:rPr>
                <w:sz w:val="22"/>
                <w:szCs w:val="22"/>
                <w:lang w:bidi="he-IL"/>
              </w:rPr>
            </w:pPr>
            <w:r w:rsidRPr="00977CC6">
              <w:rPr>
                <w:bCs/>
                <w:sz w:val="22"/>
                <w:szCs w:val="22"/>
                <w:lang w:bidi="he-IL"/>
              </w:rPr>
              <w:t>No. of Responses per Respondent</w:t>
            </w:r>
          </w:p>
        </w:tc>
        <w:tc>
          <w:tcPr>
            <w:tcW w:w="676" w:type="pct"/>
            <w:tcBorders>
              <w:top w:val="nil"/>
              <w:left w:val="single" w:sz="4" w:space="0" w:color="auto"/>
              <w:bottom w:val="single" w:sz="4" w:space="0" w:color="auto"/>
              <w:right w:val="single" w:sz="4" w:space="0" w:color="auto"/>
            </w:tcBorders>
            <w:vAlign w:val="center"/>
            <w:hideMark/>
          </w:tcPr>
          <w:p w:rsidR="00780414" w:rsidRPr="00977CC6" w:rsidP="00780414" w14:paraId="6696AB04" w14:textId="77777777">
            <w:pPr>
              <w:jc w:val="center"/>
              <w:rPr>
                <w:sz w:val="22"/>
                <w:szCs w:val="22"/>
                <w:lang w:bidi="he-IL"/>
              </w:rPr>
            </w:pPr>
            <w:r w:rsidRPr="00977CC6">
              <w:rPr>
                <w:sz w:val="22"/>
                <w:szCs w:val="22"/>
                <w:lang w:bidi="he-IL"/>
              </w:rPr>
              <w:t>Total Annual Responses</w:t>
            </w:r>
          </w:p>
        </w:tc>
        <w:tc>
          <w:tcPr>
            <w:tcW w:w="775" w:type="pct"/>
            <w:tcBorders>
              <w:top w:val="nil"/>
              <w:left w:val="single" w:sz="4" w:space="0" w:color="auto"/>
              <w:bottom w:val="single" w:sz="4" w:space="0" w:color="auto"/>
              <w:right w:val="single" w:sz="4" w:space="0" w:color="auto"/>
            </w:tcBorders>
            <w:vAlign w:val="center"/>
            <w:hideMark/>
          </w:tcPr>
          <w:p w:rsidR="00780414" w:rsidRPr="00977CC6" w:rsidP="00780414" w14:paraId="3D2B9DD5" w14:textId="77777777">
            <w:pPr>
              <w:jc w:val="center"/>
              <w:rPr>
                <w:sz w:val="22"/>
                <w:szCs w:val="22"/>
                <w:lang w:bidi="he-IL"/>
              </w:rPr>
            </w:pPr>
            <w:r w:rsidRPr="00977CC6">
              <w:rPr>
                <w:bCs/>
                <w:sz w:val="22"/>
                <w:szCs w:val="22"/>
                <w:lang w:bidi="he-IL"/>
              </w:rPr>
              <w:t>Average Burden per Response</w:t>
            </w:r>
          </w:p>
        </w:tc>
        <w:tc>
          <w:tcPr>
            <w:tcW w:w="526" w:type="pct"/>
            <w:tcBorders>
              <w:top w:val="nil"/>
              <w:left w:val="single" w:sz="4" w:space="0" w:color="auto"/>
              <w:bottom w:val="single" w:sz="4" w:space="0" w:color="auto"/>
              <w:right w:val="single" w:sz="4" w:space="0" w:color="auto"/>
            </w:tcBorders>
            <w:vAlign w:val="center"/>
            <w:hideMark/>
          </w:tcPr>
          <w:p w:rsidR="00780414" w:rsidRPr="00977CC6" w:rsidP="00780414" w14:paraId="4D52C500" w14:textId="77777777">
            <w:pPr>
              <w:jc w:val="center"/>
              <w:rPr>
                <w:sz w:val="22"/>
                <w:szCs w:val="22"/>
                <w:lang w:bidi="he-IL"/>
              </w:rPr>
            </w:pPr>
            <w:r w:rsidRPr="00977CC6">
              <w:rPr>
                <w:sz w:val="22"/>
                <w:szCs w:val="22"/>
                <w:lang w:bidi="he-IL"/>
              </w:rPr>
              <w:t>Total Hours</w:t>
            </w:r>
          </w:p>
        </w:tc>
      </w:tr>
      <w:tr w14:paraId="42BFD253" w14:textId="77777777" w:rsidTr="004E788E">
        <w:tblPrEx>
          <w:tblW w:w="4952" w:type="pct"/>
          <w:tblLook w:val="01E0"/>
        </w:tblPrEx>
        <w:trPr>
          <w:cantSplit/>
          <w:trHeight w:val="1103"/>
        </w:trPr>
        <w:tc>
          <w:tcPr>
            <w:tcW w:w="1461" w:type="pct"/>
            <w:tcBorders>
              <w:top w:val="single" w:sz="4" w:space="0" w:color="auto"/>
              <w:left w:val="single" w:sz="4" w:space="0" w:color="auto"/>
              <w:bottom w:val="single" w:sz="4" w:space="0" w:color="auto"/>
              <w:right w:val="single" w:sz="4" w:space="0" w:color="auto"/>
            </w:tcBorders>
            <w:vAlign w:val="center"/>
            <w:hideMark/>
          </w:tcPr>
          <w:p w:rsidR="00780414" w:rsidRPr="00977CC6" w:rsidP="00255B21" w14:paraId="260AEE4B" w14:textId="4C76D5C5">
            <w:pPr>
              <w:rPr>
                <w:sz w:val="22"/>
                <w:szCs w:val="22"/>
                <w:lang w:bidi="he-IL"/>
              </w:rPr>
            </w:pPr>
            <w:r w:rsidRPr="00977CC6">
              <w:rPr>
                <w:sz w:val="22"/>
                <w:szCs w:val="22"/>
                <w:lang w:bidi="he-IL"/>
              </w:rPr>
              <w:t>1140.30</w:t>
            </w:r>
            <w:r w:rsidRPr="00EE2C2E" w:rsidR="00EE2C2E">
              <w:rPr>
                <w:sz w:val="22"/>
                <w:szCs w:val="22"/>
                <w:lang w:bidi="he-IL"/>
              </w:rPr>
              <w:t>(a)(2)</w:t>
            </w:r>
            <w:r w:rsidR="00256819">
              <w:rPr>
                <w:sz w:val="22"/>
                <w:szCs w:val="22"/>
                <w:lang w:bidi="he-IL"/>
              </w:rPr>
              <w:t>;</w:t>
            </w:r>
            <w:r w:rsidR="00EE2C2E">
              <w:t xml:space="preserve"> </w:t>
            </w:r>
            <w:r w:rsidRPr="00255B21" w:rsidR="00EE2C2E">
              <w:rPr>
                <w:sz w:val="22"/>
                <w:szCs w:val="22"/>
              </w:rPr>
              <w:t xml:space="preserve">Notification of </w:t>
            </w:r>
            <w:r w:rsidR="00256819">
              <w:rPr>
                <w:sz w:val="22"/>
                <w:szCs w:val="22"/>
              </w:rPr>
              <w:t>o</w:t>
            </w:r>
            <w:r w:rsidRPr="00255B21" w:rsidR="00EE2C2E">
              <w:rPr>
                <w:sz w:val="22"/>
                <w:szCs w:val="22"/>
              </w:rPr>
              <w:t xml:space="preserve">ther </w:t>
            </w:r>
            <w:r w:rsidR="00256819">
              <w:rPr>
                <w:sz w:val="22"/>
                <w:szCs w:val="22"/>
              </w:rPr>
              <w:t>a</w:t>
            </w:r>
            <w:r w:rsidRPr="00255B21" w:rsidR="00EE2C2E">
              <w:rPr>
                <w:sz w:val="22"/>
                <w:szCs w:val="22"/>
              </w:rPr>
              <w:t xml:space="preserve">dvertising </w:t>
            </w:r>
            <w:r w:rsidR="00DC765A">
              <w:rPr>
                <w:sz w:val="22"/>
                <w:szCs w:val="22"/>
              </w:rPr>
              <w:t>or</w:t>
            </w:r>
            <w:r w:rsidRPr="00255B21" w:rsidR="00EE2C2E">
              <w:rPr>
                <w:sz w:val="22"/>
                <w:szCs w:val="22"/>
              </w:rPr>
              <w:t xml:space="preserve"> </w:t>
            </w:r>
            <w:r w:rsidR="00256819">
              <w:rPr>
                <w:sz w:val="22"/>
                <w:szCs w:val="22"/>
              </w:rPr>
              <w:t>l</w:t>
            </w:r>
            <w:r w:rsidRPr="00255B21" w:rsidR="00EE2C2E">
              <w:rPr>
                <w:sz w:val="22"/>
                <w:szCs w:val="22"/>
              </w:rPr>
              <w:t xml:space="preserve">abeling </w:t>
            </w:r>
            <w:r w:rsidR="00256819">
              <w:rPr>
                <w:sz w:val="22"/>
                <w:szCs w:val="22"/>
              </w:rPr>
              <w:t>m</w:t>
            </w:r>
            <w:r w:rsidRPr="00255B21" w:rsidR="00EE2C2E">
              <w:rPr>
                <w:sz w:val="22"/>
                <w:szCs w:val="22"/>
              </w:rPr>
              <w:t>edium</w:t>
            </w:r>
          </w:p>
        </w:tc>
        <w:tc>
          <w:tcPr>
            <w:tcW w:w="738" w:type="pct"/>
            <w:tcBorders>
              <w:top w:val="single" w:sz="4" w:space="0" w:color="auto"/>
              <w:left w:val="single" w:sz="4" w:space="0" w:color="auto"/>
              <w:bottom w:val="single" w:sz="4" w:space="0" w:color="auto"/>
              <w:right w:val="single" w:sz="4" w:space="0" w:color="auto"/>
            </w:tcBorders>
            <w:vAlign w:val="center"/>
            <w:hideMark/>
          </w:tcPr>
          <w:p w:rsidR="00780414" w:rsidRPr="00977CC6" w:rsidP="00780414" w14:paraId="0C6479E8" w14:textId="77777777">
            <w:pPr>
              <w:jc w:val="center"/>
              <w:rPr>
                <w:sz w:val="22"/>
                <w:szCs w:val="22"/>
                <w:lang w:bidi="he-IL"/>
              </w:rPr>
            </w:pPr>
            <w:r w:rsidRPr="00977CC6">
              <w:rPr>
                <w:sz w:val="22"/>
                <w:szCs w:val="22"/>
                <w:lang w:bidi="he-IL"/>
              </w:rPr>
              <w:t>25</w:t>
            </w:r>
          </w:p>
        </w:tc>
        <w:tc>
          <w:tcPr>
            <w:tcW w:w="822" w:type="pct"/>
            <w:tcBorders>
              <w:top w:val="single" w:sz="4" w:space="0" w:color="auto"/>
              <w:left w:val="single" w:sz="4" w:space="0" w:color="auto"/>
              <w:bottom w:val="single" w:sz="4" w:space="0" w:color="auto"/>
              <w:right w:val="single" w:sz="4" w:space="0" w:color="auto"/>
            </w:tcBorders>
            <w:vAlign w:val="center"/>
            <w:hideMark/>
          </w:tcPr>
          <w:p w:rsidR="00780414" w:rsidRPr="00977CC6" w:rsidP="00780414" w14:paraId="05A577C6" w14:textId="77777777">
            <w:pPr>
              <w:jc w:val="center"/>
              <w:rPr>
                <w:sz w:val="22"/>
                <w:szCs w:val="22"/>
                <w:lang w:bidi="he-IL"/>
              </w:rPr>
            </w:pPr>
            <w:r w:rsidRPr="00977CC6">
              <w:rPr>
                <w:sz w:val="22"/>
                <w:szCs w:val="22"/>
                <w:lang w:bidi="he-IL"/>
              </w:rPr>
              <w:t>1</w:t>
            </w:r>
          </w:p>
        </w:tc>
        <w:tc>
          <w:tcPr>
            <w:tcW w:w="676" w:type="pct"/>
            <w:tcBorders>
              <w:top w:val="single" w:sz="4" w:space="0" w:color="auto"/>
              <w:left w:val="single" w:sz="4" w:space="0" w:color="auto"/>
              <w:bottom w:val="single" w:sz="4" w:space="0" w:color="auto"/>
              <w:right w:val="single" w:sz="4" w:space="0" w:color="auto"/>
            </w:tcBorders>
            <w:vAlign w:val="center"/>
            <w:hideMark/>
          </w:tcPr>
          <w:p w:rsidR="00780414" w:rsidRPr="00977CC6" w:rsidP="00780414" w14:paraId="37F0AD23" w14:textId="77777777">
            <w:pPr>
              <w:jc w:val="center"/>
              <w:rPr>
                <w:sz w:val="22"/>
                <w:szCs w:val="22"/>
                <w:lang w:bidi="he-IL"/>
              </w:rPr>
            </w:pPr>
            <w:r w:rsidRPr="00977CC6">
              <w:rPr>
                <w:sz w:val="22"/>
                <w:szCs w:val="22"/>
                <w:lang w:bidi="he-IL"/>
              </w:rPr>
              <w:t>25</w:t>
            </w:r>
          </w:p>
        </w:tc>
        <w:tc>
          <w:tcPr>
            <w:tcW w:w="775" w:type="pct"/>
            <w:tcBorders>
              <w:top w:val="single" w:sz="4" w:space="0" w:color="auto"/>
              <w:left w:val="single" w:sz="4" w:space="0" w:color="auto"/>
              <w:bottom w:val="single" w:sz="4" w:space="0" w:color="auto"/>
              <w:right w:val="single" w:sz="4" w:space="0" w:color="auto"/>
            </w:tcBorders>
            <w:vAlign w:val="center"/>
            <w:hideMark/>
          </w:tcPr>
          <w:p w:rsidR="00780414" w:rsidRPr="00977CC6" w:rsidP="00780414" w14:paraId="272EF920" w14:textId="77777777">
            <w:pPr>
              <w:jc w:val="center"/>
              <w:rPr>
                <w:sz w:val="22"/>
                <w:szCs w:val="22"/>
                <w:lang w:bidi="he-IL"/>
              </w:rPr>
            </w:pPr>
            <w:r w:rsidRPr="00977CC6">
              <w:rPr>
                <w:sz w:val="22"/>
                <w:szCs w:val="22"/>
                <w:lang w:bidi="he-IL"/>
              </w:rPr>
              <w:t>1</w:t>
            </w:r>
          </w:p>
        </w:tc>
        <w:tc>
          <w:tcPr>
            <w:tcW w:w="526" w:type="pct"/>
            <w:tcBorders>
              <w:top w:val="single" w:sz="4" w:space="0" w:color="auto"/>
              <w:left w:val="single" w:sz="4" w:space="0" w:color="auto"/>
              <w:bottom w:val="single" w:sz="4" w:space="0" w:color="auto"/>
              <w:right w:val="single" w:sz="4" w:space="0" w:color="auto"/>
            </w:tcBorders>
            <w:vAlign w:val="center"/>
            <w:hideMark/>
          </w:tcPr>
          <w:p w:rsidR="00780414" w:rsidRPr="00977CC6" w:rsidP="00780414" w14:paraId="5017F932" w14:textId="77777777">
            <w:pPr>
              <w:jc w:val="center"/>
              <w:rPr>
                <w:sz w:val="22"/>
                <w:szCs w:val="22"/>
                <w:lang w:bidi="he-IL"/>
              </w:rPr>
            </w:pPr>
            <w:r w:rsidRPr="00977CC6">
              <w:rPr>
                <w:sz w:val="22"/>
                <w:szCs w:val="22"/>
                <w:lang w:bidi="he-IL"/>
              </w:rPr>
              <w:t>25</w:t>
            </w:r>
          </w:p>
        </w:tc>
      </w:tr>
    </w:tbl>
    <w:p w:rsidR="00D0402C" w:rsidP="0022425B" w14:paraId="53F487DA" w14:textId="3A5DA522">
      <w:pPr>
        <w:spacing w:after="200"/>
        <w:ind w:left="360"/>
        <w:rPr>
          <w:rFonts w:eastAsia="Calibri"/>
          <w:iCs/>
        </w:rPr>
      </w:pPr>
    </w:p>
    <w:p w:rsidR="001052CE" w:rsidRPr="001052CE" w:rsidP="001052CE" w14:paraId="670C9DE5" w14:textId="77777777">
      <w:pPr>
        <w:spacing w:after="200"/>
        <w:ind w:left="360"/>
        <w:rPr>
          <w:rFonts w:eastAsia="Calibri"/>
        </w:rPr>
      </w:pPr>
      <w:r w:rsidRPr="001052CE">
        <w:rPr>
          <w:rFonts w:eastAsia="Calibri"/>
        </w:rPr>
        <w:t>The burden hour estimates for this collection of information were based on submissions regarding cigarette and smokeless tobacco product advertising expenditures.</w:t>
      </w:r>
    </w:p>
    <w:p w:rsidR="00977CC6" w:rsidP="001052CE" w14:paraId="6A124304" w14:textId="5FD99728">
      <w:pPr>
        <w:spacing w:after="200"/>
        <w:ind w:left="360"/>
        <w:rPr>
          <w:rFonts w:eastAsia="Calibri"/>
        </w:rPr>
      </w:pPr>
      <w:r w:rsidRPr="001052CE">
        <w:rPr>
          <w:rFonts w:eastAsia="Calibri"/>
        </w:rPr>
        <w:t xml:space="preserve">FDA estimates that approximately 25 respondents will submit an annual notice of alternative </w:t>
      </w:r>
      <w:r w:rsidR="00D63D76">
        <w:rPr>
          <w:rFonts w:eastAsia="Calibri"/>
        </w:rPr>
        <w:t>medi</w:t>
      </w:r>
      <w:r w:rsidR="00C44FEF">
        <w:rPr>
          <w:rFonts w:eastAsia="Calibri"/>
        </w:rPr>
        <w:t>um</w:t>
      </w:r>
      <w:r w:rsidRPr="001052CE">
        <w:rPr>
          <w:rFonts w:eastAsia="Calibri"/>
        </w:rPr>
        <w:t xml:space="preserve">, and the Agency has estimated it should take 1 hour to provide such notice.  </w:t>
      </w:r>
    </w:p>
    <w:p w:rsidR="00357C8A" w:rsidRPr="005C71CA" w:rsidP="00DC371B" w14:paraId="59A1CEB6" w14:textId="77777777">
      <w:pPr>
        <w:spacing w:after="200"/>
        <w:ind w:left="360"/>
        <w:rPr>
          <w:rFonts w:eastAsia="Calibri"/>
        </w:rPr>
      </w:pPr>
      <w:r w:rsidRPr="005C71CA">
        <w:rPr>
          <w:rFonts w:eastAsia="Calibri"/>
        </w:rPr>
        <w:t>12b.  Annualized Cost Burden Estimate</w:t>
      </w:r>
    </w:p>
    <w:p w:rsidR="00FE3AA8" w:rsidRPr="0070279F" w:rsidP="00780414" w14:paraId="2F84094A" w14:textId="3E31EDB8">
      <w:pPr>
        <w:ind w:left="360"/>
        <w:rPr>
          <w:rFonts w:eastAsia="Calibri"/>
        </w:rPr>
      </w:pPr>
      <w:r w:rsidRPr="0070279F">
        <w:rPr>
          <w:rFonts w:eastAsia="Calibri"/>
        </w:rPr>
        <w:t xml:space="preserve">The estimated annual reporting cost to respondents for </w:t>
      </w:r>
      <w:r>
        <w:rPr>
          <w:rFonts w:eastAsia="Calibri"/>
        </w:rPr>
        <w:t xml:space="preserve">this collection of information </w:t>
      </w:r>
      <w:r w:rsidRPr="0070279F">
        <w:rPr>
          <w:rFonts w:eastAsia="Calibri"/>
        </w:rPr>
        <w:t>is $</w:t>
      </w:r>
      <w:r w:rsidRPr="006F4B96" w:rsidR="006F4B96">
        <w:rPr>
          <w:rFonts w:eastAsia="Calibri"/>
        </w:rPr>
        <w:t>1,557.5</w:t>
      </w:r>
      <w:r w:rsidR="006F4B96">
        <w:rPr>
          <w:rFonts w:eastAsia="Calibri"/>
        </w:rPr>
        <w:t>0</w:t>
      </w:r>
      <w:r w:rsidRPr="0070279F">
        <w:rPr>
          <w:rFonts w:eastAsia="Calibri"/>
        </w:rPr>
        <w:t xml:space="preserve">.  This estimate assumes that tobacco </w:t>
      </w:r>
      <w:r>
        <w:rPr>
          <w:rFonts w:eastAsia="Calibri"/>
        </w:rPr>
        <w:t>industry</w:t>
      </w:r>
      <w:r w:rsidR="006F4B96">
        <w:rPr>
          <w:rFonts w:eastAsia="Calibri"/>
        </w:rPr>
        <w:t xml:space="preserve"> (all occupations)</w:t>
      </w:r>
      <w:r w:rsidRPr="0070279F">
        <w:rPr>
          <w:rFonts w:eastAsia="Calibri"/>
        </w:rPr>
        <w:t xml:space="preserve"> will account for the </w:t>
      </w:r>
      <w:r w:rsidRPr="001052CE" w:rsidR="006F4B96">
        <w:rPr>
          <w:rFonts w:eastAsia="Calibri"/>
        </w:rPr>
        <w:t>submissions regarding cigarette and smokeless tobacco product advertising</w:t>
      </w:r>
      <w:r w:rsidR="0084751C">
        <w:rPr>
          <w:rFonts w:eastAsia="Calibri"/>
        </w:rPr>
        <w:t xml:space="preserve"> or labeling</w:t>
      </w:r>
      <w:r w:rsidRPr="0070279F">
        <w:rPr>
          <w:rFonts w:eastAsia="Calibri"/>
        </w:rPr>
        <w:t xml:space="preserve"> at an average wage of $</w:t>
      </w:r>
      <w:r w:rsidR="006F4B96">
        <w:rPr>
          <w:rFonts w:eastAsia="Calibri"/>
        </w:rPr>
        <w:t>3</w:t>
      </w:r>
      <w:r w:rsidRPr="0070279F">
        <w:rPr>
          <w:rFonts w:eastAsia="Calibri"/>
        </w:rPr>
        <w:t>1.1</w:t>
      </w:r>
      <w:r w:rsidR="006F4B96">
        <w:rPr>
          <w:rFonts w:eastAsia="Calibri"/>
        </w:rPr>
        <w:t>5</w:t>
      </w:r>
      <w:r w:rsidRPr="0070279F">
        <w:rPr>
          <w:rFonts w:eastAsia="Calibri"/>
        </w:rPr>
        <w:t xml:space="preserve"> (Department of Labor’s Bureau of Labor Statistics for Tobacco Manufacturers (May 2021: </w:t>
      </w:r>
      <w:hyperlink r:id="rId10" w:history="1">
        <w:r w:rsidRPr="0070279F">
          <w:rPr>
            <w:rStyle w:val="Hyperlink"/>
            <w:rFonts w:eastAsia="Calibri"/>
          </w:rPr>
          <w:t>https://www.bls.gov/oes/current/naics4_312200.htm</w:t>
        </w:r>
      </w:hyperlink>
      <w:r w:rsidRPr="0070279F">
        <w:rPr>
          <w:rFonts w:eastAsia="Calibri"/>
        </w:rPr>
        <w:t>). We double this to account for benefits and overhead, yielding an hourly wage rate of $6</w:t>
      </w:r>
      <w:r w:rsidR="006F4B96">
        <w:rPr>
          <w:rFonts w:eastAsia="Calibri"/>
        </w:rPr>
        <w:t>2</w:t>
      </w:r>
      <w:r w:rsidRPr="0070279F">
        <w:rPr>
          <w:rFonts w:eastAsia="Calibri"/>
        </w:rPr>
        <w:t>.</w:t>
      </w:r>
      <w:r w:rsidR="006F4B96">
        <w:rPr>
          <w:rFonts w:eastAsia="Calibri"/>
        </w:rPr>
        <w:t>3</w:t>
      </w:r>
      <w:r w:rsidRPr="0070279F">
        <w:rPr>
          <w:rFonts w:eastAsia="Calibri"/>
        </w:rPr>
        <w:t>0.</w:t>
      </w:r>
    </w:p>
    <w:p w:rsidR="00256819" w14:paraId="7765284E" w14:textId="684A529B">
      <w:pPr>
        <w:rPr>
          <w:rFonts w:eastAsia="Calibri"/>
        </w:rPr>
      </w:pPr>
      <w:r>
        <w:rPr>
          <w:rFonts w:eastAsia="Calibri"/>
        </w:rPr>
        <w:br w:type="page"/>
      </w:r>
    </w:p>
    <w:p w:rsidR="00FE3AA8" w:rsidRPr="0070279F" w:rsidP="00FE3AA8" w14:paraId="064FE99E" w14:textId="77777777">
      <w:pPr>
        <w:ind w:left="360"/>
        <w:rPr>
          <w:rFonts w:eastAsia="Calibri"/>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0"/>
        <w:gridCol w:w="2083"/>
        <w:gridCol w:w="2770"/>
        <w:gridCol w:w="2228"/>
      </w:tblGrid>
      <w:tr w14:paraId="08527F1E" w14:textId="77777777" w:rsidTr="006F4B96">
        <w:tblPrEx>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07"/>
        </w:trPr>
        <w:tc>
          <w:tcPr>
            <w:tcW w:w="2500" w:type="dxa"/>
            <w:shd w:val="clear" w:color="auto" w:fill="auto"/>
            <w:vAlign w:val="center"/>
          </w:tcPr>
          <w:p w:rsidR="00FE3AA8" w:rsidRPr="004E788E" w:rsidP="006F4B96" w14:paraId="7EC84306" w14:textId="77777777">
            <w:pPr>
              <w:jc w:val="center"/>
              <w:rPr>
                <w:rFonts w:eastAsia="Calibri"/>
                <w:sz w:val="22"/>
                <w:szCs w:val="22"/>
              </w:rPr>
            </w:pPr>
            <w:r w:rsidRPr="004E788E">
              <w:rPr>
                <w:sz w:val="22"/>
                <w:szCs w:val="22"/>
                <w:lang w:bidi="he-IL"/>
              </w:rPr>
              <w:t>21 CFR Section 1140.30</w:t>
            </w:r>
          </w:p>
        </w:tc>
        <w:tc>
          <w:tcPr>
            <w:tcW w:w="2083" w:type="dxa"/>
            <w:shd w:val="clear" w:color="auto" w:fill="auto"/>
            <w:vAlign w:val="center"/>
          </w:tcPr>
          <w:p w:rsidR="00FE3AA8" w:rsidRPr="004E788E" w:rsidP="00AD1612" w14:paraId="63C045C6" w14:textId="77777777">
            <w:pPr>
              <w:jc w:val="center"/>
              <w:rPr>
                <w:rFonts w:eastAsia="Calibri"/>
                <w:sz w:val="22"/>
                <w:szCs w:val="22"/>
              </w:rPr>
            </w:pPr>
            <w:r w:rsidRPr="004E788E">
              <w:rPr>
                <w:rFonts w:eastAsia="Calibri"/>
                <w:sz w:val="22"/>
                <w:szCs w:val="22"/>
              </w:rPr>
              <w:t>Total Burden Hours</w:t>
            </w:r>
          </w:p>
        </w:tc>
        <w:tc>
          <w:tcPr>
            <w:tcW w:w="2770" w:type="dxa"/>
            <w:shd w:val="clear" w:color="auto" w:fill="auto"/>
            <w:vAlign w:val="center"/>
          </w:tcPr>
          <w:p w:rsidR="00FE3AA8" w:rsidRPr="004E788E" w:rsidP="00AD1612" w14:paraId="62419BDD" w14:textId="77777777">
            <w:pPr>
              <w:jc w:val="center"/>
              <w:rPr>
                <w:rFonts w:eastAsia="Calibri"/>
                <w:sz w:val="22"/>
                <w:szCs w:val="22"/>
              </w:rPr>
            </w:pPr>
            <w:r w:rsidRPr="004E788E">
              <w:rPr>
                <w:rFonts w:eastAsia="Calibri"/>
                <w:sz w:val="22"/>
                <w:szCs w:val="22"/>
              </w:rPr>
              <w:t>Hourly Wage Rate</w:t>
            </w:r>
          </w:p>
        </w:tc>
        <w:tc>
          <w:tcPr>
            <w:tcW w:w="2228" w:type="dxa"/>
            <w:shd w:val="clear" w:color="auto" w:fill="auto"/>
            <w:vAlign w:val="center"/>
          </w:tcPr>
          <w:p w:rsidR="00FE3AA8" w:rsidRPr="004E788E" w:rsidP="00AD1612" w14:paraId="0A054C73" w14:textId="77777777">
            <w:pPr>
              <w:jc w:val="center"/>
              <w:rPr>
                <w:rFonts w:eastAsia="Calibri"/>
                <w:sz w:val="22"/>
                <w:szCs w:val="22"/>
              </w:rPr>
            </w:pPr>
            <w:r w:rsidRPr="004E788E">
              <w:rPr>
                <w:rFonts w:eastAsia="Calibri"/>
                <w:sz w:val="22"/>
                <w:szCs w:val="22"/>
              </w:rPr>
              <w:t>Total Costs</w:t>
            </w:r>
          </w:p>
        </w:tc>
      </w:tr>
      <w:tr w14:paraId="06824557" w14:textId="77777777" w:rsidTr="004E788E">
        <w:tblPrEx>
          <w:tblW w:w="9581" w:type="dxa"/>
          <w:tblLook w:val="01E0"/>
        </w:tblPrEx>
        <w:trPr>
          <w:trHeight w:val="665"/>
        </w:trPr>
        <w:tc>
          <w:tcPr>
            <w:tcW w:w="2500" w:type="dxa"/>
            <w:shd w:val="clear" w:color="auto" w:fill="auto"/>
            <w:vAlign w:val="center"/>
          </w:tcPr>
          <w:p w:rsidR="00FE3AA8" w:rsidRPr="004E788E" w:rsidP="00AD1612" w14:paraId="5FE3633C" w14:textId="77777777">
            <w:pPr>
              <w:keepNext/>
              <w:jc w:val="center"/>
              <w:rPr>
                <w:rFonts w:eastAsia="Calibri"/>
                <w:sz w:val="22"/>
                <w:szCs w:val="22"/>
              </w:rPr>
            </w:pPr>
            <w:r w:rsidRPr="004E788E">
              <w:rPr>
                <w:rFonts w:eastAsia="Calibri"/>
                <w:sz w:val="22"/>
                <w:szCs w:val="22"/>
              </w:rPr>
              <w:t>Tobacco Industry</w:t>
            </w:r>
          </w:p>
        </w:tc>
        <w:tc>
          <w:tcPr>
            <w:tcW w:w="2083" w:type="dxa"/>
            <w:shd w:val="clear" w:color="auto" w:fill="auto"/>
            <w:vAlign w:val="center"/>
          </w:tcPr>
          <w:p w:rsidR="00FE3AA8" w:rsidRPr="004E788E" w:rsidP="00AD1612" w14:paraId="3162DD9F" w14:textId="77777777">
            <w:pPr>
              <w:jc w:val="center"/>
              <w:rPr>
                <w:rFonts w:eastAsia="Calibri"/>
                <w:sz w:val="22"/>
                <w:szCs w:val="22"/>
              </w:rPr>
            </w:pPr>
            <w:r w:rsidRPr="004E788E">
              <w:rPr>
                <w:rFonts w:eastAsia="Calibri"/>
                <w:sz w:val="22"/>
                <w:szCs w:val="22"/>
              </w:rPr>
              <w:t>25</w:t>
            </w:r>
          </w:p>
        </w:tc>
        <w:tc>
          <w:tcPr>
            <w:tcW w:w="2770" w:type="dxa"/>
            <w:shd w:val="clear" w:color="auto" w:fill="auto"/>
            <w:vAlign w:val="center"/>
          </w:tcPr>
          <w:p w:rsidR="00FE3AA8" w:rsidRPr="004E788E" w:rsidP="00AD1612" w14:paraId="38DCFB06" w14:textId="77777777">
            <w:pPr>
              <w:jc w:val="center"/>
              <w:rPr>
                <w:rFonts w:eastAsia="Calibri"/>
                <w:sz w:val="22"/>
                <w:szCs w:val="22"/>
              </w:rPr>
            </w:pPr>
            <w:r w:rsidRPr="004E788E">
              <w:rPr>
                <w:rFonts w:eastAsia="Calibri"/>
                <w:sz w:val="22"/>
                <w:szCs w:val="22"/>
              </w:rPr>
              <w:t>$</w:t>
            </w:r>
            <w:r w:rsidRPr="004E788E" w:rsidR="006F4B96">
              <w:rPr>
                <w:rFonts w:eastAsia="Calibri"/>
                <w:sz w:val="22"/>
                <w:szCs w:val="22"/>
              </w:rPr>
              <w:t>62.30</w:t>
            </w:r>
          </w:p>
        </w:tc>
        <w:tc>
          <w:tcPr>
            <w:tcW w:w="2228" w:type="dxa"/>
            <w:shd w:val="clear" w:color="auto" w:fill="auto"/>
            <w:vAlign w:val="center"/>
          </w:tcPr>
          <w:p w:rsidR="00FE3AA8" w:rsidRPr="004E788E" w:rsidP="00AD1612" w14:paraId="1096DBFD" w14:textId="77777777">
            <w:pPr>
              <w:jc w:val="center"/>
              <w:rPr>
                <w:rFonts w:eastAsia="Calibri"/>
                <w:sz w:val="22"/>
                <w:szCs w:val="22"/>
              </w:rPr>
            </w:pPr>
            <w:r w:rsidRPr="004E788E">
              <w:rPr>
                <w:rFonts w:eastAsia="Calibri"/>
                <w:sz w:val="22"/>
                <w:szCs w:val="22"/>
              </w:rPr>
              <w:t xml:space="preserve">$ </w:t>
            </w:r>
            <w:r w:rsidRPr="004E788E" w:rsidR="006F4B96">
              <w:rPr>
                <w:rFonts w:eastAsia="Calibri"/>
                <w:sz w:val="22"/>
                <w:szCs w:val="22"/>
              </w:rPr>
              <w:t>1,557.50</w:t>
            </w:r>
          </w:p>
        </w:tc>
      </w:tr>
    </w:tbl>
    <w:p w:rsidR="00FE3AA8" w:rsidP="0022425B" w14:paraId="4EAAD892" w14:textId="77777777">
      <w:pPr>
        <w:ind w:left="360"/>
        <w:rPr>
          <w:rFonts w:eastAsia="Calibri"/>
        </w:rPr>
      </w:pPr>
    </w:p>
    <w:p w:rsidR="000D0B9D" w:rsidRPr="00357C8A" w:rsidP="00357C8A" w14:paraId="44F49A7B" w14:textId="77777777">
      <w:pPr>
        <w:rPr>
          <w:rFonts w:eastAsia="Calibri"/>
        </w:rPr>
      </w:pPr>
    </w:p>
    <w:p w:rsidR="00357C8A" w:rsidRPr="00357C8A" w:rsidP="006705EA" w14:paraId="2D42C50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707CC" w:rsidP="00255B21" w14:paraId="77C6C880" w14:textId="4DE7A114">
      <w:pPr>
        <w:ind w:left="360"/>
        <w:rPr>
          <w:rFonts w:eastAsia="Calibri"/>
        </w:rPr>
      </w:pPr>
      <w:r w:rsidRPr="007330F0">
        <w:t xml:space="preserve">There are no capital, start-up, </w:t>
      </w:r>
      <w:r w:rsidRPr="007330F0">
        <w:t>operating</w:t>
      </w:r>
      <w:r w:rsidRPr="007330F0">
        <w:t xml:space="preserve"> or maintenance costs associated with this information collection.</w:t>
      </w:r>
      <w:r w:rsidR="004E788E">
        <w:br/>
      </w:r>
    </w:p>
    <w:p w:rsidR="00357C8A" w:rsidRPr="00357C8A" w:rsidP="006705EA" w14:paraId="2006C16D"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780414" w14:paraId="3E372DDE" w14:textId="246E2ADF">
      <w:pPr>
        <w:spacing w:after="200"/>
        <w:ind w:left="360"/>
        <w:rPr>
          <w:rFonts w:eastAsia="Calibri"/>
        </w:rPr>
      </w:pPr>
      <w:r>
        <w:rPr>
          <w:rStyle w:val="normaltextrun"/>
          <w:color w:val="000000"/>
          <w:shd w:val="clear" w:color="auto" w:fill="FFFFFF"/>
        </w:rPr>
        <w:t>Our estimated cost to the Federal government reflects the allocation of one (1) full-time equivalent (FTE) employee to administe</w:t>
      </w:r>
      <w:r w:rsidR="00404453">
        <w:rPr>
          <w:rStyle w:val="normaltextrun"/>
          <w:color w:val="000000"/>
          <w:shd w:val="clear" w:color="auto" w:fill="FFFFFF"/>
        </w:rPr>
        <w:t>r</w:t>
      </w:r>
      <w:r>
        <w:rPr>
          <w:rStyle w:val="normaltextrun"/>
          <w:color w:val="000000"/>
          <w:shd w:val="clear" w:color="auto" w:fill="FFFFFF"/>
        </w:rPr>
        <w:t xml:space="preserve"> the requirements. Using as a basis salary and wage data for the Washington DC-Metropolitan area found </w:t>
      </w:r>
      <w:r w:rsidRPr="00A16F9D">
        <w:rPr>
          <w:rStyle w:val="normaltextrun"/>
          <w:color w:val="000000"/>
          <w:shd w:val="clear" w:color="auto" w:fill="FFFFFF"/>
        </w:rPr>
        <w:t xml:space="preserve">at </w:t>
      </w:r>
      <w:hyperlink r:id="rId11" w:history="1">
        <w:r w:rsidRPr="000320DF">
          <w:rPr>
            <w:rStyle w:val="Hyperlink"/>
            <w:shd w:val="clear" w:color="auto" w:fill="FFFFFF"/>
          </w:rPr>
          <w:t>https://www.opm.gov</w:t>
        </w:r>
      </w:hyperlink>
      <w:r>
        <w:rPr>
          <w:rStyle w:val="normaltextrun"/>
          <w:color w:val="000000"/>
          <w:shd w:val="clear" w:color="auto" w:fill="FFFFFF"/>
        </w:rPr>
        <w:t xml:space="preserve"> for a GS-13/4 employee, we calculate a total cost of $</w:t>
      </w:r>
      <w:r w:rsidRPr="00A16F9D">
        <w:rPr>
          <w:rStyle w:val="normaltextrun"/>
          <w:color w:val="000000"/>
          <w:shd w:val="clear" w:color="auto" w:fill="FFFFFF"/>
        </w:rPr>
        <w:t>1</w:t>
      </w:r>
      <w:r>
        <w:rPr>
          <w:rStyle w:val="normaltextrun"/>
          <w:color w:val="000000"/>
          <w:shd w:val="clear" w:color="auto" w:fill="FFFFFF"/>
        </w:rPr>
        <w:t>17,505 ($117,505 x 1). </w:t>
      </w:r>
      <w:r>
        <w:rPr>
          <w:rStyle w:val="eop"/>
          <w:color w:val="000000"/>
          <w:shd w:val="clear" w:color="auto" w:fill="FFFFFF"/>
        </w:rPr>
        <w:t> </w:t>
      </w:r>
      <w:r w:rsidRPr="00357C8A">
        <w:rPr>
          <w:rFonts w:eastAsia="Calibri"/>
        </w:rPr>
        <w:t xml:space="preserve"> </w:t>
      </w:r>
      <w:r w:rsidR="00A506DE">
        <w:rPr>
          <w:rFonts w:eastAsia="Calibri"/>
        </w:rPr>
        <w:t xml:space="preserve"> </w:t>
      </w:r>
    </w:p>
    <w:p w:rsidR="00357C8A" w:rsidP="006705EA" w14:paraId="65E76B1F"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977CC6" w14:paraId="7A057D6B" w14:textId="7014A5F5">
      <w:pPr>
        <w:spacing w:after="200"/>
        <w:ind w:left="360"/>
        <w:rPr>
          <w:rFonts w:eastAsia="Calibri"/>
        </w:rPr>
      </w:pPr>
      <w:r w:rsidRPr="7799379D">
        <w:t>Based on a review of the information collection and the number of notifications received since 2018, we have made no adjustments to our burden estimate.</w:t>
      </w:r>
      <w:r w:rsidR="00DC765A">
        <w:t xml:space="preserve"> </w:t>
      </w:r>
      <w:r w:rsidR="00703CCF">
        <w:t xml:space="preserve"> </w:t>
      </w:r>
      <w:r w:rsidR="00DC765A">
        <w:t xml:space="preserve">FDA discovered an associated guidance that was not included </w:t>
      </w:r>
      <w:r w:rsidR="00703CCF">
        <w:t>as an information collection instrument;</w:t>
      </w:r>
      <w:r w:rsidR="00DC765A">
        <w:t xml:space="preserve"> </w:t>
      </w:r>
      <w:r w:rsidR="00C62D58">
        <w:t>it is now included</w:t>
      </w:r>
      <w:r w:rsidR="00703CCF">
        <w:t xml:space="preserve"> in ROCIS</w:t>
      </w:r>
      <w:r w:rsidR="00C62D58">
        <w:t xml:space="preserve">. </w:t>
      </w:r>
      <w:r w:rsidR="00703CCF">
        <w:t xml:space="preserve"> </w:t>
      </w:r>
      <w:r w:rsidR="00C62D58">
        <w:t xml:space="preserve">The guidance provides clarification on how to format the notification. </w:t>
      </w:r>
    </w:p>
    <w:p w:rsidR="00357C8A" w:rsidRPr="00357C8A" w:rsidP="006705EA" w14:paraId="3FA9670F"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977CC6" w14:paraId="60E38795" w14:textId="77777777">
      <w:pPr>
        <w:spacing w:after="200"/>
        <w:ind w:left="360"/>
        <w:rPr>
          <w:rFonts w:eastAsia="Calibri"/>
        </w:rPr>
      </w:pPr>
      <w:r w:rsidRPr="005C71CA">
        <w:rPr>
          <w:rFonts w:eastAsia="Calibri"/>
        </w:rPr>
        <w:t>This information collected will not be published or tabulated</w:t>
      </w:r>
      <w:r w:rsidR="00977CC6">
        <w:rPr>
          <w:rFonts w:eastAsia="Calibri"/>
        </w:rPr>
        <w:t>.</w:t>
      </w:r>
    </w:p>
    <w:p w:rsidR="00357C8A" w:rsidRPr="00357C8A" w:rsidP="006705EA" w14:paraId="13D556D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P="00977CC6" w14:paraId="7A724029" w14:textId="263AA9C0">
      <w:pPr>
        <w:spacing w:after="200"/>
        <w:ind w:left="360"/>
        <w:rPr>
          <w:rFonts w:eastAsia="Calibri"/>
          <w:color w:val="FF0000"/>
        </w:rPr>
      </w:pPr>
      <w:r>
        <w:rPr>
          <w:rStyle w:val="normaltextrun"/>
          <w:color w:val="000000"/>
          <w:shd w:val="clear" w:color="auto" w:fill="FFFFFF"/>
        </w:rPr>
        <w:t>FDA is not requesting an exemption for display of the OMB expiration date and is also not seeking OMB approval to exclude the expiration date for this information collection.</w:t>
      </w:r>
      <w:r>
        <w:rPr>
          <w:rStyle w:val="normaltextrun"/>
          <w:color w:val="FF0000"/>
          <w:shd w:val="clear" w:color="auto" w:fill="FFFFFF"/>
        </w:rPr>
        <w:t> </w:t>
      </w:r>
      <w:r w:rsidRPr="00357C8A">
        <w:rPr>
          <w:rFonts w:eastAsia="Calibri"/>
          <w:color w:val="FF0000"/>
        </w:rPr>
        <w:t xml:space="preserve"> </w:t>
      </w:r>
    </w:p>
    <w:p w:rsidR="00A94092" w:rsidP="00977CC6" w14:paraId="338EEC17" w14:textId="1B278244">
      <w:pPr>
        <w:spacing w:after="200"/>
        <w:ind w:left="360"/>
        <w:rPr>
          <w:rFonts w:eastAsia="Calibri"/>
        </w:rPr>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357C8A" w:rsidRPr="00357C8A" w:rsidP="006705EA" w14:paraId="0C1469F8"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977CC6" w14:paraId="0632195A" w14:textId="77777777">
      <w:pPr>
        <w:spacing w:after="200"/>
        <w:ind w:left="360"/>
        <w:rPr>
          <w:rFonts w:eastAsia="Calibri"/>
        </w:rPr>
      </w:pPr>
      <w:r w:rsidRPr="007E59A8">
        <w:rPr>
          <w:rFonts w:eastAsia="Calibri"/>
        </w:rPr>
        <w:t>There are no exceptions to the certification</w:t>
      </w:r>
      <w:r>
        <w:rPr>
          <w:rFonts w:eastAsia="Calibri"/>
        </w:rPr>
        <w:t>.</w:t>
      </w:r>
    </w:p>
    <w:sectPr w:rsidSect="004E788E">
      <w:headerReference w:type="default" r:id="rId12"/>
      <w:footerReference w:type="even" r:id="rId13"/>
      <w:footerReference w:type="default" r:id="rId14"/>
      <w:pgSz w:w="12240" w:h="15840" w:code="1"/>
      <w:pgMar w:top="1710" w:right="1296" w:bottom="1350"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1E6939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45DAD1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75D9B70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C4E60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B19D0" w14:paraId="66E3CC56" w14:textId="77777777">
      <w:r>
        <w:separator/>
      </w:r>
    </w:p>
  </w:footnote>
  <w:footnote w:type="continuationSeparator" w:id="1">
    <w:p w:rsidR="00DB19D0" w14:paraId="7175BAB6" w14:textId="77777777">
      <w:r>
        <w:continuationSeparator/>
      </w:r>
    </w:p>
  </w:footnote>
  <w:footnote w:type="continuationNotice" w:id="2">
    <w:p w:rsidR="00DB19D0" w14:paraId="354D7CAA" w14:textId="77777777"/>
  </w:footnote>
  <w:footnote w:id="3">
    <w:p w:rsidR="00927DC6" w14:paraId="14BB185A" w14:textId="7E684463">
      <w:pPr>
        <w:pStyle w:val="FootnoteText"/>
      </w:pPr>
      <w:r>
        <w:rPr>
          <w:rStyle w:val="FootnoteReference"/>
        </w:rPr>
        <w:footnoteRef/>
      </w:r>
      <w:r>
        <w:t xml:space="preserve"> </w:t>
      </w:r>
      <w:r w:rsidRPr="00927DC6">
        <w:t>https://www.fda.gov/about-fda/about-website/website-policies#privacy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9D2" w:rsidP="007449D2" w14:paraId="607AD70E" w14:textId="1CB95FE6">
    <w:pPr>
      <w:pStyle w:val="Header"/>
      <w:tabs>
        <w:tab w:val="clear" w:pos="4680"/>
        <w:tab w:val="left" w:pos="7275"/>
        <w:tab w:val="clear" w:pos="9360"/>
      </w:tabs>
    </w:pPr>
    <w:r>
      <w:rPr>
        <w:noProof/>
      </w:rPr>
      <w:drawing>
        <wp:inline distT="0" distB="0" distL="0" distR="0">
          <wp:extent cx="2762250" cy="571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3C2C01"/>
    <w:multiLevelType w:val="multilevel"/>
    <w:tmpl w:val="B0E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0"/>
  </w:num>
  <w:num w:numId="7">
    <w:abstractNumId w:val="2"/>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7DC"/>
    <w:rsid w:val="000161E3"/>
    <w:rsid w:val="00031A2C"/>
    <w:rsid w:val="000320DF"/>
    <w:rsid w:val="00042B93"/>
    <w:rsid w:val="00043C7F"/>
    <w:rsid w:val="000467A8"/>
    <w:rsid w:val="00056F57"/>
    <w:rsid w:val="00060FDE"/>
    <w:rsid w:val="00061935"/>
    <w:rsid w:val="0006570F"/>
    <w:rsid w:val="00075DE8"/>
    <w:rsid w:val="00083A70"/>
    <w:rsid w:val="00087439"/>
    <w:rsid w:val="000B301E"/>
    <w:rsid w:val="000C1260"/>
    <w:rsid w:val="000C560C"/>
    <w:rsid w:val="000D080B"/>
    <w:rsid w:val="000D0B9D"/>
    <w:rsid w:val="000D48FD"/>
    <w:rsid w:val="000D79CC"/>
    <w:rsid w:val="000E1C64"/>
    <w:rsid w:val="000F7119"/>
    <w:rsid w:val="00100739"/>
    <w:rsid w:val="0010493E"/>
    <w:rsid w:val="001052CE"/>
    <w:rsid w:val="001075D3"/>
    <w:rsid w:val="00107885"/>
    <w:rsid w:val="00111F29"/>
    <w:rsid w:val="00114FC4"/>
    <w:rsid w:val="0012329C"/>
    <w:rsid w:val="00132C33"/>
    <w:rsid w:val="00134FA7"/>
    <w:rsid w:val="00137950"/>
    <w:rsid w:val="00152F29"/>
    <w:rsid w:val="00174D54"/>
    <w:rsid w:val="0017702C"/>
    <w:rsid w:val="00185270"/>
    <w:rsid w:val="001A3B5A"/>
    <w:rsid w:val="001A458C"/>
    <w:rsid w:val="001B6427"/>
    <w:rsid w:val="001B7CE9"/>
    <w:rsid w:val="001C12D9"/>
    <w:rsid w:val="001C7684"/>
    <w:rsid w:val="001D495A"/>
    <w:rsid w:val="001E244C"/>
    <w:rsid w:val="001F1437"/>
    <w:rsid w:val="001F4390"/>
    <w:rsid w:val="00206799"/>
    <w:rsid w:val="002074FE"/>
    <w:rsid w:val="0022425B"/>
    <w:rsid w:val="002259EF"/>
    <w:rsid w:val="00242ED1"/>
    <w:rsid w:val="00243BC2"/>
    <w:rsid w:val="002444BB"/>
    <w:rsid w:val="00254069"/>
    <w:rsid w:val="00255B21"/>
    <w:rsid w:val="00256819"/>
    <w:rsid w:val="00264C0F"/>
    <w:rsid w:val="00270748"/>
    <w:rsid w:val="002734E5"/>
    <w:rsid w:val="002746DB"/>
    <w:rsid w:val="00274F3F"/>
    <w:rsid w:val="00280CAF"/>
    <w:rsid w:val="00282F09"/>
    <w:rsid w:val="00291810"/>
    <w:rsid w:val="00294D62"/>
    <w:rsid w:val="00297532"/>
    <w:rsid w:val="00297FFD"/>
    <w:rsid w:val="002A1210"/>
    <w:rsid w:val="002A34F7"/>
    <w:rsid w:val="002A38E8"/>
    <w:rsid w:val="002A47D2"/>
    <w:rsid w:val="002A7FB5"/>
    <w:rsid w:val="002B2074"/>
    <w:rsid w:val="002D14D8"/>
    <w:rsid w:val="002D43A4"/>
    <w:rsid w:val="002D4799"/>
    <w:rsid w:val="002E3FA4"/>
    <w:rsid w:val="002E53A5"/>
    <w:rsid w:val="002E64B8"/>
    <w:rsid w:val="002E6668"/>
    <w:rsid w:val="002E6834"/>
    <w:rsid w:val="002F2521"/>
    <w:rsid w:val="002F572A"/>
    <w:rsid w:val="003113FF"/>
    <w:rsid w:val="00312622"/>
    <w:rsid w:val="003132AF"/>
    <w:rsid w:val="0032277F"/>
    <w:rsid w:val="003278E4"/>
    <w:rsid w:val="00336B69"/>
    <w:rsid w:val="0034302B"/>
    <w:rsid w:val="00350523"/>
    <w:rsid w:val="0035189D"/>
    <w:rsid w:val="00353163"/>
    <w:rsid w:val="00355B62"/>
    <w:rsid w:val="00357C8A"/>
    <w:rsid w:val="003640D8"/>
    <w:rsid w:val="003740BC"/>
    <w:rsid w:val="0037456B"/>
    <w:rsid w:val="003762B3"/>
    <w:rsid w:val="003801A3"/>
    <w:rsid w:val="00383D90"/>
    <w:rsid w:val="003870AE"/>
    <w:rsid w:val="003927C5"/>
    <w:rsid w:val="003A1A27"/>
    <w:rsid w:val="003A50CC"/>
    <w:rsid w:val="003B42B3"/>
    <w:rsid w:val="003B6384"/>
    <w:rsid w:val="003C0FE2"/>
    <w:rsid w:val="003C4EBB"/>
    <w:rsid w:val="003D1531"/>
    <w:rsid w:val="003E4EC6"/>
    <w:rsid w:val="003E527E"/>
    <w:rsid w:val="003E553E"/>
    <w:rsid w:val="003E7078"/>
    <w:rsid w:val="003F3DF5"/>
    <w:rsid w:val="003F3E83"/>
    <w:rsid w:val="003F73B8"/>
    <w:rsid w:val="0040297E"/>
    <w:rsid w:val="00404453"/>
    <w:rsid w:val="00411D11"/>
    <w:rsid w:val="00414494"/>
    <w:rsid w:val="00415E23"/>
    <w:rsid w:val="0041670D"/>
    <w:rsid w:val="00423272"/>
    <w:rsid w:val="00424061"/>
    <w:rsid w:val="0043720F"/>
    <w:rsid w:val="00442A3C"/>
    <w:rsid w:val="00443969"/>
    <w:rsid w:val="00446B9F"/>
    <w:rsid w:val="00447D74"/>
    <w:rsid w:val="00450A74"/>
    <w:rsid w:val="004546BF"/>
    <w:rsid w:val="00465350"/>
    <w:rsid w:val="00465615"/>
    <w:rsid w:val="00467657"/>
    <w:rsid w:val="00476B91"/>
    <w:rsid w:val="00481663"/>
    <w:rsid w:val="004844DC"/>
    <w:rsid w:val="004846BF"/>
    <w:rsid w:val="00494912"/>
    <w:rsid w:val="004A5323"/>
    <w:rsid w:val="004A5A99"/>
    <w:rsid w:val="004C6979"/>
    <w:rsid w:val="004D13A2"/>
    <w:rsid w:val="004D32D1"/>
    <w:rsid w:val="004D3E7A"/>
    <w:rsid w:val="004E788E"/>
    <w:rsid w:val="004F594B"/>
    <w:rsid w:val="004F61E1"/>
    <w:rsid w:val="0053380B"/>
    <w:rsid w:val="00543194"/>
    <w:rsid w:val="00544138"/>
    <w:rsid w:val="00554E34"/>
    <w:rsid w:val="00563606"/>
    <w:rsid w:val="00567200"/>
    <w:rsid w:val="00584583"/>
    <w:rsid w:val="00590E90"/>
    <w:rsid w:val="00590EEB"/>
    <w:rsid w:val="00591B6A"/>
    <w:rsid w:val="00597096"/>
    <w:rsid w:val="005A4099"/>
    <w:rsid w:val="005C38B2"/>
    <w:rsid w:val="005C5029"/>
    <w:rsid w:val="005C55C2"/>
    <w:rsid w:val="005C71CA"/>
    <w:rsid w:val="005C745C"/>
    <w:rsid w:val="005D4DF5"/>
    <w:rsid w:val="005E42BA"/>
    <w:rsid w:val="00611D6B"/>
    <w:rsid w:val="00623D38"/>
    <w:rsid w:val="00625600"/>
    <w:rsid w:val="00625CFD"/>
    <w:rsid w:val="006326EC"/>
    <w:rsid w:val="00633681"/>
    <w:rsid w:val="00663A42"/>
    <w:rsid w:val="006641C7"/>
    <w:rsid w:val="00667FC2"/>
    <w:rsid w:val="006705EA"/>
    <w:rsid w:val="00670BE2"/>
    <w:rsid w:val="00673A45"/>
    <w:rsid w:val="00687084"/>
    <w:rsid w:val="006916D9"/>
    <w:rsid w:val="006A08E1"/>
    <w:rsid w:val="006A0E05"/>
    <w:rsid w:val="006A26C6"/>
    <w:rsid w:val="006A465A"/>
    <w:rsid w:val="006A7D5D"/>
    <w:rsid w:val="006C45EF"/>
    <w:rsid w:val="006D0C12"/>
    <w:rsid w:val="006D5D57"/>
    <w:rsid w:val="006E2538"/>
    <w:rsid w:val="006E302F"/>
    <w:rsid w:val="006E4FE0"/>
    <w:rsid w:val="006F4B96"/>
    <w:rsid w:val="006F4D6D"/>
    <w:rsid w:val="0070279F"/>
    <w:rsid w:val="00703CCF"/>
    <w:rsid w:val="00705086"/>
    <w:rsid w:val="00722001"/>
    <w:rsid w:val="007233D9"/>
    <w:rsid w:val="00725B87"/>
    <w:rsid w:val="007330F0"/>
    <w:rsid w:val="00744525"/>
    <w:rsid w:val="007449D2"/>
    <w:rsid w:val="00751E66"/>
    <w:rsid w:val="00754497"/>
    <w:rsid w:val="00773201"/>
    <w:rsid w:val="00780414"/>
    <w:rsid w:val="00786A49"/>
    <w:rsid w:val="00787C39"/>
    <w:rsid w:val="00792947"/>
    <w:rsid w:val="00795DF3"/>
    <w:rsid w:val="007A373C"/>
    <w:rsid w:val="007B225C"/>
    <w:rsid w:val="007B25F8"/>
    <w:rsid w:val="007B76B4"/>
    <w:rsid w:val="007C75B1"/>
    <w:rsid w:val="007D3DFC"/>
    <w:rsid w:val="007D3F4B"/>
    <w:rsid w:val="007E2F07"/>
    <w:rsid w:val="007E59A8"/>
    <w:rsid w:val="007F484C"/>
    <w:rsid w:val="007F58EF"/>
    <w:rsid w:val="0080776D"/>
    <w:rsid w:val="00810145"/>
    <w:rsid w:val="008108FA"/>
    <w:rsid w:val="00810FF1"/>
    <w:rsid w:val="00822336"/>
    <w:rsid w:val="00823DFA"/>
    <w:rsid w:val="00824DE0"/>
    <w:rsid w:val="00842DB7"/>
    <w:rsid w:val="00843752"/>
    <w:rsid w:val="0084479F"/>
    <w:rsid w:val="0084751C"/>
    <w:rsid w:val="0085725E"/>
    <w:rsid w:val="00873D4F"/>
    <w:rsid w:val="008746C3"/>
    <w:rsid w:val="0087509F"/>
    <w:rsid w:val="00885B09"/>
    <w:rsid w:val="00892400"/>
    <w:rsid w:val="00896F55"/>
    <w:rsid w:val="008A209D"/>
    <w:rsid w:val="008A22BB"/>
    <w:rsid w:val="008B035D"/>
    <w:rsid w:val="008B0E29"/>
    <w:rsid w:val="008B0EFA"/>
    <w:rsid w:val="008B30AB"/>
    <w:rsid w:val="008B6066"/>
    <w:rsid w:val="008C3BB8"/>
    <w:rsid w:val="008C4B65"/>
    <w:rsid w:val="008E5F55"/>
    <w:rsid w:val="008F0306"/>
    <w:rsid w:val="008F3BBB"/>
    <w:rsid w:val="008F7611"/>
    <w:rsid w:val="009009E7"/>
    <w:rsid w:val="00905DEF"/>
    <w:rsid w:val="00906056"/>
    <w:rsid w:val="009122AE"/>
    <w:rsid w:val="00913B43"/>
    <w:rsid w:val="009268B7"/>
    <w:rsid w:val="00927DC6"/>
    <w:rsid w:val="00930203"/>
    <w:rsid w:val="009311D2"/>
    <w:rsid w:val="009311E6"/>
    <w:rsid w:val="00931275"/>
    <w:rsid w:val="009356F3"/>
    <w:rsid w:val="00936AC7"/>
    <w:rsid w:val="009370EE"/>
    <w:rsid w:val="009374B3"/>
    <w:rsid w:val="00947761"/>
    <w:rsid w:val="00953B64"/>
    <w:rsid w:val="009646A7"/>
    <w:rsid w:val="00970A88"/>
    <w:rsid w:val="00975DD8"/>
    <w:rsid w:val="00977CC6"/>
    <w:rsid w:val="009818A1"/>
    <w:rsid w:val="009A1674"/>
    <w:rsid w:val="009A4197"/>
    <w:rsid w:val="009B38BE"/>
    <w:rsid w:val="009B4DF2"/>
    <w:rsid w:val="009B54BB"/>
    <w:rsid w:val="009C64BD"/>
    <w:rsid w:val="009C684F"/>
    <w:rsid w:val="009D074C"/>
    <w:rsid w:val="009D6E73"/>
    <w:rsid w:val="009E535C"/>
    <w:rsid w:val="009F1F1D"/>
    <w:rsid w:val="009F2B4F"/>
    <w:rsid w:val="009F3C63"/>
    <w:rsid w:val="009F66B5"/>
    <w:rsid w:val="00A02F10"/>
    <w:rsid w:val="00A1060C"/>
    <w:rsid w:val="00A16221"/>
    <w:rsid w:val="00A16F9D"/>
    <w:rsid w:val="00A20A7D"/>
    <w:rsid w:val="00A35D42"/>
    <w:rsid w:val="00A46CCF"/>
    <w:rsid w:val="00A506DE"/>
    <w:rsid w:val="00A53451"/>
    <w:rsid w:val="00A62CE2"/>
    <w:rsid w:val="00A70426"/>
    <w:rsid w:val="00A707CC"/>
    <w:rsid w:val="00A71410"/>
    <w:rsid w:val="00A807A3"/>
    <w:rsid w:val="00A83FAB"/>
    <w:rsid w:val="00A84BE5"/>
    <w:rsid w:val="00A91E9A"/>
    <w:rsid w:val="00A93ED9"/>
    <w:rsid w:val="00A94092"/>
    <w:rsid w:val="00A96221"/>
    <w:rsid w:val="00AC2DBB"/>
    <w:rsid w:val="00AC6A99"/>
    <w:rsid w:val="00AD1612"/>
    <w:rsid w:val="00AD6048"/>
    <w:rsid w:val="00AE43AD"/>
    <w:rsid w:val="00AF0A45"/>
    <w:rsid w:val="00AF2051"/>
    <w:rsid w:val="00B00CEC"/>
    <w:rsid w:val="00B023AC"/>
    <w:rsid w:val="00B055EF"/>
    <w:rsid w:val="00B06B5B"/>
    <w:rsid w:val="00B126CF"/>
    <w:rsid w:val="00B23769"/>
    <w:rsid w:val="00B41789"/>
    <w:rsid w:val="00B81808"/>
    <w:rsid w:val="00B86DFA"/>
    <w:rsid w:val="00B936D0"/>
    <w:rsid w:val="00BB15FB"/>
    <w:rsid w:val="00BC38FF"/>
    <w:rsid w:val="00BD3D5B"/>
    <w:rsid w:val="00BE3600"/>
    <w:rsid w:val="00BF68D6"/>
    <w:rsid w:val="00C01F6F"/>
    <w:rsid w:val="00C041EA"/>
    <w:rsid w:val="00C13337"/>
    <w:rsid w:val="00C13BBD"/>
    <w:rsid w:val="00C149AB"/>
    <w:rsid w:val="00C16929"/>
    <w:rsid w:val="00C17DC1"/>
    <w:rsid w:val="00C20690"/>
    <w:rsid w:val="00C23DC9"/>
    <w:rsid w:val="00C252C2"/>
    <w:rsid w:val="00C36020"/>
    <w:rsid w:val="00C40694"/>
    <w:rsid w:val="00C40A0D"/>
    <w:rsid w:val="00C44FEF"/>
    <w:rsid w:val="00C479BF"/>
    <w:rsid w:val="00C5124B"/>
    <w:rsid w:val="00C62D58"/>
    <w:rsid w:val="00C70542"/>
    <w:rsid w:val="00C75CBF"/>
    <w:rsid w:val="00CA1153"/>
    <w:rsid w:val="00CA1B8B"/>
    <w:rsid w:val="00CC2894"/>
    <w:rsid w:val="00CD77C3"/>
    <w:rsid w:val="00CE112C"/>
    <w:rsid w:val="00CE7FB9"/>
    <w:rsid w:val="00CF55D4"/>
    <w:rsid w:val="00D02AE1"/>
    <w:rsid w:val="00D0402C"/>
    <w:rsid w:val="00D17CEE"/>
    <w:rsid w:val="00D43554"/>
    <w:rsid w:val="00D51BD8"/>
    <w:rsid w:val="00D608DA"/>
    <w:rsid w:val="00D60EF3"/>
    <w:rsid w:val="00D63D76"/>
    <w:rsid w:val="00D730BF"/>
    <w:rsid w:val="00D76428"/>
    <w:rsid w:val="00D837B9"/>
    <w:rsid w:val="00D852F4"/>
    <w:rsid w:val="00DB1110"/>
    <w:rsid w:val="00DB19D0"/>
    <w:rsid w:val="00DB3730"/>
    <w:rsid w:val="00DC371B"/>
    <w:rsid w:val="00DC3788"/>
    <w:rsid w:val="00DC477A"/>
    <w:rsid w:val="00DC765A"/>
    <w:rsid w:val="00DC76C7"/>
    <w:rsid w:val="00DD09F5"/>
    <w:rsid w:val="00DD0E02"/>
    <w:rsid w:val="00DD162F"/>
    <w:rsid w:val="00DD2994"/>
    <w:rsid w:val="00DD4201"/>
    <w:rsid w:val="00DD5E9F"/>
    <w:rsid w:val="00DE5711"/>
    <w:rsid w:val="00E00EA0"/>
    <w:rsid w:val="00E021CB"/>
    <w:rsid w:val="00E10D55"/>
    <w:rsid w:val="00E138F1"/>
    <w:rsid w:val="00E16346"/>
    <w:rsid w:val="00E2309D"/>
    <w:rsid w:val="00E26758"/>
    <w:rsid w:val="00E27A95"/>
    <w:rsid w:val="00E425BF"/>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E2C2E"/>
    <w:rsid w:val="00EE6468"/>
    <w:rsid w:val="00F00339"/>
    <w:rsid w:val="00F06293"/>
    <w:rsid w:val="00F1299B"/>
    <w:rsid w:val="00F207A4"/>
    <w:rsid w:val="00F25173"/>
    <w:rsid w:val="00F34EA5"/>
    <w:rsid w:val="00F355AC"/>
    <w:rsid w:val="00F40CF7"/>
    <w:rsid w:val="00F44194"/>
    <w:rsid w:val="00F46110"/>
    <w:rsid w:val="00F61D71"/>
    <w:rsid w:val="00F71A5A"/>
    <w:rsid w:val="00F73A1A"/>
    <w:rsid w:val="00F75589"/>
    <w:rsid w:val="00F76168"/>
    <w:rsid w:val="00F769E0"/>
    <w:rsid w:val="00F87234"/>
    <w:rsid w:val="00FA4A46"/>
    <w:rsid w:val="00FA75FE"/>
    <w:rsid w:val="00FB1032"/>
    <w:rsid w:val="00FB39BC"/>
    <w:rsid w:val="00FB6A53"/>
    <w:rsid w:val="00FC11CA"/>
    <w:rsid w:val="00FC6BDE"/>
    <w:rsid w:val="00FD45B3"/>
    <w:rsid w:val="00FE3AA8"/>
    <w:rsid w:val="00FF16ED"/>
    <w:rsid w:val="00FF3F28"/>
    <w:rsid w:val="00FF6138"/>
    <w:rsid w:val="1DCE9244"/>
    <w:rsid w:val="25424D48"/>
    <w:rsid w:val="40E63EE5"/>
    <w:rsid w:val="494AA56F"/>
    <w:rsid w:val="52AA2622"/>
    <w:rsid w:val="53036C2A"/>
    <w:rsid w:val="5C1F758A"/>
    <w:rsid w:val="5C68DB5D"/>
    <w:rsid w:val="64EB6500"/>
    <w:rsid w:val="75ED41C9"/>
    <w:rsid w:val="779937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5B4FBB"/>
  <w15:chartTrackingRefBased/>
  <w15:docId w15:val="{C93A368B-BFDF-4E72-A2E2-BAF8F4AD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B023AC"/>
    <w:rPr>
      <w:sz w:val="16"/>
      <w:szCs w:val="16"/>
    </w:rPr>
  </w:style>
  <w:style w:type="paragraph" w:styleId="CommentText">
    <w:name w:val="annotation text"/>
    <w:basedOn w:val="Normal"/>
    <w:link w:val="CommentTextChar"/>
    <w:rsid w:val="00B023AC"/>
    <w:rPr>
      <w:sz w:val="20"/>
      <w:szCs w:val="20"/>
    </w:rPr>
  </w:style>
  <w:style w:type="character" w:customStyle="1" w:styleId="CommentTextChar">
    <w:name w:val="Comment Text Char"/>
    <w:basedOn w:val="DefaultParagraphFont"/>
    <w:link w:val="CommentText"/>
    <w:rsid w:val="00B023AC"/>
  </w:style>
  <w:style w:type="paragraph" w:styleId="CommentSubject">
    <w:name w:val="annotation subject"/>
    <w:basedOn w:val="CommentText"/>
    <w:next w:val="CommentText"/>
    <w:link w:val="CommentSubjectChar"/>
    <w:rsid w:val="00B023AC"/>
    <w:rPr>
      <w:b/>
      <w:bCs/>
    </w:rPr>
  </w:style>
  <w:style w:type="character" w:customStyle="1" w:styleId="CommentSubjectChar">
    <w:name w:val="Comment Subject Char"/>
    <w:link w:val="CommentSubject"/>
    <w:rsid w:val="00B023AC"/>
    <w:rPr>
      <w:b/>
      <w:bCs/>
    </w:rPr>
  </w:style>
  <w:style w:type="character" w:customStyle="1" w:styleId="normaltextrun">
    <w:name w:val="normaltextrun"/>
    <w:basedOn w:val="DefaultParagraphFont"/>
    <w:rsid w:val="00977CC6"/>
  </w:style>
  <w:style w:type="character" w:customStyle="1" w:styleId="eop">
    <w:name w:val="eop"/>
    <w:basedOn w:val="DefaultParagraphFont"/>
    <w:rsid w:val="00780414"/>
  </w:style>
  <w:style w:type="paragraph" w:styleId="FootnoteText">
    <w:name w:val="footnote text"/>
    <w:basedOn w:val="Normal"/>
    <w:link w:val="FootnoteTextChar"/>
    <w:rsid w:val="00927DC6"/>
    <w:rPr>
      <w:sz w:val="20"/>
      <w:szCs w:val="20"/>
    </w:rPr>
  </w:style>
  <w:style w:type="character" w:customStyle="1" w:styleId="FootnoteTextChar">
    <w:name w:val="Footnote Text Char"/>
    <w:basedOn w:val="DefaultParagraphFont"/>
    <w:link w:val="FootnoteText"/>
    <w:rsid w:val="00927DC6"/>
    <w:rPr>
      <w:lang w:eastAsia="en-US"/>
    </w:rPr>
  </w:style>
  <w:style w:type="character" w:styleId="FootnoteReference">
    <w:name w:val="footnote reference"/>
    <w:basedOn w:val="DefaultParagraphFont"/>
    <w:rsid w:val="00927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naics4_312200.htm" TargetMode="External" /><Relationship Id="rId11" Type="http://schemas.openxmlformats.org/officeDocument/2006/relationships/hyperlink" Target="https://www.opm.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fda.gov/regulatory-information/search-fda-guidance-documents/enforcement-policy-concerning-certain-regulations-restricting-sale-and-distribution-cigarettes-and" TargetMode="External" /><Relationship Id="rId9" Type="http://schemas.openxmlformats.org/officeDocument/2006/relationships/hyperlink" Target="https://www.fda.gov/regulatory-information/search-fda-guidance-documents/compliance-regulations-restricting-sale-and-distribution-cigarettes-and-smokeless-tobacco-prote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4" ma:contentTypeDescription="Create a new document." ma:contentTypeScope="" ma:versionID="e231e4d28a0fadfc7da44a3fb5a1c28a">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0b7bc7c6327ace8967aaa03d1556398"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B0E7-97BB-42B5-9CA1-A14014ED3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33183-0C59-4A05-92E2-054E42308F7C}">
  <ds:schemaRefs>
    <ds:schemaRef ds:uri="http://schemas.microsoft.com/sharepoint/v3/contenttype/forms"/>
  </ds:schemaRefs>
</ds:datastoreItem>
</file>

<file path=customXml/itemProps3.xml><?xml version="1.0" encoding="utf-8"?>
<ds:datastoreItem xmlns:ds="http://schemas.openxmlformats.org/officeDocument/2006/customXml" ds:itemID="{B9BC16BA-8FC3-49AC-9B53-ADF351A3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1558</Words>
  <Characters>9813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3</cp:revision>
  <cp:lastPrinted>2019-07-03T22:25:00Z</cp:lastPrinted>
  <dcterms:created xsi:type="dcterms:W3CDTF">2022-12-06T13:53:00Z</dcterms:created>
  <dcterms:modified xsi:type="dcterms:W3CDTF">2022-12-06T13:54:00Z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ies>
</file>