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315D4" w:rsidP="003315D4" w14:paraId="513BC262" w14:textId="77777777">
      <w:pPr>
        <w:jc w:val="center"/>
        <w:rPr>
          <w:b/>
        </w:rPr>
      </w:pPr>
      <w:r>
        <w:rPr>
          <w:b/>
        </w:rPr>
        <w:t xml:space="preserve">NCHHSTP </w:t>
      </w:r>
      <w:r w:rsidRPr="00022A54">
        <w:rPr>
          <w:b/>
        </w:rPr>
        <w:t>Generic Clearance</w:t>
      </w:r>
    </w:p>
    <w:p w:rsidR="003315D4" w:rsidRPr="00022A54" w:rsidP="003315D4" w14:paraId="7C9D0C81" w14:textId="77777777">
      <w:pPr>
        <w:jc w:val="center"/>
        <w:rPr>
          <w:b/>
        </w:rPr>
      </w:pPr>
      <w:r w:rsidRPr="00022A54">
        <w:rPr>
          <w:b/>
        </w:rPr>
        <w:t>Formative Research and Tool Development</w:t>
      </w:r>
    </w:p>
    <w:p w:rsidR="003315D4" w:rsidP="003315D4" w14:paraId="2FF5A813" w14:textId="77777777">
      <w:pPr>
        <w:jc w:val="center"/>
      </w:pPr>
      <w:r w:rsidRPr="00022A54">
        <w:t>OMB No. 0920-0840</w:t>
      </w:r>
    </w:p>
    <w:p w:rsidR="003315D4" w:rsidP="003315D4" w14:paraId="7E3DBA70" w14:textId="77777777">
      <w:pPr>
        <w:jc w:val="center"/>
      </w:pPr>
    </w:p>
    <w:p w:rsidR="003315D4" w:rsidRPr="00AB10B8" w:rsidP="003315D4" w14:paraId="21265D37" w14:textId="3378F5AF">
      <w:pPr>
        <w:jc w:val="center"/>
        <w:rPr>
          <w:b/>
        </w:rPr>
      </w:pPr>
      <w:r>
        <w:rPr>
          <w:b/>
        </w:rPr>
        <w:t>Attachment 10:  List of Approved GenIC (</w:t>
      </w:r>
      <w:r w:rsidRPr="006E3778" w:rsidR="006E3778">
        <w:rPr>
          <w:b/>
        </w:rPr>
        <w:t>07/13/2021</w:t>
      </w:r>
      <w:r>
        <w:rPr>
          <w:b/>
        </w:rPr>
        <w:t>- 7/31/2</w:t>
      </w:r>
      <w:r w:rsidR="004E457B">
        <w:rPr>
          <w:b/>
        </w:rPr>
        <w:t>024</w:t>
      </w:r>
      <w:r>
        <w:rPr>
          <w:b/>
        </w:rPr>
        <w:t>)</w:t>
      </w:r>
    </w:p>
    <w:p w:rsidR="003315D4" w:rsidP="003315D4" w14:paraId="4CB4D03E" w14:textId="2E67A569">
      <w:pPr>
        <w:jc w:val="center"/>
      </w:pPr>
      <w:r>
        <w:rPr>
          <w:rFonts w:ascii="Arial" w:hAnsi="Arial" w:cs="Arial"/>
          <w:sz w:val="18"/>
          <w:szCs w:val="18"/>
        </w:rPr>
        <w:t xml:space="preserve">Number of Information Collection (IC) in this ICR: </w:t>
      </w:r>
      <w:hyperlink r:id="rId4" w:history="1">
        <w:r w:rsidRPr="0048515D" w:rsidR="0048515D">
          <w:rPr>
            <w:rStyle w:val="Hyperlink"/>
            <w:rFonts w:ascii="Arial" w:hAnsi="Arial" w:cs="Arial"/>
            <w:b/>
            <w:bCs/>
            <w:color w:val="0070C0"/>
            <w:sz w:val="18"/>
            <w:szCs w:val="18"/>
          </w:rPr>
          <w:t>5</w:t>
        </w:r>
      </w:hyperlink>
    </w:p>
    <w:p w:rsidR="003315D4" w:rsidP="003315D4" w14:paraId="4FA5AC1F" w14:textId="77777777">
      <w:pPr>
        <w:shd w:val="clear" w:color="auto" w:fill="F8F8F8"/>
        <w:spacing w:before="75" w:line="240" w:lineRule="auto"/>
        <w:jc w:val="center"/>
        <w:outlineLvl w:val="0"/>
        <w:rPr>
          <w:rFonts w:ascii="Arial" w:eastAsia="Times New Roman" w:hAnsi="Arial" w:cs="Arial"/>
          <w:b/>
          <w:bCs/>
          <w:kern w:val="36"/>
          <w:sz w:val="30"/>
          <w:szCs w:val="30"/>
        </w:rPr>
      </w:pPr>
      <w:r w:rsidRPr="00E93E36">
        <w:rPr>
          <w:rFonts w:ascii="Arial" w:eastAsia="Times New Roman" w:hAnsi="Arial" w:cs="Arial"/>
          <w:b/>
          <w:bCs/>
          <w:kern w:val="36"/>
          <w:sz w:val="30"/>
          <w:szCs w:val="30"/>
        </w:rPr>
        <w:t>Information Collection List</w:t>
      </w:r>
    </w:p>
    <w:p w:rsidR="003315D4" w:rsidP="003315D4" w14:paraId="21C8F3AF" w14:textId="77777777">
      <w:pPr>
        <w:shd w:val="clear" w:color="auto" w:fill="F8F8F8"/>
        <w:spacing w:before="75" w:line="240" w:lineRule="auto"/>
        <w:jc w:val="center"/>
        <w:outlineLvl w:val="0"/>
        <w:rPr>
          <w:rFonts w:ascii="Arial" w:eastAsia="Times New Roman" w:hAnsi="Arial" w:cs="Arial"/>
          <w:b/>
          <w:bCs/>
          <w:kern w:val="36"/>
          <w:sz w:val="30"/>
          <w:szCs w:val="30"/>
        </w:rPr>
      </w:pPr>
      <w:r>
        <w:rPr>
          <w:rFonts w:ascii="Arial" w:eastAsia="Times New Roman" w:hAnsi="Arial" w:cs="Arial"/>
          <w:b/>
          <w:bCs/>
          <w:kern w:val="36"/>
          <w:sz w:val="30"/>
          <w:szCs w:val="30"/>
        </w:rPr>
        <w:t xml:space="preserve">5 ICRs </w:t>
      </w:r>
      <w:r>
        <w:rPr>
          <w:rFonts w:ascii="Arial" w:eastAsia="Times New Roman" w:hAnsi="Arial" w:cs="Arial"/>
          <w:b/>
          <w:bCs/>
          <w:kern w:val="36"/>
          <w:sz w:val="30"/>
          <w:szCs w:val="30"/>
        </w:rPr>
        <w:t>approved</w:t>
      </w:r>
    </w:p>
    <w:p w:rsidR="003A2D2A" w:rsidP="003315D4" w14:paraId="23A74B91" w14:textId="5EF72BBB">
      <w:pPr>
        <w:jc w:val="center"/>
      </w:pPr>
    </w:p>
    <w:tbl>
      <w:tblPr>
        <w:tblStyle w:val="TableGrid"/>
        <w:tblW w:w="9445" w:type="dxa"/>
        <w:tblLook w:val="04A0"/>
      </w:tblPr>
      <w:tblGrid>
        <w:gridCol w:w="1165"/>
        <w:gridCol w:w="2970"/>
        <w:gridCol w:w="5310"/>
      </w:tblGrid>
      <w:tr w14:paraId="1C7D0C1A" w14:textId="03AF83A4" w:rsidTr="000B3BEC">
        <w:tblPrEx>
          <w:tblW w:w="9445" w:type="dxa"/>
          <w:tblLook w:val="04A0"/>
        </w:tblPrEx>
        <w:tc>
          <w:tcPr>
            <w:tcW w:w="1165" w:type="dxa"/>
            <w:shd w:val="clear" w:color="auto" w:fill="9CC2E5" w:themeFill="accent5" w:themeFillTint="99"/>
          </w:tcPr>
          <w:p w:rsidR="00B73EAD" w:rsidRPr="00303FA0" w14:paraId="55F4EE5A" w14:textId="0605BA6C">
            <w:pPr>
              <w:rPr>
                <w:rFonts w:cstheme="minorHAnsi"/>
                <w:b/>
                <w:bCs/>
              </w:rPr>
            </w:pPr>
            <w:r>
              <w:rPr>
                <w:rFonts w:cstheme="minorHAnsi"/>
                <w:b/>
                <w:bCs/>
              </w:rPr>
              <w:t>CDC#</w:t>
            </w:r>
          </w:p>
        </w:tc>
        <w:tc>
          <w:tcPr>
            <w:tcW w:w="2970" w:type="dxa"/>
            <w:shd w:val="clear" w:color="auto" w:fill="9CC2E5" w:themeFill="accent5" w:themeFillTint="99"/>
          </w:tcPr>
          <w:p w:rsidR="00B73EAD" w:rsidRPr="00303FA0" w14:paraId="51ED6D0A" w14:textId="4B1268D6">
            <w:pPr>
              <w:rPr>
                <w:rFonts w:cstheme="minorHAnsi"/>
                <w:b/>
                <w:bCs/>
              </w:rPr>
            </w:pPr>
            <w:r w:rsidRPr="00303FA0">
              <w:rPr>
                <w:rFonts w:cstheme="minorHAnsi"/>
                <w:b/>
                <w:bCs/>
              </w:rPr>
              <w:t xml:space="preserve">ICR </w:t>
            </w:r>
            <w:r w:rsidRPr="00303FA0">
              <w:rPr>
                <w:rFonts w:cstheme="minorHAnsi"/>
                <w:b/>
                <w:bCs/>
              </w:rPr>
              <w:t>Title</w:t>
            </w:r>
            <w:r w:rsidR="00303FA0">
              <w:rPr>
                <w:rFonts w:cstheme="minorHAnsi"/>
                <w:b/>
                <w:bCs/>
              </w:rPr>
              <w:t xml:space="preserve">  0920</w:t>
            </w:r>
            <w:r w:rsidR="00303FA0">
              <w:rPr>
                <w:rFonts w:cstheme="minorHAnsi"/>
                <w:b/>
                <w:bCs/>
              </w:rPr>
              <w:t>-0840</w:t>
            </w:r>
          </w:p>
        </w:tc>
        <w:tc>
          <w:tcPr>
            <w:tcW w:w="5310" w:type="dxa"/>
            <w:shd w:val="clear" w:color="auto" w:fill="9CC2E5" w:themeFill="accent5" w:themeFillTint="99"/>
          </w:tcPr>
          <w:p w:rsidR="00B73EAD" w:rsidRPr="00303FA0" w14:paraId="7F59CEFD" w14:textId="077F1796">
            <w:pPr>
              <w:rPr>
                <w:rFonts w:cstheme="minorHAnsi"/>
                <w:b/>
                <w:bCs/>
              </w:rPr>
            </w:pPr>
            <w:r>
              <w:rPr>
                <w:rFonts w:cstheme="minorHAnsi"/>
                <w:b/>
                <w:bCs/>
              </w:rPr>
              <w:t>Goal of Study</w:t>
            </w:r>
          </w:p>
        </w:tc>
      </w:tr>
      <w:tr w14:paraId="6D982C7F" w14:textId="1F0B68FE" w:rsidTr="000B3BEC">
        <w:tblPrEx>
          <w:tblW w:w="9445" w:type="dxa"/>
          <w:tblLook w:val="04A0"/>
        </w:tblPrEx>
        <w:tc>
          <w:tcPr>
            <w:tcW w:w="1165" w:type="dxa"/>
            <w:shd w:val="clear" w:color="auto" w:fill="FFFFFF"/>
          </w:tcPr>
          <w:p w:rsidR="00B73EAD" w:rsidRPr="00303FA0" w:rsidP="00F17AC5" w14:paraId="6FED7638" w14:textId="17B0DEC3">
            <w:pPr>
              <w:rPr>
                <w:rFonts w:cstheme="minorHAnsi"/>
                <w:color w:val="0070C0"/>
              </w:rPr>
            </w:pPr>
            <w:r w:rsidRPr="00A7218B">
              <w:rPr>
                <w:rFonts w:cstheme="minorHAnsi"/>
              </w:rPr>
              <w:t>0920-22HZ</w:t>
            </w:r>
          </w:p>
        </w:tc>
        <w:tc>
          <w:tcPr>
            <w:tcW w:w="2970" w:type="dxa"/>
            <w:shd w:val="clear" w:color="auto" w:fill="FFFFFF"/>
          </w:tcPr>
          <w:p w:rsidR="00B73EAD" w:rsidRPr="00303FA0" w:rsidP="00F17AC5" w14:paraId="43E2C479" w14:textId="08D50A01">
            <w:pPr>
              <w:rPr>
                <w:rFonts w:cstheme="minorHAnsi"/>
                <w:color w:val="0070C0"/>
              </w:rPr>
            </w:pPr>
            <w:hyperlink r:id="rId5" w:history="1">
              <w:r w:rsidRPr="00303FA0">
                <w:rPr>
                  <w:rStyle w:val="Hyperlink"/>
                  <w:rFonts w:cstheme="minorHAnsi"/>
                  <w:color w:val="0070C0"/>
                </w:rPr>
                <w:t>DASH COVID-19 Demonstration: Mental Health Formative Evaluation and Pilot Study</w:t>
              </w:r>
            </w:hyperlink>
          </w:p>
        </w:tc>
        <w:tc>
          <w:tcPr>
            <w:tcW w:w="5310" w:type="dxa"/>
            <w:shd w:val="clear" w:color="auto" w:fill="FFFFFF"/>
          </w:tcPr>
          <w:p w:rsidR="00B73EAD" w:rsidP="00F074D6" w14:paraId="7A40CF7C" w14:textId="77777777">
            <w:pPr>
              <w:rPr>
                <w:rFonts w:cstheme="minorHAnsi"/>
              </w:rPr>
            </w:pPr>
            <w:r>
              <w:rPr>
                <w:rFonts w:cstheme="minorHAnsi"/>
              </w:rPr>
              <w:t xml:space="preserve">In this study, </w:t>
            </w:r>
            <w:r w:rsidRPr="00E976C5" w:rsidR="00E976C5">
              <w:rPr>
                <w:rFonts w:cstheme="minorHAnsi"/>
              </w:rPr>
              <w:t xml:space="preserve"> (CDC's) Division of Adolescent and School Health (DASH) is working with the American Institutes for Research (AIR) to conduct a Mental Health Formative Evaluation and Pilot Project with Washoe County School District (WCSD)</w:t>
            </w:r>
            <w:r>
              <w:rPr>
                <w:rFonts w:cstheme="minorHAnsi"/>
              </w:rPr>
              <w:t xml:space="preserve"> </w:t>
            </w:r>
            <w:r w:rsidRPr="00E976C5" w:rsidR="00E976C5">
              <w:rPr>
                <w:rFonts w:cstheme="minorHAnsi"/>
              </w:rPr>
              <w:t>to evaluate WCSD’s approach to  mental health promotion to help middle and high school students recover from the adverse effects of the COVID-19 pandemic and other traumas, in order to</w:t>
            </w:r>
            <w:r>
              <w:rPr>
                <w:rFonts w:cstheme="minorHAnsi"/>
              </w:rPr>
              <w:t xml:space="preserve"> </w:t>
            </w:r>
            <w:r w:rsidRPr="00E976C5" w:rsidR="00E976C5">
              <w:rPr>
                <w:rFonts w:cstheme="minorHAnsi"/>
              </w:rPr>
              <w:t>1) promote overall student emotional well-being, 2) use formative evaluation data to guide implementation improvements and technical assistance; and, 3) evaluate WSCD’s mental health strategies in selected schools within the district . The project team will use data to evaluate the extent to which the implementation of WCSD’s priority strategy is associated with outcomes of interest, including: (a) increased reach of Tier 1 and 2 supports, (b) improved target outcomes among students, (c) improved target outcomes among staff (perceptions of relationships, staff mental health, well-being, safety, and staff-reported student mental health and behavior), and (d) reductions in disciplinary referrals and the use of exclusionary discipline in schools implementing the priority strategy relative to students and staff in comparison schools. The team will also use the data to inform the training and technical assistance provided to improve implementation of mental health supports.</w:t>
            </w:r>
          </w:p>
          <w:p w:rsidR="00F074D6" w:rsidP="00F074D6" w14:paraId="6CD04C14" w14:textId="77777777">
            <w:pPr>
              <w:rPr>
                <w:rFonts w:cstheme="minorHAnsi"/>
              </w:rPr>
            </w:pPr>
          </w:p>
          <w:p w:rsidR="00F074D6" w:rsidRPr="00E976C5" w:rsidP="00F074D6" w14:paraId="13C78ADA" w14:textId="2364CB19">
            <w:pPr>
              <w:rPr>
                <w:rFonts w:cstheme="minorHAnsi"/>
              </w:rPr>
            </w:pPr>
          </w:p>
        </w:tc>
      </w:tr>
      <w:tr w14:paraId="0A4AB97D" w14:textId="25ED33EB" w:rsidTr="000B3BEC">
        <w:tblPrEx>
          <w:tblW w:w="9445" w:type="dxa"/>
          <w:tblLook w:val="04A0"/>
        </w:tblPrEx>
        <w:tc>
          <w:tcPr>
            <w:tcW w:w="1165" w:type="dxa"/>
            <w:shd w:val="clear" w:color="auto" w:fill="EFEFEF"/>
          </w:tcPr>
          <w:p w:rsidR="00B73EAD" w:rsidRPr="00303FA0" w:rsidP="00F17AC5" w14:paraId="73A23544" w14:textId="4308E84E">
            <w:pPr>
              <w:rPr>
                <w:rFonts w:cstheme="minorHAnsi"/>
              </w:rPr>
            </w:pPr>
            <w:r w:rsidRPr="00303FA0">
              <w:rPr>
                <w:rFonts w:cstheme="minorHAnsi"/>
                <w:color w:val="000000"/>
                <w:shd w:val="clear" w:color="auto" w:fill="FFFFFF"/>
              </w:rPr>
              <w:t>0920-22IF</w:t>
            </w:r>
          </w:p>
        </w:tc>
        <w:tc>
          <w:tcPr>
            <w:tcW w:w="2970" w:type="dxa"/>
            <w:shd w:val="clear" w:color="auto" w:fill="EFEFEF"/>
          </w:tcPr>
          <w:p w:rsidR="00B73EAD" w:rsidRPr="00303FA0" w:rsidP="00F17AC5" w14:paraId="0445F167" w14:textId="19913B72">
            <w:pPr>
              <w:rPr>
                <w:rFonts w:cstheme="minorHAnsi"/>
              </w:rPr>
            </w:pPr>
            <w:hyperlink r:id="rId6" w:history="1">
              <w:r w:rsidRPr="00F17AC5">
                <w:rPr>
                  <w:rStyle w:val="Hyperlink"/>
                  <w:rFonts w:cstheme="minorHAnsi"/>
                </w:rPr>
                <w:t>DASH COVID-19 School Connectedness Formative Evaluation - Pilot Study</w:t>
              </w:r>
            </w:hyperlink>
          </w:p>
        </w:tc>
        <w:tc>
          <w:tcPr>
            <w:tcW w:w="5310" w:type="dxa"/>
            <w:shd w:val="clear" w:color="auto" w:fill="EFEFEF"/>
          </w:tcPr>
          <w:p w:rsidR="00B73EAD" w:rsidP="00F17AC5" w14:paraId="5A68C5E3" w14:textId="77777777">
            <w:pPr>
              <w:rPr>
                <w:rFonts w:cstheme="minorHAnsi"/>
              </w:rPr>
            </w:pPr>
            <w:r w:rsidRPr="00952975">
              <w:rPr>
                <w:rFonts w:cstheme="minorHAnsi"/>
              </w:rPr>
              <w:t xml:space="preserve">The project team will use primary data collected by AIR on behalf of CDC-DASH to assess implementation of RC and RJ approaches in participating schools. This includes </w:t>
            </w:r>
            <w:r w:rsidRPr="00952975">
              <w:rPr>
                <w:rFonts w:cstheme="minorHAnsi"/>
              </w:rPr>
              <w:t>assessment of the selection, adaptation, and implementation of RC and RJ in schools; facilitators and barriers to implementation; communication and collaboration among staff; sufficiency of supports and training received; satisfaction with AIR’s technical assistance; lessons learned; and sustainability and scalability.</w:t>
            </w:r>
          </w:p>
          <w:p w:rsidR="00594606" w:rsidP="00F17AC5" w14:paraId="42F75BCA" w14:textId="77777777">
            <w:pPr>
              <w:rPr>
                <w:rFonts w:cstheme="minorHAnsi"/>
              </w:rPr>
            </w:pPr>
          </w:p>
          <w:p w:rsidR="00594606" w:rsidRPr="00303FA0" w:rsidP="00F17AC5" w14:paraId="17ED8E06" w14:textId="007C7DEB">
            <w:pPr>
              <w:rPr>
                <w:rFonts w:cstheme="minorHAnsi"/>
              </w:rPr>
            </w:pPr>
          </w:p>
        </w:tc>
      </w:tr>
      <w:tr w14:paraId="6664AAAD" w14:textId="28B2C915" w:rsidTr="000B3BEC">
        <w:tblPrEx>
          <w:tblW w:w="9445" w:type="dxa"/>
          <w:tblLook w:val="04A0"/>
        </w:tblPrEx>
        <w:tc>
          <w:tcPr>
            <w:tcW w:w="1165" w:type="dxa"/>
            <w:shd w:val="clear" w:color="auto" w:fill="EFEFEF"/>
          </w:tcPr>
          <w:p w:rsidR="00B73EAD" w:rsidRPr="00303FA0" w:rsidP="00F17AC5" w14:paraId="09E40D4E" w14:textId="37ACB5E0">
            <w:pPr>
              <w:rPr>
                <w:rFonts w:cstheme="minorHAnsi"/>
              </w:rPr>
            </w:pPr>
            <w:r w:rsidRPr="00303FA0">
              <w:rPr>
                <w:rFonts w:cstheme="minorHAnsi"/>
              </w:rPr>
              <w:t>0920-22FM</w:t>
            </w:r>
          </w:p>
        </w:tc>
        <w:tc>
          <w:tcPr>
            <w:tcW w:w="2970" w:type="dxa"/>
            <w:shd w:val="clear" w:color="auto" w:fill="EFEFEF"/>
          </w:tcPr>
          <w:p w:rsidR="00B73EAD" w:rsidRPr="00303FA0" w:rsidP="00F17AC5" w14:paraId="6FBAA54F" w14:textId="2109A3F7">
            <w:pPr>
              <w:rPr>
                <w:rFonts w:cstheme="minorHAnsi"/>
              </w:rPr>
            </w:pPr>
            <w:hyperlink r:id="rId7" w:history="1">
              <w:r w:rsidRPr="00F17AC5">
                <w:rPr>
                  <w:rStyle w:val="Hyperlink"/>
                  <w:rFonts w:cstheme="minorHAnsi"/>
                </w:rPr>
                <w:t>DASH DEMO: Comprehensive Health Educator Core Knowledge and Skills (CHECKS) Professional Development (PD) Pilot Study</w:t>
              </w:r>
            </w:hyperlink>
          </w:p>
        </w:tc>
        <w:tc>
          <w:tcPr>
            <w:tcW w:w="5310" w:type="dxa"/>
            <w:shd w:val="clear" w:color="auto" w:fill="EFEFEF"/>
          </w:tcPr>
          <w:p w:rsidR="00B73EAD" w:rsidP="00F17AC5" w14:paraId="77FB7B20" w14:textId="2290CFB2">
            <w:pPr>
              <w:rPr>
                <w:rFonts w:cstheme="minorHAnsi"/>
              </w:rPr>
            </w:pPr>
            <w:r w:rsidRPr="00303FA0">
              <w:rPr>
                <w:rFonts w:cstheme="minorHAnsi"/>
              </w:rPr>
              <w:t xml:space="preserve">The overall aim of the Comprehensive Health Educator Core Knowledge and Skills (CHECKS) Professional Development (PD) Pilot Study is to better understand the extent to which health education teachers possess instructional competencies (ICs), (i.e., essential knowledge and skills for teaching) and to test the effectiveness of a PD package intended to strengthen those ICs. These efforts have </w:t>
            </w:r>
            <w:r w:rsidRPr="00303FA0">
              <w:rPr>
                <w:rFonts w:cstheme="minorHAnsi"/>
              </w:rPr>
              <w:t>an ultimate goal</w:t>
            </w:r>
            <w:r w:rsidRPr="00303FA0">
              <w:rPr>
                <w:rFonts w:cstheme="minorHAnsi"/>
              </w:rPr>
              <w:t xml:space="preserve"> of developing a PD package that leads to effective teacher delivery of comprehensive health education in schools. The CHECKS PD Pilot Study </w:t>
            </w:r>
            <w:r w:rsidR="00172CA1">
              <w:rPr>
                <w:rFonts w:cstheme="minorHAnsi"/>
              </w:rPr>
              <w:t>was</w:t>
            </w:r>
            <w:r w:rsidRPr="00303FA0">
              <w:rPr>
                <w:rFonts w:cstheme="minorHAnsi"/>
              </w:rPr>
              <w:t xml:space="preserve"> conducted with a middle school and high school health education teachers from up to three CDC Division of Adolescent Health (DASH) PS18-1807 Funded Recipients (Local Education Agencies).</w:t>
            </w:r>
          </w:p>
          <w:p w:rsidR="00594606" w:rsidRPr="00303FA0" w:rsidP="00F17AC5" w14:paraId="6DD8E299" w14:textId="26892FCC">
            <w:pPr>
              <w:rPr>
                <w:rFonts w:cstheme="minorHAnsi"/>
              </w:rPr>
            </w:pPr>
          </w:p>
        </w:tc>
      </w:tr>
      <w:tr w14:paraId="4BA19AC2" w14:textId="0318360A" w:rsidTr="000B3BEC">
        <w:tblPrEx>
          <w:tblW w:w="9445" w:type="dxa"/>
          <w:tblLook w:val="04A0"/>
        </w:tblPrEx>
        <w:tc>
          <w:tcPr>
            <w:tcW w:w="1165" w:type="dxa"/>
            <w:shd w:val="clear" w:color="auto" w:fill="EFEFEF"/>
          </w:tcPr>
          <w:p w:rsidR="00B73EAD" w:rsidRPr="00303FA0" w:rsidP="00F17AC5" w14:paraId="231ADE3F" w14:textId="178A2558">
            <w:pPr>
              <w:rPr>
                <w:rFonts w:cstheme="minorHAnsi"/>
              </w:rPr>
            </w:pPr>
            <w:r w:rsidRPr="00303FA0">
              <w:rPr>
                <w:rFonts w:cstheme="minorHAnsi"/>
              </w:rPr>
              <w:t>0920-22GM</w:t>
            </w:r>
          </w:p>
        </w:tc>
        <w:tc>
          <w:tcPr>
            <w:tcW w:w="2970" w:type="dxa"/>
            <w:shd w:val="clear" w:color="auto" w:fill="EFEFEF"/>
          </w:tcPr>
          <w:p w:rsidR="00B73EAD" w:rsidRPr="00303FA0" w:rsidP="00F17AC5" w14:paraId="3EF4AD1A" w14:textId="001E3D1B">
            <w:pPr>
              <w:rPr>
                <w:rFonts w:cstheme="minorHAnsi"/>
              </w:rPr>
            </w:pPr>
            <w:hyperlink r:id="rId8" w:history="1">
              <w:r w:rsidRPr="00F17AC5">
                <w:rPr>
                  <w:rStyle w:val="Hyperlink"/>
                  <w:rFonts w:cstheme="minorHAnsi"/>
                </w:rPr>
                <w:t>DASH DEMO: LGBTQ Inclusivity Toolkit Evaluation</w:t>
              </w:r>
            </w:hyperlink>
          </w:p>
        </w:tc>
        <w:tc>
          <w:tcPr>
            <w:tcW w:w="5310" w:type="dxa"/>
            <w:shd w:val="clear" w:color="auto" w:fill="EFEFEF"/>
          </w:tcPr>
          <w:p w:rsidR="00B73EAD" w:rsidP="00F17AC5" w14:paraId="354A8852" w14:textId="77777777">
            <w:pPr>
              <w:rPr>
                <w:rFonts w:cstheme="minorHAnsi"/>
              </w:rPr>
            </w:pPr>
            <w:r w:rsidRPr="00303FA0">
              <w:rPr>
                <w:rFonts w:cstheme="minorHAnsi"/>
              </w:rPr>
              <w:t xml:space="preserve">Through the LGBTQ Inclusivity Toolkit Evaluation Study, CDC/DASH will gain valuable insight into the utility of a </w:t>
            </w:r>
            <w:r w:rsidRPr="00303FA0">
              <w:rPr>
                <w:rFonts w:cstheme="minorHAnsi"/>
              </w:rPr>
              <w:t>newly-designed</w:t>
            </w:r>
            <w:r w:rsidRPr="00303FA0">
              <w:rPr>
                <w:rFonts w:cstheme="minorHAnsi"/>
              </w:rPr>
              <w:t xml:space="preserve"> and piloted toolkit in secondary school settings. LGBTQ Inclusivity Toolkit Evaluation Pilot Study will be implemented during the </w:t>
            </w:r>
            <w:r w:rsidRPr="00303FA0">
              <w:rPr>
                <w:rFonts w:cstheme="minorHAnsi"/>
                <w:b/>
                <w:bCs/>
              </w:rPr>
              <w:t>2022-2023</w:t>
            </w:r>
            <w:r w:rsidRPr="00303FA0">
              <w:rPr>
                <w:rFonts w:cstheme="minorHAnsi"/>
              </w:rPr>
              <w:t xml:space="preserve"> academic year in three local education agencies (i.e., school districts) in the United States. Ultimately, findings from this study will provide evidence needed for strengthening existing materials to better facilitate the uptake of strategies to create safe and supportive environments for students with LGBTQ identities.</w:t>
            </w:r>
          </w:p>
          <w:p w:rsidR="00594606" w:rsidP="00F17AC5" w14:paraId="00D63A29" w14:textId="77777777">
            <w:pPr>
              <w:rPr>
                <w:rFonts w:cstheme="minorHAnsi"/>
              </w:rPr>
            </w:pPr>
          </w:p>
          <w:p w:rsidR="00594606" w:rsidRPr="00303FA0" w:rsidP="00F17AC5" w14:paraId="52DDCDA9" w14:textId="075C73E1">
            <w:pPr>
              <w:rPr>
                <w:rFonts w:cstheme="minorHAnsi"/>
              </w:rPr>
            </w:pPr>
          </w:p>
        </w:tc>
      </w:tr>
      <w:tr w14:paraId="47ADA995" w14:textId="55B0401E" w:rsidTr="000B3BEC">
        <w:tblPrEx>
          <w:tblW w:w="9445" w:type="dxa"/>
          <w:tblLook w:val="04A0"/>
        </w:tblPrEx>
        <w:tc>
          <w:tcPr>
            <w:tcW w:w="1165" w:type="dxa"/>
            <w:shd w:val="clear" w:color="auto" w:fill="EFEFEF"/>
          </w:tcPr>
          <w:p w:rsidR="00B73EAD" w:rsidRPr="00303FA0" w:rsidP="00F17AC5" w14:paraId="1E2DBE0F" w14:textId="38DBCDA6">
            <w:pPr>
              <w:rPr>
                <w:rFonts w:cstheme="minorHAnsi"/>
              </w:rPr>
            </w:pPr>
            <w:r w:rsidRPr="00303FA0">
              <w:rPr>
                <w:rFonts w:cstheme="minorHAnsi"/>
              </w:rPr>
              <w:t>0920-2</w:t>
            </w:r>
            <w:r w:rsidRPr="00303FA0" w:rsidR="00044669">
              <w:rPr>
                <w:rFonts w:cstheme="minorHAnsi"/>
              </w:rPr>
              <w:t>3</w:t>
            </w:r>
            <w:r w:rsidRPr="00303FA0">
              <w:rPr>
                <w:rFonts w:cstheme="minorHAnsi"/>
              </w:rPr>
              <w:t>GM</w:t>
            </w:r>
          </w:p>
        </w:tc>
        <w:tc>
          <w:tcPr>
            <w:tcW w:w="2970" w:type="dxa"/>
            <w:shd w:val="clear" w:color="auto" w:fill="EFEFEF"/>
          </w:tcPr>
          <w:p w:rsidR="00B73EAD" w:rsidRPr="00303FA0" w:rsidP="00F17AC5" w14:paraId="11BAD5ED" w14:textId="5F0000DB">
            <w:pPr>
              <w:rPr>
                <w:rFonts w:cstheme="minorHAnsi"/>
              </w:rPr>
            </w:pPr>
            <w:hyperlink r:id="rId9" w:history="1">
              <w:r w:rsidRPr="00F17AC5">
                <w:rPr>
                  <w:rStyle w:val="Hyperlink"/>
                  <w:rFonts w:cstheme="minorHAnsi"/>
                </w:rPr>
                <w:t>[NCHHSTP] DASH DEMO: LGBTQ Inclusivity Toolkit Evaluation 2022-2024</w:t>
              </w:r>
            </w:hyperlink>
          </w:p>
        </w:tc>
        <w:tc>
          <w:tcPr>
            <w:tcW w:w="5310" w:type="dxa"/>
            <w:shd w:val="clear" w:color="auto" w:fill="EFEFEF"/>
          </w:tcPr>
          <w:p w:rsidR="00B73EAD" w:rsidP="00F17AC5" w14:paraId="54456D78" w14:textId="63D2CC76">
            <w:pPr>
              <w:rPr>
                <w:rFonts w:cstheme="minorHAnsi"/>
              </w:rPr>
            </w:pPr>
            <w:r>
              <w:rPr>
                <w:rFonts w:cstheme="minorHAnsi"/>
              </w:rPr>
              <w:t>The 2022-2024</w:t>
            </w:r>
            <w:r w:rsidRPr="00303FA0" w:rsidR="00042BB6">
              <w:rPr>
                <w:rFonts w:cstheme="minorHAnsi"/>
              </w:rPr>
              <w:t xml:space="preserve"> LGBTQ Inclusivity Toolkit Evaluation Study, CDC/DASH </w:t>
            </w:r>
            <w:r>
              <w:rPr>
                <w:rFonts w:cstheme="minorHAnsi"/>
              </w:rPr>
              <w:t>continued to gain</w:t>
            </w:r>
            <w:r w:rsidRPr="00303FA0" w:rsidR="00042BB6">
              <w:rPr>
                <w:rFonts w:cstheme="minorHAnsi"/>
              </w:rPr>
              <w:t xml:space="preserve"> insight into the utility of </w:t>
            </w:r>
            <w:r>
              <w:rPr>
                <w:rFonts w:cstheme="minorHAnsi"/>
              </w:rPr>
              <w:t>the</w:t>
            </w:r>
            <w:r w:rsidRPr="00303FA0" w:rsidR="00042BB6">
              <w:rPr>
                <w:rFonts w:cstheme="minorHAnsi"/>
              </w:rPr>
              <w:t xml:space="preserve"> piloted toolkit in secondary school settings. </w:t>
            </w:r>
            <w:r>
              <w:rPr>
                <w:rFonts w:cstheme="minorHAnsi"/>
              </w:rPr>
              <w:t>This approved s</w:t>
            </w:r>
            <w:r w:rsidRPr="00303FA0" w:rsidR="00042BB6">
              <w:rPr>
                <w:rFonts w:cstheme="minorHAnsi"/>
              </w:rPr>
              <w:t xml:space="preserve">tudy will be implemented during the </w:t>
            </w:r>
            <w:r w:rsidRPr="00303FA0" w:rsidR="00042BB6">
              <w:rPr>
                <w:rFonts w:cstheme="minorHAnsi"/>
                <w:b/>
                <w:bCs/>
              </w:rPr>
              <w:t>2023-2024</w:t>
            </w:r>
            <w:r w:rsidRPr="00303FA0" w:rsidR="00042BB6">
              <w:rPr>
                <w:rFonts w:cstheme="minorHAnsi"/>
              </w:rPr>
              <w:t xml:space="preserve"> academic year in three local education agencies (i.e., </w:t>
            </w:r>
            <w:r w:rsidRPr="00303FA0" w:rsidR="00042BB6">
              <w:rPr>
                <w:rFonts w:cstheme="minorHAnsi"/>
              </w:rPr>
              <w:t>sc</w:t>
            </w:r>
            <w:r w:rsidR="002418BD">
              <w:rPr>
                <w:rFonts w:cstheme="minorHAnsi"/>
              </w:rPr>
              <w:t>xc</w:t>
            </w:r>
            <w:r w:rsidRPr="00303FA0" w:rsidR="00042BB6">
              <w:rPr>
                <w:rFonts w:cstheme="minorHAnsi"/>
              </w:rPr>
              <w:t>hool</w:t>
            </w:r>
            <w:r w:rsidRPr="00303FA0" w:rsidR="00042BB6">
              <w:rPr>
                <w:rFonts w:cstheme="minorHAnsi"/>
              </w:rPr>
              <w:t xml:space="preserve"> districts) in the United States. Ultimately, findings from this study will provide evidence needed for strengthening existing materials to better facilitate the uptake of strategies to create safe and </w:t>
            </w:r>
            <w:r w:rsidRPr="00303FA0" w:rsidR="00042BB6">
              <w:rPr>
                <w:rFonts w:cstheme="minorHAnsi"/>
              </w:rPr>
              <w:t>supportive environments for students with LGBTQ identities.</w:t>
            </w:r>
          </w:p>
          <w:p w:rsidR="00594606" w:rsidRPr="00303FA0" w:rsidP="00F17AC5" w14:paraId="65989404" w14:textId="3581EBF2">
            <w:pPr>
              <w:rPr>
                <w:rFonts w:cstheme="minorHAnsi"/>
              </w:rPr>
            </w:pPr>
          </w:p>
        </w:tc>
      </w:tr>
    </w:tbl>
    <w:p w:rsidR="00F17AC5" w14:paraId="17625B93" w14:textId="50988C7C"/>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C5"/>
    <w:rsid w:val="00022A54"/>
    <w:rsid w:val="00042BB6"/>
    <w:rsid w:val="00044669"/>
    <w:rsid w:val="000B3BEC"/>
    <w:rsid w:val="00172CA1"/>
    <w:rsid w:val="001F54B6"/>
    <w:rsid w:val="00210551"/>
    <w:rsid w:val="002418BD"/>
    <w:rsid w:val="00303FA0"/>
    <w:rsid w:val="003315D4"/>
    <w:rsid w:val="00371ECA"/>
    <w:rsid w:val="003A2D2A"/>
    <w:rsid w:val="003F20F9"/>
    <w:rsid w:val="0048515D"/>
    <w:rsid w:val="004B6EE3"/>
    <w:rsid w:val="004E457B"/>
    <w:rsid w:val="00542B9B"/>
    <w:rsid w:val="00594606"/>
    <w:rsid w:val="006E3778"/>
    <w:rsid w:val="007E0B90"/>
    <w:rsid w:val="008668EF"/>
    <w:rsid w:val="00952975"/>
    <w:rsid w:val="00A7218B"/>
    <w:rsid w:val="00AA3B04"/>
    <w:rsid w:val="00AB10B8"/>
    <w:rsid w:val="00B73EAD"/>
    <w:rsid w:val="00D15468"/>
    <w:rsid w:val="00E93E36"/>
    <w:rsid w:val="00E976C5"/>
    <w:rsid w:val="00F074D6"/>
    <w:rsid w:val="00F17A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0DE461"/>
  <w15:chartTrackingRefBased/>
  <w15:docId w15:val="{7EA68612-E6CC-44F3-8E2C-4FF5FFE2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7AC5"/>
    <w:rPr>
      <w:color w:val="0563C1" w:themeColor="hyperlink"/>
      <w:u w:val="single"/>
    </w:rPr>
  </w:style>
  <w:style w:type="character" w:styleId="UnresolvedMention">
    <w:name w:val="Unresolved Mention"/>
    <w:basedOn w:val="DefaultParagraphFont"/>
    <w:uiPriority w:val="99"/>
    <w:semiHidden/>
    <w:unhideWhenUsed/>
    <w:rsid w:val="00F17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eginfo.gov/public/do/PRAICList?ref_nbr=202103-0920-001" TargetMode="External" /><Relationship Id="rId5" Type="http://schemas.openxmlformats.org/officeDocument/2006/relationships/hyperlink" Target="https://www.reginfo.gov/public/do/PRAViewIC?ref_nbr=202103-0920-001&amp;icID=255648" TargetMode="External" /><Relationship Id="rId6" Type="http://schemas.openxmlformats.org/officeDocument/2006/relationships/hyperlink" Target="https://www.reginfo.gov/public/do/PRAViewIC?ref_nbr=202103-0920-001&amp;icID=255303" TargetMode="External" /><Relationship Id="rId7" Type="http://schemas.openxmlformats.org/officeDocument/2006/relationships/hyperlink" Target="https://www.reginfo.gov/public/do/PRAViewIC?ref_nbr=202103-0920-001&amp;icID=253397" TargetMode="External" /><Relationship Id="rId8" Type="http://schemas.openxmlformats.org/officeDocument/2006/relationships/hyperlink" Target="https://www.reginfo.gov/public/do/PRAViewIC?ref_nbr=202103-0920-001&amp;icID=254269" TargetMode="External" /><Relationship Id="rId9" Type="http://schemas.openxmlformats.org/officeDocument/2006/relationships/hyperlink" Target="https://www.reginfo.gov/public/do/PRAViewIC?ref_nbr=202103-0920-001&amp;icID=26095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Bonds, Constance (CDC/DDID/NCHHSTP/OD)</dc:creator>
  <cp:lastModifiedBy>Bonds, Constance (CDC/NCHHSTP/OD)</cp:lastModifiedBy>
  <cp:revision>2</cp:revision>
  <dcterms:created xsi:type="dcterms:W3CDTF">2024-01-09T17:52:00Z</dcterms:created>
  <dcterms:modified xsi:type="dcterms:W3CDTF">2024-01-09T17:52:00Z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8456f705-dc63-4248-adc1-fbb40012a958</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2023-09-06T17:58:59Z</vt:lpwstr>
  </property>
  <property fmtid="{D5CDD505-2E9C-101B-9397-08002B2CF9AE}" pid="8" name="MSIP_Label_8af03ff0-41c5-4c41-b55e-fabb8fae94be_SiteId">
    <vt:lpwstr>9ce70869-60db-44fd-abe8-d2767077fc8f</vt:lpwstr>
  </property>
</Properties>
</file>