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061C" w:rsidP="00162E04" w14:paraId="25403068" w14:textId="77777777">
      <w:pPr>
        <w:pStyle w:val="Title"/>
        <w:contextualSpacing w:val="0"/>
        <w:jc w:val="center"/>
        <w:rPr>
          <w:sz w:val="24"/>
          <w:szCs w:val="24"/>
        </w:rPr>
      </w:pPr>
    </w:p>
    <w:p w:rsidR="0006061C" w:rsidP="002E09EB" w14:paraId="29953A95" w14:textId="77777777">
      <w:pPr>
        <w:jc w:val="center"/>
      </w:pPr>
    </w:p>
    <w:p w:rsidR="0006061C" w:rsidRPr="0006061C" w:rsidP="002E09EB" w14:paraId="46DD87B0" w14:textId="77777777">
      <w:pPr>
        <w:jc w:val="center"/>
      </w:pPr>
    </w:p>
    <w:p w:rsidR="00A60A1B" w:rsidRPr="001120C4" w:rsidP="00162E04" w14:paraId="305F92CD" w14:textId="08C9153B">
      <w:pPr>
        <w:pStyle w:val="Title"/>
        <w:contextualSpacing w:val="0"/>
        <w:jc w:val="center"/>
        <w:rPr>
          <w:b/>
          <w:bCs/>
          <w:sz w:val="28"/>
          <w:szCs w:val="28"/>
        </w:rPr>
      </w:pPr>
      <w:r w:rsidRPr="001120C4">
        <w:rPr>
          <w:b/>
          <w:bCs/>
          <w:sz w:val="28"/>
          <w:szCs w:val="28"/>
        </w:rPr>
        <w:t>Information Collection Request for</w:t>
      </w:r>
    </w:p>
    <w:p w:rsidR="00101640" w:rsidRPr="001120C4" w:rsidP="00162E04" w14:paraId="34460EB1" w14:textId="33BF0E60">
      <w:pPr>
        <w:widowControl w:val="0"/>
        <w:tabs>
          <w:tab w:val="center" w:pos="4680"/>
        </w:tabs>
        <w:jc w:val="center"/>
        <w:rPr>
          <w:b/>
          <w:bCs/>
          <w:sz w:val="28"/>
          <w:szCs w:val="28"/>
        </w:rPr>
      </w:pPr>
      <w:r w:rsidRPr="001120C4">
        <w:rPr>
          <w:b/>
          <w:bCs/>
          <w:sz w:val="28"/>
          <w:szCs w:val="28"/>
        </w:rPr>
        <w:t xml:space="preserve">Occupational </w:t>
      </w:r>
      <w:r w:rsidR="001120C4">
        <w:rPr>
          <w:b/>
          <w:bCs/>
          <w:sz w:val="28"/>
          <w:szCs w:val="28"/>
        </w:rPr>
        <w:t>E</w:t>
      </w:r>
      <w:r w:rsidRPr="001120C4">
        <w:rPr>
          <w:b/>
          <w:bCs/>
          <w:sz w:val="28"/>
          <w:szCs w:val="28"/>
        </w:rPr>
        <w:t xml:space="preserve">xposures to </w:t>
      </w:r>
      <w:r w:rsidR="001120C4">
        <w:rPr>
          <w:b/>
          <w:bCs/>
          <w:sz w:val="28"/>
          <w:szCs w:val="28"/>
        </w:rPr>
        <w:t>S</w:t>
      </w:r>
      <w:r w:rsidRPr="001120C4">
        <w:rPr>
          <w:b/>
          <w:bCs/>
          <w:sz w:val="28"/>
          <w:szCs w:val="28"/>
        </w:rPr>
        <w:t xml:space="preserve">urgical </w:t>
      </w:r>
      <w:r w:rsidR="001120C4">
        <w:rPr>
          <w:b/>
          <w:bCs/>
          <w:sz w:val="28"/>
          <w:szCs w:val="28"/>
        </w:rPr>
        <w:t>S</w:t>
      </w:r>
      <w:r w:rsidRPr="001120C4">
        <w:rPr>
          <w:b/>
          <w:bCs/>
          <w:sz w:val="28"/>
          <w:szCs w:val="28"/>
        </w:rPr>
        <w:t xml:space="preserve">moke in </w:t>
      </w:r>
      <w:r w:rsidR="001120C4">
        <w:rPr>
          <w:b/>
          <w:bCs/>
          <w:sz w:val="28"/>
          <w:szCs w:val="28"/>
        </w:rPr>
        <w:t>V</w:t>
      </w:r>
      <w:r w:rsidRPr="001120C4">
        <w:rPr>
          <w:b/>
          <w:bCs/>
          <w:sz w:val="28"/>
          <w:szCs w:val="28"/>
        </w:rPr>
        <w:t xml:space="preserve">eterinary </w:t>
      </w:r>
      <w:r w:rsidR="001120C4">
        <w:rPr>
          <w:b/>
          <w:bCs/>
          <w:sz w:val="28"/>
          <w:szCs w:val="28"/>
        </w:rPr>
        <w:t>P</w:t>
      </w:r>
      <w:r w:rsidRPr="001120C4">
        <w:rPr>
          <w:b/>
          <w:bCs/>
          <w:sz w:val="28"/>
          <w:szCs w:val="28"/>
        </w:rPr>
        <w:t>ersonnel</w:t>
      </w:r>
    </w:p>
    <w:p w:rsidR="00801FD7" w:rsidRPr="000C17C3" w:rsidP="00162E04" w14:paraId="681EA1E4" w14:textId="7A3595E5">
      <w:pPr>
        <w:widowControl w:val="0"/>
        <w:jc w:val="center"/>
        <w:rPr>
          <w:szCs w:val="24"/>
        </w:rPr>
      </w:pPr>
    </w:p>
    <w:p w:rsidR="00AC3F83" w:rsidRPr="000F7D97" w:rsidP="00AC3F83" w14:paraId="2B5C8BC0" w14:textId="77777777">
      <w:pPr>
        <w:jc w:val="center"/>
        <w:rPr>
          <w:b/>
          <w:szCs w:val="24"/>
        </w:rPr>
      </w:pPr>
      <w:r w:rsidRPr="000F7D97">
        <w:rPr>
          <w:b/>
          <w:szCs w:val="24"/>
        </w:rPr>
        <w:t xml:space="preserve">Request for Office of Management and Budget Review and </w:t>
      </w:r>
    </w:p>
    <w:p w:rsidR="00AC3F83" w:rsidRPr="000F7D97" w:rsidP="00AC3F83" w14:paraId="186A16E0" w14:textId="77777777">
      <w:pPr>
        <w:jc w:val="center"/>
        <w:rPr>
          <w:b/>
          <w:szCs w:val="24"/>
        </w:rPr>
      </w:pPr>
      <w:r w:rsidRPr="000F7D97">
        <w:rPr>
          <w:b/>
          <w:szCs w:val="24"/>
        </w:rPr>
        <w:t>Approval for Federally Sponsored Data Collection</w:t>
      </w:r>
    </w:p>
    <w:p w:rsidR="00AC3F83" w:rsidP="00AC3F83" w14:paraId="38FC45D9" w14:textId="77777777">
      <w:pPr>
        <w:jc w:val="center"/>
        <w:rPr>
          <w:b/>
          <w:sz w:val="28"/>
          <w:szCs w:val="28"/>
        </w:rPr>
      </w:pPr>
    </w:p>
    <w:p w:rsidR="00AC3F83" w:rsidRPr="000B339B" w:rsidP="00AC3F83" w14:paraId="411071B2" w14:textId="63D29784">
      <w:pPr>
        <w:jc w:val="center"/>
        <w:rPr>
          <w:b/>
          <w:szCs w:val="24"/>
        </w:rPr>
      </w:pPr>
      <w:r w:rsidRPr="000B339B">
        <w:rPr>
          <w:b/>
          <w:szCs w:val="24"/>
        </w:rPr>
        <w:t xml:space="preserve">Section </w:t>
      </w:r>
      <w:r>
        <w:rPr>
          <w:b/>
          <w:szCs w:val="24"/>
        </w:rPr>
        <w:t>A</w:t>
      </w:r>
    </w:p>
    <w:p w:rsidR="00101640" w:rsidRPr="000C17C3" w:rsidP="00162E04" w14:paraId="2B8956C0" w14:textId="77777777">
      <w:pPr>
        <w:jc w:val="center"/>
        <w:rPr>
          <w:szCs w:val="24"/>
        </w:rPr>
      </w:pPr>
    </w:p>
    <w:p w:rsidR="00E46C70" w:rsidRPr="000C17C3" w:rsidP="00945A29" w14:paraId="6C0DC0BF" w14:textId="77777777">
      <w:pPr>
        <w:jc w:val="center"/>
        <w:rPr>
          <w:szCs w:val="24"/>
          <w:lang w:eastAsia="ja-JP"/>
        </w:rPr>
      </w:pPr>
      <w:r w:rsidRPr="000C17C3">
        <w:rPr>
          <w:szCs w:val="24"/>
          <w:lang w:eastAsia="ja-JP"/>
        </w:rPr>
        <w:t>Project Officer:</w:t>
      </w:r>
    </w:p>
    <w:p w:rsidR="00F7302A" w:rsidRPr="000C17C3" w:rsidP="002A0AEA" w14:paraId="3310AD4C" w14:textId="54A3E035">
      <w:pPr>
        <w:jc w:val="center"/>
        <w:rPr>
          <w:rFonts w:cs="Arial"/>
          <w:szCs w:val="24"/>
        </w:rPr>
      </w:pPr>
      <w:r w:rsidRPr="000C17C3">
        <w:rPr>
          <w:szCs w:val="24"/>
          <w:lang w:eastAsia="ja-JP"/>
        </w:rPr>
        <w:t>Ethan Fechter-Leggett</w:t>
      </w:r>
      <w:r w:rsidRPr="000C17C3">
        <w:rPr>
          <w:rFonts w:cs="Arial"/>
          <w:szCs w:val="24"/>
        </w:rPr>
        <w:t>, DVM, MPVM</w:t>
      </w:r>
    </w:p>
    <w:p w:rsidR="00AE25C0" w:rsidRPr="000C17C3" w:rsidP="00945A29" w14:paraId="68B589E0" w14:textId="5ADBD416">
      <w:pPr>
        <w:jc w:val="center"/>
        <w:rPr>
          <w:rFonts w:cs="Arial"/>
          <w:szCs w:val="24"/>
        </w:rPr>
      </w:pPr>
      <w:r w:rsidRPr="000C17C3">
        <w:rPr>
          <w:rFonts w:cs="Arial"/>
          <w:szCs w:val="24"/>
        </w:rPr>
        <w:t>Research Epidemiologist</w:t>
      </w:r>
    </w:p>
    <w:p w:rsidR="002A0AEA" w:rsidRPr="000C17C3" w:rsidP="002A0AEA" w14:paraId="63B3D0EE" w14:textId="77777777">
      <w:pPr>
        <w:jc w:val="center"/>
        <w:rPr>
          <w:szCs w:val="24"/>
        </w:rPr>
      </w:pPr>
      <w:r w:rsidRPr="000C17C3">
        <w:rPr>
          <w:szCs w:val="24"/>
        </w:rPr>
        <w:t>National Institute for Occupational Safety and Health</w:t>
      </w:r>
    </w:p>
    <w:p w:rsidR="002A0AEA" w:rsidRPr="000C17C3" w:rsidP="002A0AEA" w14:paraId="04632443" w14:textId="77777777">
      <w:pPr>
        <w:jc w:val="center"/>
        <w:rPr>
          <w:szCs w:val="24"/>
        </w:rPr>
      </w:pPr>
      <w:r w:rsidRPr="000C17C3">
        <w:rPr>
          <w:szCs w:val="24"/>
        </w:rPr>
        <w:t>Field Studies Branch</w:t>
      </w:r>
    </w:p>
    <w:p w:rsidR="002A0AEA" w:rsidRPr="000C17C3" w:rsidP="002A0AEA" w14:paraId="6A72E419" w14:textId="77777777">
      <w:pPr>
        <w:jc w:val="center"/>
        <w:rPr>
          <w:szCs w:val="24"/>
        </w:rPr>
      </w:pPr>
      <w:r w:rsidRPr="000C17C3">
        <w:rPr>
          <w:szCs w:val="24"/>
        </w:rPr>
        <w:t>1000 Frederick Lane, MS 2800</w:t>
      </w:r>
    </w:p>
    <w:p w:rsidR="002A0AEA" w:rsidRPr="000C17C3" w:rsidP="002A0AEA" w14:paraId="18D968BF" w14:textId="54A5710B">
      <w:pPr>
        <w:jc w:val="center"/>
        <w:rPr>
          <w:szCs w:val="24"/>
        </w:rPr>
      </w:pPr>
      <w:r w:rsidRPr="000C17C3">
        <w:rPr>
          <w:szCs w:val="24"/>
        </w:rPr>
        <w:t>Morgantown, WV 26508</w:t>
      </w:r>
    </w:p>
    <w:p w:rsidR="00AA69BD" w:rsidRPr="000C17C3" w:rsidP="00945A29" w14:paraId="537F39BD" w14:textId="77777777">
      <w:pPr>
        <w:jc w:val="center"/>
        <w:rPr>
          <w:szCs w:val="24"/>
        </w:rPr>
      </w:pPr>
      <w:r w:rsidRPr="000C17C3">
        <w:rPr>
          <w:szCs w:val="24"/>
        </w:rPr>
        <w:t>Phone: 304-285-6030</w:t>
      </w:r>
    </w:p>
    <w:p w:rsidR="00AA69BD" w:rsidRPr="000C17C3" w:rsidP="00945A29" w14:paraId="52D6DDFA" w14:textId="46BFC070">
      <w:pPr>
        <w:jc w:val="center"/>
        <w:rPr>
          <w:szCs w:val="24"/>
        </w:rPr>
      </w:pPr>
      <w:r w:rsidRPr="000C17C3">
        <w:rPr>
          <w:szCs w:val="24"/>
        </w:rPr>
        <w:t xml:space="preserve">E-mail: </w:t>
      </w:r>
      <w:hyperlink r:id="rId5" w:history="1">
        <w:r w:rsidRPr="000C17C3" w:rsidR="00AE25C0">
          <w:rPr>
            <w:rStyle w:val="Hyperlink"/>
            <w:szCs w:val="24"/>
          </w:rPr>
          <w:t>iun8@cdc.gov</w:t>
        </w:r>
      </w:hyperlink>
    </w:p>
    <w:p w:rsidR="00AE25C0" w:rsidRPr="000C17C3" w:rsidP="00945A29" w14:paraId="259CAB6C" w14:textId="79AB9CC5">
      <w:pPr>
        <w:jc w:val="center"/>
        <w:rPr>
          <w:szCs w:val="24"/>
        </w:rPr>
      </w:pPr>
      <w:r w:rsidRPr="000C17C3">
        <w:rPr>
          <w:szCs w:val="24"/>
        </w:rPr>
        <w:t xml:space="preserve">Fax: </w:t>
      </w:r>
      <w:r w:rsidRPr="000C17C3" w:rsidR="00945A29">
        <w:rPr>
          <w:szCs w:val="24"/>
        </w:rPr>
        <w:t>304-285-5820</w:t>
      </w:r>
    </w:p>
    <w:p w:rsidR="00380670" w:rsidRPr="000C17C3" w:rsidP="00162E04" w14:paraId="2D3471AC" w14:textId="5B23F819">
      <w:pPr>
        <w:rPr>
          <w:szCs w:val="24"/>
        </w:rPr>
      </w:pPr>
    </w:p>
    <w:p w:rsidR="00101640" w:rsidRPr="000C17C3" w:rsidP="00162E04" w14:paraId="78AAB30D" w14:textId="15E17D8B">
      <w:pPr>
        <w:jc w:val="center"/>
        <w:rPr>
          <w:szCs w:val="24"/>
        </w:rPr>
      </w:pPr>
      <w:r>
        <w:rPr>
          <w:szCs w:val="24"/>
        </w:rPr>
        <w:t>AUGUST</w:t>
      </w:r>
      <w:r w:rsidRPr="000C17C3" w:rsidR="00FD2093">
        <w:rPr>
          <w:szCs w:val="24"/>
        </w:rPr>
        <w:t xml:space="preserve"> 2024</w:t>
      </w:r>
    </w:p>
    <w:p w:rsidR="001120C4" w14:paraId="47A400D1" w14:textId="4439D63E">
      <w:r>
        <w:br w:type="page"/>
      </w:r>
    </w:p>
    <w:p w:rsidR="00101640" w:rsidRPr="00113164" w:rsidP="001120C4" w14:paraId="79DCDA44" w14:textId="77777777">
      <w:pPr>
        <w:spacing w:after="120"/>
        <w:contextualSpacing/>
      </w:pPr>
    </w:p>
    <w:p w:rsidR="00AE60A5" w:rsidRPr="000E3F69" w:rsidP="006014ED" w14:paraId="7626A304" w14:textId="6590DCAC">
      <w:pPr>
        <w:rPr>
          <w:b/>
          <w:highlight w:val="yellow"/>
        </w:rPr>
      </w:pPr>
      <w:r w:rsidRPr="000E3F69">
        <w:rPr>
          <w:b/>
        </w:rPr>
        <w:t>Table of Contents</w:t>
      </w:r>
    </w:p>
    <w:sdt>
      <w:sdtPr>
        <w:rPr>
          <w:b w:val="0"/>
          <w:bCs w:val="0"/>
          <w:color w:val="auto"/>
          <w:szCs w:val="20"/>
        </w:rPr>
        <w:id w:val="359247986"/>
        <w:docPartObj>
          <w:docPartGallery w:val="Table of Contents"/>
          <w:docPartUnique/>
        </w:docPartObj>
      </w:sdtPr>
      <w:sdtEndPr>
        <w:rPr>
          <w:noProof/>
        </w:rPr>
      </w:sdtEndPr>
      <w:sdtContent>
        <w:p w:rsidR="00AD493B" w:rsidP="00193B52" w14:paraId="2F5CF8A4" w14:textId="03897EDF">
          <w:pPr>
            <w:pStyle w:val="TOCHeading"/>
            <w:numPr>
              <w:ilvl w:val="0"/>
              <w:numId w:val="0"/>
            </w:numPr>
            <w:ind w:left="360"/>
          </w:pPr>
        </w:p>
        <w:p w:rsidR="003E7597" w:rsidP="00055B8C" w14:paraId="4034C331" w14:textId="002D877E">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65285101" w:history="1">
            <w:r w:rsidRPr="001A4FAC">
              <w:rPr>
                <w:rStyle w:val="Hyperlink"/>
                <w:noProof/>
              </w:rPr>
              <w:t>A1.</w:t>
            </w:r>
            <w:r>
              <w:rPr>
                <w:rFonts w:asciiTheme="minorHAnsi" w:eastAsiaTheme="minorEastAsia" w:hAnsiTheme="minorHAnsi" w:cstheme="minorBidi"/>
                <w:noProof/>
                <w:kern w:val="2"/>
                <w:sz w:val="22"/>
                <w:szCs w:val="22"/>
                <w14:ligatures w14:val="standardContextual"/>
              </w:rPr>
              <w:tab/>
            </w:r>
            <w:r w:rsidRPr="001A4F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_Toc165285101 \h </w:instrText>
            </w:r>
            <w:r>
              <w:rPr>
                <w:noProof/>
                <w:webHidden/>
              </w:rPr>
              <w:fldChar w:fldCharType="separate"/>
            </w:r>
            <w:r w:rsidR="00FD4DCE">
              <w:rPr>
                <w:noProof/>
                <w:webHidden/>
              </w:rPr>
              <w:t>4</w:t>
            </w:r>
            <w:r>
              <w:rPr>
                <w:noProof/>
                <w:webHidden/>
              </w:rPr>
              <w:fldChar w:fldCharType="end"/>
            </w:r>
          </w:hyperlink>
        </w:p>
        <w:p w:rsidR="003E7597" w:rsidP="00055B8C" w14:paraId="43310977" w14:textId="006334F2">
          <w:pPr>
            <w:pStyle w:val="TOC1"/>
            <w:rPr>
              <w:rFonts w:asciiTheme="minorHAnsi" w:eastAsiaTheme="minorEastAsia" w:hAnsiTheme="minorHAnsi" w:cstheme="minorBidi"/>
              <w:noProof/>
              <w:kern w:val="2"/>
              <w:sz w:val="22"/>
              <w:szCs w:val="22"/>
              <w14:ligatures w14:val="standardContextual"/>
            </w:rPr>
          </w:pPr>
          <w:hyperlink w:anchor="_Toc165285102" w:history="1">
            <w:r w:rsidRPr="001A4FAC">
              <w:rPr>
                <w:rStyle w:val="Hyperlink"/>
                <w:noProof/>
              </w:rPr>
              <w:t>A2.</w:t>
            </w:r>
            <w:r>
              <w:rPr>
                <w:rFonts w:asciiTheme="minorHAnsi" w:eastAsiaTheme="minorEastAsia" w:hAnsiTheme="minorHAnsi" w:cstheme="minorBidi"/>
                <w:noProof/>
                <w:kern w:val="2"/>
                <w:sz w:val="22"/>
                <w:szCs w:val="22"/>
                <w14:ligatures w14:val="standardContextual"/>
              </w:rPr>
              <w:tab/>
            </w:r>
            <w:r w:rsidRPr="001A4FAC">
              <w:rPr>
                <w:rStyle w:val="Hyperlink"/>
                <w:noProof/>
              </w:rPr>
              <w:t>Purpose and Use of the Information Collection</w:t>
            </w:r>
            <w:r>
              <w:rPr>
                <w:noProof/>
                <w:webHidden/>
              </w:rPr>
              <w:tab/>
            </w:r>
            <w:r>
              <w:rPr>
                <w:noProof/>
                <w:webHidden/>
              </w:rPr>
              <w:fldChar w:fldCharType="begin"/>
            </w:r>
            <w:r>
              <w:rPr>
                <w:noProof/>
                <w:webHidden/>
              </w:rPr>
              <w:instrText xml:space="preserve"> PAGEREF _Toc165285102 \h </w:instrText>
            </w:r>
            <w:r>
              <w:rPr>
                <w:noProof/>
                <w:webHidden/>
              </w:rPr>
              <w:fldChar w:fldCharType="separate"/>
            </w:r>
            <w:r w:rsidR="00FD4DCE">
              <w:rPr>
                <w:noProof/>
                <w:webHidden/>
              </w:rPr>
              <w:t>5</w:t>
            </w:r>
            <w:r>
              <w:rPr>
                <w:noProof/>
                <w:webHidden/>
              </w:rPr>
              <w:fldChar w:fldCharType="end"/>
            </w:r>
          </w:hyperlink>
        </w:p>
        <w:p w:rsidR="003E7597" w:rsidP="00055B8C" w14:paraId="4B44EBD4" w14:textId="0A5B853D">
          <w:pPr>
            <w:pStyle w:val="TOC1"/>
            <w:rPr>
              <w:rFonts w:asciiTheme="minorHAnsi" w:eastAsiaTheme="minorEastAsia" w:hAnsiTheme="minorHAnsi" w:cstheme="minorBidi"/>
              <w:noProof/>
              <w:kern w:val="2"/>
              <w:sz w:val="22"/>
              <w:szCs w:val="22"/>
              <w14:ligatures w14:val="standardContextual"/>
            </w:rPr>
          </w:pPr>
          <w:hyperlink w:anchor="_Toc165285103" w:history="1">
            <w:r w:rsidRPr="001A4FAC">
              <w:rPr>
                <w:rStyle w:val="Hyperlink"/>
                <w:noProof/>
              </w:rPr>
              <w:t>A3.</w:t>
            </w:r>
            <w:r>
              <w:rPr>
                <w:rFonts w:asciiTheme="minorHAnsi" w:eastAsiaTheme="minorEastAsia" w:hAnsiTheme="minorHAnsi" w:cstheme="minorBidi"/>
                <w:noProof/>
                <w:kern w:val="2"/>
                <w:sz w:val="22"/>
                <w:szCs w:val="22"/>
                <w14:ligatures w14:val="standardContextual"/>
              </w:rPr>
              <w:tab/>
            </w:r>
            <w:r w:rsidRPr="001A4FA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_Toc165285103 \h </w:instrText>
            </w:r>
            <w:r>
              <w:rPr>
                <w:noProof/>
                <w:webHidden/>
              </w:rPr>
              <w:fldChar w:fldCharType="separate"/>
            </w:r>
            <w:r w:rsidR="00FD4DCE">
              <w:rPr>
                <w:noProof/>
                <w:webHidden/>
              </w:rPr>
              <w:t>5</w:t>
            </w:r>
            <w:r>
              <w:rPr>
                <w:noProof/>
                <w:webHidden/>
              </w:rPr>
              <w:fldChar w:fldCharType="end"/>
            </w:r>
          </w:hyperlink>
        </w:p>
        <w:p w:rsidR="003E7597" w:rsidP="00055B8C" w14:paraId="2E17F670" w14:textId="585258D9">
          <w:pPr>
            <w:pStyle w:val="TOC1"/>
            <w:rPr>
              <w:rFonts w:asciiTheme="minorHAnsi" w:eastAsiaTheme="minorEastAsia" w:hAnsiTheme="minorHAnsi" w:cstheme="minorBidi"/>
              <w:noProof/>
              <w:kern w:val="2"/>
              <w:sz w:val="22"/>
              <w:szCs w:val="22"/>
              <w14:ligatures w14:val="standardContextual"/>
            </w:rPr>
          </w:pPr>
          <w:hyperlink w:anchor="_Toc165285104" w:history="1">
            <w:r w:rsidRPr="001A4FAC">
              <w:rPr>
                <w:rStyle w:val="Hyperlink"/>
                <w:noProof/>
              </w:rPr>
              <w:t>A4.</w:t>
            </w:r>
            <w:r>
              <w:rPr>
                <w:rFonts w:asciiTheme="minorHAnsi" w:eastAsiaTheme="minorEastAsia" w:hAnsiTheme="minorHAnsi" w:cstheme="minorBidi"/>
                <w:noProof/>
                <w:kern w:val="2"/>
                <w:sz w:val="22"/>
                <w:szCs w:val="22"/>
                <w14:ligatures w14:val="standardContextual"/>
              </w:rPr>
              <w:tab/>
            </w:r>
            <w:r w:rsidRPr="001A4FA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_Toc165285104 \h </w:instrText>
            </w:r>
            <w:r>
              <w:rPr>
                <w:noProof/>
                <w:webHidden/>
              </w:rPr>
              <w:fldChar w:fldCharType="separate"/>
            </w:r>
            <w:r w:rsidR="00FD4DCE">
              <w:rPr>
                <w:noProof/>
                <w:webHidden/>
              </w:rPr>
              <w:t>6</w:t>
            </w:r>
            <w:r>
              <w:rPr>
                <w:noProof/>
                <w:webHidden/>
              </w:rPr>
              <w:fldChar w:fldCharType="end"/>
            </w:r>
          </w:hyperlink>
        </w:p>
        <w:p w:rsidR="003E7597" w:rsidP="00055B8C" w14:paraId="6855F908" w14:textId="10A26BC0">
          <w:pPr>
            <w:pStyle w:val="TOC1"/>
            <w:rPr>
              <w:rFonts w:asciiTheme="minorHAnsi" w:eastAsiaTheme="minorEastAsia" w:hAnsiTheme="minorHAnsi" w:cstheme="minorBidi"/>
              <w:noProof/>
              <w:kern w:val="2"/>
              <w:sz w:val="22"/>
              <w:szCs w:val="22"/>
              <w14:ligatures w14:val="standardContextual"/>
            </w:rPr>
          </w:pPr>
          <w:hyperlink w:anchor="_Toc165285105" w:history="1">
            <w:r w:rsidRPr="001A4FAC">
              <w:rPr>
                <w:rStyle w:val="Hyperlink"/>
                <w:noProof/>
              </w:rPr>
              <w:t>A5.</w:t>
            </w:r>
            <w:r>
              <w:rPr>
                <w:rFonts w:asciiTheme="minorHAnsi" w:eastAsiaTheme="minorEastAsia" w:hAnsiTheme="minorHAnsi" w:cstheme="minorBidi"/>
                <w:noProof/>
                <w:kern w:val="2"/>
                <w:sz w:val="22"/>
                <w:szCs w:val="22"/>
                <w14:ligatures w14:val="standardContextual"/>
              </w:rPr>
              <w:tab/>
            </w:r>
            <w:r w:rsidRPr="001A4FAC">
              <w:rPr>
                <w:rStyle w:val="Hyperlink"/>
                <w:noProof/>
              </w:rPr>
              <w:t>Impact on Small Businesses or Other Small Entities</w:t>
            </w:r>
            <w:r>
              <w:rPr>
                <w:noProof/>
                <w:webHidden/>
              </w:rPr>
              <w:tab/>
            </w:r>
            <w:r>
              <w:rPr>
                <w:noProof/>
                <w:webHidden/>
              </w:rPr>
              <w:fldChar w:fldCharType="begin"/>
            </w:r>
            <w:r>
              <w:rPr>
                <w:noProof/>
                <w:webHidden/>
              </w:rPr>
              <w:instrText xml:space="preserve"> PAGEREF _Toc165285105 \h </w:instrText>
            </w:r>
            <w:r>
              <w:rPr>
                <w:noProof/>
                <w:webHidden/>
              </w:rPr>
              <w:fldChar w:fldCharType="separate"/>
            </w:r>
            <w:r w:rsidR="00FD4DCE">
              <w:rPr>
                <w:noProof/>
                <w:webHidden/>
              </w:rPr>
              <w:t>7</w:t>
            </w:r>
            <w:r>
              <w:rPr>
                <w:noProof/>
                <w:webHidden/>
              </w:rPr>
              <w:fldChar w:fldCharType="end"/>
            </w:r>
          </w:hyperlink>
        </w:p>
        <w:p w:rsidR="003E7597" w:rsidP="00055B8C" w14:paraId="453F99A6" w14:textId="470F7E60">
          <w:pPr>
            <w:pStyle w:val="TOC1"/>
            <w:rPr>
              <w:rFonts w:asciiTheme="minorHAnsi" w:eastAsiaTheme="minorEastAsia" w:hAnsiTheme="minorHAnsi" w:cstheme="minorBidi"/>
              <w:noProof/>
              <w:kern w:val="2"/>
              <w:sz w:val="22"/>
              <w:szCs w:val="22"/>
              <w14:ligatures w14:val="standardContextual"/>
            </w:rPr>
          </w:pPr>
          <w:hyperlink w:anchor="_Toc165285106" w:history="1">
            <w:r w:rsidRPr="001A4FAC">
              <w:rPr>
                <w:rStyle w:val="Hyperlink"/>
                <w:noProof/>
              </w:rPr>
              <w:t>A6.</w:t>
            </w:r>
            <w:r>
              <w:rPr>
                <w:rFonts w:asciiTheme="minorHAnsi" w:eastAsiaTheme="minorEastAsia" w:hAnsiTheme="minorHAnsi" w:cstheme="minorBidi"/>
                <w:noProof/>
                <w:kern w:val="2"/>
                <w:sz w:val="22"/>
                <w:szCs w:val="22"/>
                <w14:ligatures w14:val="standardContextual"/>
              </w:rPr>
              <w:tab/>
            </w:r>
            <w:r w:rsidRPr="001A4FA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_Toc165285106 \h </w:instrText>
            </w:r>
            <w:r>
              <w:rPr>
                <w:noProof/>
                <w:webHidden/>
              </w:rPr>
              <w:fldChar w:fldCharType="separate"/>
            </w:r>
            <w:r w:rsidR="00FD4DCE">
              <w:rPr>
                <w:noProof/>
                <w:webHidden/>
              </w:rPr>
              <w:t>7</w:t>
            </w:r>
            <w:r>
              <w:rPr>
                <w:noProof/>
                <w:webHidden/>
              </w:rPr>
              <w:fldChar w:fldCharType="end"/>
            </w:r>
          </w:hyperlink>
        </w:p>
        <w:p w:rsidR="003E7597" w:rsidP="00055B8C" w14:paraId="33F644CE" w14:textId="7FEF54A3">
          <w:pPr>
            <w:pStyle w:val="TOC1"/>
            <w:rPr>
              <w:rFonts w:asciiTheme="minorHAnsi" w:eastAsiaTheme="minorEastAsia" w:hAnsiTheme="minorHAnsi" w:cstheme="minorBidi"/>
              <w:noProof/>
              <w:kern w:val="2"/>
              <w:sz w:val="22"/>
              <w:szCs w:val="22"/>
              <w14:ligatures w14:val="standardContextual"/>
            </w:rPr>
          </w:pPr>
          <w:hyperlink w:anchor="_Toc165285107" w:history="1">
            <w:r w:rsidRPr="001A4FAC">
              <w:rPr>
                <w:rStyle w:val="Hyperlink"/>
                <w:noProof/>
              </w:rPr>
              <w:t>A7.</w:t>
            </w:r>
            <w:r>
              <w:rPr>
                <w:rFonts w:asciiTheme="minorHAnsi" w:eastAsiaTheme="minorEastAsia" w:hAnsiTheme="minorHAnsi" w:cstheme="minorBidi"/>
                <w:noProof/>
                <w:kern w:val="2"/>
                <w:sz w:val="22"/>
                <w:szCs w:val="22"/>
                <w14:ligatures w14:val="standardContextual"/>
              </w:rPr>
              <w:tab/>
            </w:r>
            <w:r w:rsidRPr="001A4FA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_Toc165285107 \h </w:instrText>
            </w:r>
            <w:r>
              <w:rPr>
                <w:noProof/>
                <w:webHidden/>
              </w:rPr>
              <w:fldChar w:fldCharType="separate"/>
            </w:r>
            <w:r w:rsidR="00FD4DCE">
              <w:rPr>
                <w:noProof/>
                <w:webHidden/>
              </w:rPr>
              <w:t>8</w:t>
            </w:r>
            <w:r>
              <w:rPr>
                <w:noProof/>
                <w:webHidden/>
              </w:rPr>
              <w:fldChar w:fldCharType="end"/>
            </w:r>
          </w:hyperlink>
        </w:p>
        <w:p w:rsidR="003E7597" w:rsidP="00055B8C" w14:paraId="09BA61F7" w14:textId="4A9E21ED">
          <w:pPr>
            <w:pStyle w:val="TOC1"/>
            <w:rPr>
              <w:rFonts w:asciiTheme="minorHAnsi" w:eastAsiaTheme="minorEastAsia" w:hAnsiTheme="minorHAnsi" w:cstheme="minorBidi"/>
              <w:noProof/>
              <w:kern w:val="2"/>
              <w:sz w:val="22"/>
              <w:szCs w:val="22"/>
              <w14:ligatures w14:val="standardContextual"/>
            </w:rPr>
          </w:pPr>
          <w:hyperlink w:anchor="_Toc165285108" w:history="1">
            <w:r w:rsidRPr="001A4FAC">
              <w:rPr>
                <w:rStyle w:val="Hyperlink"/>
                <w:noProof/>
              </w:rPr>
              <w:t>A8.</w:t>
            </w:r>
            <w:r>
              <w:rPr>
                <w:rFonts w:asciiTheme="minorHAnsi" w:eastAsiaTheme="minorEastAsia" w:hAnsiTheme="minorHAnsi" w:cstheme="minorBidi"/>
                <w:noProof/>
                <w:kern w:val="2"/>
                <w:sz w:val="22"/>
                <w:szCs w:val="22"/>
                <w14:ligatures w14:val="standardContextual"/>
              </w:rPr>
              <w:tab/>
            </w:r>
            <w:r w:rsidRPr="001A4FA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_Toc165285108 \h </w:instrText>
            </w:r>
            <w:r>
              <w:rPr>
                <w:noProof/>
                <w:webHidden/>
              </w:rPr>
              <w:fldChar w:fldCharType="separate"/>
            </w:r>
            <w:r w:rsidR="00FD4DCE">
              <w:rPr>
                <w:noProof/>
                <w:webHidden/>
              </w:rPr>
              <w:t>8</w:t>
            </w:r>
            <w:r>
              <w:rPr>
                <w:noProof/>
                <w:webHidden/>
              </w:rPr>
              <w:fldChar w:fldCharType="end"/>
            </w:r>
          </w:hyperlink>
        </w:p>
        <w:p w:rsidR="003E7597" w:rsidP="00055B8C" w14:paraId="4E4CED03" w14:textId="131C9B6A">
          <w:pPr>
            <w:pStyle w:val="TOC1"/>
            <w:rPr>
              <w:rFonts w:asciiTheme="minorHAnsi" w:eastAsiaTheme="minorEastAsia" w:hAnsiTheme="minorHAnsi" w:cstheme="minorBidi"/>
              <w:noProof/>
              <w:kern w:val="2"/>
              <w:sz w:val="22"/>
              <w:szCs w:val="22"/>
              <w14:ligatures w14:val="standardContextual"/>
            </w:rPr>
          </w:pPr>
          <w:hyperlink w:anchor="_Toc165285109" w:history="1">
            <w:r w:rsidRPr="001A4FAC">
              <w:rPr>
                <w:rStyle w:val="Hyperlink"/>
                <w:noProof/>
              </w:rPr>
              <w:t>A9.</w:t>
            </w:r>
            <w:r>
              <w:rPr>
                <w:rFonts w:asciiTheme="minorHAnsi" w:eastAsiaTheme="minorEastAsia" w:hAnsiTheme="minorHAnsi" w:cstheme="minorBidi"/>
                <w:noProof/>
                <w:kern w:val="2"/>
                <w:sz w:val="22"/>
                <w:szCs w:val="22"/>
                <w14:ligatures w14:val="standardContextual"/>
              </w:rPr>
              <w:tab/>
            </w:r>
            <w:r w:rsidRPr="001A4FAC">
              <w:rPr>
                <w:rStyle w:val="Hyperlink"/>
                <w:noProof/>
              </w:rPr>
              <w:t>Explanation of Any Payment or Gift to Respondents</w:t>
            </w:r>
            <w:r>
              <w:rPr>
                <w:noProof/>
                <w:webHidden/>
              </w:rPr>
              <w:tab/>
            </w:r>
            <w:r>
              <w:rPr>
                <w:noProof/>
                <w:webHidden/>
              </w:rPr>
              <w:fldChar w:fldCharType="begin"/>
            </w:r>
            <w:r>
              <w:rPr>
                <w:noProof/>
                <w:webHidden/>
              </w:rPr>
              <w:instrText xml:space="preserve"> PAGEREF _Toc165285109 \h </w:instrText>
            </w:r>
            <w:r>
              <w:rPr>
                <w:noProof/>
                <w:webHidden/>
              </w:rPr>
              <w:fldChar w:fldCharType="separate"/>
            </w:r>
            <w:r w:rsidR="00FD4DCE">
              <w:rPr>
                <w:noProof/>
                <w:webHidden/>
              </w:rPr>
              <w:t>9</w:t>
            </w:r>
            <w:r>
              <w:rPr>
                <w:noProof/>
                <w:webHidden/>
              </w:rPr>
              <w:fldChar w:fldCharType="end"/>
            </w:r>
          </w:hyperlink>
        </w:p>
        <w:p w:rsidR="003E7597" w:rsidP="00055B8C" w14:paraId="782D7357" w14:textId="6DF118C8">
          <w:pPr>
            <w:pStyle w:val="TOC1"/>
            <w:rPr>
              <w:rFonts w:asciiTheme="minorHAnsi" w:eastAsiaTheme="minorEastAsia" w:hAnsiTheme="minorHAnsi" w:cstheme="minorBidi"/>
              <w:noProof/>
              <w:kern w:val="2"/>
              <w:sz w:val="22"/>
              <w:szCs w:val="22"/>
              <w14:ligatures w14:val="standardContextual"/>
            </w:rPr>
          </w:pPr>
          <w:hyperlink w:anchor="_Toc165285110" w:history="1">
            <w:r w:rsidRPr="001A4FAC">
              <w:rPr>
                <w:rStyle w:val="Hyperlink"/>
                <w:noProof/>
              </w:rPr>
              <w:t>A10.</w:t>
            </w:r>
            <w:r>
              <w:rPr>
                <w:rFonts w:asciiTheme="minorHAnsi" w:eastAsiaTheme="minorEastAsia" w:hAnsiTheme="minorHAnsi" w:cstheme="minorBidi"/>
                <w:noProof/>
                <w:kern w:val="2"/>
                <w:sz w:val="22"/>
                <w:szCs w:val="22"/>
                <w14:ligatures w14:val="standardContextual"/>
              </w:rPr>
              <w:tab/>
            </w:r>
            <w:r w:rsidRPr="001A4FA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_Toc165285110 \h </w:instrText>
            </w:r>
            <w:r>
              <w:rPr>
                <w:noProof/>
                <w:webHidden/>
              </w:rPr>
              <w:fldChar w:fldCharType="separate"/>
            </w:r>
            <w:r w:rsidR="00FD4DCE">
              <w:rPr>
                <w:noProof/>
                <w:webHidden/>
              </w:rPr>
              <w:t>9</w:t>
            </w:r>
            <w:r>
              <w:rPr>
                <w:noProof/>
                <w:webHidden/>
              </w:rPr>
              <w:fldChar w:fldCharType="end"/>
            </w:r>
          </w:hyperlink>
        </w:p>
        <w:p w:rsidR="003E7597" w:rsidP="00055B8C" w14:paraId="02AEB5FD" w14:textId="0EE1D5D7">
          <w:pPr>
            <w:pStyle w:val="TOC1"/>
            <w:rPr>
              <w:rFonts w:asciiTheme="minorHAnsi" w:eastAsiaTheme="minorEastAsia" w:hAnsiTheme="minorHAnsi" w:cstheme="minorBidi"/>
              <w:noProof/>
              <w:kern w:val="2"/>
              <w:sz w:val="22"/>
              <w:szCs w:val="22"/>
              <w14:ligatures w14:val="standardContextual"/>
            </w:rPr>
          </w:pPr>
          <w:hyperlink w:anchor="_Toc165285111" w:history="1">
            <w:r w:rsidRPr="001A4FAC">
              <w:rPr>
                <w:rStyle w:val="Hyperlink"/>
                <w:noProof/>
              </w:rPr>
              <w:t>A11.</w:t>
            </w:r>
            <w:r>
              <w:rPr>
                <w:rFonts w:asciiTheme="minorHAnsi" w:eastAsiaTheme="minorEastAsia" w:hAnsiTheme="minorHAnsi" w:cstheme="minorBidi"/>
                <w:noProof/>
                <w:kern w:val="2"/>
                <w:sz w:val="22"/>
                <w:szCs w:val="22"/>
                <w14:ligatures w14:val="standardContextual"/>
              </w:rPr>
              <w:tab/>
            </w:r>
            <w:r w:rsidRPr="001A4FA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_Toc165285111 \h </w:instrText>
            </w:r>
            <w:r>
              <w:rPr>
                <w:noProof/>
                <w:webHidden/>
              </w:rPr>
              <w:fldChar w:fldCharType="separate"/>
            </w:r>
            <w:r w:rsidR="00FD4DCE">
              <w:rPr>
                <w:noProof/>
                <w:webHidden/>
              </w:rPr>
              <w:t>12</w:t>
            </w:r>
            <w:r>
              <w:rPr>
                <w:noProof/>
                <w:webHidden/>
              </w:rPr>
              <w:fldChar w:fldCharType="end"/>
            </w:r>
          </w:hyperlink>
        </w:p>
        <w:p w:rsidR="003E7597" w:rsidP="00055B8C" w14:paraId="03885540" w14:textId="729F0E5D">
          <w:pPr>
            <w:pStyle w:val="TOC1"/>
            <w:rPr>
              <w:rFonts w:asciiTheme="minorHAnsi" w:eastAsiaTheme="minorEastAsia" w:hAnsiTheme="minorHAnsi" w:cstheme="minorBidi"/>
              <w:noProof/>
              <w:kern w:val="2"/>
              <w:sz w:val="22"/>
              <w:szCs w:val="22"/>
              <w14:ligatures w14:val="standardContextual"/>
            </w:rPr>
          </w:pPr>
          <w:hyperlink w:anchor="_Toc165285112" w:history="1">
            <w:r w:rsidRPr="001A4FAC">
              <w:rPr>
                <w:rStyle w:val="Hyperlink"/>
                <w:noProof/>
              </w:rPr>
              <w:t>A12.</w:t>
            </w:r>
            <w:r>
              <w:rPr>
                <w:rFonts w:asciiTheme="minorHAnsi" w:eastAsiaTheme="minorEastAsia" w:hAnsiTheme="minorHAnsi" w:cstheme="minorBidi"/>
                <w:noProof/>
                <w:kern w:val="2"/>
                <w:sz w:val="22"/>
                <w:szCs w:val="22"/>
                <w14:ligatures w14:val="standardContextual"/>
              </w:rPr>
              <w:tab/>
            </w:r>
            <w:r w:rsidRPr="001A4FAC">
              <w:rPr>
                <w:rStyle w:val="Hyperlink"/>
                <w:noProof/>
              </w:rPr>
              <w:t>Estimates of Annualized Burden Hours and Costs</w:t>
            </w:r>
            <w:r>
              <w:rPr>
                <w:noProof/>
                <w:webHidden/>
              </w:rPr>
              <w:tab/>
            </w:r>
            <w:r>
              <w:rPr>
                <w:noProof/>
                <w:webHidden/>
              </w:rPr>
              <w:fldChar w:fldCharType="begin"/>
            </w:r>
            <w:r>
              <w:rPr>
                <w:noProof/>
                <w:webHidden/>
              </w:rPr>
              <w:instrText xml:space="preserve"> PAGEREF _Toc165285112 \h </w:instrText>
            </w:r>
            <w:r>
              <w:rPr>
                <w:noProof/>
                <w:webHidden/>
              </w:rPr>
              <w:fldChar w:fldCharType="separate"/>
            </w:r>
            <w:r w:rsidR="00FD4DCE">
              <w:rPr>
                <w:noProof/>
                <w:webHidden/>
              </w:rPr>
              <w:t>13</w:t>
            </w:r>
            <w:r>
              <w:rPr>
                <w:noProof/>
                <w:webHidden/>
              </w:rPr>
              <w:fldChar w:fldCharType="end"/>
            </w:r>
          </w:hyperlink>
        </w:p>
        <w:p w:rsidR="003E7597" w:rsidP="00055B8C" w14:paraId="203B1D6B" w14:textId="7B6A09E9">
          <w:pPr>
            <w:pStyle w:val="TOC1"/>
            <w:rPr>
              <w:rFonts w:asciiTheme="minorHAnsi" w:eastAsiaTheme="minorEastAsia" w:hAnsiTheme="minorHAnsi" w:cstheme="minorBidi"/>
              <w:noProof/>
              <w:kern w:val="2"/>
              <w:sz w:val="22"/>
              <w:szCs w:val="22"/>
              <w14:ligatures w14:val="standardContextual"/>
            </w:rPr>
          </w:pPr>
          <w:hyperlink w:anchor="_Toc165285113" w:history="1">
            <w:r w:rsidRPr="001A4FAC">
              <w:rPr>
                <w:rStyle w:val="Hyperlink"/>
                <w:noProof/>
              </w:rPr>
              <w:t>A13.</w:t>
            </w:r>
            <w:r>
              <w:rPr>
                <w:rFonts w:asciiTheme="minorHAnsi" w:eastAsiaTheme="minorEastAsia" w:hAnsiTheme="minorHAnsi" w:cstheme="minorBidi"/>
                <w:noProof/>
                <w:kern w:val="2"/>
                <w:sz w:val="22"/>
                <w:szCs w:val="22"/>
                <w14:ligatures w14:val="standardContextual"/>
              </w:rPr>
              <w:tab/>
            </w:r>
            <w:r w:rsidRPr="001A4FAC">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_Toc165285113 \h </w:instrText>
            </w:r>
            <w:r>
              <w:rPr>
                <w:noProof/>
                <w:webHidden/>
              </w:rPr>
              <w:fldChar w:fldCharType="separate"/>
            </w:r>
            <w:r w:rsidR="00FD4DCE">
              <w:rPr>
                <w:noProof/>
                <w:webHidden/>
              </w:rPr>
              <w:t>15</w:t>
            </w:r>
            <w:r>
              <w:rPr>
                <w:noProof/>
                <w:webHidden/>
              </w:rPr>
              <w:fldChar w:fldCharType="end"/>
            </w:r>
          </w:hyperlink>
        </w:p>
        <w:p w:rsidR="003E7597" w:rsidP="00055B8C" w14:paraId="16E45FF1" w14:textId="1BC55427">
          <w:pPr>
            <w:pStyle w:val="TOC1"/>
            <w:rPr>
              <w:rFonts w:asciiTheme="minorHAnsi" w:eastAsiaTheme="minorEastAsia" w:hAnsiTheme="minorHAnsi" w:cstheme="minorBidi"/>
              <w:noProof/>
              <w:kern w:val="2"/>
              <w:sz w:val="22"/>
              <w:szCs w:val="22"/>
              <w14:ligatures w14:val="standardContextual"/>
            </w:rPr>
          </w:pPr>
          <w:hyperlink w:anchor="_Toc165285114" w:history="1">
            <w:r w:rsidRPr="001A4FAC">
              <w:rPr>
                <w:rStyle w:val="Hyperlink"/>
                <w:noProof/>
              </w:rPr>
              <w:t>A14.</w:t>
            </w:r>
            <w:r>
              <w:rPr>
                <w:rFonts w:asciiTheme="minorHAnsi" w:eastAsiaTheme="minorEastAsia" w:hAnsiTheme="minorHAnsi" w:cstheme="minorBidi"/>
                <w:noProof/>
                <w:kern w:val="2"/>
                <w:sz w:val="22"/>
                <w:szCs w:val="22"/>
                <w14:ligatures w14:val="standardContextual"/>
              </w:rPr>
              <w:tab/>
            </w:r>
            <w:r w:rsidRPr="001A4FAC">
              <w:rPr>
                <w:rStyle w:val="Hyperlink"/>
                <w:noProof/>
              </w:rPr>
              <w:t>Annualized Cost to the Federal Government</w:t>
            </w:r>
            <w:r>
              <w:rPr>
                <w:noProof/>
                <w:webHidden/>
              </w:rPr>
              <w:tab/>
            </w:r>
            <w:r>
              <w:rPr>
                <w:noProof/>
                <w:webHidden/>
              </w:rPr>
              <w:fldChar w:fldCharType="begin"/>
            </w:r>
            <w:r>
              <w:rPr>
                <w:noProof/>
                <w:webHidden/>
              </w:rPr>
              <w:instrText xml:space="preserve"> PAGEREF _Toc165285114 \h </w:instrText>
            </w:r>
            <w:r>
              <w:rPr>
                <w:noProof/>
                <w:webHidden/>
              </w:rPr>
              <w:fldChar w:fldCharType="separate"/>
            </w:r>
            <w:r w:rsidR="00FD4DCE">
              <w:rPr>
                <w:noProof/>
                <w:webHidden/>
              </w:rPr>
              <w:t>15</w:t>
            </w:r>
            <w:r>
              <w:rPr>
                <w:noProof/>
                <w:webHidden/>
              </w:rPr>
              <w:fldChar w:fldCharType="end"/>
            </w:r>
          </w:hyperlink>
        </w:p>
        <w:p w:rsidR="003E7597" w:rsidP="00055B8C" w14:paraId="52414F1E" w14:textId="143E9695">
          <w:pPr>
            <w:pStyle w:val="TOC1"/>
            <w:rPr>
              <w:rFonts w:asciiTheme="minorHAnsi" w:eastAsiaTheme="minorEastAsia" w:hAnsiTheme="minorHAnsi" w:cstheme="minorBidi"/>
              <w:noProof/>
              <w:kern w:val="2"/>
              <w:sz w:val="22"/>
              <w:szCs w:val="22"/>
              <w14:ligatures w14:val="standardContextual"/>
            </w:rPr>
          </w:pPr>
          <w:hyperlink w:anchor="_Toc165285115" w:history="1">
            <w:r w:rsidRPr="001A4FAC">
              <w:rPr>
                <w:rStyle w:val="Hyperlink"/>
                <w:noProof/>
              </w:rPr>
              <w:t>A15.</w:t>
            </w:r>
            <w:r>
              <w:rPr>
                <w:rFonts w:asciiTheme="minorHAnsi" w:eastAsiaTheme="minorEastAsia" w:hAnsiTheme="minorHAnsi" w:cstheme="minorBidi"/>
                <w:noProof/>
                <w:kern w:val="2"/>
                <w:sz w:val="22"/>
                <w:szCs w:val="22"/>
                <w14:ligatures w14:val="standardContextual"/>
              </w:rPr>
              <w:tab/>
            </w:r>
            <w:r w:rsidRPr="001A4FAC">
              <w:rPr>
                <w:rStyle w:val="Hyperlink"/>
                <w:noProof/>
              </w:rPr>
              <w:t>Explanation for Program Changes or Adjustments</w:t>
            </w:r>
            <w:r>
              <w:rPr>
                <w:noProof/>
                <w:webHidden/>
              </w:rPr>
              <w:tab/>
            </w:r>
            <w:r>
              <w:rPr>
                <w:noProof/>
                <w:webHidden/>
              </w:rPr>
              <w:fldChar w:fldCharType="begin"/>
            </w:r>
            <w:r>
              <w:rPr>
                <w:noProof/>
                <w:webHidden/>
              </w:rPr>
              <w:instrText xml:space="preserve"> PAGEREF _Toc165285115 \h </w:instrText>
            </w:r>
            <w:r>
              <w:rPr>
                <w:noProof/>
                <w:webHidden/>
              </w:rPr>
              <w:fldChar w:fldCharType="separate"/>
            </w:r>
            <w:r w:rsidR="00FD4DCE">
              <w:rPr>
                <w:noProof/>
                <w:webHidden/>
              </w:rPr>
              <w:t>16</w:t>
            </w:r>
            <w:r>
              <w:rPr>
                <w:noProof/>
                <w:webHidden/>
              </w:rPr>
              <w:fldChar w:fldCharType="end"/>
            </w:r>
          </w:hyperlink>
        </w:p>
        <w:p w:rsidR="003E7597" w:rsidP="00055B8C" w14:paraId="2E851AB0" w14:textId="49FABF6E">
          <w:pPr>
            <w:pStyle w:val="TOC1"/>
            <w:rPr>
              <w:rFonts w:asciiTheme="minorHAnsi" w:eastAsiaTheme="minorEastAsia" w:hAnsiTheme="minorHAnsi" w:cstheme="minorBidi"/>
              <w:noProof/>
              <w:kern w:val="2"/>
              <w:sz w:val="22"/>
              <w:szCs w:val="22"/>
              <w14:ligatures w14:val="standardContextual"/>
            </w:rPr>
          </w:pPr>
          <w:hyperlink w:anchor="_Toc165285116" w:history="1">
            <w:r w:rsidRPr="001A4FAC">
              <w:rPr>
                <w:rStyle w:val="Hyperlink"/>
                <w:noProof/>
              </w:rPr>
              <w:t>A16.</w:t>
            </w:r>
            <w:r>
              <w:rPr>
                <w:rFonts w:asciiTheme="minorHAnsi" w:eastAsiaTheme="minorEastAsia" w:hAnsiTheme="minorHAnsi" w:cstheme="minorBidi"/>
                <w:noProof/>
                <w:kern w:val="2"/>
                <w:sz w:val="22"/>
                <w:szCs w:val="22"/>
                <w14:ligatures w14:val="standardContextual"/>
              </w:rPr>
              <w:tab/>
            </w:r>
            <w:r w:rsidRPr="001A4FA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_Toc165285116 \h </w:instrText>
            </w:r>
            <w:r>
              <w:rPr>
                <w:noProof/>
                <w:webHidden/>
              </w:rPr>
              <w:fldChar w:fldCharType="separate"/>
            </w:r>
            <w:r w:rsidR="00FD4DCE">
              <w:rPr>
                <w:noProof/>
                <w:webHidden/>
              </w:rPr>
              <w:t>16</w:t>
            </w:r>
            <w:r>
              <w:rPr>
                <w:noProof/>
                <w:webHidden/>
              </w:rPr>
              <w:fldChar w:fldCharType="end"/>
            </w:r>
          </w:hyperlink>
        </w:p>
        <w:p w:rsidR="003E7597" w:rsidP="00055B8C" w14:paraId="435D9992" w14:textId="44ADC7B2">
          <w:pPr>
            <w:pStyle w:val="TOC1"/>
            <w:rPr>
              <w:rFonts w:asciiTheme="minorHAnsi" w:eastAsiaTheme="minorEastAsia" w:hAnsiTheme="minorHAnsi" w:cstheme="minorBidi"/>
              <w:noProof/>
              <w:kern w:val="2"/>
              <w:sz w:val="22"/>
              <w:szCs w:val="22"/>
              <w14:ligatures w14:val="standardContextual"/>
            </w:rPr>
          </w:pPr>
          <w:hyperlink w:anchor="_Toc165285117" w:history="1">
            <w:r w:rsidRPr="001A4FAC">
              <w:rPr>
                <w:rStyle w:val="Hyperlink"/>
                <w:noProof/>
              </w:rPr>
              <w:t>A17.</w:t>
            </w:r>
            <w:r>
              <w:rPr>
                <w:rFonts w:asciiTheme="minorHAnsi" w:eastAsiaTheme="minorEastAsia" w:hAnsiTheme="minorHAnsi" w:cstheme="minorBidi"/>
                <w:noProof/>
                <w:kern w:val="2"/>
                <w:sz w:val="22"/>
                <w:szCs w:val="22"/>
                <w14:ligatures w14:val="standardContextual"/>
              </w:rPr>
              <w:tab/>
            </w:r>
            <w:r w:rsidRPr="001A4FA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_Toc165285117 \h </w:instrText>
            </w:r>
            <w:r>
              <w:rPr>
                <w:noProof/>
                <w:webHidden/>
              </w:rPr>
              <w:fldChar w:fldCharType="separate"/>
            </w:r>
            <w:r w:rsidR="00FD4DCE">
              <w:rPr>
                <w:noProof/>
                <w:webHidden/>
              </w:rPr>
              <w:t>16</w:t>
            </w:r>
            <w:r>
              <w:rPr>
                <w:noProof/>
                <w:webHidden/>
              </w:rPr>
              <w:fldChar w:fldCharType="end"/>
            </w:r>
          </w:hyperlink>
        </w:p>
        <w:p w:rsidR="003E7597" w:rsidP="00055B8C" w14:paraId="78D94263" w14:textId="6BC94138">
          <w:pPr>
            <w:pStyle w:val="TOC1"/>
            <w:rPr>
              <w:rFonts w:asciiTheme="minorHAnsi" w:eastAsiaTheme="minorEastAsia" w:hAnsiTheme="minorHAnsi" w:cstheme="minorBidi"/>
              <w:noProof/>
              <w:kern w:val="2"/>
              <w:sz w:val="22"/>
              <w:szCs w:val="22"/>
              <w14:ligatures w14:val="standardContextual"/>
            </w:rPr>
          </w:pPr>
          <w:hyperlink w:anchor="_Toc165285118" w:history="1">
            <w:r w:rsidRPr="001A4FAC">
              <w:rPr>
                <w:rStyle w:val="Hyperlink"/>
                <w:noProof/>
              </w:rPr>
              <w:t>A18.</w:t>
            </w:r>
            <w:r>
              <w:rPr>
                <w:rFonts w:asciiTheme="minorHAnsi" w:eastAsiaTheme="minorEastAsia" w:hAnsiTheme="minorHAnsi" w:cstheme="minorBidi"/>
                <w:noProof/>
                <w:kern w:val="2"/>
                <w:sz w:val="22"/>
                <w:szCs w:val="22"/>
                <w14:ligatures w14:val="standardContextual"/>
              </w:rPr>
              <w:tab/>
            </w:r>
            <w:r w:rsidRPr="001A4FA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_Toc165285118 \h </w:instrText>
            </w:r>
            <w:r>
              <w:rPr>
                <w:noProof/>
                <w:webHidden/>
              </w:rPr>
              <w:fldChar w:fldCharType="separate"/>
            </w:r>
            <w:r w:rsidR="00FD4DCE">
              <w:rPr>
                <w:noProof/>
                <w:webHidden/>
              </w:rPr>
              <w:t>16</w:t>
            </w:r>
            <w:r>
              <w:rPr>
                <w:noProof/>
                <w:webHidden/>
              </w:rPr>
              <w:fldChar w:fldCharType="end"/>
            </w:r>
          </w:hyperlink>
        </w:p>
        <w:p w:rsidR="00AD493B" w14:paraId="1CBB6CB1" w14:textId="41D4D3B0">
          <w:r>
            <w:rPr>
              <w:b/>
              <w:bCs/>
              <w:noProof/>
            </w:rPr>
            <w:fldChar w:fldCharType="end"/>
          </w:r>
        </w:p>
      </w:sdtContent>
    </w:sdt>
    <w:p w:rsidR="0062385A" w:rsidRPr="0062385A" w:rsidP="0063365B" w14:paraId="011D0A56" w14:textId="77777777">
      <w:pPr>
        <w:rPr>
          <w:bCs/>
          <w:szCs w:val="24"/>
        </w:rPr>
      </w:pPr>
    </w:p>
    <w:p w:rsidR="003C0959" w:rsidP="0063365B" w14:paraId="03DDF122" w14:textId="0DA80038">
      <w:pPr>
        <w:rPr>
          <w:b/>
          <w:szCs w:val="24"/>
        </w:rPr>
      </w:pPr>
      <w:r w:rsidRPr="000E3F69">
        <w:rPr>
          <w:b/>
          <w:szCs w:val="24"/>
        </w:rPr>
        <w:t>Attachments</w:t>
      </w:r>
    </w:p>
    <w:p w:rsidR="000E3F69" w:rsidRPr="000E3F69" w:rsidP="0063365B" w14:paraId="7C3CF8B1" w14:textId="77777777">
      <w:pPr>
        <w:rPr>
          <w:b/>
          <w:szCs w:val="24"/>
        </w:rPr>
      </w:pPr>
    </w:p>
    <w:p w:rsidR="000F2682" w:rsidRPr="003A2C87" w:rsidP="006014ED" w14:paraId="5AF92A04" w14:textId="34C3E406">
      <w:pPr>
        <w:ind w:left="360"/>
        <w:rPr>
          <w:bCs/>
          <w:szCs w:val="24"/>
        </w:rPr>
      </w:pPr>
      <w:r w:rsidRPr="003A2C87">
        <w:rPr>
          <w:bCs/>
          <w:szCs w:val="24"/>
        </w:rPr>
        <w:t xml:space="preserve">Att. </w:t>
      </w:r>
      <w:r w:rsidRPr="003A2C87" w:rsidR="00440417">
        <w:rPr>
          <w:bCs/>
          <w:szCs w:val="24"/>
        </w:rPr>
        <w:t>1–</w:t>
      </w:r>
      <w:r w:rsidRPr="003A2C87" w:rsidR="00043752">
        <w:rPr>
          <w:bCs/>
          <w:szCs w:val="24"/>
        </w:rPr>
        <w:t>Authorizing Legislation</w:t>
      </w:r>
    </w:p>
    <w:p w:rsidR="00043752" w:rsidRPr="003A2C87" w:rsidP="006014ED" w14:paraId="23384F48" w14:textId="2E804266">
      <w:pPr>
        <w:ind w:left="360"/>
        <w:rPr>
          <w:bCs/>
          <w:szCs w:val="24"/>
        </w:rPr>
      </w:pPr>
      <w:r w:rsidRPr="003A2C87">
        <w:rPr>
          <w:bCs/>
          <w:szCs w:val="24"/>
        </w:rPr>
        <w:t>Att. 2–60-</w:t>
      </w:r>
      <w:r w:rsidR="00712E89">
        <w:rPr>
          <w:bCs/>
          <w:szCs w:val="24"/>
        </w:rPr>
        <w:t>d</w:t>
      </w:r>
      <w:r w:rsidRPr="003A2C87">
        <w:rPr>
          <w:bCs/>
          <w:szCs w:val="24"/>
        </w:rPr>
        <w:t>ay F</w:t>
      </w:r>
      <w:r w:rsidR="004068AF">
        <w:rPr>
          <w:bCs/>
          <w:szCs w:val="24"/>
        </w:rPr>
        <w:t>RN</w:t>
      </w:r>
    </w:p>
    <w:p w:rsidR="000F21C1" w:rsidRPr="003A2C87" w:rsidP="000F21C1" w14:paraId="07810ABC" w14:textId="43CBA747">
      <w:pPr>
        <w:ind w:left="360"/>
        <w:rPr>
          <w:bCs/>
          <w:szCs w:val="24"/>
        </w:rPr>
      </w:pPr>
      <w:r w:rsidRPr="003A2C87">
        <w:rPr>
          <w:bCs/>
          <w:szCs w:val="24"/>
        </w:rPr>
        <w:t>Att. 3–Study Recruitment Fact Sheet</w:t>
      </w:r>
    </w:p>
    <w:p w:rsidR="001D13C8" w:rsidRPr="00A316D6" w:rsidP="001D13C8" w14:paraId="5BBC56E9" w14:textId="5BF11326">
      <w:pPr>
        <w:ind w:left="360"/>
        <w:rPr>
          <w:bCs/>
          <w:szCs w:val="24"/>
        </w:rPr>
      </w:pPr>
      <w:r w:rsidRPr="003A2C87">
        <w:rPr>
          <w:bCs/>
          <w:szCs w:val="24"/>
        </w:rPr>
        <w:t>Att. 4–Recruitment</w:t>
      </w:r>
      <w:r w:rsidRPr="00A316D6">
        <w:rPr>
          <w:bCs/>
          <w:szCs w:val="24"/>
        </w:rPr>
        <w:t xml:space="preserve"> Email</w:t>
      </w:r>
    </w:p>
    <w:p w:rsidR="00CC7FCE" w:rsidP="006014ED" w14:paraId="022A99F4" w14:textId="5342880E">
      <w:pPr>
        <w:ind w:left="360"/>
        <w:rPr>
          <w:bCs/>
          <w:szCs w:val="24"/>
        </w:rPr>
      </w:pPr>
      <w:r>
        <w:rPr>
          <w:bCs/>
          <w:szCs w:val="24"/>
        </w:rPr>
        <w:t xml:space="preserve">Att. </w:t>
      </w:r>
      <w:r w:rsidR="00FE4E24">
        <w:rPr>
          <w:bCs/>
          <w:szCs w:val="24"/>
        </w:rPr>
        <w:t>5</w:t>
      </w:r>
      <w:r>
        <w:rPr>
          <w:bCs/>
          <w:szCs w:val="24"/>
        </w:rPr>
        <w:t>–Expression of Interest Form</w:t>
      </w:r>
    </w:p>
    <w:p w:rsidR="003911AC" w:rsidP="006014ED" w14:paraId="065F4CE0" w14:textId="71F3C9AF">
      <w:pPr>
        <w:ind w:left="360"/>
        <w:rPr>
          <w:bCs/>
          <w:szCs w:val="24"/>
        </w:rPr>
      </w:pPr>
      <w:bookmarkStart w:id="0" w:name="_Hlk166681754"/>
      <w:r>
        <w:rPr>
          <w:bCs/>
          <w:szCs w:val="24"/>
        </w:rPr>
        <w:t xml:space="preserve">Att. </w:t>
      </w:r>
      <w:r w:rsidR="00513866">
        <w:rPr>
          <w:bCs/>
          <w:szCs w:val="24"/>
        </w:rPr>
        <w:t>6</w:t>
      </w:r>
      <w:r>
        <w:rPr>
          <w:bCs/>
          <w:szCs w:val="24"/>
        </w:rPr>
        <w:t>–Informed Consent</w:t>
      </w:r>
    </w:p>
    <w:bookmarkEnd w:id="0"/>
    <w:p w:rsidR="005C789A" w:rsidRPr="00055B8C" w:rsidP="006014ED" w14:paraId="4CD00B7F" w14:textId="792CFB21">
      <w:pPr>
        <w:ind w:left="360"/>
        <w:rPr>
          <w:bCs/>
          <w:szCs w:val="24"/>
        </w:rPr>
      </w:pPr>
      <w:r>
        <w:rPr>
          <w:bCs/>
          <w:szCs w:val="24"/>
        </w:rPr>
        <w:t xml:space="preserve">Att. </w:t>
      </w:r>
      <w:r w:rsidR="00F10B5E">
        <w:rPr>
          <w:bCs/>
          <w:szCs w:val="24"/>
        </w:rPr>
        <w:t>7</w:t>
      </w:r>
      <w:r>
        <w:rPr>
          <w:bCs/>
          <w:szCs w:val="24"/>
        </w:rPr>
        <w:t>–Bas</w:t>
      </w:r>
      <w:r w:rsidRPr="002B2F7F">
        <w:rPr>
          <w:bCs/>
          <w:szCs w:val="24"/>
        </w:rPr>
        <w:t>elin</w:t>
      </w:r>
      <w:r w:rsidRPr="00055B8C">
        <w:rPr>
          <w:bCs/>
          <w:szCs w:val="24"/>
        </w:rPr>
        <w:t>e Questionnaire</w:t>
      </w:r>
    </w:p>
    <w:p w:rsidR="005C789A" w:rsidRPr="00055B8C" w:rsidP="006014ED" w14:paraId="75EF5B60" w14:textId="74FAD404">
      <w:pPr>
        <w:ind w:left="360"/>
        <w:rPr>
          <w:bCs/>
          <w:szCs w:val="24"/>
        </w:rPr>
      </w:pPr>
      <w:r w:rsidRPr="00055B8C">
        <w:rPr>
          <w:bCs/>
          <w:szCs w:val="24"/>
        </w:rPr>
        <w:t xml:space="preserve">Att. </w:t>
      </w:r>
      <w:r w:rsidRPr="00055B8C" w:rsidR="00A97540">
        <w:rPr>
          <w:bCs/>
          <w:szCs w:val="24"/>
        </w:rPr>
        <w:t>8</w:t>
      </w:r>
      <w:r w:rsidRPr="00055B8C">
        <w:rPr>
          <w:bCs/>
          <w:szCs w:val="24"/>
        </w:rPr>
        <w:t>–Post-shift Questionnaire</w:t>
      </w:r>
    </w:p>
    <w:p w:rsidR="002B2F7F" w:rsidRPr="00055B8C" w:rsidP="002B2F7F" w14:paraId="3A02BD9A" w14:textId="4A00FE2D">
      <w:pPr>
        <w:ind w:left="360"/>
        <w:rPr>
          <w:bCs/>
          <w:szCs w:val="24"/>
        </w:rPr>
      </w:pPr>
      <w:r w:rsidRPr="00055B8C">
        <w:rPr>
          <w:bCs/>
          <w:szCs w:val="24"/>
        </w:rPr>
        <w:t>Att. 9–Letters of Support</w:t>
      </w:r>
    </w:p>
    <w:p w:rsidR="00136DAC" w:rsidP="00136DAC" w14:paraId="3E151BC7" w14:textId="67AB7803">
      <w:pPr>
        <w:ind w:left="360"/>
        <w:rPr>
          <w:bCs/>
          <w:szCs w:val="24"/>
        </w:rPr>
      </w:pPr>
      <w:r w:rsidRPr="00055B8C">
        <w:rPr>
          <w:bCs/>
          <w:szCs w:val="24"/>
        </w:rPr>
        <w:t xml:space="preserve">Att. </w:t>
      </w:r>
      <w:r w:rsidRPr="00055B8C" w:rsidR="002B2F7F">
        <w:rPr>
          <w:bCs/>
          <w:szCs w:val="24"/>
        </w:rPr>
        <w:t>10</w:t>
      </w:r>
      <w:r w:rsidRPr="00055B8C">
        <w:rPr>
          <w:bCs/>
          <w:szCs w:val="24"/>
        </w:rPr>
        <w:t xml:space="preserve">–IRB </w:t>
      </w:r>
      <w:r w:rsidR="000C3B89">
        <w:rPr>
          <w:bCs/>
          <w:szCs w:val="24"/>
        </w:rPr>
        <w:t>Approval Letter</w:t>
      </w:r>
    </w:p>
    <w:p w:rsidR="006014ED" w:rsidP="006014ED" w14:paraId="594BE4DA" w14:textId="1A634D18">
      <w:pPr>
        <w:ind w:left="360"/>
        <w:rPr>
          <w:bCs/>
          <w:szCs w:val="24"/>
        </w:rPr>
      </w:pPr>
    </w:p>
    <w:p w:rsidR="006014ED" w:rsidP="006014ED" w14:paraId="00AC0CFE" w14:textId="77777777">
      <w:pPr>
        <w:rPr>
          <w:bCs/>
          <w:szCs w:val="24"/>
        </w:rPr>
      </w:pPr>
    </w:p>
    <w:p w:rsidR="00D22D37" w:rsidRPr="00D22D37" w:rsidP="005C789A" w14:paraId="44999783" w14:textId="12C91DE4">
      <w:pPr>
        <w:rPr>
          <w:bCs/>
          <w:szCs w:val="24"/>
        </w:rPr>
        <w:sectPr w:rsidSect="002F343D">
          <w:headerReference w:type="even" r:id="rId6"/>
          <w:footerReference w:type="even" r:id="rId7"/>
          <w:footerReference w:type="default" r:id="rId8"/>
          <w:footerReference w:type="first" r:id="rId9"/>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pPr>
    </w:p>
    <w:tbl>
      <w:tblPr>
        <w:tblStyle w:val="TableGrid1"/>
        <w:tblpPr w:leftFromText="180" w:rightFromText="180" w:vertAnchor="text" w:horzAnchor="margin" w:tblpY="173"/>
        <w:tblW w:w="9265" w:type="dxa"/>
        <w:tblLook w:val="04A0"/>
      </w:tblPr>
      <w:tblGrid>
        <w:gridCol w:w="9265"/>
      </w:tblGrid>
      <w:tr w14:paraId="650AD7EA" w14:textId="77777777" w:rsidTr="008F55F2">
        <w:tblPrEx>
          <w:tblW w:w="9265" w:type="dxa"/>
          <w:tblLook w:val="04A0"/>
        </w:tblPrEx>
        <w:trPr>
          <w:trHeight w:val="980"/>
        </w:trPr>
        <w:tc>
          <w:tcPr>
            <w:tcW w:w="9265" w:type="dxa"/>
          </w:tcPr>
          <w:p w:rsidR="00D662C2" w:rsidRPr="00D662C2" w:rsidP="00032ED9" w14:paraId="4736A53E" w14:textId="0CC6CB5C">
            <w:pPr>
              <w:numPr>
                <w:ilvl w:val="0"/>
                <w:numId w:val="21"/>
              </w:numPr>
              <w:spacing w:after="160" w:line="259" w:lineRule="auto"/>
              <w:ind w:left="418"/>
              <w:rPr>
                <w:rFonts w:ascii="Times New Roman" w:eastAsia="Arial Nova" w:hAnsi="Times New Roman"/>
              </w:rPr>
            </w:pPr>
            <w:r w:rsidRPr="00C017FC">
              <w:rPr>
                <w:rFonts w:ascii="Times New Roman" w:hAnsi="Times New Roman"/>
                <w:b/>
                <w:bCs/>
              </w:rPr>
              <w:t xml:space="preserve">Goals of the </w:t>
            </w:r>
            <w:r w:rsidRPr="00C017FC" w:rsidR="00B73FCB">
              <w:rPr>
                <w:rFonts w:ascii="Times New Roman" w:hAnsi="Times New Roman"/>
                <w:b/>
                <w:bCs/>
              </w:rPr>
              <w:t>study</w:t>
            </w:r>
            <w:r w:rsidRPr="00C017FC">
              <w:rPr>
                <w:rFonts w:ascii="Times New Roman" w:hAnsi="Times New Roman"/>
                <w:b/>
                <w:bCs/>
              </w:rPr>
              <w:t>:</w:t>
            </w:r>
            <w:r w:rsidRPr="00C017FC">
              <w:rPr>
                <w:rFonts w:ascii="Times New Roman" w:hAnsi="Times New Roman"/>
              </w:rPr>
              <w:t xml:space="preserve"> </w:t>
            </w:r>
            <w:bookmarkStart w:id="1" w:name="_Hlk40278335"/>
            <w:r w:rsidR="005511FB">
              <w:t xml:space="preserve"> </w:t>
            </w:r>
            <w:r w:rsidRPr="005511FB" w:rsidR="005511FB">
              <w:rPr>
                <w:rFonts w:ascii="Times New Roman" w:hAnsi="Times New Roman"/>
              </w:rPr>
              <w:t xml:space="preserve">The goal of this </w:t>
            </w:r>
            <w:r>
              <w:rPr>
                <w:rFonts w:ascii="Times New Roman" w:hAnsi="Times New Roman"/>
              </w:rPr>
              <w:t>study</w:t>
            </w:r>
            <w:r w:rsidRPr="005511FB" w:rsidR="005511FB">
              <w:rPr>
                <w:rFonts w:ascii="Times New Roman" w:hAnsi="Times New Roman"/>
              </w:rPr>
              <w:t xml:space="preserve"> is to characterize occupational exposure to surgical smoke (SS) and related respiratory health effects in </w:t>
            </w:r>
            <w:r>
              <w:rPr>
                <w:rFonts w:ascii="Times New Roman" w:hAnsi="Times New Roman"/>
              </w:rPr>
              <w:t xml:space="preserve">U.S. </w:t>
            </w:r>
            <w:r w:rsidRPr="005511FB" w:rsidR="005511FB">
              <w:rPr>
                <w:rFonts w:ascii="Times New Roman" w:hAnsi="Times New Roman"/>
              </w:rPr>
              <w:t>clinical veterinary settings. Findings from this study will help to provide guidance on engineering controls to improve air quality in veterinary medicine/animal care (VM/AC) personnel's work environment by reducing exposure to SS.</w:t>
            </w:r>
          </w:p>
          <w:bookmarkEnd w:id="1"/>
          <w:p w:rsidR="009E7840" w:rsidRPr="00032ED9" w:rsidP="00032ED9" w14:paraId="60710E6A" w14:textId="14A0D6F2">
            <w:pPr>
              <w:numPr>
                <w:ilvl w:val="0"/>
                <w:numId w:val="21"/>
              </w:numPr>
              <w:spacing w:after="160" w:line="259" w:lineRule="auto"/>
              <w:ind w:left="418"/>
              <w:rPr>
                <w:rFonts w:ascii="Times New Roman" w:hAnsi="Times New Roman"/>
              </w:rPr>
            </w:pPr>
            <w:r w:rsidRPr="00C017FC">
              <w:rPr>
                <w:rFonts w:ascii="Times New Roman" w:hAnsi="Times New Roman"/>
                <w:b/>
                <w:bCs/>
              </w:rPr>
              <w:t xml:space="preserve">Intended use of the resulting data: </w:t>
            </w:r>
            <w:r w:rsidR="002D7DC8">
              <w:rPr>
                <w:rFonts w:ascii="Times New Roman" w:hAnsi="Times New Roman"/>
              </w:rPr>
              <w:t>These d</w:t>
            </w:r>
            <w:r w:rsidRPr="00C017FC" w:rsidR="00B66FF1">
              <w:rPr>
                <w:rFonts w:ascii="Times New Roman" w:hAnsi="Times New Roman"/>
              </w:rPr>
              <w:t xml:space="preserve">ata will be used to examine (1) work-related factors that contribute to exposure to </w:t>
            </w:r>
            <w:r w:rsidR="0005792E">
              <w:rPr>
                <w:rFonts w:ascii="Times New Roman" w:hAnsi="Times New Roman"/>
              </w:rPr>
              <w:t>SS</w:t>
            </w:r>
            <w:r w:rsidRPr="00C017FC" w:rsidR="00B66FF1">
              <w:rPr>
                <w:rFonts w:ascii="Times New Roman" w:hAnsi="Times New Roman"/>
              </w:rPr>
              <w:t xml:space="preserve"> in clinical veterinary settings, (2) relationships between </w:t>
            </w:r>
            <w:r w:rsidR="0005792E">
              <w:rPr>
                <w:rFonts w:ascii="Times New Roman" w:hAnsi="Times New Roman"/>
              </w:rPr>
              <w:t>SS</w:t>
            </w:r>
            <w:r w:rsidRPr="00C017FC" w:rsidR="00B66FF1">
              <w:rPr>
                <w:rFonts w:ascii="Times New Roman" w:hAnsi="Times New Roman"/>
              </w:rPr>
              <w:t xml:space="preserve"> exposure in clinical veterinary settings and respiratory health, and (3) barriers and aids to implementing </w:t>
            </w:r>
            <w:r w:rsidR="0005792E">
              <w:rPr>
                <w:rFonts w:ascii="Times New Roman" w:hAnsi="Times New Roman"/>
              </w:rPr>
              <w:t>SS</w:t>
            </w:r>
            <w:r w:rsidRPr="00C017FC" w:rsidR="00B66FF1">
              <w:rPr>
                <w:rFonts w:ascii="Times New Roman" w:hAnsi="Times New Roman"/>
              </w:rPr>
              <w:t xml:space="preserve"> extraction systems that reduce occupational exposures to </w:t>
            </w:r>
            <w:r w:rsidR="0005792E">
              <w:rPr>
                <w:rFonts w:ascii="Times New Roman" w:hAnsi="Times New Roman"/>
              </w:rPr>
              <w:t>SS</w:t>
            </w:r>
            <w:r w:rsidRPr="00C017FC" w:rsidR="00B66FF1">
              <w:rPr>
                <w:rFonts w:ascii="Times New Roman" w:hAnsi="Times New Roman"/>
              </w:rPr>
              <w:t>.</w:t>
            </w:r>
          </w:p>
          <w:p w:rsidR="00F43C08" w:rsidP="00032ED9" w14:paraId="00BA8F66" w14:textId="3108A579">
            <w:pPr>
              <w:numPr>
                <w:ilvl w:val="0"/>
                <w:numId w:val="21"/>
              </w:numPr>
              <w:spacing w:after="160" w:line="259" w:lineRule="auto"/>
              <w:ind w:left="418"/>
              <w:rPr>
                <w:rFonts w:ascii="Times New Roman" w:hAnsi="Times New Roman"/>
              </w:rPr>
            </w:pPr>
            <w:r w:rsidRPr="00C017FC">
              <w:rPr>
                <w:rFonts w:ascii="Times New Roman" w:hAnsi="Times New Roman"/>
                <w:b/>
                <w:bCs/>
              </w:rPr>
              <w:t>Methods to be</w:t>
            </w:r>
            <w:r w:rsidRPr="00F27943">
              <w:rPr>
                <w:rFonts w:ascii="Times New Roman" w:hAnsi="Times New Roman"/>
                <w:b/>
                <w:bCs/>
              </w:rPr>
              <w:t xml:space="preserve"> used to collect data:</w:t>
            </w:r>
            <w:r w:rsidRPr="00F27943">
              <w:rPr>
                <w:rFonts w:ascii="Times New Roman" w:hAnsi="Times New Roman"/>
              </w:rPr>
              <w:t xml:space="preserve"> </w:t>
            </w:r>
            <w:r w:rsidRPr="00F43C08">
              <w:rPr>
                <w:rFonts w:ascii="Times New Roman" w:hAnsi="Times New Roman"/>
              </w:rPr>
              <w:t>A baseline questionnaire conducted through telephone calls with trained interview staff will be used to collect data from respondents about demographics, work history, job tasks, exposures to respiratory hazards, use of personal protective equipment, workplace safety climate, and respiratory health and symptoms. A post-shift questionnaire conducted during two in-person site visits will be used to collect data from respondents on acute respiratory symptoms and job tasks during the work shift.</w:t>
            </w:r>
          </w:p>
          <w:p w:rsidR="00C940F5" w:rsidRPr="00C940F5" w:rsidP="00032ED9" w14:paraId="0406FE5B" w14:textId="42CA9C89">
            <w:pPr>
              <w:numPr>
                <w:ilvl w:val="0"/>
                <w:numId w:val="21"/>
              </w:numPr>
              <w:spacing w:after="160" w:line="259" w:lineRule="auto"/>
              <w:ind w:left="418"/>
              <w:rPr>
                <w:rFonts w:ascii="Times New Roman" w:hAnsi="Times New Roman"/>
              </w:rPr>
            </w:pPr>
            <w:r w:rsidRPr="00A30123">
              <w:rPr>
                <w:rFonts w:ascii="Times New Roman" w:hAnsi="Times New Roman"/>
                <w:b/>
                <w:bCs/>
              </w:rPr>
              <w:t>The subpopulation to be studied:</w:t>
            </w:r>
            <w:r w:rsidR="00FC4FFA">
              <w:rPr>
                <w:rFonts w:ascii="Times New Roman" w:hAnsi="Times New Roman"/>
                <w:b/>
                <w:bCs/>
              </w:rPr>
              <w:t xml:space="preserve"> </w:t>
            </w:r>
            <w:r w:rsidRPr="00A30123">
              <w:rPr>
                <w:rFonts w:ascii="Times New Roman" w:hAnsi="Times New Roman" w:eastAsiaTheme="minorHAnsi"/>
              </w:rPr>
              <w:t xml:space="preserve">The respondent </w:t>
            </w:r>
            <w:r w:rsidRPr="00A30123" w:rsidR="009E4662">
              <w:rPr>
                <w:rFonts w:ascii="Times New Roman" w:hAnsi="Times New Roman" w:eastAsiaTheme="minorHAnsi"/>
              </w:rPr>
              <w:t xml:space="preserve">sample </w:t>
            </w:r>
            <w:r w:rsidRPr="00A30123" w:rsidR="00584EDD">
              <w:rPr>
                <w:rFonts w:ascii="Times New Roman" w:hAnsi="Times New Roman" w:eastAsiaTheme="minorHAnsi"/>
              </w:rPr>
              <w:t xml:space="preserve">for the study </w:t>
            </w:r>
            <w:r w:rsidRPr="00A30123" w:rsidR="009E4662">
              <w:rPr>
                <w:rFonts w:ascii="Times New Roman" w:hAnsi="Times New Roman" w:eastAsiaTheme="minorHAnsi"/>
              </w:rPr>
              <w:t>will</w:t>
            </w:r>
            <w:r w:rsidRPr="00A30123" w:rsidR="00584EDD">
              <w:rPr>
                <w:rFonts w:ascii="Times New Roman" w:hAnsi="Times New Roman" w:eastAsiaTheme="minorHAnsi"/>
              </w:rPr>
              <w:t xml:space="preserve"> come from </w:t>
            </w:r>
            <w:r>
              <w:rPr>
                <w:rFonts w:ascii="Times New Roman" w:hAnsi="Times New Roman"/>
              </w:rPr>
              <w:t>VM/AC</w:t>
            </w:r>
            <w:r w:rsidRPr="00A30123" w:rsidR="008C74E7">
              <w:rPr>
                <w:rFonts w:ascii="Times New Roman" w:hAnsi="Times New Roman" w:eastAsiaTheme="minorHAnsi"/>
              </w:rPr>
              <w:t xml:space="preserve"> personnel who are </w:t>
            </w:r>
            <w:r w:rsidRPr="00432A15" w:rsidR="008C74E7">
              <w:rPr>
                <w:rFonts w:ascii="Times New Roman" w:hAnsi="Times New Roman" w:eastAsiaTheme="minorHAnsi"/>
              </w:rPr>
              <w:t>18 years or older</w:t>
            </w:r>
            <w:r w:rsidR="006F7EAF">
              <w:rPr>
                <w:rFonts w:ascii="Times New Roman" w:hAnsi="Times New Roman" w:eastAsiaTheme="minorHAnsi"/>
              </w:rPr>
              <w:t>, speak English,</w:t>
            </w:r>
            <w:r w:rsidRPr="00432A15" w:rsidR="008C74E7">
              <w:rPr>
                <w:rFonts w:ascii="Times New Roman" w:hAnsi="Times New Roman" w:eastAsiaTheme="minorHAnsi"/>
              </w:rPr>
              <w:t xml:space="preserve"> and work</w:t>
            </w:r>
            <w:r w:rsidRPr="00432A15" w:rsidR="003C6BF0">
              <w:rPr>
                <w:rFonts w:ascii="Times New Roman" w:hAnsi="Times New Roman" w:eastAsiaTheme="minorHAnsi"/>
              </w:rPr>
              <w:t xml:space="preserve"> a</w:t>
            </w:r>
            <w:r w:rsidRPr="00432A15" w:rsidR="00584EDD">
              <w:rPr>
                <w:rFonts w:ascii="Times New Roman" w:hAnsi="Times New Roman" w:eastAsiaTheme="minorHAnsi"/>
              </w:rPr>
              <w:t xml:space="preserve">t a collaborating </w:t>
            </w:r>
            <w:r w:rsidRPr="00432A15" w:rsidR="003C6BF0">
              <w:rPr>
                <w:rFonts w:ascii="Times New Roman" w:hAnsi="Times New Roman" w:eastAsiaTheme="minorHAnsi"/>
              </w:rPr>
              <w:t xml:space="preserve">clinical veterinary </w:t>
            </w:r>
            <w:r w:rsidRPr="00432A15" w:rsidR="00465DBA">
              <w:rPr>
                <w:rFonts w:ascii="Times New Roman" w:hAnsi="Times New Roman" w:eastAsiaTheme="minorHAnsi"/>
              </w:rPr>
              <w:t>workplace.</w:t>
            </w:r>
          </w:p>
          <w:p w:rsidR="009E7840" w:rsidRPr="006E2511" w:rsidP="006E2511" w14:paraId="605CD957" w14:textId="0B1149F6">
            <w:pPr>
              <w:numPr>
                <w:ilvl w:val="0"/>
                <w:numId w:val="21"/>
              </w:numPr>
              <w:spacing w:after="160" w:line="259" w:lineRule="auto"/>
              <w:ind w:left="418"/>
              <w:rPr>
                <w:rFonts w:ascii="Times New Roman" w:hAnsi="Times New Roman"/>
              </w:rPr>
            </w:pPr>
            <w:r w:rsidRPr="00432A15">
              <w:rPr>
                <w:rFonts w:ascii="Times New Roman" w:hAnsi="Times New Roman"/>
                <w:b/>
                <w:bCs/>
              </w:rPr>
              <w:t>How data will be analyzed:</w:t>
            </w:r>
            <w:r w:rsidRPr="00FD17DB">
              <w:rPr>
                <w:rFonts w:ascii="Times New Roman" w:hAnsi="Times New Roman"/>
              </w:rPr>
              <w:t xml:space="preserve"> </w:t>
            </w:r>
            <w:r w:rsidRPr="00FD17DB" w:rsidR="00FD17DB">
              <w:rPr>
                <w:rFonts w:ascii="Times New Roman" w:hAnsi="Times New Roman"/>
              </w:rPr>
              <w:t>Data will be summarized using descriptive statistical methods (including means, medians, standard deviations, percentages, and frequencies), inferential statistical methods (including univariable regression, multivariable regression, and structural equation modeling), and Bayesian modeling.</w:t>
            </w:r>
          </w:p>
        </w:tc>
      </w:tr>
    </w:tbl>
    <w:p w:rsidR="00E76400" w:rsidRPr="00A17D25" w:rsidP="000327E9" w14:paraId="3B830D0D" w14:textId="77777777">
      <w:pPr>
        <w:rPr>
          <w:b/>
          <w:bCs/>
        </w:rPr>
      </w:pPr>
    </w:p>
    <w:p w:rsidR="009E7840" w:rsidRPr="00A17D25" w14:paraId="32681158" w14:textId="5D6E2892">
      <w:pPr>
        <w:rPr>
          <w:b/>
          <w:bCs/>
        </w:rPr>
      </w:pPr>
      <w:r w:rsidRPr="00A17D25">
        <w:rPr>
          <w:b/>
          <w:bCs/>
        </w:rPr>
        <w:br w:type="page"/>
      </w:r>
    </w:p>
    <w:p w:rsidR="009E7840" w:rsidRPr="00310BC2" w:rsidP="000C49DB" w14:paraId="66174D71" w14:textId="18E0D3B9">
      <w:pPr>
        <w:rPr>
          <w:b/>
          <w:bCs/>
        </w:rPr>
      </w:pPr>
      <w:r w:rsidRPr="000C49DB">
        <w:rPr>
          <w:b/>
          <w:bCs/>
        </w:rPr>
        <w:t>A.</w:t>
      </w:r>
      <w:r>
        <w:rPr>
          <w:b/>
          <w:bCs/>
        </w:rPr>
        <w:t xml:space="preserve"> </w:t>
      </w:r>
      <w:r w:rsidRPr="00310BC2">
        <w:rPr>
          <w:b/>
          <w:bCs/>
        </w:rPr>
        <w:t>Justification</w:t>
      </w:r>
    </w:p>
    <w:p w:rsidR="000327E9" w:rsidRPr="00310BC2" w:rsidP="000327E9" w14:paraId="6483871E" w14:textId="77777777">
      <w:pPr>
        <w:autoSpaceDE w:val="0"/>
        <w:autoSpaceDN w:val="0"/>
        <w:adjustRightInd w:val="0"/>
        <w:rPr>
          <w:color w:val="000000"/>
          <w:szCs w:val="24"/>
        </w:rPr>
      </w:pPr>
    </w:p>
    <w:p w:rsidR="000327E9" w:rsidRPr="00310BC2" w:rsidP="00193B52" w14:paraId="24E36B28" w14:textId="5114C712">
      <w:pPr>
        <w:pStyle w:val="Heading1"/>
      </w:pPr>
      <w:bookmarkStart w:id="2" w:name="_Toc165285101"/>
      <w:r w:rsidRPr="00310BC2">
        <w:t>Circumstances Making the Collection of Information Necessary</w:t>
      </w:r>
      <w:bookmarkEnd w:id="2"/>
      <w:r w:rsidRPr="00310BC2">
        <w:t xml:space="preserve"> </w:t>
      </w:r>
    </w:p>
    <w:p w:rsidR="00193B52" w:rsidRPr="00310BC2" w:rsidP="00B247A8" w14:paraId="1F5F0713" w14:textId="77777777"/>
    <w:p w:rsidR="00F03BCD" w:rsidRPr="00310BC2" w:rsidP="00B247A8" w14:paraId="2FF19993" w14:textId="601EF9B9">
      <w:r w:rsidRPr="00310BC2">
        <w:t xml:space="preserve">The Centers for Disease Control and Prevention (CDC), National Institute for Occupational Safety and Health (NIOSH) seeks approval from the Office of Management and Budget (OMB) to conduct a study </w:t>
      </w:r>
      <w:r w:rsidRPr="00310BC2" w:rsidR="00C832AF">
        <w:t xml:space="preserve">on </w:t>
      </w:r>
      <w:r w:rsidRPr="00310BC2" w:rsidR="000E21F6">
        <w:t>surgical smoke (SS) and related respiratory health effects in U.S. clinical veterinary settings</w:t>
      </w:r>
      <w:r w:rsidRPr="00310BC2">
        <w:t>. This is a new Information Collection Request (ICR), with approval requested for three years post-approval date. Data will be collected by NIOSH under Section 20(a)(1) of the Occupational Safety and Health Act (29 U.S.C.669) (Att.1</w:t>
      </w:r>
      <w:r w:rsidRPr="00310BC2" w:rsidR="008839D7">
        <w:t>–</w:t>
      </w:r>
      <w:r w:rsidRPr="00310BC2">
        <w:t>Authorizing Legislation)</w:t>
      </w:r>
      <w:r w:rsidRPr="00310BC2" w:rsidR="009E2BAA">
        <w:t>.</w:t>
      </w:r>
    </w:p>
    <w:p w:rsidR="00F03BCD" w:rsidRPr="00310BC2" w:rsidP="00B247A8" w14:paraId="4D18E258" w14:textId="77777777"/>
    <w:p w:rsidR="004C3447" w:rsidRPr="00310BC2" w:rsidP="00B247A8" w14:paraId="6AF71897" w14:textId="72348768">
      <w:pPr>
        <w:rPr>
          <w:lang w:eastAsia="ja-JP"/>
        </w:rPr>
      </w:pPr>
      <w:r w:rsidRPr="00310BC2">
        <w:rPr>
          <w:lang w:eastAsia="ja-JP"/>
        </w:rPr>
        <w:t>Surgical smoke produced during tissue cutting and cauterizing tissues and blood vessels generates hazardous gaseous compounds and aerosols</w:t>
      </w:r>
      <w:r w:rsidRPr="00310BC2" w:rsidR="00EB281C">
        <w:rPr>
          <w:lang w:eastAsia="ja-JP"/>
        </w:rPr>
        <w:t>.</w:t>
      </w:r>
      <w:r w:rsidRPr="00310BC2" w:rsidR="003153A1">
        <w:rPr>
          <w:lang w:eastAsia="ja-JP"/>
        </w:rPr>
        <w:t xml:space="preserve"> While there is a growing body of literature surrounding surgical smoke exposures generated during human surgeries, </w:t>
      </w:r>
      <w:bookmarkStart w:id="3" w:name="_Hlk144984521"/>
      <w:r w:rsidRPr="00310BC2" w:rsidR="003153A1">
        <w:rPr>
          <w:lang w:eastAsia="ja-JP"/>
        </w:rPr>
        <w:t>no research has been done characterizing surgical smoke generated from animal tissue</w:t>
      </w:r>
      <w:bookmarkEnd w:id="3"/>
      <w:r w:rsidRPr="00310BC2" w:rsidR="003153A1">
        <w:rPr>
          <w:lang w:eastAsia="ja-JP"/>
        </w:rPr>
        <w:t xml:space="preserve"> in clinical veterinary settings. Surgical smoke exposure in human medicine literature has been reported to induce acute and chronic inflammatory changes in the respiratory tract, including those leading to upper respiratory tract irritation, rhinitis, asthma, and bronchiolitis and emphysematous changes consistent with chronic obstructive pulmonary disease, but similar studies among veterinary medicine/animal care (VM/AC) personnel are lacking. </w:t>
      </w:r>
      <w:r w:rsidRPr="00310BC2">
        <w:rPr>
          <w:lang w:eastAsia="ja-JP"/>
        </w:rPr>
        <w:t xml:space="preserve">Additionally, surgical suites in veterinary clinics are often multiple bay suites or have less effective ventilation systems than human operating rooms, potentially leading to higher exposure levels. Given previous research has documented hazardous compounds are generated during electrocautery use, respiratory symptoms can be associated with surgical smoke exposure among human hospital workers, and a knowledge gap exists on these topics among VM/AC personnel, further evaluation of the potential occupational exposures to surgical smoke and respiratory health effects among VM/AC personnel is warranted. </w:t>
      </w:r>
    </w:p>
    <w:p w:rsidR="004C3447" w:rsidRPr="00310BC2" w:rsidP="00B247A8" w14:paraId="7DCE35E9" w14:textId="77777777">
      <w:pPr>
        <w:rPr>
          <w:lang w:eastAsia="ja-JP"/>
        </w:rPr>
      </w:pPr>
    </w:p>
    <w:p w:rsidR="005345CE" w:rsidRPr="00310BC2" w:rsidP="00B247A8" w14:paraId="70995E05" w14:textId="39B7EA50">
      <w:pPr>
        <w:rPr>
          <w:lang w:eastAsia="ja-JP"/>
        </w:rPr>
      </w:pPr>
      <w:r w:rsidRPr="00310BC2">
        <w:rPr>
          <w:lang w:eastAsia="ja-JP"/>
        </w:rPr>
        <w:t>There is also a lack of understanding about barriers and aids to the use of surgical smoke controls, such as surgical smoke evacuations systems that are designed to reduce occupational exposures to surgical smoke, in clinical veterinary settings.</w:t>
      </w:r>
      <w:r w:rsidRPr="00310BC2" w:rsidR="006121A2">
        <w:rPr>
          <w:lang w:eastAsia="ja-JP"/>
        </w:rPr>
        <w:t xml:space="preserve"> </w:t>
      </w:r>
      <w:r w:rsidRPr="00310BC2" w:rsidR="00E675B3">
        <w:rPr>
          <w:lang w:eastAsia="ja-JP"/>
        </w:rPr>
        <w:t xml:space="preserve">Although barriers and aids to the use of surgical smoke controls have been examined among physicians and nurses in human-healthcare settings, </w:t>
      </w:r>
      <w:r w:rsidRPr="00310BC2" w:rsidR="00EF397B">
        <w:rPr>
          <w:lang w:eastAsia="ja-JP"/>
        </w:rPr>
        <w:t xml:space="preserve">no research has examined barriers and aids to the use of surgical smoke evacuation systems among VM/AC personnel. </w:t>
      </w:r>
      <w:r w:rsidRPr="00310BC2" w:rsidR="001A4A14">
        <w:rPr>
          <w:lang w:eastAsia="ja-JP"/>
        </w:rPr>
        <w:t>This</w:t>
      </w:r>
      <w:r w:rsidRPr="00310BC2" w:rsidR="00E675B3">
        <w:rPr>
          <w:lang w:eastAsia="ja-JP"/>
        </w:rPr>
        <w:t xml:space="preserve"> research would be the first to examine the associations between usage of surgical smoke controls and personal protective equipment, perceived risks of surgical smoke, and organizational safety climate in clinical veterinary settings.</w:t>
      </w:r>
      <w:r w:rsidRPr="00310BC2" w:rsidR="006D19A4">
        <w:rPr>
          <w:lang w:eastAsia="ja-JP"/>
        </w:rPr>
        <w:t xml:space="preserve"> Having a better understanding of the relations between perceived risks of surgical smoke, safety climate, and risk-reduction behaviors (such as using surgical smoke evacuation systems) can help identify appropriate interventions to better inform workers of potential hazards and increase the use of controls and other safety-related behaviors in this industry.</w:t>
      </w:r>
    </w:p>
    <w:p w:rsidR="005345CE" w:rsidRPr="00310BC2" w:rsidP="00B247A8" w14:paraId="3A7D6C42" w14:textId="77777777">
      <w:pPr>
        <w:rPr>
          <w:lang w:eastAsia="ja-JP"/>
        </w:rPr>
      </w:pPr>
    </w:p>
    <w:p w:rsidR="003732E9" w:rsidRPr="00310BC2" w:rsidP="00B247A8" w14:paraId="2692C767" w14:textId="77777777">
      <w:r w:rsidRPr="00310BC2">
        <w:rPr>
          <w:lang w:eastAsia="ja-JP"/>
        </w:rPr>
        <w:t xml:space="preserve">Therefore, the overarching goal of this project </w:t>
      </w:r>
      <w:r w:rsidRPr="00310BC2" w:rsidR="00152EB5">
        <w:rPr>
          <w:lang w:eastAsia="ja-JP"/>
        </w:rPr>
        <w:t xml:space="preserve">is to characterize occupational exposure to surgical smoke and related respiratory health effects in U.S. clinical veterinary settings. </w:t>
      </w:r>
      <w:r w:rsidRPr="00310BC2" w:rsidR="00661744">
        <w:rPr>
          <w:lang w:eastAsia="ja-JP"/>
        </w:rPr>
        <w:t xml:space="preserve">This study will </w:t>
      </w:r>
      <w:r w:rsidRPr="00310BC2" w:rsidR="00661744">
        <w:t xml:space="preserve">describe surgical smoke-related respiratory health effects in </w:t>
      </w:r>
      <w:r w:rsidRPr="00310BC2" w:rsidR="00661744">
        <w:rPr>
          <w:lang w:eastAsia="ja-JP"/>
        </w:rPr>
        <w:t>VM/AC</w:t>
      </w:r>
      <w:r w:rsidRPr="00310BC2" w:rsidR="00661744">
        <w:t xml:space="preserve"> personnel and barriers/aids to implementing surgical smoke evacuation systems among VM/AC personnel.</w:t>
      </w:r>
      <w:r w:rsidRPr="00310BC2" w:rsidR="001F7EF0">
        <w:t xml:space="preserve"> </w:t>
      </w:r>
    </w:p>
    <w:p w:rsidR="003732E9" w:rsidRPr="00310BC2" w:rsidP="00B247A8" w14:paraId="0CA52CC8" w14:textId="77777777"/>
    <w:p w:rsidR="00751CEB" w:rsidRPr="00310BC2" w:rsidP="00193B52" w14:paraId="06875229" w14:textId="24310791">
      <w:pPr>
        <w:pStyle w:val="Heading1"/>
      </w:pPr>
      <w:bookmarkStart w:id="4" w:name="_Toc165285102"/>
      <w:r w:rsidRPr="00310BC2">
        <w:t>Purpose and Use of the Information Collection</w:t>
      </w:r>
      <w:bookmarkEnd w:id="4"/>
      <w:r w:rsidRPr="00310BC2">
        <w:t xml:space="preserve"> </w:t>
      </w:r>
    </w:p>
    <w:p w:rsidR="00044096" w:rsidRPr="00310BC2" w:rsidP="00B247A8" w14:paraId="10FABC00" w14:textId="77777777">
      <w:pPr>
        <w:rPr>
          <w:lang w:eastAsia="ja-JP"/>
        </w:rPr>
      </w:pPr>
    </w:p>
    <w:p w:rsidR="00180900" w:rsidRPr="00310BC2" w:rsidP="00B247A8" w14:paraId="00771E23" w14:textId="1A4CD7AD">
      <w:pPr>
        <w:rPr>
          <w:lang w:eastAsia="ja-JP"/>
        </w:rPr>
      </w:pPr>
      <w:r w:rsidRPr="00310BC2">
        <w:rPr>
          <w:lang w:eastAsia="ja-JP"/>
        </w:rPr>
        <w:t>The d</w:t>
      </w:r>
      <w:r w:rsidRPr="00310BC2" w:rsidR="0075094F">
        <w:rPr>
          <w:lang w:eastAsia="ja-JP"/>
        </w:rPr>
        <w:t>ata</w:t>
      </w:r>
      <w:r w:rsidRPr="00310BC2">
        <w:rPr>
          <w:lang w:eastAsia="ja-JP"/>
        </w:rPr>
        <w:t xml:space="preserve"> collected from this study</w:t>
      </w:r>
      <w:r w:rsidRPr="00310BC2" w:rsidR="0075094F">
        <w:rPr>
          <w:lang w:eastAsia="ja-JP"/>
        </w:rPr>
        <w:t xml:space="preserve"> will be used to examine (1) work-related factors that contribute to exposure to surgical smoke in clinical veterinary settings, (2) relationships between surgical smoke exposure in clinical veterinary settings and respiratory health, and (3) barriers and aids to implementing surgical smoke extraction systems that reduce occupational exposures to surgical smoke.</w:t>
      </w:r>
      <w:r w:rsidRPr="00310BC2">
        <w:t xml:space="preserve"> These findings will ultimately be used to help develop guidance for engineering controls that </w:t>
      </w:r>
      <w:r w:rsidRPr="00310BC2">
        <w:rPr>
          <w:lang w:eastAsia="ja-JP"/>
        </w:rPr>
        <w:t>improve air quality in VM/AC personnel's work environment, thereby reducing exposure to surgical smoke and the risk of respiratory diseases.</w:t>
      </w:r>
    </w:p>
    <w:p w:rsidR="005662C2" w:rsidRPr="00310BC2" w:rsidP="00B247A8" w14:paraId="4CD2C177" w14:textId="77777777">
      <w:pPr>
        <w:rPr>
          <w:lang w:eastAsia="ja-JP"/>
        </w:rPr>
      </w:pPr>
    </w:p>
    <w:p w:rsidR="005662C2" w:rsidRPr="00310BC2" w:rsidP="00B247A8" w14:paraId="6DAC8E9F" w14:textId="031C63CE">
      <w:pPr>
        <w:rPr>
          <w:lang w:eastAsia="ja-JP"/>
        </w:rPr>
      </w:pPr>
      <w:r w:rsidRPr="00310BC2">
        <w:rPr>
          <w:lang w:eastAsia="ja-JP"/>
        </w:rPr>
        <w:t>Descriptive statistics will be used to summarize means</w:t>
      </w:r>
      <w:r w:rsidRPr="00310BC2" w:rsidR="007F7765">
        <w:rPr>
          <w:lang w:eastAsia="ja-JP"/>
        </w:rPr>
        <w:t>, medians,</w:t>
      </w:r>
      <w:r w:rsidRPr="00310BC2">
        <w:rPr>
          <w:lang w:eastAsia="ja-JP"/>
        </w:rPr>
        <w:t xml:space="preserve"> and standard deviations for continuous variables and percentages and frequencies for binary and categorical variables. Differences by subgroups will be tested using established, valid statistical techniques such as t-tests and Chi square tests (or the equivalent tests for paired data, when indicated); non-parametric tests will be used if normality tests indicate that is appropriate. </w:t>
      </w:r>
      <w:r w:rsidRPr="00310BC2" w:rsidR="004364B5">
        <w:rPr>
          <w:lang w:eastAsia="ja-JP"/>
        </w:rPr>
        <w:t>Modeling such as univariable regression, multivariable regression, g</w:t>
      </w:r>
      <w:r w:rsidRPr="00310BC2">
        <w:rPr>
          <w:lang w:eastAsia="ja-JP"/>
        </w:rPr>
        <w:t>eneralized linear modeling</w:t>
      </w:r>
      <w:r w:rsidRPr="00310BC2" w:rsidR="00AB0153">
        <w:rPr>
          <w:lang w:eastAsia="ja-JP"/>
        </w:rPr>
        <w:t>, and structural equation modeling</w:t>
      </w:r>
      <w:r w:rsidRPr="00310BC2">
        <w:rPr>
          <w:lang w:eastAsia="ja-JP"/>
        </w:rPr>
        <w:t xml:space="preserve"> will be used to </w:t>
      </w:r>
      <w:r w:rsidRPr="00310BC2" w:rsidR="00AB0153">
        <w:rPr>
          <w:lang w:eastAsia="ja-JP"/>
        </w:rPr>
        <w:t>examine</w:t>
      </w:r>
      <w:r w:rsidRPr="00310BC2">
        <w:rPr>
          <w:lang w:eastAsia="ja-JP"/>
        </w:rPr>
        <w:t xml:space="preserve"> relationships between risk or protective factors (predictor variables) and </w:t>
      </w:r>
      <w:r w:rsidRPr="00310BC2" w:rsidR="00423AF7">
        <w:rPr>
          <w:lang w:eastAsia="ja-JP"/>
        </w:rPr>
        <w:t>surgical smoke</w:t>
      </w:r>
      <w:r w:rsidRPr="00310BC2">
        <w:rPr>
          <w:lang w:eastAsia="ja-JP"/>
        </w:rPr>
        <w:t xml:space="preserve"> constituents and respiratory health outcomes (response variables), including examination of potential confounder or modifying factors (such as age, sex, smoking status, allergic status, and stress); then Bayesian methods, which can simultaneously account for repeated measures and left censoring, will be used for modeling and comparison analyses.</w:t>
      </w:r>
    </w:p>
    <w:p w:rsidR="003C1455" w:rsidRPr="00310BC2" w:rsidP="00B247A8" w14:paraId="43246BEF" w14:textId="77777777">
      <w:pPr>
        <w:rPr>
          <w:color w:val="000000"/>
          <w:szCs w:val="24"/>
        </w:rPr>
      </w:pPr>
    </w:p>
    <w:p w:rsidR="003C1455" w:rsidRPr="00310BC2" w:rsidP="00193B52" w14:paraId="261CBF9F" w14:textId="77777777">
      <w:pPr>
        <w:pStyle w:val="Heading1"/>
      </w:pPr>
      <w:bookmarkStart w:id="5" w:name="_Toc165285103"/>
      <w:r w:rsidRPr="00310BC2">
        <w:t>Use of Improved Information Technology and Burden Reduction</w:t>
      </w:r>
      <w:bookmarkEnd w:id="5"/>
      <w:r w:rsidRPr="00310BC2">
        <w:t xml:space="preserve"> </w:t>
      </w:r>
    </w:p>
    <w:p w:rsidR="00193B52" w:rsidRPr="00310BC2" w:rsidP="00B247A8" w14:paraId="43C359B8" w14:textId="77777777"/>
    <w:p w:rsidR="00C60E47" w:rsidRPr="00310BC2" w:rsidP="00B247A8" w14:paraId="495E2650" w14:textId="1B9F27B7">
      <w:r w:rsidRPr="00310BC2">
        <w:t xml:space="preserve">Participating veterinary facilities will be provided </w:t>
      </w:r>
      <w:r w:rsidRPr="00310BC2" w:rsidR="000F21C1">
        <w:t>a</w:t>
      </w:r>
      <w:r w:rsidRPr="00310BC2" w:rsidR="000F4479">
        <w:t xml:space="preserve">n electronic </w:t>
      </w:r>
      <w:r w:rsidRPr="00310BC2" w:rsidR="000F21C1">
        <w:t>s</w:t>
      </w:r>
      <w:r w:rsidRPr="00310BC2">
        <w:t xml:space="preserve">tudy </w:t>
      </w:r>
      <w:r w:rsidRPr="00310BC2" w:rsidR="000F21C1">
        <w:t>r</w:t>
      </w:r>
      <w:r w:rsidRPr="00310BC2">
        <w:t xml:space="preserve">ecruitment </w:t>
      </w:r>
      <w:r w:rsidRPr="00310BC2" w:rsidR="000F21C1">
        <w:t>f</w:t>
      </w:r>
      <w:r w:rsidRPr="00310BC2">
        <w:t xml:space="preserve">act </w:t>
      </w:r>
      <w:r w:rsidRPr="00310BC2" w:rsidR="000F21C1">
        <w:t>s</w:t>
      </w:r>
      <w:r w:rsidRPr="00310BC2">
        <w:t>heet (</w:t>
      </w:r>
      <w:r w:rsidRPr="00310BC2" w:rsidR="000F21C1">
        <w:t>Att. 3–Study Recruitment Fact Sheet</w:t>
      </w:r>
      <w:r w:rsidRPr="00310BC2">
        <w:t xml:space="preserve">) to circulate electronically to eligible workers and post in employee work areas to generate awareness and interest in the project. The </w:t>
      </w:r>
      <w:r w:rsidRPr="00310BC2" w:rsidR="00E05712">
        <w:t>s</w:t>
      </w:r>
      <w:r w:rsidRPr="00310BC2">
        <w:t xml:space="preserve">tudy </w:t>
      </w:r>
      <w:r w:rsidRPr="00310BC2" w:rsidR="00E05712">
        <w:t>r</w:t>
      </w:r>
      <w:r w:rsidRPr="00310BC2">
        <w:t xml:space="preserve">ecruitment </w:t>
      </w:r>
      <w:r w:rsidRPr="00310BC2" w:rsidR="00E05712">
        <w:t>f</w:t>
      </w:r>
      <w:r w:rsidRPr="00310BC2">
        <w:t xml:space="preserve">act </w:t>
      </w:r>
      <w:r w:rsidRPr="00310BC2" w:rsidR="00E05712">
        <w:t>s</w:t>
      </w:r>
      <w:r w:rsidRPr="00310BC2">
        <w:t>heet describes the objectives of the study and the study’s requirements for participat</w:t>
      </w:r>
      <w:r w:rsidRPr="00310BC2" w:rsidR="00D90583">
        <w:t xml:space="preserve">ion, including </w:t>
      </w:r>
      <w:r w:rsidRPr="00310BC2" w:rsidR="00766625">
        <w:t>screening requirements and anticipated time needed to complete study questionnaires.</w:t>
      </w:r>
      <w:r w:rsidRPr="00310BC2" w:rsidR="001D13C8">
        <w:t xml:space="preserve"> This study recruitment fact sheet will be distributed electronically accompanied by a recruitment email (Att. 4–Recruitment Email)</w:t>
      </w:r>
      <w:r w:rsidRPr="00310BC2" w:rsidR="00781DEA">
        <w:t xml:space="preserve">. The </w:t>
      </w:r>
      <w:r w:rsidRPr="00310BC2" w:rsidR="00ED572D">
        <w:t xml:space="preserve">study recruitment fact sheet and the recruitment email will each contain </w:t>
      </w:r>
      <w:r w:rsidRPr="00310BC2" w:rsidR="00FE4E24">
        <w:t>a quick response (QR) code that, when scanned, brings the potential participant to a one-page expression of interest form (Att. 5–Expression of Interest Form) via Epi Info™ Secure Web Survey</w:t>
      </w:r>
      <w:r w:rsidRPr="00310BC2" w:rsidR="00045F2C">
        <w:t xml:space="preserve"> </w:t>
      </w:r>
      <w:r w:rsidRPr="00310BC2" w:rsidR="00FE4E24">
        <w:t>for the potential participant to complete to express interest in participating in the study.</w:t>
      </w:r>
      <w:r w:rsidRPr="00310BC2" w:rsidR="00F13BB3">
        <w:t xml:space="preserve"> </w:t>
      </w:r>
      <w:r w:rsidRPr="00310BC2" w:rsidR="00406E07">
        <w:t xml:space="preserve">Epi Info™ Secure Web Survey is a web-based data collection tool for use at CDC and has a Moderate security level classification and approval; name, email address, and phone number are types of personal identifying information (PII) explicitly allowed to be collected via Epi Info™ Secure Web Survey. </w:t>
      </w:r>
      <w:r w:rsidRPr="00310BC2" w:rsidR="00F13BB3">
        <w:t xml:space="preserve">Workers who complete the expression of interest form will be offered a day/time to </w:t>
      </w:r>
      <w:r w:rsidRPr="00310BC2" w:rsidR="002C1F9A">
        <w:t xml:space="preserve">complete the informed consent </w:t>
      </w:r>
      <w:r w:rsidRPr="00310BC2" w:rsidR="00F10B5E">
        <w:t>(</w:t>
      </w:r>
      <w:r w:rsidRPr="00310BC2" w:rsidR="00F10B5E">
        <w:rPr>
          <w:bCs/>
        </w:rPr>
        <w:t>Att. 6–Informed Consent)</w:t>
      </w:r>
      <w:r w:rsidRPr="00310BC2" w:rsidR="00393B30">
        <w:rPr>
          <w:bCs/>
        </w:rPr>
        <w:t xml:space="preserve"> and be enrolled into the study</w:t>
      </w:r>
      <w:r w:rsidRPr="00310BC2" w:rsidR="002C1F9A">
        <w:t>.</w:t>
      </w:r>
    </w:p>
    <w:p w:rsidR="00316823" w:rsidRPr="00310BC2" w:rsidP="00B247A8" w14:paraId="3959D201" w14:textId="77777777"/>
    <w:p w:rsidR="00513866" w:rsidRPr="00310BC2" w:rsidP="00B247A8" w14:paraId="7D5D9E84" w14:textId="410C4C1D">
      <w:r w:rsidRPr="00310BC2">
        <w:t>During the scheduled day/time with the participant, after the participant has provided consent,</w:t>
      </w:r>
      <w:r w:rsidRPr="00310BC2">
        <w:t xml:space="preserve"> a NIOSH investigator will administer the baseline questionnaire </w:t>
      </w:r>
      <w:r w:rsidRPr="00310BC2" w:rsidR="00F10B5E">
        <w:t>(Att. 7–Baseline Questionnaire)</w:t>
      </w:r>
      <w:r w:rsidRPr="00310BC2" w:rsidR="00967E14">
        <w:t>. The baseline questionnaire will be conducted virtually through a secure government platform such as Microsoft Teams</w:t>
      </w:r>
      <w:r w:rsidRPr="00310BC2" w:rsidR="005E3008">
        <w:t>,</w:t>
      </w:r>
      <w:r w:rsidRPr="00310BC2" w:rsidR="00F10B5E">
        <w:t xml:space="preserve"> </w:t>
      </w:r>
      <w:r w:rsidRPr="00310BC2">
        <w:t>and</w:t>
      </w:r>
      <w:r w:rsidRPr="00310BC2" w:rsidR="005E3008">
        <w:t xml:space="preserve"> the NIOSH investigator will</w:t>
      </w:r>
      <w:r w:rsidRPr="00310BC2">
        <w:t xml:space="preserve"> enter collected data </w:t>
      </w:r>
      <w:r w:rsidRPr="00310BC2" w:rsidR="00E51686">
        <w:t xml:space="preserve">directly </w:t>
      </w:r>
      <w:r w:rsidRPr="00310BC2">
        <w:t xml:space="preserve">on a </w:t>
      </w:r>
      <w:r w:rsidRPr="00310BC2" w:rsidR="0065168B">
        <w:t xml:space="preserve">CDC network-connected, </w:t>
      </w:r>
      <w:r w:rsidRPr="00310BC2">
        <w:t>password</w:t>
      </w:r>
      <w:r w:rsidRPr="00310BC2" w:rsidR="0065168B">
        <w:t>-</w:t>
      </w:r>
      <w:r w:rsidRPr="00310BC2">
        <w:t>protected NIOSH computer via data collection software approved for use and collection of PII at CDC.</w:t>
      </w:r>
      <w:r w:rsidRPr="00310BC2" w:rsidR="001F43FE">
        <w:t xml:space="preserve"> </w:t>
      </w:r>
      <w:r w:rsidRPr="00310BC2" w:rsidR="00111C3F">
        <w:t xml:space="preserve">Trained </w:t>
      </w:r>
      <w:r w:rsidRPr="00310BC2" w:rsidR="007F7A2A">
        <w:t xml:space="preserve">NIOSH investigators directly entering </w:t>
      </w:r>
      <w:r w:rsidRPr="00310BC2" w:rsidR="00111C3F">
        <w:t xml:space="preserve">data collected for the </w:t>
      </w:r>
      <w:r w:rsidRPr="00310BC2" w:rsidR="007F7A2A">
        <w:t xml:space="preserve">baseline questionnaire is anticipated to substantially reduce the time required to collect </w:t>
      </w:r>
      <w:r w:rsidRPr="00310BC2" w:rsidR="00EC22B3">
        <w:t>questionnaire</w:t>
      </w:r>
      <w:r w:rsidRPr="00310BC2" w:rsidR="007F7A2A">
        <w:t xml:space="preserve"> responses</w:t>
      </w:r>
      <w:r w:rsidRPr="00310BC2" w:rsidR="00D30910">
        <w:t>.</w:t>
      </w:r>
      <w:r w:rsidRPr="00310BC2" w:rsidR="00840F0F">
        <w:t xml:space="preserve"> Skip patterns will be applied in the baseline questionnaire where appropriate to avoid asking non-applicable questions.</w:t>
      </w:r>
    </w:p>
    <w:p w:rsidR="00316823" w:rsidRPr="00310BC2" w:rsidP="00B247A8" w14:paraId="7B836A14" w14:textId="77777777"/>
    <w:p w:rsidR="00F231F2" w:rsidRPr="00310BC2" w:rsidP="00B247A8" w14:paraId="0086E4C1" w14:textId="1CB91718">
      <w:r w:rsidRPr="00310BC2">
        <w:t>NIOSH p</w:t>
      </w:r>
      <w:r w:rsidRPr="00310BC2" w:rsidR="00BB50B5">
        <w:t>roject staff will</w:t>
      </w:r>
      <w:r w:rsidRPr="00310BC2" w:rsidR="00886007">
        <w:t xml:space="preserve"> </w:t>
      </w:r>
      <w:r w:rsidRPr="00310BC2" w:rsidR="00294B4A">
        <w:t>additionally</w:t>
      </w:r>
      <w:r w:rsidRPr="00310BC2" w:rsidR="00BB50B5">
        <w:t xml:space="preserve"> make two site visits to each participating </w:t>
      </w:r>
      <w:r w:rsidRPr="00310BC2">
        <w:t xml:space="preserve">veterinary </w:t>
      </w:r>
      <w:r w:rsidRPr="00310BC2" w:rsidR="00BB50B5">
        <w:t xml:space="preserve">facility during the project for field work. </w:t>
      </w:r>
      <w:r w:rsidRPr="00310BC2" w:rsidR="00085176">
        <w:t xml:space="preserve">Two site visits are required to meet the aims of the study: site visit #1 will be the </w:t>
      </w:r>
      <w:r w:rsidRPr="00310BC2" w:rsidR="00D83C14">
        <w:t xml:space="preserve">“no intervention” condition, and site visit #2 will be the “intervention” condition where a surgical smoke evacuation system will be </w:t>
      </w:r>
      <w:r w:rsidRPr="00310BC2" w:rsidR="00A35DDC">
        <w:t xml:space="preserve">used. </w:t>
      </w:r>
      <w:r w:rsidRPr="00310BC2">
        <w:t>NIOSH project staff will administer the post-shift questionnaire (</w:t>
      </w:r>
      <w:r w:rsidRPr="00310BC2">
        <w:rPr>
          <w:bCs/>
        </w:rPr>
        <w:t xml:space="preserve">Att. </w:t>
      </w:r>
      <w:r w:rsidRPr="00310BC2" w:rsidR="00A97540">
        <w:rPr>
          <w:bCs/>
        </w:rPr>
        <w:t>8</w:t>
      </w:r>
      <w:r w:rsidRPr="00310BC2">
        <w:rPr>
          <w:bCs/>
        </w:rPr>
        <w:t xml:space="preserve">–Post-shift Questionnaire) in person </w:t>
      </w:r>
      <w:r w:rsidRPr="00310BC2" w:rsidR="00A97540">
        <w:rPr>
          <w:bCs/>
        </w:rPr>
        <w:t xml:space="preserve">using the same procedures during all site visits at all participating facilities. </w:t>
      </w:r>
      <w:r w:rsidRPr="00310BC2" w:rsidR="005E3008">
        <w:t>The post-shift questionnaires will be conducted in a private location at the veterinary facility, away from management or supervisors.</w:t>
      </w:r>
      <w:r w:rsidRPr="00310BC2" w:rsidR="00C1481B">
        <w:t xml:space="preserve"> </w:t>
      </w:r>
      <w:r w:rsidRPr="00310BC2" w:rsidR="00DC4557">
        <w:t xml:space="preserve">Participants will have the option to complete the post-shift questionnaire </w:t>
      </w:r>
      <w:r w:rsidRPr="00310BC2" w:rsidR="00115D11">
        <w:t>with a NIOSH</w:t>
      </w:r>
      <w:r w:rsidRPr="00310BC2" w:rsidR="007E0955">
        <w:t xml:space="preserve"> interviewer </w:t>
      </w:r>
      <w:r w:rsidRPr="00310BC2" w:rsidR="00F10E7C">
        <w:t xml:space="preserve">who will </w:t>
      </w:r>
      <w:r w:rsidRPr="00310BC2" w:rsidR="007E0955">
        <w:t xml:space="preserve">enter data </w:t>
      </w:r>
      <w:r w:rsidRPr="00310BC2" w:rsidR="00DC4557">
        <w:t>on a password</w:t>
      </w:r>
      <w:r w:rsidRPr="00310BC2" w:rsidR="00177CB0">
        <w:t>-</w:t>
      </w:r>
      <w:r w:rsidRPr="00310BC2" w:rsidR="00DC4557">
        <w:t xml:space="preserve">protected NIOSH computer via the NIOSH/Respiratory Health Division (RHD) </w:t>
      </w:r>
      <w:r w:rsidRPr="00310BC2" w:rsidR="00DC4557">
        <w:t>eQuestionnaire</w:t>
      </w:r>
      <w:r w:rsidRPr="00310BC2" w:rsidR="00DC4557">
        <w:t xml:space="preserve"> Application, which is </w:t>
      </w:r>
      <w:r w:rsidRPr="00310BC2" w:rsidR="00BA53BB">
        <w:t xml:space="preserve">part of the NIOSH Modernization Platform (MPN) </w:t>
      </w:r>
      <w:r w:rsidRPr="00310BC2" w:rsidR="00F10E7C">
        <w:t>that has an</w:t>
      </w:r>
      <w:r w:rsidRPr="00310BC2" w:rsidR="00DC4557">
        <w:t xml:space="preserve"> authority to operate (ATO) and </w:t>
      </w:r>
      <w:r w:rsidRPr="00310BC2" w:rsidR="00F10E7C">
        <w:t xml:space="preserve">is </w:t>
      </w:r>
      <w:r w:rsidRPr="00310BC2" w:rsidR="00DC4557">
        <w:t>approved to collect PII, or paper copy, whichever they prefer</w:t>
      </w:r>
      <w:r w:rsidRPr="00310BC2" w:rsidR="00A33AC6">
        <w:t>. While the vast majority (if not all) post-shift questionnaires are expected to be completed electronically, the</w:t>
      </w:r>
      <w:r w:rsidRPr="00310BC2" w:rsidR="009E75AD">
        <w:t xml:space="preserve"> expected time to complete the post-shift questionnaire electronically and via paper copy</w:t>
      </w:r>
      <w:r w:rsidRPr="00310BC2" w:rsidR="00F14358">
        <w:t xml:space="preserve"> is the same.</w:t>
      </w:r>
      <w:r w:rsidRPr="00310BC2" w:rsidR="00DC4557">
        <w:t xml:space="preserve"> All post-shift questionnaires completed on a password</w:t>
      </w:r>
      <w:r w:rsidRPr="00310BC2" w:rsidR="00A82B4E">
        <w:t>-</w:t>
      </w:r>
      <w:r w:rsidRPr="00310BC2" w:rsidR="00DC4557">
        <w:t>protected NIOSH computer will be stored on the computer</w:t>
      </w:r>
      <w:r w:rsidRPr="00310BC2" w:rsidR="00827E85">
        <w:t>, in the possession of NIOSH staff,</w:t>
      </w:r>
      <w:r w:rsidRPr="00310BC2" w:rsidR="00DC4557">
        <w:t xml:space="preserve"> during the site visit. Post-shift questionnaires completed on paper will be stored in a secure lock box</w:t>
      </w:r>
      <w:r w:rsidRPr="00310BC2" w:rsidR="002D7D30">
        <w:t>, in the possession of NIOSH staff,</w:t>
      </w:r>
      <w:r w:rsidRPr="00310BC2" w:rsidR="00DC4557">
        <w:t xml:space="preserve"> during the site visit; data from the paper questionnaires will be </w:t>
      </w:r>
      <w:r w:rsidRPr="00310BC2" w:rsidR="00DC4557">
        <w:t>double-entered</w:t>
      </w:r>
      <w:r w:rsidRPr="00310BC2" w:rsidR="00DC4557">
        <w:t xml:space="preserve"> into the </w:t>
      </w:r>
      <w:r w:rsidRPr="00310BC2" w:rsidR="00CF3A8E">
        <w:t>NIOSH/</w:t>
      </w:r>
      <w:r w:rsidRPr="00310BC2" w:rsidR="00DC4557">
        <w:t xml:space="preserve">RHD </w:t>
      </w:r>
      <w:r w:rsidRPr="00310BC2" w:rsidR="00DC4557">
        <w:t>eQuestionnaire</w:t>
      </w:r>
      <w:r w:rsidRPr="00310BC2" w:rsidR="00DC4557">
        <w:t xml:space="preserve"> Application by two different study personnel, and then the paper questionnaires will be destroyed. All NIOSH investigators administering the post-shift questionnaire will be trained on the protocols required to successfully complete the data collection, including the use of the data collection software. Once study personnel have returned to secured CDC offices and connected to </w:t>
      </w:r>
      <w:r w:rsidRPr="00310BC2" w:rsidR="004C4063">
        <w:t xml:space="preserve">the </w:t>
      </w:r>
      <w:r w:rsidRPr="00310BC2" w:rsidR="00DC4557">
        <w:t xml:space="preserve">secure CDC network, the post-shift questionnaire data will be </w:t>
      </w:r>
      <w:r w:rsidRPr="00310BC2" w:rsidR="004C4063">
        <w:t>stored</w:t>
      </w:r>
      <w:r w:rsidRPr="00310BC2" w:rsidR="00DC4557">
        <w:t xml:space="preserve"> </w:t>
      </w:r>
      <w:r w:rsidRPr="00310BC2" w:rsidR="004C4063">
        <w:t>on</w:t>
      </w:r>
      <w:r w:rsidRPr="00310BC2" w:rsidR="00DC4557">
        <w:t xml:space="preserve"> a </w:t>
      </w:r>
      <w:r w:rsidRPr="00310BC2" w:rsidR="00E16995">
        <w:t xml:space="preserve">MUST </w:t>
      </w:r>
      <w:r w:rsidRPr="00310BC2" w:rsidR="00B416FF">
        <w:t xml:space="preserve">share which is listed in the </w:t>
      </w:r>
      <w:r w:rsidRPr="00310BC2" w:rsidR="00AF7A37">
        <w:t xml:space="preserve">NIOSH </w:t>
      </w:r>
      <w:r w:rsidRPr="00310BC2" w:rsidR="00B416FF">
        <w:t>MPN</w:t>
      </w:r>
      <w:r w:rsidRPr="00310BC2" w:rsidR="00AF7A37">
        <w:t xml:space="preserve"> and</w:t>
      </w:r>
      <w:r w:rsidRPr="00310BC2" w:rsidR="00CD5219">
        <w:t xml:space="preserve"> </w:t>
      </w:r>
      <w:r w:rsidRPr="00310BC2" w:rsidR="00BB4C47">
        <w:t>erased from the computer</w:t>
      </w:r>
      <w:r w:rsidRPr="00310BC2" w:rsidR="00DC4557">
        <w:t>.</w:t>
      </w:r>
      <w:r w:rsidRPr="00310BC2" w:rsidR="00AF7A37">
        <w:t xml:space="preserve"> </w:t>
      </w:r>
      <w:r w:rsidRPr="00310BC2" w:rsidR="00C024C9">
        <w:t>Access to the MUST share is restricted to NIOSH staff involved in th</w:t>
      </w:r>
      <w:r w:rsidRPr="00310BC2" w:rsidR="000F1E13">
        <w:t>is</w:t>
      </w:r>
      <w:r w:rsidRPr="00310BC2" w:rsidR="00C024C9">
        <w:t xml:space="preserve"> research study.</w:t>
      </w:r>
      <w:r w:rsidRPr="00310BC2" w:rsidR="00197CF0">
        <w:t xml:space="preserve"> </w:t>
      </w:r>
      <w:r w:rsidRPr="00310BC2" w:rsidR="00C1481B">
        <w:t>Skip patterns will be applied in the post-shift questionnaire where appropriate to avoid asking non-applicable questions.</w:t>
      </w:r>
    </w:p>
    <w:p w:rsidR="003C1455" w:rsidRPr="00310BC2" w:rsidP="00B247A8" w14:paraId="1B6CBE7C" w14:textId="77777777">
      <w:pPr>
        <w:rPr>
          <w:color w:val="000000"/>
        </w:rPr>
      </w:pPr>
    </w:p>
    <w:p w:rsidR="003C1455" w:rsidRPr="00310BC2" w:rsidP="00193B52" w14:paraId="317B46D0" w14:textId="71040F7F">
      <w:pPr>
        <w:pStyle w:val="Heading1"/>
      </w:pPr>
      <w:bookmarkStart w:id="6" w:name="_Toc165285104"/>
      <w:r w:rsidRPr="00310BC2">
        <w:t>Efforts to Identify Duplication and Use of Similar Information</w:t>
      </w:r>
      <w:bookmarkEnd w:id="6"/>
      <w:r w:rsidRPr="00310BC2">
        <w:t xml:space="preserve"> </w:t>
      </w:r>
    </w:p>
    <w:p w:rsidR="00193B52" w:rsidRPr="00310BC2" w:rsidP="00B247A8" w14:paraId="4A7BC4B3" w14:textId="77777777">
      <w:pPr>
        <w:rPr>
          <w:lang w:eastAsia="ja-JP"/>
        </w:rPr>
      </w:pPr>
    </w:p>
    <w:p w:rsidR="00470C35" w:rsidRPr="00310BC2" w:rsidP="00B247A8" w14:paraId="040A68FB" w14:textId="3855B133">
      <w:pPr>
        <w:rPr>
          <w:lang w:eastAsia="ja-JP"/>
        </w:rPr>
      </w:pPr>
      <w:r w:rsidRPr="00310BC2">
        <w:rPr>
          <w:lang w:eastAsia="ja-JP"/>
        </w:rPr>
        <w:t>To our knowledge, there are no previous studies that have examined associations between surgical smoke exposure and respiratory health effects among VM/AC personnel. To our knowledge, there are also no previous studies that have examined barriers and aids to the use of surgical smoke evacuations systems among VM/AC personnel.</w:t>
      </w:r>
    </w:p>
    <w:p w:rsidR="00470C35" w:rsidRPr="00310BC2" w:rsidP="00B247A8" w14:paraId="1E6A0A6D" w14:textId="77777777">
      <w:pPr>
        <w:rPr>
          <w:lang w:eastAsia="ja-JP"/>
        </w:rPr>
      </w:pPr>
    </w:p>
    <w:p w:rsidR="00470C35" w:rsidRPr="00310BC2" w:rsidP="00B247A8" w14:paraId="1E2B3861" w14:textId="1AF1EC68">
      <w:pPr>
        <w:rPr>
          <w:lang w:eastAsia="ja-JP"/>
        </w:rPr>
      </w:pPr>
      <w:r w:rsidRPr="00310BC2">
        <w:rPr>
          <w:lang w:eastAsia="ja-JP"/>
        </w:rPr>
        <w:t>Content of the baseline questionnaire designed for this study is based on: (1) previous work at NIOSH that identified work- and respiratory health-related data that would be relevant to VM/AC personnel (i.e., tasks, procedures, and processes specific to the veterinary industry); (2) portions of the NIOSH Well-Being Questionnaire (</w:t>
      </w:r>
      <w:r w:rsidRPr="00310BC2">
        <w:rPr>
          <w:lang w:eastAsia="ja-JP"/>
        </w:rPr>
        <w:t>WellBQ</w:t>
      </w:r>
      <w:r w:rsidRPr="00310BC2">
        <w:rPr>
          <w:lang w:eastAsia="ja-JP"/>
        </w:rPr>
        <w:t>)</w:t>
      </w:r>
      <w:r w:rsidRPr="00310BC2">
        <w:rPr>
          <w:vertAlign w:val="superscript"/>
          <w:lang w:eastAsia="ja-JP"/>
        </w:rPr>
        <w:t>(1)</w:t>
      </w:r>
      <w:r w:rsidRPr="00310BC2">
        <w:rPr>
          <w:lang w:eastAsia="ja-JP"/>
        </w:rPr>
        <w:t xml:space="preserve"> (pilot tested under OMB 0920-1234); and (3) the </w:t>
      </w:r>
      <w:bookmarkStart w:id="7" w:name="_Hlk144992269"/>
      <w:r w:rsidRPr="00310BC2">
        <w:rPr>
          <w:lang w:eastAsia="ja-JP"/>
        </w:rPr>
        <w:t>Surgical Smok</w:t>
      </w:r>
      <w:bookmarkEnd w:id="7"/>
      <w:r w:rsidRPr="00310BC2">
        <w:rPr>
          <w:lang w:eastAsia="ja-JP"/>
        </w:rPr>
        <w:t xml:space="preserve">e module of the </w:t>
      </w:r>
      <w:bookmarkStart w:id="8" w:name="_Hlk145057825"/>
      <w:r w:rsidRPr="00310BC2">
        <w:rPr>
          <w:lang w:eastAsia="ja-JP"/>
        </w:rPr>
        <w:t xml:space="preserve">NIOSH Survey of Healthcare Workers’ Health </w:t>
      </w:r>
      <w:r w:rsidRPr="00310BC2">
        <w:rPr>
          <w:lang w:eastAsia="ja-JP"/>
        </w:rPr>
        <w:t xml:space="preserve">and Safety Practices </w:t>
      </w:r>
      <w:bookmarkEnd w:id="8"/>
      <w:r w:rsidRPr="00310BC2">
        <w:rPr>
          <w:lang w:eastAsia="ja-JP"/>
        </w:rPr>
        <w:t>(OMB 0920-0860), which included questions on surgical smoke exposure and personal protective equipment used for respiratory protection.</w:t>
      </w:r>
      <w:r w:rsidRPr="00310BC2">
        <w:rPr>
          <w:vertAlign w:val="superscript"/>
          <w:lang w:eastAsia="ja-JP"/>
        </w:rPr>
        <w:t>(2)(3)</w:t>
      </w:r>
      <w:r w:rsidRPr="00310BC2">
        <w:rPr>
          <w:lang w:eastAsia="ja-JP"/>
        </w:rPr>
        <w:t xml:space="preserve"> Respiratory health-related questions included were drawn from standardized questionnaires: the European Community Respiratory Health Survey (ECRHS),</w:t>
      </w:r>
      <w:r w:rsidRPr="00310BC2">
        <w:rPr>
          <w:vertAlign w:val="superscript"/>
          <w:lang w:eastAsia="ja-JP"/>
        </w:rPr>
        <w:t>(4)(5)</w:t>
      </w:r>
      <w:r w:rsidRPr="00310BC2">
        <w:rPr>
          <w:lang w:eastAsia="ja-JP"/>
        </w:rPr>
        <w:t xml:space="preserve"> the American Thoracic Society (ATS) adult respiratory questionnaire (ATS-DLD-78),</w:t>
      </w:r>
      <w:r w:rsidRPr="00310BC2">
        <w:rPr>
          <w:vertAlign w:val="superscript"/>
          <w:lang w:eastAsia="ja-JP"/>
        </w:rPr>
        <w:t>(6)</w:t>
      </w:r>
      <w:r w:rsidRPr="00310BC2">
        <w:rPr>
          <w:lang w:eastAsia="ja-JP"/>
        </w:rPr>
        <w:t xml:space="preserve"> and the </w:t>
      </w:r>
      <w:r w:rsidRPr="00310BC2" w:rsidR="00D750CB">
        <w:rPr>
          <w:lang w:eastAsia="ja-JP"/>
        </w:rPr>
        <w:t>CDC’s</w:t>
      </w:r>
      <w:r w:rsidRPr="00310BC2">
        <w:rPr>
          <w:lang w:eastAsia="ja-JP"/>
        </w:rPr>
        <w:t xml:space="preserve"> National Health and Nutrition Examination Survey (NHANES) questionnaires.</w:t>
      </w:r>
      <w:r w:rsidRPr="00310BC2">
        <w:rPr>
          <w:vertAlign w:val="superscript"/>
          <w:lang w:eastAsia="ja-JP"/>
        </w:rPr>
        <w:t>(7)(8)</w:t>
      </w:r>
      <w:r w:rsidRPr="00310BC2">
        <w:rPr>
          <w:lang w:eastAsia="ja-JP"/>
        </w:rPr>
        <w:t xml:space="preserve"> Content of the post-shift questionnaire designed for this study is based on data collection instruments previously used in post-shift questionnaires used to evaluate occupational respiratory and eye concerns during NIOSH Health Hazard Evaluations in healthcare settings; these results are summarized in multiple publications.</w:t>
      </w:r>
      <w:r w:rsidRPr="00310BC2">
        <w:rPr>
          <w:vertAlign w:val="superscript"/>
          <w:lang w:eastAsia="ja-JP"/>
        </w:rPr>
        <w:t>(9)(10)(11)</w:t>
      </w:r>
    </w:p>
    <w:p w:rsidR="00470C35" w:rsidRPr="00310BC2" w:rsidP="00B247A8" w14:paraId="7B1E978F" w14:textId="77777777">
      <w:pPr>
        <w:rPr>
          <w:lang w:eastAsia="ja-JP"/>
        </w:rPr>
      </w:pPr>
    </w:p>
    <w:p w:rsidR="00FB6158" w:rsidRPr="00310BC2" w:rsidP="00FB6158" w14:paraId="359AFED6" w14:textId="77777777">
      <w:pPr>
        <w:rPr>
          <w:lang w:eastAsia="ja-JP"/>
        </w:rPr>
      </w:pPr>
      <w:r w:rsidRPr="00310BC2">
        <w:rPr>
          <w:lang w:eastAsia="ja-JP"/>
        </w:rPr>
        <w:t>While the baseline and post-shift questionnaires were designed from previous data collection instruments, none of the previous data collection instruments have previously been deployed specifically among VM/AC personnel.</w:t>
      </w:r>
      <w:r w:rsidRPr="00310BC2">
        <w:rPr>
          <w:lang w:eastAsia="ja-JP"/>
        </w:rPr>
        <w:t xml:space="preserve"> Therefore, existing data are not able to meet the current needs to provide guidance on surgical smoke engineering controls to improve air quality in VM/AC personnel's work environment. </w:t>
      </w:r>
      <w:r w:rsidRPr="00310BC2">
        <w:t xml:space="preserve">This research would be the first to address these knowledge gaps in the veterinary industry and </w:t>
      </w:r>
      <w:r w:rsidRPr="00310BC2">
        <w:rPr>
          <w:lang w:eastAsia="ja-JP"/>
        </w:rPr>
        <w:t xml:space="preserve">is necessary to develop risk mitigation strategies. </w:t>
      </w:r>
    </w:p>
    <w:p w:rsidR="002B2F7F" w:rsidRPr="00310BC2" w:rsidP="00B247A8" w14:paraId="43D394B2" w14:textId="77777777">
      <w:pPr>
        <w:rPr>
          <w:lang w:eastAsia="ja-JP"/>
        </w:rPr>
      </w:pPr>
    </w:p>
    <w:p w:rsidR="002B2F7F" w:rsidRPr="00310BC2" w:rsidP="002B2F7F" w14:paraId="28AC1A9A" w14:textId="7193B884">
      <w:pPr>
        <w:rPr>
          <w:lang w:eastAsia="ja-JP"/>
        </w:rPr>
      </w:pPr>
      <w:r w:rsidRPr="00310BC2">
        <w:rPr>
          <w:lang w:eastAsia="ja-JP"/>
        </w:rPr>
        <w:t xml:space="preserve">Letters of support from the three veterinary teaching hospitals, a national network of community veterinary clinics, and one professional veterinary organization (Att. </w:t>
      </w:r>
      <w:r w:rsidRPr="00310BC2" w:rsidR="00B975F5">
        <w:rPr>
          <w:lang w:eastAsia="ja-JP"/>
        </w:rPr>
        <w:t>9</w:t>
      </w:r>
      <w:r w:rsidRPr="00310BC2">
        <w:rPr>
          <w:lang w:eastAsia="ja-JP"/>
        </w:rPr>
        <w:t>–Letters of Support) indicate that our academic, industry, and professional organization partners consider the proposed research valuable and applicable to the occupational safety and health of VM/AC personnel. Our study team includes subject matter experts from across several disciplines, including veterinary medicine, industrial hygiene, exposure assessment and control, ventilation assessment, mechanical engineering, behavioral research, and biostatistics.</w:t>
      </w:r>
    </w:p>
    <w:p w:rsidR="003C1455" w:rsidRPr="00310BC2" w:rsidP="00B247A8" w14:paraId="0127F90F" w14:textId="77777777">
      <w:pPr>
        <w:rPr>
          <w:color w:val="000000"/>
          <w:szCs w:val="24"/>
        </w:rPr>
      </w:pPr>
    </w:p>
    <w:p w:rsidR="003C1455" w:rsidRPr="00310BC2" w:rsidP="00193B52" w14:paraId="5B7C6CDA" w14:textId="7EAB884D">
      <w:pPr>
        <w:pStyle w:val="Heading1"/>
      </w:pPr>
      <w:bookmarkStart w:id="9" w:name="_Toc165285105"/>
      <w:r w:rsidRPr="00310BC2">
        <w:t>Impact on Small Businesses or Other Small Entities</w:t>
      </w:r>
      <w:bookmarkEnd w:id="9"/>
      <w:r w:rsidRPr="00310BC2">
        <w:t xml:space="preserve"> </w:t>
      </w:r>
    </w:p>
    <w:p w:rsidR="00193B52" w:rsidRPr="00310BC2" w:rsidP="00157845" w14:paraId="70D2CF68" w14:textId="77777777"/>
    <w:p w:rsidR="00157845" w:rsidRPr="00310BC2" w:rsidP="00157845" w14:paraId="20154C0D" w14:textId="0935D255">
      <w:pPr>
        <w:rPr>
          <w:lang w:eastAsia="ja-JP"/>
        </w:rPr>
      </w:pPr>
      <w:r w:rsidRPr="00310BC2">
        <w:t>Three veterinary teaching hospitals and a national network of community veterinary clinics that were recruited during the project funding proposal stage have agreed to participate in this research, and these workplaces are of varying sizes. Some of these veterinary facilities may be small businesses.</w:t>
      </w:r>
      <w:r w:rsidRPr="00310BC2">
        <w:t xml:space="preserve"> The duration of the questionnaire is not expected to impact the participating businesses. The number of questions on the questionnaires have been held to the minimum to meet study aims. They include only what are considered essential topics and the lengths of the questionnaires were kept as short as possible. Questionnaire questions that are not applicable to the respondent are skipped. Participation in the questionnaires is voluntary and conducted at a time convenient for the participant as well as the business, which would allow the worker time to complete the questionnaires. </w:t>
      </w:r>
    </w:p>
    <w:p w:rsidR="00567573" w:rsidRPr="00310BC2" w:rsidP="00567573" w14:paraId="1BF3BB62" w14:textId="77777777"/>
    <w:p w:rsidR="002351C3" w:rsidRPr="00310BC2" w:rsidP="002351C3" w14:paraId="27D3F9A9" w14:textId="4827CE6D">
      <w:r w:rsidRPr="00310BC2">
        <w:t xml:space="preserve">Additionally, there may be benefits for participating </w:t>
      </w:r>
      <w:r w:rsidRPr="00310BC2" w:rsidR="007F2799">
        <w:t>facilities</w:t>
      </w:r>
      <w:r w:rsidRPr="00310BC2">
        <w:t xml:space="preserve">. </w:t>
      </w:r>
      <w:r w:rsidRPr="00310BC2" w:rsidR="007F2799">
        <w:rPr>
          <w:rStyle w:val="Hyperlink"/>
          <w:color w:val="auto"/>
          <w:u w:val="none"/>
        </w:rPr>
        <w:t>Participating facilities will receive an aggregate report of their employee’s questionnaire responses</w:t>
      </w:r>
      <w:r w:rsidRPr="00310BC2" w:rsidR="00CC7E97">
        <w:t xml:space="preserve">; </w:t>
      </w:r>
      <w:r w:rsidRPr="00310BC2" w:rsidR="00CC7E97">
        <w:rPr>
          <w:rStyle w:val="Hyperlink"/>
          <w:color w:val="auto"/>
          <w:u w:val="none"/>
        </w:rPr>
        <w:t>all study results reported will be in aggregate such that no individual responses will be identifiable or linked back to individual participants</w:t>
      </w:r>
      <w:r w:rsidRPr="00310BC2">
        <w:rPr>
          <w:rStyle w:val="Hyperlink"/>
          <w:color w:val="auto"/>
          <w:u w:val="none"/>
        </w:rPr>
        <w:t>.</w:t>
      </w:r>
      <w:r w:rsidRPr="00310BC2">
        <w:t xml:space="preserve"> The information provided back to participating facilities is valuable information that can be used to maintain or improve a healthy and safe workplace and reduce the impact of work-related </w:t>
      </w:r>
      <w:r w:rsidRPr="00310BC2" w:rsidR="00147FD8">
        <w:t>respiratory exposures and</w:t>
      </w:r>
      <w:r w:rsidRPr="00310BC2">
        <w:t xml:space="preserve"> illness.</w:t>
      </w:r>
    </w:p>
    <w:p w:rsidR="003C1455" w:rsidRPr="00310BC2" w:rsidP="00B247A8" w14:paraId="07A71680" w14:textId="77777777">
      <w:pPr>
        <w:rPr>
          <w:color w:val="000000"/>
          <w:szCs w:val="24"/>
        </w:rPr>
      </w:pPr>
    </w:p>
    <w:p w:rsidR="003C1455" w:rsidRPr="00310BC2" w:rsidP="00193B52" w14:paraId="3D92CB27" w14:textId="3016EAC4">
      <w:pPr>
        <w:pStyle w:val="Heading1"/>
      </w:pPr>
      <w:bookmarkStart w:id="10" w:name="_Toc165285106"/>
      <w:r w:rsidRPr="00310BC2">
        <w:t>Consequences of Collecting the Information Less Frequently</w:t>
      </w:r>
      <w:bookmarkEnd w:id="10"/>
      <w:r w:rsidRPr="00310BC2">
        <w:t xml:space="preserve"> </w:t>
      </w:r>
    </w:p>
    <w:p w:rsidR="00193B52" w:rsidRPr="00310BC2" w:rsidP="00597B1B" w14:paraId="5B0D48AC" w14:textId="77777777"/>
    <w:p w:rsidR="00597B1B" w:rsidRPr="00310BC2" w:rsidP="00597B1B" w14:paraId="5468E573" w14:textId="626BC263">
      <w:r w:rsidRPr="00310BC2">
        <w:t xml:space="preserve">This request </w:t>
      </w:r>
      <w:r w:rsidRPr="00310BC2" w:rsidR="009715EE">
        <w:t>includes</w:t>
      </w:r>
      <w:r w:rsidRPr="00310BC2" w:rsidR="00780AED">
        <w:t xml:space="preserve"> data collection for </w:t>
      </w:r>
      <w:r w:rsidRPr="00310BC2" w:rsidR="004B167C">
        <w:t xml:space="preserve">(1) an expression of interest form to be completed one time by each participant, (2) </w:t>
      </w:r>
      <w:r w:rsidRPr="00310BC2" w:rsidR="00780AED">
        <w:t xml:space="preserve">a baseline questionnaire </w:t>
      </w:r>
      <w:r w:rsidRPr="00310BC2" w:rsidR="001142B9">
        <w:t>to be completed one time by each participant</w:t>
      </w:r>
      <w:r w:rsidRPr="00310BC2" w:rsidR="00190551">
        <w:t>,</w:t>
      </w:r>
      <w:r w:rsidRPr="00310BC2" w:rsidR="001142B9">
        <w:t xml:space="preserve"> and </w:t>
      </w:r>
      <w:r w:rsidRPr="00310BC2" w:rsidR="00190551">
        <w:t xml:space="preserve">(3) </w:t>
      </w:r>
      <w:r w:rsidRPr="00310BC2" w:rsidR="001142B9">
        <w:t xml:space="preserve">a post-shift questionnaire to be completed </w:t>
      </w:r>
      <w:r w:rsidRPr="00310BC2" w:rsidR="000C6273">
        <w:t xml:space="preserve">a maximum of </w:t>
      </w:r>
      <w:r w:rsidRPr="00310BC2" w:rsidR="001142B9">
        <w:t>10 times by each participant</w:t>
      </w:r>
      <w:r w:rsidRPr="00310BC2" w:rsidR="000C6273">
        <w:t xml:space="preserve"> </w:t>
      </w:r>
      <w:r w:rsidRPr="00310BC2" w:rsidR="004B2212">
        <w:t xml:space="preserve">(once per workday over a five-day site visit, during each of two site visits) </w:t>
      </w:r>
      <w:r w:rsidRPr="00310BC2" w:rsidR="000C6273">
        <w:t>over the course of the study</w:t>
      </w:r>
      <w:r w:rsidRPr="00310BC2" w:rsidR="001142B9">
        <w:t>.</w:t>
      </w:r>
      <w:r w:rsidRPr="00310BC2" w:rsidR="00EA1E02">
        <w:t xml:space="preserve"> </w:t>
      </w:r>
      <w:r w:rsidRPr="00310BC2" w:rsidR="004B2212">
        <w:t xml:space="preserve">All data collections are voluntary. </w:t>
      </w:r>
      <w:r w:rsidRPr="00310BC2" w:rsidR="00190551">
        <w:t>Less frequent data collection for the expression of interest form would not allow</w:t>
      </w:r>
      <w:r w:rsidRPr="00310BC2" w:rsidR="00F067BE">
        <w:t xml:space="preserve"> potential participants to potentially enroll in the study. </w:t>
      </w:r>
      <w:r w:rsidRPr="00310BC2">
        <w:t xml:space="preserve">Less frequent </w:t>
      </w:r>
      <w:r w:rsidRPr="00310BC2" w:rsidR="00EA1E02">
        <w:t>data collection for the baseline</w:t>
      </w:r>
      <w:r w:rsidRPr="00310BC2" w:rsidR="00F52EA7">
        <w:t xml:space="preserve"> and post-shift</w:t>
      </w:r>
      <w:r w:rsidRPr="00310BC2" w:rsidR="00EA1E02">
        <w:t xml:space="preserve"> questionnaire</w:t>
      </w:r>
      <w:r w:rsidRPr="00310BC2" w:rsidR="00F52EA7">
        <w:t>s</w:t>
      </w:r>
      <w:r w:rsidRPr="00310BC2" w:rsidR="00EA1E02">
        <w:t xml:space="preserve"> </w:t>
      </w:r>
      <w:r w:rsidRPr="00310BC2">
        <w:t>would not allow the information to be captured</w:t>
      </w:r>
      <w:r w:rsidRPr="00310BC2" w:rsidR="00F52EA7">
        <w:t xml:space="preserve"> necessary to perform the </w:t>
      </w:r>
      <w:r w:rsidRPr="00310BC2" w:rsidR="00A44C80">
        <w:t xml:space="preserve">analyses to meet project aims. </w:t>
      </w:r>
      <w:r w:rsidRPr="00310BC2" w:rsidR="007131B0">
        <w:t xml:space="preserve">If this data collection does not take place, NIOSH would not capture </w:t>
      </w:r>
      <w:r w:rsidRPr="00310BC2">
        <w:t xml:space="preserve">the </w:t>
      </w:r>
      <w:r w:rsidRPr="00310BC2" w:rsidR="007131B0">
        <w:t>data needed to accurately improve our understanding o</w:t>
      </w:r>
      <w:r w:rsidRPr="00310BC2">
        <w:t>f</w:t>
      </w:r>
      <w:r w:rsidRPr="00310BC2" w:rsidR="007131B0">
        <w:t xml:space="preserve"> surgical smoke-related respiratory health effects in </w:t>
      </w:r>
      <w:r w:rsidRPr="00310BC2" w:rsidR="007131B0">
        <w:rPr>
          <w:lang w:eastAsia="ja-JP"/>
        </w:rPr>
        <w:t>VM/AC</w:t>
      </w:r>
      <w:r w:rsidRPr="00310BC2" w:rsidR="007131B0">
        <w:t xml:space="preserve"> personnel</w:t>
      </w:r>
      <w:r w:rsidRPr="00310BC2" w:rsidR="00DB0D04">
        <w:t xml:space="preserve"> or </w:t>
      </w:r>
      <w:r w:rsidRPr="00310BC2" w:rsidR="00854365">
        <w:t xml:space="preserve">the </w:t>
      </w:r>
      <w:r w:rsidRPr="00310BC2" w:rsidR="007131B0">
        <w:t>barriers/aids to implementing surgical smoke evacuation systems among VM/AC personnel</w:t>
      </w:r>
      <w:r w:rsidRPr="00310BC2" w:rsidR="00DB0D04">
        <w:t xml:space="preserve">; NIOSH also would not be able to provide </w:t>
      </w:r>
      <w:r w:rsidRPr="00310BC2" w:rsidR="005116DF">
        <w:t>guidance for engineering controls that improve air quality in VM/AC personnel's work environment</w:t>
      </w:r>
      <w:r w:rsidRPr="00310BC2" w:rsidR="00FE27C7">
        <w:t xml:space="preserve"> to </w:t>
      </w:r>
      <w:r w:rsidRPr="00310BC2" w:rsidR="005116DF">
        <w:t>reduc</w:t>
      </w:r>
      <w:r w:rsidRPr="00310BC2" w:rsidR="00FE27C7">
        <w:t>e</w:t>
      </w:r>
      <w:r w:rsidRPr="00310BC2" w:rsidR="005116DF">
        <w:t xml:space="preserve"> exposure to surgical smoke and the risk of respiratory diseases.</w:t>
      </w:r>
      <w:r w:rsidRPr="00310BC2" w:rsidR="00FE27C7">
        <w:t xml:space="preserve"> </w:t>
      </w:r>
      <w:r w:rsidRPr="00310BC2" w:rsidR="007131B0">
        <w:t>Additionally, this data collection will inform NIOSH’s research agenda by aiding in prioritization of research activities and resources. There are no legal or technical obstacles to reduce the burden</w:t>
      </w:r>
      <w:r w:rsidRPr="00310BC2">
        <w:t xml:space="preserve"> of the data collection.</w:t>
      </w:r>
    </w:p>
    <w:p w:rsidR="003C1455" w:rsidRPr="00310BC2" w:rsidP="00B247A8" w14:paraId="7C351AFF" w14:textId="77777777"/>
    <w:p w:rsidR="003C1455" w:rsidRPr="00310BC2" w:rsidP="00193B52" w14:paraId="43886D7C" w14:textId="1C59A612">
      <w:pPr>
        <w:pStyle w:val="Heading1"/>
      </w:pPr>
      <w:bookmarkStart w:id="11" w:name="_Toc165285107"/>
      <w:r w:rsidRPr="00310BC2">
        <w:t>Special Circumstances Relating to the Guidelines of 5 CFR 1320.5</w:t>
      </w:r>
      <w:bookmarkEnd w:id="11"/>
      <w:r w:rsidRPr="00310BC2">
        <w:t xml:space="preserve"> </w:t>
      </w:r>
    </w:p>
    <w:p w:rsidR="00193B52" w:rsidRPr="00310BC2" w:rsidP="00A35F2D" w14:paraId="3B0BE092" w14:textId="77777777"/>
    <w:p w:rsidR="00B247A8" w:rsidRPr="00310BC2" w:rsidP="00A35F2D" w14:paraId="038FFFC8" w14:textId="27A9E03A">
      <w:r w:rsidRPr="00310BC2">
        <w:t>This request fully complies with the regulation 5 CFR 1320.5.</w:t>
      </w:r>
    </w:p>
    <w:p w:rsidR="00854501" w:rsidRPr="00310BC2" w:rsidP="00854501" w14:paraId="62AACF77" w14:textId="77777777"/>
    <w:p w:rsidR="003C1455" w:rsidRPr="00310BC2" w:rsidP="00193B52" w14:paraId="32F45096" w14:textId="2F6034DA">
      <w:pPr>
        <w:pStyle w:val="Heading1"/>
      </w:pPr>
      <w:bookmarkStart w:id="12" w:name="_Toc165285108"/>
      <w:r w:rsidRPr="00310BC2">
        <w:t>Comments in Response to the Federal Register Notice and</w:t>
      </w:r>
      <w:r w:rsidRPr="00310BC2" w:rsidR="002B1820">
        <w:t xml:space="preserve"> </w:t>
      </w:r>
      <w:r w:rsidRPr="00310BC2">
        <w:t>Efforts to Consult Outside the Agency</w:t>
      </w:r>
      <w:bookmarkEnd w:id="12"/>
      <w:r w:rsidRPr="00310BC2">
        <w:t xml:space="preserve"> </w:t>
      </w:r>
    </w:p>
    <w:p w:rsidR="00BA0564" w:rsidRPr="00310BC2" w:rsidP="00A35F2D" w14:paraId="47B326FB" w14:textId="77777777"/>
    <w:p w:rsidR="00B41A7C" w:rsidRPr="00310BC2" w:rsidP="00127F68" w14:paraId="62F438AF" w14:textId="66F2FFB6">
      <w:pPr>
        <w:pStyle w:val="ListParagraph"/>
        <w:numPr>
          <w:ilvl w:val="0"/>
          <w:numId w:val="41"/>
        </w:numPr>
        <w:autoSpaceDE w:val="0"/>
        <w:autoSpaceDN w:val="0"/>
        <w:adjustRightInd w:val="0"/>
        <w:spacing w:after="67"/>
        <w:rPr>
          <w:rFonts w:ascii="Times New Roman" w:hAnsi="Times New Roman"/>
          <w:sz w:val="24"/>
        </w:rPr>
      </w:pPr>
      <w:r w:rsidRPr="00310BC2">
        <w:rPr>
          <w:rFonts w:ascii="Times New Roman" w:hAnsi="Times New Roman"/>
          <w:sz w:val="24"/>
        </w:rPr>
        <w:t>A</w:t>
      </w:r>
      <w:r w:rsidRPr="00310BC2" w:rsidR="00127F68">
        <w:rPr>
          <w:rFonts w:ascii="Times New Roman" w:hAnsi="Times New Roman"/>
          <w:sz w:val="24"/>
        </w:rPr>
        <w:t xml:space="preserve"> 60-</w:t>
      </w:r>
      <w:r w:rsidRPr="00310BC2">
        <w:rPr>
          <w:rFonts w:ascii="Times New Roman" w:hAnsi="Times New Roman"/>
          <w:sz w:val="24"/>
        </w:rPr>
        <w:t>d</w:t>
      </w:r>
      <w:r w:rsidRPr="00310BC2" w:rsidR="00127F68">
        <w:rPr>
          <w:rFonts w:ascii="Times New Roman" w:hAnsi="Times New Roman"/>
          <w:sz w:val="24"/>
        </w:rPr>
        <w:t>ay Federal Register Notice</w:t>
      </w:r>
      <w:r w:rsidRPr="00310BC2">
        <w:rPr>
          <w:rFonts w:ascii="Times New Roman" w:hAnsi="Times New Roman"/>
          <w:sz w:val="24"/>
        </w:rPr>
        <w:t xml:space="preserve"> was published in the </w:t>
      </w:r>
      <w:r w:rsidRPr="00310BC2">
        <w:rPr>
          <w:rFonts w:ascii="Times New Roman" w:hAnsi="Times New Roman"/>
          <w:i/>
          <w:iCs/>
          <w:sz w:val="24"/>
        </w:rPr>
        <w:t>Federal Register</w:t>
      </w:r>
      <w:r w:rsidRPr="00310BC2">
        <w:rPr>
          <w:rFonts w:ascii="Times New Roman" w:hAnsi="Times New Roman"/>
          <w:sz w:val="24"/>
        </w:rPr>
        <w:t xml:space="preserve"> on </w:t>
      </w:r>
      <w:r w:rsidRPr="00310BC2" w:rsidR="00042216">
        <w:rPr>
          <w:rFonts w:ascii="Times New Roman" w:hAnsi="Times New Roman"/>
          <w:sz w:val="24"/>
        </w:rPr>
        <w:t>November 03, 2023, vol. 88, No. 212, pp. 75595–96</w:t>
      </w:r>
      <w:r w:rsidRPr="00310BC2" w:rsidR="00042216">
        <w:t xml:space="preserve"> </w:t>
      </w:r>
      <w:r w:rsidRPr="00310BC2" w:rsidR="003A2C87">
        <w:t>(</w:t>
      </w:r>
      <w:r w:rsidRPr="00310BC2" w:rsidR="003A2C87">
        <w:rPr>
          <w:rFonts w:ascii="Times New Roman" w:hAnsi="Times New Roman"/>
          <w:sz w:val="24"/>
        </w:rPr>
        <w:t>Att. 2–60-</w:t>
      </w:r>
      <w:r w:rsidRPr="00310BC2" w:rsidR="00712E89">
        <w:rPr>
          <w:rFonts w:ascii="Times New Roman" w:hAnsi="Times New Roman"/>
          <w:sz w:val="24"/>
        </w:rPr>
        <w:t>d</w:t>
      </w:r>
      <w:r w:rsidRPr="00310BC2" w:rsidR="003A2C87">
        <w:rPr>
          <w:rFonts w:ascii="Times New Roman" w:hAnsi="Times New Roman"/>
          <w:sz w:val="24"/>
        </w:rPr>
        <w:t>ay FRN)</w:t>
      </w:r>
      <w:r w:rsidRPr="00310BC2" w:rsidR="00B7153C">
        <w:rPr>
          <w:rFonts w:ascii="Times New Roman" w:hAnsi="Times New Roman"/>
          <w:sz w:val="24"/>
        </w:rPr>
        <w:t xml:space="preserve">. </w:t>
      </w:r>
      <w:r w:rsidRPr="00310BC2" w:rsidR="006336B0">
        <w:rPr>
          <w:rFonts w:ascii="Times New Roman" w:hAnsi="Times New Roman"/>
          <w:sz w:val="24"/>
        </w:rPr>
        <w:t>CDC did not receive public comments related to this notice.</w:t>
      </w:r>
    </w:p>
    <w:p w:rsidR="00B7153C" w:rsidRPr="00310BC2" w:rsidP="00B7153C" w14:paraId="0783203F" w14:textId="77777777">
      <w:pPr>
        <w:pStyle w:val="ListParagraph"/>
        <w:autoSpaceDE w:val="0"/>
        <w:autoSpaceDN w:val="0"/>
        <w:adjustRightInd w:val="0"/>
        <w:spacing w:after="67"/>
        <w:rPr>
          <w:rFonts w:ascii="Times New Roman" w:hAnsi="Times New Roman"/>
          <w:sz w:val="24"/>
        </w:rPr>
      </w:pPr>
    </w:p>
    <w:p w:rsidR="00120166" w:rsidRPr="00310BC2" w:rsidP="00CC152E" w14:paraId="765415F4" w14:textId="7718C134">
      <w:pPr>
        <w:pStyle w:val="ListParagraph"/>
        <w:numPr>
          <w:ilvl w:val="0"/>
          <w:numId w:val="41"/>
        </w:numPr>
        <w:rPr>
          <w:rFonts w:ascii="Times New Roman" w:hAnsi="Times New Roman"/>
          <w:sz w:val="24"/>
        </w:rPr>
      </w:pPr>
      <w:r w:rsidRPr="00310BC2">
        <w:rPr>
          <w:rFonts w:ascii="Times New Roman" w:hAnsi="Times New Roman"/>
          <w:sz w:val="24"/>
        </w:rPr>
        <w:t xml:space="preserve">We consulted with several experts on the topic of </w:t>
      </w:r>
      <w:r w:rsidRPr="00310BC2" w:rsidR="0061569C">
        <w:rPr>
          <w:rFonts w:ascii="Times New Roman" w:hAnsi="Times New Roman"/>
          <w:sz w:val="24"/>
        </w:rPr>
        <w:t xml:space="preserve">veterinary medicine, </w:t>
      </w:r>
      <w:r w:rsidRPr="00310BC2" w:rsidR="00C2715B">
        <w:rPr>
          <w:rFonts w:ascii="Times New Roman" w:hAnsi="Times New Roman"/>
          <w:sz w:val="24"/>
        </w:rPr>
        <w:t xml:space="preserve">industrial hygiene, exposure assessment and control, ventilation assessment, behavioral research, and biostatistics, </w:t>
      </w:r>
      <w:r w:rsidRPr="00310BC2">
        <w:rPr>
          <w:rFonts w:ascii="Times New Roman" w:hAnsi="Times New Roman"/>
          <w:sz w:val="24"/>
        </w:rPr>
        <w:t>within and external to CDC.</w:t>
      </w:r>
      <w:r w:rsidRPr="00310BC2" w:rsidR="00710EA4">
        <w:rPr>
          <w:rFonts w:ascii="Times New Roman" w:hAnsi="Times New Roman"/>
          <w:sz w:val="24"/>
        </w:rPr>
        <w:t xml:space="preserve"> Consultations on the type of </w:t>
      </w:r>
      <w:r w:rsidRPr="00310BC2" w:rsidR="0056700D">
        <w:rPr>
          <w:rFonts w:ascii="Times New Roman" w:hAnsi="Times New Roman"/>
          <w:sz w:val="24"/>
        </w:rPr>
        <w:t xml:space="preserve">information to be collected began in </w:t>
      </w:r>
      <w:r w:rsidRPr="00310BC2" w:rsidR="00D31DB1">
        <w:rPr>
          <w:rFonts w:ascii="Times New Roman" w:hAnsi="Times New Roman"/>
          <w:sz w:val="24"/>
        </w:rPr>
        <w:t>2021</w:t>
      </w:r>
      <w:r w:rsidRPr="00310BC2" w:rsidR="0056700D">
        <w:rPr>
          <w:rFonts w:ascii="Times New Roman" w:hAnsi="Times New Roman"/>
          <w:sz w:val="24"/>
        </w:rPr>
        <w:t xml:space="preserve"> and have continued throughout the project planning and protocol development.</w:t>
      </w:r>
      <w:r w:rsidRPr="00310BC2" w:rsidR="00C2715B">
        <w:rPr>
          <w:rFonts w:ascii="Times New Roman" w:hAnsi="Times New Roman"/>
          <w:sz w:val="24"/>
        </w:rPr>
        <w:t xml:space="preserve"> </w:t>
      </w:r>
      <w:r w:rsidRPr="00310BC2">
        <w:rPr>
          <w:rFonts w:ascii="Times New Roman" w:hAnsi="Times New Roman"/>
          <w:sz w:val="24"/>
        </w:rPr>
        <w:t xml:space="preserve">There were no issues with data collection </w:t>
      </w:r>
      <w:r w:rsidRPr="00310BC2" w:rsidR="00BE6D79">
        <w:rPr>
          <w:rFonts w:ascii="Times New Roman" w:hAnsi="Times New Roman"/>
          <w:sz w:val="24"/>
        </w:rPr>
        <w:t>methods</w:t>
      </w:r>
      <w:r w:rsidRPr="00310BC2">
        <w:rPr>
          <w:rFonts w:ascii="Times New Roman" w:hAnsi="Times New Roman"/>
          <w:sz w:val="24"/>
        </w:rPr>
        <w:t xml:space="preserve"> or frequency that were unable to be resolved through this consultation.</w:t>
      </w:r>
    </w:p>
    <w:p w:rsidR="00120166" w:rsidRPr="00310BC2" w:rsidP="00120166" w14:paraId="12DB2170" w14:textId="77777777">
      <w:pPr>
        <w:pStyle w:val="ListParagraph"/>
        <w:rPr>
          <w:rFonts w:ascii="Times New Roman" w:hAnsi="Times New Roman"/>
          <w:sz w:val="24"/>
        </w:rPr>
      </w:pPr>
    </w:p>
    <w:p w:rsidR="003D508E" w:rsidRPr="00310BC2" w:rsidP="00120166" w14:paraId="243EFB6A" w14:textId="2BC0A058">
      <w:pPr>
        <w:pStyle w:val="ListParagraph"/>
        <w:rPr>
          <w:rFonts w:ascii="Times New Roman" w:hAnsi="Times New Roman"/>
          <w:sz w:val="24"/>
        </w:rPr>
      </w:pPr>
      <w:r w:rsidRPr="00310BC2">
        <w:rPr>
          <w:rFonts w:ascii="Times New Roman" w:hAnsi="Times New Roman"/>
          <w:sz w:val="24"/>
        </w:rPr>
        <w:t xml:space="preserve">CDC programs consulted </w:t>
      </w:r>
      <w:r w:rsidRPr="00310BC2" w:rsidR="00535C68">
        <w:rPr>
          <w:rFonts w:ascii="Times New Roman" w:hAnsi="Times New Roman"/>
          <w:sz w:val="24"/>
        </w:rPr>
        <w:t>during project development, drafting of the data collection tools, and designing of methods</w:t>
      </w:r>
      <w:r w:rsidRPr="00310BC2">
        <w:rPr>
          <w:rFonts w:ascii="Times New Roman" w:hAnsi="Times New Roman"/>
          <w:sz w:val="24"/>
        </w:rPr>
        <w:t>:</w:t>
      </w:r>
    </w:p>
    <w:p w:rsidR="0054201E" w:rsidRPr="00310BC2" w:rsidP="006F705C" w14:paraId="4A5CED9A" w14:textId="55EBF301">
      <w:pPr>
        <w:pStyle w:val="ListParagraph"/>
        <w:numPr>
          <w:ilvl w:val="0"/>
          <w:numId w:val="42"/>
        </w:numPr>
        <w:rPr>
          <w:rFonts w:ascii="Times New Roman" w:hAnsi="Times New Roman"/>
          <w:sz w:val="24"/>
        </w:rPr>
      </w:pPr>
      <w:r w:rsidRPr="00310BC2">
        <w:rPr>
          <w:rFonts w:ascii="Times New Roman" w:hAnsi="Times New Roman"/>
          <w:sz w:val="24"/>
        </w:rPr>
        <w:t>CDC/NIOSH Healthcare and Social Assistance Program</w:t>
      </w:r>
      <w:r w:rsidRPr="00310BC2" w:rsidR="0079104E">
        <w:rPr>
          <w:rFonts w:ascii="Times New Roman" w:hAnsi="Times New Roman"/>
          <w:sz w:val="24"/>
        </w:rPr>
        <w:t xml:space="preserve">. Contact person: </w:t>
      </w:r>
      <w:r w:rsidRPr="00310BC2" w:rsidR="00DA5924">
        <w:rPr>
          <w:rFonts w:ascii="Times New Roman" w:hAnsi="Times New Roman"/>
          <w:sz w:val="24"/>
        </w:rPr>
        <w:t>Megan Casey</w:t>
      </w:r>
      <w:r w:rsidRPr="00310BC2" w:rsidR="002930F9">
        <w:rPr>
          <w:rFonts w:ascii="Times New Roman" w:hAnsi="Times New Roman"/>
          <w:sz w:val="24"/>
        </w:rPr>
        <w:t>, BSN, MPH, RN</w:t>
      </w:r>
      <w:r w:rsidRPr="00310BC2" w:rsidR="007D5A11">
        <w:rPr>
          <w:rFonts w:ascii="Times New Roman" w:hAnsi="Times New Roman"/>
          <w:sz w:val="24"/>
        </w:rPr>
        <w:t xml:space="preserve">, </w:t>
      </w:r>
      <w:r w:rsidRPr="00310BC2" w:rsidR="00F935AA">
        <w:rPr>
          <w:rFonts w:ascii="Times New Roman" w:hAnsi="Times New Roman"/>
          <w:sz w:val="24"/>
        </w:rPr>
        <w:t>Nurse Epidemiologist</w:t>
      </w:r>
      <w:r w:rsidRPr="00310BC2" w:rsidR="007D5A11">
        <w:rPr>
          <w:rFonts w:ascii="Times New Roman" w:hAnsi="Times New Roman"/>
          <w:sz w:val="24"/>
        </w:rPr>
        <w:t>,</w:t>
      </w:r>
      <w:r w:rsidRPr="00310BC2" w:rsidR="00F935AA">
        <w:rPr>
          <w:rFonts w:ascii="Times New Roman" w:hAnsi="Times New Roman"/>
          <w:sz w:val="24"/>
        </w:rPr>
        <w:t xml:space="preserve"> </w:t>
      </w:r>
      <w:r w:rsidRPr="00310BC2" w:rsidR="00397CC3">
        <w:rPr>
          <w:rFonts w:ascii="Times New Roman" w:hAnsi="Times New Roman"/>
          <w:sz w:val="24"/>
        </w:rPr>
        <w:t>304-644-3274</w:t>
      </w:r>
      <w:r w:rsidRPr="00310BC2" w:rsidR="007D5A11">
        <w:rPr>
          <w:rFonts w:ascii="Times New Roman" w:hAnsi="Times New Roman"/>
          <w:sz w:val="24"/>
        </w:rPr>
        <w:t xml:space="preserve">, </w:t>
      </w:r>
      <w:hyperlink r:id="rId10" w:history="1">
        <w:r w:rsidRPr="00310BC2" w:rsidR="003C1C7C">
          <w:rPr>
            <w:rStyle w:val="Hyperlink"/>
            <w:rFonts w:ascii="Times New Roman" w:hAnsi="Times New Roman"/>
            <w:sz w:val="24"/>
          </w:rPr>
          <w:t>ydg7@cdc.gov</w:t>
        </w:r>
      </w:hyperlink>
    </w:p>
    <w:p w:rsidR="003C1C7C" w:rsidRPr="00310BC2" w:rsidP="006F705C" w14:paraId="22748B36" w14:textId="66D16424">
      <w:pPr>
        <w:pStyle w:val="ListParagraph"/>
        <w:numPr>
          <w:ilvl w:val="0"/>
          <w:numId w:val="42"/>
        </w:numPr>
        <w:rPr>
          <w:rFonts w:ascii="Times New Roman" w:hAnsi="Times New Roman"/>
          <w:sz w:val="24"/>
        </w:rPr>
      </w:pPr>
      <w:r w:rsidRPr="00310BC2">
        <w:rPr>
          <w:rFonts w:ascii="Times New Roman" w:hAnsi="Times New Roman"/>
          <w:sz w:val="24"/>
        </w:rPr>
        <w:t xml:space="preserve">CDC/NIOSH Respiratory Health Program. Contact person: </w:t>
      </w:r>
      <w:r w:rsidRPr="00310BC2" w:rsidR="00182E69">
        <w:rPr>
          <w:rFonts w:ascii="Times New Roman" w:hAnsi="Times New Roman"/>
          <w:sz w:val="24"/>
        </w:rPr>
        <w:t xml:space="preserve">Paul </w:t>
      </w:r>
      <w:r w:rsidRPr="00310BC2" w:rsidR="00182E69">
        <w:rPr>
          <w:rFonts w:ascii="Times New Roman" w:hAnsi="Times New Roman"/>
          <w:sz w:val="24"/>
        </w:rPr>
        <w:t>Henneberger</w:t>
      </w:r>
      <w:r w:rsidRPr="00310BC2" w:rsidR="00182E69">
        <w:rPr>
          <w:rFonts w:ascii="Times New Roman" w:hAnsi="Times New Roman"/>
          <w:sz w:val="24"/>
        </w:rPr>
        <w:t xml:space="preserve">, </w:t>
      </w:r>
      <w:r w:rsidRPr="00310BC2" w:rsidR="00C8196B">
        <w:rPr>
          <w:rFonts w:ascii="Times New Roman" w:hAnsi="Times New Roman"/>
          <w:sz w:val="24"/>
        </w:rPr>
        <w:t xml:space="preserve">MPH, ScD, </w:t>
      </w:r>
      <w:r w:rsidRPr="00310BC2" w:rsidR="00182E69">
        <w:rPr>
          <w:rFonts w:ascii="Times New Roman" w:hAnsi="Times New Roman"/>
          <w:sz w:val="24"/>
        </w:rPr>
        <w:t xml:space="preserve">Research </w:t>
      </w:r>
      <w:r w:rsidRPr="00310BC2" w:rsidR="00BD792F">
        <w:rPr>
          <w:rFonts w:ascii="Times New Roman" w:hAnsi="Times New Roman"/>
          <w:sz w:val="24"/>
        </w:rPr>
        <w:t xml:space="preserve">Health </w:t>
      </w:r>
      <w:r w:rsidRPr="00310BC2" w:rsidR="00182E69">
        <w:rPr>
          <w:rFonts w:ascii="Times New Roman" w:hAnsi="Times New Roman"/>
          <w:sz w:val="24"/>
        </w:rPr>
        <w:t xml:space="preserve">Scientist, 304-285-6161, </w:t>
      </w:r>
      <w:hyperlink r:id="rId11" w:history="1">
        <w:r w:rsidRPr="00310BC2" w:rsidR="00182E69">
          <w:rPr>
            <w:rStyle w:val="Hyperlink"/>
            <w:rFonts w:ascii="Times New Roman" w:hAnsi="Times New Roman"/>
            <w:sz w:val="24"/>
          </w:rPr>
          <w:t>pkh0@cdc.gov</w:t>
        </w:r>
      </w:hyperlink>
      <w:r w:rsidRPr="00310BC2" w:rsidR="00182E69">
        <w:rPr>
          <w:rFonts w:ascii="Times New Roman" w:hAnsi="Times New Roman"/>
          <w:sz w:val="24"/>
        </w:rPr>
        <w:t xml:space="preserve"> </w:t>
      </w:r>
    </w:p>
    <w:p w:rsidR="00892B7F" w:rsidRPr="00310BC2" w:rsidP="006F705C" w14:paraId="2B00F759" w14:textId="14584DD5">
      <w:pPr>
        <w:pStyle w:val="ListParagraph"/>
        <w:numPr>
          <w:ilvl w:val="0"/>
          <w:numId w:val="42"/>
        </w:numPr>
        <w:rPr>
          <w:rFonts w:ascii="Times New Roman" w:hAnsi="Times New Roman"/>
          <w:sz w:val="24"/>
        </w:rPr>
      </w:pPr>
      <w:r w:rsidRPr="00310BC2">
        <w:rPr>
          <w:rFonts w:ascii="Times New Roman" w:hAnsi="Times New Roman"/>
          <w:sz w:val="24"/>
        </w:rPr>
        <w:t xml:space="preserve">CDC/NIOSH Exposure Assessment Program. </w:t>
      </w:r>
      <w:r w:rsidRPr="00310BC2">
        <w:rPr>
          <w:rFonts w:ascii="Times New Roman" w:hAnsi="Times New Roman"/>
          <w:sz w:val="24"/>
        </w:rPr>
        <w:t>Contact person: Matthew Dahm</w:t>
      </w:r>
      <w:r w:rsidRPr="00310BC2" w:rsidR="006D100F">
        <w:rPr>
          <w:rFonts w:ascii="Times New Roman" w:hAnsi="Times New Roman"/>
          <w:sz w:val="24"/>
        </w:rPr>
        <w:t xml:space="preserve">, PhD, MPH, REHS, </w:t>
      </w:r>
      <w:r w:rsidRPr="00310BC2" w:rsidR="0022205A">
        <w:rPr>
          <w:rFonts w:ascii="Times New Roman" w:hAnsi="Times New Roman"/>
          <w:sz w:val="24"/>
        </w:rPr>
        <w:t xml:space="preserve">Supervisory Environmental Health Specialist, 513-458-7136, </w:t>
      </w:r>
      <w:hyperlink r:id="rId12" w:history="1">
        <w:r w:rsidRPr="00310BC2" w:rsidR="0022205A">
          <w:rPr>
            <w:rStyle w:val="Hyperlink"/>
            <w:rFonts w:ascii="Times New Roman" w:hAnsi="Times New Roman"/>
            <w:sz w:val="24"/>
          </w:rPr>
          <w:t>iwa6@cdc.gov</w:t>
        </w:r>
      </w:hyperlink>
      <w:r w:rsidRPr="00310BC2" w:rsidR="0022205A">
        <w:rPr>
          <w:rFonts w:ascii="Times New Roman" w:hAnsi="Times New Roman"/>
          <w:sz w:val="24"/>
        </w:rPr>
        <w:t xml:space="preserve"> </w:t>
      </w:r>
    </w:p>
    <w:p w:rsidR="004C0844" w:rsidRPr="00310BC2" w:rsidP="006F705C" w14:paraId="543F62BC" w14:textId="74669DE5">
      <w:pPr>
        <w:pStyle w:val="ListParagraph"/>
        <w:numPr>
          <w:ilvl w:val="0"/>
          <w:numId w:val="42"/>
        </w:numPr>
        <w:rPr>
          <w:rFonts w:ascii="Times New Roman" w:hAnsi="Times New Roman"/>
          <w:sz w:val="24"/>
        </w:rPr>
      </w:pPr>
      <w:r w:rsidRPr="00310BC2">
        <w:rPr>
          <w:rFonts w:ascii="Times New Roman" w:hAnsi="Times New Roman"/>
          <w:sz w:val="24"/>
        </w:rPr>
        <w:t xml:space="preserve">CDC/NIOSH </w:t>
      </w:r>
      <w:r w:rsidRPr="00310BC2" w:rsidR="00FF6233">
        <w:rPr>
          <w:rFonts w:ascii="Times New Roman" w:hAnsi="Times New Roman"/>
          <w:sz w:val="24"/>
        </w:rPr>
        <w:t>Prevention Through Design Program</w:t>
      </w:r>
      <w:r w:rsidRPr="00310BC2">
        <w:rPr>
          <w:rFonts w:ascii="Times New Roman" w:hAnsi="Times New Roman"/>
          <w:sz w:val="24"/>
        </w:rPr>
        <w:t xml:space="preserve">. Contact person: Jonathan Bach, </w:t>
      </w:r>
      <w:r w:rsidRPr="00310BC2" w:rsidR="00A62039">
        <w:rPr>
          <w:rFonts w:ascii="Times New Roman" w:hAnsi="Times New Roman"/>
          <w:sz w:val="24"/>
        </w:rPr>
        <w:t xml:space="preserve">PE, CSP, CIH, </w:t>
      </w:r>
      <w:r w:rsidRPr="00310BC2" w:rsidR="004E1DAE">
        <w:rPr>
          <w:rFonts w:ascii="Times New Roman" w:hAnsi="Times New Roman"/>
          <w:sz w:val="24"/>
        </w:rPr>
        <w:t xml:space="preserve">Safety Engineer, </w:t>
      </w:r>
      <w:r w:rsidRPr="00310BC2" w:rsidR="00061E43">
        <w:rPr>
          <w:rFonts w:ascii="Times New Roman" w:hAnsi="Times New Roman"/>
          <w:sz w:val="24"/>
        </w:rPr>
        <w:t xml:space="preserve">513-533-8317, </w:t>
      </w:r>
      <w:hyperlink r:id="rId13" w:history="1">
        <w:r w:rsidRPr="00310BC2" w:rsidR="00061E43">
          <w:rPr>
            <w:rStyle w:val="Hyperlink"/>
            <w:rFonts w:ascii="Times New Roman" w:hAnsi="Times New Roman"/>
            <w:sz w:val="24"/>
          </w:rPr>
          <w:t>yeh6@cdc.gov</w:t>
        </w:r>
      </w:hyperlink>
      <w:r w:rsidRPr="00310BC2" w:rsidR="00061E43">
        <w:rPr>
          <w:rFonts w:ascii="Times New Roman" w:hAnsi="Times New Roman"/>
          <w:sz w:val="24"/>
        </w:rPr>
        <w:t xml:space="preserve"> </w:t>
      </w:r>
    </w:p>
    <w:p w:rsidR="00A60AA0" w:rsidRPr="00310BC2" w:rsidP="004C0844" w14:paraId="615358D2" w14:textId="187EC301">
      <w:pPr>
        <w:pStyle w:val="ListParagraph"/>
        <w:numPr>
          <w:ilvl w:val="0"/>
          <w:numId w:val="42"/>
        </w:numPr>
        <w:rPr>
          <w:rFonts w:ascii="Times New Roman" w:hAnsi="Times New Roman"/>
          <w:sz w:val="24"/>
        </w:rPr>
      </w:pPr>
      <w:r w:rsidRPr="00310BC2">
        <w:rPr>
          <w:rFonts w:ascii="Times New Roman" w:hAnsi="Times New Roman"/>
          <w:sz w:val="24"/>
        </w:rPr>
        <w:t xml:space="preserve">CDC/NIOSH Small Business Assistance Program. Contact person: Brenda </w:t>
      </w:r>
      <w:r w:rsidRPr="00310BC2">
        <w:rPr>
          <w:rFonts w:ascii="Times New Roman" w:hAnsi="Times New Roman"/>
          <w:sz w:val="24"/>
        </w:rPr>
        <w:t>Jacklitsch</w:t>
      </w:r>
      <w:r w:rsidRPr="00310BC2">
        <w:rPr>
          <w:rFonts w:ascii="Times New Roman" w:hAnsi="Times New Roman"/>
          <w:sz w:val="24"/>
        </w:rPr>
        <w:t xml:space="preserve">, PhD, MS, Research Health Scientist, </w:t>
      </w:r>
      <w:r w:rsidRPr="00310BC2">
        <w:rPr>
          <w:rFonts w:ascii="Times New Roman" w:hAnsi="Times New Roman"/>
          <w:sz w:val="24"/>
        </w:rPr>
        <w:t xml:space="preserve">513-533-8369, </w:t>
      </w:r>
      <w:hyperlink r:id="rId14" w:history="1">
        <w:r w:rsidRPr="00310BC2">
          <w:rPr>
            <w:rStyle w:val="Hyperlink"/>
            <w:rFonts w:ascii="Times New Roman" w:hAnsi="Times New Roman"/>
            <w:sz w:val="24"/>
          </w:rPr>
          <w:t>gwe6@cdc.gov</w:t>
        </w:r>
      </w:hyperlink>
    </w:p>
    <w:p w:rsidR="002831B0" w:rsidRPr="00310BC2" w:rsidP="004C0844" w14:paraId="4E432947" w14:textId="6E4034F8">
      <w:pPr>
        <w:pStyle w:val="ListParagraph"/>
        <w:numPr>
          <w:ilvl w:val="0"/>
          <w:numId w:val="42"/>
        </w:numPr>
        <w:rPr>
          <w:rFonts w:ascii="Times New Roman" w:hAnsi="Times New Roman"/>
          <w:sz w:val="24"/>
        </w:rPr>
      </w:pPr>
      <w:r w:rsidRPr="00310BC2">
        <w:rPr>
          <w:rFonts w:ascii="Times New Roman" w:hAnsi="Times New Roman"/>
          <w:sz w:val="24"/>
        </w:rPr>
        <w:t xml:space="preserve">CDC/NIOSH Engineering Controls Program. Contact person: Duane Hammond, </w:t>
      </w:r>
      <w:r w:rsidRPr="00310BC2" w:rsidR="00AE2F1F">
        <w:rPr>
          <w:rFonts w:ascii="Times New Roman" w:hAnsi="Times New Roman"/>
          <w:sz w:val="24"/>
        </w:rPr>
        <w:t xml:space="preserve">MS, PE, </w:t>
      </w:r>
      <w:r w:rsidRPr="00310BC2" w:rsidR="007B4394">
        <w:rPr>
          <w:rFonts w:ascii="Times New Roman" w:hAnsi="Times New Roman"/>
          <w:sz w:val="24"/>
        </w:rPr>
        <w:t xml:space="preserve">Mechanical Engineer, </w:t>
      </w:r>
      <w:r w:rsidRPr="00310BC2" w:rsidR="003A4462">
        <w:rPr>
          <w:rFonts w:ascii="Times New Roman" w:hAnsi="Times New Roman"/>
          <w:sz w:val="24"/>
        </w:rPr>
        <w:t xml:space="preserve">513-841-4286, </w:t>
      </w:r>
      <w:hyperlink r:id="rId15" w:history="1">
        <w:r w:rsidRPr="00310BC2" w:rsidR="003A4462">
          <w:rPr>
            <w:rStyle w:val="Hyperlink"/>
            <w:rFonts w:ascii="Times New Roman" w:hAnsi="Times New Roman"/>
            <w:sz w:val="24"/>
          </w:rPr>
          <w:t>ahz0@cdc.gov</w:t>
        </w:r>
      </w:hyperlink>
      <w:r w:rsidRPr="00310BC2" w:rsidR="003A4462">
        <w:rPr>
          <w:rFonts w:ascii="Times New Roman" w:hAnsi="Times New Roman"/>
          <w:sz w:val="24"/>
        </w:rPr>
        <w:t xml:space="preserve"> </w:t>
      </w:r>
    </w:p>
    <w:p w:rsidR="0054201E" w:rsidRPr="00310BC2" w:rsidP="00120166" w14:paraId="4ACB43EE" w14:textId="77777777">
      <w:pPr>
        <w:pStyle w:val="ListParagraph"/>
        <w:rPr>
          <w:rFonts w:ascii="Times New Roman" w:hAnsi="Times New Roman"/>
          <w:sz w:val="24"/>
        </w:rPr>
      </w:pPr>
    </w:p>
    <w:p w:rsidR="00CC152E" w:rsidRPr="00310BC2" w:rsidP="00120166" w14:paraId="012293EE" w14:textId="5F92A8E8">
      <w:pPr>
        <w:pStyle w:val="ListParagraph"/>
        <w:rPr>
          <w:rFonts w:ascii="Times New Roman" w:hAnsi="Times New Roman"/>
          <w:sz w:val="24"/>
        </w:rPr>
      </w:pPr>
      <w:r w:rsidRPr="00310BC2">
        <w:rPr>
          <w:rFonts w:ascii="Times New Roman" w:hAnsi="Times New Roman"/>
          <w:sz w:val="24"/>
        </w:rPr>
        <w:t>Non-CDC c</w:t>
      </w:r>
      <w:r w:rsidRPr="00310BC2" w:rsidR="006736FD">
        <w:rPr>
          <w:rFonts w:ascii="Times New Roman" w:hAnsi="Times New Roman"/>
          <w:sz w:val="24"/>
        </w:rPr>
        <w:t>ollaborators</w:t>
      </w:r>
      <w:r w:rsidRPr="00310BC2" w:rsidR="00120166">
        <w:rPr>
          <w:rFonts w:ascii="Times New Roman" w:hAnsi="Times New Roman"/>
          <w:sz w:val="24"/>
        </w:rPr>
        <w:t xml:space="preserve"> </w:t>
      </w:r>
      <w:r w:rsidR="00D16809">
        <w:rPr>
          <w:rFonts w:ascii="Times New Roman" w:hAnsi="Times New Roman"/>
          <w:sz w:val="24"/>
        </w:rPr>
        <w:t>with the following affiliations</w:t>
      </w:r>
      <w:r w:rsidRPr="00310BC2" w:rsidR="00120166">
        <w:rPr>
          <w:rFonts w:ascii="Times New Roman" w:hAnsi="Times New Roman"/>
          <w:sz w:val="24"/>
        </w:rPr>
        <w:t xml:space="preserve"> </w:t>
      </w:r>
      <w:r w:rsidRPr="00310BC2" w:rsidR="002517C8">
        <w:rPr>
          <w:rFonts w:ascii="Times New Roman" w:hAnsi="Times New Roman"/>
          <w:sz w:val="24"/>
        </w:rPr>
        <w:t xml:space="preserve">were consulted during the development of the project, </w:t>
      </w:r>
      <w:r w:rsidRPr="00310BC2" w:rsidR="00917A29">
        <w:rPr>
          <w:rFonts w:ascii="Times New Roman" w:hAnsi="Times New Roman"/>
          <w:sz w:val="24"/>
        </w:rPr>
        <w:t>drafting of the data collection tools, and designing of methods:</w:t>
      </w:r>
    </w:p>
    <w:p w:rsidR="00555C14" w:rsidRPr="00310BC2" w:rsidP="00C2706C" w14:paraId="7E3C39C1" w14:textId="3DC2C63F">
      <w:pPr>
        <w:pStyle w:val="ListParagraph"/>
        <w:numPr>
          <w:ilvl w:val="0"/>
          <w:numId w:val="43"/>
        </w:numPr>
        <w:rPr>
          <w:rFonts w:ascii="Times New Roman" w:hAnsi="Times New Roman"/>
          <w:sz w:val="24"/>
        </w:rPr>
      </w:pPr>
      <w:r w:rsidRPr="00310BC2">
        <w:rPr>
          <w:rFonts w:ascii="Times New Roman" w:hAnsi="Times New Roman"/>
          <w:sz w:val="24"/>
        </w:rPr>
        <w:t>Cummings School of Veterinary Medicine at Tufts University</w:t>
      </w:r>
      <w:r w:rsidRPr="00310BC2" w:rsidR="00B24F1F">
        <w:rPr>
          <w:rFonts w:ascii="Times New Roman" w:hAnsi="Times New Roman"/>
          <w:sz w:val="24"/>
        </w:rPr>
        <w:t xml:space="preserve"> </w:t>
      </w:r>
    </w:p>
    <w:p w:rsidR="00DD5134" w:rsidRPr="00310BC2" w:rsidP="009A0FE6" w14:paraId="34AAC7F3" w14:textId="781D3CE1">
      <w:pPr>
        <w:pStyle w:val="ListParagraph"/>
        <w:numPr>
          <w:ilvl w:val="0"/>
          <w:numId w:val="43"/>
        </w:numPr>
        <w:rPr>
          <w:rFonts w:ascii="Times New Roman" w:hAnsi="Times New Roman"/>
          <w:sz w:val="24"/>
        </w:rPr>
      </w:pPr>
      <w:r w:rsidRPr="00310BC2">
        <w:rPr>
          <w:rFonts w:ascii="Times New Roman" w:hAnsi="Times New Roman"/>
          <w:sz w:val="24"/>
        </w:rPr>
        <w:t>The Ohio State University College of Veterinary Medicine</w:t>
      </w:r>
      <w:r w:rsidRPr="00310BC2" w:rsidR="00B24F1F">
        <w:rPr>
          <w:rFonts w:ascii="Times New Roman" w:hAnsi="Times New Roman"/>
          <w:sz w:val="24"/>
        </w:rPr>
        <w:t xml:space="preserve"> </w:t>
      </w:r>
    </w:p>
    <w:p w:rsidR="00A82E9A" w:rsidRPr="00310BC2" w:rsidP="009A0FE6" w14:paraId="365D5682" w14:textId="5EEC81D5">
      <w:pPr>
        <w:pStyle w:val="ListParagraph"/>
        <w:numPr>
          <w:ilvl w:val="0"/>
          <w:numId w:val="43"/>
        </w:numPr>
        <w:rPr>
          <w:rFonts w:ascii="Times New Roman" w:hAnsi="Times New Roman"/>
          <w:sz w:val="24"/>
        </w:rPr>
      </w:pPr>
      <w:r w:rsidRPr="00310BC2">
        <w:rPr>
          <w:rFonts w:ascii="Times New Roman" w:hAnsi="Times New Roman"/>
          <w:sz w:val="24"/>
        </w:rPr>
        <w:t>University of Tennessee College of Veterinary Medicine</w:t>
      </w:r>
      <w:r w:rsidRPr="00310BC2" w:rsidR="00B24F1F">
        <w:rPr>
          <w:rFonts w:ascii="Times New Roman" w:hAnsi="Times New Roman"/>
          <w:sz w:val="24"/>
        </w:rPr>
        <w:t xml:space="preserve"> </w:t>
      </w:r>
    </w:p>
    <w:p w:rsidR="000A7212" w:rsidP="001106A8" w14:paraId="28AFC497" w14:textId="0EE27749">
      <w:pPr>
        <w:pStyle w:val="ListParagraph"/>
        <w:numPr>
          <w:ilvl w:val="0"/>
          <w:numId w:val="43"/>
        </w:numPr>
        <w:rPr>
          <w:rFonts w:ascii="Times New Roman" w:hAnsi="Times New Roman"/>
          <w:sz w:val="24"/>
        </w:rPr>
      </w:pPr>
      <w:r w:rsidRPr="00310BC2">
        <w:rPr>
          <w:rFonts w:ascii="Times New Roman" w:hAnsi="Times New Roman"/>
          <w:sz w:val="24"/>
        </w:rPr>
        <w:t xml:space="preserve">BluePearl Specialty </w:t>
      </w:r>
      <w:r>
        <w:rPr>
          <w:rFonts w:ascii="Times New Roman" w:hAnsi="Times New Roman"/>
          <w:sz w:val="24"/>
        </w:rPr>
        <w:t>and</w:t>
      </w:r>
      <w:r w:rsidRPr="00310BC2">
        <w:rPr>
          <w:rFonts w:ascii="Times New Roman" w:hAnsi="Times New Roman"/>
          <w:sz w:val="24"/>
        </w:rPr>
        <w:t xml:space="preserve"> Emergency Pet Hospitals</w:t>
      </w:r>
    </w:p>
    <w:p w:rsidR="003C1455" w:rsidRPr="000A7212" w:rsidP="001106A8" w14:paraId="28F17F81" w14:textId="160A6ACC">
      <w:pPr>
        <w:pStyle w:val="ListParagraph"/>
        <w:numPr>
          <w:ilvl w:val="0"/>
          <w:numId w:val="43"/>
        </w:numPr>
        <w:rPr>
          <w:rFonts w:ascii="Times New Roman" w:hAnsi="Times New Roman"/>
          <w:sz w:val="24"/>
        </w:rPr>
      </w:pPr>
      <w:r w:rsidRPr="000A7212">
        <w:rPr>
          <w:rFonts w:ascii="Times New Roman" w:hAnsi="Times New Roman"/>
          <w:sz w:val="24"/>
        </w:rPr>
        <w:t>West Virginia University</w:t>
      </w:r>
    </w:p>
    <w:p w:rsidR="00ED010C" w:rsidP="00ED010C" w14:paraId="4B13E67F" w14:textId="77777777">
      <w:pPr>
        <w:pStyle w:val="Heading1"/>
        <w:numPr>
          <w:ilvl w:val="0"/>
          <w:numId w:val="0"/>
        </w:numPr>
        <w:ind w:left="547"/>
      </w:pPr>
      <w:bookmarkStart w:id="13" w:name="_Toc165285109"/>
    </w:p>
    <w:p w:rsidR="003C1455" w:rsidRPr="00310BC2" w:rsidP="00193B52" w14:paraId="00829C20" w14:textId="07F131E6">
      <w:pPr>
        <w:pStyle w:val="Heading1"/>
      </w:pPr>
      <w:r w:rsidRPr="00310BC2">
        <w:t>Explanation of Any Payment or Gift to Respondents</w:t>
      </w:r>
      <w:bookmarkEnd w:id="13"/>
      <w:r w:rsidRPr="00310BC2">
        <w:t xml:space="preserve"> </w:t>
      </w:r>
    </w:p>
    <w:p w:rsidR="00193B52" w:rsidRPr="00310BC2" w:rsidP="00B247A8" w14:paraId="5D7FEDE7" w14:textId="77777777"/>
    <w:p w:rsidR="003E158B" w:rsidRPr="00310BC2" w:rsidP="00B247A8" w14:paraId="1F7B5C3B" w14:textId="51B3102A">
      <w:r w:rsidRPr="00310BC2">
        <w:t>This study does not provide a payment or gift to the respondents.</w:t>
      </w:r>
    </w:p>
    <w:p w:rsidR="003C1455" w:rsidRPr="00310BC2" w:rsidP="00A35F2D" w14:paraId="548BA93E" w14:textId="77777777"/>
    <w:p w:rsidR="003C1455" w:rsidRPr="00310BC2" w:rsidP="00193B52" w14:paraId="41E8D4FD" w14:textId="0CE89368">
      <w:pPr>
        <w:pStyle w:val="Heading1"/>
      </w:pPr>
      <w:bookmarkStart w:id="14" w:name="_Toc165285110"/>
      <w:r w:rsidRPr="00310BC2">
        <w:t>Protection of the Privacy and Confidentiality of Information Provided by Respondents</w:t>
      </w:r>
      <w:bookmarkEnd w:id="14"/>
      <w:r w:rsidRPr="00310BC2">
        <w:t xml:space="preserve"> </w:t>
      </w:r>
    </w:p>
    <w:p w:rsidR="003C1455" w:rsidRPr="00310BC2" w:rsidP="00B247A8" w14:paraId="516BB520" w14:textId="6F502ABD"/>
    <w:p w:rsidR="000529BB" w:rsidRPr="00375D8D" w:rsidP="00B247A8" w14:paraId="6A0ACE14" w14:textId="31D82743">
      <w:pPr>
        <w:rPr>
          <w:i/>
          <w:iCs/>
        </w:rPr>
      </w:pPr>
      <w:r w:rsidRPr="00310BC2">
        <w:rPr>
          <w:i/>
          <w:iCs/>
        </w:rPr>
        <w:t>Privacy Act Review</w:t>
      </w:r>
    </w:p>
    <w:p w:rsidR="00882079" w:rsidP="00882079" w14:paraId="0EE6B75B" w14:textId="77777777">
      <w:r>
        <w:t xml:space="preserve">System Security and Privacy Officer (SSPO) determined in conjunction with the CDC Privacy Office that the Privacy Act </w:t>
      </w:r>
      <w:r>
        <w:rPr>
          <w:b/>
          <w:bCs/>
        </w:rPr>
        <w:t>is</w:t>
      </w:r>
      <w:r>
        <w:t xml:space="preserve"> applicable. The collection contains PII with demographic information in the survey.</w:t>
      </w:r>
    </w:p>
    <w:p w:rsidR="00882079" w:rsidP="00882079" w14:paraId="4414DEB9" w14:textId="77777777"/>
    <w:p w:rsidR="00882079" w:rsidP="00882079" w14:paraId="6FB12FAD" w14:textId="77777777">
      <w:r>
        <w:rPr>
          <w:b/>
          <w:bCs/>
        </w:rPr>
        <w:t xml:space="preserve">List of data elements: </w:t>
      </w:r>
      <w:r>
        <w:t xml:space="preserve"> Age (DOB), Race, Ethnicity, current health information, and Gender.</w:t>
      </w:r>
    </w:p>
    <w:p w:rsidR="00882079" w:rsidP="00882079" w14:paraId="7B7F0332" w14:textId="77777777"/>
    <w:p w:rsidR="00882079" w:rsidP="00882079" w14:paraId="52AA7F09" w14:textId="77777777">
      <w:r>
        <w:rPr>
          <w:b/>
          <w:bCs/>
        </w:rPr>
        <w:t xml:space="preserve">Methods used to collect data: </w:t>
      </w:r>
      <w:r>
        <w:t>Baseline questionnaire conducted through telephone calls with trained interview staff will be used to collect data from respondents about demographics, work history, job tasks, exposures to respiratory hazards, use of personal protective equipment, workplace safety climate, and respiratory health and symptoms.</w:t>
      </w:r>
    </w:p>
    <w:p w:rsidR="00882079" w:rsidP="00882079" w14:paraId="71D86F6E" w14:textId="77777777">
      <w:pPr>
        <w:numPr>
          <w:ilvl w:val="0"/>
          <w:numId w:val="48"/>
        </w:numPr>
        <w:spacing w:after="160" w:line="256" w:lineRule="auto"/>
        <w:ind w:left="630"/>
      </w:pPr>
      <w:r>
        <w:t>A post-shift questionnaire conducted during two in-person site visits will be used to collect data from respondents on acute respiratory symptoms and job tasks during the work shift.</w:t>
      </w:r>
    </w:p>
    <w:p w:rsidR="00882079" w:rsidP="00882079" w14:paraId="1737D622" w14:textId="77777777">
      <w:pPr>
        <w:rPr>
          <w:b/>
          <w:bCs/>
        </w:rPr>
      </w:pPr>
      <w:r>
        <w:rPr>
          <w:b/>
          <w:bCs/>
        </w:rPr>
        <w:t>Intended use of resulting data:</w:t>
      </w:r>
    </w:p>
    <w:p w:rsidR="00882079" w:rsidP="00882079" w14:paraId="541EA3E7" w14:textId="461D8EB1">
      <w:r>
        <w:t>The study recruitment fact sheet and the recruitment email will each contain a QR code that, when scanned, brings the potential participant to a one-page expression of interest form (Att. 5–Expression of Interest Form) via Epi Info™ Secure Web Survey for the potential participant to complete to express interest in participating in the study.</w:t>
      </w:r>
    </w:p>
    <w:p w:rsidR="00882079" w:rsidP="00882079" w14:paraId="3682AEAF" w14:textId="77777777"/>
    <w:p w:rsidR="00882079" w:rsidP="00882079" w14:paraId="4E743A47" w14:textId="77777777">
      <w:pPr>
        <w:rPr>
          <w:b/>
          <w:bCs/>
        </w:rPr>
      </w:pPr>
      <w:r>
        <w:rPr>
          <w:b/>
          <w:bCs/>
        </w:rPr>
        <w:t xml:space="preserve">How is it protected and stored? </w:t>
      </w:r>
    </w:p>
    <w:p w:rsidR="00882079" w:rsidP="00882079" w14:paraId="5BEC934D" w14:textId="541FC985">
      <w:r>
        <w:t>Epi Info™ Secure Web Survey is a web-based data collection tool for use at CDC and has a Moderate security level classification and approval; name, email address, and phone number are types of PII explicitly allowed to be collected via Epi Info™ Secure Web Survey.</w:t>
      </w:r>
    </w:p>
    <w:p w:rsidR="00882079" w:rsidP="00882079" w14:paraId="1DDBE530" w14:textId="77777777"/>
    <w:p w:rsidR="00882079" w:rsidP="00882079" w14:paraId="17F431B7" w14:textId="51116CC9">
      <w:r>
        <w:t>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System Security and Privacy Officer (SSPO) (previously called Information Systems Security Officer (ISSO)), CDC helpdesk, or to the CDC Security Incident Response Team (CSIRT). The CDC CSPO reports to the HHS Computer Security Incident Response Center (CSIRC), which reports incidents to US-CERT as appropriate.</w:t>
      </w:r>
    </w:p>
    <w:p w:rsidR="009862B7" w:rsidP="00B247A8" w14:paraId="174FC89E" w14:textId="77777777"/>
    <w:p w:rsidR="009862B7" w:rsidRPr="00165054" w:rsidP="00B247A8" w14:paraId="4ACBC138" w14:textId="305DE137">
      <w:pPr>
        <w:rPr>
          <w:i/>
          <w:iCs/>
        </w:rPr>
      </w:pPr>
      <w:r w:rsidRPr="00165054">
        <w:rPr>
          <w:i/>
          <w:iCs/>
        </w:rPr>
        <w:t>Consent of Participants</w:t>
      </w:r>
    </w:p>
    <w:p w:rsidR="0046414C" w:rsidP="0046414C" w14:paraId="3BAE640D" w14:textId="2C1E8EA6">
      <w:r w:rsidRPr="00F572AF">
        <w:t xml:space="preserve">To participate in the </w:t>
      </w:r>
      <w:r>
        <w:t>study</w:t>
      </w:r>
      <w:r w:rsidRPr="00F572AF">
        <w:t xml:space="preserve">, each </w:t>
      </w:r>
      <w:r>
        <w:t>participant</w:t>
      </w:r>
      <w:r w:rsidRPr="00F572AF">
        <w:t xml:space="preserve"> will be required to review an informed consent document (</w:t>
      </w:r>
      <w:r w:rsidRPr="00EC0FBB" w:rsidR="00EC0FBB">
        <w:rPr>
          <w:bCs/>
        </w:rPr>
        <w:t>Att. 6–Informed Consent</w:t>
      </w:r>
      <w:r w:rsidRPr="00F572AF">
        <w:t xml:space="preserve">). This document provides </w:t>
      </w:r>
      <w:r w:rsidR="000C6A1D">
        <w:t xml:space="preserve">potential participants </w:t>
      </w:r>
      <w:r w:rsidRPr="00F572AF">
        <w:t xml:space="preserve">information about the study, their participation, risks and benefits of participation, and procedures for keeping personal information confidential. The consent document is written at a reading level that is expected to be </w:t>
      </w:r>
      <w:r w:rsidRPr="00574E6D">
        <w:t xml:space="preserve">understood by </w:t>
      </w:r>
      <w:r w:rsidRPr="00574E6D" w:rsidR="00767F1B">
        <w:t>VM/AC personnel</w:t>
      </w:r>
      <w:r w:rsidRPr="00574E6D">
        <w:t xml:space="preserve">. </w:t>
      </w:r>
      <w:r w:rsidRPr="00574E6D" w:rsidR="00101054">
        <w:t>The NIOSH Institutional Review Board (IRB) granted a waiver of documentation of informed consent; therefore</w:t>
      </w:r>
      <w:r w:rsidRPr="00574E6D" w:rsidR="003358F6">
        <w:t xml:space="preserve">, </w:t>
      </w:r>
      <w:r w:rsidRPr="00574E6D" w:rsidR="00BD71D2">
        <w:t xml:space="preserve">no </w:t>
      </w:r>
      <w:r w:rsidRPr="00574E6D" w:rsidR="00BA0521">
        <w:t xml:space="preserve">PII </w:t>
      </w:r>
      <w:r w:rsidRPr="00574E6D" w:rsidR="00BD71D2">
        <w:t xml:space="preserve">will be collected on the </w:t>
      </w:r>
      <w:r w:rsidRPr="00574E6D">
        <w:t>informed consent</w:t>
      </w:r>
      <w:r w:rsidRPr="00574E6D" w:rsidR="00F858D7">
        <w:t xml:space="preserve"> document</w:t>
      </w:r>
      <w:r w:rsidRPr="00574E6D">
        <w:t>.</w:t>
      </w:r>
    </w:p>
    <w:p w:rsidR="00D41699" w:rsidP="00B247A8" w14:paraId="52286938" w14:textId="77777777"/>
    <w:p w:rsidR="00165054" w:rsidRPr="00310BC2" w:rsidP="00B247A8" w14:paraId="51D97EF2" w14:textId="49CCD587">
      <w:pPr>
        <w:rPr>
          <w:i/>
          <w:iCs/>
        </w:rPr>
      </w:pPr>
      <w:r w:rsidRPr="00310BC2">
        <w:rPr>
          <w:i/>
          <w:iCs/>
        </w:rPr>
        <w:t>Data Access Control</w:t>
      </w:r>
    </w:p>
    <w:p w:rsidR="00CB3962" w:rsidRPr="00310BC2" w:rsidP="00B247A8" w14:paraId="464E184E" w14:textId="43F75971">
      <w:r w:rsidRPr="00310BC2">
        <w:t xml:space="preserve">Study participants will each be given a unique </w:t>
      </w:r>
      <w:r w:rsidRPr="00310BC2" w:rsidR="00DA0DD0">
        <w:t xml:space="preserve">study </w:t>
      </w:r>
      <w:r w:rsidRPr="00310BC2">
        <w:t xml:space="preserve">identifier </w:t>
      </w:r>
      <w:r w:rsidRPr="00310BC2" w:rsidR="00F13D3D">
        <w:t xml:space="preserve">number </w:t>
      </w:r>
      <w:r w:rsidRPr="00310BC2" w:rsidR="00DA0DD0">
        <w:t xml:space="preserve">(ID) </w:t>
      </w:r>
      <w:r w:rsidRPr="00310BC2">
        <w:t xml:space="preserve">that will be used to manage their data. After the participant provides informed consent, a NIOSH project investigator will assign this </w:t>
      </w:r>
      <w:r w:rsidRPr="00310BC2" w:rsidR="00DA0DD0">
        <w:t>study ID</w:t>
      </w:r>
      <w:r w:rsidRPr="00310BC2" w:rsidR="00A30EF7">
        <w:t>. All questionnaires completed by the participant (baseline questionnaire and post-shift questionnaire(s)</w:t>
      </w:r>
      <w:r w:rsidRPr="00310BC2" w:rsidR="00BE2C32">
        <w:t xml:space="preserve">) will contain this study ID </w:t>
      </w:r>
      <w:r w:rsidRPr="00310BC2" w:rsidR="00BE2C32">
        <w:t>in order to</w:t>
      </w:r>
      <w:r w:rsidRPr="00310BC2" w:rsidR="00BE2C32">
        <w:t xml:space="preserve"> link the</w:t>
      </w:r>
      <w:r w:rsidRPr="00310BC2" w:rsidR="00321CE7">
        <w:t xml:space="preserve"> same participant’s contributions to the study without using PII. </w:t>
      </w:r>
      <w:r w:rsidRPr="00310BC2" w:rsidR="000650B2">
        <w:t xml:space="preserve">Date of birth is being collected to be used to verify the study ID and confirm </w:t>
      </w:r>
      <w:r w:rsidRPr="00310BC2" w:rsidR="006876A1">
        <w:t xml:space="preserve">consent for an individual who participates in components of the study at different points in time. The key linking a worker’s name and their study ID will only be used to ensure the same </w:t>
      </w:r>
      <w:r w:rsidRPr="00310BC2" w:rsidR="00C36965">
        <w:t>study ID</w:t>
      </w:r>
      <w:r w:rsidRPr="00310BC2" w:rsidR="006876A1">
        <w:t xml:space="preserve"> is used for each participant during subsequent data collections (e.g., post-shift questionnaire during site visits). Th</w:t>
      </w:r>
      <w:r w:rsidRPr="00310BC2" w:rsidR="00C36965">
        <w:t>e</w:t>
      </w:r>
      <w:r w:rsidRPr="00310BC2" w:rsidR="006876A1">
        <w:t xml:space="preserve"> key linking participant names and study IDs will be electronically stored separately from questionnaire data in a file on the secure CDC network accessible only to NIOSH personnel. Only NIOSH project investigators with the need to know will have access to this link between participant names and study IDs.</w:t>
      </w:r>
    </w:p>
    <w:p w:rsidR="009C675C" w:rsidRPr="00310BC2" w:rsidP="00B247A8" w14:paraId="19CAE1CB" w14:textId="77777777"/>
    <w:p w:rsidR="00CF16C1" w:rsidRPr="00310BC2" w:rsidP="00B247A8" w14:paraId="300D131E" w14:textId="5AAB3B13">
      <w:r w:rsidRPr="00310BC2">
        <w:t xml:space="preserve">The expression of interest form </w:t>
      </w:r>
      <w:r w:rsidRPr="00310BC2" w:rsidR="009E0CFB">
        <w:t xml:space="preserve">(Att. 5–Expression of Interest Form) </w:t>
      </w:r>
      <w:r w:rsidRPr="00310BC2">
        <w:t>data will be collected via Epi Info™ Secure Web</w:t>
      </w:r>
      <w:r w:rsidRPr="00310BC2" w:rsidR="004F03DE">
        <w:t xml:space="preserve"> Survey</w:t>
      </w:r>
      <w:r w:rsidRPr="00310BC2">
        <w:t>, which is a web-based data collection tool for use at CDC and has a Moderate security level classification and approval; name, email address, and phone number are types of personal identifying information (PII) explicitly allowed to be collected via Epi Info™ Secure Web Survey.</w:t>
      </w:r>
    </w:p>
    <w:p w:rsidR="00CF16C1" w:rsidRPr="00310BC2" w:rsidP="00B247A8" w14:paraId="0F27C5FC" w14:textId="77777777"/>
    <w:p w:rsidR="00CF16C1" w:rsidRPr="00310BC2" w:rsidP="00B247A8" w14:paraId="587AFD7A" w14:textId="5685C699">
      <w:r w:rsidRPr="00310BC2">
        <w:t xml:space="preserve">Baseline questionnaire </w:t>
      </w:r>
      <w:r w:rsidRPr="00310BC2" w:rsidR="00BF356E">
        <w:t xml:space="preserve">(Att. 7–Baseline Questionnaire) </w:t>
      </w:r>
      <w:r w:rsidRPr="00310BC2">
        <w:t xml:space="preserve">data </w:t>
      </w:r>
      <w:r w:rsidRPr="00310BC2" w:rsidR="00DC2348">
        <w:t xml:space="preserve">will be collected by a NIOSH investigator and entered </w:t>
      </w:r>
      <w:r w:rsidRPr="00310BC2">
        <w:t>directly on a CDC network-connected, password-protected NIOSH computer via data collection software approved for use and collection of PII at CDC.</w:t>
      </w:r>
    </w:p>
    <w:p w:rsidR="00CF16C1" w:rsidRPr="00310BC2" w:rsidP="00B247A8" w14:paraId="1ECA7E6B" w14:textId="77777777"/>
    <w:p w:rsidR="006B78C5" w:rsidRPr="00310BC2" w:rsidP="006B78C5" w14:paraId="6F68EACF" w14:textId="47408B92">
      <w:r w:rsidRPr="00310BC2">
        <w:t xml:space="preserve">Post-shift questionnaire </w:t>
      </w:r>
      <w:r w:rsidRPr="00310BC2" w:rsidR="00BF356E">
        <w:t>(</w:t>
      </w:r>
      <w:r w:rsidRPr="00310BC2" w:rsidR="00BF356E">
        <w:rPr>
          <w:bCs/>
        </w:rPr>
        <w:t xml:space="preserve">Att. 8–Post-shift Questionnaire) </w:t>
      </w:r>
      <w:r w:rsidRPr="00310BC2">
        <w:t xml:space="preserve">data will be collected by a NIOSH investigator </w:t>
      </w:r>
      <w:r w:rsidRPr="00310BC2" w:rsidR="00445458">
        <w:t>on a password-protected NIOSH computer via the NIOSH/</w:t>
      </w:r>
      <w:r w:rsidRPr="00310BC2" w:rsidR="004919A6">
        <w:t>RHD</w:t>
      </w:r>
      <w:r w:rsidRPr="00310BC2" w:rsidR="00445458">
        <w:t xml:space="preserve"> </w:t>
      </w:r>
      <w:r w:rsidRPr="00310BC2" w:rsidR="00445458">
        <w:t>eQuestionnaire</w:t>
      </w:r>
      <w:r w:rsidRPr="00310BC2" w:rsidR="00445458">
        <w:t xml:space="preserve"> Application, </w:t>
      </w:r>
      <w:r w:rsidRPr="00310BC2" w:rsidR="00235709">
        <w:t>which is part of the NIOSH MPN that has an ATO and is approved to collect PII.</w:t>
      </w:r>
      <w:r w:rsidRPr="00310BC2" w:rsidR="005B7AF2">
        <w:t xml:space="preserve"> </w:t>
      </w:r>
      <w:r w:rsidRPr="00310BC2" w:rsidR="001B727C">
        <w:t xml:space="preserve">Participants may opt to complete the post-shift questionnaire via </w:t>
      </w:r>
      <w:r w:rsidRPr="00310BC2" w:rsidR="00445458">
        <w:t>paper copy</w:t>
      </w:r>
      <w:r w:rsidRPr="00310BC2" w:rsidR="001B727C">
        <w:t xml:space="preserve"> if</w:t>
      </w:r>
      <w:r w:rsidRPr="00310BC2" w:rsidR="00445458">
        <w:t xml:space="preserve"> they prefer</w:t>
      </w:r>
      <w:r w:rsidRPr="00310BC2" w:rsidR="00DA6DF6">
        <w:t>; post-shift questionnaires completed on paper will be stored in a secure lock box</w:t>
      </w:r>
      <w:r w:rsidRPr="00310BC2" w:rsidR="005A086B">
        <w:t>, in the possession of NIOSH staff,</w:t>
      </w:r>
      <w:r w:rsidRPr="00310BC2" w:rsidR="00DA6DF6">
        <w:t xml:space="preserve"> during the site visit, and data from the paper questionnaires will be double-entered into the RHD </w:t>
      </w:r>
      <w:r w:rsidRPr="00310BC2" w:rsidR="00DA6DF6">
        <w:t>eQuestionnaire</w:t>
      </w:r>
      <w:r w:rsidRPr="00310BC2" w:rsidR="00DA6DF6">
        <w:t xml:space="preserve"> Application by two different study personnel and then the paper questionnaires will be destroyed. </w:t>
      </w:r>
      <w:r w:rsidRPr="00310BC2" w:rsidR="00445458">
        <w:t>All post-shift questionnaires completed on a password-protected NIOSH computer will be stored on the computer</w:t>
      </w:r>
      <w:r w:rsidRPr="00310BC2" w:rsidR="00F91ECC">
        <w:t xml:space="preserve">, in the possession of NIOSH </w:t>
      </w:r>
      <w:r w:rsidRPr="00310BC2" w:rsidR="0031556E">
        <w:t>staff</w:t>
      </w:r>
      <w:r w:rsidRPr="00310BC2" w:rsidR="00F91ECC">
        <w:t>,</w:t>
      </w:r>
      <w:r w:rsidRPr="00310BC2" w:rsidR="00445458">
        <w:t xml:space="preserve"> during the site visit. All NIOSH investigators administering the post-shift questionnaire will be trained on the protocols required to successfully complete the data collection, including the use of the data collection software. Once study personnel have returned to secured CDC offices and connected to the secure CDC network, the post-shift questionnaire data will be stored </w:t>
      </w:r>
      <w:r w:rsidRPr="00310BC2" w:rsidR="00E45731">
        <w:t>on a MUST share which is listed in the NIOSH MPN and erased from the computer</w:t>
      </w:r>
      <w:r w:rsidRPr="00310BC2" w:rsidR="00445458">
        <w:t xml:space="preserve">. </w:t>
      </w:r>
      <w:r w:rsidRPr="00310BC2" w:rsidR="00310BC2">
        <w:t xml:space="preserve">Access to the MUST share is restricted to NIOSH staff involved in this research study. </w:t>
      </w:r>
      <w:r w:rsidRPr="00310BC2">
        <w:t>Digital copies</w:t>
      </w:r>
      <w:r w:rsidRPr="00310BC2" w:rsidR="000B3C18">
        <w:t xml:space="preserve"> of all questionnaire data</w:t>
      </w:r>
      <w:r w:rsidRPr="00310BC2">
        <w:t xml:space="preserve"> will be stored in a restricted access computer folder that is backed-up daily on the CDC network.</w:t>
      </w:r>
    </w:p>
    <w:p w:rsidR="00482E68" w:rsidRPr="00310BC2" w:rsidP="00A233E0" w14:paraId="32A314EC" w14:textId="77777777"/>
    <w:p w:rsidR="00A233E0" w:rsidRPr="00310BC2" w:rsidP="00A233E0" w14:paraId="0F53B8F4" w14:textId="5FF7707B">
      <w:r w:rsidRPr="00310BC2">
        <w:t xml:space="preserve">CDC will treat data and gathered information in a secure manner and will not disclose, unless otherwise compelled by law. </w:t>
      </w:r>
    </w:p>
    <w:p w:rsidR="00CB3962" w:rsidRPr="00310BC2" w:rsidP="00B247A8" w14:paraId="310FCD92" w14:textId="77777777"/>
    <w:p w:rsidR="00F06B38" w:rsidRPr="00310BC2" w:rsidP="008E151C" w14:paraId="699C0551" w14:textId="69CE26EF">
      <w:r w:rsidRPr="00310BC2">
        <w:t xml:space="preserve">Data for this study are collected under the system of record notice (SORN) CDC Privacy Act System Notice 09-20-0147 </w:t>
      </w:r>
      <w:r w:rsidR="00734197">
        <w:t xml:space="preserve">Occupational Health Epidemiological Studies and EEOICPA Program Records </w:t>
      </w:r>
      <w:r w:rsidRPr="00310BC2">
        <w:t>and will be maintained in accordance with the Federal Privacy Act of 1974.</w:t>
      </w:r>
    </w:p>
    <w:p w:rsidR="00F06B38" w:rsidRPr="00310BC2" w:rsidP="008E151C" w14:paraId="02FA6990" w14:textId="77777777"/>
    <w:p w:rsidR="008E151C" w:rsidRPr="00310BC2" w:rsidP="008E151C" w14:paraId="10766480" w14:textId="2184E964">
      <w:r w:rsidRPr="00310BC2">
        <w:t>Additionally, c</w:t>
      </w:r>
      <w:r w:rsidRPr="00310BC2">
        <w:t>onsistent with Section 301(d) of the Public Health Service Act, a Certificate of Confidentiality (CoC) applies to this research because this research is funded, conducted, or supported by CDC and the following is true:</w:t>
      </w:r>
    </w:p>
    <w:p w:rsidR="008E151C" w:rsidRPr="00310BC2" w:rsidP="008E151C" w14:paraId="28FA45B6" w14:textId="77777777">
      <w:pPr>
        <w:numPr>
          <w:ilvl w:val="0"/>
          <w:numId w:val="44"/>
        </w:numPr>
      </w:pPr>
      <w:r w:rsidRPr="00310BC2">
        <w:t xml:space="preserve">The activity constitutes biomedical, behavioral, clinical, or </w:t>
      </w:r>
      <w:r w:rsidRPr="00310BC2">
        <w:t>other</w:t>
      </w:r>
      <w:r w:rsidRPr="00310BC2">
        <w:t xml:space="preserve"> research; and</w:t>
      </w:r>
    </w:p>
    <w:p w:rsidR="008E151C" w:rsidRPr="00310BC2" w:rsidP="008E151C" w14:paraId="24512E56" w14:textId="77777777">
      <w:pPr>
        <w:numPr>
          <w:ilvl w:val="0"/>
          <w:numId w:val="44"/>
        </w:numPr>
      </w:pPr>
      <w:r w:rsidRPr="00310BC2">
        <w:t>The research involves information about an individual for which there is at least a very small risk, that some combination of the information, a request for the information, and other available data sources could be used to deduce the identity of an individual.</w:t>
      </w:r>
    </w:p>
    <w:p w:rsidR="008E151C" w:rsidRPr="00310BC2" w:rsidP="008E151C" w14:paraId="596B5D33" w14:textId="77777777"/>
    <w:p w:rsidR="008E151C" w:rsidRPr="00310BC2" w:rsidP="008E151C" w14:paraId="06E36411" w14:textId="77777777">
      <w:r w:rsidRPr="00310BC2">
        <w:t>Therefore, CDC and any of its collaborators, contractors, grantees, investigators or collaborating institutions that receive “identifiable, sensitive information” as defined by subsection 301(d) of the Public Health Service Act shall not:</w:t>
      </w:r>
    </w:p>
    <w:p w:rsidR="008E151C" w:rsidRPr="00310BC2" w:rsidP="008E151C" w14:paraId="5C82A149" w14:textId="77777777">
      <w:pPr>
        <w:numPr>
          <w:ilvl w:val="0"/>
          <w:numId w:val="45"/>
        </w:numPr>
      </w:pPr>
      <w:r w:rsidRPr="00310BC2">
        <w:t>Disclose or provide, in any Federal, State, or local civil, criminal, administrative, legislative, or other proceeding “identifiable, sensitive information” that was created or compiled for purposes of the research, unless such disclosure or use is made with the consent of the individual to whom the information, document, or biospecimen pertains; or</w:t>
      </w:r>
    </w:p>
    <w:p w:rsidR="008E151C" w:rsidRPr="00310BC2" w:rsidP="008E151C" w14:paraId="1A7267CE" w14:textId="77777777">
      <w:pPr>
        <w:numPr>
          <w:ilvl w:val="0"/>
          <w:numId w:val="45"/>
        </w:numPr>
      </w:pPr>
      <w:r w:rsidRPr="00310BC2">
        <w:t>Disclose “identifiable, sensitive information” or provide ISI to any other person not connected with the research.</w:t>
      </w:r>
    </w:p>
    <w:p w:rsidR="008E151C" w:rsidRPr="00310BC2" w:rsidP="008E151C" w14:paraId="32050E19" w14:textId="77777777"/>
    <w:p w:rsidR="008E151C" w:rsidRPr="00310BC2" w:rsidP="008E151C" w14:paraId="06FA9AC5" w14:textId="77777777">
      <w:r w:rsidRPr="00310BC2">
        <w:t>Disclosure is permitted only when:</w:t>
      </w:r>
    </w:p>
    <w:p w:rsidR="008E151C" w:rsidRPr="00310BC2" w:rsidP="008E151C" w14:paraId="57102832" w14:textId="77777777"/>
    <w:p w:rsidR="008E151C" w:rsidRPr="00310BC2" w:rsidP="008E151C" w14:paraId="21E2DB96" w14:textId="77777777">
      <w:pPr>
        <w:numPr>
          <w:ilvl w:val="0"/>
          <w:numId w:val="46"/>
        </w:numPr>
      </w:pPr>
      <w:r w:rsidRPr="00310BC2">
        <w:t>Required by Federal, State, or local laws (e.g., as required by the Food, Drug and Cosmetic Act or required by state laws requiring the reporting of communicable diseases to State and local health departments), excluding instances of disclosure in any Federal, State, or local civil, criminal, administrative, legislative, or other proceeding.</w:t>
      </w:r>
    </w:p>
    <w:p w:rsidR="008E151C" w:rsidRPr="00310BC2" w:rsidP="008E151C" w14:paraId="170EBFAB" w14:textId="77777777">
      <w:pPr>
        <w:numPr>
          <w:ilvl w:val="0"/>
          <w:numId w:val="46"/>
        </w:numPr>
      </w:pPr>
      <w:r w:rsidRPr="00310BC2">
        <w:t>Made with the consent of the individual to whom the information, document, or biospecimen pertains; or</w:t>
      </w:r>
    </w:p>
    <w:p w:rsidR="008E151C" w:rsidRPr="00310BC2" w:rsidP="008E151C" w14:paraId="2BDBC31D" w14:textId="77777777">
      <w:pPr>
        <w:numPr>
          <w:ilvl w:val="0"/>
          <w:numId w:val="46"/>
        </w:numPr>
      </w:pPr>
      <w:r w:rsidRPr="00310BC2">
        <w:t xml:space="preserve">Made for the purposes of other scientific research that </w:t>
      </w:r>
      <w:r w:rsidRPr="00310BC2">
        <w:t>is in compliance with</w:t>
      </w:r>
      <w:r w:rsidRPr="00310BC2">
        <w:t xml:space="preserve"> applicable Federal regulations governing the protection of human subjects in research.</w:t>
      </w:r>
    </w:p>
    <w:p w:rsidR="008E151C" w:rsidRPr="00310BC2" w:rsidP="008E151C" w14:paraId="28D8E7A8" w14:textId="77777777"/>
    <w:p w:rsidR="006D0A03" w:rsidRPr="00310BC2" w:rsidP="008E151C" w14:paraId="46DE098D" w14:textId="77777777">
      <w:pPr>
        <w:rPr>
          <w:szCs w:val="24"/>
        </w:rPr>
      </w:pPr>
      <w:r w:rsidRPr="00310BC2">
        <w:t xml:space="preserve">CDC and its collaborators conducting this research will establish and maintain effective internal </w:t>
      </w:r>
      <w:r w:rsidRPr="00310BC2">
        <w:rPr>
          <w:szCs w:val="24"/>
        </w:rPr>
        <w:t>controls (e.g., policies and procedures) that provide reasonable assurance that the research is managed in compliance with subsection 301(d) of the Public Health Service Act. CDC will ensure</w:t>
      </w:r>
      <w:r w:rsidRPr="00310BC2">
        <w:rPr>
          <w:szCs w:val="24"/>
        </w:rPr>
        <w:t xml:space="preserve"> the following</w:t>
      </w:r>
      <w:r w:rsidRPr="00310BC2">
        <w:rPr>
          <w:szCs w:val="24"/>
        </w:rPr>
        <w:t>:</w:t>
      </w:r>
    </w:p>
    <w:p w:rsidR="003D16EE" w:rsidRPr="00310BC2" w:rsidP="009858C9" w14:paraId="3B470AFB" w14:textId="77777777">
      <w:pPr>
        <w:pStyle w:val="ListParagraph"/>
        <w:numPr>
          <w:ilvl w:val="0"/>
          <w:numId w:val="47"/>
        </w:numPr>
        <w:rPr>
          <w:rFonts w:ascii="Times New Roman" w:hAnsi="Times New Roman"/>
          <w:sz w:val="24"/>
        </w:rPr>
      </w:pPr>
      <w:r w:rsidRPr="00310BC2">
        <w:rPr>
          <w:rFonts w:ascii="Times New Roman" w:hAnsi="Times New Roman"/>
          <w:sz w:val="24"/>
        </w:rPr>
        <w:t>that any investigator or institution not funded by CDC who receives a copy of identifiable, sensitive information protected by this Certificate, understands that it is also subject to the requirements of the Certificate; and</w:t>
      </w:r>
    </w:p>
    <w:p w:rsidR="003D16EE" w:rsidRPr="00310BC2" w:rsidP="009858C9" w14:paraId="2ED699AB" w14:textId="77777777">
      <w:pPr>
        <w:pStyle w:val="ListParagraph"/>
        <w:numPr>
          <w:ilvl w:val="0"/>
          <w:numId w:val="47"/>
        </w:numPr>
        <w:rPr>
          <w:rFonts w:ascii="Times New Roman" w:hAnsi="Times New Roman"/>
          <w:sz w:val="24"/>
        </w:rPr>
      </w:pPr>
      <w:r w:rsidRPr="00310BC2">
        <w:rPr>
          <w:rFonts w:ascii="Times New Roman" w:hAnsi="Times New Roman"/>
          <w:sz w:val="24"/>
        </w:rPr>
        <w:t>that any subrecipient that receives CDC funds to carry out part of this research involving a copy of identifiable, sensitive information protected by a Certificate understands that it is subject to subsection 301(d) of the PHS Act.</w:t>
      </w:r>
    </w:p>
    <w:p w:rsidR="003D16EE" w:rsidRPr="00310BC2" w:rsidP="003D16EE" w14:paraId="193764B0" w14:textId="77777777"/>
    <w:p w:rsidR="008E151C" w:rsidRPr="00310BC2" w:rsidP="008E151C" w14:paraId="1FB86F3C" w14:textId="0C40C490">
      <w:r w:rsidRPr="00310BC2">
        <w:t>Therefore, all study staff will receive training on the importance of protecting the confidentiality of human research subjects and of personal information acquired, including the collection of biological specimens.</w:t>
      </w:r>
      <w:r w:rsidRPr="00310BC2" w:rsidR="00731504">
        <w:t xml:space="preserve"> </w:t>
      </w:r>
      <w:r w:rsidRPr="00310BC2">
        <w:rPr>
          <w:szCs w:val="24"/>
        </w:rPr>
        <w:t>All research subjects will</w:t>
      </w:r>
      <w:r w:rsidRPr="00310BC2">
        <w:t xml:space="preserve"> be informed of the protections and the limits to protections provided by this Certificate through the informed consent process. All study staff who obtain consent from study subjects will be trained on how the Certificate protects the information collected and the limitations of the Certificate’s protections.</w:t>
      </w:r>
    </w:p>
    <w:p w:rsidR="00A4785E" w:rsidRPr="00310BC2" w:rsidP="008E151C" w14:paraId="2903A31D" w14:textId="77777777"/>
    <w:p w:rsidR="00A4785E" w:rsidRPr="00310BC2" w:rsidP="0094551E" w14:paraId="41C149DE" w14:textId="2146376F">
      <w:r w:rsidRPr="00310BC2">
        <w:t xml:space="preserve">Collaborating </w:t>
      </w:r>
      <w:r w:rsidRPr="00310BC2">
        <w:t xml:space="preserve">partners may assist in data collection during site visits at the </w:t>
      </w:r>
      <w:r w:rsidRPr="00310BC2">
        <w:t>collaborating veterinary facilities</w:t>
      </w:r>
      <w:r w:rsidRPr="00310BC2">
        <w:t>; however, CDC/NIOSH will own and maintain the data.</w:t>
      </w:r>
    </w:p>
    <w:p w:rsidR="00A4785E" w:rsidRPr="00310BC2" w:rsidP="008E151C" w14:paraId="7C436D33" w14:textId="77777777"/>
    <w:p w:rsidR="003C1455" w:rsidRPr="00310BC2" w:rsidP="00193B52" w14:paraId="1C3FC342" w14:textId="0527C8B2">
      <w:pPr>
        <w:pStyle w:val="Heading1"/>
      </w:pPr>
      <w:bookmarkStart w:id="15" w:name="_Toc165285111"/>
      <w:r w:rsidRPr="00310BC2">
        <w:t>Institutional Review Board (IRB) and Justification for Sensitive Questions</w:t>
      </w:r>
      <w:bookmarkEnd w:id="15"/>
      <w:r w:rsidRPr="00310BC2">
        <w:t xml:space="preserve"> </w:t>
      </w:r>
    </w:p>
    <w:p w:rsidR="003C1455" w:rsidRPr="00310BC2" w:rsidP="007476A4" w14:paraId="624B10AE" w14:textId="74CBD001">
      <w:pPr>
        <w:autoSpaceDE w:val="0"/>
        <w:autoSpaceDN w:val="0"/>
        <w:adjustRightInd w:val="0"/>
        <w:rPr>
          <w:color w:val="000000"/>
          <w:szCs w:val="24"/>
        </w:rPr>
      </w:pPr>
    </w:p>
    <w:p w:rsidR="005C75C3" w:rsidRPr="00310BC2" w:rsidP="005C75C3" w14:paraId="6D344700" w14:textId="77777777">
      <w:pPr>
        <w:rPr>
          <w:i/>
          <w:iCs/>
        </w:rPr>
      </w:pPr>
      <w:r w:rsidRPr="00310BC2">
        <w:rPr>
          <w:i/>
          <w:iCs/>
        </w:rPr>
        <w:t>Institutional Review Board (IRB) Approval</w:t>
      </w:r>
    </w:p>
    <w:p w:rsidR="005C75C3" w:rsidRPr="00310BC2" w:rsidP="0094551E" w14:paraId="5C26D3FC" w14:textId="5AFE102C">
      <w:pPr>
        <w:rPr>
          <w:bCs/>
        </w:rPr>
      </w:pPr>
      <w:r w:rsidRPr="00310BC2">
        <w:t>The project has been determined to be research involving human subjects. The NIOSH Institutional Review Board has reviewed and approved the proposed study (</w:t>
      </w:r>
      <w:r w:rsidRPr="00310BC2" w:rsidR="002731CD">
        <w:rPr>
          <w:bCs/>
        </w:rPr>
        <w:t xml:space="preserve">Att. 10–IRB </w:t>
      </w:r>
      <w:r w:rsidR="000C3B89">
        <w:rPr>
          <w:bCs/>
        </w:rPr>
        <w:t>Approval Letter</w:t>
      </w:r>
      <w:r w:rsidRPr="00310BC2">
        <w:t>).</w:t>
      </w:r>
    </w:p>
    <w:p w:rsidR="007476A4" w:rsidRPr="00310BC2" w:rsidP="0094551E" w14:paraId="0E13BE51" w14:textId="77777777">
      <w:pPr>
        <w:autoSpaceDE w:val="0"/>
        <w:autoSpaceDN w:val="0"/>
        <w:adjustRightInd w:val="0"/>
        <w:rPr>
          <w:color w:val="000000"/>
          <w:szCs w:val="24"/>
        </w:rPr>
      </w:pPr>
    </w:p>
    <w:p w:rsidR="005C75C3" w:rsidRPr="00310BC2" w:rsidP="005C75C3" w14:paraId="23C03879" w14:textId="77777777">
      <w:pPr>
        <w:rPr>
          <w:i/>
          <w:iCs/>
        </w:rPr>
      </w:pPr>
      <w:r w:rsidRPr="00310BC2">
        <w:rPr>
          <w:i/>
          <w:iCs/>
        </w:rPr>
        <w:t xml:space="preserve">Justification for Sensitive Questions </w:t>
      </w:r>
    </w:p>
    <w:p w:rsidR="00B66F10" w:rsidRPr="00310BC2" w:rsidP="00EB7C4C" w14:paraId="323257A1" w14:textId="50B3EC86">
      <w:pPr>
        <w:autoSpaceDE w:val="0"/>
        <w:autoSpaceDN w:val="0"/>
        <w:adjustRightInd w:val="0"/>
        <w:rPr>
          <w:color w:val="000000"/>
          <w:szCs w:val="24"/>
        </w:rPr>
      </w:pPr>
      <w:r w:rsidRPr="00310BC2">
        <w:rPr>
          <w:color w:val="000000"/>
          <w:szCs w:val="24"/>
        </w:rPr>
        <w:t>The proposed questionnaire contains questions that may be sensitive in nature, including race/ethnicity</w:t>
      </w:r>
      <w:r w:rsidRPr="00310BC2" w:rsidR="003904C4">
        <w:rPr>
          <w:color w:val="000000"/>
          <w:szCs w:val="24"/>
        </w:rPr>
        <w:t>, gender, sex assigned at birth,</w:t>
      </w:r>
      <w:r w:rsidRPr="00310BC2" w:rsidR="000135C4">
        <w:rPr>
          <w:color w:val="000000"/>
          <w:szCs w:val="24"/>
        </w:rPr>
        <w:t xml:space="preserve"> and </w:t>
      </w:r>
      <w:r w:rsidRPr="00310BC2" w:rsidR="001339BD">
        <w:rPr>
          <w:color w:val="000000"/>
          <w:szCs w:val="24"/>
        </w:rPr>
        <w:t>diagnoses of medical conditions</w:t>
      </w:r>
      <w:r w:rsidRPr="00310BC2">
        <w:rPr>
          <w:color w:val="000000"/>
          <w:szCs w:val="24"/>
        </w:rPr>
        <w:t xml:space="preserve">. The potentially sensitive </w:t>
      </w:r>
      <w:r w:rsidRPr="00310BC2" w:rsidR="003F79AD">
        <w:rPr>
          <w:color w:val="000000"/>
          <w:szCs w:val="24"/>
        </w:rPr>
        <w:t xml:space="preserve">demographic </w:t>
      </w:r>
      <w:r w:rsidRPr="00310BC2">
        <w:rPr>
          <w:color w:val="000000"/>
          <w:szCs w:val="24"/>
        </w:rPr>
        <w:t>question</w:t>
      </w:r>
      <w:r w:rsidRPr="00310BC2" w:rsidR="003904C4">
        <w:rPr>
          <w:color w:val="000000"/>
          <w:szCs w:val="24"/>
        </w:rPr>
        <w:t>s</w:t>
      </w:r>
      <w:r w:rsidRPr="00310BC2">
        <w:rPr>
          <w:color w:val="000000"/>
          <w:szCs w:val="24"/>
        </w:rPr>
        <w:t xml:space="preserve"> on race</w:t>
      </w:r>
      <w:r w:rsidRPr="00310BC2" w:rsidR="003904C4">
        <w:rPr>
          <w:color w:val="000000"/>
          <w:szCs w:val="24"/>
        </w:rPr>
        <w:t>/</w:t>
      </w:r>
      <w:r w:rsidRPr="00310BC2">
        <w:rPr>
          <w:color w:val="000000"/>
          <w:szCs w:val="24"/>
        </w:rPr>
        <w:t>ethnicity</w:t>
      </w:r>
      <w:r w:rsidRPr="00310BC2" w:rsidR="003904C4">
        <w:rPr>
          <w:color w:val="000000"/>
          <w:szCs w:val="24"/>
        </w:rPr>
        <w:t>, gender, and sex assigned at birth are</w:t>
      </w:r>
      <w:r w:rsidRPr="00310BC2">
        <w:rPr>
          <w:color w:val="000000"/>
          <w:szCs w:val="24"/>
        </w:rPr>
        <w:t xml:space="preserve"> </w:t>
      </w:r>
      <w:r w:rsidRPr="00310BC2" w:rsidR="003F79AD">
        <w:rPr>
          <w:color w:val="000000"/>
          <w:szCs w:val="24"/>
        </w:rPr>
        <w:t xml:space="preserve">essential to the usefulness of the research </w:t>
      </w:r>
      <w:r w:rsidRPr="00310BC2" w:rsidR="00CB7F3B">
        <w:rPr>
          <w:color w:val="000000"/>
          <w:szCs w:val="24"/>
        </w:rPr>
        <w:t xml:space="preserve">for </w:t>
      </w:r>
      <w:r w:rsidRPr="00310BC2">
        <w:rPr>
          <w:color w:val="000000"/>
          <w:szCs w:val="24"/>
        </w:rPr>
        <w:t>accurately describ</w:t>
      </w:r>
      <w:r w:rsidRPr="00310BC2" w:rsidR="00CB7F3B">
        <w:rPr>
          <w:color w:val="000000"/>
          <w:szCs w:val="24"/>
        </w:rPr>
        <w:t>ing</w:t>
      </w:r>
      <w:r w:rsidRPr="00310BC2">
        <w:rPr>
          <w:color w:val="000000"/>
          <w:szCs w:val="24"/>
        </w:rPr>
        <w:t xml:space="preserve"> the demographics of the workforce population in the </w:t>
      </w:r>
      <w:r w:rsidRPr="00310BC2" w:rsidR="008A706E">
        <w:rPr>
          <w:color w:val="000000"/>
          <w:szCs w:val="24"/>
        </w:rPr>
        <w:t xml:space="preserve">research </w:t>
      </w:r>
      <w:r w:rsidRPr="00310BC2">
        <w:rPr>
          <w:color w:val="000000"/>
          <w:szCs w:val="24"/>
        </w:rPr>
        <w:t xml:space="preserve">study and to </w:t>
      </w:r>
      <w:r w:rsidRPr="00310BC2" w:rsidR="000442F8">
        <w:rPr>
          <w:color w:val="000000"/>
          <w:szCs w:val="24"/>
        </w:rPr>
        <w:t>identify</w:t>
      </w:r>
      <w:r w:rsidRPr="00310BC2" w:rsidR="00CB7F3B">
        <w:rPr>
          <w:color w:val="000000"/>
          <w:szCs w:val="24"/>
        </w:rPr>
        <w:t xml:space="preserve"> </w:t>
      </w:r>
      <w:r w:rsidRPr="00310BC2" w:rsidR="004A7C95">
        <w:rPr>
          <w:color w:val="000000"/>
          <w:szCs w:val="24"/>
        </w:rPr>
        <w:t xml:space="preserve">disparities among </w:t>
      </w:r>
      <w:r w:rsidRPr="00310BC2">
        <w:rPr>
          <w:color w:val="000000"/>
          <w:szCs w:val="24"/>
        </w:rPr>
        <w:t>minority populations.</w:t>
      </w:r>
      <w:r w:rsidRPr="00310BC2" w:rsidR="00D73155">
        <w:rPr>
          <w:color w:val="000000"/>
          <w:szCs w:val="24"/>
        </w:rPr>
        <w:t xml:space="preserve"> </w:t>
      </w:r>
      <w:r w:rsidRPr="00310BC2" w:rsidR="00910233">
        <w:rPr>
          <w:color w:val="000000"/>
          <w:szCs w:val="24"/>
        </w:rPr>
        <w:t xml:space="preserve">The </w:t>
      </w:r>
      <w:r w:rsidRPr="00310BC2" w:rsidR="00910233">
        <w:rPr>
          <w:color w:val="000000"/>
          <w:szCs w:val="24"/>
        </w:rPr>
        <w:t xml:space="preserve">included race/ethnicity </w:t>
      </w:r>
      <w:r w:rsidRPr="00310BC2" w:rsidR="00671CDF">
        <w:rPr>
          <w:color w:val="000000"/>
          <w:szCs w:val="24"/>
        </w:rPr>
        <w:t xml:space="preserve">demographic </w:t>
      </w:r>
      <w:r w:rsidRPr="00310BC2" w:rsidR="00910233">
        <w:rPr>
          <w:color w:val="000000"/>
          <w:szCs w:val="24"/>
        </w:rPr>
        <w:t xml:space="preserve">question follows the most recent OMB </w:t>
      </w:r>
      <w:r w:rsidRPr="00310BC2" w:rsidR="00C05735">
        <w:rPr>
          <w:color w:val="000000"/>
          <w:szCs w:val="24"/>
        </w:rPr>
        <w:t>standards</w:t>
      </w:r>
      <w:r w:rsidRPr="00310BC2" w:rsidR="001C43F0">
        <w:rPr>
          <w:color w:val="000000"/>
          <w:szCs w:val="24"/>
        </w:rPr>
        <w:t>.</w:t>
      </w:r>
      <w:r w:rsidRPr="00310BC2" w:rsidR="00C05735">
        <w:rPr>
          <w:color w:val="000000"/>
          <w:szCs w:val="24"/>
          <w:vertAlign w:val="superscript"/>
        </w:rPr>
        <w:t>(</w:t>
      </w:r>
      <w:r w:rsidRPr="00310BC2" w:rsidR="00AE09A5">
        <w:rPr>
          <w:color w:val="000000"/>
          <w:szCs w:val="24"/>
          <w:vertAlign w:val="superscript"/>
        </w:rPr>
        <w:t>12</w:t>
      </w:r>
      <w:r w:rsidRPr="00310BC2" w:rsidR="00C05735">
        <w:rPr>
          <w:color w:val="000000"/>
          <w:szCs w:val="24"/>
          <w:vertAlign w:val="superscript"/>
        </w:rPr>
        <w:t>)</w:t>
      </w:r>
      <w:r w:rsidRPr="00310BC2" w:rsidR="00C05735">
        <w:rPr>
          <w:color w:val="000000"/>
          <w:szCs w:val="24"/>
        </w:rPr>
        <w:t xml:space="preserve"> </w:t>
      </w:r>
      <w:r w:rsidRPr="00310BC2" w:rsidR="00B04D37">
        <w:rPr>
          <w:color w:val="000000"/>
          <w:szCs w:val="24"/>
        </w:rPr>
        <w:t>G</w:t>
      </w:r>
      <w:r w:rsidRPr="00310BC2" w:rsidR="00AE09A5">
        <w:rPr>
          <w:color w:val="000000"/>
          <w:szCs w:val="24"/>
        </w:rPr>
        <w:t xml:space="preserve">ender and sex assigned at birth </w:t>
      </w:r>
      <w:r w:rsidRPr="00310BC2" w:rsidR="00135C66">
        <w:rPr>
          <w:color w:val="000000"/>
          <w:szCs w:val="24"/>
        </w:rPr>
        <w:t>data collections</w:t>
      </w:r>
      <w:r w:rsidRPr="00310BC2" w:rsidR="000F1A38">
        <w:rPr>
          <w:color w:val="000000"/>
          <w:szCs w:val="24"/>
        </w:rPr>
        <w:t xml:space="preserve"> are </w:t>
      </w:r>
      <w:r w:rsidRPr="00310BC2" w:rsidR="00671CDF">
        <w:rPr>
          <w:color w:val="000000"/>
          <w:szCs w:val="24"/>
        </w:rPr>
        <w:t>also considered demographic questions</w:t>
      </w:r>
      <w:r w:rsidRPr="00310BC2" w:rsidR="00B04D37">
        <w:rPr>
          <w:color w:val="000000"/>
          <w:szCs w:val="24"/>
        </w:rPr>
        <w:t xml:space="preserve"> and </w:t>
      </w:r>
      <w:r w:rsidRPr="00310BC2" w:rsidR="00A17408">
        <w:rPr>
          <w:color w:val="000000"/>
          <w:szCs w:val="24"/>
        </w:rPr>
        <w:t xml:space="preserve">these data collections are </w:t>
      </w:r>
      <w:r w:rsidRPr="00310BC2" w:rsidR="00671CDF">
        <w:rPr>
          <w:color w:val="000000"/>
          <w:szCs w:val="24"/>
        </w:rPr>
        <w:t xml:space="preserve">supported by the </w:t>
      </w:r>
      <w:r w:rsidRPr="00310BC2" w:rsidR="00F07360">
        <w:rPr>
          <w:color w:val="000000"/>
          <w:szCs w:val="24"/>
        </w:rPr>
        <w:t>Federal Evidence Agenda on LGBTQI+ Equity</w:t>
      </w:r>
      <w:r w:rsidRPr="00310BC2" w:rsidR="007A0A9F">
        <w:rPr>
          <w:color w:val="000000"/>
          <w:szCs w:val="24"/>
          <w:vertAlign w:val="superscript"/>
        </w:rPr>
        <w:t>(13)</w:t>
      </w:r>
      <w:r w:rsidRPr="00310BC2" w:rsidR="00C05735">
        <w:rPr>
          <w:color w:val="000000"/>
          <w:szCs w:val="24"/>
        </w:rPr>
        <w:t xml:space="preserve"> </w:t>
      </w:r>
      <w:r w:rsidRPr="00310BC2" w:rsidR="00D151AF">
        <w:rPr>
          <w:color w:val="000000"/>
          <w:szCs w:val="24"/>
        </w:rPr>
        <w:t xml:space="preserve">and OMB </w:t>
      </w:r>
      <w:r w:rsidRPr="00310BC2" w:rsidR="00737DC4">
        <w:rPr>
          <w:color w:val="000000"/>
          <w:szCs w:val="24"/>
        </w:rPr>
        <w:t>Recommendations on the Best Practices for the Collection of Sexual Orientation and Gender Identity Data on Federal Statistical Surveys</w:t>
      </w:r>
      <w:r w:rsidRPr="00310BC2" w:rsidR="00D151AF">
        <w:rPr>
          <w:color w:val="000000"/>
          <w:szCs w:val="24"/>
        </w:rPr>
        <w:t>.</w:t>
      </w:r>
      <w:r w:rsidRPr="00310BC2" w:rsidR="00D151AF">
        <w:rPr>
          <w:color w:val="000000"/>
          <w:szCs w:val="24"/>
          <w:vertAlign w:val="superscript"/>
        </w:rPr>
        <w:t>(14)</w:t>
      </w:r>
      <w:r w:rsidRPr="00310BC2">
        <w:rPr>
          <w:color w:val="000000"/>
          <w:szCs w:val="24"/>
        </w:rPr>
        <w:t xml:space="preserve"> </w:t>
      </w:r>
      <w:r w:rsidRPr="00310BC2" w:rsidR="0082350C">
        <w:rPr>
          <w:color w:val="000000"/>
          <w:szCs w:val="24"/>
        </w:rPr>
        <w:t xml:space="preserve">Additionally, the </w:t>
      </w:r>
      <w:r w:rsidRPr="00310BC2" w:rsidR="008861A4">
        <w:rPr>
          <w:color w:val="000000"/>
          <w:szCs w:val="24"/>
        </w:rPr>
        <w:t>U.S. Department of Health and Human Services Sexual Orientation and Gender Identity (SOGI) Data Action Plan states if a data collection is capturing demographic data that is not solely related to program eligibility or compliance</w:t>
      </w:r>
      <w:r w:rsidRPr="00310BC2" w:rsidR="00EB474D">
        <w:rPr>
          <w:color w:val="000000"/>
          <w:szCs w:val="24"/>
        </w:rPr>
        <w:t>,</w:t>
      </w:r>
      <w:r w:rsidRPr="00310BC2" w:rsidR="008861A4">
        <w:rPr>
          <w:color w:val="000000"/>
          <w:szCs w:val="24"/>
        </w:rPr>
        <w:t xml:space="preserve"> SOGI data elements should be included </w:t>
      </w:r>
      <w:r w:rsidRPr="00310BC2" w:rsidR="00EB7C4C">
        <w:rPr>
          <w:color w:val="000000"/>
          <w:szCs w:val="24"/>
        </w:rPr>
        <w:t>in the data collection,</w:t>
      </w:r>
      <w:r w:rsidRPr="00310BC2" w:rsidR="00EB7C4C">
        <w:t xml:space="preserve"> </w:t>
      </w:r>
      <w:r w:rsidRPr="00310BC2" w:rsidR="00EB7C4C">
        <w:rPr>
          <w:color w:val="000000"/>
          <w:szCs w:val="24"/>
        </w:rPr>
        <w:t>unless there is a compelling legal reason not to collect these data</w:t>
      </w:r>
      <w:r w:rsidRPr="00310BC2" w:rsidR="008861A4">
        <w:rPr>
          <w:color w:val="000000"/>
          <w:szCs w:val="24"/>
        </w:rPr>
        <w:t>.</w:t>
      </w:r>
      <w:r w:rsidRPr="00310BC2" w:rsidR="008861A4">
        <w:rPr>
          <w:color w:val="000000"/>
          <w:szCs w:val="24"/>
          <w:vertAlign w:val="superscript"/>
        </w:rPr>
        <w:t>(15)</w:t>
      </w:r>
      <w:r w:rsidRPr="00310BC2" w:rsidR="008861A4">
        <w:rPr>
          <w:color w:val="000000"/>
          <w:szCs w:val="24"/>
        </w:rPr>
        <w:t xml:space="preserve"> </w:t>
      </w:r>
      <w:r w:rsidRPr="00310BC2" w:rsidR="00516973">
        <w:rPr>
          <w:color w:val="000000"/>
          <w:szCs w:val="24"/>
        </w:rPr>
        <w:t xml:space="preserve">Although some participants may feel demographic questions on race/ethnicity, gender, and sex assigned at birth are sensitive in nature, </w:t>
      </w:r>
      <w:r w:rsidRPr="00310BC2" w:rsidR="000442F8">
        <w:rPr>
          <w:color w:val="000000"/>
          <w:szCs w:val="24"/>
        </w:rPr>
        <w:t xml:space="preserve">these data remain critical to understand differences among populations; </w:t>
      </w:r>
      <w:r w:rsidRPr="00310BC2" w:rsidR="00444E1A">
        <w:rPr>
          <w:color w:val="000000"/>
          <w:szCs w:val="24"/>
        </w:rPr>
        <w:t>participants</w:t>
      </w:r>
      <w:r w:rsidRPr="00310BC2" w:rsidR="00B47E7F">
        <w:rPr>
          <w:color w:val="000000"/>
          <w:szCs w:val="24"/>
        </w:rPr>
        <w:t xml:space="preserve"> may refuse to answer these demographic questions.</w:t>
      </w:r>
    </w:p>
    <w:p w:rsidR="00B66F10" w:rsidRPr="00310BC2" w:rsidP="00B66F10" w14:paraId="505898F6" w14:textId="77777777">
      <w:pPr>
        <w:autoSpaceDE w:val="0"/>
        <w:autoSpaceDN w:val="0"/>
        <w:adjustRightInd w:val="0"/>
        <w:rPr>
          <w:color w:val="000000"/>
          <w:szCs w:val="24"/>
        </w:rPr>
      </w:pPr>
    </w:p>
    <w:p w:rsidR="00B66F10" w:rsidRPr="00310BC2" w:rsidP="00B66F10" w14:paraId="00C4682A" w14:textId="77777777">
      <w:pPr>
        <w:autoSpaceDE w:val="0"/>
        <w:autoSpaceDN w:val="0"/>
        <w:adjustRightInd w:val="0"/>
        <w:rPr>
          <w:color w:val="000000"/>
          <w:szCs w:val="24"/>
        </w:rPr>
      </w:pPr>
      <w:r w:rsidRPr="00310BC2">
        <w:rPr>
          <w:color w:val="000000"/>
          <w:szCs w:val="24"/>
        </w:rPr>
        <w:t xml:space="preserve">Social security numbers will not be collected. </w:t>
      </w:r>
    </w:p>
    <w:p w:rsidR="0096598B" w:rsidRPr="00310BC2" w:rsidP="00B66F10" w14:paraId="2D956E56" w14:textId="77777777">
      <w:pPr>
        <w:autoSpaceDE w:val="0"/>
        <w:autoSpaceDN w:val="0"/>
        <w:adjustRightInd w:val="0"/>
        <w:rPr>
          <w:color w:val="000000"/>
          <w:szCs w:val="24"/>
        </w:rPr>
      </w:pPr>
    </w:p>
    <w:p w:rsidR="0096598B" w:rsidRPr="00310BC2" w:rsidP="00B66F10" w14:paraId="731828C6" w14:textId="25617183">
      <w:pPr>
        <w:autoSpaceDE w:val="0"/>
        <w:autoSpaceDN w:val="0"/>
        <w:adjustRightInd w:val="0"/>
        <w:rPr>
          <w:color w:val="000000"/>
          <w:szCs w:val="24"/>
        </w:rPr>
      </w:pPr>
      <w:r w:rsidRPr="00310BC2">
        <w:rPr>
          <w:color w:val="000000"/>
          <w:szCs w:val="24"/>
        </w:rPr>
        <w:t>All questionnaire response data will be treated in a secure manner and will not be disclosed, unless compelled under law. Aggregation of responses will ensure participants will not be identifiable.</w:t>
      </w:r>
    </w:p>
    <w:p w:rsidR="007476A4" w:rsidRPr="00310BC2" w:rsidP="007476A4" w14:paraId="33B17AEE" w14:textId="77777777">
      <w:pPr>
        <w:autoSpaceDE w:val="0"/>
        <w:autoSpaceDN w:val="0"/>
        <w:adjustRightInd w:val="0"/>
        <w:spacing w:after="67"/>
        <w:rPr>
          <w:color w:val="000000"/>
          <w:szCs w:val="24"/>
        </w:rPr>
      </w:pPr>
    </w:p>
    <w:p w:rsidR="003C1455" w:rsidRPr="00310BC2" w:rsidP="00193B52" w14:paraId="55326A2E" w14:textId="5D40AE7C">
      <w:pPr>
        <w:pStyle w:val="Heading1"/>
      </w:pPr>
      <w:bookmarkStart w:id="16" w:name="_Toc165285112"/>
      <w:r w:rsidRPr="00310BC2">
        <w:t>Estimates of Annualized Burden Hours and Costs</w:t>
      </w:r>
      <w:bookmarkEnd w:id="16"/>
      <w:r w:rsidRPr="00310BC2">
        <w:t xml:space="preserve"> </w:t>
      </w:r>
    </w:p>
    <w:p w:rsidR="00013212" w:rsidRPr="00310BC2" w:rsidP="00F70063" w14:paraId="57068A5E" w14:textId="77777777">
      <w:pPr>
        <w:autoSpaceDE w:val="0"/>
        <w:autoSpaceDN w:val="0"/>
        <w:adjustRightInd w:val="0"/>
        <w:rPr>
          <w:color w:val="000000"/>
          <w:szCs w:val="24"/>
        </w:rPr>
      </w:pPr>
    </w:p>
    <w:p w:rsidR="00013212" w:rsidRPr="00310BC2" w:rsidP="00013212" w14:paraId="30F71583" w14:textId="261BEB5E">
      <w:pPr>
        <w:rPr>
          <w:i/>
          <w:iCs/>
        </w:rPr>
      </w:pPr>
      <w:r w:rsidRPr="00310BC2">
        <w:rPr>
          <w:i/>
          <w:iCs/>
        </w:rPr>
        <w:t>Estimates of Annualized Burden Hours</w:t>
      </w:r>
    </w:p>
    <w:p w:rsidR="00560132" w:rsidRPr="00310BC2" w:rsidP="00560132" w14:paraId="79174870" w14:textId="05800BE6">
      <w:pPr>
        <w:rPr>
          <w:rFonts w:eastAsiaTheme="minorHAnsi"/>
          <w:bCs/>
        </w:rPr>
      </w:pPr>
      <w:r w:rsidRPr="00310BC2">
        <w:rPr>
          <w:rFonts w:eastAsiaTheme="minorHAnsi"/>
          <w:bCs/>
        </w:rPr>
        <w:t>An estimated 1</w:t>
      </w:r>
      <w:r w:rsidRPr="00310BC2" w:rsidR="00662A0B">
        <w:rPr>
          <w:rFonts w:eastAsiaTheme="minorHAnsi"/>
          <w:bCs/>
        </w:rPr>
        <w:t>5</w:t>
      </w:r>
      <w:r w:rsidRPr="00310BC2">
        <w:rPr>
          <w:rFonts w:eastAsiaTheme="minorHAnsi"/>
          <w:bCs/>
        </w:rPr>
        <w:t xml:space="preserve">0 </w:t>
      </w:r>
      <w:r w:rsidRPr="00310BC2">
        <w:rPr>
          <w:rFonts w:eastAsiaTheme="minorHAnsi"/>
        </w:rPr>
        <w:t>VM/AC personnel</w:t>
      </w:r>
      <w:r w:rsidRPr="00310BC2">
        <w:rPr>
          <w:rFonts w:eastAsiaTheme="minorHAnsi"/>
          <w:bCs/>
        </w:rPr>
        <w:t xml:space="preserve"> are anticipated to complete </w:t>
      </w:r>
      <w:r w:rsidRPr="00310BC2" w:rsidR="00281F5A">
        <w:rPr>
          <w:rFonts w:eastAsiaTheme="minorHAnsi"/>
          <w:bCs/>
        </w:rPr>
        <w:t>the expression of interest form</w:t>
      </w:r>
      <w:r w:rsidRPr="00310BC2" w:rsidR="00FC2765">
        <w:rPr>
          <w:rFonts w:eastAsiaTheme="minorHAnsi"/>
          <w:bCs/>
        </w:rPr>
        <w:t xml:space="preserve"> </w:t>
      </w:r>
      <w:r w:rsidRPr="00310BC2" w:rsidR="00FC2765">
        <w:t>(Att. 5–Expression of Interest Form)</w:t>
      </w:r>
      <w:r w:rsidRPr="00310BC2" w:rsidR="00281F5A">
        <w:rPr>
          <w:rFonts w:eastAsiaTheme="minorHAnsi"/>
          <w:bCs/>
        </w:rPr>
        <w:t>, informed consent</w:t>
      </w:r>
      <w:r w:rsidRPr="00310BC2" w:rsidR="00FC2765">
        <w:rPr>
          <w:rFonts w:eastAsiaTheme="minorHAnsi"/>
          <w:bCs/>
        </w:rPr>
        <w:t xml:space="preserve"> </w:t>
      </w:r>
      <w:r w:rsidRPr="00310BC2" w:rsidR="00FC2765">
        <w:t>(</w:t>
      </w:r>
      <w:r w:rsidRPr="00310BC2" w:rsidR="00FC2765">
        <w:rPr>
          <w:bCs/>
        </w:rPr>
        <w:t>Att. 6–Informed Consent)</w:t>
      </w:r>
      <w:r w:rsidRPr="00310BC2" w:rsidR="00281F5A">
        <w:rPr>
          <w:rFonts w:eastAsiaTheme="minorHAnsi"/>
          <w:bCs/>
        </w:rPr>
        <w:t xml:space="preserve">, </w:t>
      </w:r>
      <w:r w:rsidRPr="00310BC2">
        <w:rPr>
          <w:rFonts w:eastAsiaTheme="minorHAnsi"/>
          <w:bCs/>
        </w:rPr>
        <w:t>baseline questionnaire</w:t>
      </w:r>
      <w:r w:rsidRPr="00310BC2" w:rsidR="00FC2765">
        <w:rPr>
          <w:rFonts w:eastAsiaTheme="minorHAnsi"/>
          <w:bCs/>
        </w:rPr>
        <w:t xml:space="preserve"> (Att. 7–Baseline Questionnaire)</w:t>
      </w:r>
      <w:r w:rsidRPr="00310BC2" w:rsidR="00281F5A">
        <w:rPr>
          <w:rFonts w:eastAsiaTheme="minorHAnsi"/>
          <w:bCs/>
        </w:rPr>
        <w:t>,</w:t>
      </w:r>
      <w:r w:rsidRPr="00310BC2">
        <w:rPr>
          <w:rFonts w:eastAsiaTheme="minorHAnsi"/>
          <w:bCs/>
        </w:rPr>
        <w:t xml:space="preserve"> and post-shift questionnaire </w:t>
      </w:r>
      <w:r w:rsidRPr="00310BC2" w:rsidR="00FC2765">
        <w:t>(</w:t>
      </w:r>
      <w:r w:rsidRPr="00310BC2" w:rsidR="00FC2765">
        <w:rPr>
          <w:bCs/>
        </w:rPr>
        <w:t xml:space="preserve">Att. 8–Post-shift Questionnaire) </w:t>
      </w:r>
      <w:r w:rsidRPr="00310BC2">
        <w:rPr>
          <w:rFonts w:eastAsiaTheme="minorHAnsi"/>
          <w:bCs/>
        </w:rPr>
        <w:t xml:space="preserve">during the data collection period, which is 3 years, for an annualized number of </w:t>
      </w:r>
      <w:r w:rsidRPr="00310BC2" w:rsidR="006930AD">
        <w:rPr>
          <w:rFonts w:eastAsiaTheme="minorHAnsi"/>
          <w:bCs/>
        </w:rPr>
        <w:t>50</w:t>
      </w:r>
      <w:r w:rsidRPr="00310BC2">
        <w:rPr>
          <w:rFonts w:eastAsiaTheme="minorHAnsi"/>
          <w:bCs/>
        </w:rPr>
        <w:t xml:space="preserve"> respondents per year for each </w:t>
      </w:r>
      <w:r w:rsidRPr="00310BC2" w:rsidR="00A54989">
        <w:rPr>
          <w:rFonts w:eastAsiaTheme="minorHAnsi"/>
          <w:bCs/>
        </w:rPr>
        <w:t>data collection</w:t>
      </w:r>
      <w:r w:rsidRPr="00310BC2">
        <w:rPr>
          <w:rFonts w:eastAsiaTheme="minorHAnsi"/>
          <w:bCs/>
        </w:rPr>
        <w:t>.</w:t>
      </w:r>
    </w:p>
    <w:p w:rsidR="00560132" w:rsidRPr="00310BC2" w:rsidP="00560132" w14:paraId="0D42DAF0" w14:textId="77777777">
      <w:pPr>
        <w:rPr>
          <w:rFonts w:eastAsiaTheme="minorHAnsi"/>
          <w:bCs/>
        </w:rPr>
      </w:pPr>
    </w:p>
    <w:p w:rsidR="00FB6D70" w:rsidRPr="00310BC2" w:rsidP="00FB6D70" w14:paraId="17A5E614" w14:textId="335C99BA">
      <w:pPr>
        <w:rPr>
          <w:rFonts w:eastAsiaTheme="minorHAnsi"/>
          <w:bCs/>
        </w:rPr>
      </w:pPr>
      <w:r w:rsidRPr="00310BC2">
        <w:rPr>
          <w:rFonts w:eastAsiaTheme="minorHAnsi"/>
          <w:bCs/>
        </w:rPr>
        <w:t>The expression of interest form will be completed once per respondent.</w:t>
      </w:r>
      <w:r w:rsidRPr="00310BC2">
        <w:rPr>
          <w:rFonts w:eastAsiaTheme="minorHAnsi"/>
          <w:bCs/>
        </w:rPr>
        <w:t xml:space="preserve"> The duration of the expression of interest form is estimated to be 2–3 minutes, as determined by fewer than 10 pilot tests during form development that included time for reviewing instructions, gathering mock information, and completing the form. Based on these results, the estimated time range for actual respondents to complete the form is 2–3 minutes. For the purposes of estimating burden hours, the </w:t>
      </w:r>
      <w:r w:rsidRPr="00310BC2" w:rsidR="00473612">
        <w:rPr>
          <w:rFonts w:eastAsiaTheme="minorHAnsi"/>
          <w:bCs/>
        </w:rPr>
        <w:t>average time (rounded up)</w:t>
      </w:r>
      <w:r w:rsidRPr="00310BC2" w:rsidR="00104EA6">
        <w:rPr>
          <w:rFonts w:eastAsiaTheme="minorHAnsi"/>
          <w:bCs/>
        </w:rPr>
        <w:t xml:space="preserve"> </w:t>
      </w:r>
      <w:r w:rsidRPr="00310BC2">
        <w:rPr>
          <w:rFonts w:eastAsiaTheme="minorHAnsi"/>
          <w:bCs/>
        </w:rPr>
        <w:t xml:space="preserve">to complete the </w:t>
      </w:r>
      <w:r w:rsidRPr="00310BC2" w:rsidR="00104EA6">
        <w:rPr>
          <w:rFonts w:eastAsiaTheme="minorHAnsi"/>
          <w:bCs/>
        </w:rPr>
        <w:t>form</w:t>
      </w:r>
      <w:r w:rsidRPr="00310BC2">
        <w:rPr>
          <w:rFonts w:eastAsiaTheme="minorHAnsi"/>
          <w:bCs/>
        </w:rPr>
        <w:t xml:space="preserve"> is used.</w:t>
      </w:r>
    </w:p>
    <w:p w:rsidR="00164554" w:rsidRPr="00310BC2" w:rsidP="00560132" w14:paraId="02596518" w14:textId="77777777">
      <w:pPr>
        <w:rPr>
          <w:rFonts w:eastAsiaTheme="minorHAnsi"/>
          <w:bCs/>
        </w:rPr>
      </w:pPr>
    </w:p>
    <w:p w:rsidR="00560132" w:rsidRPr="00310BC2" w:rsidP="00560132" w14:paraId="58D5F28B" w14:textId="58FEB94F">
      <w:pPr>
        <w:rPr>
          <w:rFonts w:eastAsiaTheme="minorHAnsi"/>
          <w:bCs/>
        </w:rPr>
      </w:pPr>
      <w:r w:rsidRPr="00310BC2">
        <w:rPr>
          <w:rFonts w:eastAsiaTheme="minorHAnsi"/>
          <w:bCs/>
        </w:rPr>
        <w:t>The baseline questionnaire will be completed once per respondent. There is a screening question at the beginning of the baseline questionnaire so all respondents may not actually participate. The duration of the baseline questionnaire is estimated to be 20–35 minutes, as determined by fewer than 10 pilot tests during questionnaire development</w:t>
      </w:r>
      <w:r w:rsidRPr="00310BC2" w:rsidR="0067511D">
        <w:rPr>
          <w:rFonts w:eastAsiaTheme="minorHAnsi"/>
          <w:bCs/>
        </w:rPr>
        <w:t xml:space="preserve"> that included</w:t>
      </w:r>
      <w:r w:rsidRPr="00310BC2" w:rsidR="00740E34">
        <w:rPr>
          <w:rFonts w:eastAsiaTheme="minorHAnsi"/>
          <w:bCs/>
        </w:rPr>
        <w:t xml:space="preserve"> time for reviewing instructions, gathering mock information, and completing the </w:t>
      </w:r>
      <w:r w:rsidRPr="00310BC2" w:rsidR="003E3620">
        <w:rPr>
          <w:rFonts w:eastAsiaTheme="minorHAnsi"/>
          <w:bCs/>
        </w:rPr>
        <w:t>questionnaire</w:t>
      </w:r>
      <w:r w:rsidRPr="00310BC2">
        <w:rPr>
          <w:rFonts w:eastAsiaTheme="minorHAnsi"/>
          <w:bCs/>
        </w:rPr>
        <w:t xml:space="preserve">. Based on these results, the estimated time range for actual respondents to complete the </w:t>
      </w:r>
      <w:r w:rsidRPr="00310BC2" w:rsidR="003E3620">
        <w:rPr>
          <w:rFonts w:eastAsiaTheme="minorHAnsi"/>
          <w:bCs/>
        </w:rPr>
        <w:t>baseline questionnaire</w:t>
      </w:r>
      <w:r w:rsidRPr="00310BC2">
        <w:rPr>
          <w:rFonts w:eastAsiaTheme="minorHAnsi"/>
          <w:bCs/>
        </w:rPr>
        <w:t xml:space="preserve"> is 20–35 minutes.</w:t>
      </w:r>
      <w:r w:rsidRPr="00310BC2" w:rsidR="00241858">
        <w:rPr>
          <w:rFonts w:eastAsiaTheme="minorHAnsi"/>
          <w:bCs/>
        </w:rPr>
        <w:t xml:space="preserve"> For the purposes of estimating burden hours, the average time </w:t>
      </w:r>
      <w:r w:rsidRPr="00310BC2" w:rsidR="00473612">
        <w:rPr>
          <w:rFonts w:eastAsiaTheme="minorHAnsi"/>
          <w:bCs/>
        </w:rPr>
        <w:t xml:space="preserve">(rounded up) </w:t>
      </w:r>
      <w:r w:rsidRPr="00310BC2" w:rsidR="00241858">
        <w:rPr>
          <w:rFonts w:eastAsiaTheme="minorHAnsi"/>
          <w:bCs/>
        </w:rPr>
        <w:t>to complete the</w:t>
      </w:r>
      <w:r w:rsidRPr="00310BC2" w:rsidR="003E3620">
        <w:rPr>
          <w:rFonts w:eastAsiaTheme="minorHAnsi"/>
          <w:bCs/>
        </w:rPr>
        <w:t xml:space="preserve"> baseline questionnaire</w:t>
      </w:r>
      <w:r w:rsidRPr="00310BC2" w:rsidR="00241858">
        <w:rPr>
          <w:rFonts w:eastAsiaTheme="minorHAnsi"/>
          <w:bCs/>
        </w:rPr>
        <w:t xml:space="preserve"> is used.</w:t>
      </w:r>
    </w:p>
    <w:p w:rsidR="00560132" w:rsidRPr="00310BC2" w:rsidP="00560132" w14:paraId="22C691AB" w14:textId="77777777">
      <w:pPr>
        <w:rPr>
          <w:rFonts w:eastAsiaTheme="minorHAnsi"/>
          <w:bCs/>
        </w:rPr>
      </w:pPr>
    </w:p>
    <w:p w:rsidR="00560132" w:rsidRPr="00310BC2" w:rsidP="00560132" w14:paraId="36CF186D" w14:textId="07843EB0">
      <w:pPr>
        <w:rPr>
          <w:rFonts w:eastAsiaTheme="minorHAnsi"/>
          <w:bCs/>
        </w:rPr>
      </w:pPr>
      <w:r w:rsidRPr="00310BC2">
        <w:rPr>
          <w:rFonts w:eastAsiaTheme="minorHAnsi"/>
          <w:bCs/>
        </w:rPr>
        <w:t xml:space="preserve">The post-shift questionnaire could be completed up to a maximum of ten times per respondent (once per workday over a five-day site visit, during each of two site visits). For the purposes of </w:t>
      </w:r>
      <w:r w:rsidRPr="00310BC2">
        <w:rPr>
          <w:rFonts w:eastAsiaTheme="minorHAnsi"/>
          <w:bCs/>
        </w:rPr>
        <w:t>estimating burden hours, the upper limit of the number of times a respondent could complete the post-shift questionnaire (10 times) is used. The duration of the post-shift questionnaire is estimated to be 5–10 minutes, as determined by fewer than 10 pilot tests during questionnaire development</w:t>
      </w:r>
      <w:r w:rsidRPr="00310BC2" w:rsidR="003E3620">
        <w:rPr>
          <w:rFonts w:eastAsiaTheme="minorHAnsi"/>
          <w:bCs/>
        </w:rPr>
        <w:t xml:space="preserve"> that included time for reviewing instructions, gathering mock information, and completing the </w:t>
      </w:r>
      <w:r w:rsidRPr="00310BC2" w:rsidR="00753857">
        <w:rPr>
          <w:rFonts w:eastAsiaTheme="minorHAnsi"/>
          <w:bCs/>
        </w:rPr>
        <w:t xml:space="preserve">post-shift </w:t>
      </w:r>
      <w:r w:rsidRPr="00310BC2" w:rsidR="003E3620">
        <w:rPr>
          <w:rFonts w:eastAsiaTheme="minorHAnsi"/>
          <w:bCs/>
        </w:rPr>
        <w:t>questionnaire</w:t>
      </w:r>
      <w:r w:rsidRPr="00310BC2">
        <w:rPr>
          <w:rFonts w:eastAsiaTheme="minorHAnsi"/>
          <w:bCs/>
        </w:rPr>
        <w:t xml:space="preserve">. Based on these results, the estimated time range for actual respondents to complete the </w:t>
      </w:r>
      <w:r w:rsidRPr="00310BC2" w:rsidR="003E3620">
        <w:rPr>
          <w:rFonts w:eastAsiaTheme="minorHAnsi"/>
          <w:bCs/>
        </w:rPr>
        <w:t>post-shift questionnaire</w:t>
      </w:r>
      <w:r w:rsidRPr="00310BC2">
        <w:rPr>
          <w:rFonts w:eastAsiaTheme="minorHAnsi"/>
          <w:bCs/>
        </w:rPr>
        <w:t xml:space="preserve"> is 5–10 minutes.</w:t>
      </w:r>
      <w:r w:rsidRPr="00310BC2" w:rsidR="00753857">
        <w:rPr>
          <w:rFonts w:eastAsiaTheme="minorHAnsi"/>
          <w:bCs/>
        </w:rPr>
        <w:t xml:space="preserve"> For the purposes of estimating burden hours, the average time </w:t>
      </w:r>
      <w:r w:rsidRPr="00310BC2" w:rsidR="00C368E0">
        <w:rPr>
          <w:rFonts w:eastAsiaTheme="minorHAnsi"/>
          <w:bCs/>
        </w:rPr>
        <w:t xml:space="preserve">(rounded up) </w:t>
      </w:r>
      <w:r w:rsidRPr="00310BC2" w:rsidR="00753857">
        <w:rPr>
          <w:rFonts w:eastAsiaTheme="minorHAnsi"/>
          <w:bCs/>
        </w:rPr>
        <w:t>to complete the post-shift questionnaire is used.</w:t>
      </w:r>
    </w:p>
    <w:p w:rsidR="00560132" w:rsidRPr="00310BC2" w:rsidP="00560132" w14:paraId="41E8D621" w14:textId="77777777">
      <w:pPr>
        <w:rPr>
          <w:rFonts w:eastAsiaTheme="minorHAnsi"/>
          <w:bCs/>
        </w:rPr>
      </w:pPr>
    </w:p>
    <w:p w:rsidR="00560132" w:rsidRPr="00310BC2" w:rsidP="00560132" w14:paraId="1C6B833C" w14:textId="0022385D">
      <w:pPr>
        <w:rPr>
          <w:rFonts w:eastAsiaTheme="minorHAnsi"/>
          <w:bCs/>
        </w:rPr>
      </w:pPr>
      <w:r w:rsidRPr="00310BC2">
        <w:rPr>
          <w:rFonts w:eastAsiaTheme="minorHAnsi"/>
          <w:bCs/>
        </w:rPr>
        <w:t xml:space="preserve">Therefore, the approximate </w:t>
      </w:r>
      <w:r w:rsidRPr="00310BC2">
        <w:rPr>
          <w:rFonts w:eastAsiaTheme="minorHAnsi"/>
        </w:rPr>
        <w:t xml:space="preserve">total estimated burden is an annualized </w:t>
      </w:r>
      <w:r w:rsidRPr="00310BC2" w:rsidR="003F3A94">
        <w:rPr>
          <w:rFonts w:eastAsiaTheme="minorHAnsi"/>
        </w:rPr>
        <w:t>107</w:t>
      </w:r>
      <w:r w:rsidRPr="00310BC2">
        <w:rPr>
          <w:rFonts w:eastAsiaTheme="minorHAnsi"/>
        </w:rPr>
        <w:t xml:space="preserve"> hours.</w:t>
      </w:r>
    </w:p>
    <w:p w:rsidR="003D5EFB" w:rsidRPr="00310BC2" w:rsidP="00B247A8" w14:paraId="5C89B2DA" w14:textId="77777777">
      <w:pPr>
        <w:rPr>
          <w:rFonts w:eastAsiaTheme="minorHAnsi"/>
        </w:rPr>
      </w:pPr>
    </w:p>
    <w:p w:rsidR="003C1455" w:rsidRPr="00310BC2" w:rsidP="00B247A8" w14:paraId="253AEE21" w14:textId="1634CC92">
      <w:pPr>
        <w:rPr>
          <w:b/>
          <w:bCs/>
        </w:rPr>
      </w:pPr>
      <w:r w:rsidRPr="00310BC2">
        <w:rPr>
          <w:b/>
          <w:bCs/>
        </w:rPr>
        <w:t xml:space="preserve">Table: </w:t>
      </w:r>
      <w:r w:rsidRPr="00310BC2" w:rsidR="00F406E8">
        <w:rPr>
          <w:b/>
          <w:bCs/>
        </w:rPr>
        <w:t>A</w:t>
      </w:r>
      <w:r w:rsidRPr="00310BC2">
        <w:rPr>
          <w:b/>
          <w:bCs/>
        </w:rPr>
        <w:t xml:space="preserve">12.1. </w:t>
      </w:r>
      <w:r w:rsidRPr="00310BC2" w:rsidR="0024189D">
        <w:rPr>
          <w:b/>
          <w:bCs/>
        </w:rPr>
        <w:t>Estimated Annualized Burden Hours</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5"/>
        <w:gridCol w:w="1620"/>
        <w:gridCol w:w="1620"/>
        <w:gridCol w:w="1800"/>
        <w:gridCol w:w="1980"/>
        <w:gridCol w:w="1343"/>
      </w:tblGrid>
      <w:tr w14:paraId="440EA547" w14:textId="77777777" w:rsidTr="005A6EA9">
        <w:tblPrEx>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35" w:type="dxa"/>
            <w:shd w:val="clear" w:color="auto" w:fill="auto"/>
            <w:vAlign w:val="center"/>
          </w:tcPr>
          <w:p w:rsidR="0024189D" w:rsidRPr="00310BC2" w:rsidP="005A6EA9" w14:paraId="4264FF5D" w14:textId="07DAE6CB">
            <w:pPr>
              <w:widowControl w:val="0"/>
              <w:tabs>
                <w:tab w:val="left" w:pos="0"/>
              </w:tabs>
              <w:autoSpaceDE w:val="0"/>
              <w:autoSpaceDN w:val="0"/>
              <w:adjustRightInd w:val="0"/>
              <w:rPr>
                <w:b/>
                <w:bCs/>
                <w:color w:val="000000"/>
              </w:rPr>
            </w:pPr>
            <w:r w:rsidRPr="00310BC2">
              <w:rPr>
                <w:b/>
                <w:bCs/>
                <w:color w:val="000000"/>
              </w:rPr>
              <w:t xml:space="preserve">Type of </w:t>
            </w:r>
            <w:r w:rsidRPr="00310BC2">
              <w:rPr>
                <w:b/>
                <w:bCs/>
                <w:color w:val="000000"/>
              </w:rPr>
              <w:t>Respondent</w:t>
            </w:r>
          </w:p>
        </w:tc>
        <w:tc>
          <w:tcPr>
            <w:tcW w:w="1620" w:type="dxa"/>
            <w:shd w:val="clear" w:color="auto" w:fill="auto"/>
            <w:vAlign w:val="bottom"/>
          </w:tcPr>
          <w:p w:rsidR="0024189D" w:rsidRPr="00310BC2" w:rsidP="005A6EA9" w14:paraId="37A56881" w14:textId="77777777">
            <w:pPr>
              <w:widowControl w:val="0"/>
              <w:tabs>
                <w:tab w:val="left" w:pos="0"/>
              </w:tabs>
              <w:autoSpaceDE w:val="0"/>
              <w:autoSpaceDN w:val="0"/>
              <w:adjustRightInd w:val="0"/>
              <w:rPr>
                <w:b/>
                <w:bCs/>
                <w:color w:val="000000"/>
              </w:rPr>
            </w:pPr>
            <w:r w:rsidRPr="00310BC2">
              <w:rPr>
                <w:b/>
                <w:bCs/>
                <w:color w:val="000000"/>
              </w:rPr>
              <w:t>Form Name</w:t>
            </w:r>
          </w:p>
        </w:tc>
        <w:tc>
          <w:tcPr>
            <w:tcW w:w="1620" w:type="dxa"/>
            <w:shd w:val="clear" w:color="auto" w:fill="auto"/>
            <w:vAlign w:val="bottom"/>
          </w:tcPr>
          <w:p w:rsidR="0024189D" w:rsidRPr="00310BC2" w:rsidP="005A6EA9" w14:paraId="5FA6EEE8" w14:textId="77777777">
            <w:pPr>
              <w:widowControl w:val="0"/>
              <w:tabs>
                <w:tab w:val="left" w:pos="0"/>
              </w:tabs>
              <w:autoSpaceDE w:val="0"/>
              <w:autoSpaceDN w:val="0"/>
              <w:adjustRightInd w:val="0"/>
              <w:rPr>
                <w:b/>
                <w:bCs/>
                <w:color w:val="000000"/>
              </w:rPr>
            </w:pPr>
            <w:r w:rsidRPr="00310BC2">
              <w:rPr>
                <w:b/>
                <w:bCs/>
                <w:color w:val="000000"/>
              </w:rPr>
              <w:t>Number of Respondents</w:t>
            </w:r>
          </w:p>
        </w:tc>
        <w:tc>
          <w:tcPr>
            <w:tcW w:w="1800" w:type="dxa"/>
            <w:shd w:val="clear" w:color="auto" w:fill="auto"/>
            <w:vAlign w:val="bottom"/>
          </w:tcPr>
          <w:p w:rsidR="0024189D" w:rsidRPr="00310BC2" w:rsidP="005A6EA9" w14:paraId="22283684" w14:textId="77777777">
            <w:pPr>
              <w:widowControl w:val="0"/>
              <w:tabs>
                <w:tab w:val="left" w:pos="0"/>
              </w:tabs>
              <w:autoSpaceDE w:val="0"/>
              <w:autoSpaceDN w:val="0"/>
              <w:adjustRightInd w:val="0"/>
              <w:rPr>
                <w:b/>
                <w:bCs/>
                <w:color w:val="000000"/>
              </w:rPr>
            </w:pPr>
            <w:r w:rsidRPr="00310BC2">
              <w:rPr>
                <w:b/>
                <w:bCs/>
                <w:color w:val="000000"/>
              </w:rPr>
              <w:t>Number of Responses per Respondent</w:t>
            </w:r>
          </w:p>
        </w:tc>
        <w:tc>
          <w:tcPr>
            <w:tcW w:w="1980" w:type="dxa"/>
            <w:shd w:val="clear" w:color="auto" w:fill="auto"/>
            <w:vAlign w:val="bottom"/>
          </w:tcPr>
          <w:p w:rsidR="001C3A27" w:rsidRPr="00310BC2" w:rsidP="005A6EA9" w14:paraId="5A86D3F0" w14:textId="77777777">
            <w:pPr>
              <w:widowControl w:val="0"/>
              <w:autoSpaceDE w:val="0"/>
              <w:autoSpaceDN w:val="0"/>
              <w:adjustRightInd w:val="0"/>
              <w:rPr>
                <w:b/>
                <w:bCs/>
                <w:color w:val="000000" w:themeColor="text1"/>
              </w:rPr>
            </w:pPr>
            <w:r w:rsidRPr="00310BC2">
              <w:rPr>
                <w:b/>
                <w:bCs/>
                <w:color w:val="000000" w:themeColor="text1"/>
              </w:rPr>
              <w:t>Average Burden per Response</w:t>
            </w:r>
          </w:p>
          <w:p w:rsidR="0024189D" w:rsidRPr="00310BC2" w:rsidP="005A6EA9" w14:paraId="7BC01F92" w14:textId="637354BD">
            <w:pPr>
              <w:widowControl w:val="0"/>
              <w:autoSpaceDE w:val="0"/>
              <w:autoSpaceDN w:val="0"/>
              <w:adjustRightInd w:val="0"/>
              <w:rPr>
                <w:b/>
                <w:bCs/>
                <w:color w:val="000000"/>
              </w:rPr>
            </w:pPr>
            <w:r w:rsidRPr="00310BC2">
              <w:rPr>
                <w:b/>
                <w:bCs/>
                <w:color w:val="000000" w:themeColor="text1"/>
              </w:rPr>
              <w:t>(in hours)</w:t>
            </w:r>
          </w:p>
        </w:tc>
        <w:tc>
          <w:tcPr>
            <w:tcW w:w="1343" w:type="dxa"/>
            <w:shd w:val="clear" w:color="auto" w:fill="auto"/>
            <w:vAlign w:val="bottom"/>
          </w:tcPr>
          <w:p w:rsidR="001C3A27" w:rsidRPr="00310BC2" w:rsidP="005A6EA9" w14:paraId="3BF53981" w14:textId="77777777">
            <w:pPr>
              <w:widowControl w:val="0"/>
              <w:tabs>
                <w:tab w:val="left" w:pos="0"/>
              </w:tabs>
              <w:autoSpaceDE w:val="0"/>
              <w:autoSpaceDN w:val="0"/>
              <w:adjustRightInd w:val="0"/>
              <w:rPr>
                <w:b/>
                <w:bCs/>
                <w:color w:val="000000"/>
              </w:rPr>
            </w:pPr>
            <w:r w:rsidRPr="00310BC2">
              <w:rPr>
                <w:b/>
                <w:bCs/>
                <w:color w:val="000000"/>
              </w:rPr>
              <w:t>Total Burden</w:t>
            </w:r>
          </w:p>
          <w:p w:rsidR="0024189D" w:rsidRPr="00310BC2" w:rsidP="005A6EA9" w14:paraId="14881808" w14:textId="0ED2DB7B">
            <w:pPr>
              <w:widowControl w:val="0"/>
              <w:tabs>
                <w:tab w:val="left" w:pos="0"/>
              </w:tabs>
              <w:autoSpaceDE w:val="0"/>
              <w:autoSpaceDN w:val="0"/>
              <w:adjustRightInd w:val="0"/>
              <w:rPr>
                <w:b/>
                <w:bCs/>
                <w:color w:val="000000"/>
              </w:rPr>
            </w:pPr>
            <w:r w:rsidRPr="00310BC2">
              <w:rPr>
                <w:b/>
                <w:bCs/>
                <w:color w:val="000000"/>
              </w:rPr>
              <w:t>(in hours)</w:t>
            </w:r>
          </w:p>
        </w:tc>
      </w:tr>
      <w:tr w14:paraId="3395AAAF" w14:textId="77777777" w:rsidTr="005A6EA9">
        <w:tblPrEx>
          <w:tblW w:w="9798" w:type="dxa"/>
          <w:tblLayout w:type="fixed"/>
          <w:tblLook w:val="04A0"/>
        </w:tblPrEx>
        <w:tc>
          <w:tcPr>
            <w:tcW w:w="1435" w:type="dxa"/>
            <w:shd w:val="clear" w:color="auto" w:fill="auto"/>
            <w:vAlign w:val="center"/>
          </w:tcPr>
          <w:p w:rsidR="00C368E0" w:rsidRPr="00310BC2" w:rsidP="005A6EA9" w14:paraId="6890AFBC" w14:textId="601DEC92">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C368E0" w:rsidRPr="00310BC2" w:rsidP="005A6EA9" w14:paraId="11B2B024" w14:textId="7BF9F12C">
            <w:pPr>
              <w:widowControl w:val="0"/>
              <w:tabs>
                <w:tab w:val="left" w:pos="0"/>
              </w:tabs>
              <w:autoSpaceDE w:val="0"/>
              <w:autoSpaceDN w:val="0"/>
              <w:adjustRightInd w:val="0"/>
              <w:rPr>
                <w:color w:val="000000"/>
              </w:rPr>
            </w:pPr>
            <w:r w:rsidRPr="00310BC2">
              <w:rPr>
                <w:color w:val="000000"/>
              </w:rPr>
              <w:t>Expression of Interest Form</w:t>
            </w:r>
          </w:p>
        </w:tc>
        <w:tc>
          <w:tcPr>
            <w:tcW w:w="1620" w:type="dxa"/>
            <w:shd w:val="clear" w:color="auto" w:fill="auto"/>
            <w:vAlign w:val="center"/>
          </w:tcPr>
          <w:p w:rsidR="00C368E0" w:rsidRPr="00310BC2" w:rsidP="005A6EA9" w14:paraId="0F1C1DB0" w14:textId="25A72C8C">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C368E0" w:rsidRPr="00310BC2" w:rsidP="005A6EA9" w14:paraId="44AB9CCA" w14:textId="4F19B4B5">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C368E0" w:rsidRPr="00310BC2" w:rsidP="005A6EA9" w14:paraId="06AABF89" w14:textId="2BCB5470">
            <w:pPr>
              <w:widowControl w:val="0"/>
              <w:autoSpaceDE w:val="0"/>
              <w:autoSpaceDN w:val="0"/>
              <w:adjustRightInd w:val="0"/>
              <w:jc w:val="center"/>
              <w:rPr>
                <w:color w:val="000000" w:themeColor="text1"/>
              </w:rPr>
            </w:pPr>
            <w:r w:rsidRPr="00310BC2">
              <w:rPr>
                <w:color w:val="000000" w:themeColor="text1"/>
              </w:rPr>
              <w:t>3/60</w:t>
            </w:r>
          </w:p>
        </w:tc>
        <w:tc>
          <w:tcPr>
            <w:tcW w:w="1343" w:type="dxa"/>
            <w:shd w:val="clear" w:color="auto" w:fill="auto"/>
            <w:vAlign w:val="center"/>
          </w:tcPr>
          <w:p w:rsidR="00C368E0" w:rsidRPr="00310BC2" w:rsidP="005A6EA9" w14:paraId="5F82AF8D" w14:textId="127F7684">
            <w:pPr>
              <w:widowControl w:val="0"/>
              <w:tabs>
                <w:tab w:val="left" w:pos="0"/>
              </w:tabs>
              <w:autoSpaceDE w:val="0"/>
              <w:autoSpaceDN w:val="0"/>
              <w:adjustRightInd w:val="0"/>
              <w:jc w:val="center"/>
              <w:rPr>
                <w:color w:val="000000"/>
              </w:rPr>
            </w:pPr>
            <w:r w:rsidRPr="00310BC2">
              <w:rPr>
                <w:color w:val="000000"/>
              </w:rPr>
              <w:t>3</w:t>
            </w:r>
          </w:p>
        </w:tc>
      </w:tr>
      <w:tr w14:paraId="75CA5138" w14:textId="77777777" w:rsidTr="005A6EA9">
        <w:tblPrEx>
          <w:tblW w:w="9798" w:type="dxa"/>
          <w:tblLayout w:type="fixed"/>
          <w:tblLook w:val="04A0"/>
        </w:tblPrEx>
        <w:tc>
          <w:tcPr>
            <w:tcW w:w="1435" w:type="dxa"/>
            <w:shd w:val="clear" w:color="auto" w:fill="auto"/>
            <w:vAlign w:val="center"/>
          </w:tcPr>
          <w:p w:rsidR="00456780" w:rsidRPr="00310BC2" w:rsidP="005A6EA9" w14:paraId="39ECFCE9" w14:textId="239AB941">
            <w:pPr>
              <w:widowControl w:val="0"/>
              <w:tabs>
                <w:tab w:val="left" w:pos="0"/>
              </w:tabs>
              <w:autoSpaceDE w:val="0"/>
              <w:autoSpaceDN w:val="0"/>
              <w:adjustRightInd w:val="0"/>
            </w:pPr>
            <w:r w:rsidRPr="00310BC2">
              <w:t>VM/AC personnel</w:t>
            </w:r>
          </w:p>
        </w:tc>
        <w:tc>
          <w:tcPr>
            <w:tcW w:w="1620" w:type="dxa"/>
            <w:shd w:val="clear" w:color="auto" w:fill="auto"/>
            <w:vAlign w:val="center"/>
          </w:tcPr>
          <w:p w:rsidR="00456780" w:rsidRPr="00310BC2" w:rsidP="005A6EA9" w14:paraId="53AF3CED" w14:textId="31369228">
            <w:pPr>
              <w:widowControl w:val="0"/>
              <w:tabs>
                <w:tab w:val="left" w:pos="0"/>
              </w:tabs>
              <w:autoSpaceDE w:val="0"/>
              <w:autoSpaceDN w:val="0"/>
              <w:adjustRightInd w:val="0"/>
              <w:rPr>
                <w:color w:val="000000"/>
              </w:rPr>
            </w:pPr>
            <w:r w:rsidRPr="00310BC2">
              <w:rPr>
                <w:color w:val="000000"/>
              </w:rPr>
              <w:t>Informed Consent</w:t>
            </w:r>
          </w:p>
        </w:tc>
        <w:tc>
          <w:tcPr>
            <w:tcW w:w="1620" w:type="dxa"/>
            <w:shd w:val="clear" w:color="auto" w:fill="auto"/>
            <w:vAlign w:val="center"/>
          </w:tcPr>
          <w:p w:rsidR="00456780" w:rsidRPr="00310BC2" w:rsidP="005A6EA9" w14:paraId="04C1387A" w14:textId="4D577591">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456780" w:rsidRPr="00310BC2" w:rsidP="005A6EA9" w14:paraId="03A054C6" w14:textId="0AC22214">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456780" w:rsidRPr="00310BC2" w:rsidP="005A6EA9" w14:paraId="38E0E91A" w14:textId="0CFC7FB9">
            <w:pPr>
              <w:widowControl w:val="0"/>
              <w:autoSpaceDE w:val="0"/>
              <w:autoSpaceDN w:val="0"/>
              <w:adjustRightInd w:val="0"/>
              <w:jc w:val="center"/>
              <w:rPr>
                <w:color w:val="000000" w:themeColor="text1"/>
              </w:rPr>
            </w:pPr>
            <w:r w:rsidRPr="00310BC2">
              <w:rPr>
                <w:color w:val="000000" w:themeColor="text1"/>
              </w:rPr>
              <w:t>15/60</w:t>
            </w:r>
          </w:p>
        </w:tc>
        <w:tc>
          <w:tcPr>
            <w:tcW w:w="1343" w:type="dxa"/>
            <w:shd w:val="clear" w:color="auto" w:fill="auto"/>
            <w:vAlign w:val="center"/>
          </w:tcPr>
          <w:p w:rsidR="00456780" w:rsidRPr="00310BC2" w:rsidP="005A6EA9" w14:paraId="275B54A0" w14:textId="797562F5">
            <w:pPr>
              <w:widowControl w:val="0"/>
              <w:tabs>
                <w:tab w:val="left" w:pos="0"/>
              </w:tabs>
              <w:autoSpaceDE w:val="0"/>
              <w:autoSpaceDN w:val="0"/>
              <w:adjustRightInd w:val="0"/>
              <w:jc w:val="center"/>
              <w:rPr>
                <w:color w:val="000000"/>
              </w:rPr>
            </w:pPr>
            <w:r w:rsidRPr="00310BC2">
              <w:rPr>
                <w:color w:val="000000"/>
              </w:rPr>
              <w:t>13</w:t>
            </w:r>
          </w:p>
        </w:tc>
      </w:tr>
      <w:tr w14:paraId="47417D65" w14:textId="77777777" w:rsidTr="005A6EA9">
        <w:tblPrEx>
          <w:tblW w:w="9798" w:type="dxa"/>
          <w:tblLayout w:type="fixed"/>
          <w:tblLook w:val="04A0"/>
        </w:tblPrEx>
        <w:tc>
          <w:tcPr>
            <w:tcW w:w="1435" w:type="dxa"/>
            <w:shd w:val="clear" w:color="auto" w:fill="auto"/>
            <w:vAlign w:val="center"/>
          </w:tcPr>
          <w:p w:rsidR="0024189D" w:rsidRPr="00310BC2" w:rsidP="005A6EA9" w14:paraId="00E75B61" w14:textId="77777777">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24189D" w:rsidRPr="00310BC2" w:rsidP="005A6EA9" w14:paraId="46A94FC3" w14:textId="77777777">
            <w:pPr>
              <w:widowControl w:val="0"/>
              <w:tabs>
                <w:tab w:val="left" w:pos="0"/>
              </w:tabs>
              <w:autoSpaceDE w:val="0"/>
              <w:autoSpaceDN w:val="0"/>
              <w:adjustRightInd w:val="0"/>
              <w:rPr>
                <w:color w:val="000000"/>
              </w:rPr>
            </w:pPr>
            <w:r w:rsidRPr="00310BC2">
              <w:rPr>
                <w:color w:val="000000"/>
              </w:rPr>
              <w:t>Baseline Questionnaire</w:t>
            </w:r>
          </w:p>
        </w:tc>
        <w:tc>
          <w:tcPr>
            <w:tcW w:w="1620" w:type="dxa"/>
            <w:shd w:val="clear" w:color="auto" w:fill="auto"/>
            <w:vAlign w:val="center"/>
          </w:tcPr>
          <w:p w:rsidR="0024189D" w:rsidRPr="00310BC2" w:rsidP="005A6EA9" w14:paraId="6865B62B" w14:textId="07A8A115">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24189D" w:rsidRPr="00310BC2" w:rsidP="005A6EA9" w14:paraId="210A7C1F" w14:textId="77777777">
            <w:pPr>
              <w:widowControl w:val="0"/>
              <w:tabs>
                <w:tab w:val="left" w:pos="0"/>
              </w:tabs>
              <w:autoSpaceDE w:val="0"/>
              <w:autoSpaceDN w:val="0"/>
              <w:adjustRightInd w:val="0"/>
              <w:jc w:val="center"/>
              <w:rPr>
                <w:color w:val="000000"/>
              </w:rPr>
            </w:pPr>
            <w:r w:rsidRPr="00310BC2">
              <w:rPr>
                <w:color w:val="000000"/>
              </w:rPr>
              <w:t>1</w:t>
            </w:r>
          </w:p>
        </w:tc>
        <w:tc>
          <w:tcPr>
            <w:tcW w:w="1980" w:type="dxa"/>
            <w:shd w:val="clear" w:color="auto" w:fill="auto"/>
            <w:vAlign w:val="center"/>
          </w:tcPr>
          <w:p w:rsidR="0024189D" w:rsidRPr="00310BC2" w:rsidP="005A6EA9" w14:paraId="2A486557" w14:textId="77777777">
            <w:pPr>
              <w:widowControl w:val="0"/>
              <w:tabs>
                <w:tab w:val="left" w:pos="0"/>
              </w:tabs>
              <w:autoSpaceDE w:val="0"/>
              <w:autoSpaceDN w:val="0"/>
              <w:adjustRightInd w:val="0"/>
              <w:jc w:val="center"/>
              <w:rPr>
                <w:color w:val="000000"/>
              </w:rPr>
            </w:pPr>
            <w:r w:rsidRPr="00310BC2">
              <w:rPr>
                <w:color w:val="000000"/>
              </w:rPr>
              <w:t>28/60</w:t>
            </w:r>
          </w:p>
        </w:tc>
        <w:tc>
          <w:tcPr>
            <w:tcW w:w="1343" w:type="dxa"/>
            <w:shd w:val="clear" w:color="auto" w:fill="auto"/>
            <w:vAlign w:val="center"/>
          </w:tcPr>
          <w:p w:rsidR="0024189D" w:rsidRPr="00310BC2" w:rsidP="005A6EA9" w14:paraId="3664774C" w14:textId="364E62B8">
            <w:pPr>
              <w:widowControl w:val="0"/>
              <w:tabs>
                <w:tab w:val="left" w:pos="0"/>
              </w:tabs>
              <w:autoSpaceDE w:val="0"/>
              <w:autoSpaceDN w:val="0"/>
              <w:adjustRightInd w:val="0"/>
              <w:jc w:val="center"/>
              <w:rPr>
                <w:color w:val="000000"/>
              </w:rPr>
            </w:pPr>
            <w:r w:rsidRPr="00310BC2">
              <w:rPr>
                <w:color w:val="000000"/>
              </w:rPr>
              <w:t>24</w:t>
            </w:r>
          </w:p>
        </w:tc>
      </w:tr>
      <w:tr w14:paraId="650520C3" w14:textId="77777777" w:rsidTr="005A6EA9">
        <w:tblPrEx>
          <w:tblW w:w="9798" w:type="dxa"/>
          <w:tblLayout w:type="fixed"/>
          <w:tblLook w:val="04A0"/>
        </w:tblPrEx>
        <w:tc>
          <w:tcPr>
            <w:tcW w:w="1435" w:type="dxa"/>
            <w:shd w:val="clear" w:color="auto" w:fill="auto"/>
            <w:vAlign w:val="center"/>
          </w:tcPr>
          <w:p w:rsidR="0024189D" w:rsidRPr="00310BC2" w:rsidP="005A6EA9" w14:paraId="36745CEA" w14:textId="77777777">
            <w:pPr>
              <w:widowControl w:val="0"/>
              <w:tabs>
                <w:tab w:val="left" w:pos="0"/>
              </w:tabs>
              <w:autoSpaceDE w:val="0"/>
              <w:autoSpaceDN w:val="0"/>
              <w:adjustRightInd w:val="0"/>
              <w:rPr>
                <w:color w:val="000000"/>
              </w:rPr>
            </w:pPr>
            <w:r w:rsidRPr="00310BC2">
              <w:t>VM/AC personnel</w:t>
            </w:r>
          </w:p>
        </w:tc>
        <w:tc>
          <w:tcPr>
            <w:tcW w:w="1620" w:type="dxa"/>
            <w:shd w:val="clear" w:color="auto" w:fill="auto"/>
            <w:vAlign w:val="center"/>
          </w:tcPr>
          <w:p w:rsidR="0024189D" w:rsidRPr="00310BC2" w:rsidP="005A6EA9" w14:paraId="291D52F4" w14:textId="77777777">
            <w:pPr>
              <w:widowControl w:val="0"/>
              <w:tabs>
                <w:tab w:val="left" w:pos="0"/>
              </w:tabs>
              <w:autoSpaceDE w:val="0"/>
              <w:autoSpaceDN w:val="0"/>
              <w:adjustRightInd w:val="0"/>
              <w:rPr>
                <w:color w:val="000000"/>
              </w:rPr>
            </w:pPr>
            <w:r w:rsidRPr="00310BC2">
              <w:rPr>
                <w:color w:val="000000"/>
              </w:rPr>
              <w:t>Post-shift Questionnaire</w:t>
            </w:r>
          </w:p>
        </w:tc>
        <w:tc>
          <w:tcPr>
            <w:tcW w:w="1620" w:type="dxa"/>
            <w:shd w:val="clear" w:color="auto" w:fill="auto"/>
            <w:vAlign w:val="center"/>
          </w:tcPr>
          <w:p w:rsidR="0024189D" w:rsidRPr="00310BC2" w:rsidP="005A6EA9" w14:paraId="65041B3A" w14:textId="4BA9EC7C">
            <w:pPr>
              <w:widowControl w:val="0"/>
              <w:tabs>
                <w:tab w:val="left" w:pos="0"/>
              </w:tabs>
              <w:autoSpaceDE w:val="0"/>
              <w:autoSpaceDN w:val="0"/>
              <w:adjustRightInd w:val="0"/>
              <w:jc w:val="center"/>
              <w:rPr>
                <w:color w:val="000000"/>
              </w:rPr>
            </w:pPr>
            <w:r w:rsidRPr="00310BC2">
              <w:rPr>
                <w:color w:val="000000"/>
              </w:rPr>
              <w:t>50</w:t>
            </w:r>
          </w:p>
        </w:tc>
        <w:tc>
          <w:tcPr>
            <w:tcW w:w="1800" w:type="dxa"/>
            <w:shd w:val="clear" w:color="auto" w:fill="auto"/>
            <w:vAlign w:val="center"/>
          </w:tcPr>
          <w:p w:rsidR="0024189D" w:rsidRPr="00310BC2" w:rsidP="005A6EA9" w14:paraId="69956FF0" w14:textId="77777777">
            <w:pPr>
              <w:widowControl w:val="0"/>
              <w:tabs>
                <w:tab w:val="left" w:pos="0"/>
              </w:tabs>
              <w:autoSpaceDE w:val="0"/>
              <w:autoSpaceDN w:val="0"/>
              <w:adjustRightInd w:val="0"/>
              <w:jc w:val="center"/>
              <w:rPr>
                <w:color w:val="000000"/>
              </w:rPr>
            </w:pPr>
            <w:r w:rsidRPr="00310BC2">
              <w:rPr>
                <w:color w:val="000000"/>
              </w:rPr>
              <w:t>10</w:t>
            </w:r>
          </w:p>
        </w:tc>
        <w:tc>
          <w:tcPr>
            <w:tcW w:w="1980" w:type="dxa"/>
            <w:shd w:val="clear" w:color="auto" w:fill="auto"/>
            <w:vAlign w:val="center"/>
          </w:tcPr>
          <w:p w:rsidR="0024189D" w:rsidRPr="00310BC2" w:rsidP="005A6EA9" w14:paraId="24F42B4C" w14:textId="77777777">
            <w:pPr>
              <w:widowControl w:val="0"/>
              <w:tabs>
                <w:tab w:val="left" w:pos="0"/>
              </w:tabs>
              <w:autoSpaceDE w:val="0"/>
              <w:autoSpaceDN w:val="0"/>
              <w:adjustRightInd w:val="0"/>
              <w:jc w:val="center"/>
              <w:rPr>
                <w:color w:val="000000"/>
              </w:rPr>
            </w:pPr>
            <w:r w:rsidRPr="00310BC2">
              <w:rPr>
                <w:color w:val="000000"/>
              </w:rPr>
              <w:t>8/60</w:t>
            </w:r>
          </w:p>
        </w:tc>
        <w:tc>
          <w:tcPr>
            <w:tcW w:w="1343" w:type="dxa"/>
            <w:shd w:val="clear" w:color="auto" w:fill="auto"/>
            <w:vAlign w:val="center"/>
          </w:tcPr>
          <w:p w:rsidR="0024189D" w:rsidRPr="00310BC2" w:rsidP="005A6EA9" w14:paraId="462DC5AC" w14:textId="46F02C35">
            <w:pPr>
              <w:widowControl w:val="0"/>
              <w:tabs>
                <w:tab w:val="left" w:pos="0"/>
              </w:tabs>
              <w:autoSpaceDE w:val="0"/>
              <w:autoSpaceDN w:val="0"/>
              <w:adjustRightInd w:val="0"/>
              <w:jc w:val="center"/>
              <w:rPr>
                <w:color w:val="000000"/>
              </w:rPr>
            </w:pPr>
            <w:r w:rsidRPr="00310BC2">
              <w:rPr>
                <w:color w:val="000000"/>
              </w:rPr>
              <w:t>67</w:t>
            </w:r>
          </w:p>
        </w:tc>
      </w:tr>
      <w:tr w14:paraId="658D8E35" w14:textId="77777777" w:rsidTr="005A6EA9">
        <w:tblPrEx>
          <w:tblW w:w="9798" w:type="dxa"/>
          <w:tblLayout w:type="fixed"/>
          <w:tblLook w:val="04A0"/>
        </w:tblPrEx>
        <w:tc>
          <w:tcPr>
            <w:tcW w:w="1435" w:type="dxa"/>
            <w:shd w:val="clear" w:color="auto" w:fill="auto"/>
          </w:tcPr>
          <w:p w:rsidR="009E4735" w:rsidRPr="00310BC2" w:rsidP="009E4735" w14:paraId="10C6CB69" w14:textId="77777777">
            <w:pPr>
              <w:widowControl w:val="0"/>
              <w:tabs>
                <w:tab w:val="left" w:pos="0"/>
              </w:tabs>
              <w:autoSpaceDE w:val="0"/>
              <w:autoSpaceDN w:val="0"/>
              <w:adjustRightInd w:val="0"/>
              <w:rPr>
                <w:color w:val="000000"/>
              </w:rPr>
            </w:pPr>
            <w:bookmarkStart w:id="17" w:name="_Hlk144560348"/>
            <w:r w:rsidRPr="00310BC2">
              <w:rPr>
                <w:color w:val="000000"/>
              </w:rPr>
              <w:t>Total</w:t>
            </w:r>
          </w:p>
        </w:tc>
        <w:tc>
          <w:tcPr>
            <w:tcW w:w="7020" w:type="dxa"/>
            <w:gridSpan w:val="4"/>
            <w:shd w:val="clear" w:color="auto" w:fill="auto"/>
          </w:tcPr>
          <w:p w:rsidR="009E4735" w:rsidRPr="00310BC2" w:rsidP="000846C3" w14:paraId="4C85D085" w14:textId="77777777">
            <w:pPr>
              <w:widowControl w:val="0"/>
              <w:tabs>
                <w:tab w:val="left" w:pos="0"/>
              </w:tabs>
              <w:autoSpaceDE w:val="0"/>
              <w:autoSpaceDN w:val="0"/>
              <w:adjustRightInd w:val="0"/>
              <w:jc w:val="center"/>
              <w:rPr>
                <w:color w:val="000000"/>
              </w:rPr>
            </w:pPr>
          </w:p>
        </w:tc>
        <w:tc>
          <w:tcPr>
            <w:tcW w:w="1343" w:type="dxa"/>
            <w:shd w:val="clear" w:color="auto" w:fill="auto"/>
          </w:tcPr>
          <w:p w:rsidR="009E4735" w:rsidRPr="00310BC2" w:rsidP="000846C3" w14:paraId="449D6737" w14:textId="574F47F7">
            <w:pPr>
              <w:widowControl w:val="0"/>
              <w:tabs>
                <w:tab w:val="left" w:pos="0"/>
              </w:tabs>
              <w:autoSpaceDE w:val="0"/>
              <w:autoSpaceDN w:val="0"/>
              <w:adjustRightInd w:val="0"/>
              <w:jc w:val="center"/>
              <w:rPr>
                <w:color w:val="000000"/>
              </w:rPr>
            </w:pPr>
            <w:r w:rsidRPr="00310BC2">
              <w:rPr>
                <w:color w:val="000000"/>
              </w:rPr>
              <w:t>107</w:t>
            </w:r>
          </w:p>
        </w:tc>
      </w:tr>
      <w:bookmarkEnd w:id="17"/>
    </w:tbl>
    <w:p w:rsidR="00155C03" w:rsidRPr="00310BC2" w:rsidP="00B247A8" w14:paraId="7DC86945" w14:textId="77777777"/>
    <w:p w:rsidR="00155C03" w:rsidRPr="00310BC2" w:rsidP="00155C03" w14:paraId="4F9B4032" w14:textId="22390990">
      <w:pPr>
        <w:rPr>
          <w:i/>
          <w:iCs/>
        </w:rPr>
      </w:pPr>
      <w:r w:rsidRPr="00310BC2">
        <w:rPr>
          <w:i/>
          <w:iCs/>
        </w:rPr>
        <w:t>Estimates of Annualized Burden Costs</w:t>
      </w:r>
    </w:p>
    <w:p w:rsidR="00397FF7" w:rsidRPr="00310BC2" w:rsidP="00B247A8" w14:paraId="0C8E4F19" w14:textId="1B5F7EA8">
      <w:pPr>
        <w:rPr>
          <w:bCs/>
        </w:rPr>
      </w:pPr>
      <w:r w:rsidRPr="00310BC2">
        <w:rPr>
          <w:bCs/>
        </w:rPr>
        <w:t xml:space="preserve">Based on the U.S. Department of Labor’s Occupational Employment </w:t>
      </w:r>
      <w:r w:rsidRPr="00310BC2" w:rsidR="00CB4033">
        <w:rPr>
          <w:bCs/>
        </w:rPr>
        <w:t>and Wage Statistics (May 2023),</w:t>
      </w:r>
      <w:r w:rsidRPr="00310BC2">
        <w:rPr>
          <w:bCs/>
        </w:rPr>
        <w:t xml:space="preserve"> the updated annual average wage for </w:t>
      </w:r>
      <w:r w:rsidRPr="00310BC2" w:rsidR="006B5798">
        <w:rPr>
          <w:bCs/>
        </w:rPr>
        <w:t>V</w:t>
      </w:r>
      <w:r w:rsidRPr="00310BC2">
        <w:rPr>
          <w:bCs/>
        </w:rPr>
        <w:t>eterinarians</w:t>
      </w:r>
      <w:r w:rsidRPr="00310BC2" w:rsidR="00F50F5E">
        <w:rPr>
          <w:bCs/>
        </w:rPr>
        <w:t xml:space="preserve"> is </w:t>
      </w:r>
      <w:r w:rsidRPr="00310BC2" w:rsidR="00AE1A77">
        <w:rPr>
          <w:bCs/>
        </w:rPr>
        <w:t>$</w:t>
      </w:r>
      <w:r w:rsidRPr="00310BC2" w:rsidR="00342E42">
        <w:rPr>
          <w:bCs/>
        </w:rPr>
        <w:t>136,300</w:t>
      </w:r>
      <w:r w:rsidRPr="00310BC2" w:rsidR="00BD7063">
        <w:rPr>
          <w:bCs/>
        </w:rPr>
        <w:t xml:space="preserve"> (</w:t>
      </w:r>
      <w:r w:rsidRPr="00310BC2" w:rsidR="003C4DFE">
        <w:rPr>
          <w:bCs/>
        </w:rPr>
        <w:t xml:space="preserve">average </w:t>
      </w:r>
      <w:r w:rsidRPr="00310BC2" w:rsidR="00BD7063">
        <w:rPr>
          <w:bCs/>
        </w:rPr>
        <w:t xml:space="preserve">hourly wage </w:t>
      </w:r>
      <w:r w:rsidRPr="00310BC2" w:rsidR="00AE1A77">
        <w:rPr>
          <w:bCs/>
        </w:rPr>
        <w:t>$</w:t>
      </w:r>
      <w:r w:rsidRPr="00310BC2" w:rsidR="00342E42">
        <w:rPr>
          <w:bCs/>
        </w:rPr>
        <w:t>65.</w:t>
      </w:r>
      <w:r w:rsidRPr="00310BC2" w:rsidR="003F26C4">
        <w:rPr>
          <w:bCs/>
        </w:rPr>
        <w:t>53</w:t>
      </w:r>
      <w:r w:rsidRPr="00310BC2" w:rsidR="00BD7063">
        <w:rPr>
          <w:bCs/>
        </w:rPr>
        <w:t>)</w:t>
      </w:r>
      <w:r w:rsidRPr="00310BC2" w:rsidR="00AE1A77">
        <w:rPr>
          <w:bCs/>
        </w:rPr>
        <w:t xml:space="preserve">, for </w:t>
      </w:r>
      <w:r w:rsidRPr="00310BC2" w:rsidR="003C4DFE">
        <w:rPr>
          <w:bCs/>
        </w:rPr>
        <w:t>Veterinary Technologists and Technicians is $</w:t>
      </w:r>
      <w:r w:rsidRPr="00310BC2" w:rsidR="003F26C4">
        <w:rPr>
          <w:bCs/>
        </w:rPr>
        <w:t>44,040</w:t>
      </w:r>
      <w:r w:rsidRPr="00310BC2" w:rsidR="003C4DFE">
        <w:rPr>
          <w:bCs/>
        </w:rPr>
        <w:t xml:space="preserve"> (average hourly wage $</w:t>
      </w:r>
      <w:r w:rsidRPr="00310BC2" w:rsidR="003F26C4">
        <w:rPr>
          <w:bCs/>
        </w:rPr>
        <w:t>21.18</w:t>
      </w:r>
      <w:r w:rsidRPr="00310BC2" w:rsidR="003C4DFE">
        <w:rPr>
          <w:bCs/>
        </w:rPr>
        <w:t xml:space="preserve">), and for </w:t>
      </w:r>
      <w:r w:rsidRPr="00310BC2" w:rsidR="00B1412A">
        <w:rPr>
          <w:bCs/>
        </w:rPr>
        <w:t>Veterinary Assistants and Laboratory Animal Caretakers is $</w:t>
      </w:r>
      <w:r w:rsidRPr="00310BC2" w:rsidR="003F26C4">
        <w:rPr>
          <w:bCs/>
        </w:rPr>
        <w:t>37,310</w:t>
      </w:r>
      <w:r w:rsidRPr="00310BC2" w:rsidR="006C794E">
        <w:rPr>
          <w:bCs/>
        </w:rPr>
        <w:t xml:space="preserve"> (average hourly wage $</w:t>
      </w:r>
      <w:r w:rsidRPr="00310BC2" w:rsidR="003F26C4">
        <w:rPr>
          <w:bCs/>
        </w:rPr>
        <w:t>17.94</w:t>
      </w:r>
      <w:r w:rsidRPr="00310BC2" w:rsidR="00067D4D">
        <w:rPr>
          <w:bCs/>
        </w:rPr>
        <w:t>).</w:t>
      </w:r>
      <w:r w:rsidRPr="00310BC2" w:rsidR="00ED19DF">
        <w:rPr>
          <w:bCs/>
        </w:rPr>
        <w:t xml:space="preserve"> </w:t>
      </w:r>
      <w:r w:rsidRPr="00310BC2" w:rsidR="0084078A">
        <w:rPr>
          <w:bCs/>
        </w:rPr>
        <w:t>The distribution of respondents among these three occupations (Veterinarians, Veterinary Technologists and Technicians, and Veterinary Assistants and Laboratory Animal Caretakers) is unknown and not possible to estimate</w:t>
      </w:r>
      <w:r w:rsidRPr="00310BC2" w:rsidR="002F551B">
        <w:rPr>
          <w:bCs/>
        </w:rPr>
        <w:t>. Therefore, the average of these three occupations’ average hourly wages</w:t>
      </w:r>
      <w:r w:rsidRPr="00310BC2" w:rsidR="00C1292B">
        <w:rPr>
          <w:bCs/>
        </w:rPr>
        <w:t xml:space="preserve"> was </w:t>
      </w:r>
      <w:r w:rsidRPr="00310BC2" w:rsidR="007E4D46">
        <w:rPr>
          <w:bCs/>
        </w:rPr>
        <w:t>calculated</w:t>
      </w:r>
      <w:r w:rsidRPr="00310BC2" w:rsidR="002F551B">
        <w:rPr>
          <w:bCs/>
        </w:rPr>
        <w:t xml:space="preserve"> as: ($65.53 + $21.18 + $17.94) /3 = $</w:t>
      </w:r>
      <w:r w:rsidRPr="00310BC2" w:rsidR="000F2592">
        <w:rPr>
          <w:bCs/>
        </w:rPr>
        <w:t>34.88.</w:t>
      </w:r>
      <w:r w:rsidRPr="00310BC2" w:rsidR="00C05225">
        <w:rPr>
          <w:bCs/>
        </w:rPr>
        <w:t xml:space="preserve"> </w:t>
      </w:r>
    </w:p>
    <w:p w:rsidR="00FA151C" w:rsidRPr="00310BC2" w:rsidP="00B247A8" w14:paraId="66F0581D" w14:textId="77777777">
      <w:pPr>
        <w:rPr>
          <w:b/>
        </w:rPr>
      </w:pPr>
    </w:p>
    <w:p w:rsidR="00FA151C" w:rsidRPr="00310BC2" w:rsidP="00FA151C" w14:paraId="2D714413" w14:textId="0298B131">
      <w:pPr>
        <w:rPr>
          <w:b/>
        </w:rPr>
      </w:pPr>
      <w:r w:rsidRPr="00310BC2">
        <w:rPr>
          <w:b/>
        </w:rPr>
        <w:t>Table A12.2</w:t>
      </w:r>
      <w:r w:rsidRPr="00310BC2" w:rsidR="00F406E8">
        <w:rPr>
          <w:b/>
        </w:rPr>
        <w:t>.</w:t>
      </w:r>
      <w:r w:rsidRPr="00310BC2">
        <w:rPr>
          <w:b/>
        </w:rPr>
        <w:t xml:space="preserve"> Estimated Annualized Cost Burden to Respondents </w:t>
      </w:r>
    </w:p>
    <w:tbl>
      <w:tblPr>
        <w:tblW w:w="9795" w:type="dxa"/>
        <w:tblBorders>
          <w:top w:val="outset" w:sz="6" w:space="0" w:color="auto"/>
          <w:left w:val="outset" w:sz="6" w:space="0" w:color="auto"/>
          <w:bottom w:val="outset" w:sz="6" w:space="0" w:color="auto"/>
          <w:right w:val="outset" w:sz="6" w:space="0" w:color="auto"/>
        </w:tblBorders>
        <w:tblLook w:val="04A0"/>
      </w:tblPr>
      <w:tblGrid>
        <w:gridCol w:w="1490"/>
        <w:gridCol w:w="1922"/>
        <w:gridCol w:w="1710"/>
        <w:gridCol w:w="2430"/>
        <w:gridCol w:w="2243"/>
      </w:tblGrid>
      <w:tr w14:paraId="7ED9CBAF" w14:textId="77777777" w:rsidTr="004A36D5">
        <w:tblPrEx>
          <w:tblW w:w="9795" w:type="dxa"/>
          <w:tblBorders>
            <w:top w:val="outset" w:sz="6" w:space="0" w:color="auto"/>
            <w:left w:val="outset" w:sz="6" w:space="0" w:color="auto"/>
            <w:bottom w:val="outset" w:sz="6" w:space="0" w:color="auto"/>
            <w:right w:val="outset" w:sz="6" w:space="0" w:color="auto"/>
          </w:tblBorders>
          <w:tblLook w:val="04A0"/>
        </w:tblPrEx>
        <w:tc>
          <w:tcPr>
            <w:tcW w:w="149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4DEF92BF" w14:textId="03FFCFFE">
            <w:pPr>
              <w:spacing w:line="256" w:lineRule="auto"/>
              <w:rPr>
                <w:b/>
              </w:rPr>
            </w:pPr>
            <w:r w:rsidRPr="00310BC2">
              <w:rPr>
                <w:b/>
              </w:rPr>
              <w:t xml:space="preserve">Type of </w:t>
            </w:r>
            <w:r w:rsidRPr="00310BC2">
              <w:rPr>
                <w:b/>
              </w:rPr>
              <w:t>Respondent </w:t>
            </w:r>
          </w:p>
        </w:tc>
        <w:tc>
          <w:tcPr>
            <w:tcW w:w="1922"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7ADD8505" w14:textId="77777777">
            <w:pPr>
              <w:spacing w:line="256" w:lineRule="auto"/>
              <w:rPr>
                <w:b/>
              </w:rPr>
            </w:pPr>
            <w:r w:rsidRPr="00310BC2">
              <w:rPr>
                <w:b/>
              </w:rPr>
              <w:t>Form Name </w:t>
            </w:r>
          </w:p>
        </w:tc>
        <w:tc>
          <w:tcPr>
            <w:tcW w:w="171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1F4516A4" w14:textId="4433D9A3">
            <w:pPr>
              <w:spacing w:line="256" w:lineRule="auto"/>
              <w:rPr>
                <w:b/>
              </w:rPr>
            </w:pPr>
            <w:r w:rsidRPr="00310BC2">
              <w:rPr>
                <w:b/>
              </w:rPr>
              <w:t xml:space="preserve">Total </w:t>
            </w:r>
            <w:r w:rsidRPr="00310BC2" w:rsidR="003F4F91">
              <w:rPr>
                <w:b/>
              </w:rPr>
              <w:t>Burden Hours</w:t>
            </w:r>
            <w:r w:rsidRPr="00310BC2">
              <w:rPr>
                <w:b/>
              </w:rPr>
              <w:t> </w:t>
            </w:r>
          </w:p>
        </w:tc>
        <w:tc>
          <w:tcPr>
            <w:tcW w:w="2430"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388254F0" w14:textId="3D37D3F0">
            <w:pPr>
              <w:spacing w:line="256" w:lineRule="auto"/>
              <w:rPr>
                <w:b/>
              </w:rPr>
            </w:pPr>
            <w:r w:rsidRPr="00310BC2">
              <w:rPr>
                <w:b/>
              </w:rPr>
              <w:t xml:space="preserve">Hourly </w:t>
            </w:r>
            <w:r w:rsidRPr="00310BC2" w:rsidR="0062098C">
              <w:rPr>
                <w:b/>
              </w:rPr>
              <w:t>W</w:t>
            </w:r>
            <w:r w:rsidRPr="00310BC2">
              <w:rPr>
                <w:b/>
              </w:rPr>
              <w:t xml:space="preserve">age </w:t>
            </w:r>
            <w:r w:rsidRPr="00310BC2" w:rsidR="0062098C">
              <w:rPr>
                <w:b/>
              </w:rPr>
              <w:t>R</w:t>
            </w:r>
            <w:r w:rsidRPr="00310BC2">
              <w:rPr>
                <w:b/>
              </w:rPr>
              <w:t>ate*</w:t>
            </w:r>
          </w:p>
        </w:tc>
        <w:tc>
          <w:tcPr>
            <w:tcW w:w="2243" w:type="dxa"/>
            <w:tcBorders>
              <w:top w:val="single" w:sz="6" w:space="0" w:color="auto"/>
              <w:left w:val="single" w:sz="6" w:space="0" w:color="auto"/>
              <w:bottom w:val="single" w:sz="6" w:space="0" w:color="auto"/>
              <w:right w:val="single" w:sz="6" w:space="0" w:color="auto"/>
            </w:tcBorders>
            <w:vAlign w:val="center"/>
            <w:hideMark/>
          </w:tcPr>
          <w:p w:rsidR="00FA151C" w:rsidRPr="00310BC2" w:rsidP="005A6EA9" w14:paraId="7B016056" w14:textId="05579D73">
            <w:pPr>
              <w:spacing w:line="256" w:lineRule="auto"/>
              <w:rPr>
                <w:b/>
              </w:rPr>
            </w:pPr>
            <w:r w:rsidRPr="00310BC2">
              <w:rPr>
                <w:b/>
              </w:rPr>
              <w:t xml:space="preserve">Total </w:t>
            </w:r>
            <w:r w:rsidRPr="00310BC2" w:rsidR="0062098C">
              <w:rPr>
                <w:b/>
              </w:rPr>
              <w:t>R</w:t>
            </w:r>
            <w:r w:rsidRPr="00310BC2">
              <w:rPr>
                <w:b/>
              </w:rPr>
              <w:t xml:space="preserve">espondent </w:t>
            </w:r>
            <w:r w:rsidRPr="00310BC2" w:rsidR="0062098C">
              <w:rPr>
                <w:b/>
              </w:rPr>
              <w:t>C</w:t>
            </w:r>
            <w:r w:rsidRPr="00310BC2">
              <w:rPr>
                <w:b/>
              </w:rPr>
              <w:t>ost</w:t>
            </w:r>
            <w:r w:rsidRPr="00310BC2" w:rsidR="0062098C">
              <w:rPr>
                <w:b/>
              </w:rPr>
              <w:t>s</w:t>
            </w:r>
          </w:p>
        </w:tc>
      </w:tr>
      <w:tr w14:paraId="4D24DDBD" w14:textId="77777777" w:rsidTr="004A36D5">
        <w:tblPrEx>
          <w:tblW w:w="9795" w:type="dxa"/>
          <w:tblLook w:val="04A0"/>
        </w:tblPrEx>
        <w:trPr>
          <w:trHeight w:val="696"/>
        </w:trPr>
        <w:tc>
          <w:tcPr>
            <w:tcW w:w="1490" w:type="dxa"/>
            <w:vMerge w:val="restart"/>
            <w:tcBorders>
              <w:top w:val="single" w:sz="6" w:space="0" w:color="auto"/>
              <w:left w:val="single" w:sz="6" w:space="0" w:color="auto"/>
              <w:bottom w:val="single" w:sz="6" w:space="0" w:color="auto"/>
              <w:right w:val="single" w:sz="6" w:space="0" w:color="auto"/>
            </w:tcBorders>
            <w:vAlign w:val="center"/>
          </w:tcPr>
          <w:p w:rsidR="001503E4" w:rsidRPr="00310BC2" w:rsidP="005A6EA9" w14:paraId="3928DCE5" w14:textId="145D6181">
            <w:pPr>
              <w:spacing w:line="256" w:lineRule="auto"/>
              <w:rPr>
                <w:bCs/>
              </w:rPr>
            </w:pPr>
            <w:r w:rsidRPr="00310BC2">
              <w:t>VM/AC personnel</w:t>
            </w: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6FAF0173" w14:textId="6D75A6FE">
            <w:pPr>
              <w:spacing w:line="256" w:lineRule="auto"/>
              <w:rPr>
                <w:bCs/>
              </w:rPr>
            </w:pPr>
            <w:r w:rsidRPr="00310BC2">
              <w:rPr>
                <w:color w:val="000000"/>
              </w:rPr>
              <w:t>Expression of Interest Form</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27D784D3" w14:textId="6F89E84A">
            <w:pPr>
              <w:spacing w:line="256" w:lineRule="auto"/>
              <w:rPr>
                <w:bCs/>
              </w:rPr>
            </w:pPr>
            <w:r w:rsidRPr="00310BC2">
              <w:rPr>
                <w:bCs/>
              </w:rPr>
              <w:t>3</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20F69CC" w14:textId="0AF442ED">
            <w:pPr>
              <w:spacing w:line="256" w:lineRule="auto"/>
              <w:rPr>
                <w:bCs/>
              </w:rPr>
            </w:pPr>
            <w:r w:rsidRPr="00310BC2">
              <w:rPr>
                <w:bCs/>
              </w:rPr>
              <w:t>$</w:t>
            </w:r>
            <w:r w:rsidRPr="00310BC2" w:rsidR="00015E51">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45A7419" w14:textId="34073FE8">
            <w:pPr>
              <w:spacing w:line="256" w:lineRule="auto"/>
              <w:rPr>
                <w:bCs/>
              </w:rPr>
            </w:pPr>
            <w:r w:rsidRPr="00310BC2">
              <w:rPr>
                <w:bCs/>
              </w:rPr>
              <w:t>$</w:t>
            </w:r>
            <w:r w:rsidRPr="00310BC2" w:rsidR="00BE2B4F">
              <w:rPr>
                <w:bCs/>
              </w:rPr>
              <w:t>105</w:t>
            </w:r>
          </w:p>
        </w:tc>
      </w:tr>
      <w:tr w14:paraId="65D8C7FF"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tcPr>
          <w:p w:rsidR="001503E4" w:rsidRPr="00310BC2" w:rsidP="005A6EA9" w14:paraId="42C75624"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7440811C" w14:textId="559455C8">
            <w:pPr>
              <w:spacing w:line="256" w:lineRule="auto"/>
              <w:rPr>
                <w:bCs/>
              </w:rPr>
            </w:pPr>
            <w:r w:rsidRPr="00310BC2">
              <w:rPr>
                <w:color w:val="000000"/>
              </w:rPr>
              <w:t>Informed Consent</w:t>
            </w:r>
          </w:p>
        </w:tc>
        <w:tc>
          <w:tcPr>
            <w:tcW w:w="1710" w:type="dxa"/>
            <w:tcBorders>
              <w:top w:val="single" w:sz="6" w:space="0" w:color="auto"/>
              <w:left w:val="single" w:sz="6" w:space="0" w:color="auto"/>
              <w:bottom w:val="single" w:sz="6" w:space="0" w:color="auto"/>
              <w:right w:val="single" w:sz="6" w:space="0" w:color="auto"/>
            </w:tcBorders>
            <w:vAlign w:val="center"/>
          </w:tcPr>
          <w:p w:rsidR="001503E4" w:rsidRPr="00310BC2" w:rsidP="005E6FE0" w14:paraId="69A60DCC" w14:textId="26005627">
            <w:pPr>
              <w:spacing w:line="256" w:lineRule="auto"/>
              <w:rPr>
                <w:bCs/>
              </w:rPr>
            </w:pPr>
            <w:r w:rsidRPr="00310BC2">
              <w:rPr>
                <w:bCs/>
              </w:rPr>
              <w:t>13</w:t>
            </w:r>
          </w:p>
        </w:tc>
        <w:tc>
          <w:tcPr>
            <w:tcW w:w="2430"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226C4A6A" w14:textId="3B2C1542">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tcPr>
          <w:p w:rsidR="001503E4" w:rsidRPr="00310BC2" w:rsidP="005A6EA9" w14:paraId="2F6F8F4A" w14:textId="526BF836">
            <w:pPr>
              <w:spacing w:line="256" w:lineRule="auto"/>
              <w:rPr>
                <w:bCs/>
              </w:rPr>
            </w:pPr>
            <w:r w:rsidRPr="00310BC2">
              <w:rPr>
                <w:bCs/>
              </w:rPr>
              <w:t>$</w:t>
            </w:r>
            <w:r w:rsidRPr="00310BC2" w:rsidR="00276B47">
              <w:rPr>
                <w:bCs/>
              </w:rPr>
              <w:t>454</w:t>
            </w:r>
          </w:p>
        </w:tc>
      </w:tr>
      <w:tr w14:paraId="226C41EE"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A5B82D7"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43B72A27" w14:textId="7833B137">
            <w:pPr>
              <w:spacing w:line="256" w:lineRule="auto"/>
              <w:rPr>
                <w:bCs/>
              </w:rPr>
            </w:pPr>
            <w:r w:rsidRPr="00310BC2">
              <w:rPr>
                <w:color w:val="000000"/>
              </w:rPr>
              <w:t>Baseline Questionnaire</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64D8EEE9" w14:textId="5A7E17B1">
            <w:pPr>
              <w:spacing w:line="256" w:lineRule="auto"/>
              <w:rPr>
                <w:bCs/>
              </w:rPr>
            </w:pPr>
            <w:r w:rsidRPr="00310BC2">
              <w:rPr>
                <w:bCs/>
              </w:rPr>
              <w:t>24</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1524B31" w14:textId="0BE96FD4">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D1B7BE0" w14:textId="5F7F4776">
            <w:pPr>
              <w:spacing w:line="256" w:lineRule="auto"/>
              <w:rPr>
                <w:bCs/>
              </w:rPr>
            </w:pPr>
            <w:r w:rsidRPr="00310BC2">
              <w:rPr>
                <w:bCs/>
              </w:rPr>
              <w:t>$</w:t>
            </w:r>
            <w:r w:rsidRPr="00310BC2" w:rsidR="00276B47">
              <w:rPr>
                <w:bCs/>
              </w:rPr>
              <w:t>838</w:t>
            </w:r>
          </w:p>
        </w:tc>
      </w:tr>
      <w:tr w14:paraId="699D5C75" w14:textId="77777777" w:rsidTr="004A36D5">
        <w:tblPrEx>
          <w:tblW w:w="9795" w:type="dxa"/>
          <w:tblLook w:val="04A0"/>
        </w:tblPrEx>
        <w:trPr>
          <w:trHeight w:val="696"/>
        </w:trPr>
        <w:tc>
          <w:tcPr>
            <w:tcW w:w="1490" w:type="dxa"/>
            <w:vMerge/>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2E29FD30" w14:textId="77777777">
            <w:pPr>
              <w:spacing w:line="256" w:lineRule="auto"/>
              <w:rPr>
                <w:bCs/>
                <w:szCs w:val="24"/>
              </w:rPr>
            </w:pPr>
          </w:p>
        </w:tc>
        <w:tc>
          <w:tcPr>
            <w:tcW w:w="1922"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1BE2D6FB" w14:textId="2F233FC6">
            <w:pPr>
              <w:spacing w:line="256" w:lineRule="auto"/>
              <w:rPr>
                <w:bCs/>
              </w:rPr>
            </w:pPr>
            <w:r w:rsidRPr="00310BC2">
              <w:rPr>
                <w:color w:val="000000"/>
              </w:rPr>
              <w:t>Post-shift Questionnaire</w:t>
            </w:r>
          </w:p>
        </w:tc>
        <w:tc>
          <w:tcPr>
            <w:tcW w:w="1710" w:type="dxa"/>
            <w:tcBorders>
              <w:top w:val="single" w:sz="6" w:space="0" w:color="auto"/>
              <w:left w:val="single" w:sz="6" w:space="0" w:color="auto"/>
              <w:bottom w:val="single" w:sz="6" w:space="0" w:color="auto"/>
              <w:right w:val="single" w:sz="6" w:space="0" w:color="auto"/>
            </w:tcBorders>
            <w:vAlign w:val="center"/>
            <w:hideMark/>
          </w:tcPr>
          <w:p w:rsidR="001503E4" w:rsidRPr="00310BC2" w:rsidP="005E6FE0" w14:paraId="685E2C07" w14:textId="017BC04C">
            <w:pPr>
              <w:spacing w:line="256" w:lineRule="auto"/>
              <w:rPr>
                <w:bCs/>
              </w:rPr>
            </w:pPr>
            <w:r w:rsidRPr="00310BC2">
              <w:rPr>
                <w:bCs/>
              </w:rPr>
              <w:t>67</w:t>
            </w:r>
          </w:p>
        </w:tc>
        <w:tc>
          <w:tcPr>
            <w:tcW w:w="243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7FCC085E" w14:textId="13E41A88">
            <w:pPr>
              <w:spacing w:line="256" w:lineRule="auto"/>
              <w:rPr>
                <w:bCs/>
              </w:rPr>
            </w:pPr>
            <w:r w:rsidRPr="00310BC2">
              <w:rPr>
                <w:bCs/>
              </w:rPr>
              <w:t>$34.88</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5169F9B4" w14:textId="5D53B4DE">
            <w:pPr>
              <w:spacing w:line="256" w:lineRule="auto"/>
              <w:rPr>
                <w:bCs/>
              </w:rPr>
            </w:pPr>
            <w:r w:rsidRPr="00310BC2">
              <w:rPr>
                <w:bCs/>
              </w:rPr>
              <w:t>$</w:t>
            </w:r>
            <w:r w:rsidRPr="00310BC2" w:rsidR="008F1FE2">
              <w:rPr>
                <w:bCs/>
              </w:rPr>
              <w:t>2,337</w:t>
            </w:r>
          </w:p>
        </w:tc>
      </w:tr>
      <w:tr w14:paraId="4C4F297F" w14:textId="77777777" w:rsidTr="004A36D5">
        <w:tblPrEx>
          <w:tblW w:w="9795" w:type="dxa"/>
          <w:tblLook w:val="04A0"/>
        </w:tblPrEx>
        <w:tc>
          <w:tcPr>
            <w:tcW w:w="1490"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54F0EE30" w14:textId="77777777">
            <w:pPr>
              <w:spacing w:line="256" w:lineRule="auto"/>
              <w:rPr>
                <w:bCs/>
              </w:rPr>
            </w:pPr>
            <w:r w:rsidRPr="00310BC2">
              <w:rPr>
                <w:bCs/>
              </w:rPr>
              <w:t>Total </w:t>
            </w:r>
          </w:p>
        </w:tc>
        <w:tc>
          <w:tcPr>
            <w:tcW w:w="6062" w:type="dxa"/>
            <w:gridSpan w:val="3"/>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39EE80AE" w14:textId="77777777">
            <w:pPr>
              <w:spacing w:line="256" w:lineRule="auto"/>
              <w:rPr>
                <w:bCs/>
              </w:rPr>
            </w:pPr>
            <w:r w:rsidRPr="00310BC2">
              <w:rPr>
                <w:bCs/>
              </w:rPr>
              <w:t> </w:t>
            </w:r>
          </w:p>
        </w:tc>
        <w:tc>
          <w:tcPr>
            <w:tcW w:w="2243" w:type="dxa"/>
            <w:tcBorders>
              <w:top w:val="single" w:sz="6" w:space="0" w:color="auto"/>
              <w:left w:val="single" w:sz="6" w:space="0" w:color="auto"/>
              <w:bottom w:val="single" w:sz="6" w:space="0" w:color="auto"/>
              <w:right w:val="single" w:sz="6" w:space="0" w:color="auto"/>
            </w:tcBorders>
            <w:vAlign w:val="center"/>
            <w:hideMark/>
          </w:tcPr>
          <w:p w:rsidR="001503E4" w:rsidRPr="00310BC2" w:rsidP="005A6EA9" w14:paraId="0DCB5381" w14:textId="5847440B">
            <w:pPr>
              <w:spacing w:line="256" w:lineRule="auto"/>
              <w:rPr>
                <w:bCs/>
              </w:rPr>
            </w:pPr>
            <w:r w:rsidRPr="00310BC2">
              <w:rPr>
                <w:bCs/>
              </w:rPr>
              <w:t>$</w:t>
            </w:r>
            <w:r w:rsidRPr="00310BC2" w:rsidR="008F1FE2">
              <w:rPr>
                <w:bCs/>
              </w:rPr>
              <w:t>3,734</w:t>
            </w:r>
          </w:p>
        </w:tc>
      </w:tr>
    </w:tbl>
    <w:p w:rsidR="00FA151C" w:rsidRPr="00310BC2" w:rsidP="00FA151C" w14:paraId="4829B07C" w14:textId="385B3EC5">
      <w:r w:rsidRPr="00310BC2">
        <w:t xml:space="preserve">*Hourly </w:t>
      </w:r>
      <w:r w:rsidRPr="00310BC2" w:rsidR="006B5798">
        <w:t xml:space="preserve">wage </w:t>
      </w:r>
      <w:r w:rsidRPr="00310BC2">
        <w:t xml:space="preserve">rate </w:t>
      </w:r>
      <w:r w:rsidRPr="00310BC2" w:rsidR="006B5798">
        <w:t xml:space="preserve">is the </w:t>
      </w:r>
      <w:r w:rsidRPr="00310BC2" w:rsidR="005E6FE0">
        <w:t>average</w:t>
      </w:r>
      <w:r w:rsidRPr="00310BC2" w:rsidR="006B5798">
        <w:t xml:space="preserve"> of hourly wage rates for </w:t>
      </w:r>
      <w:r w:rsidRPr="00310BC2" w:rsidR="006B5798">
        <w:rPr>
          <w:bCs/>
        </w:rPr>
        <w:t>Veterinarians, Veterinary Technologists and Technicians, and Veterinary Assistants and Laboratory Animal Caretakers</w:t>
      </w:r>
      <w:r w:rsidRPr="00310BC2" w:rsidR="00870280">
        <w:rPr>
          <w:bCs/>
        </w:rPr>
        <w:t xml:space="preserve"> average hourly wages </w:t>
      </w:r>
      <w:r w:rsidRPr="00310BC2" w:rsidR="0084078A">
        <w:rPr>
          <w:bCs/>
        </w:rPr>
        <w:t xml:space="preserve">found at </w:t>
      </w:r>
      <w:hyperlink r:id="rId16" w:history="1">
        <w:r w:rsidRPr="00310BC2" w:rsidR="003F4F91">
          <w:rPr>
            <w:rStyle w:val="Hyperlink"/>
          </w:rPr>
          <w:t>May 2023 National Occupational Employment and Wage Estimates (bls.gov)</w:t>
        </w:r>
      </w:hyperlink>
      <w:r w:rsidRPr="00310BC2" w:rsidR="003F4F91">
        <w:t>.</w:t>
      </w:r>
    </w:p>
    <w:p w:rsidR="003C1455" w:rsidRPr="00310BC2" w:rsidP="00B247A8" w14:paraId="706EE319" w14:textId="77777777"/>
    <w:p w:rsidR="003C1455" w:rsidRPr="00310BC2" w:rsidP="00193B52" w14:paraId="0A205130" w14:textId="690B27AC">
      <w:pPr>
        <w:pStyle w:val="Heading1"/>
      </w:pPr>
      <w:bookmarkStart w:id="18" w:name="_Toc165285113"/>
      <w:r w:rsidRPr="00310BC2">
        <w:t>Estimates of Other Total Annual Cost Burden to Respondents and Record Keepers</w:t>
      </w:r>
      <w:bookmarkEnd w:id="18"/>
      <w:r w:rsidRPr="00310BC2">
        <w:t xml:space="preserve"> </w:t>
      </w:r>
    </w:p>
    <w:p w:rsidR="00193B52" w:rsidRPr="00310BC2" w:rsidP="00B247A8" w14:paraId="377EBD00" w14:textId="77777777"/>
    <w:p w:rsidR="003C1455" w:rsidRPr="00310BC2" w:rsidP="00B247A8" w14:paraId="4CD83BA3" w14:textId="0FD69E2C">
      <w:r w:rsidRPr="00310BC2">
        <w:t>There are no other costs to respondents or record keepers.</w:t>
      </w:r>
    </w:p>
    <w:p w:rsidR="003C1455" w:rsidRPr="00310BC2" w:rsidP="00B247A8" w14:paraId="236D1F21" w14:textId="77777777"/>
    <w:p w:rsidR="003C1455" w:rsidRPr="00310BC2" w:rsidP="00193B52" w14:paraId="14D75630" w14:textId="2C4FFB92">
      <w:pPr>
        <w:pStyle w:val="Heading1"/>
      </w:pPr>
      <w:bookmarkStart w:id="19" w:name="_Toc165285114"/>
      <w:r w:rsidRPr="00310BC2">
        <w:t>Annualized Cost to the Federal Government</w:t>
      </w:r>
      <w:bookmarkEnd w:id="19"/>
      <w:r w:rsidRPr="00310BC2">
        <w:t xml:space="preserve"> </w:t>
      </w:r>
    </w:p>
    <w:p w:rsidR="00193B52" w:rsidRPr="00310BC2" w:rsidP="00B247A8" w14:paraId="7CB7B3AE" w14:textId="77777777"/>
    <w:p w:rsidR="00456FE6" w:rsidRPr="00310BC2" w:rsidP="00B247A8" w14:paraId="0311531D" w14:textId="3C02BB19">
      <w:r w:rsidRPr="00310BC2">
        <w:t>The estimated annualized cost to the government is $</w:t>
      </w:r>
      <w:r w:rsidR="00486BDD">
        <w:t>674,</w:t>
      </w:r>
      <w:r w:rsidR="00BF7B1C">
        <w:t>960</w:t>
      </w:r>
      <w:r w:rsidRPr="00310BC2">
        <w:t xml:space="preserve"> for the </w:t>
      </w:r>
      <w:r w:rsidRPr="00310BC2" w:rsidR="00775922">
        <w:t>three</w:t>
      </w:r>
      <w:r w:rsidRPr="00310BC2">
        <w:t xml:space="preserve"> years of the project. The breakdown by cost type is outlined in Table </w:t>
      </w:r>
      <w:r w:rsidRPr="00310BC2" w:rsidR="0004397F">
        <w:t>A</w:t>
      </w:r>
      <w:r w:rsidRPr="00310BC2">
        <w:t xml:space="preserve">14.1. The estimated costs will cover the following: </w:t>
      </w:r>
    </w:p>
    <w:p w:rsidR="002B471B" w:rsidRPr="00310BC2" w:rsidP="00B247A8" w14:paraId="3223458B" w14:textId="77777777"/>
    <w:p w:rsidR="00EC7B31" w:rsidRPr="00310BC2" w:rsidP="00EC7B31" w14:paraId="23D6DE5E" w14:textId="6DCF9B2C">
      <w:pPr>
        <w:numPr>
          <w:ilvl w:val="0"/>
          <w:numId w:val="17"/>
        </w:numPr>
        <w:rPr>
          <w:szCs w:val="24"/>
        </w:rPr>
      </w:pPr>
      <w:r w:rsidRPr="00310BC2">
        <w:rPr>
          <w:szCs w:val="24"/>
        </w:rPr>
        <w:t>Government personnel time (pro-rated using percentage of time dedicated to the project)</w:t>
      </w:r>
    </w:p>
    <w:p w:rsidR="00EC7B31" w:rsidRPr="00310BC2" w:rsidP="00EC7B31" w14:paraId="051D7B64" w14:textId="5105BE9E">
      <w:pPr>
        <w:numPr>
          <w:ilvl w:val="0"/>
          <w:numId w:val="17"/>
        </w:numPr>
        <w:rPr>
          <w:szCs w:val="24"/>
        </w:rPr>
      </w:pPr>
      <w:r w:rsidRPr="00310BC2">
        <w:rPr>
          <w:szCs w:val="24"/>
        </w:rPr>
        <w:t xml:space="preserve">Equipment </w:t>
      </w:r>
      <w:r w:rsidRPr="00310BC2" w:rsidR="009C1D73">
        <w:rPr>
          <w:szCs w:val="24"/>
        </w:rPr>
        <w:t>and supplies for intervention component</w:t>
      </w:r>
    </w:p>
    <w:p w:rsidR="00EC7B31" w:rsidRPr="00310BC2" w:rsidP="00EC7B31" w14:paraId="75A2998E" w14:textId="06FA9AFE">
      <w:pPr>
        <w:numPr>
          <w:ilvl w:val="0"/>
          <w:numId w:val="17"/>
        </w:numPr>
        <w:rPr>
          <w:szCs w:val="24"/>
        </w:rPr>
      </w:pPr>
      <w:r w:rsidRPr="00310BC2">
        <w:rPr>
          <w:szCs w:val="24"/>
        </w:rPr>
        <w:t>Contracts for staff and sample analytical service</w:t>
      </w:r>
    </w:p>
    <w:p w:rsidR="00EC7B31" w:rsidRPr="00310BC2" w:rsidP="00EC7B31" w14:paraId="79E9E540" w14:textId="3D9E2765">
      <w:pPr>
        <w:numPr>
          <w:ilvl w:val="0"/>
          <w:numId w:val="17"/>
        </w:numPr>
        <w:rPr>
          <w:szCs w:val="24"/>
        </w:rPr>
      </w:pPr>
      <w:r w:rsidRPr="00310BC2">
        <w:rPr>
          <w:szCs w:val="24"/>
        </w:rPr>
        <w:t xml:space="preserve">Travel for partner development, field </w:t>
      </w:r>
      <w:r w:rsidRPr="00310BC2" w:rsidR="0004397F">
        <w:rPr>
          <w:szCs w:val="24"/>
        </w:rPr>
        <w:t xml:space="preserve">post-shift </w:t>
      </w:r>
      <w:r w:rsidRPr="00310BC2">
        <w:rPr>
          <w:szCs w:val="24"/>
        </w:rPr>
        <w:t xml:space="preserve">questionnaire delivery, and dissemination of </w:t>
      </w:r>
      <w:r w:rsidRPr="00310BC2">
        <w:rPr>
          <w:szCs w:val="24"/>
        </w:rPr>
        <w:t>findings</w:t>
      </w:r>
    </w:p>
    <w:p w:rsidR="00834259" w:rsidRPr="00310BC2" w:rsidP="00456FE6" w14:paraId="4995C67E" w14:textId="77777777">
      <w:pPr>
        <w:rPr>
          <w:szCs w:val="24"/>
        </w:rPr>
      </w:pPr>
    </w:p>
    <w:p w:rsidR="00456FE6" w:rsidRPr="00310BC2" w:rsidP="00456FE6" w14:paraId="35028F3F" w14:textId="119B30ED">
      <w:pPr>
        <w:rPr>
          <w:b/>
          <w:bCs/>
          <w:szCs w:val="24"/>
        </w:rPr>
      </w:pPr>
      <w:r w:rsidRPr="00310BC2">
        <w:rPr>
          <w:b/>
          <w:bCs/>
          <w:szCs w:val="24"/>
        </w:rPr>
        <w:t xml:space="preserve">Table </w:t>
      </w:r>
      <w:r w:rsidRPr="00310BC2" w:rsidR="00EC7B31">
        <w:rPr>
          <w:b/>
          <w:bCs/>
          <w:szCs w:val="24"/>
        </w:rPr>
        <w:t>A</w:t>
      </w:r>
      <w:r w:rsidRPr="00310BC2">
        <w:rPr>
          <w:b/>
          <w:bCs/>
          <w:szCs w:val="24"/>
        </w:rPr>
        <w:t xml:space="preserve">14.1 Annualized costs to the government incurred by this </w:t>
      </w:r>
      <w:r w:rsidRPr="00310BC2">
        <w:rPr>
          <w:b/>
          <w:bCs/>
          <w:szCs w:val="24"/>
        </w:rPr>
        <w:t>project</w:t>
      </w:r>
    </w:p>
    <w:tbl>
      <w:tblPr>
        <w:tblW w:w="7462" w:type="dxa"/>
        <w:tblBorders>
          <w:top w:val="outset" w:sz="6" w:space="0" w:color="auto"/>
          <w:left w:val="outset" w:sz="6" w:space="0" w:color="auto"/>
          <w:bottom w:val="outset" w:sz="6" w:space="0" w:color="auto"/>
          <w:right w:val="outset" w:sz="6" w:space="0" w:color="auto"/>
        </w:tblBorders>
        <w:tblLook w:val="04A0"/>
      </w:tblPr>
      <w:tblGrid>
        <w:gridCol w:w="5392"/>
        <w:gridCol w:w="2070"/>
      </w:tblGrid>
      <w:tr w14:paraId="5849F90B" w14:textId="77777777" w:rsidTr="00752D6B">
        <w:tblPrEx>
          <w:tblW w:w="7462" w:type="dxa"/>
          <w:tblBorders>
            <w:top w:val="outset" w:sz="6" w:space="0" w:color="auto"/>
            <w:left w:val="outset" w:sz="6" w:space="0" w:color="auto"/>
            <w:bottom w:val="outset" w:sz="6" w:space="0" w:color="auto"/>
            <w:right w:val="outset" w:sz="6" w:space="0" w:color="auto"/>
          </w:tblBorders>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76318A76" w14:textId="77777777">
            <w:pPr>
              <w:spacing w:line="256" w:lineRule="auto"/>
              <w:rPr>
                <w:b/>
                <w:bCs/>
                <w:szCs w:val="24"/>
              </w:rPr>
            </w:pPr>
            <w:r w:rsidRPr="00310BC2">
              <w:rPr>
                <w:b/>
                <w:bCs/>
                <w:szCs w:val="24"/>
              </w:rPr>
              <w:t>Item</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6599CC92" w14:textId="77777777">
            <w:pPr>
              <w:spacing w:line="256" w:lineRule="auto"/>
              <w:rPr>
                <w:b/>
                <w:bCs/>
                <w:szCs w:val="24"/>
              </w:rPr>
            </w:pPr>
            <w:r w:rsidRPr="00310BC2">
              <w:rPr>
                <w:b/>
                <w:bCs/>
                <w:szCs w:val="24"/>
              </w:rPr>
              <w:t>Annualized Cost</w:t>
            </w:r>
          </w:p>
        </w:tc>
      </w:tr>
      <w:tr w14:paraId="46E01275"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8E40C70" w14:textId="5187213E">
            <w:pPr>
              <w:spacing w:line="256" w:lineRule="auto"/>
              <w:rPr>
                <w:szCs w:val="24"/>
              </w:rPr>
            </w:pPr>
            <w:r w:rsidRPr="00310BC2">
              <w:rPr>
                <w:szCs w:val="24"/>
              </w:rPr>
              <w:t xml:space="preserve">NIOSH </w:t>
            </w:r>
            <w:r w:rsidRPr="00310BC2" w:rsidR="00AE6FD5">
              <w:rPr>
                <w:szCs w:val="24"/>
              </w:rPr>
              <w:t>p</w:t>
            </w:r>
            <w:r w:rsidRPr="00310BC2">
              <w:rPr>
                <w:szCs w:val="24"/>
              </w:rPr>
              <w:t>ersonnel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4FBDFEAD" w14:textId="35018DFD">
            <w:pPr>
              <w:spacing w:line="256" w:lineRule="auto"/>
              <w:rPr>
                <w:szCs w:val="24"/>
              </w:rPr>
            </w:pPr>
            <w:r w:rsidRPr="00310BC2">
              <w:rPr>
                <w:szCs w:val="24"/>
              </w:rPr>
              <w:t>$</w:t>
            </w:r>
            <w:r w:rsidR="003106ED">
              <w:rPr>
                <w:szCs w:val="24"/>
              </w:rPr>
              <w:t>534,982</w:t>
            </w:r>
          </w:p>
        </w:tc>
      </w:tr>
      <w:tr w14:paraId="6CFA5B16"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0EBA41E0" w14:textId="17B84C48">
            <w:pPr>
              <w:spacing w:line="256" w:lineRule="auto"/>
              <w:rPr>
                <w:szCs w:val="24"/>
              </w:rPr>
            </w:pPr>
            <w:r w:rsidRPr="00310BC2">
              <w:rPr>
                <w:szCs w:val="24"/>
              </w:rPr>
              <w:t>Equipment</w:t>
            </w:r>
            <w:r w:rsidRPr="00310BC2" w:rsidR="00A83AF9">
              <w:rPr>
                <w:szCs w:val="24"/>
              </w:rPr>
              <w:t xml:space="preserve"> and supplies for intervention component</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1A7DF3B0" w14:textId="3676DE2F">
            <w:pPr>
              <w:spacing w:line="256" w:lineRule="auto"/>
              <w:rPr>
                <w:szCs w:val="24"/>
              </w:rPr>
            </w:pPr>
            <w:r w:rsidRPr="00310BC2">
              <w:rPr>
                <w:szCs w:val="24"/>
              </w:rPr>
              <w:t>$</w:t>
            </w:r>
            <w:r w:rsidRPr="00310BC2" w:rsidR="00BB342E">
              <w:rPr>
                <w:szCs w:val="24"/>
              </w:rPr>
              <w:t>63,</w:t>
            </w:r>
            <w:r w:rsidRPr="00310BC2" w:rsidR="0022038B">
              <w:rPr>
                <w:szCs w:val="24"/>
              </w:rPr>
              <w:t>44</w:t>
            </w:r>
            <w:r w:rsidRPr="00310BC2" w:rsidR="00D900EC">
              <w:rPr>
                <w:szCs w:val="24"/>
              </w:rPr>
              <w:t>1</w:t>
            </w:r>
          </w:p>
        </w:tc>
      </w:tr>
      <w:tr w14:paraId="28C3815E"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5B854504" w14:textId="6BE37867">
            <w:pPr>
              <w:spacing w:line="256" w:lineRule="auto"/>
              <w:rPr>
                <w:szCs w:val="24"/>
              </w:rPr>
            </w:pPr>
            <w:r w:rsidRPr="00310BC2">
              <w:rPr>
                <w:szCs w:val="24"/>
              </w:rPr>
              <w:t>Contracts for staff</w:t>
            </w:r>
            <w:r w:rsidRPr="00310BC2" w:rsidR="00AE6FD5">
              <w:rPr>
                <w:szCs w:val="24"/>
              </w:rPr>
              <w:t xml:space="preserve"> and</w:t>
            </w:r>
            <w:r w:rsidRPr="00310BC2">
              <w:rPr>
                <w:szCs w:val="24"/>
              </w:rPr>
              <w:t xml:space="preserve"> sample analysis</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2B58532" w14:textId="10429760">
            <w:pPr>
              <w:spacing w:line="256" w:lineRule="auto"/>
              <w:rPr>
                <w:szCs w:val="24"/>
              </w:rPr>
            </w:pPr>
            <w:r w:rsidRPr="00310BC2">
              <w:rPr>
                <w:szCs w:val="24"/>
              </w:rPr>
              <w:t>$</w:t>
            </w:r>
            <w:r w:rsidRPr="00310BC2" w:rsidR="00D900EC">
              <w:rPr>
                <w:szCs w:val="24"/>
              </w:rPr>
              <w:t>46,566</w:t>
            </w:r>
          </w:p>
        </w:tc>
      </w:tr>
      <w:tr w14:paraId="0529955C"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6F46C172" w14:textId="77777777">
            <w:pPr>
              <w:spacing w:line="256" w:lineRule="auto"/>
              <w:rPr>
                <w:szCs w:val="24"/>
              </w:rPr>
            </w:pPr>
            <w:r w:rsidRPr="00310BC2">
              <w:rPr>
                <w:szCs w:val="24"/>
              </w:rPr>
              <w:t>Travel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08782B80" w14:textId="33E4BADE">
            <w:pPr>
              <w:spacing w:line="256" w:lineRule="auto"/>
              <w:rPr>
                <w:szCs w:val="24"/>
              </w:rPr>
            </w:pPr>
            <w:r w:rsidRPr="00310BC2">
              <w:rPr>
                <w:szCs w:val="24"/>
              </w:rPr>
              <w:t>$</w:t>
            </w:r>
            <w:r w:rsidRPr="00310BC2" w:rsidR="00D900EC">
              <w:rPr>
                <w:szCs w:val="24"/>
              </w:rPr>
              <w:t>29,971</w:t>
            </w:r>
          </w:p>
        </w:tc>
      </w:tr>
      <w:tr w14:paraId="63E347A2" w14:textId="77777777" w:rsidTr="00752D6B">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2753A551" w14:textId="77777777">
            <w:pPr>
              <w:spacing w:line="256" w:lineRule="auto"/>
              <w:rPr>
                <w:szCs w:val="24"/>
              </w:rPr>
            </w:pPr>
            <w:r w:rsidRPr="00310BC2">
              <w:rPr>
                <w:szCs w:val="24"/>
              </w:rPr>
              <w:t>Total</w:t>
            </w:r>
          </w:p>
        </w:tc>
        <w:tc>
          <w:tcPr>
            <w:tcW w:w="2070" w:type="dxa"/>
            <w:tcBorders>
              <w:top w:val="single" w:sz="6" w:space="0" w:color="auto"/>
              <w:left w:val="single" w:sz="6" w:space="0" w:color="auto"/>
              <w:bottom w:val="single" w:sz="6" w:space="0" w:color="auto"/>
              <w:right w:val="single" w:sz="6" w:space="0" w:color="auto"/>
            </w:tcBorders>
            <w:vAlign w:val="center"/>
            <w:hideMark/>
          </w:tcPr>
          <w:p w:rsidR="00456FE6" w:rsidRPr="00310BC2" w:rsidP="00664968" w14:paraId="4EF9E56C" w14:textId="31BD6802">
            <w:pPr>
              <w:spacing w:line="256" w:lineRule="auto"/>
              <w:rPr>
                <w:szCs w:val="24"/>
              </w:rPr>
            </w:pPr>
            <w:r w:rsidRPr="00310BC2">
              <w:rPr>
                <w:szCs w:val="24"/>
              </w:rPr>
              <w:t>$</w:t>
            </w:r>
            <w:r w:rsidR="00D13821">
              <w:rPr>
                <w:szCs w:val="24"/>
              </w:rPr>
              <w:t>674,960</w:t>
            </w:r>
          </w:p>
        </w:tc>
      </w:tr>
    </w:tbl>
    <w:p w:rsidR="003C1455" w:rsidRPr="00310BC2" w:rsidP="00B247A8" w14:paraId="34584306" w14:textId="77777777"/>
    <w:p w:rsidR="003C1455" w:rsidRPr="00310BC2" w:rsidP="00193B52" w14:paraId="2412284F" w14:textId="391011ED">
      <w:pPr>
        <w:pStyle w:val="Heading1"/>
      </w:pPr>
      <w:bookmarkStart w:id="20" w:name="_Toc165285115"/>
      <w:r w:rsidRPr="00310BC2">
        <w:t>Explanation for Program Changes or Adjustments</w:t>
      </w:r>
      <w:bookmarkEnd w:id="20"/>
      <w:r w:rsidRPr="00310BC2">
        <w:t xml:space="preserve"> </w:t>
      </w:r>
    </w:p>
    <w:p w:rsidR="00193B52" w:rsidRPr="00310BC2" w:rsidP="00B247A8" w14:paraId="5EAB3902" w14:textId="77777777"/>
    <w:p w:rsidR="00A27C75" w:rsidP="00B247A8" w14:paraId="471AA7DA" w14:textId="2E752222">
      <w:r w:rsidRPr="00310BC2">
        <w:t>This is a new data collection.</w:t>
      </w:r>
      <w:r>
        <w:t xml:space="preserve"> </w:t>
      </w:r>
    </w:p>
    <w:p w:rsidR="003C1455" w:rsidRPr="00055A99" w:rsidP="00B247A8" w14:paraId="5EB2AD0B" w14:textId="77777777"/>
    <w:p w:rsidR="003C1455" w:rsidRPr="00055A99" w:rsidP="00193B52" w14:paraId="67A1335E" w14:textId="07A56C52">
      <w:pPr>
        <w:pStyle w:val="Heading1"/>
      </w:pPr>
      <w:bookmarkStart w:id="21" w:name="_Toc165285116"/>
      <w:r w:rsidRPr="00055A99">
        <w:t>Plans for Tabulation and Publication and Project Time Schedule</w:t>
      </w:r>
      <w:bookmarkEnd w:id="21"/>
      <w:r w:rsidRPr="00055A99">
        <w:t xml:space="preserve"> </w:t>
      </w:r>
    </w:p>
    <w:p w:rsidR="00193B52" w:rsidP="00897E30" w14:paraId="28B8A857" w14:textId="77777777"/>
    <w:p w:rsidR="003C1455" w:rsidP="00897E30" w14:paraId="703939C9" w14:textId="69B6E694">
      <w:r w:rsidRPr="00897E30">
        <w:t>We plan to publish study results in both peer reviewed and non-peer reviewed journals. Our projected timeline for the project is detailed in table A.16</w:t>
      </w:r>
      <w:r w:rsidR="001C623E">
        <w:t>.</w:t>
      </w:r>
      <w:r w:rsidRPr="00897E30">
        <w:t>1 below.</w:t>
      </w:r>
    </w:p>
    <w:p w:rsidR="001C623E" w:rsidP="00897E30" w14:paraId="365A8E7E" w14:textId="77777777"/>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
      <w:tblGrid>
        <w:gridCol w:w="1710"/>
        <w:gridCol w:w="675"/>
        <w:gridCol w:w="675"/>
        <w:gridCol w:w="675"/>
        <w:gridCol w:w="675"/>
        <w:gridCol w:w="675"/>
        <w:gridCol w:w="675"/>
        <w:gridCol w:w="675"/>
        <w:gridCol w:w="675"/>
        <w:gridCol w:w="675"/>
        <w:gridCol w:w="675"/>
        <w:gridCol w:w="675"/>
        <w:gridCol w:w="675"/>
      </w:tblGrid>
      <w:tr w14:paraId="2CE0D073" w14:textId="77777777" w:rsidTr="00A37E67">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CDB4745" w14:textId="77777777">
            <w:pPr>
              <w:rPr>
                <w:szCs w:val="24"/>
              </w:rPr>
            </w:pPr>
          </w:p>
        </w:tc>
        <w:tc>
          <w:tcPr>
            <w:tcW w:w="8100" w:type="dxa"/>
            <w:gridSpan w:val="12"/>
            <w:shd w:val="clear" w:color="auto" w:fill="auto"/>
            <w:noWrap/>
            <w:vAlign w:val="center"/>
            <w:hideMark/>
          </w:tcPr>
          <w:p w:rsidR="00983440" w:rsidRPr="00983440" w:rsidP="001D2298" w14:paraId="634A1A53" w14:textId="77777777">
            <w:pPr>
              <w:jc w:val="center"/>
              <w:rPr>
                <w:b/>
                <w:bCs/>
                <w:color w:val="000000"/>
                <w:szCs w:val="24"/>
              </w:rPr>
            </w:pPr>
            <w:r w:rsidRPr="00983440">
              <w:rPr>
                <w:b/>
                <w:bCs/>
                <w:color w:val="000000"/>
                <w:szCs w:val="24"/>
              </w:rPr>
              <w:t>Months after OMB approval</w:t>
            </w:r>
          </w:p>
        </w:tc>
      </w:tr>
      <w:tr w14:paraId="28D3A7CB"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47A98DA4" w14:textId="77777777">
            <w:pPr>
              <w:rPr>
                <w:b/>
                <w:bCs/>
                <w:color w:val="000000"/>
                <w:szCs w:val="24"/>
              </w:rPr>
            </w:pPr>
            <w:r w:rsidRPr="00983440">
              <w:rPr>
                <w:b/>
                <w:bCs/>
                <w:color w:val="000000"/>
                <w:szCs w:val="24"/>
              </w:rPr>
              <w:t>Activity</w:t>
            </w:r>
          </w:p>
        </w:tc>
        <w:tc>
          <w:tcPr>
            <w:tcW w:w="675" w:type="dxa"/>
            <w:shd w:val="clear" w:color="auto" w:fill="auto"/>
            <w:noWrap/>
            <w:vAlign w:val="center"/>
            <w:hideMark/>
          </w:tcPr>
          <w:p w:rsidR="00983440" w:rsidRPr="00983440" w:rsidP="001D2298" w14:paraId="4EAB9974" w14:textId="77777777">
            <w:pPr>
              <w:jc w:val="center"/>
              <w:rPr>
                <w:b/>
                <w:bCs/>
                <w:color w:val="000000"/>
                <w:sz w:val="18"/>
                <w:szCs w:val="18"/>
              </w:rPr>
            </w:pPr>
            <w:r w:rsidRPr="00983440">
              <w:rPr>
                <w:b/>
                <w:bCs/>
                <w:color w:val="000000"/>
                <w:sz w:val="18"/>
                <w:szCs w:val="18"/>
              </w:rPr>
              <w:t>0–3</w:t>
            </w:r>
          </w:p>
        </w:tc>
        <w:tc>
          <w:tcPr>
            <w:tcW w:w="675" w:type="dxa"/>
            <w:shd w:val="clear" w:color="auto" w:fill="auto"/>
            <w:noWrap/>
            <w:vAlign w:val="center"/>
            <w:hideMark/>
          </w:tcPr>
          <w:p w:rsidR="00983440" w:rsidRPr="00983440" w:rsidP="001D2298" w14:paraId="282ADEEB" w14:textId="77777777">
            <w:pPr>
              <w:jc w:val="center"/>
              <w:rPr>
                <w:b/>
                <w:bCs/>
                <w:color w:val="000000"/>
                <w:sz w:val="18"/>
                <w:szCs w:val="18"/>
              </w:rPr>
            </w:pPr>
            <w:r w:rsidRPr="00983440">
              <w:rPr>
                <w:b/>
                <w:bCs/>
                <w:color w:val="000000"/>
                <w:sz w:val="18"/>
                <w:szCs w:val="18"/>
              </w:rPr>
              <w:t>4–6</w:t>
            </w:r>
          </w:p>
        </w:tc>
        <w:tc>
          <w:tcPr>
            <w:tcW w:w="675" w:type="dxa"/>
            <w:shd w:val="clear" w:color="auto" w:fill="auto"/>
            <w:noWrap/>
            <w:vAlign w:val="center"/>
            <w:hideMark/>
          </w:tcPr>
          <w:p w:rsidR="00983440" w:rsidRPr="00983440" w:rsidP="001D2298" w14:paraId="0FB6A6CE" w14:textId="77777777">
            <w:pPr>
              <w:jc w:val="center"/>
              <w:rPr>
                <w:b/>
                <w:bCs/>
                <w:color w:val="000000"/>
                <w:sz w:val="18"/>
                <w:szCs w:val="18"/>
              </w:rPr>
            </w:pPr>
            <w:r w:rsidRPr="00983440">
              <w:rPr>
                <w:b/>
                <w:bCs/>
                <w:color w:val="000000"/>
                <w:sz w:val="18"/>
                <w:szCs w:val="18"/>
              </w:rPr>
              <w:t>7–9</w:t>
            </w:r>
          </w:p>
        </w:tc>
        <w:tc>
          <w:tcPr>
            <w:tcW w:w="675" w:type="dxa"/>
            <w:shd w:val="clear" w:color="auto" w:fill="auto"/>
            <w:noWrap/>
            <w:vAlign w:val="center"/>
            <w:hideMark/>
          </w:tcPr>
          <w:p w:rsidR="00983440" w:rsidRPr="00983440" w:rsidP="001D2298" w14:paraId="6D29E09C" w14:textId="77777777">
            <w:pPr>
              <w:jc w:val="center"/>
              <w:rPr>
                <w:b/>
                <w:bCs/>
                <w:color w:val="000000"/>
                <w:sz w:val="18"/>
                <w:szCs w:val="18"/>
              </w:rPr>
            </w:pPr>
            <w:r w:rsidRPr="00983440">
              <w:rPr>
                <w:b/>
                <w:bCs/>
                <w:color w:val="000000"/>
                <w:sz w:val="18"/>
                <w:szCs w:val="18"/>
              </w:rPr>
              <w:t>10–12</w:t>
            </w:r>
          </w:p>
        </w:tc>
        <w:tc>
          <w:tcPr>
            <w:tcW w:w="675" w:type="dxa"/>
            <w:shd w:val="clear" w:color="auto" w:fill="auto"/>
            <w:noWrap/>
            <w:vAlign w:val="center"/>
            <w:hideMark/>
          </w:tcPr>
          <w:p w:rsidR="00983440" w:rsidRPr="00983440" w:rsidP="001D2298" w14:paraId="7A9AAE37" w14:textId="77777777">
            <w:pPr>
              <w:jc w:val="center"/>
              <w:rPr>
                <w:b/>
                <w:bCs/>
                <w:color w:val="000000"/>
                <w:sz w:val="18"/>
                <w:szCs w:val="18"/>
              </w:rPr>
            </w:pPr>
            <w:r w:rsidRPr="00983440">
              <w:rPr>
                <w:b/>
                <w:bCs/>
                <w:color w:val="000000"/>
                <w:sz w:val="18"/>
                <w:szCs w:val="18"/>
              </w:rPr>
              <w:t>13–15</w:t>
            </w:r>
          </w:p>
        </w:tc>
        <w:tc>
          <w:tcPr>
            <w:tcW w:w="675" w:type="dxa"/>
            <w:shd w:val="clear" w:color="auto" w:fill="auto"/>
            <w:noWrap/>
            <w:vAlign w:val="center"/>
            <w:hideMark/>
          </w:tcPr>
          <w:p w:rsidR="00983440" w:rsidRPr="00983440" w:rsidP="001D2298" w14:paraId="1B1A6367" w14:textId="77777777">
            <w:pPr>
              <w:jc w:val="center"/>
              <w:rPr>
                <w:b/>
                <w:bCs/>
                <w:color w:val="000000"/>
                <w:sz w:val="18"/>
                <w:szCs w:val="18"/>
              </w:rPr>
            </w:pPr>
            <w:r w:rsidRPr="00983440">
              <w:rPr>
                <w:b/>
                <w:bCs/>
                <w:color w:val="000000"/>
                <w:sz w:val="18"/>
                <w:szCs w:val="18"/>
              </w:rPr>
              <w:t>16–18</w:t>
            </w:r>
          </w:p>
        </w:tc>
        <w:tc>
          <w:tcPr>
            <w:tcW w:w="675" w:type="dxa"/>
            <w:shd w:val="clear" w:color="auto" w:fill="auto"/>
            <w:noWrap/>
            <w:vAlign w:val="center"/>
            <w:hideMark/>
          </w:tcPr>
          <w:p w:rsidR="00983440" w:rsidRPr="00983440" w:rsidP="001D2298" w14:paraId="5E641DCA" w14:textId="77777777">
            <w:pPr>
              <w:jc w:val="center"/>
              <w:rPr>
                <w:b/>
                <w:bCs/>
                <w:color w:val="000000"/>
                <w:sz w:val="18"/>
                <w:szCs w:val="18"/>
              </w:rPr>
            </w:pPr>
            <w:r w:rsidRPr="00983440">
              <w:rPr>
                <w:b/>
                <w:bCs/>
                <w:color w:val="000000"/>
                <w:sz w:val="18"/>
                <w:szCs w:val="18"/>
              </w:rPr>
              <w:t>19–21</w:t>
            </w:r>
          </w:p>
        </w:tc>
        <w:tc>
          <w:tcPr>
            <w:tcW w:w="675" w:type="dxa"/>
            <w:shd w:val="clear" w:color="auto" w:fill="auto"/>
            <w:noWrap/>
            <w:vAlign w:val="center"/>
            <w:hideMark/>
          </w:tcPr>
          <w:p w:rsidR="00983440" w:rsidRPr="00983440" w:rsidP="001D2298" w14:paraId="41D7B123" w14:textId="77777777">
            <w:pPr>
              <w:jc w:val="center"/>
              <w:rPr>
                <w:b/>
                <w:bCs/>
                <w:color w:val="000000"/>
                <w:sz w:val="18"/>
                <w:szCs w:val="18"/>
              </w:rPr>
            </w:pPr>
            <w:r w:rsidRPr="00983440">
              <w:rPr>
                <w:b/>
                <w:bCs/>
                <w:color w:val="000000"/>
                <w:sz w:val="18"/>
                <w:szCs w:val="18"/>
              </w:rPr>
              <w:t>22–24</w:t>
            </w:r>
          </w:p>
        </w:tc>
        <w:tc>
          <w:tcPr>
            <w:tcW w:w="675" w:type="dxa"/>
            <w:shd w:val="clear" w:color="auto" w:fill="auto"/>
            <w:noWrap/>
            <w:vAlign w:val="center"/>
            <w:hideMark/>
          </w:tcPr>
          <w:p w:rsidR="00983440" w:rsidRPr="00983440" w:rsidP="001D2298" w14:paraId="0AB374FE" w14:textId="77777777">
            <w:pPr>
              <w:jc w:val="center"/>
              <w:rPr>
                <w:b/>
                <w:bCs/>
                <w:color w:val="000000"/>
                <w:sz w:val="18"/>
                <w:szCs w:val="18"/>
              </w:rPr>
            </w:pPr>
            <w:r w:rsidRPr="00983440">
              <w:rPr>
                <w:b/>
                <w:bCs/>
                <w:color w:val="000000"/>
                <w:sz w:val="18"/>
                <w:szCs w:val="18"/>
              </w:rPr>
              <w:t>25–27</w:t>
            </w:r>
          </w:p>
        </w:tc>
        <w:tc>
          <w:tcPr>
            <w:tcW w:w="675" w:type="dxa"/>
            <w:shd w:val="clear" w:color="auto" w:fill="auto"/>
            <w:noWrap/>
            <w:vAlign w:val="center"/>
            <w:hideMark/>
          </w:tcPr>
          <w:p w:rsidR="00983440" w:rsidRPr="00983440" w:rsidP="001D2298" w14:paraId="219BEF9E" w14:textId="77777777">
            <w:pPr>
              <w:jc w:val="center"/>
              <w:rPr>
                <w:b/>
                <w:bCs/>
                <w:color w:val="000000"/>
                <w:sz w:val="18"/>
                <w:szCs w:val="18"/>
              </w:rPr>
            </w:pPr>
            <w:r w:rsidRPr="00983440">
              <w:rPr>
                <w:b/>
                <w:bCs/>
                <w:color w:val="000000"/>
                <w:sz w:val="18"/>
                <w:szCs w:val="18"/>
              </w:rPr>
              <w:t>28–30</w:t>
            </w:r>
          </w:p>
        </w:tc>
        <w:tc>
          <w:tcPr>
            <w:tcW w:w="675" w:type="dxa"/>
            <w:shd w:val="clear" w:color="auto" w:fill="auto"/>
            <w:noWrap/>
            <w:vAlign w:val="center"/>
            <w:hideMark/>
          </w:tcPr>
          <w:p w:rsidR="00983440" w:rsidRPr="00983440" w:rsidP="001D2298" w14:paraId="764454D7" w14:textId="77777777">
            <w:pPr>
              <w:jc w:val="center"/>
              <w:rPr>
                <w:b/>
                <w:bCs/>
                <w:color w:val="000000"/>
                <w:sz w:val="18"/>
                <w:szCs w:val="18"/>
              </w:rPr>
            </w:pPr>
            <w:r w:rsidRPr="00983440">
              <w:rPr>
                <w:b/>
                <w:bCs/>
                <w:color w:val="000000"/>
                <w:sz w:val="18"/>
                <w:szCs w:val="18"/>
              </w:rPr>
              <w:t>31–33</w:t>
            </w:r>
          </w:p>
        </w:tc>
        <w:tc>
          <w:tcPr>
            <w:tcW w:w="675" w:type="dxa"/>
            <w:shd w:val="clear" w:color="auto" w:fill="auto"/>
            <w:noWrap/>
            <w:vAlign w:val="center"/>
            <w:hideMark/>
          </w:tcPr>
          <w:p w:rsidR="00983440" w:rsidRPr="00983440" w:rsidP="001D2298" w14:paraId="3677B125" w14:textId="77777777">
            <w:pPr>
              <w:jc w:val="center"/>
              <w:rPr>
                <w:b/>
                <w:bCs/>
                <w:color w:val="000000"/>
                <w:sz w:val="18"/>
                <w:szCs w:val="18"/>
              </w:rPr>
            </w:pPr>
            <w:r w:rsidRPr="00983440">
              <w:rPr>
                <w:b/>
                <w:bCs/>
                <w:color w:val="000000"/>
                <w:sz w:val="18"/>
                <w:szCs w:val="18"/>
              </w:rPr>
              <w:t>34–36</w:t>
            </w:r>
          </w:p>
        </w:tc>
      </w:tr>
      <w:tr w14:paraId="4A1FBC31"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AD8D7EF" w14:textId="77777777">
            <w:pPr>
              <w:rPr>
                <w:color w:val="000000"/>
                <w:sz w:val="22"/>
                <w:szCs w:val="22"/>
              </w:rPr>
            </w:pPr>
            <w:r w:rsidRPr="00983440">
              <w:rPr>
                <w:color w:val="000000"/>
                <w:sz w:val="22"/>
                <w:szCs w:val="22"/>
              </w:rPr>
              <w:t>Recruitment</w:t>
            </w:r>
          </w:p>
        </w:tc>
        <w:tc>
          <w:tcPr>
            <w:tcW w:w="675" w:type="dxa"/>
            <w:shd w:val="clear" w:color="000000" w:fill="808080"/>
            <w:noWrap/>
            <w:vAlign w:val="center"/>
            <w:hideMark/>
          </w:tcPr>
          <w:p w:rsidR="00983440" w:rsidRPr="00983440" w:rsidP="001D2298" w14:paraId="4BE0C6B6" w14:textId="5391E631">
            <w:pPr>
              <w:jc w:val="center"/>
              <w:rPr>
                <w:color w:val="000000"/>
                <w:szCs w:val="24"/>
              </w:rPr>
            </w:pPr>
          </w:p>
        </w:tc>
        <w:tc>
          <w:tcPr>
            <w:tcW w:w="675" w:type="dxa"/>
            <w:shd w:val="clear" w:color="000000" w:fill="808080"/>
            <w:noWrap/>
            <w:vAlign w:val="center"/>
            <w:hideMark/>
          </w:tcPr>
          <w:p w:rsidR="00983440" w:rsidRPr="00983440" w:rsidP="001D2298" w14:paraId="09341A9F" w14:textId="1F38CCFB">
            <w:pPr>
              <w:jc w:val="center"/>
              <w:rPr>
                <w:color w:val="000000"/>
                <w:szCs w:val="24"/>
              </w:rPr>
            </w:pPr>
          </w:p>
        </w:tc>
        <w:tc>
          <w:tcPr>
            <w:tcW w:w="675" w:type="dxa"/>
            <w:shd w:val="clear" w:color="000000" w:fill="808080"/>
            <w:noWrap/>
            <w:vAlign w:val="center"/>
            <w:hideMark/>
          </w:tcPr>
          <w:p w:rsidR="00983440" w:rsidRPr="00983440" w:rsidP="001D2298" w14:paraId="2EEE0BD2" w14:textId="611C713A">
            <w:pPr>
              <w:jc w:val="center"/>
              <w:rPr>
                <w:color w:val="000000"/>
                <w:szCs w:val="24"/>
              </w:rPr>
            </w:pPr>
          </w:p>
        </w:tc>
        <w:tc>
          <w:tcPr>
            <w:tcW w:w="675" w:type="dxa"/>
            <w:shd w:val="clear" w:color="000000" w:fill="808080"/>
            <w:noWrap/>
            <w:vAlign w:val="center"/>
            <w:hideMark/>
          </w:tcPr>
          <w:p w:rsidR="00983440" w:rsidRPr="00983440" w:rsidP="001D2298" w14:paraId="7D484AC1" w14:textId="1B30B92E">
            <w:pPr>
              <w:jc w:val="center"/>
              <w:rPr>
                <w:color w:val="000000"/>
                <w:szCs w:val="24"/>
              </w:rPr>
            </w:pPr>
          </w:p>
        </w:tc>
        <w:tc>
          <w:tcPr>
            <w:tcW w:w="675" w:type="dxa"/>
            <w:shd w:val="clear" w:color="000000" w:fill="808080"/>
            <w:noWrap/>
            <w:vAlign w:val="center"/>
            <w:hideMark/>
          </w:tcPr>
          <w:p w:rsidR="00983440" w:rsidRPr="00983440" w:rsidP="001D2298" w14:paraId="5968DBA7" w14:textId="373CDDE6">
            <w:pPr>
              <w:jc w:val="center"/>
              <w:rPr>
                <w:color w:val="000000"/>
                <w:szCs w:val="24"/>
              </w:rPr>
            </w:pPr>
          </w:p>
        </w:tc>
        <w:tc>
          <w:tcPr>
            <w:tcW w:w="675" w:type="dxa"/>
            <w:shd w:val="clear" w:color="auto" w:fill="auto"/>
            <w:noWrap/>
            <w:vAlign w:val="center"/>
            <w:hideMark/>
          </w:tcPr>
          <w:p w:rsidR="00983440" w:rsidRPr="00983440" w:rsidP="001D2298" w14:paraId="26BF7428" w14:textId="77777777">
            <w:pPr>
              <w:jc w:val="center"/>
              <w:rPr>
                <w:color w:val="000000"/>
                <w:szCs w:val="24"/>
              </w:rPr>
            </w:pPr>
          </w:p>
        </w:tc>
        <w:tc>
          <w:tcPr>
            <w:tcW w:w="675" w:type="dxa"/>
            <w:shd w:val="clear" w:color="auto" w:fill="auto"/>
            <w:noWrap/>
            <w:vAlign w:val="center"/>
            <w:hideMark/>
          </w:tcPr>
          <w:p w:rsidR="00983440" w:rsidRPr="00983440" w:rsidP="001D2298" w14:paraId="19D7D7E2" w14:textId="77777777">
            <w:pPr>
              <w:jc w:val="center"/>
              <w:rPr>
                <w:szCs w:val="24"/>
              </w:rPr>
            </w:pPr>
          </w:p>
        </w:tc>
        <w:tc>
          <w:tcPr>
            <w:tcW w:w="675" w:type="dxa"/>
            <w:shd w:val="clear" w:color="auto" w:fill="auto"/>
            <w:noWrap/>
            <w:vAlign w:val="center"/>
            <w:hideMark/>
          </w:tcPr>
          <w:p w:rsidR="00983440" w:rsidRPr="00983440" w:rsidP="001D2298" w14:paraId="0881B92B" w14:textId="77777777">
            <w:pPr>
              <w:jc w:val="center"/>
              <w:rPr>
                <w:szCs w:val="24"/>
              </w:rPr>
            </w:pPr>
          </w:p>
        </w:tc>
        <w:tc>
          <w:tcPr>
            <w:tcW w:w="675" w:type="dxa"/>
            <w:shd w:val="clear" w:color="auto" w:fill="auto"/>
            <w:noWrap/>
            <w:vAlign w:val="center"/>
            <w:hideMark/>
          </w:tcPr>
          <w:p w:rsidR="00983440" w:rsidRPr="00983440" w:rsidP="001D2298" w14:paraId="73A965B5" w14:textId="77777777">
            <w:pPr>
              <w:jc w:val="center"/>
              <w:rPr>
                <w:szCs w:val="24"/>
              </w:rPr>
            </w:pPr>
          </w:p>
        </w:tc>
        <w:tc>
          <w:tcPr>
            <w:tcW w:w="675" w:type="dxa"/>
            <w:shd w:val="clear" w:color="auto" w:fill="auto"/>
            <w:noWrap/>
            <w:vAlign w:val="center"/>
            <w:hideMark/>
          </w:tcPr>
          <w:p w:rsidR="00983440" w:rsidRPr="00983440" w:rsidP="001D2298" w14:paraId="44AFCEB5" w14:textId="77777777">
            <w:pPr>
              <w:jc w:val="center"/>
              <w:rPr>
                <w:szCs w:val="24"/>
              </w:rPr>
            </w:pPr>
          </w:p>
        </w:tc>
        <w:tc>
          <w:tcPr>
            <w:tcW w:w="675" w:type="dxa"/>
            <w:shd w:val="clear" w:color="auto" w:fill="auto"/>
            <w:noWrap/>
            <w:vAlign w:val="center"/>
            <w:hideMark/>
          </w:tcPr>
          <w:p w:rsidR="00983440" w:rsidRPr="00983440" w:rsidP="001D2298" w14:paraId="2799DCA2" w14:textId="77777777">
            <w:pPr>
              <w:jc w:val="center"/>
              <w:rPr>
                <w:szCs w:val="24"/>
              </w:rPr>
            </w:pPr>
          </w:p>
        </w:tc>
        <w:tc>
          <w:tcPr>
            <w:tcW w:w="675" w:type="dxa"/>
            <w:shd w:val="clear" w:color="auto" w:fill="auto"/>
            <w:noWrap/>
            <w:vAlign w:val="center"/>
            <w:hideMark/>
          </w:tcPr>
          <w:p w:rsidR="00983440" w:rsidRPr="00983440" w:rsidP="001D2298" w14:paraId="54B1F563" w14:textId="77777777">
            <w:pPr>
              <w:jc w:val="center"/>
              <w:rPr>
                <w:szCs w:val="24"/>
              </w:rPr>
            </w:pPr>
          </w:p>
        </w:tc>
      </w:tr>
      <w:tr w14:paraId="2859107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3E838CDA" w14:textId="77777777">
            <w:pPr>
              <w:rPr>
                <w:color w:val="000000"/>
                <w:sz w:val="22"/>
                <w:szCs w:val="22"/>
              </w:rPr>
            </w:pPr>
            <w:r w:rsidRPr="00983440">
              <w:rPr>
                <w:color w:val="000000"/>
                <w:sz w:val="22"/>
                <w:szCs w:val="22"/>
              </w:rPr>
              <w:t>Data collection (Baseline Questionnaire)</w:t>
            </w:r>
          </w:p>
        </w:tc>
        <w:tc>
          <w:tcPr>
            <w:tcW w:w="675" w:type="dxa"/>
            <w:shd w:val="clear" w:color="auto" w:fill="auto"/>
            <w:noWrap/>
            <w:vAlign w:val="center"/>
            <w:hideMark/>
          </w:tcPr>
          <w:p w:rsidR="00983440" w:rsidRPr="00983440" w:rsidP="001D2298" w14:paraId="57BF53FF" w14:textId="77777777">
            <w:pPr>
              <w:jc w:val="center"/>
              <w:rPr>
                <w:color w:val="000000"/>
                <w:szCs w:val="24"/>
              </w:rPr>
            </w:pPr>
          </w:p>
        </w:tc>
        <w:tc>
          <w:tcPr>
            <w:tcW w:w="675" w:type="dxa"/>
            <w:shd w:val="clear" w:color="000000" w:fill="808080"/>
            <w:noWrap/>
            <w:vAlign w:val="center"/>
            <w:hideMark/>
          </w:tcPr>
          <w:p w:rsidR="00983440" w:rsidRPr="00983440" w:rsidP="001D2298" w14:paraId="62063E71" w14:textId="35197F45">
            <w:pPr>
              <w:jc w:val="center"/>
              <w:rPr>
                <w:color w:val="000000"/>
                <w:szCs w:val="24"/>
              </w:rPr>
            </w:pPr>
          </w:p>
        </w:tc>
        <w:tc>
          <w:tcPr>
            <w:tcW w:w="675" w:type="dxa"/>
            <w:shd w:val="clear" w:color="000000" w:fill="808080"/>
            <w:noWrap/>
            <w:vAlign w:val="center"/>
            <w:hideMark/>
          </w:tcPr>
          <w:p w:rsidR="00983440" w:rsidRPr="00983440" w:rsidP="001D2298" w14:paraId="249668F8" w14:textId="2E34552E">
            <w:pPr>
              <w:jc w:val="center"/>
              <w:rPr>
                <w:color w:val="000000"/>
                <w:szCs w:val="24"/>
              </w:rPr>
            </w:pPr>
          </w:p>
        </w:tc>
        <w:tc>
          <w:tcPr>
            <w:tcW w:w="675" w:type="dxa"/>
            <w:shd w:val="clear" w:color="000000" w:fill="808080"/>
            <w:noWrap/>
            <w:vAlign w:val="center"/>
            <w:hideMark/>
          </w:tcPr>
          <w:p w:rsidR="00983440" w:rsidRPr="00983440" w:rsidP="001D2298" w14:paraId="3945A57F" w14:textId="28B49AC2">
            <w:pPr>
              <w:jc w:val="center"/>
              <w:rPr>
                <w:color w:val="000000"/>
                <w:szCs w:val="24"/>
              </w:rPr>
            </w:pPr>
          </w:p>
        </w:tc>
        <w:tc>
          <w:tcPr>
            <w:tcW w:w="675" w:type="dxa"/>
            <w:shd w:val="clear" w:color="000000" w:fill="808080"/>
            <w:noWrap/>
            <w:vAlign w:val="center"/>
            <w:hideMark/>
          </w:tcPr>
          <w:p w:rsidR="00983440" w:rsidRPr="00983440" w:rsidP="001D2298" w14:paraId="3FEAC3D7" w14:textId="33A1BE2C">
            <w:pPr>
              <w:jc w:val="center"/>
              <w:rPr>
                <w:color w:val="000000"/>
                <w:szCs w:val="24"/>
              </w:rPr>
            </w:pPr>
          </w:p>
        </w:tc>
        <w:tc>
          <w:tcPr>
            <w:tcW w:w="675" w:type="dxa"/>
            <w:shd w:val="clear" w:color="auto" w:fill="auto"/>
            <w:noWrap/>
            <w:vAlign w:val="center"/>
            <w:hideMark/>
          </w:tcPr>
          <w:p w:rsidR="00983440" w:rsidRPr="00983440" w:rsidP="001D2298" w14:paraId="2C67EC9E" w14:textId="77777777">
            <w:pPr>
              <w:jc w:val="center"/>
              <w:rPr>
                <w:color w:val="000000"/>
                <w:szCs w:val="24"/>
              </w:rPr>
            </w:pPr>
          </w:p>
        </w:tc>
        <w:tc>
          <w:tcPr>
            <w:tcW w:w="675" w:type="dxa"/>
            <w:shd w:val="clear" w:color="auto" w:fill="auto"/>
            <w:noWrap/>
            <w:vAlign w:val="center"/>
            <w:hideMark/>
          </w:tcPr>
          <w:p w:rsidR="00983440" w:rsidRPr="00983440" w:rsidP="001D2298" w14:paraId="29ED3740" w14:textId="77777777">
            <w:pPr>
              <w:jc w:val="center"/>
              <w:rPr>
                <w:szCs w:val="24"/>
              </w:rPr>
            </w:pPr>
          </w:p>
        </w:tc>
        <w:tc>
          <w:tcPr>
            <w:tcW w:w="675" w:type="dxa"/>
            <w:shd w:val="clear" w:color="auto" w:fill="auto"/>
            <w:noWrap/>
            <w:vAlign w:val="center"/>
            <w:hideMark/>
          </w:tcPr>
          <w:p w:rsidR="00983440" w:rsidRPr="00983440" w:rsidP="001D2298" w14:paraId="0C6D6187" w14:textId="77777777">
            <w:pPr>
              <w:jc w:val="center"/>
              <w:rPr>
                <w:szCs w:val="24"/>
              </w:rPr>
            </w:pPr>
          </w:p>
        </w:tc>
        <w:tc>
          <w:tcPr>
            <w:tcW w:w="675" w:type="dxa"/>
            <w:shd w:val="clear" w:color="auto" w:fill="auto"/>
            <w:noWrap/>
            <w:vAlign w:val="center"/>
            <w:hideMark/>
          </w:tcPr>
          <w:p w:rsidR="00983440" w:rsidRPr="00983440" w:rsidP="001D2298" w14:paraId="5B433243" w14:textId="77777777">
            <w:pPr>
              <w:jc w:val="center"/>
              <w:rPr>
                <w:szCs w:val="24"/>
              </w:rPr>
            </w:pPr>
          </w:p>
        </w:tc>
        <w:tc>
          <w:tcPr>
            <w:tcW w:w="675" w:type="dxa"/>
            <w:shd w:val="clear" w:color="auto" w:fill="auto"/>
            <w:noWrap/>
            <w:vAlign w:val="center"/>
            <w:hideMark/>
          </w:tcPr>
          <w:p w:rsidR="00983440" w:rsidRPr="00983440" w:rsidP="001D2298" w14:paraId="3BEC1359" w14:textId="77777777">
            <w:pPr>
              <w:jc w:val="center"/>
              <w:rPr>
                <w:szCs w:val="24"/>
              </w:rPr>
            </w:pPr>
          </w:p>
        </w:tc>
        <w:tc>
          <w:tcPr>
            <w:tcW w:w="675" w:type="dxa"/>
            <w:shd w:val="clear" w:color="auto" w:fill="auto"/>
            <w:noWrap/>
            <w:vAlign w:val="center"/>
            <w:hideMark/>
          </w:tcPr>
          <w:p w:rsidR="00983440" w:rsidRPr="00983440" w:rsidP="001D2298" w14:paraId="6AAF2375" w14:textId="77777777">
            <w:pPr>
              <w:jc w:val="center"/>
              <w:rPr>
                <w:szCs w:val="24"/>
              </w:rPr>
            </w:pPr>
          </w:p>
        </w:tc>
        <w:tc>
          <w:tcPr>
            <w:tcW w:w="675" w:type="dxa"/>
            <w:shd w:val="clear" w:color="auto" w:fill="auto"/>
            <w:noWrap/>
            <w:vAlign w:val="center"/>
            <w:hideMark/>
          </w:tcPr>
          <w:p w:rsidR="00983440" w:rsidRPr="00983440" w:rsidP="001D2298" w14:paraId="5BF02F72" w14:textId="77777777">
            <w:pPr>
              <w:jc w:val="center"/>
              <w:rPr>
                <w:szCs w:val="24"/>
              </w:rPr>
            </w:pPr>
          </w:p>
        </w:tc>
      </w:tr>
      <w:tr w14:paraId="6E5CFB0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7BDA70B6" w14:textId="77777777">
            <w:pPr>
              <w:rPr>
                <w:color w:val="000000"/>
                <w:sz w:val="22"/>
                <w:szCs w:val="22"/>
              </w:rPr>
            </w:pPr>
            <w:r w:rsidRPr="00983440">
              <w:rPr>
                <w:color w:val="000000"/>
                <w:sz w:val="22"/>
                <w:szCs w:val="22"/>
              </w:rPr>
              <w:t>Site visit #1 and data collection (Post-shift Questionnaire)</w:t>
            </w:r>
          </w:p>
        </w:tc>
        <w:tc>
          <w:tcPr>
            <w:tcW w:w="675" w:type="dxa"/>
            <w:shd w:val="clear" w:color="auto" w:fill="auto"/>
            <w:noWrap/>
            <w:vAlign w:val="center"/>
            <w:hideMark/>
          </w:tcPr>
          <w:p w:rsidR="00983440" w:rsidRPr="00983440" w:rsidP="001D2298" w14:paraId="0622E624" w14:textId="77777777">
            <w:pPr>
              <w:jc w:val="center"/>
              <w:rPr>
                <w:color w:val="000000"/>
                <w:szCs w:val="24"/>
              </w:rPr>
            </w:pPr>
          </w:p>
        </w:tc>
        <w:tc>
          <w:tcPr>
            <w:tcW w:w="675" w:type="dxa"/>
            <w:shd w:val="clear" w:color="000000" w:fill="808080"/>
            <w:noWrap/>
            <w:vAlign w:val="center"/>
            <w:hideMark/>
          </w:tcPr>
          <w:p w:rsidR="00983440" w:rsidRPr="00983440" w:rsidP="001D2298" w14:paraId="03E39579" w14:textId="5F097294">
            <w:pPr>
              <w:jc w:val="center"/>
              <w:rPr>
                <w:color w:val="000000"/>
                <w:szCs w:val="24"/>
              </w:rPr>
            </w:pPr>
          </w:p>
        </w:tc>
        <w:tc>
          <w:tcPr>
            <w:tcW w:w="675" w:type="dxa"/>
            <w:shd w:val="clear" w:color="000000" w:fill="808080"/>
            <w:noWrap/>
            <w:vAlign w:val="center"/>
            <w:hideMark/>
          </w:tcPr>
          <w:p w:rsidR="00983440" w:rsidRPr="00983440" w:rsidP="001D2298" w14:paraId="4CEA04BE" w14:textId="087D7461">
            <w:pPr>
              <w:jc w:val="center"/>
              <w:rPr>
                <w:color w:val="000000"/>
                <w:szCs w:val="24"/>
              </w:rPr>
            </w:pPr>
          </w:p>
        </w:tc>
        <w:tc>
          <w:tcPr>
            <w:tcW w:w="675" w:type="dxa"/>
            <w:shd w:val="clear" w:color="000000" w:fill="808080"/>
            <w:noWrap/>
            <w:vAlign w:val="center"/>
            <w:hideMark/>
          </w:tcPr>
          <w:p w:rsidR="00983440" w:rsidRPr="00983440" w:rsidP="001D2298" w14:paraId="48C4D94B" w14:textId="4FE67432">
            <w:pPr>
              <w:jc w:val="center"/>
              <w:rPr>
                <w:color w:val="000000"/>
                <w:szCs w:val="24"/>
              </w:rPr>
            </w:pPr>
          </w:p>
        </w:tc>
        <w:tc>
          <w:tcPr>
            <w:tcW w:w="675" w:type="dxa"/>
            <w:shd w:val="clear" w:color="000000" w:fill="808080"/>
            <w:noWrap/>
            <w:vAlign w:val="center"/>
            <w:hideMark/>
          </w:tcPr>
          <w:p w:rsidR="00983440" w:rsidRPr="00983440" w:rsidP="001D2298" w14:paraId="42D0FE25" w14:textId="57047C87">
            <w:pPr>
              <w:jc w:val="center"/>
              <w:rPr>
                <w:color w:val="000000"/>
                <w:szCs w:val="24"/>
              </w:rPr>
            </w:pPr>
          </w:p>
        </w:tc>
        <w:tc>
          <w:tcPr>
            <w:tcW w:w="675" w:type="dxa"/>
            <w:shd w:val="clear" w:color="000000" w:fill="808080"/>
            <w:noWrap/>
            <w:vAlign w:val="center"/>
            <w:hideMark/>
          </w:tcPr>
          <w:p w:rsidR="00983440" w:rsidRPr="00983440" w:rsidP="001D2298" w14:paraId="66B29A7F" w14:textId="622A2321">
            <w:pPr>
              <w:jc w:val="center"/>
              <w:rPr>
                <w:color w:val="000000"/>
                <w:szCs w:val="24"/>
              </w:rPr>
            </w:pPr>
          </w:p>
        </w:tc>
        <w:tc>
          <w:tcPr>
            <w:tcW w:w="675" w:type="dxa"/>
            <w:shd w:val="clear" w:color="auto" w:fill="auto"/>
            <w:noWrap/>
            <w:vAlign w:val="center"/>
            <w:hideMark/>
          </w:tcPr>
          <w:p w:rsidR="00983440" w:rsidRPr="00983440" w:rsidP="001D2298" w14:paraId="6CDDD7CB" w14:textId="77777777">
            <w:pPr>
              <w:jc w:val="center"/>
              <w:rPr>
                <w:color w:val="000000"/>
                <w:szCs w:val="24"/>
              </w:rPr>
            </w:pPr>
          </w:p>
        </w:tc>
        <w:tc>
          <w:tcPr>
            <w:tcW w:w="675" w:type="dxa"/>
            <w:shd w:val="clear" w:color="auto" w:fill="auto"/>
            <w:noWrap/>
            <w:vAlign w:val="center"/>
            <w:hideMark/>
          </w:tcPr>
          <w:p w:rsidR="00983440" w:rsidRPr="00983440" w:rsidP="001D2298" w14:paraId="15AC88E6" w14:textId="77777777">
            <w:pPr>
              <w:jc w:val="center"/>
              <w:rPr>
                <w:szCs w:val="24"/>
              </w:rPr>
            </w:pPr>
          </w:p>
        </w:tc>
        <w:tc>
          <w:tcPr>
            <w:tcW w:w="675" w:type="dxa"/>
            <w:shd w:val="clear" w:color="auto" w:fill="auto"/>
            <w:noWrap/>
            <w:vAlign w:val="center"/>
            <w:hideMark/>
          </w:tcPr>
          <w:p w:rsidR="00983440" w:rsidRPr="00983440" w:rsidP="001D2298" w14:paraId="170CA6AA" w14:textId="77777777">
            <w:pPr>
              <w:jc w:val="center"/>
              <w:rPr>
                <w:szCs w:val="24"/>
              </w:rPr>
            </w:pPr>
          </w:p>
        </w:tc>
        <w:tc>
          <w:tcPr>
            <w:tcW w:w="675" w:type="dxa"/>
            <w:shd w:val="clear" w:color="auto" w:fill="auto"/>
            <w:noWrap/>
            <w:vAlign w:val="center"/>
            <w:hideMark/>
          </w:tcPr>
          <w:p w:rsidR="00983440" w:rsidRPr="00983440" w:rsidP="001D2298" w14:paraId="5B6289B2" w14:textId="77777777">
            <w:pPr>
              <w:jc w:val="center"/>
              <w:rPr>
                <w:szCs w:val="24"/>
              </w:rPr>
            </w:pPr>
          </w:p>
        </w:tc>
        <w:tc>
          <w:tcPr>
            <w:tcW w:w="675" w:type="dxa"/>
            <w:shd w:val="clear" w:color="auto" w:fill="auto"/>
            <w:noWrap/>
            <w:vAlign w:val="center"/>
            <w:hideMark/>
          </w:tcPr>
          <w:p w:rsidR="00983440" w:rsidRPr="00983440" w:rsidP="001D2298" w14:paraId="6E494582" w14:textId="77777777">
            <w:pPr>
              <w:jc w:val="center"/>
              <w:rPr>
                <w:szCs w:val="24"/>
              </w:rPr>
            </w:pPr>
          </w:p>
        </w:tc>
        <w:tc>
          <w:tcPr>
            <w:tcW w:w="675" w:type="dxa"/>
            <w:shd w:val="clear" w:color="auto" w:fill="auto"/>
            <w:noWrap/>
            <w:vAlign w:val="center"/>
            <w:hideMark/>
          </w:tcPr>
          <w:p w:rsidR="00983440" w:rsidRPr="00983440" w:rsidP="001D2298" w14:paraId="0BFC6FE2" w14:textId="77777777">
            <w:pPr>
              <w:jc w:val="center"/>
              <w:rPr>
                <w:szCs w:val="24"/>
              </w:rPr>
            </w:pPr>
          </w:p>
        </w:tc>
      </w:tr>
      <w:tr w14:paraId="3BB5A9C9"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00182CA5" w14:textId="77777777">
            <w:pPr>
              <w:rPr>
                <w:color w:val="000000"/>
                <w:sz w:val="22"/>
                <w:szCs w:val="22"/>
              </w:rPr>
            </w:pPr>
            <w:r w:rsidRPr="00983440">
              <w:rPr>
                <w:color w:val="000000"/>
                <w:sz w:val="22"/>
                <w:szCs w:val="22"/>
              </w:rPr>
              <w:t>Site visit #2 and data collection (Post-shift Questionnaire)</w:t>
            </w:r>
          </w:p>
        </w:tc>
        <w:tc>
          <w:tcPr>
            <w:tcW w:w="675" w:type="dxa"/>
            <w:shd w:val="clear" w:color="auto" w:fill="auto"/>
            <w:noWrap/>
            <w:vAlign w:val="center"/>
            <w:hideMark/>
          </w:tcPr>
          <w:p w:rsidR="00983440" w:rsidRPr="00983440" w:rsidP="001D2298" w14:paraId="3A75606D" w14:textId="77777777">
            <w:pPr>
              <w:jc w:val="center"/>
              <w:rPr>
                <w:color w:val="000000"/>
                <w:szCs w:val="24"/>
              </w:rPr>
            </w:pPr>
          </w:p>
        </w:tc>
        <w:tc>
          <w:tcPr>
            <w:tcW w:w="675" w:type="dxa"/>
            <w:shd w:val="clear" w:color="auto" w:fill="auto"/>
            <w:noWrap/>
            <w:vAlign w:val="center"/>
            <w:hideMark/>
          </w:tcPr>
          <w:p w:rsidR="00983440" w:rsidRPr="00983440" w:rsidP="001D2298" w14:paraId="44010F10" w14:textId="77777777">
            <w:pPr>
              <w:jc w:val="center"/>
              <w:rPr>
                <w:szCs w:val="24"/>
              </w:rPr>
            </w:pPr>
          </w:p>
        </w:tc>
        <w:tc>
          <w:tcPr>
            <w:tcW w:w="675" w:type="dxa"/>
            <w:shd w:val="clear" w:color="auto" w:fill="auto"/>
            <w:noWrap/>
            <w:vAlign w:val="center"/>
            <w:hideMark/>
          </w:tcPr>
          <w:p w:rsidR="00983440" w:rsidRPr="00983440" w:rsidP="001D2298" w14:paraId="77ABBBA4" w14:textId="77777777">
            <w:pPr>
              <w:jc w:val="center"/>
              <w:rPr>
                <w:szCs w:val="24"/>
              </w:rPr>
            </w:pPr>
          </w:p>
        </w:tc>
        <w:tc>
          <w:tcPr>
            <w:tcW w:w="675" w:type="dxa"/>
            <w:shd w:val="clear" w:color="auto" w:fill="auto"/>
            <w:noWrap/>
            <w:vAlign w:val="center"/>
            <w:hideMark/>
          </w:tcPr>
          <w:p w:rsidR="00983440" w:rsidRPr="00983440" w:rsidP="001D2298" w14:paraId="124A72D3" w14:textId="77777777">
            <w:pPr>
              <w:jc w:val="center"/>
              <w:rPr>
                <w:szCs w:val="24"/>
              </w:rPr>
            </w:pPr>
          </w:p>
        </w:tc>
        <w:tc>
          <w:tcPr>
            <w:tcW w:w="675" w:type="dxa"/>
            <w:shd w:val="clear" w:color="000000" w:fill="808080"/>
            <w:noWrap/>
            <w:vAlign w:val="center"/>
            <w:hideMark/>
          </w:tcPr>
          <w:p w:rsidR="00983440" w:rsidRPr="00983440" w:rsidP="001D2298" w14:paraId="4D23C006" w14:textId="05928BE6">
            <w:pPr>
              <w:jc w:val="center"/>
              <w:rPr>
                <w:color w:val="000000"/>
                <w:szCs w:val="24"/>
              </w:rPr>
            </w:pPr>
          </w:p>
        </w:tc>
        <w:tc>
          <w:tcPr>
            <w:tcW w:w="675" w:type="dxa"/>
            <w:shd w:val="clear" w:color="000000" w:fill="808080"/>
            <w:noWrap/>
            <w:vAlign w:val="center"/>
            <w:hideMark/>
          </w:tcPr>
          <w:p w:rsidR="00983440" w:rsidRPr="00983440" w:rsidP="001D2298" w14:paraId="6F8A88EF" w14:textId="620DA10A">
            <w:pPr>
              <w:jc w:val="center"/>
              <w:rPr>
                <w:color w:val="000000"/>
                <w:szCs w:val="24"/>
              </w:rPr>
            </w:pPr>
          </w:p>
        </w:tc>
        <w:tc>
          <w:tcPr>
            <w:tcW w:w="675" w:type="dxa"/>
            <w:shd w:val="clear" w:color="000000" w:fill="808080"/>
            <w:noWrap/>
            <w:vAlign w:val="center"/>
            <w:hideMark/>
          </w:tcPr>
          <w:p w:rsidR="00983440" w:rsidRPr="00983440" w:rsidP="001D2298" w14:paraId="30B4221A" w14:textId="3FE7D619">
            <w:pPr>
              <w:jc w:val="center"/>
              <w:rPr>
                <w:color w:val="000000"/>
                <w:szCs w:val="24"/>
              </w:rPr>
            </w:pPr>
          </w:p>
        </w:tc>
        <w:tc>
          <w:tcPr>
            <w:tcW w:w="675" w:type="dxa"/>
            <w:shd w:val="clear" w:color="000000" w:fill="808080"/>
            <w:noWrap/>
            <w:vAlign w:val="center"/>
            <w:hideMark/>
          </w:tcPr>
          <w:p w:rsidR="00983440" w:rsidRPr="00983440" w:rsidP="001D2298" w14:paraId="098CFADE" w14:textId="3C0D5247">
            <w:pPr>
              <w:jc w:val="center"/>
              <w:rPr>
                <w:color w:val="000000"/>
                <w:szCs w:val="24"/>
              </w:rPr>
            </w:pPr>
          </w:p>
        </w:tc>
        <w:tc>
          <w:tcPr>
            <w:tcW w:w="675" w:type="dxa"/>
            <w:shd w:val="clear" w:color="000000" w:fill="808080"/>
            <w:noWrap/>
            <w:vAlign w:val="center"/>
            <w:hideMark/>
          </w:tcPr>
          <w:p w:rsidR="00983440" w:rsidRPr="00983440" w:rsidP="001D2298" w14:paraId="0080CBB4" w14:textId="661A356C">
            <w:pPr>
              <w:jc w:val="center"/>
              <w:rPr>
                <w:color w:val="000000"/>
                <w:szCs w:val="24"/>
              </w:rPr>
            </w:pPr>
          </w:p>
        </w:tc>
        <w:tc>
          <w:tcPr>
            <w:tcW w:w="675" w:type="dxa"/>
            <w:shd w:val="clear" w:color="auto" w:fill="auto"/>
            <w:noWrap/>
            <w:vAlign w:val="center"/>
            <w:hideMark/>
          </w:tcPr>
          <w:p w:rsidR="00983440" w:rsidRPr="00983440" w:rsidP="001D2298" w14:paraId="68135C94" w14:textId="77777777">
            <w:pPr>
              <w:jc w:val="center"/>
              <w:rPr>
                <w:color w:val="000000"/>
                <w:szCs w:val="24"/>
              </w:rPr>
            </w:pPr>
          </w:p>
        </w:tc>
        <w:tc>
          <w:tcPr>
            <w:tcW w:w="675" w:type="dxa"/>
            <w:shd w:val="clear" w:color="auto" w:fill="auto"/>
            <w:noWrap/>
            <w:vAlign w:val="center"/>
            <w:hideMark/>
          </w:tcPr>
          <w:p w:rsidR="00983440" w:rsidRPr="00983440" w:rsidP="001D2298" w14:paraId="49D38FB4" w14:textId="77777777">
            <w:pPr>
              <w:jc w:val="center"/>
              <w:rPr>
                <w:szCs w:val="24"/>
              </w:rPr>
            </w:pPr>
          </w:p>
        </w:tc>
        <w:tc>
          <w:tcPr>
            <w:tcW w:w="675" w:type="dxa"/>
            <w:shd w:val="clear" w:color="auto" w:fill="auto"/>
            <w:noWrap/>
            <w:vAlign w:val="center"/>
            <w:hideMark/>
          </w:tcPr>
          <w:p w:rsidR="00983440" w:rsidRPr="00983440" w:rsidP="001D2298" w14:paraId="543CCDF2" w14:textId="77777777">
            <w:pPr>
              <w:jc w:val="center"/>
              <w:rPr>
                <w:szCs w:val="24"/>
              </w:rPr>
            </w:pPr>
          </w:p>
        </w:tc>
      </w:tr>
      <w:tr w14:paraId="2BA7A731" w14:textId="77777777" w:rsidTr="004F713C">
        <w:tblPrEx>
          <w:tblW w:w="9810" w:type="dxa"/>
          <w:tblLayout w:type="fixed"/>
          <w:tblCellMar>
            <w:top w:w="29" w:type="dxa"/>
            <w:bottom w:w="29" w:type="dxa"/>
          </w:tblCellMar>
          <w:tblLook w:val="04A0"/>
        </w:tblPrEx>
        <w:trPr>
          <w:trHeight w:val="302"/>
        </w:trPr>
        <w:tc>
          <w:tcPr>
            <w:tcW w:w="1710" w:type="dxa"/>
            <w:shd w:val="clear" w:color="auto" w:fill="auto"/>
            <w:noWrap/>
            <w:vAlign w:val="center"/>
            <w:hideMark/>
          </w:tcPr>
          <w:p w:rsidR="00983440" w:rsidRPr="00983440" w:rsidP="001D2298" w14:paraId="433F5AF0" w14:textId="77777777">
            <w:pPr>
              <w:rPr>
                <w:color w:val="000000"/>
                <w:sz w:val="22"/>
                <w:szCs w:val="22"/>
              </w:rPr>
            </w:pPr>
            <w:r w:rsidRPr="00983440">
              <w:rPr>
                <w:color w:val="000000"/>
                <w:sz w:val="22"/>
                <w:szCs w:val="22"/>
              </w:rPr>
              <w:t>Data analyses</w:t>
            </w:r>
          </w:p>
        </w:tc>
        <w:tc>
          <w:tcPr>
            <w:tcW w:w="675" w:type="dxa"/>
            <w:shd w:val="clear" w:color="auto" w:fill="auto"/>
            <w:noWrap/>
            <w:vAlign w:val="center"/>
            <w:hideMark/>
          </w:tcPr>
          <w:p w:rsidR="00983440" w:rsidRPr="00983440" w:rsidP="001D2298" w14:paraId="709077A3" w14:textId="77777777">
            <w:pPr>
              <w:jc w:val="center"/>
              <w:rPr>
                <w:color w:val="000000"/>
                <w:szCs w:val="24"/>
              </w:rPr>
            </w:pPr>
          </w:p>
        </w:tc>
        <w:tc>
          <w:tcPr>
            <w:tcW w:w="675" w:type="dxa"/>
            <w:shd w:val="clear" w:color="auto" w:fill="auto"/>
            <w:noWrap/>
            <w:vAlign w:val="center"/>
            <w:hideMark/>
          </w:tcPr>
          <w:p w:rsidR="00983440" w:rsidRPr="00983440" w:rsidP="001D2298" w14:paraId="714A88DF" w14:textId="77777777">
            <w:pPr>
              <w:jc w:val="center"/>
              <w:rPr>
                <w:szCs w:val="24"/>
              </w:rPr>
            </w:pPr>
          </w:p>
        </w:tc>
        <w:tc>
          <w:tcPr>
            <w:tcW w:w="675" w:type="dxa"/>
            <w:shd w:val="clear" w:color="000000" w:fill="808080"/>
            <w:noWrap/>
            <w:vAlign w:val="center"/>
            <w:hideMark/>
          </w:tcPr>
          <w:p w:rsidR="00983440" w:rsidRPr="00983440" w:rsidP="001D2298" w14:paraId="5371B923" w14:textId="168062F4">
            <w:pPr>
              <w:jc w:val="center"/>
              <w:rPr>
                <w:color w:val="000000"/>
                <w:szCs w:val="24"/>
              </w:rPr>
            </w:pPr>
          </w:p>
        </w:tc>
        <w:tc>
          <w:tcPr>
            <w:tcW w:w="675" w:type="dxa"/>
            <w:shd w:val="clear" w:color="000000" w:fill="808080"/>
            <w:noWrap/>
            <w:vAlign w:val="center"/>
            <w:hideMark/>
          </w:tcPr>
          <w:p w:rsidR="00983440" w:rsidRPr="00983440" w:rsidP="001D2298" w14:paraId="4CD863BB" w14:textId="5660E1A3">
            <w:pPr>
              <w:jc w:val="center"/>
              <w:rPr>
                <w:color w:val="000000"/>
                <w:szCs w:val="24"/>
              </w:rPr>
            </w:pPr>
          </w:p>
        </w:tc>
        <w:tc>
          <w:tcPr>
            <w:tcW w:w="675" w:type="dxa"/>
            <w:shd w:val="clear" w:color="000000" w:fill="808080"/>
            <w:noWrap/>
            <w:vAlign w:val="center"/>
            <w:hideMark/>
          </w:tcPr>
          <w:p w:rsidR="00983440" w:rsidRPr="00983440" w:rsidP="001D2298" w14:paraId="2476EBFB" w14:textId="5DBD107E">
            <w:pPr>
              <w:jc w:val="center"/>
              <w:rPr>
                <w:color w:val="000000"/>
                <w:szCs w:val="24"/>
              </w:rPr>
            </w:pPr>
          </w:p>
        </w:tc>
        <w:tc>
          <w:tcPr>
            <w:tcW w:w="675" w:type="dxa"/>
            <w:shd w:val="clear" w:color="000000" w:fill="808080"/>
            <w:noWrap/>
            <w:vAlign w:val="center"/>
            <w:hideMark/>
          </w:tcPr>
          <w:p w:rsidR="00983440" w:rsidRPr="00983440" w:rsidP="001D2298" w14:paraId="0147B702" w14:textId="392E894A">
            <w:pPr>
              <w:jc w:val="center"/>
              <w:rPr>
                <w:color w:val="000000"/>
                <w:szCs w:val="24"/>
              </w:rPr>
            </w:pPr>
          </w:p>
        </w:tc>
        <w:tc>
          <w:tcPr>
            <w:tcW w:w="675" w:type="dxa"/>
            <w:shd w:val="clear" w:color="000000" w:fill="808080"/>
            <w:noWrap/>
            <w:vAlign w:val="center"/>
            <w:hideMark/>
          </w:tcPr>
          <w:p w:rsidR="00983440" w:rsidRPr="00983440" w:rsidP="001D2298" w14:paraId="37446B65" w14:textId="4955BBB7">
            <w:pPr>
              <w:jc w:val="center"/>
              <w:rPr>
                <w:color w:val="000000"/>
                <w:szCs w:val="24"/>
              </w:rPr>
            </w:pPr>
          </w:p>
        </w:tc>
        <w:tc>
          <w:tcPr>
            <w:tcW w:w="675" w:type="dxa"/>
            <w:shd w:val="clear" w:color="000000" w:fill="808080"/>
            <w:noWrap/>
            <w:vAlign w:val="center"/>
            <w:hideMark/>
          </w:tcPr>
          <w:p w:rsidR="00983440" w:rsidRPr="00983440" w:rsidP="001D2298" w14:paraId="56D8C6DA" w14:textId="790F4188">
            <w:pPr>
              <w:jc w:val="center"/>
              <w:rPr>
                <w:color w:val="000000"/>
                <w:szCs w:val="24"/>
              </w:rPr>
            </w:pPr>
          </w:p>
        </w:tc>
        <w:tc>
          <w:tcPr>
            <w:tcW w:w="675" w:type="dxa"/>
            <w:shd w:val="clear" w:color="000000" w:fill="808080"/>
            <w:noWrap/>
            <w:vAlign w:val="center"/>
            <w:hideMark/>
          </w:tcPr>
          <w:p w:rsidR="00983440" w:rsidRPr="00983440" w:rsidP="001D2298" w14:paraId="5551713C" w14:textId="5951E761">
            <w:pPr>
              <w:jc w:val="center"/>
              <w:rPr>
                <w:color w:val="000000"/>
                <w:szCs w:val="24"/>
              </w:rPr>
            </w:pPr>
          </w:p>
        </w:tc>
        <w:tc>
          <w:tcPr>
            <w:tcW w:w="675" w:type="dxa"/>
            <w:shd w:val="clear" w:color="000000" w:fill="808080"/>
            <w:noWrap/>
            <w:vAlign w:val="center"/>
            <w:hideMark/>
          </w:tcPr>
          <w:p w:rsidR="00983440" w:rsidRPr="00983440" w:rsidP="001D2298" w14:paraId="3071F50C" w14:textId="36266083">
            <w:pPr>
              <w:jc w:val="center"/>
              <w:rPr>
                <w:color w:val="000000"/>
                <w:szCs w:val="24"/>
              </w:rPr>
            </w:pPr>
          </w:p>
        </w:tc>
        <w:tc>
          <w:tcPr>
            <w:tcW w:w="675" w:type="dxa"/>
            <w:shd w:val="clear" w:color="000000" w:fill="808080"/>
            <w:noWrap/>
            <w:vAlign w:val="center"/>
            <w:hideMark/>
          </w:tcPr>
          <w:p w:rsidR="00983440" w:rsidRPr="00983440" w:rsidP="001D2298" w14:paraId="1ED29691" w14:textId="7951471F">
            <w:pPr>
              <w:jc w:val="center"/>
              <w:rPr>
                <w:color w:val="000000"/>
                <w:szCs w:val="24"/>
              </w:rPr>
            </w:pPr>
          </w:p>
        </w:tc>
        <w:tc>
          <w:tcPr>
            <w:tcW w:w="675" w:type="dxa"/>
            <w:shd w:val="clear" w:color="000000" w:fill="808080"/>
            <w:noWrap/>
            <w:vAlign w:val="center"/>
            <w:hideMark/>
          </w:tcPr>
          <w:p w:rsidR="00983440" w:rsidRPr="00983440" w:rsidP="001D2298" w14:paraId="0FE6FDEA" w14:textId="3E225FAE">
            <w:pPr>
              <w:jc w:val="center"/>
              <w:rPr>
                <w:color w:val="000000"/>
                <w:szCs w:val="24"/>
              </w:rPr>
            </w:pPr>
          </w:p>
        </w:tc>
      </w:tr>
      <w:tr w14:paraId="6EE9D6DE"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59C5CA95" w14:textId="77777777">
            <w:pPr>
              <w:rPr>
                <w:color w:val="000000"/>
                <w:sz w:val="22"/>
                <w:szCs w:val="22"/>
              </w:rPr>
            </w:pPr>
            <w:r w:rsidRPr="00983440">
              <w:rPr>
                <w:color w:val="000000"/>
                <w:sz w:val="22"/>
                <w:szCs w:val="22"/>
              </w:rPr>
              <w:t>Aggregate data reporting to participating facilities</w:t>
            </w:r>
          </w:p>
        </w:tc>
        <w:tc>
          <w:tcPr>
            <w:tcW w:w="675" w:type="dxa"/>
            <w:shd w:val="clear" w:color="auto" w:fill="auto"/>
            <w:noWrap/>
            <w:vAlign w:val="center"/>
            <w:hideMark/>
          </w:tcPr>
          <w:p w:rsidR="00983440" w:rsidRPr="00983440" w:rsidP="001D2298" w14:paraId="13F9906C" w14:textId="77777777">
            <w:pPr>
              <w:jc w:val="center"/>
              <w:rPr>
                <w:color w:val="000000"/>
                <w:szCs w:val="24"/>
              </w:rPr>
            </w:pPr>
          </w:p>
        </w:tc>
        <w:tc>
          <w:tcPr>
            <w:tcW w:w="675" w:type="dxa"/>
            <w:shd w:val="clear" w:color="auto" w:fill="auto"/>
            <w:noWrap/>
            <w:vAlign w:val="center"/>
            <w:hideMark/>
          </w:tcPr>
          <w:p w:rsidR="00983440" w:rsidRPr="00983440" w:rsidP="001D2298" w14:paraId="68262DFD" w14:textId="77777777">
            <w:pPr>
              <w:jc w:val="center"/>
              <w:rPr>
                <w:szCs w:val="24"/>
              </w:rPr>
            </w:pPr>
          </w:p>
        </w:tc>
        <w:tc>
          <w:tcPr>
            <w:tcW w:w="675" w:type="dxa"/>
            <w:shd w:val="clear" w:color="000000" w:fill="808080"/>
            <w:noWrap/>
            <w:vAlign w:val="center"/>
            <w:hideMark/>
          </w:tcPr>
          <w:p w:rsidR="00983440" w:rsidRPr="00983440" w:rsidP="001D2298" w14:paraId="1BBF29F0" w14:textId="47BD73F2">
            <w:pPr>
              <w:jc w:val="center"/>
              <w:rPr>
                <w:color w:val="000000"/>
                <w:szCs w:val="24"/>
              </w:rPr>
            </w:pPr>
          </w:p>
        </w:tc>
        <w:tc>
          <w:tcPr>
            <w:tcW w:w="675" w:type="dxa"/>
            <w:shd w:val="clear" w:color="000000" w:fill="808080"/>
            <w:noWrap/>
            <w:vAlign w:val="center"/>
            <w:hideMark/>
          </w:tcPr>
          <w:p w:rsidR="00983440" w:rsidRPr="00983440" w:rsidP="001D2298" w14:paraId="0FB8ACAA" w14:textId="4A15EDAB">
            <w:pPr>
              <w:jc w:val="center"/>
              <w:rPr>
                <w:color w:val="000000"/>
                <w:szCs w:val="24"/>
              </w:rPr>
            </w:pPr>
          </w:p>
        </w:tc>
        <w:tc>
          <w:tcPr>
            <w:tcW w:w="675" w:type="dxa"/>
            <w:shd w:val="clear" w:color="000000" w:fill="808080"/>
            <w:noWrap/>
            <w:vAlign w:val="center"/>
            <w:hideMark/>
          </w:tcPr>
          <w:p w:rsidR="00983440" w:rsidRPr="00983440" w:rsidP="001D2298" w14:paraId="3AC4AC62" w14:textId="464BA265">
            <w:pPr>
              <w:jc w:val="center"/>
              <w:rPr>
                <w:color w:val="000000"/>
                <w:szCs w:val="24"/>
              </w:rPr>
            </w:pPr>
          </w:p>
        </w:tc>
        <w:tc>
          <w:tcPr>
            <w:tcW w:w="675" w:type="dxa"/>
            <w:shd w:val="clear" w:color="000000" w:fill="808080"/>
            <w:noWrap/>
            <w:vAlign w:val="center"/>
            <w:hideMark/>
          </w:tcPr>
          <w:p w:rsidR="00983440" w:rsidRPr="00983440" w:rsidP="001D2298" w14:paraId="2615EF0A" w14:textId="5EA1DE65">
            <w:pPr>
              <w:jc w:val="center"/>
              <w:rPr>
                <w:color w:val="000000"/>
                <w:szCs w:val="24"/>
              </w:rPr>
            </w:pPr>
          </w:p>
        </w:tc>
        <w:tc>
          <w:tcPr>
            <w:tcW w:w="675" w:type="dxa"/>
            <w:shd w:val="clear" w:color="000000" w:fill="808080"/>
            <w:noWrap/>
            <w:vAlign w:val="center"/>
            <w:hideMark/>
          </w:tcPr>
          <w:p w:rsidR="00983440" w:rsidRPr="00983440" w:rsidP="001D2298" w14:paraId="32801864" w14:textId="02DDC381">
            <w:pPr>
              <w:jc w:val="center"/>
              <w:rPr>
                <w:color w:val="000000"/>
                <w:szCs w:val="24"/>
              </w:rPr>
            </w:pPr>
          </w:p>
        </w:tc>
        <w:tc>
          <w:tcPr>
            <w:tcW w:w="675" w:type="dxa"/>
            <w:shd w:val="clear" w:color="000000" w:fill="808080"/>
            <w:noWrap/>
            <w:vAlign w:val="center"/>
            <w:hideMark/>
          </w:tcPr>
          <w:p w:rsidR="00983440" w:rsidRPr="00983440" w:rsidP="001D2298" w14:paraId="77349249" w14:textId="10A1D42E">
            <w:pPr>
              <w:jc w:val="center"/>
              <w:rPr>
                <w:color w:val="000000"/>
                <w:szCs w:val="24"/>
              </w:rPr>
            </w:pPr>
          </w:p>
        </w:tc>
        <w:tc>
          <w:tcPr>
            <w:tcW w:w="675" w:type="dxa"/>
            <w:shd w:val="clear" w:color="000000" w:fill="808080"/>
            <w:noWrap/>
            <w:vAlign w:val="center"/>
            <w:hideMark/>
          </w:tcPr>
          <w:p w:rsidR="00983440" w:rsidRPr="00983440" w:rsidP="001D2298" w14:paraId="36DCF22E" w14:textId="2B55918D">
            <w:pPr>
              <w:jc w:val="center"/>
              <w:rPr>
                <w:color w:val="000000"/>
                <w:szCs w:val="24"/>
              </w:rPr>
            </w:pPr>
          </w:p>
        </w:tc>
        <w:tc>
          <w:tcPr>
            <w:tcW w:w="675" w:type="dxa"/>
            <w:shd w:val="clear" w:color="000000" w:fill="808080"/>
            <w:noWrap/>
            <w:vAlign w:val="center"/>
            <w:hideMark/>
          </w:tcPr>
          <w:p w:rsidR="00983440" w:rsidRPr="00983440" w:rsidP="001D2298" w14:paraId="5543ABB2" w14:textId="0CBD987B">
            <w:pPr>
              <w:jc w:val="center"/>
              <w:rPr>
                <w:color w:val="000000"/>
                <w:szCs w:val="24"/>
              </w:rPr>
            </w:pPr>
          </w:p>
        </w:tc>
        <w:tc>
          <w:tcPr>
            <w:tcW w:w="675" w:type="dxa"/>
            <w:shd w:val="clear" w:color="000000" w:fill="808080"/>
            <w:noWrap/>
            <w:vAlign w:val="center"/>
            <w:hideMark/>
          </w:tcPr>
          <w:p w:rsidR="00983440" w:rsidRPr="00983440" w:rsidP="001D2298" w14:paraId="201EB577" w14:textId="608F5A62">
            <w:pPr>
              <w:jc w:val="center"/>
              <w:rPr>
                <w:color w:val="000000"/>
                <w:szCs w:val="24"/>
              </w:rPr>
            </w:pPr>
          </w:p>
        </w:tc>
        <w:tc>
          <w:tcPr>
            <w:tcW w:w="675" w:type="dxa"/>
            <w:shd w:val="clear" w:color="000000" w:fill="808080"/>
            <w:noWrap/>
            <w:vAlign w:val="center"/>
            <w:hideMark/>
          </w:tcPr>
          <w:p w:rsidR="00983440" w:rsidRPr="00983440" w:rsidP="001D2298" w14:paraId="55245BFD" w14:textId="768B482D">
            <w:pPr>
              <w:jc w:val="center"/>
              <w:rPr>
                <w:color w:val="000000"/>
                <w:szCs w:val="24"/>
              </w:rPr>
            </w:pPr>
          </w:p>
        </w:tc>
      </w:tr>
      <w:tr w14:paraId="4B807D40" w14:textId="77777777" w:rsidTr="00A37E67">
        <w:tblPrEx>
          <w:tblW w:w="9810" w:type="dxa"/>
          <w:tblLayout w:type="fixed"/>
          <w:tblCellMar>
            <w:top w:w="29" w:type="dxa"/>
            <w:bottom w:w="29" w:type="dxa"/>
          </w:tblCellMar>
          <w:tblLook w:val="04A0"/>
        </w:tblPrEx>
        <w:trPr>
          <w:trHeight w:val="600"/>
        </w:trPr>
        <w:tc>
          <w:tcPr>
            <w:tcW w:w="1710" w:type="dxa"/>
            <w:shd w:val="clear" w:color="auto" w:fill="auto"/>
            <w:vAlign w:val="center"/>
            <w:hideMark/>
          </w:tcPr>
          <w:p w:rsidR="00983440" w:rsidRPr="00983440" w:rsidP="001D2298" w14:paraId="1BE4FA50" w14:textId="0158CA1C">
            <w:pPr>
              <w:rPr>
                <w:color w:val="000000"/>
                <w:sz w:val="22"/>
                <w:szCs w:val="22"/>
              </w:rPr>
            </w:pPr>
            <w:r w:rsidRPr="00A37E67">
              <w:rPr>
                <w:color w:val="000000"/>
                <w:sz w:val="22"/>
                <w:szCs w:val="22"/>
              </w:rPr>
              <w:t>Prepare</w:t>
            </w:r>
            <w:r w:rsidRPr="00983440">
              <w:rPr>
                <w:color w:val="000000"/>
                <w:sz w:val="22"/>
                <w:szCs w:val="22"/>
              </w:rPr>
              <w:t xml:space="preserve"> publications for journals</w:t>
            </w:r>
          </w:p>
        </w:tc>
        <w:tc>
          <w:tcPr>
            <w:tcW w:w="675" w:type="dxa"/>
            <w:shd w:val="clear" w:color="auto" w:fill="auto"/>
            <w:noWrap/>
            <w:vAlign w:val="center"/>
            <w:hideMark/>
          </w:tcPr>
          <w:p w:rsidR="00983440" w:rsidRPr="00983440" w:rsidP="001D2298" w14:paraId="3A6385B0" w14:textId="77777777">
            <w:pPr>
              <w:jc w:val="center"/>
              <w:rPr>
                <w:color w:val="000000"/>
                <w:szCs w:val="24"/>
              </w:rPr>
            </w:pPr>
          </w:p>
        </w:tc>
        <w:tc>
          <w:tcPr>
            <w:tcW w:w="675" w:type="dxa"/>
            <w:shd w:val="clear" w:color="auto" w:fill="auto"/>
            <w:noWrap/>
            <w:vAlign w:val="center"/>
            <w:hideMark/>
          </w:tcPr>
          <w:p w:rsidR="00983440" w:rsidRPr="00983440" w:rsidP="001D2298" w14:paraId="170C7460" w14:textId="77777777">
            <w:pPr>
              <w:jc w:val="center"/>
              <w:rPr>
                <w:szCs w:val="24"/>
              </w:rPr>
            </w:pPr>
          </w:p>
        </w:tc>
        <w:tc>
          <w:tcPr>
            <w:tcW w:w="675" w:type="dxa"/>
            <w:shd w:val="clear" w:color="auto" w:fill="auto"/>
            <w:noWrap/>
            <w:vAlign w:val="center"/>
            <w:hideMark/>
          </w:tcPr>
          <w:p w:rsidR="00983440" w:rsidRPr="00983440" w:rsidP="001D2298" w14:paraId="53D94CA2" w14:textId="77777777">
            <w:pPr>
              <w:jc w:val="center"/>
              <w:rPr>
                <w:szCs w:val="24"/>
              </w:rPr>
            </w:pPr>
          </w:p>
        </w:tc>
        <w:tc>
          <w:tcPr>
            <w:tcW w:w="675" w:type="dxa"/>
            <w:shd w:val="clear" w:color="auto" w:fill="auto"/>
            <w:noWrap/>
            <w:vAlign w:val="center"/>
            <w:hideMark/>
          </w:tcPr>
          <w:p w:rsidR="00983440" w:rsidRPr="00983440" w:rsidP="001D2298" w14:paraId="525DC0D0" w14:textId="77777777">
            <w:pPr>
              <w:jc w:val="center"/>
              <w:rPr>
                <w:szCs w:val="24"/>
              </w:rPr>
            </w:pPr>
          </w:p>
        </w:tc>
        <w:tc>
          <w:tcPr>
            <w:tcW w:w="675" w:type="dxa"/>
            <w:shd w:val="clear" w:color="auto" w:fill="auto"/>
            <w:noWrap/>
            <w:vAlign w:val="center"/>
            <w:hideMark/>
          </w:tcPr>
          <w:p w:rsidR="00983440" w:rsidRPr="00983440" w:rsidP="001D2298" w14:paraId="71BABCDB" w14:textId="77777777">
            <w:pPr>
              <w:jc w:val="center"/>
              <w:rPr>
                <w:szCs w:val="24"/>
              </w:rPr>
            </w:pPr>
          </w:p>
        </w:tc>
        <w:tc>
          <w:tcPr>
            <w:tcW w:w="675" w:type="dxa"/>
            <w:shd w:val="clear" w:color="auto" w:fill="auto"/>
            <w:noWrap/>
            <w:vAlign w:val="center"/>
            <w:hideMark/>
          </w:tcPr>
          <w:p w:rsidR="00983440" w:rsidRPr="00983440" w:rsidP="001D2298" w14:paraId="23EC20D6" w14:textId="77777777">
            <w:pPr>
              <w:jc w:val="center"/>
              <w:rPr>
                <w:szCs w:val="24"/>
              </w:rPr>
            </w:pPr>
          </w:p>
        </w:tc>
        <w:tc>
          <w:tcPr>
            <w:tcW w:w="675" w:type="dxa"/>
            <w:shd w:val="clear" w:color="auto" w:fill="auto"/>
            <w:noWrap/>
            <w:vAlign w:val="center"/>
            <w:hideMark/>
          </w:tcPr>
          <w:p w:rsidR="00983440" w:rsidRPr="00983440" w:rsidP="001D2298" w14:paraId="34B46E36" w14:textId="77777777">
            <w:pPr>
              <w:jc w:val="center"/>
              <w:rPr>
                <w:szCs w:val="24"/>
              </w:rPr>
            </w:pPr>
          </w:p>
        </w:tc>
        <w:tc>
          <w:tcPr>
            <w:tcW w:w="675" w:type="dxa"/>
            <w:shd w:val="clear" w:color="auto" w:fill="auto"/>
            <w:noWrap/>
            <w:vAlign w:val="center"/>
            <w:hideMark/>
          </w:tcPr>
          <w:p w:rsidR="00983440" w:rsidRPr="00983440" w:rsidP="001D2298" w14:paraId="08F4D780" w14:textId="77777777">
            <w:pPr>
              <w:jc w:val="center"/>
              <w:rPr>
                <w:szCs w:val="24"/>
              </w:rPr>
            </w:pPr>
          </w:p>
        </w:tc>
        <w:tc>
          <w:tcPr>
            <w:tcW w:w="675" w:type="dxa"/>
            <w:shd w:val="clear" w:color="auto" w:fill="auto"/>
            <w:noWrap/>
            <w:vAlign w:val="center"/>
            <w:hideMark/>
          </w:tcPr>
          <w:p w:rsidR="00983440" w:rsidRPr="00983440" w:rsidP="001D2298" w14:paraId="33FC00B9" w14:textId="77777777">
            <w:pPr>
              <w:jc w:val="center"/>
              <w:rPr>
                <w:szCs w:val="24"/>
              </w:rPr>
            </w:pPr>
          </w:p>
        </w:tc>
        <w:tc>
          <w:tcPr>
            <w:tcW w:w="675" w:type="dxa"/>
            <w:shd w:val="clear" w:color="000000" w:fill="808080"/>
            <w:noWrap/>
            <w:vAlign w:val="center"/>
            <w:hideMark/>
          </w:tcPr>
          <w:p w:rsidR="00983440" w:rsidRPr="00983440" w:rsidP="001D2298" w14:paraId="65B48E06" w14:textId="585CD9BC">
            <w:pPr>
              <w:jc w:val="center"/>
              <w:rPr>
                <w:color w:val="000000"/>
                <w:szCs w:val="24"/>
              </w:rPr>
            </w:pPr>
          </w:p>
        </w:tc>
        <w:tc>
          <w:tcPr>
            <w:tcW w:w="675" w:type="dxa"/>
            <w:shd w:val="clear" w:color="000000" w:fill="808080"/>
            <w:noWrap/>
            <w:vAlign w:val="center"/>
            <w:hideMark/>
          </w:tcPr>
          <w:p w:rsidR="00983440" w:rsidRPr="00983440" w:rsidP="001D2298" w14:paraId="5AB96DB2" w14:textId="7D19F701">
            <w:pPr>
              <w:jc w:val="center"/>
              <w:rPr>
                <w:color w:val="000000"/>
                <w:szCs w:val="24"/>
              </w:rPr>
            </w:pPr>
          </w:p>
        </w:tc>
        <w:tc>
          <w:tcPr>
            <w:tcW w:w="675" w:type="dxa"/>
            <w:shd w:val="clear" w:color="000000" w:fill="808080"/>
            <w:noWrap/>
            <w:vAlign w:val="center"/>
            <w:hideMark/>
          </w:tcPr>
          <w:p w:rsidR="00983440" w:rsidRPr="00983440" w:rsidP="001D2298" w14:paraId="16B226A0" w14:textId="6825EF46">
            <w:pPr>
              <w:jc w:val="center"/>
              <w:rPr>
                <w:color w:val="000000"/>
                <w:szCs w:val="24"/>
              </w:rPr>
            </w:pPr>
          </w:p>
        </w:tc>
      </w:tr>
      <w:tr w14:paraId="1323097C" w14:textId="77777777" w:rsidTr="00A37E67">
        <w:tblPrEx>
          <w:tblW w:w="9810" w:type="dxa"/>
          <w:tblLayout w:type="fixed"/>
          <w:tblCellMar>
            <w:top w:w="29" w:type="dxa"/>
            <w:bottom w:w="29" w:type="dxa"/>
          </w:tblCellMar>
          <w:tblLook w:val="04A0"/>
        </w:tblPrEx>
        <w:trPr>
          <w:trHeight w:val="300"/>
        </w:trPr>
        <w:tc>
          <w:tcPr>
            <w:tcW w:w="1710" w:type="dxa"/>
            <w:shd w:val="clear" w:color="auto" w:fill="auto"/>
            <w:noWrap/>
            <w:vAlign w:val="center"/>
            <w:hideMark/>
          </w:tcPr>
          <w:p w:rsidR="00983440" w:rsidRPr="00983440" w:rsidP="001D2298" w14:paraId="1B51D1C6" w14:textId="77777777">
            <w:pPr>
              <w:rPr>
                <w:color w:val="000000"/>
                <w:sz w:val="22"/>
                <w:szCs w:val="22"/>
              </w:rPr>
            </w:pPr>
            <w:r w:rsidRPr="00983440">
              <w:rPr>
                <w:color w:val="000000"/>
                <w:sz w:val="22"/>
                <w:szCs w:val="22"/>
              </w:rPr>
              <w:t>Presentations at scientific meetings</w:t>
            </w:r>
          </w:p>
        </w:tc>
        <w:tc>
          <w:tcPr>
            <w:tcW w:w="675" w:type="dxa"/>
            <w:shd w:val="clear" w:color="auto" w:fill="auto"/>
            <w:noWrap/>
            <w:vAlign w:val="center"/>
            <w:hideMark/>
          </w:tcPr>
          <w:p w:rsidR="00983440" w:rsidRPr="00983440" w:rsidP="001D2298" w14:paraId="2CE96462" w14:textId="77777777">
            <w:pPr>
              <w:jc w:val="center"/>
              <w:rPr>
                <w:color w:val="000000"/>
                <w:szCs w:val="24"/>
              </w:rPr>
            </w:pPr>
          </w:p>
        </w:tc>
        <w:tc>
          <w:tcPr>
            <w:tcW w:w="675" w:type="dxa"/>
            <w:shd w:val="clear" w:color="auto" w:fill="auto"/>
            <w:noWrap/>
            <w:vAlign w:val="center"/>
            <w:hideMark/>
          </w:tcPr>
          <w:p w:rsidR="00983440" w:rsidRPr="00983440" w:rsidP="001D2298" w14:paraId="10BCDA12" w14:textId="77777777">
            <w:pPr>
              <w:jc w:val="center"/>
              <w:rPr>
                <w:szCs w:val="24"/>
              </w:rPr>
            </w:pPr>
          </w:p>
        </w:tc>
        <w:tc>
          <w:tcPr>
            <w:tcW w:w="675" w:type="dxa"/>
            <w:shd w:val="clear" w:color="auto" w:fill="auto"/>
            <w:noWrap/>
            <w:vAlign w:val="center"/>
            <w:hideMark/>
          </w:tcPr>
          <w:p w:rsidR="00983440" w:rsidRPr="00983440" w:rsidP="001D2298" w14:paraId="3806AF8B" w14:textId="77777777">
            <w:pPr>
              <w:jc w:val="center"/>
              <w:rPr>
                <w:szCs w:val="24"/>
              </w:rPr>
            </w:pPr>
          </w:p>
        </w:tc>
        <w:tc>
          <w:tcPr>
            <w:tcW w:w="675" w:type="dxa"/>
            <w:shd w:val="clear" w:color="000000" w:fill="808080"/>
            <w:noWrap/>
            <w:vAlign w:val="center"/>
            <w:hideMark/>
          </w:tcPr>
          <w:p w:rsidR="00983440" w:rsidRPr="00983440" w:rsidP="001D2298" w14:paraId="73893A84" w14:textId="125951D5">
            <w:pPr>
              <w:jc w:val="center"/>
              <w:rPr>
                <w:color w:val="000000"/>
                <w:szCs w:val="24"/>
              </w:rPr>
            </w:pPr>
          </w:p>
        </w:tc>
        <w:tc>
          <w:tcPr>
            <w:tcW w:w="675" w:type="dxa"/>
            <w:shd w:val="clear" w:color="auto" w:fill="auto"/>
            <w:noWrap/>
            <w:vAlign w:val="center"/>
            <w:hideMark/>
          </w:tcPr>
          <w:p w:rsidR="00983440" w:rsidRPr="00983440" w:rsidP="001D2298" w14:paraId="7296BDAE" w14:textId="77777777">
            <w:pPr>
              <w:jc w:val="center"/>
              <w:rPr>
                <w:color w:val="000000"/>
                <w:szCs w:val="24"/>
              </w:rPr>
            </w:pPr>
          </w:p>
        </w:tc>
        <w:tc>
          <w:tcPr>
            <w:tcW w:w="675" w:type="dxa"/>
            <w:shd w:val="clear" w:color="auto" w:fill="auto"/>
            <w:noWrap/>
            <w:vAlign w:val="center"/>
            <w:hideMark/>
          </w:tcPr>
          <w:p w:rsidR="00983440" w:rsidRPr="00983440" w:rsidP="001D2298" w14:paraId="1BF7B36D" w14:textId="77777777">
            <w:pPr>
              <w:jc w:val="center"/>
              <w:rPr>
                <w:szCs w:val="24"/>
              </w:rPr>
            </w:pPr>
          </w:p>
        </w:tc>
        <w:tc>
          <w:tcPr>
            <w:tcW w:w="675" w:type="dxa"/>
            <w:shd w:val="clear" w:color="000000" w:fill="808080"/>
            <w:noWrap/>
            <w:vAlign w:val="center"/>
            <w:hideMark/>
          </w:tcPr>
          <w:p w:rsidR="00983440" w:rsidRPr="00983440" w:rsidP="001D2298" w14:paraId="08AB0FC7" w14:textId="07A52675">
            <w:pPr>
              <w:jc w:val="center"/>
              <w:rPr>
                <w:color w:val="000000"/>
                <w:szCs w:val="24"/>
              </w:rPr>
            </w:pPr>
          </w:p>
        </w:tc>
        <w:tc>
          <w:tcPr>
            <w:tcW w:w="675" w:type="dxa"/>
            <w:shd w:val="clear" w:color="auto" w:fill="auto"/>
            <w:noWrap/>
            <w:vAlign w:val="center"/>
            <w:hideMark/>
          </w:tcPr>
          <w:p w:rsidR="00983440" w:rsidRPr="00983440" w:rsidP="001D2298" w14:paraId="2588FB18" w14:textId="77777777">
            <w:pPr>
              <w:jc w:val="center"/>
              <w:rPr>
                <w:color w:val="000000"/>
                <w:szCs w:val="24"/>
              </w:rPr>
            </w:pPr>
          </w:p>
        </w:tc>
        <w:tc>
          <w:tcPr>
            <w:tcW w:w="675" w:type="dxa"/>
            <w:shd w:val="clear" w:color="auto" w:fill="auto"/>
            <w:noWrap/>
            <w:vAlign w:val="center"/>
            <w:hideMark/>
          </w:tcPr>
          <w:p w:rsidR="00983440" w:rsidRPr="00983440" w:rsidP="001D2298" w14:paraId="13158B3B" w14:textId="77777777">
            <w:pPr>
              <w:jc w:val="center"/>
              <w:rPr>
                <w:szCs w:val="24"/>
              </w:rPr>
            </w:pPr>
          </w:p>
        </w:tc>
        <w:tc>
          <w:tcPr>
            <w:tcW w:w="675" w:type="dxa"/>
            <w:shd w:val="clear" w:color="000000" w:fill="808080"/>
            <w:noWrap/>
            <w:vAlign w:val="center"/>
            <w:hideMark/>
          </w:tcPr>
          <w:p w:rsidR="00983440" w:rsidRPr="00983440" w:rsidP="001D2298" w14:paraId="3C8B2329" w14:textId="65C11451">
            <w:pPr>
              <w:jc w:val="center"/>
              <w:rPr>
                <w:color w:val="000000"/>
                <w:szCs w:val="24"/>
              </w:rPr>
            </w:pPr>
          </w:p>
        </w:tc>
        <w:tc>
          <w:tcPr>
            <w:tcW w:w="675" w:type="dxa"/>
            <w:shd w:val="clear" w:color="000000" w:fill="808080"/>
            <w:noWrap/>
            <w:vAlign w:val="center"/>
            <w:hideMark/>
          </w:tcPr>
          <w:p w:rsidR="00983440" w:rsidRPr="00983440" w:rsidP="001D2298" w14:paraId="40D0B5BC" w14:textId="3B356202">
            <w:pPr>
              <w:jc w:val="center"/>
              <w:rPr>
                <w:color w:val="000000"/>
                <w:szCs w:val="24"/>
              </w:rPr>
            </w:pPr>
          </w:p>
        </w:tc>
        <w:tc>
          <w:tcPr>
            <w:tcW w:w="675" w:type="dxa"/>
            <w:shd w:val="clear" w:color="000000" w:fill="808080"/>
            <w:noWrap/>
            <w:vAlign w:val="center"/>
            <w:hideMark/>
          </w:tcPr>
          <w:p w:rsidR="00983440" w:rsidRPr="00983440" w:rsidP="001D2298" w14:paraId="21D8BEF9" w14:textId="09FDC6DD">
            <w:pPr>
              <w:jc w:val="center"/>
              <w:rPr>
                <w:color w:val="000000"/>
                <w:szCs w:val="24"/>
              </w:rPr>
            </w:pPr>
          </w:p>
        </w:tc>
      </w:tr>
    </w:tbl>
    <w:p w:rsidR="00983440" w:rsidP="00897E30" w14:paraId="6756B1B5" w14:textId="77777777"/>
    <w:p w:rsidR="00B247A8" w:rsidRPr="00055A99" w:rsidP="00983440" w14:paraId="1FBED38D" w14:textId="77777777">
      <w:pPr>
        <w:autoSpaceDE w:val="0"/>
        <w:autoSpaceDN w:val="0"/>
        <w:adjustRightInd w:val="0"/>
        <w:spacing w:after="67"/>
        <w:rPr>
          <w:color w:val="000000"/>
          <w:szCs w:val="24"/>
        </w:rPr>
      </w:pPr>
    </w:p>
    <w:p w:rsidR="003C1455" w:rsidRPr="00055A99" w:rsidP="00193B52" w14:paraId="2E3C80BB" w14:textId="1321D96E">
      <w:pPr>
        <w:pStyle w:val="Heading1"/>
      </w:pPr>
      <w:bookmarkStart w:id="22" w:name="_Toc165285117"/>
      <w:r w:rsidRPr="00055A99">
        <w:t>Reason(s) Display of OMB Expiration Date is Inappropriate</w:t>
      </w:r>
      <w:bookmarkEnd w:id="22"/>
      <w:r w:rsidRPr="00055A99">
        <w:t xml:space="preserve"> </w:t>
      </w:r>
    </w:p>
    <w:p w:rsidR="00193B52" w:rsidP="00B247A8" w14:paraId="6B9DDB3D" w14:textId="77777777"/>
    <w:p w:rsidR="00055A99" w:rsidRPr="00055A99" w:rsidP="00B247A8" w14:paraId="2AC49C99" w14:textId="4F1ECCA6">
      <w:r w:rsidRPr="00055A99">
        <w:t xml:space="preserve">Display of OMB </w:t>
      </w:r>
      <w:r w:rsidR="00706692">
        <w:t>e</w:t>
      </w:r>
      <w:r w:rsidRPr="00055A99">
        <w:t xml:space="preserve">xpiration </w:t>
      </w:r>
      <w:r w:rsidR="00706692">
        <w:t>d</w:t>
      </w:r>
      <w:r w:rsidRPr="00055A99">
        <w:t xml:space="preserve">ate is not inappropriate. </w:t>
      </w:r>
    </w:p>
    <w:p w:rsidR="003C1455" w:rsidRPr="00055A99" w:rsidP="00B247A8" w14:paraId="09AC3857" w14:textId="77777777"/>
    <w:p w:rsidR="003C1455" w:rsidRPr="00055A99" w:rsidP="00193B52" w14:paraId="622348C5" w14:textId="564BFAB8">
      <w:pPr>
        <w:pStyle w:val="Heading1"/>
      </w:pPr>
      <w:bookmarkStart w:id="23" w:name="_Toc165285118"/>
      <w:r w:rsidRPr="00055A99">
        <w:t>Exceptions to Certification for Paperwork Reduction Act Submissions</w:t>
      </w:r>
      <w:bookmarkEnd w:id="23"/>
      <w:r w:rsidRPr="00055A99">
        <w:t xml:space="preserve"> </w:t>
      </w:r>
    </w:p>
    <w:p w:rsidR="00193B52" w:rsidP="00B247A8" w14:paraId="252A21A4" w14:textId="77777777"/>
    <w:p w:rsidR="00055A99" w:rsidP="00B247A8" w14:paraId="0D884B7B" w14:textId="21F09252">
      <w:r>
        <w:t>There are no exceptions</w:t>
      </w:r>
      <w:r w:rsidR="00B81B71">
        <w:t xml:space="preserve"> to the certification</w:t>
      </w:r>
      <w:r>
        <w:t xml:space="preserve">. </w:t>
      </w:r>
    </w:p>
    <w:p w:rsidR="0088289C" w:rsidP="00B247A8" w14:paraId="37BC41E8" w14:textId="77777777"/>
    <w:p w:rsidR="00193B52" w:rsidP="00B247A8" w14:paraId="6BBF0EC7" w14:textId="77777777"/>
    <w:p w:rsidR="00AE5140" w:rsidRPr="00055A99" w:rsidP="00B247A8" w14:paraId="2D364753" w14:textId="77777777"/>
    <w:p w:rsidR="0088289C" w:rsidRPr="00055A99" w:rsidP="00B247A8" w14:paraId="3F176DA5" w14:textId="37824502">
      <w:r w:rsidRPr="00055A99">
        <w:t>References</w:t>
      </w:r>
    </w:p>
    <w:p w:rsidR="00751CEB" w:rsidRPr="000327E9" w:rsidP="003C1455" w14:paraId="1853EFD0" w14:textId="77777777">
      <w:pPr>
        <w:pStyle w:val="ListParagraph"/>
        <w:autoSpaceDE w:val="0"/>
        <w:autoSpaceDN w:val="0"/>
        <w:adjustRightInd w:val="0"/>
        <w:spacing w:after="67"/>
        <w:rPr>
          <w:rFonts w:ascii="Times New Roman" w:hAnsi="Times New Roman"/>
          <w:color w:val="000000"/>
          <w:sz w:val="24"/>
        </w:rPr>
      </w:pPr>
    </w:p>
    <w:p w:rsidR="00470C35" w:rsidRPr="00470C35" w:rsidP="00470C35" w14:paraId="1CF04F36" w14:textId="77777777">
      <w:pPr>
        <w:pStyle w:val="ListParagraph"/>
        <w:numPr>
          <w:ilvl w:val="0"/>
          <w:numId w:val="11"/>
        </w:numPr>
        <w:rPr>
          <w:rFonts w:ascii="Times New Roman" w:hAnsi="Times New Roman"/>
          <w:bCs/>
          <w:iCs/>
          <w:sz w:val="24"/>
        </w:rPr>
      </w:pPr>
      <w:r w:rsidRPr="00470C35">
        <w:rPr>
          <w:rFonts w:ascii="Times New Roman" w:hAnsi="Times New Roman"/>
          <w:bCs/>
          <w:iCs/>
          <w:sz w:val="24"/>
        </w:rPr>
        <w:t>NIOSH (2021). NIOSH worker well-being questionnaire (</w:t>
      </w:r>
      <w:r w:rsidRPr="00470C35">
        <w:rPr>
          <w:rFonts w:ascii="Times New Roman" w:hAnsi="Times New Roman"/>
          <w:bCs/>
          <w:iCs/>
          <w:sz w:val="24"/>
        </w:rPr>
        <w:t>WellBQ</w:t>
      </w:r>
      <w:r w:rsidRPr="00470C35">
        <w:rPr>
          <w:rFonts w:ascii="Times New Roman" w:hAnsi="Times New Roman"/>
          <w:bCs/>
          <w:iCs/>
          <w:sz w:val="24"/>
        </w:rPr>
        <w:t xml:space="preserve">). By Chari R, Chang CC, Sauter SL, </w:t>
      </w:r>
      <w:r w:rsidRPr="00470C35">
        <w:rPr>
          <w:rFonts w:ascii="Times New Roman" w:hAnsi="Times New Roman"/>
          <w:bCs/>
          <w:iCs/>
          <w:sz w:val="24"/>
        </w:rPr>
        <w:t>Petrun</w:t>
      </w:r>
      <w:r w:rsidRPr="00470C35">
        <w:rPr>
          <w:rFonts w:ascii="Times New Roman" w:hAnsi="Times New Roman"/>
          <w:bCs/>
          <w:iCs/>
          <w:sz w:val="24"/>
        </w:rPr>
        <w:t xml:space="preserve"> Sayers EL, Huang W, Fisher GG. Cincinnati, OH: U.S. Department of Health and Human Services, Centers for Disease Control and Prevention, National Institute for Occupational Safety and Health, DHHS (NIOSH) Publication No. 2021-110 (revised 5/2021), </w:t>
      </w:r>
      <w:hyperlink r:id="rId17" w:history="1">
        <w:r w:rsidRPr="00470C35">
          <w:rPr>
            <w:rStyle w:val="Hyperlink"/>
            <w:rFonts w:ascii="Times New Roman" w:hAnsi="Times New Roman"/>
            <w:bCs/>
            <w:iCs/>
            <w:sz w:val="24"/>
          </w:rPr>
          <w:t>https://doi.org/10.26616/NIOSHPUB2021110revised52021</w:t>
        </w:r>
      </w:hyperlink>
      <w:r w:rsidRPr="00470C35">
        <w:rPr>
          <w:rFonts w:ascii="Times New Roman" w:hAnsi="Times New Roman"/>
          <w:bCs/>
          <w:iCs/>
          <w:sz w:val="24"/>
        </w:rPr>
        <w:t>.</w:t>
      </w:r>
    </w:p>
    <w:p w:rsidR="00470C35" w:rsidRPr="00470C35" w:rsidP="00470C35" w14:paraId="4A1B9146"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w:t>
      </w:r>
      <w:r w:rsidRPr="00470C35">
        <w:rPr>
          <w:rFonts w:ascii="Times New Roman" w:hAnsi="Times New Roman" w:eastAsiaTheme="minorHAnsi"/>
          <w:bCs/>
          <w:color w:val="000000" w:themeColor="text1"/>
          <w:sz w:val="24"/>
        </w:rPr>
        <w:t>Boiano</w:t>
      </w:r>
      <w:r w:rsidRPr="00470C35">
        <w:rPr>
          <w:rFonts w:ascii="Times New Roman" w:hAnsi="Times New Roman" w:eastAsiaTheme="minorHAnsi"/>
          <w:bCs/>
          <w:color w:val="000000" w:themeColor="text1"/>
          <w:sz w:val="24"/>
        </w:rPr>
        <w:t xml:space="preserve"> JM, Sweeney MH. NIOSH health and safety practices survey of healthcare workers: training and awareness of employer safety procedures. Am J Ind Med. 2014;57(6):640–652. </w:t>
      </w:r>
      <w:hyperlink r:id="rId18" w:history="1">
        <w:r w:rsidRPr="00470C35">
          <w:rPr>
            <w:rStyle w:val="Hyperlink"/>
            <w:rFonts w:ascii="Times New Roman" w:hAnsi="Times New Roman" w:eastAsiaTheme="minorHAnsi"/>
            <w:bCs/>
            <w:sz w:val="24"/>
          </w:rPr>
          <w:t>https://doi.org/10.1002/ajim.22305</w:t>
        </w:r>
      </w:hyperlink>
      <w:r w:rsidRPr="00470C35">
        <w:rPr>
          <w:rFonts w:ascii="Times New Roman" w:hAnsi="Times New Roman" w:eastAsiaTheme="minorHAnsi"/>
          <w:bCs/>
          <w:color w:val="000000" w:themeColor="text1"/>
          <w:sz w:val="24"/>
        </w:rPr>
        <w:t xml:space="preserve">. </w:t>
      </w:r>
    </w:p>
    <w:p w:rsidR="00470C35" w:rsidRPr="00470C35" w:rsidP="00470C35" w14:paraId="1EA10F49"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Steege AL, </w:t>
      </w:r>
      <w:r w:rsidRPr="00470C35">
        <w:rPr>
          <w:rFonts w:ascii="Times New Roman" w:hAnsi="Times New Roman" w:eastAsiaTheme="minorHAnsi"/>
          <w:bCs/>
          <w:color w:val="000000" w:themeColor="text1"/>
          <w:sz w:val="24"/>
        </w:rPr>
        <w:t>Boiano</w:t>
      </w:r>
      <w:r w:rsidRPr="00470C35">
        <w:rPr>
          <w:rFonts w:ascii="Times New Roman" w:hAnsi="Times New Roman" w:eastAsiaTheme="minorHAnsi"/>
          <w:bCs/>
          <w:color w:val="000000" w:themeColor="text1"/>
          <w:sz w:val="24"/>
        </w:rPr>
        <w:t xml:space="preserve"> JM, Sweeney MH. Secondhand smoke in the operating room? Precautionary practices lacking for surgical smoke. Am J Ind Med. 2016;59(11):1020–1031. </w:t>
      </w:r>
      <w:hyperlink r:id="rId19" w:history="1">
        <w:r w:rsidRPr="00470C35">
          <w:rPr>
            <w:rStyle w:val="Hyperlink"/>
            <w:rFonts w:ascii="Times New Roman" w:hAnsi="Times New Roman" w:eastAsiaTheme="minorHAnsi"/>
            <w:bCs/>
            <w:sz w:val="24"/>
          </w:rPr>
          <w:t>https://doi.org/10.1002/ajim.22614</w:t>
        </w:r>
      </w:hyperlink>
      <w:r w:rsidRPr="00470C35">
        <w:rPr>
          <w:rFonts w:ascii="Times New Roman" w:hAnsi="Times New Roman" w:eastAsiaTheme="minorHAnsi"/>
          <w:bCs/>
          <w:color w:val="000000" w:themeColor="text1"/>
          <w:sz w:val="24"/>
        </w:rPr>
        <w:t>.</w:t>
      </w:r>
    </w:p>
    <w:p w:rsidR="00470C35" w:rsidRPr="00470C35" w:rsidP="00470C35" w14:paraId="23D429BB"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Burney PG, </w:t>
      </w:r>
      <w:r w:rsidRPr="00470C35">
        <w:rPr>
          <w:rFonts w:ascii="Times New Roman" w:hAnsi="Times New Roman" w:eastAsiaTheme="minorHAnsi"/>
          <w:bCs/>
          <w:color w:val="000000" w:themeColor="text1"/>
          <w:sz w:val="24"/>
        </w:rPr>
        <w:t>Luczynska</w:t>
      </w:r>
      <w:r w:rsidRPr="00470C35">
        <w:rPr>
          <w:rFonts w:ascii="Times New Roman" w:hAnsi="Times New Roman" w:eastAsiaTheme="minorHAnsi"/>
          <w:bCs/>
          <w:color w:val="000000" w:themeColor="text1"/>
          <w:sz w:val="24"/>
        </w:rPr>
        <w:t xml:space="preserve"> C, Chinn S, Jarvis D. The European community respiratory health survey. </w:t>
      </w:r>
      <w:r w:rsidRPr="00470C35">
        <w:rPr>
          <w:rFonts w:ascii="Times New Roman" w:hAnsi="Times New Roman" w:eastAsiaTheme="minorHAnsi"/>
          <w:bCs/>
          <w:color w:val="000000" w:themeColor="text1"/>
          <w:sz w:val="24"/>
        </w:rPr>
        <w:t>Eur</w:t>
      </w:r>
      <w:r w:rsidRPr="00470C35">
        <w:rPr>
          <w:rFonts w:ascii="Times New Roman" w:hAnsi="Times New Roman" w:eastAsiaTheme="minorHAnsi"/>
          <w:bCs/>
          <w:color w:val="000000" w:themeColor="text1"/>
          <w:sz w:val="24"/>
        </w:rPr>
        <w:t xml:space="preserve"> Respir J. 1994;7(5):954-960, </w:t>
      </w:r>
      <w:hyperlink r:id="rId20" w:history="1">
        <w:r w:rsidRPr="00470C35">
          <w:rPr>
            <w:rStyle w:val="Hyperlink"/>
            <w:rFonts w:ascii="Times New Roman" w:hAnsi="Times New Roman" w:eastAsiaTheme="minorHAnsi"/>
            <w:bCs/>
            <w:sz w:val="24"/>
          </w:rPr>
          <w:t>https://doi.org/10.1183/09031936.94.07050954</w:t>
        </w:r>
      </w:hyperlink>
      <w:r w:rsidRPr="00470C35">
        <w:rPr>
          <w:rFonts w:ascii="Times New Roman" w:hAnsi="Times New Roman" w:eastAsiaTheme="minorHAnsi"/>
          <w:bCs/>
          <w:color w:val="000000" w:themeColor="text1"/>
          <w:sz w:val="24"/>
        </w:rPr>
        <w:t>.</w:t>
      </w:r>
    </w:p>
    <w:p w:rsidR="00470C35" w:rsidRPr="00470C35" w:rsidP="00470C35" w14:paraId="1D51A5FB" w14:textId="3EDE4F74">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ECRHS. Questionnaires</w:t>
      </w:r>
      <w:r w:rsidR="00866EA6">
        <w:rPr>
          <w:rFonts w:ascii="Times New Roman" w:hAnsi="Times New Roman" w:eastAsiaTheme="minorHAnsi"/>
          <w:bCs/>
          <w:color w:val="000000" w:themeColor="text1"/>
          <w:sz w:val="24"/>
        </w:rPr>
        <w:t xml:space="preserve"> and p</w:t>
      </w:r>
      <w:r w:rsidRPr="00470C35">
        <w:rPr>
          <w:rFonts w:ascii="Times New Roman" w:hAnsi="Times New Roman" w:eastAsiaTheme="minorHAnsi"/>
          <w:bCs/>
          <w:color w:val="000000" w:themeColor="text1"/>
          <w:sz w:val="24"/>
        </w:rPr>
        <w:t>rotocols. European Community Respiratory Health Survey, 201</w:t>
      </w:r>
      <w:r w:rsidR="00866EA6">
        <w:rPr>
          <w:rFonts w:ascii="Times New Roman" w:hAnsi="Times New Roman" w:eastAsiaTheme="minorHAnsi"/>
          <w:bCs/>
          <w:color w:val="000000" w:themeColor="text1"/>
          <w:sz w:val="24"/>
        </w:rPr>
        <w:t>8</w:t>
      </w:r>
      <w:r w:rsidRPr="00470C35">
        <w:rPr>
          <w:rFonts w:ascii="Times New Roman" w:hAnsi="Times New Roman" w:eastAsiaTheme="minorHAnsi"/>
          <w:bCs/>
          <w:color w:val="000000" w:themeColor="text1"/>
          <w:sz w:val="24"/>
        </w:rPr>
        <w:t xml:space="preserve">. </w:t>
      </w:r>
      <w:hyperlink r:id="rId21" w:history="1">
        <w:r w:rsidRPr="00666145" w:rsidR="00866EA6">
          <w:rPr>
            <w:rStyle w:val="Hyperlink"/>
            <w:rFonts w:ascii="Times New Roman" w:hAnsi="Times New Roman" w:eastAsiaTheme="minorHAnsi"/>
            <w:bCs/>
            <w:sz w:val="24"/>
          </w:rPr>
          <w:t>https://www.ecrhs.org/questionnaires-and-protocols</w:t>
        </w:r>
      </w:hyperlink>
      <w:r w:rsidR="00866EA6">
        <w:rPr>
          <w:rFonts w:ascii="Times New Roman" w:hAnsi="Times New Roman" w:eastAsiaTheme="minorHAnsi"/>
          <w:bCs/>
          <w:color w:val="000000" w:themeColor="text1"/>
          <w:sz w:val="24"/>
        </w:rPr>
        <w:t xml:space="preserve">. </w:t>
      </w:r>
    </w:p>
    <w:p w:rsidR="00470C35" w:rsidRPr="00470C35" w:rsidP="00470C35" w14:paraId="605946C1"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Ferris BG. Epidemiology Standardization Project (American Thoracic Society). Am Rev Respir Dis. 1978;118(6 Pt 2), 1–120.</w:t>
      </w:r>
    </w:p>
    <w:p w:rsidR="00470C35" w:rsidRPr="00470C35" w:rsidP="00470C35" w14:paraId="5BFC3945"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 xml:space="preserve">CDC. Third National Health and Nutrition Examination Survey, 1988–1994. Hyattsville, Maryland: U.S. Department of Health and Human Services, Centers for Disease Control and Prevention. </w:t>
      </w:r>
      <w:hyperlink r:id="rId22" w:history="1">
        <w:r w:rsidRPr="00470C35">
          <w:rPr>
            <w:rStyle w:val="Hyperlink"/>
            <w:rFonts w:ascii="Times New Roman" w:hAnsi="Times New Roman" w:eastAsiaTheme="minorHAnsi"/>
            <w:bCs/>
            <w:sz w:val="24"/>
          </w:rPr>
          <w:t>https://wwwn.cdc.gov/nchs/nhanes/nhanes3/default.aspx</w:t>
        </w:r>
      </w:hyperlink>
      <w:r w:rsidRPr="00470C35">
        <w:rPr>
          <w:rFonts w:ascii="Times New Roman" w:hAnsi="Times New Roman" w:eastAsiaTheme="minorHAnsi"/>
          <w:bCs/>
          <w:color w:val="000000" w:themeColor="text1"/>
          <w:sz w:val="24"/>
        </w:rPr>
        <w:t xml:space="preserve">. </w:t>
      </w:r>
    </w:p>
    <w:p w:rsidR="00470C35" w:rsidRPr="00470C35" w:rsidP="00470C35" w14:paraId="762E0021"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CDC. Continuous National Health and Nutrition Examination Survey, 2007–2012. Hyattsville, Maryland: U.S. Department of Health and Human Services, Centers for Disease Control and Prevention.</w:t>
      </w:r>
      <w:r w:rsidRPr="00470C35">
        <w:rPr>
          <w:rFonts w:ascii="Times New Roman" w:hAnsi="Times New Roman"/>
          <w:sz w:val="24"/>
        </w:rPr>
        <w:t xml:space="preserve"> </w:t>
      </w:r>
      <w:hyperlink r:id="rId23" w:history="1">
        <w:r w:rsidRPr="00470C35">
          <w:rPr>
            <w:rStyle w:val="Hyperlink"/>
            <w:rFonts w:ascii="Times New Roman" w:hAnsi="Times New Roman" w:eastAsiaTheme="minorHAnsi"/>
            <w:bCs/>
            <w:sz w:val="24"/>
          </w:rPr>
          <w:t>https://wwwn.cdc.gov/nchs/nhanes/continuousnhanes/default.aspx</w:t>
        </w:r>
      </w:hyperlink>
      <w:r w:rsidRPr="00470C35">
        <w:rPr>
          <w:rFonts w:ascii="Times New Roman" w:hAnsi="Times New Roman" w:eastAsiaTheme="minorHAnsi"/>
          <w:bCs/>
          <w:color w:val="000000" w:themeColor="text1"/>
          <w:sz w:val="24"/>
        </w:rPr>
        <w:t xml:space="preserve"> </w:t>
      </w:r>
    </w:p>
    <w:p w:rsidR="00470C35" w:rsidRPr="00470C35" w:rsidP="00470C35" w14:paraId="5DC7D9B0"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NIOSH (2023). Evaluation of exposure to a hydrogen peroxide, peracetic acid, and acetic acid containing cleaning and disinfection product and symptoms in hospital employees. By Blackley BH, Virji M, Harvey R, Cox-</w:t>
      </w:r>
      <w:r w:rsidRPr="00470C35">
        <w:rPr>
          <w:rFonts w:ascii="Times New Roman" w:hAnsi="Times New Roman" w:eastAsiaTheme="minorHAnsi"/>
          <w:bCs/>
          <w:color w:val="000000" w:themeColor="text1"/>
          <w:sz w:val="24"/>
        </w:rPr>
        <w:t>Ganser</w:t>
      </w:r>
      <w:r w:rsidRPr="00470C35">
        <w:rPr>
          <w:rFonts w:ascii="Times New Roman" w:hAnsi="Times New Roman" w:eastAsiaTheme="minorHAnsi"/>
          <w:bCs/>
          <w:color w:val="000000" w:themeColor="text1"/>
          <w:sz w:val="24"/>
        </w:rPr>
        <w:t xml:space="preserve"> J, Nett R. Morgantown, WV: U.S. Department of Health and Human Services, Centers for Disease Control and Prevention, National Institute for Occupational Safety and Health, NIOSH HHE Report No. 2017-0114-3357. </w:t>
      </w:r>
      <w:hyperlink r:id="rId24" w:history="1">
        <w:r w:rsidRPr="00470C35">
          <w:rPr>
            <w:rStyle w:val="Hyperlink"/>
            <w:rFonts w:ascii="Times New Roman" w:hAnsi="Times New Roman" w:eastAsiaTheme="minorHAnsi"/>
            <w:bCs/>
            <w:sz w:val="24"/>
          </w:rPr>
          <w:t>http://www.cdc.gov/niosh/hhe/reports/pdfs/2017-0114-3357.pdf</w:t>
        </w:r>
      </w:hyperlink>
      <w:r w:rsidRPr="00470C35">
        <w:rPr>
          <w:rFonts w:ascii="Times New Roman" w:hAnsi="Times New Roman" w:eastAsiaTheme="minorHAnsi"/>
          <w:bCs/>
          <w:color w:val="000000" w:themeColor="text1"/>
          <w:sz w:val="24"/>
        </w:rPr>
        <w:t>.</w:t>
      </w:r>
    </w:p>
    <w:p w:rsidR="00470C35" w:rsidRPr="00470C35" w:rsidP="00470C35" w14:paraId="56F71DC3"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Blackley BH, Nett RJ, Cox-</w:t>
      </w:r>
      <w:r w:rsidRPr="00470C35">
        <w:rPr>
          <w:rFonts w:ascii="Times New Roman" w:hAnsi="Times New Roman" w:eastAsiaTheme="minorHAnsi"/>
          <w:bCs/>
          <w:color w:val="000000" w:themeColor="text1"/>
          <w:sz w:val="24"/>
        </w:rPr>
        <w:t>Ganser</w:t>
      </w:r>
      <w:r w:rsidRPr="00470C35">
        <w:rPr>
          <w:rFonts w:ascii="Times New Roman" w:hAnsi="Times New Roman" w:eastAsiaTheme="minorHAnsi"/>
          <w:bCs/>
          <w:color w:val="000000" w:themeColor="text1"/>
          <w:sz w:val="24"/>
        </w:rPr>
        <w:t xml:space="preserve"> JM, Harvey RR, Virji MA. Eye and airway symptoms in hospital staff exposed to a product containing hydrogen peroxide, peracetic acid, and acetic acid. Am J Ind Med. 2023;66(8):655–669. </w:t>
      </w:r>
      <w:hyperlink r:id="rId25" w:history="1">
        <w:r w:rsidRPr="00470C35">
          <w:rPr>
            <w:rStyle w:val="Hyperlink"/>
            <w:rFonts w:ascii="Times New Roman" w:hAnsi="Times New Roman" w:eastAsiaTheme="minorHAnsi"/>
            <w:bCs/>
            <w:sz w:val="24"/>
          </w:rPr>
          <w:t>https://doi.org/10.1002/ajim.23488</w:t>
        </w:r>
      </w:hyperlink>
      <w:r w:rsidRPr="00470C35">
        <w:rPr>
          <w:rFonts w:ascii="Times New Roman" w:hAnsi="Times New Roman" w:eastAsiaTheme="minorHAnsi"/>
          <w:bCs/>
          <w:color w:val="000000" w:themeColor="text1"/>
          <w:sz w:val="24"/>
        </w:rPr>
        <w:t>.</w:t>
      </w:r>
    </w:p>
    <w:p w:rsidR="00470C35" w:rsidP="00470C35" w14:paraId="613DA019" w14:textId="77777777">
      <w:pPr>
        <w:pStyle w:val="ListParagraph"/>
        <w:numPr>
          <w:ilvl w:val="0"/>
          <w:numId w:val="11"/>
        </w:numPr>
        <w:rPr>
          <w:rFonts w:ascii="Times New Roman" w:hAnsi="Times New Roman" w:eastAsiaTheme="minorHAnsi"/>
          <w:bCs/>
          <w:color w:val="000000" w:themeColor="text1"/>
          <w:sz w:val="24"/>
        </w:rPr>
      </w:pPr>
      <w:r w:rsidRPr="00470C35">
        <w:rPr>
          <w:rFonts w:ascii="Times New Roman" w:hAnsi="Times New Roman" w:eastAsiaTheme="minorHAnsi"/>
          <w:bCs/>
          <w:color w:val="000000" w:themeColor="text1"/>
          <w:sz w:val="24"/>
        </w:rPr>
        <w:t>Hawley B, Casey M, Virji MA, Cummings KJ, Johnson A, Cox-</w:t>
      </w:r>
      <w:r w:rsidRPr="00470C35">
        <w:rPr>
          <w:rFonts w:ascii="Times New Roman" w:hAnsi="Times New Roman" w:eastAsiaTheme="minorHAnsi"/>
          <w:bCs/>
          <w:color w:val="000000" w:themeColor="text1"/>
          <w:sz w:val="24"/>
        </w:rPr>
        <w:t>Ganser</w:t>
      </w:r>
      <w:r w:rsidRPr="00470C35">
        <w:rPr>
          <w:rFonts w:ascii="Times New Roman" w:hAnsi="Times New Roman" w:eastAsiaTheme="minorHAnsi"/>
          <w:bCs/>
          <w:color w:val="000000" w:themeColor="text1"/>
          <w:sz w:val="24"/>
        </w:rPr>
        <w:t xml:space="preserve"> J. Respiratory symptoms in hospital cleaning staff exposed to a product containing hydrogen peroxide, peracetic acid, and acetic acid. Ann Work Expo Health. 2017;62(1):28–40. </w:t>
      </w:r>
      <w:hyperlink r:id="rId26" w:history="1">
        <w:r w:rsidRPr="00470C35">
          <w:rPr>
            <w:rStyle w:val="Hyperlink"/>
            <w:rFonts w:ascii="Times New Roman" w:hAnsi="Times New Roman" w:eastAsiaTheme="minorHAnsi"/>
            <w:bCs/>
            <w:sz w:val="24"/>
          </w:rPr>
          <w:t>https://doi.org/10.1093/annweh/wxx087</w:t>
        </w:r>
      </w:hyperlink>
      <w:r w:rsidRPr="00470C35">
        <w:rPr>
          <w:rFonts w:ascii="Times New Roman" w:hAnsi="Times New Roman" w:eastAsiaTheme="minorHAnsi"/>
          <w:bCs/>
          <w:color w:val="000000" w:themeColor="text1"/>
          <w:sz w:val="24"/>
        </w:rPr>
        <w:t xml:space="preserve">. </w:t>
      </w:r>
    </w:p>
    <w:p w:rsidR="000E7A31" w:rsidP="00470C35" w14:paraId="2B12FFC5" w14:textId="051B6283">
      <w:pPr>
        <w:pStyle w:val="ListParagraph"/>
        <w:numPr>
          <w:ilvl w:val="0"/>
          <w:numId w:val="11"/>
        </w:numPr>
        <w:rPr>
          <w:rFonts w:ascii="Times New Roman" w:hAnsi="Times New Roman" w:eastAsiaTheme="minorHAnsi"/>
          <w:bCs/>
          <w:color w:val="000000" w:themeColor="text1"/>
          <w:sz w:val="24"/>
        </w:rPr>
      </w:pPr>
      <w:r w:rsidRPr="00443534">
        <w:rPr>
          <w:rFonts w:ascii="Times New Roman" w:hAnsi="Times New Roman" w:eastAsiaTheme="minorHAnsi"/>
          <w:bCs/>
          <w:color w:val="000000" w:themeColor="text1"/>
          <w:sz w:val="24"/>
        </w:rPr>
        <w:t>Revisions to OMB's Statistical Policy Directive No. 15: Standards for Maintaining, Collecting, and Presenting Federal Data on Race and Ethnicity</w:t>
      </w:r>
      <w:r w:rsidR="00EA7789">
        <w:rPr>
          <w:rFonts w:ascii="Times New Roman" w:hAnsi="Times New Roman" w:eastAsiaTheme="minorHAnsi"/>
          <w:bCs/>
          <w:color w:val="000000" w:themeColor="text1"/>
          <w:sz w:val="24"/>
        </w:rPr>
        <w:t>, 89</w:t>
      </w:r>
      <w:r w:rsidR="003947B4">
        <w:rPr>
          <w:rFonts w:ascii="Times New Roman" w:hAnsi="Times New Roman" w:eastAsiaTheme="minorHAnsi"/>
          <w:bCs/>
          <w:color w:val="000000" w:themeColor="text1"/>
          <w:sz w:val="24"/>
        </w:rPr>
        <w:t xml:space="preserve"> Fed. Reg. </w:t>
      </w:r>
      <w:r w:rsidR="00E04022">
        <w:rPr>
          <w:rFonts w:ascii="Times New Roman" w:hAnsi="Times New Roman" w:eastAsiaTheme="minorHAnsi"/>
          <w:bCs/>
          <w:color w:val="000000" w:themeColor="text1"/>
          <w:sz w:val="24"/>
        </w:rPr>
        <w:t>22182 (Mar. 29, 2024)</w:t>
      </w:r>
      <w:r w:rsidR="004637C2">
        <w:rPr>
          <w:rFonts w:ascii="Times New Roman" w:hAnsi="Times New Roman" w:eastAsiaTheme="minorHAnsi"/>
          <w:bCs/>
          <w:color w:val="000000" w:themeColor="text1"/>
          <w:sz w:val="24"/>
        </w:rPr>
        <w:t xml:space="preserve">, </w:t>
      </w:r>
      <w:hyperlink r:id="rId27" w:history="1">
        <w:r w:rsidRPr="00704FE1" w:rsidR="00AE09A5">
          <w:rPr>
            <w:rStyle w:val="Hyperlink"/>
            <w:rFonts w:ascii="Times New Roman" w:hAnsi="Times New Roman" w:eastAsiaTheme="minorHAnsi"/>
            <w:bCs/>
            <w:sz w:val="24"/>
          </w:rPr>
          <w:t>https://www.govinfo.gov/content/pkg/FR-2024-03-29/pdf/2024-06469.pdf</w:t>
        </w:r>
      </w:hyperlink>
    </w:p>
    <w:p w:rsidR="007A0A9F" w:rsidP="002A59FB" w14:paraId="2D0C49AB" w14:textId="2DFC6824">
      <w:pPr>
        <w:pStyle w:val="ListParagraph"/>
        <w:numPr>
          <w:ilvl w:val="0"/>
          <w:numId w:val="11"/>
        </w:numPr>
        <w:rPr>
          <w:rFonts w:ascii="Times New Roman" w:hAnsi="Times New Roman" w:eastAsiaTheme="minorHAnsi"/>
          <w:bCs/>
          <w:color w:val="000000" w:themeColor="text1"/>
          <w:sz w:val="24"/>
        </w:rPr>
      </w:pPr>
      <w:r w:rsidRPr="00E334CF">
        <w:rPr>
          <w:rFonts w:ascii="Times New Roman" w:hAnsi="Times New Roman" w:eastAsiaTheme="minorHAnsi"/>
          <w:bCs/>
          <w:color w:val="000000" w:themeColor="text1"/>
          <w:sz w:val="24"/>
        </w:rPr>
        <w:t>Subcommittee on Sexual Orientation, Gender Identity, and Variations in Sex Characteristics (SOGI) Data</w:t>
      </w:r>
      <w:r>
        <w:rPr>
          <w:rFonts w:ascii="Times New Roman" w:hAnsi="Times New Roman" w:eastAsiaTheme="minorHAnsi"/>
          <w:bCs/>
          <w:color w:val="000000" w:themeColor="text1"/>
          <w:sz w:val="24"/>
        </w:rPr>
        <w:t xml:space="preserve">, </w:t>
      </w:r>
      <w:r w:rsidRPr="00E334CF">
        <w:rPr>
          <w:rFonts w:ascii="Times New Roman" w:hAnsi="Times New Roman" w:eastAsiaTheme="minorHAnsi"/>
          <w:bCs/>
          <w:color w:val="000000" w:themeColor="text1"/>
          <w:sz w:val="24"/>
        </w:rPr>
        <w:t>Subcommittee on Equitable Data</w:t>
      </w:r>
      <w:r>
        <w:rPr>
          <w:rFonts w:ascii="Times New Roman" w:hAnsi="Times New Roman" w:eastAsiaTheme="minorHAnsi"/>
          <w:bCs/>
          <w:color w:val="000000" w:themeColor="text1"/>
          <w:sz w:val="24"/>
        </w:rPr>
        <w:t xml:space="preserve">, </w:t>
      </w:r>
      <w:r w:rsidRPr="00C00393" w:rsidR="00C00393">
        <w:rPr>
          <w:rFonts w:ascii="Times New Roman" w:hAnsi="Times New Roman" w:eastAsiaTheme="minorHAnsi"/>
          <w:bCs/>
          <w:color w:val="000000" w:themeColor="text1"/>
          <w:sz w:val="24"/>
        </w:rPr>
        <w:t xml:space="preserve">National Science </w:t>
      </w:r>
      <w:r w:rsidR="00C00393">
        <w:rPr>
          <w:rFonts w:ascii="Times New Roman" w:hAnsi="Times New Roman" w:eastAsiaTheme="minorHAnsi"/>
          <w:bCs/>
          <w:color w:val="000000" w:themeColor="text1"/>
          <w:sz w:val="24"/>
        </w:rPr>
        <w:t>a</w:t>
      </w:r>
      <w:r w:rsidRPr="00C00393" w:rsidR="00C00393">
        <w:rPr>
          <w:rFonts w:ascii="Times New Roman" w:hAnsi="Times New Roman" w:eastAsiaTheme="minorHAnsi"/>
          <w:bCs/>
          <w:color w:val="000000" w:themeColor="text1"/>
          <w:sz w:val="24"/>
        </w:rPr>
        <w:t>nd Technology Council</w:t>
      </w:r>
      <w:r w:rsidR="00A0403A">
        <w:rPr>
          <w:rFonts w:ascii="Times New Roman" w:hAnsi="Times New Roman" w:eastAsiaTheme="minorHAnsi"/>
          <w:bCs/>
          <w:color w:val="000000" w:themeColor="text1"/>
          <w:sz w:val="24"/>
        </w:rPr>
        <w:t>, Executive Office of the President of the United States</w:t>
      </w:r>
      <w:r w:rsidR="00C00393">
        <w:rPr>
          <w:rFonts w:ascii="Times New Roman" w:hAnsi="Times New Roman" w:eastAsiaTheme="minorHAnsi"/>
          <w:bCs/>
          <w:color w:val="000000" w:themeColor="text1"/>
          <w:sz w:val="24"/>
        </w:rPr>
        <w:t xml:space="preserve"> (2023).</w:t>
      </w:r>
      <w:r w:rsidR="00A0403A">
        <w:rPr>
          <w:rFonts w:ascii="Times New Roman" w:hAnsi="Times New Roman" w:eastAsiaTheme="minorHAnsi"/>
          <w:bCs/>
          <w:color w:val="000000" w:themeColor="text1"/>
          <w:sz w:val="24"/>
        </w:rPr>
        <w:t xml:space="preserve"> Federal Evidence Agenda on LGBTQI+ Equity. </w:t>
      </w:r>
      <w:hyperlink r:id="rId28" w:history="1">
        <w:r w:rsidRPr="00704FE1" w:rsidR="00A82C12">
          <w:rPr>
            <w:rStyle w:val="Hyperlink"/>
            <w:rFonts w:ascii="Times New Roman" w:hAnsi="Times New Roman" w:eastAsiaTheme="minorHAnsi"/>
            <w:bCs/>
            <w:sz w:val="24"/>
          </w:rPr>
          <w:t>https://www.whitehouse.gov/wp-content/uploads/2023/01/Federal-Evidence-Agenda-on-LGBTQI-Equity.pdf</w:t>
        </w:r>
      </w:hyperlink>
      <w:r w:rsidR="00A82C12">
        <w:rPr>
          <w:rFonts w:ascii="Times New Roman" w:hAnsi="Times New Roman" w:eastAsiaTheme="minorHAnsi"/>
          <w:bCs/>
          <w:color w:val="000000" w:themeColor="text1"/>
          <w:sz w:val="24"/>
        </w:rPr>
        <w:t xml:space="preserve"> </w:t>
      </w:r>
    </w:p>
    <w:p w:rsidR="00AE09A5" w:rsidRPr="003F7617" w:rsidP="003568F7" w14:paraId="6B138FC7" w14:textId="3575CF9A">
      <w:pPr>
        <w:pStyle w:val="ListParagraph"/>
        <w:numPr>
          <w:ilvl w:val="0"/>
          <w:numId w:val="11"/>
        </w:numPr>
        <w:rPr>
          <w:rFonts w:ascii="Times New Roman" w:hAnsi="Times New Roman" w:eastAsiaTheme="minorHAnsi"/>
          <w:bCs/>
          <w:color w:val="000000" w:themeColor="text1"/>
          <w:sz w:val="24"/>
        </w:rPr>
      </w:pPr>
      <w:r w:rsidRPr="00524068">
        <w:rPr>
          <w:rFonts w:ascii="Times New Roman" w:hAnsi="Times New Roman" w:eastAsiaTheme="minorHAnsi"/>
          <w:bCs/>
          <w:color w:val="000000" w:themeColor="text1"/>
          <w:sz w:val="24"/>
        </w:rPr>
        <w:t>Office of Management and Budget/Office of the Chief Statistician of the United States (2023). Recommendations on the best practices for the collection of sexual orientation and gender identity data on federal statistical surveys.</w:t>
      </w:r>
      <w:r w:rsidR="00524068">
        <w:rPr>
          <w:rFonts w:ascii="Times New Roman" w:hAnsi="Times New Roman" w:eastAsiaTheme="minorHAnsi"/>
          <w:bCs/>
          <w:color w:val="000000" w:themeColor="text1"/>
          <w:sz w:val="24"/>
        </w:rPr>
        <w:t xml:space="preserve"> </w:t>
      </w:r>
      <w:hyperlink r:id="rId29" w:history="1">
        <w:r w:rsidRPr="00704FE1" w:rsidR="00524068">
          <w:rPr>
            <w:rStyle w:val="Hyperlink"/>
            <w:rFonts w:ascii="Times New Roman" w:hAnsi="Times New Roman" w:eastAsiaTheme="minorHAnsi"/>
            <w:bCs/>
            <w:sz w:val="24"/>
          </w:rPr>
          <w:t>https://www.whitehouse.gov/wp-content/uploads/2023/01/SOGI-Best-Practices.pdf</w:t>
        </w:r>
      </w:hyperlink>
      <w:r w:rsidR="00524068">
        <w:rPr>
          <w:rFonts w:ascii="Times New Roman" w:hAnsi="Times New Roman" w:eastAsiaTheme="minorHAnsi"/>
          <w:bCs/>
          <w:color w:val="000000" w:themeColor="text1"/>
          <w:sz w:val="24"/>
        </w:rPr>
        <w:t xml:space="preserve"> </w:t>
      </w:r>
    </w:p>
    <w:p w:rsidR="00C618D7" w:rsidRPr="003F7617" w:rsidP="003568F7" w14:paraId="4E609C62" w14:textId="6636A6FB">
      <w:pPr>
        <w:pStyle w:val="ListParagraph"/>
        <w:numPr>
          <w:ilvl w:val="0"/>
          <w:numId w:val="11"/>
        </w:numPr>
        <w:rPr>
          <w:rFonts w:ascii="Times New Roman" w:hAnsi="Times New Roman" w:eastAsiaTheme="minorHAnsi"/>
          <w:bCs/>
          <w:color w:val="000000" w:themeColor="text1"/>
          <w:sz w:val="24"/>
        </w:rPr>
      </w:pPr>
      <w:r w:rsidRPr="003F7617">
        <w:rPr>
          <w:rFonts w:ascii="Times New Roman" w:hAnsi="Times New Roman" w:eastAsiaTheme="minorHAnsi"/>
          <w:bCs/>
          <w:color w:val="000000" w:themeColor="text1"/>
          <w:sz w:val="24"/>
        </w:rPr>
        <w:t>U.S. Department of Health &amp; Human Services</w:t>
      </w:r>
      <w:r>
        <w:rPr>
          <w:rFonts w:ascii="Times New Roman" w:hAnsi="Times New Roman" w:eastAsiaTheme="minorHAnsi"/>
          <w:bCs/>
          <w:color w:val="000000" w:themeColor="text1"/>
          <w:sz w:val="24"/>
        </w:rPr>
        <w:t xml:space="preserve"> (2023). </w:t>
      </w:r>
      <w:r w:rsidR="00492C2E">
        <w:rPr>
          <w:rFonts w:ascii="Times New Roman" w:hAnsi="Times New Roman" w:eastAsiaTheme="minorHAnsi"/>
          <w:bCs/>
          <w:color w:val="000000" w:themeColor="text1"/>
          <w:sz w:val="24"/>
        </w:rPr>
        <w:t xml:space="preserve">Sexual Orientation and Gender Identity (SOGI) Data Action Plan. </w:t>
      </w:r>
      <w:hyperlink r:id="rId30" w:history="1">
        <w:r w:rsidRPr="00704FE1" w:rsidR="00492C2E">
          <w:rPr>
            <w:rStyle w:val="Hyperlink"/>
            <w:rFonts w:ascii="Times New Roman" w:hAnsi="Times New Roman" w:eastAsiaTheme="minorHAnsi"/>
            <w:bCs/>
            <w:sz w:val="24"/>
          </w:rPr>
          <w:t>https://www.hhs.gov/sites/default/files/hhs-sogi-data-action-plan.pdf</w:t>
        </w:r>
      </w:hyperlink>
      <w:r w:rsidR="00492C2E">
        <w:rPr>
          <w:rFonts w:ascii="Times New Roman" w:hAnsi="Times New Roman" w:eastAsiaTheme="minorHAnsi"/>
          <w:bCs/>
          <w:color w:val="000000" w:themeColor="text1"/>
          <w:sz w:val="24"/>
        </w:rPr>
        <w:t xml:space="preserve"> </w:t>
      </w:r>
    </w:p>
    <w:p w:rsidR="00AE09A5" w:rsidRPr="003F7617" w:rsidP="00AE09A5" w14:paraId="1730C76D" w14:textId="77777777">
      <w:pPr>
        <w:rPr>
          <w:rFonts w:eastAsiaTheme="minorHAnsi"/>
          <w:bCs/>
          <w:color w:val="000000" w:themeColor="text1"/>
          <w:szCs w:val="24"/>
        </w:rPr>
      </w:pPr>
    </w:p>
    <w:p w:rsidR="00BD4B37" w:rsidRPr="003F7617" w14:paraId="715E34DE" w14:textId="77777777">
      <w:pPr>
        <w:rPr>
          <w:szCs w:val="24"/>
        </w:rPr>
      </w:pPr>
    </w:p>
    <w:sectPr w:rsidSect="002F343D">
      <w:footnotePr>
        <w:numFmt w:val="lowerLetter"/>
      </w:footnotePr>
      <w:endnotePr>
        <w:numFmt w:val="lowerLetter"/>
      </w:endnotePr>
      <w:pgSz w:w="12240" w:h="15840" w:code="1"/>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Slab">
    <w:charset w:val="00"/>
    <w:family w:val="auto"/>
    <w:pitch w:val="variable"/>
    <w:sig w:usb0="000004FF" w:usb1="8000405F" w:usb2="00000022"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36F3EEB"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1DCD8CCC" w14:textId="77777777"/>
  <w:p w:rsidR="00B46F2A" w14:paraId="719F3643" w14:textId="77777777"/>
  <w:p w:rsidR="00B46F2A" w14:paraId="03F1A579" w14:textId="77777777"/>
  <w:p w:rsidR="00B46F2A" w14:paraId="6865D39E" w14:textId="77777777"/>
  <w:p w:rsidR="00B46F2A" w14:paraId="25744B3D" w14:textId="77777777"/>
  <w:p w:rsidR="00B46F2A" w14:paraId="797719C8" w14:textId="77777777"/>
  <w:p w:rsidR="00B46F2A" w14:paraId="6924F77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3213769"/>
      <w:docPartObj>
        <w:docPartGallery w:val="Page Numbers (Bottom of Page)"/>
        <w:docPartUnique/>
      </w:docPartObj>
    </w:sdtPr>
    <w:sdtEndPr>
      <w:rPr>
        <w:noProof/>
      </w:rPr>
    </w:sdtEndPr>
    <w:sdtContent>
      <w:p w:rsidR="00B46F2A" w:rsidP="00156266" w14:paraId="6545B09A" w14:textId="756A0D8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72503"/>
      <w:docPartObj>
        <w:docPartGallery w:val="Page Numbers (Bottom of Page)"/>
        <w:docPartUnique/>
      </w:docPartObj>
    </w:sdtPr>
    <w:sdtEndPr>
      <w:rPr>
        <w:noProof/>
      </w:rPr>
    </w:sdtEndPr>
    <w:sdtContent>
      <w:p w:rsidR="00B46F2A" w:rsidP="00952651" w14:paraId="0EFB68F5" w14:textId="27A1DE8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A" w14:paraId="469AF80E" w14:textId="77777777">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46F2A" w14:paraId="422B1185" w14:textId="77777777"/>
  <w:p w:rsidR="00B46F2A" w14:paraId="094BEC64" w14:textId="77777777"/>
  <w:p w:rsidR="00B46F2A" w14:paraId="40B88056" w14:textId="77777777"/>
  <w:p w:rsidR="00B46F2A" w14:paraId="01202C14" w14:textId="77777777"/>
  <w:p w:rsidR="00B46F2A" w14:paraId="4A479DA8" w14:textId="77777777"/>
  <w:p w:rsidR="00B46F2A" w14:paraId="38781E2F" w14:textId="77777777"/>
  <w:p w:rsidR="00B46F2A" w14:paraId="732AC27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7B26AF"/>
    <w:multiLevelType w:val="hybridMultilevel"/>
    <w:tmpl w:val="93D49DE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DB5B18"/>
    <w:multiLevelType w:val="hybridMultilevel"/>
    <w:tmpl w:val="BCCE9ED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C86009"/>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D1322D"/>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BE50157"/>
    <w:multiLevelType w:val="hybridMultilevel"/>
    <w:tmpl w:val="33D876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890086"/>
    <w:multiLevelType w:val="hybridMultilevel"/>
    <w:tmpl w:val="8D6AA13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15714B43"/>
    <w:multiLevelType w:val="hybridMultilevel"/>
    <w:tmpl w:val="1EA650E6"/>
    <w:lvl w:ilvl="0">
      <w:start w:val="1"/>
      <w:numFmt w:val="bullet"/>
      <w:lvlText w:val=""/>
      <w:lvlJc w:val="left"/>
      <w:pPr>
        <w:ind w:left="360" w:hanging="360"/>
      </w:pPr>
      <w:rPr>
        <w:rFonts w:ascii="Wingdings" w:hAnsi="Wingdings" w:hint="default"/>
      </w:rPr>
    </w:lvl>
    <w:lvl w:ilvl="1">
      <w:start w:val="0"/>
      <w:numFmt w:val="bullet"/>
      <w:lvlText w:val="-"/>
      <w:lvlJc w:val="left"/>
      <w:pPr>
        <w:ind w:left="1080" w:hanging="360"/>
      </w:pPr>
      <w:rPr>
        <w:rFonts w:ascii="Times New Roman" w:hAnsi="Times New Roman" w:eastAsiaTheme="minorHAnsi"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5F92E0E"/>
    <w:multiLevelType w:val="hybridMultilevel"/>
    <w:tmpl w:val="212E540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9">
    <w:nsid w:val="16DA6612"/>
    <w:multiLevelType w:val="hybridMultilevel"/>
    <w:tmpl w:val="965CE83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424084"/>
    <w:multiLevelType w:val="hybridMultilevel"/>
    <w:tmpl w:val="158ABA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A0200A2"/>
    <w:multiLevelType w:val="hybridMultilevel"/>
    <w:tmpl w:val="EC82DE3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2235B4"/>
    <w:multiLevelType w:val="hybridMultilevel"/>
    <w:tmpl w:val="6772F4D0"/>
    <w:lvl w:ilvl="0">
      <w:start w:val="1"/>
      <w:numFmt w:val="decimal"/>
      <w:lvlText w:val="%1."/>
      <w:lvlJc w:val="left"/>
      <w:pPr>
        <w:ind w:left="720" w:hanging="360"/>
      </w:pPr>
      <w:rPr>
        <w:rFonts w:ascii="Times New Roman" w:hAnsi="Times New Roman" w:cs="Times New Roman" w:hint="default"/>
        <w:b w:val="0"/>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181B18"/>
    <w:multiLevelType w:val="hybridMultilevel"/>
    <w:tmpl w:val="C14C05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312F8D"/>
    <w:multiLevelType w:val="hybridMultilevel"/>
    <w:tmpl w:val="EE9A112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AF3879"/>
    <w:multiLevelType w:val="hybridMultilevel"/>
    <w:tmpl w:val="F962A8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3492E35"/>
    <w:multiLevelType w:val="hybridMultilevel"/>
    <w:tmpl w:val="BC68999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6638B7"/>
    <w:multiLevelType w:val="hybridMultilevel"/>
    <w:tmpl w:val="FF4CA67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36CA1B9E"/>
    <w:multiLevelType w:val="hybridMultilevel"/>
    <w:tmpl w:val="56FC9B6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8DD22E5"/>
    <w:multiLevelType w:val="hybridMultilevel"/>
    <w:tmpl w:val="B8341E7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F50B72"/>
    <w:multiLevelType w:val="hybridMultilevel"/>
    <w:tmpl w:val="8BACD54E"/>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70CC6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BF32987"/>
    <w:multiLevelType w:val="hybridMultilevel"/>
    <w:tmpl w:val="CE5A12D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BA6407"/>
    <w:multiLevelType w:val="hybridMultilevel"/>
    <w:tmpl w:val="4B0A45F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133077E"/>
    <w:multiLevelType w:val="hybridMultilevel"/>
    <w:tmpl w:val="14741D1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546478"/>
    <w:multiLevelType w:val="hybridMultilevel"/>
    <w:tmpl w:val="14C88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2BF6937"/>
    <w:multiLevelType w:val="hybridMultilevel"/>
    <w:tmpl w:val="4984DE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4B92AB7"/>
    <w:multiLevelType w:val="multilevel"/>
    <w:tmpl w:val="DC625A2A"/>
    <w:lvl w:ilvl="0">
      <w:start w:val="1"/>
      <w:numFmt w:val="decimal"/>
      <w:pStyle w:val="Heading1"/>
      <w:lvlText w:val="A%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8E093E"/>
    <w:multiLevelType w:val="hybridMultilevel"/>
    <w:tmpl w:val="9FBEE1B8"/>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3B38ED"/>
    <w:multiLevelType w:val="hybridMultilevel"/>
    <w:tmpl w:val="A6AC847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034CFA"/>
    <w:multiLevelType w:val="hybridMultilevel"/>
    <w:tmpl w:val="6BF4F3C8"/>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A9D06BD"/>
    <w:multiLevelType w:val="hybridMultilevel"/>
    <w:tmpl w:val="6CE87D9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3542DC"/>
    <w:multiLevelType w:val="hybridMultilevel"/>
    <w:tmpl w:val="F4D654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9A17C1"/>
    <w:multiLevelType w:val="hybridMultilevel"/>
    <w:tmpl w:val="0FD24D5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D9323E"/>
    <w:multiLevelType w:val="hybridMultilevel"/>
    <w:tmpl w:val="8028F00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6C0AA3"/>
    <w:multiLevelType w:val="hybridMultilevel"/>
    <w:tmpl w:val="06788F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7C94552"/>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F665AAE"/>
    <w:multiLevelType w:val="hybridMultilevel"/>
    <w:tmpl w:val="17E29FD4"/>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6F4D7F"/>
    <w:multiLevelType w:val="hybridMultilevel"/>
    <w:tmpl w:val="9B00CB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443522"/>
    <w:multiLevelType w:val="hybridMultilevel"/>
    <w:tmpl w:val="127C7D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635AC8"/>
    <w:multiLevelType w:val="hybridMultilevel"/>
    <w:tmpl w:val="F13881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DD3E16"/>
    <w:multiLevelType w:val="hybridMultilevel"/>
    <w:tmpl w:val="3FDE73F6"/>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150C34"/>
    <w:multiLevelType w:val="hybridMultilevel"/>
    <w:tmpl w:val="8E364464"/>
    <w:lvl w:ilvl="0">
      <w:start w:val="1"/>
      <w:numFmt w:val="decimal"/>
      <w:lvlText w:val="A%1."/>
      <w:lvlJc w:val="left"/>
      <w:pPr>
        <w:ind w:left="774" w:hanging="360"/>
      </w:pPr>
      <w:rPr>
        <w:rFonts w:hint="default"/>
      </w:rPr>
    </w:lvl>
    <w:lvl w:ilvl="1" w:tentative="1">
      <w:start w:val="1"/>
      <w:numFmt w:val="lowerLetter"/>
      <w:lvlText w:val="%2."/>
      <w:lvlJc w:val="left"/>
      <w:pPr>
        <w:ind w:left="1494" w:hanging="360"/>
      </w:pPr>
    </w:lvl>
    <w:lvl w:ilvl="2" w:tentative="1">
      <w:start w:val="1"/>
      <w:numFmt w:val="lowerRoman"/>
      <w:lvlText w:val="%3."/>
      <w:lvlJc w:val="right"/>
      <w:pPr>
        <w:ind w:left="2214" w:hanging="180"/>
      </w:pPr>
    </w:lvl>
    <w:lvl w:ilvl="3" w:tentative="1">
      <w:start w:val="1"/>
      <w:numFmt w:val="decimal"/>
      <w:lvlText w:val="%4."/>
      <w:lvlJc w:val="left"/>
      <w:pPr>
        <w:ind w:left="2934" w:hanging="360"/>
      </w:pPr>
    </w:lvl>
    <w:lvl w:ilvl="4" w:tentative="1">
      <w:start w:val="1"/>
      <w:numFmt w:val="lowerLetter"/>
      <w:lvlText w:val="%5."/>
      <w:lvlJc w:val="left"/>
      <w:pPr>
        <w:ind w:left="3654" w:hanging="360"/>
      </w:pPr>
    </w:lvl>
    <w:lvl w:ilvl="5" w:tentative="1">
      <w:start w:val="1"/>
      <w:numFmt w:val="lowerRoman"/>
      <w:lvlText w:val="%6."/>
      <w:lvlJc w:val="right"/>
      <w:pPr>
        <w:ind w:left="4374" w:hanging="180"/>
      </w:pPr>
    </w:lvl>
    <w:lvl w:ilvl="6" w:tentative="1">
      <w:start w:val="1"/>
      <w:numFmt w:val="decimal"/>
      <w:lvlText w:val="%7."/>
      <w:lvlJc w:val="left"/>
      <w:pPr>
        <w:ind w:left="5094" w:hanging="360"/>
      </w:pPr>
    </w:lvl>
    <w:lvl w:ilvl="7" w:tentative="1">
      <w:start w:val="1"/>
      <w:numFmt w:val="lowerLetter"/>
      <w:lvlText w:val="%8."/>
      <w:lvlJc w:val="left"/>
      <w:pPr>
        <w:ind w:left="5814" w:hanging="360"/>
      </w:pPr>
    </w:lvl>
    <w:lvl w:ilvl="8" w:tentative="1">
      <w:start w:val="1"/>
      <w:numFmt w:val="lowerRoman"/>
      <w:lvlText w:val="%9."/>
      <w:lvlJc w:val="right"/>
      <w:pPr>
        <w:ind w:left="6534" w:hanging="180"/>
      </w:pPr>
    </w:lvl>
  </w:abstractNum>
  <w:abstractNum w:abstractNumId="45">
    <w:nsid w:val="7DBE4910"/>
    <w:multiLevelType w:val="hybridMultilevel"/>
    <w:tmpl w:val="502061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F320622"/>
    <w:multiLevelType w:val="hybridMultilevel"/>
    <w:tmpl w:val="025CE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016012">
    <w:abstractNumId w:val="16"/>
  </w:num>
  <w:num w:numId="2" w16cid:durableId="1185242308">
    <w:abstractNumId w:val="4"/>
  </w:num>
  <w:num w:numId="3" w16cid:durableId="1374648537">
    <w:abstractNumId w:val="45"/>
  </w:num>
  <w:num w:numId="4" w16cid:durableId="45303443">
    <w:abstractNumId w:val="31"/>
  </w:num>
  <w:num w:numId="5" w16cid:durableId="339702090">
    <w:abstractNumId w:val="10"/>
  </w:num>
  <w:num w:numId="6" w16cid:durableId="496962862">
    <w:abstractNumId w:val="38"/>
  </w:num>
  <w:num w:numId="7" w16cid:durableId="785395258">
    <w:abstractNumId w:val="3"/>
  </w:num>
  <w:num w:numId="8" w16cid:durableId="1277442143">
    <w:abstractNumId w:val="40"/>
  </w:num>
  <w:num w:numId="9" w16cid:durableId="1236665156">
    <w:abstractNumId w:val="23"/>
  </w:num>
  <w:num w:numId="10" w16cid:durableId="1348167900">
    <w:abstractNumId w:val="29"/>
  </w:num>
  <w:num w:numId="11" w16cid:durableId="692800654">
    <w:abstractNumId w:val="13"/>
  </w:num>
  <w:num w:numId="12" w16cid:durableId="939067024">
    <w:abstractNumId w:val="37"/>
  </w:num>
  <w:num w:numId="13" w16cid:durableId="2087143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7992391">
    <w:abstractNumId w:val="14"/>
  </w:num>
  <w:num w:numId="15" w16cid:durableId="936712163">
    <w:abstractNumId w:val="20"/>
  </w:num>
  <w:num w:numId="16" w16cid:durableId="362945452">
    <w:abstractNumId w:val="11"/>
  </w:num>
  <w:num w:numId="17" w16cid:durableId="1651326387">
    <w:abstractNumId w:val="27"/>
  </w:num>
  <w:num w:numId="18" w16cid:durableId="1315136290">
    <w:abstractNumId w:val="32"/>
  </w:num>
  <w:num w:numId="19" w16cid:durableId="1355880111">
    <w:abstractNumId w:val="7"/>
  </w:num>
  <w:num w:numId="20" w16cid:durableId="2121946144">
    <w:abstractNumId w:val="9"/>
  </w:num>
  <w:num w:numId="21" w16cid:durableId="2114089637">
    <w:abstractNumId w:val="46"/>
  </w:num>
  <w:num w:numId="22" w16cid:durableId="2056080401">
    <w:abstractNumId w:val="34"/>
  </w:num>
  <w:num w:numId="23" w16cid:durableId="1061169757">
    <w:abstractNumId w:val="44"/>
  </w:num>
  <w:num w:numId="24" w16cid:durableId="1867130492">
    <w:abstractNumId w:val="15"/>
  </w:num>
  <w:num w:numId="25" w16cid:durableId="732854593">
    <w:abstractNumId w:val="43"/>
  </w:num>
  <w:num w:numId="26" w16cid:durableId="1995257030">
    <w:abstractNumId w:val="25"/>
  </w:num>
  <w:num w:numId="27" w16cid:durableId="1371110146">
    <w:abstractNumId w:val="30"/>
  </w:num>
  <w:num w:numId="28" w16cid:durableId="1931617295">
    <w:abstractNumId w:val="1"/>
  </w:num>
  <w:num w:numId="29" w16cid:durableId="750736951">
    <w:abstractNumId w:val="26"/>
  </w:num>
  <w:num w:numId="30" w16cid:durableId="1889224990">
    <w:abstractNumId w:val="21"/>
  </w:num>
  <w:num w:numId="31" w16cid:durableId="1838576201">
    <w:abstractNumId w:val="12"/>
  </w:num>
  <w:num w:numId="32" w16cid:durableId="1603490254">
    <w:abstractNumId w:val="2"/>
  </w:num>
  <w:num w:numId="33" w16cid:durableId="244147956">
    <w:abstractNumId w:val="35"/>
  </w:num>
  <w:num w:numId="34" w16cid:durableId="229736014">
    <w:abstractNumId w:val="24"/>
  </w:num>
  <w:num w:numId="35" w16cid:durableId="929196351">
    <w:abstractNumId w:val="36"/>
  </w:num>
  <w:num w:numId="36" w16cid:durableId="1274820609">
    <w:abstractNumId w:val="17"/>
  </w:num>
  <w:num w:numId="37" w16cid:durableId="1609658010">
    <w:abstractNumId w:val="33"/>
  </w:num>
  <w:num w:numId="38" w16cid:durableId="1024595721">
    <w:abstractNumId w:val="39"/>
  </w:num>
  <w:num w:numId="39" w16cid:durableId="1565993544">
    <w:abstractNumId w:val="22"/>
  </w:num>
  <w:num w:numId="40" w16cid:durableId="2028629213">
    <w:abstractNumId w:val="19"/>
  </w:num>
  <w:num w:numId="41" w16cid:durableId="350571607">
    <w:abstractNumId w:val="42"/>
  </w:num>
  <w:num w:numId="42" w16cid:durableId="1858275588">
    <w:abstractNumId w:val="5"/>
  </w:num>
  <w:num w:numId="43" w16cid:durableId="1168059983">
    <w:abstractNumId w:val="28"/>
  </w:num>
  <w:num w:numId="44" w16cid:durableId="1952005010">
    <w:abstractNumId w:val="18"/>
  </w:num>
  <w:num w:numId="45" w16cid:durableId="291323642">
    <w:abstractNumId w:val="8"/>
  </w:num>
  <w:num w:numId="46" w16cid:durableId="1358966848">
    <w:abstractNumId w:val="6"/>
  </w:num>
  <w:num w:numId="47" w16cid:durableId="969896626">
    <w:abstractNumId w:val="41"/>
  </w:num>
  <w:num w:numId="48" w16cid:durableId="1094940701">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5D"/>
    <w:rsid w:val="000008A5"/>
    <w:rsid w:val="00000C54"/>
    <w:rsid w:val="00002595"/>
    <w:rsid w:val="0000369D"/>
    <w:rsid w:val="0000402B"/>
    <w:rsid w:val="00004818"/>
    <w:rsid w:val="00004A69"/>
    <w:rsid w:val="0000680A"/>
    <w:rsid w:val="0001100E"/>
    <w:rsid w:val="00011518"/>
    <w:rsid w:val="000116B8"/>
    <w:rsid w:val="000119E5"/>
    <w:rsid w:val="00011C46"/>
    <w:rsid w:val="00013212"/>
    <w:rsid w:val="000135C4"/>
    <w:rsid w:val="00013F12"/>
    <w:rsid w:val="00015E51"/>
    <w:rsid w:val="000162F2"/>
    <w:rsid w:val="00021367"/>
    <w:rsid w:val="00023AA8"/>
    <w:rsid w:val="00024B42"/>
    <w:rsid w:val="00025ECD"/>
    <w:rsid w:val="000300D7"/>
    <w:rsid w:val="000304FF"/>
    <w:rsid w:val="000323F0"/>
    <w:rsid w:val="000327E9"/>
    <w:rsid w:val="00032ED9"/>
    <w:rsid w:val="00033820"/>
    <w:rsid w:val="00034783"/>
    <w:rsid w:val="00036B85"/>
    <w:rsid w:val="00036CD5"/>
    <w:rsid w:val="00036CFC"/>
    <w:rsid w:val="000407CC"/>
    <w:rsid w:val="00040E47"/>
    <w:rsid w:val="00041653"/>
    <w:rsid w:val="00042216"/>
    <w:rsid w:val="00043752"/>
    <w:rsid w:val="0004397F"/>
    <w:rsid w:val="00043BFE"/>
    <w:rsid w:val="00044096"/>
    <w:rsid w:val="000442F8"/>
    <w:rsid w:val="0004560A"/>
    <w:rsid w:val="00045F2C"/>
    <w:rsid w:val="0005187F"/>
    <w:rsid w:val="000529BB"/>
    <w:rsid w:val="00055A76"/>
    <w:rsid w:val="00055A99"/>
    <w:rsid w:val="00055B8C"/>
    <w:rsid w:val="0005631D"/>
    <w:rsid w:val="00057729"/>
    <w:rsid w:val="0005792E"/>
    <w:rsid w:val="0006061C"/>
    <w:rsid w:val="000613BC"/>
    <w:rsid w:val="00061E43"/>
    <w:rsid w:val="000626DD"/>
    <w:rsid w:val="000645A5"/>
    <w:rsid w:val="000650B2"/>
    <w:rsid w:val="00067D4D"/>
    <w:rsid w:val="00072E92"/>
    <w:rsid w:val="00074639"/>
    <w:rsid w:val="00074CDE"/>
    <w:rsid w:val="00077882"/>
    <w:rsid w:val="000800B9"/>
    <w:rsid w:val="00080DBE"/>
    <w:rsid w:val="00080E08"/>
    <w:rsid w:val="00080EE9"/>
    <w:rsid w:val="000846C3"/>
    <w:rsid w:val="00085176"/>
    <w:rsid w:val="0008640A"/>
    <w:rsid w:val="00086B60"/>
    <w:rsid w:val="00090A31"/>
    <w:rsid w:val="00092D7B"/>
    <w:rsid w:val="00093B34"/>
    <w:rsid w:val="00094578"/>
    <w:rsid w:val="000947F4"/>
    <w:rsid w:val="0009570E"/>
    <w:rsid w:val="00096124"/>
    <w:rsid w:val="00096EAA"/>
    <w:rsid w:val="000A2285"/>
    <w:rsid w:val="000A6C1E"/>
    <w:rsid w:val="000A7212"/>
    <w:rsid w:val="000A7F70"/>
    <w:rsid w:val="000B0749"/>
    <w:rsid w:val="000B08BC"/>
    <w:rsid w:val="000B0CA8"/>
    <w:rsid w:val="000B0CB5"/>
    <w:rsid w:val="000B130A"/>
    <w:rsid w:val="000B2696"/>
    <w:rsid w:val="000B2B48"/>
    <w:rsid w:val="000B339B"/>
    <w:rsid w:val="000B38D0"/>
    <w:rsid w:val="000B3C18"/>
    <w:rsid w:val="000B40A2"/>
    <w:rsid w:val="000B416D"/>
    <w:rsid w:val="000B4944"/>
    <w:rsid w:val="000B4B12"/>
    <w:rsid w:val="000B535C"/>
    <w:rsid w:val="000B6AFD"/>
    <w:rsid w:val="000C086F"/>
    <w:rsid w:val="000C17C3"/>
    <w:rsid w:val="000C20F7"/>
    <w:rsid w:val="000C2C34"/>
    <w:rsid w:val="000C2F37"/>
    <w:rsid w:val="000C2FF9"/>
    <w:rsid w:val="000C3337"/>
    <w:rsid w:val="000C3B89"/>
    <w:rsid w:val="000C49DB"/>
    <w:rsid w:val="000C5499"/>
    <w:rsid w:val="000C5F3C"/>
    <w:rsid w:val="000C6273"/>
    <w:rsid w:val="000C6A1D"/>
    <w:rsid w:val="000C6F3D"/>
    <w:rsid w:val="000C7986"/>
    <w:rsid w:val="000D1871"/>
    <w:rsid w:val="000D3B02"/>
    <w:rsid w:val="000D3CC0"/>
    <w:rsid w:val="000D3DD3"/>
    <w:rsid w:val="000D47A9"/>
    <w:rsid w:val="000D47CC"/>
    <w:rsid w:val="000D502B"/>
    <w:rsid w:val="000D7AD8"/>
    <w:rsid w:val="000E0660"/>
    <w:rsid w:val="000E1D20"/>
    <w:rsid w:val="000E21F6"/>
    <w:rsid w:val="000E2879"/>
    <w:rsid w:val="000E2C63"/>
    <w:rsid w:val="000E2EC6"/>
    <w:rsid w:val="000E3F69"/>
    <w:rsid w:val="000E4075"/>
    <w:rsid w:val="000E5B65"/>
    <w:rsid w:val="000E6106"/>
    <w:rsid w:val="000E7A31"/>
    <w:rsid w:val="000E7F18"/>
    <w:rsid w:val="000F0F06"/>
    <w:rsid w:val="000F1A38"/>
    <w:rsid w:val="000F1E0A"/>
    <w:rsid w:val="000F1E13"/>
    <w:rsid w:val="000F201E"/>
    <w:rsid w:val="000F21C1"/>
    <w:rsid w:val="000F23E0"/>
    <w:rsid w:val="000F2592"/>
    <w:rsid w:val="000F2682"/>
    <w:rsid w:val="000F3059"/>
    <w:rsid w:val="000F375D"/>
    <w:rsid w:val="000F4479"/>
    <w:rsid w:val="000F489A"/>
    <w:rsid w:val="000F4CB1"/>
    <w:rsid w:val="000F52CA"/>
    <w:rsid w:val="000F6477"/>
    <w:rsid w:val="000F67DC"/>
    <w:rsid w:val="000F7029"/>
    <w:rsid w:val="000F7D97"/>
    <w:rsid w:val="00101054"/>
    <w:rsid w:val="00101640"/>
    <w:rsid w:val="00102D86"/>
    <w:rsid w:val="00104ACC"/>
    <w:rsid w:val="00104EA6"/>
    <w:rsid w:val="0010559C"/>
    <w:rsid w:val="00105851"/>
    <w:rsid w:val="0010606E"/>
    <w:rsid w:val="00110513"/>
    <w:rsid w:val="001106A8"/>
    <w:rsid w:val="00111C3F"/>
    <w:rsid w:val="001120C4"/>
    <w:rsid w:val="00112A9C"/>
    <w:rsid w:val="00113164"/>
    <w:rsid w:val="0011415C"/>
    <w:rsid w:val="001142B9"/>
    <w:rsid w:val="00114616"/>
    <w:rsid w:val="00114DEA"/>
    <w:rsid w:val="00115D11"/>
    <w:rsid w:val="001163D1"/>
    <w:rsid w:val="00117B4B"/>
    <w:rsid w:val="00120166"/>
    <w:rsid w:val="001207D6"/>
    <w:rsid w:val="00120A90"/>
    <w:rsid w:val="00122493"/>
    <w:rsid w:val="001242F9"/>
    <w:rsid w:val="001254DA"/>
    <w:rsid w:val="00127F68"/>
    <w:rsid w:val="00130B31"/>
    <w:rsid w:val="00130CC3"/>
    <w:rsid w:val="00132397"/>
    <w:rsid w:val="001325A6"/>
    <w:rsid w:val="00132663"/>
    <w:rsid w:val="001339BD"/>
    <w:rsid w:val="00134739"/>
    <w:rsid w:val="0013523F"/>
    <w:rsid w:val="00135C66"/>
    <w:rsid w:val="00136DAC"/>
    <w:rsid w:val="001373F0"/>
    <w:rsid w:val="00137603"/>
    <w:rsid w:val="0014476C"/>
    <w:rsid w:val="001451B3"/>
    <w:rsid w:val="001451F3"/>
    <w:rsid w:val="00145DD5"/>
    <w:rsid w:val="00147ED7"/>
    <w:rsid w:val="00147FD8"/>
    <w:rsid w:val="001503E4"/>
    <w:rsid w:val="0015062C"/>
    <w:rsid w:val="00151834"/>
    <w:rsid w:val="00152EB5"/>
    <w:rsid w:val="00153B47"/>
    <w:rsid w:val="00154752"/>
    <w:rsid w:val="00154803"/>
    <w:rsid w:val="00155C03"/>
    <w:rsid w:val="00156266"/>
    <w:rsid w:val="001566C2"/>
    <w:rsid w:val="00156715"/>
    <w:rsid w:val="00157845"/>
    <w:rsid w:val="00157F10"/>
    <w:rsid w:val="001614CE"/>
    <w:rsid w:val="00162E04"/>
    <w:rsid w:val="001632F5"/>
    <w:rsid w:val="00163353"/>
    <w:rsid w:val="00164554"/>
    <w:rsid w:val="00164FE0"/>
    <w:rsid w:val="00165054"/>
    <w:rsid w:val="001677FB"/>
    <w:rsid w:val="0017028B"/>
    <w:rsid w:val="001702EA"/>
    <w:rsid w:val="00170629"/>
    <w:rsid w:val="001719D2"/>
    <w:rsid w:val="00171E6A"/>
    <w:rsid w:val="00171FD8"/>
    <w:rsid w:val="00172FE7"/>
    <w:rsid w:val="001735D5"/>
    <w:rsid w:val="00174774"/>
    <w:rsid w:val="001749AD"/>
    <w:rsid w:val="00174FE1"/>
    <w:rsid w:val="00175003"/>
    <w:rsid w:val="00177CB0"/>
    <w:rsid w:val="00177E5F"/>
    <w:rsid w:val="00180765"/>
    <w:rsid w:val="00180900"/>
    <w:rsid w:val="00181630"/>
    <w:rsid w:val="00181960"/>
    <w:rsid w:val="00182E69"/>
    <w:rsid w:val="001835F2"/>
    <w:rsid w:val="00186617"/>
    <w:rsid w:val="001869B6"/>
    <w:rsid w:val="00186E3D"/>
    <w:rsid w:val="00190551"/>
    <w:rsid w:val="00192D14"/>
    <w:rsid w:val="00193B52"/>
    <w:rsid w:val="001968BB"/>
    <w:rsid w:val="00196992"/>
    <w:rsid w:val="00197CF0"/>
    <w:rsid w:val="001A2A91"/>
    <w:rsid w:val="001A2E4F"/>
    <w:rsid w:val="001A37DC"/>
    <w:rsid w:val="001A3A41"/>
    <w:rsid w:val="001A4A14"/>
    <w:rsid w:val="001A4FAC"/>
    <w:rsid w:val="001A694C"/>
    <w:rsid w:val="001B3052"/>
    <w:rsid w:val="001B38DF"/>
    <w:rsid w:val="001B580D"/>
    <w:rsid w:val="001B5E03"/>
    <w:rsid w:val="001B727C"/>
    <w:rsid w:val="001C11E0"/>
    <w:rsid w:val="001C14C2"/>
    <w:rsid w:val="001C3A27"/>
    <w:rsid w:val="001C40D3"/>
    <w:rsid w:val="001C43F0"/>
    <w:rsid w:val="001C5975"/>
    <w:rsid w:val="001C5E3D"/>
    <w:rsid w:val="001C5FA8"/>
    <w:rsid w:val="001C623E"/>
    <w:rsid w:val="001C768C"/>
    <w:rsid w:val="001C78B5"/>
    <w:rsid w:val="001D0168"/>
    <w:rsid w:val="001D13C8"/>
    <w:rsid w:val="001D2298"/>
    <w:rsid w:val="001D2371"/>
    <w:rsid w:val="001D24A2"/>
    <w:rsid w:val="001D3B71"/>
    <w:rsid w:val="001D57D6"/>
    <w:rsid w:val="001D5D74"/>
    <w:rsid w:val="001D7C3E"/>
    <w:rsid w:val="001E0336"/>
    <w:rsid w:val="001E16CE"/>
    <w:rsid w:val="001E1BC6"/>
    <w:rsid w:val="001E2979"/>
    <w:rsid w:val="001E4109"/>
    <w:rsid w:val="001E52BA"/>
    <w:rsid w:val="001E6004"/>
    <w:rsid w:val="001E7D49"/>
    <w:rsid w:val="001E7DF5"/>
    <w:rsid w:val="001F02C3"/>
    <w:rsid w:val="001F1AB9"/>
    <w:rsid w:val="001F439E"/>
    <w:rsid w:val="001F43FE"/>
    <w:rsid w:val="001F53D9"/>
    <w:rsid w:val="001F62EB"/>
    <w:rsid w:val="001F7AC0"/>
    <w:rsid w:val="001F7BAB"/>
    <w:rsid w:val="001F7EF0"/>
    <w:rsid w:val="00200989"/>
    <w:rsid w:val="00201637"/>
    <w:rsid w:val="002026CF"/>
    <w:rsid w:val="002030E1"/>
    <w:rsid w:val="00203F5A"/>
    <w:rsid w:val="0020479C"/>
    <w:rsid w:val="00204DDF"/>
    <w:rsid w:val="00205F71"/>
    <w:rsid w:val="00207906"/>
    <w:rsid w:val="002112A9"/>
    <w:rsid w:val="00212A75"/>
    <w:rsid w:val="002133D5"/>
    <w:rsid w:val="00214078"/>
    <w:rsid w:val="002141E0"/>
    <w:rsid w:val="00215C9B"/>
    <w:rsid w:val="002166A5"/>
    <w:rsid w:val="002169FD"/>
    <w:rsid w:val="00216D12"/>
    <w:rsid w:val="0021743E"/>
    <w:rsid w:val="0021748F"/>
    <w:rsid w:val="00217579"/>
    <w:rsid w:val="002175B3"/>
    <w:rsid w:val="002177F0"/>
    <w:rsid w:val="00217D2C"/>
    <w:rsid w:val="0022038B"/>
    <w:rsid w:val="0022184E"/>
    <w:rsid w:val="0022205A"/>
    <w:rsid w:val="00222216"/>
    <w:rsid w:val="0022374B"/>
    <w:rsid w:val="0022664C"/>
    <w:rsid w:val="0022668D"/>
    <w:rsid w:val="002318DF"/>
    <w:rsid w:val="002326C2"/>
    <w:rsid w:val="00232C30"/>
    <w:rsid w:val="002339A8"/>
    <w:rsid w:val="00233BD8"/>
    <w:rsid w:val="0023450C"/>
    <w:rsid w:val="002351C3"/>
    <w:rsid w:val="00235709"/>
    <w:rsid w:val="00235CC4"/>
    <w:rsid w:val="002362AE"/>
    <w:rsid w:val="00236490"/>
    <w:rsid w:val="00236F24"/>
    <w:rsid w:val="00241698"/>
    <w:rsid w:val="00241858"/>
    <w:rsid w:val="0024189D"/>
    <w:rsid w:val="00243B80"/>
    <w:rsid w:val="00244FC9"/>
    <w:rsid w:val="00246E07"/>
    <w:rsid w:val="00247735"/>
    <w:rsid w:val="00250739"/>
    <w:rsid w:val="002517C8"/>
    <w:rsid w:val="002523F8"/>
    <w:rsid w:val="002526EE"/>
    <w:rsid w:val="00254AD3"/>
    <w:rsid w:val="00254B91"/>
    <w:rsid w:val="00256C62"/>
    <w:rsid w:val="00256E64"/>
    <w:rsid w:val="002621B1"/>
    <w:rsid w:val="002644DA"/>
    <w:rsid w:val="00264A29"/>
    <w:rsid w:val="00264A2A"/>
    <w:rsid w:val="00266363"/>
    <w:rsid w:val="002663AA"/>
    <w:rsid w:val="00266B1D"/>
    <w:rsid w:val="00267A3F"/>
    <w:rsid w:val="002706AE"/>
    <w:rsid w:val="00271A26"/>
    <w:rsid w:val="002725CC"/>
    <w:rsid w:val="002731CD"/>
    <w:rsid w:val="00276B47"/>
    <w:rsid w:val="00276C12"/>
    <w:rsid w:val="00276E7B"/>
    <w:rsid w:val="002776FF"/>
    <w:rsid w:val="0028107B"/>
    <w:rsid w:val="00281F5A"/>
    <w:rsid w:val="002831B0"/>
    <w:rsid w:val="00284951"/>
    <w:rsid w:val="00284A35"/>
    <w:rsid w:val="00285474"/>
    <w:rsid w:val="00285FFA"/>
    <w:rsid w:val="00286BCC"/>
    <w:rsid w:val="00287399"/>
    <w:rsid w:val="0028744B"/>
    <w:rsid w:val="00290A27"/>
    <w:rsid w:val="00290A80"/>
    <w:rsid w:val="00290F61"/>
    <w:rsid w:val="002930F9"/>
    <w:rsid w:val="0029341B"/>
    <w:rsid w:val="00294B4A"/>
    <w:rsid w:val="00297AB8"/>
    <w:rsid w:val="002A0AEA"/>
    <w:rsid w:val="002A1A21"/>
    <w:rsid w:val="002A1CE6"/>
    <w:rsid w:val="002A1EB7"/>
    <w:rsid w:val="002A3F84"/>
    <w:rsid w:val="002A59FB"/>
    <w:rsid w:val="002A6CDE"/>
    <w:rsid w:val="002A7193"/>
    <w:rsid w:val="002A7C8D"/>
    <w:rsid w:val="002B05B5"/>
    <w:rsid w:val="002B0612"/>
    <w:rsid w:val="002B1820"/>
    <w:rsid w:val="002B28C0"/>
    <w:rsid w:val="002B2BD6"/>
    <w:rsid w:val="002B2F7F"/>
    <w:rsid w:val="002B471B"/>
    <w:rsid w:val="002B501C"/>
    <w:rsid w:val="002B525F"/>
    <w:rsid w:val="002B57F4"/>
    <w:rsid w:val="002B6480"/>
    <w:rsid w:val="002C12CF"/>
    <w:rsid w:val="002C16CD"/>
    <w:rsid w:val="002C1F9A"/>
    <w:rsid w:val="002C3641"/>
    <w:rsid w:val="002C4350"/>
    <w:rsid w:val="002C553F"/>
    <w:rsid w:val="002C7604"/>
    <w:rsid w:val="002C79D0"/>
    <w:rsid w:val="002D122D"/>
    <w:rsid w:val="002D14B4"/>
    <w:rsid w:val="002D23B5"/>
    <w:rsid w:val="002D2D08"/>
    <w:rsid w:val="002D3566"/>
    <w:rsid w:val="002D3AC1"/>
    <w:rsid w:val="002D49B4"/>
    <w:rsid w:val="002D54BB"/>
    <w:rsid w:val="002D55D7"/>
    <w:rsid w:val="002D5B9D"/>
    <w:rsid w:val="002D680B"/>
    <w:rsid w:val="002D6AC6"/>
    <w:rsid w:val="002D6BFE"/>
    <w:rsid w:val="002D7007"/>
    <w:rsid w:val="002D71D2"/>
    <w:rsid w:val="002D7D30"/>
    <w:rsid w:val="002D7DC8"/>
    <w:rsid w:val="002E0351"/>
    <w:rsid w:val="002E03A3"/>
    <w:rsid w:val="002E08B1"/>
    <w:rsid w:val="002E09EB"/>
    <w:rsid w:val="002E13BD"/>
    <w:rsid w:val="002E15EA"/>
    <w:rsid w:val="002E176F"/>
    <w:rsid w:val="002E1DA5"/>
    <w:rsid w:val="002E4AD4"/>
    <w:rsid w:val="002E4FA3"/>
    <w:rsid w:val="002E65A3"/>
    <w:rsid w:val="002E7034"/>
    <w:rsid w:val="002E7890"/>
    <w:rsid w:val="002F10BF"/>
    <w:rsid w:val="002F23E6"/>
    <w:rsid w:val="002F2555"/>
    <w:rsid w:val="002F343D"/>
    <w:rsid w:val="002F41A9"/>
    <w:rsid w:val="002F551B"/>
    <w:rsid w:val="002F56F0"/>
    <w:rsid w:val="002F6558"/>
    <w:rsid w:val="002F6CB6"/>
    <w:rsid w:val="002F7DB7"/>
    <w:rsid w:val="003023DE"/>
    <w:rsid w:val="00302A8D"/>
    <w:rsid w:val="00302C7C"/>
    <w:rsid w:val="00304B66"/>
    <w:rsid w:val="00305063"/>
    <w:rsid w:val="003056CF"/>
    <w:rsid w:val="00306A19"/>
    <w:rsid w:val="003106ED"/>
    <w:rsid w:val="00310BC2"/>
    <w:rsid w:val="00311243"/>
    <w:rsid w:val="003119CB"/>
    <w:rsid w:val="0031367B"/>
    <w:rsid w:val="003153A1"/>
    <w:rsid w:val="0031556E"/>
    <w:rsid w:val="00315E32"/>
    <w:rsid w:val="00316823"/>
    <w:rsid w:val="0031728E"/>
    <w:rsid w:val="00317F28"/>
    <w:rsid w:val="00320AD5"/>
    <w:rsid w:val="00321CE7"/>
    <w:rsid w:val="00324C72"/>
    <w:rsid w:val="003311E8"/>
    <w:rsid w:val="00331DB5"/>
    <w:rsid w:val="0033284D"/>
    <w:rsid w:val="0033288A"/>
    <w:rsid w:val="003338CA"/>
    <w:rsid w:val="003358F6"/>
    <w:rsid w:val="00337811"/>
    <w:rsid w:val="00342BE6"/>
    <w:rsid w:val="00342E42"/>
    <w:rsid w:val="00342ED9"/>
    <w:rsid w:val="00345ACF"/>
    <w:rsid w:val="00345B8E"/>
    <w:rsid w:val="00347CC1"/>
    <w:rsid w:val="00347DFD"/>
    <w:rsid w:val="00351C71"/>
    <w:rsid w:val="003520DE"/>
    <w:rsid w:val="00354D93"/>
    <w:rsid w:val="003568F7"/>
    <w:rsid w:val="003571BB"/>
    <w:rsid w:val="00361100"/>
    <w:rsid w:val="003611DE"/>
    <w:rsid w:val="00361C48"/>
    <w:rsid w:val="00362246"/>
    <w:rsid w:val="00363085"/>
    <w:rsid w:val="00363306"/>
    <w:rsid w:val="0036423F"/>
    <w:rsid w:val="00365160"/>
    <w:rsid w:val="003660F0"/>
    <w:rsid w:val="00366984"/>
    <w:rsid w:val="00371AB8"/>
    <w:rsid w:val="00371DE2"/>
    <w:rsid w:val="00371EFB"/>
    <w:rsid w:val="003732E9"/>
    <w:rsid w:val="00375D8D"/>
    <w:rsid w:val="00380670"/>
    <w:rsid w:val="00380D05"/>
    <w:rsid w:val="00380E4C"/>
    <w:rsid w:val="003817EF"/>
    <w:rsid w:val="00382AC4"/>
    <w:rsid w:val="003833A1"/>
    <w:rsid w:val="003848EE"/>
    <w:rsid w:val="00385D12"/>
    <w:rsid w:val="00387777"/>
    <w:rsid w:val="00387AA4"/>
    <w:rsid w:val="003904C4"/>
    <w:rsid w:val="003906F4"/>
    <w:rsid w:val="00390C1B"/>
    <w:rsid w:val="003911AC"/>
    <w:rsid w:val="003911B7"/>
    <w:rsid w:val="00393B30"/>
    <w:rsid w:val="00393B55"/>
    <w:rsid w:val="003947B4"/>
    <w:rsid w:val="003964B3"/>
    <w:rsid w:val="0039660E"/>
    <w:rsid w:val="00396BE0"/>
    <w:rsid w:val="00397CC3"/>
    <w:rsid w:val="00397FF7"/>
    <w:rsid w:val="003A1D67"/>
    <w:rsid w:val="003A289F"/>
    <w:rsid w:val="003A2C87"/>
    <w:rsid w:val="003A43A0"/>
    <w:rsid w:val="003A4462"/>
    <w:rsid w:val="003A4775"/>
    <w:rsid w:val="003A5778"/>
    <w:rsid w:val="003A5E82"/>
    <w:rsid w:val="003A61A9"/>
    <w:rsid w:val="003A6506"/>
    <w:rsid w:val="003A65D2"/>
    <w:rsid w:val="003A7744"/>
    <w:rsid w:val="003A796C"/>
    <w:rsid w:val="003B0F7F"/>
    <w:rsid w:val="003B137C"/>
    <w:rsid w:val="003B20C7"/>
    <w:rsid w:val="003B2799"/>
    <w:rsid w:val="003B2885"/>
    <w:rsid w:val="003B3318"/>
    <w:rsid w:val="003B3A76"/>
    <w:rsid w:val="003B3EF0"/>
    <w:rsid w:val="003B565F"/>
    <w:rsid w:val="003B5F80"/>
    <w:rsid w:val="003B6962"/>
    <w:rsid w:val="003B7475"/>
    <w:rsid w:val="003B7E3D"/>
    <w:rsid w:val="003C0959"/>
    <w:rsid w:val="003C1455"/>
    <w:rsid w:val="003C1C7C"/>
    <w:rsid w:val="003C4DFE"/>
    <w:rsid w:val="003C5ED4"/>
    <w:rsid w:val="003C6894"/>
    <w:rsid w:val="003C6BF0"/>
    <w:rsid w:val="003D16EE"/>
    <w:rsid w:val="003D39AD"/>
    <w:rsid w:val="003D3C48"/>
    <w:rsid w:val="003D3D1A"/>
    <w:rsid w:val="003D492C"/>
    <w:rsid w:val="003D508E"/>
    <w:rsid w:val="003D5EFB"/>
    <w:rsid w:val="003D766C"/>
    <w:rsid w:val="003E04F8"/>
    <w:rsid w:val="003E158B"/>
    <w:rsid w:val="003E1CE3"/>
    <w:rsid w:val="003E20B1"/>
    <w:rsid w:val="003E2643"/>
    <w:rsid w:val="003E27F5"/>
    <w:rsid w:val="003E3068"/>
    <w:rsid w:val="003E3620"/>
    <w:rsid w:val="003E4AF7"/>
    <w:rsid w:val="003E7011"/>
    <w:rsid w:val="003E7597"/>
    <w:rsid w:val="003F0939"/>
    <w:rsid w:val="003F0DB0"/>
    <w:rsid w:val="003F26C4"/>
    <w:rsid w:val="003F3055"/>
    <w:rsid w:val="003F346E"/>
    <w:rsid w:val="003F3A94"/>
    <w:rsid w:val="003F3CA3"/>
    <w:rsid w:val="003F4F91"/>
    <w:rsid w:val="003F56EF"/>
    <w:rsid w:val="003F5E9C"/>
    <w:rsid w:val="003F61E2"/>
    <w:rsid w:val="003F7617"/>
    <w:rsid w:val="003F79AD"/>
    <w:rsid w:val="00401226"/>
    <w:rsid w:val="004015E0"/>
    <w:rsid w:val="00404614"/>
    <w:rsid w:val="004059C6"/>
    <w:rsid w:val="004062BF"/>
    <w:rsid w:val="004068AF"/>
    <w:rsid w:val="00406E07"/>
    <w:rsid w:val="00407424"/>
    <w:rsid w:val="00407DBA"/>
    <w:rsid w:val="00410653"/>
    <w:rsid w:val="0041087F"/>
    <w:rsid w:val="00410B5C"/>
    <w:rsid w:val="00411DA7"/>
    <w:rsid w:val="004130FB"/>
    <w:rsid w:val="004144BB"/>
    <w:rsid w:val="004165DE"/>
    <w:rsid w:val="00417805"/>
    <w:rsid w:val="00420D8A"/>
    <w:rsid w:val="00422159"/>
    <w:rsid w:val="004223DE"/>
    <w:rsid w:val="004227B0"/>
    <w:rsid w:val="00422AA7"/>
    <w:rsid w:val="004237C3"/>
    <w:rsid w:val="00423AF7"/>
    <w:rsid w:val="00423CAB"/>
    <w:rsid w:val="004244A5"/>
    <w:rsid w:val="004254C5"/>
    <w:rsid w:val="004263C7"/>
    <w:rsid w:val="00427287"/>
    <w:rsid w:val="00427720"/>
    <w:rsid w:val="00427733"/>
    <w:rsid w:val="0043110A"/>
    <w:rsid w:val="0043159A"/>
    <w:rsid w:val="00432A15"/>
    <w:rsid w:val="00435426"/>
    <w:rsid w:val="00435FAB"/>
    <w:rsid w:val="004364B5"/>
    <w:rsid w:val="00436F36"/>
    <w:rsid w:val="00437531"/>
    <w:rsid w:val="00437E5F"/>
    <w:rsid w:val="00440417"/>
    <w:rsid w:val="0044067B"/>
    <w:rsid w:val="00440774"/>
    <w:rsid w:val="0044111E"/>
    <w:rsid w:val="00441F2F"/>
    <w:rsid w:val="00443534"/>
    <w:rsid w:val="00444E1A"/>
    <w:rsid w:val="00445458"/>
    <w:rsid w:val="004479D5"/>
    <w:rsid w:val="00450B4A"/>
    <w:rsid w:val="0045135B"/>
    <w:rsid w:val="004515BD"/>
    <w:rsid w:val="00452A4E"/>
    <w:rsid w:val="0045306B"/>
    <w:rsid w:val="00453B15"/>
    <w:rsid w:val="00453D7A"/>
    <w:rsid w:val="004559D3"/>
    <w:rsid w:val="00455E5B"/>
    <w:rsid w:val="00456780"/>
    <w:rsid w:val="00456AEF"/>
    <w:rsid w:val="00456E65"/>
    <w:rsid w:val="00456FE6"/>
    <w:rsid w:val="00462907"/>
    <w:rsid w:val="00462BBC"/>
    <w:rsid w:val="004637C2"/>
    <w:rsid w:val="004639F9"/>
    <w:rsid w:val="0046414C"/>
    <w:rsid w:val="00465197"/>
    <w:rsid w:val="004651CF"/>
    <w:rsid w:val="00465227"/>
    <w:rsid w:val="0046539A"/>
    <w:rsid w:val="00465639"/>
    <w:rsid w:val="00465744"/>
    <w:rsid w:val="004659DD"/>
    <w:rsid w:val="00465DBA"/>
    <w:rsid w:val="004662F5"/>
    <w:rsid w:val="00470C35"/>
    <w:rsid w:val="00470E5E"/>
    <w:rsid w:val="004710D2"/>
    <w:rsid w:val="00472B41"/>
    <w:rsid w:val="00472CF7"/>
    <w:rsid w:val="004731D3"/>
    <w:rsid w:val="00473612"/>
    <w:rsid w:val="00473BA3"/>
    <w:rsid w:val="00474041"/>
    <w:rsid w:val="00474E67"/>
    <w:rsid w:val="00475095"/>
    <w:rsid w:val="004755CA"/>
    <w:rsid w:val="004757B9"/>
    <w:rsid w:val="004759AD"/>
    <w:rsid w:val="0047648D"/>
    <w:rsid w:val="0047729A"/>
    <w:rsid w:val="00477760"/>
    <w:rsid w:val="00477B69"/>
    <w:rsid w:val="00480C54"/>
    <w:rsid w:val="004813AD"/>
    <w:rsid w:val="00481E12"/>
    <w:rsid w:val="00482E68"/>
    <w:rsid w:val="00484958"/>
    <w:rsid w:val="004849C4"/>
    <w:rsid w:val="004869A8"/>
    <w:rsid w:val="00486BDD"/>
    <w:rsid w:val="00487253"/>
    <w:rsid w:val="0049177A"/>
    <w:rsid w:val="004918AA"/>
    <w:rsid w:val="004919A6"/>
    <w:rsid w:val="00492C2E"/>
    <w:rsid w:val="00492C59"/>
    <w:rsid w:val="00493683"/>
    <w:rsid w:val="00493E6C"/>
    <w:rsid w:val="004962FC"/>
    <w:rsid w:val="00497A31"/>
    <w:rsid w:val="004A21B2"/>
    <w:rsid w:val="004A283F"/>
    <w:rsid w:val="004A2B27"/>
    <w:rsid w:val="004A36D5"/>
    <w:rsid w:val="004A3942"/>
    <w:rsid w:val="004A3E2A"/>
    <w:rsid w:val="004A403C"/>
    <w:rsid w:val="004A5410"/>
    <w:rsid w:val="004A7361"/>
    <w:rsid w:val="004A76CF"/>
    <w:rsid w:val="004A7C95"/>
    <w:rsid w:val="004B0026"/>
    <w:rsid w:val="004B0582"/>
    <w:rsid w:val="004B167C"/>
    <w:rsid w:val="004B2212"/>
    <w:rsid w:val="004B3B98"/>
    <w:rsid w:val="004B66E4"/>
    <w:rsid w:val="004B7892"/>
    <w:rsid w:val="004C0844"/>
    <w:rsid w:val="004C0E76"/>
    <w:rsid w:val="004C3447"/>
    <w:rsid w:val="004C34BE"/>
    <w:rsid w:val="004C4063"/>
    <w:rsid w:val="004C4080"/>
    <w:rsid w:val="004C45E1"/>
    <w:rsid w:val="004D11D8"/>
    <w:rsid w:val="004D22A8"/>
    <w:rsid w:val="004D2648"/>
    <w:rsid w:val="004D27C3"/>
    <w:rsid w:val="004D444E"/>
    <w:rsid w:val="004D547F"/>
    <w:rsid w:val="004D5757"/>
    <w:rsid w:val="004D672E"/>
    <w:rsid w:val="004D6817"/>
    <w:rsid w:val="004D6A4F"/>
    <w:rsid w:val="004D7106"/>
    <w:rsid w:val="004E1DAE"/>
    <w:rsid w:val="004E2735"/>
    <w:rsid w:val="004E27EC"/>
    <w:rsid w:val="004E45D9"/>
    <w:rsid w:val="004E4E91"/>
    <w:rsid w:val="004E5E29"/>
    <w:rsid w:val="004E78D7"/>
    <w:rsid w:val="004F03DE"/>
    <w:rsid w:val="004F03E7"/>
    <w:rsid w:val="004F13E6"/>
    <w:rsid w:val="004F2972"/>
    <w:rsid w:val="004F359F"/>
    <w:rsid w:val="004F54DE"/>
    <w:rsid w:val="004F713C"/>
    <w:rsid w:val="00500C9F"/>
    <w:rsid w:val="0050121F"/>
    <w:rsid w:val="00503967"/>
    <w:rsid w:val="0050423B"/>
    <w:rsid w:val="00505A63"/>
    <w:rsid w:val="00505D2D"/>
    <w:rsid w:val="00506223"/>
    <w:rsid w:val="005116DF"/>
    <w:rsid w:val="0051357C"/>
    <w:rsid w:val="00513866"/>
    <w:rsid w:val="00514287"/>
    <w:rsid w:val="00514D96"/>
    <w:rsid w:val="00514E71"/>
    <w:rsid w:val="00516640"/>
    <w:rsid w:val="00516973"/>
    <w:rsid w:val="00520D37"/>
    <w:rsid w:val="00521ED6"/>
    <w:rsid w:val="005227C3"/>
    <w:rsid w:val="00524068"/>
    <w:rsid w:val="0052535B"/>
    <w:rsid w:val="005259F1"/>
    <w:rsid w:val="00525EF4"/>
    <w:rsid w:val="00530760"/>
    <w:rsid w:val="005312EC"/>
    <w:rsid w:val="005321A1"/>
    <w:rsid w:val="005324E7"/>
    <w:rsid w:val="005345CE"/>
    <w:rsid w:val="0053501A"/>
    <w:rsid w:val="00535C68"/>
    <w:rsid w:val="00536014"/>
    <w:rsid w:val="0053631F"/>
    <w:rsid w:val="0053651B"/>
    <w:rsid w:val="00537310"/>
    <w:rsid w:val="00537439"/>
    <w:rsid w:val="005374E1"/>
    <w:rsid w:val="00537DAE"/>
    <w:rsid w:val="0054201E"/>
    <w:rsid w:val="00542A17"/>
    <w:rsid w:val="00542DD3"/>
    <w:rsid w:val="005454C0"/>
    <w:rsid w:val="00546405"/>
    <w:rsid w:val="00546866"/>
    <w:rsid w:val="005470EF"/>
    <w:rsid w:val="005511FB"/>
    <w:rsid w:val="005524F3"/>
    <w:rsid w:val="00553803"/>
    <w:rsid w:val="00555C14"/>
    <w:rsid w:val="005570D3"/>
    <w:rsid w:val="0055784A"/>
    <w:rsid w:val="00557FE6"/>
    <w:rsid w:val="00560132"/>
    <w:rsid w:val="00561F25"/>
    <w:rsid w:val="00563528"/>
    <w:rsid w:val="00563DE6"/>
    <w:rsid w:val="005640F4"/>
    <w:rsid w:val="005662C2"/>
    <w:rsid w:val="0056700D"/>
    <w:rsid w:val="005671DD"/>
    <w:rsid w:val="00567573"/>
    <w:rsid w:val="005714FE"/>
    <w:rsid w:val="00571FF5"/>
    <w:rsid w:val="00572B21"/>
    <w:rsid w:val="0057399B"/>
    <w:rsid w:val="00573E2B"/>
    <w:rsid w:val="00574E6D"/>
    <w:rsid w:val="00575064"/>
    <w:rsid w:val="0057668A"/>
    <w:rsid w:val="005768CD"/>
    <w:rsid w:val="00577460"/>
    <w:rsid w:val="00580238"/>
    <w:rsid w:val="005807BA"/>
    <w:rsid w:val="00580977"/>
    <w:rsid w:val="0058179C"/>
    <w:rsid w:val="00583308"/>
    <w:rsid w:val="00583B9B"/>
    <w:rsid w:val="00584229"/>
    <w:rsid w:val="00584DC8"/>
    <w:rsid w:val="00584EDD"/>
    <w:rsid w:val="005859A2"/>
    <w:rsid w:val="00586CDE"/>
    <w:rsid w:val="005908B3"/>
    <w:rsid w:val="0059183E"/>
    <w:rsid w:val="00592DDD"/>
    <w:rsid w:val="00593867"/>
    <w:rsid w:val="0059509B"/>
    <w:rsid w:val="005953C8"/>
    <w:rsid w:val="00595852"/>
    <w:rsid w:val="00596733"/>
    <w:rsid w:val="0059693F"/>
    <w:rsid w:val="00597798"/>
    <w:rsid w:val="00597A0E"/>
    <w:rsid w:val="00597B1B"/>
    <w:rsid w:val="005A086B"/>
    <w:rsid w:val="005A1118"/>
    <w:rsid w:val="005A20FD"/>
    <w:rsid w:val="005A2A27"/>
    <w:rsid w:val="005A2EF5"/>
    <w:rsid w:val="005A3346"/>
    <w:rsid w:val="005A38E0"/>
    <w:rsid w:val="005A3C2C"/>
    <w:rsid w:val="005A462A"/>
    <w:rsid w:val="005A52C5"/>
    <w:rsid w:val="005A59F5"/>
    <w:rsid w:val="005A6A5C"/>
    <w:rsid w:val="005A6EA9"/>
    <w:rsid w:val="005A7EC3"/>
    <w:rsid w:val="005B01B4"/>
    <w:rsid w:val="005B07EE"/>
    <w:rsid w:val="005B1769"/>
    <w:rsid w:val="005B1A96"/>
    <w:rsid w:val="005B412C"/>
    <w:rsid w:val="005B4417"/>
    <w:rsid w:val="005B4C93"/>
    <w:rsid w:val="005B67DA"/>
    <w:rsid w:val="005B6938"/>
    <w:rsid w:val="005B7984"/>
    <w:rsid w:val="005B7AF2"/>
    <w:rsid w:val="005B7D93"/>
    <w:rsid w:val="005C521B"/>
    <w:rsid w:val="005C5284"/>
    <w:rsid w:val="005C6404"/>
    <w:rsid w:val="005C67BF"/>
    <w:rsid w:val="005C75C3"/>
    <w:rsid w:val="005C789A"/>
    <w:rsid w:val="005D09E8"/>
    <w:rsid w:val="005D2B16"/>
    <w:rsid w:val="005D4909"/>
    <w:rsid w:val="005D541E"/>
    <w:rsid w:val="005D5717"/>
    <w:rsid w:val="005D659B"/>
    <w:rsid w:val="005D6E1E"/>
    <w:rsid w:val="005E2D64"/>
    <w:rsid w:val="005E2E64"/>
    <w:rsid w:val="005E3008"/>
    <w:rsid w:val="005E3E32"/>
    <w:rsid w:val="005E4572"/>
    <w:rsid w:val="005E640B"/>
    <w:rsid w:val="005E6FE0"/>
    <w:rsid w:val="005E781A"/>
    <w:rsid w:val="005E7A1F"/>
    <w:rsid w:val="005F1A47"/>
    <w:rsid w:val="005F21E0"/>
    <w:rsid w:val="005F26AA"/>
    <w:rsid w:val="005F2CE4"/>
    <w:rsid w:val="005F3E56"/>
    <w:rsid w:val="005F4449"/>
    <w:rsid w:val="005F5335"/>
    <w:rsid w:val="005F5A84"/>
    <w:rsid w:val="00600F4C"/>
    <w:rsid w:val="006014ED"/>
    <w:rsid w:val="006061F9"/>
    <w:rsid w:val="006071D1"/>
    <w:rsid w:val="006077E4"/>
    <w:rsid w:val="006121A2"/>
    <w:rsid w:val="006136D6"/>
    <w:rsid w:val="0061473D"/>
    <w:rsid w:val="00614AD7"/>
    <w:rsid w:val="0061569C"/>
    <w:rsid w:val="006160E0"/>
    <w:rsid w:val="0061677C"/>
    <w:rsid w:val="00617D09"/>
    <w:rsid w:val="0062098C"/>
    <w:rsid w:val="00621D57"/>
    <w:rsid w:val="00622440"/>
    <w:rsid w:val="00622CAA"/>
    <w:rsid w:val="0062385A"/>
    <w:rsid w:val="00623EE6"/>
    <w:rsid w:val="006241C5"/>
    <w:rsid w:val="006246AC"/>
    <w:rsid w:val="00624A31"/>
    <w:rsid w:val="00624E40"/>
    <w:rsid w:val="006273CE"/>
    <w:rsid w:val="00627FBE"/>
    <w:rsid w:val="0063005A"/>
    <w:rsid w:val="006302DB"/>
    <w:rsid w:val="0063096C"/>
    <w:rsid w:val="00631716"/>
    <w:rsid w:val="00631CD6"/>
    <w:rsid w:val="0063365B"/>
    <w:rsid w:val="006336B0"/>
    <w:rsid w:val="00633F8D"/>
    <w:rsid w:val="006348A9"/>
    <w:rsid w:val="00634FF7"/>
    <w:rsid w:val="0063536D"/>
    <w:rsid w:val="006357B6"/>
    <w:rsid w:val="0063787D"/>
    <w:rsid w:val="00637BF2"/>
    <w:rsid w:val="00640680"/>
    <w:rsid w:val="00640BB5"/>
    <w:rsid w:val="006419E4"/>
    <w:rsid w:val="00642823"/>
    <w:rsid w:val="00642CBB"/>
    <w:rsid w:val="00643397"/>
    <w:rsid w:val="00644E35"/>
    <w:rsid w:val="00645172"/>
    <w:rsid w:val="0064557C"/>
    <w:rsid w:val="006465BB"/>
    <w:rsid w:val="00647B39"/>
    <w:rsid w:val="006502EE"/>
    <w:rsid w:val="0065108C"/>
    <w:rsid w:val="006512E2"/>
    <w:rsid w:val="00651459"/>
    <w:rsid w:val="0065168B"/>
    <w:rsid w:val="00652018"/>
    <w:rsid w:val="00652F75"/>
    <w:rsid w:val="00654A9D"/>
    <w:rsid w:val="00654C26"/>
    <w:rsid w:val="00655862"/>
    <w:rsid w:val="00656486"/>
    <w:rsid w:val="00657EEE"/>
    <w:rsid w:val="00660BE6"/>
    <w:rsid w:val="00660F77"/>
    <w:rsid w:val="006614BA"/>
    <w:rsid w:val="00661744"/>
    <w:rsid w:val="0066265C"/>
    <w:rsid w:val="00662A0B"/>
    <w:rsid w:val="0066318D"/>
    <w:rsid w:val="006636B5"/>
    <w:rsid w:val="00663B47"/>
    <w:rsid w:val="00664575"/>
    <w:rsid w:val="00664968"/>
    <w:rsid w:val="00665546"/>
    <w:rsid w:val="00666145"/>
    <w:rsid w:val="006664C2"/>
    <w:rsid w:val="00666A0C"/>
    <w:rsid w:val="00667935"/>
    <w:rsid w:val="00671CDF"/>
    <w:rsid w:val="006728F3"/>
    <w:rsid w:val="00673645"/>
    <w:rsid w:val="006736FD"/>
    <w:rsid w:val="00673C2F"/>
    <w:rsid w:val="0067511D"/>
    <w:rsid w:val="00675C09"/>
    <w:rsid w:val="0067739A"/>
    <w:rsid w:val="00680905"/>
    <w:rsid w:val="00680E7E"/>
    <w:rsid w:val="006814F6"/>
    <w:rsid w:val="0068176A"/>
    <w:rsid w:val="00681A75"/>
    <w:rsid w:val="00683EB9"/>
    <w:rsid w:val="00685759"/>
    <w:rsid w:val="00685B1B"/>
    <w:rsid w:val="00685C29"/>
    <w:rsid w:val="006862BE"/>
    <w:rsid w:val="00686453"/>
    <w:rsid w:val="006876A1"/>
    <w:rsid w:val="00690C4D"/>
    <w:rsid w:val="00691238"/>
    <w:rsid w:val="006923E5"/>
    <w:rsid w:val="00692A3F"/>
    <w:rsid w:val="00692C8E"/>
    <w:rsid w:val="006930AD"/>
    <w:rsid w:val="0069316D"/>
    <w:rsid w:val="006940FF"/>
    <w:rsid w:val="006943BB"/>
    <w:rsid w:val="00697684"/>
    <w:rsid w:val="006A0210"/>
    <w:rsid w:val="006A0CB8"/>
    <w:rsid w:val="006A1A36"/>
    <w:rsid w:val="006A23F1"/>
    <w:rsid w:val="006A3D47"/>
    <w:rsid w:val="006A3F58"/>
    <w:rsid w:val="006A49A7"/>
    <w:rsid w:val="006B0547"/>
    <w:rsid w:val="006B090F"/>
    <w:rsid w:val="006B1954"/>
    <w:rsid w:val="006B34C0"/>
    <w:rsid w:val="006B4C06"/>
    <w:rsid w:val="006B5798"/>
    <w:rsid w:val="006B5BD3"/>
    <w:rsid w:val="006B5C2F"/>
    <w:rsid w:val="006B5CEA"/>
    <w:rsid w:val="006B5EB3"/>
    <w:rsid w:val="006B6E49"/>
    <w:rsid w:val="006B7191"/>
    <w:rsid w:val="006B78C5"/>
    <w:rsid w:val="006B7D74"/>
    <w:rsid w:val="006B7E0A"/>
    <w:rsid w:val="006C145A"/>
    <w:rsid w:val="006C1503"/>
    <w:rsid w:val="006C1755"/>
    <w:rsid w:val="006C20CB"/>
    <w:rsid w:val="006C2EE2"/>
    <w:rsid w:val="006C3038"/>
    <w:rsid w:val="006C4401"/>
    <w:rsid w:val="006C55DC"/>
    <w:rsid w:val="006C62DE"/>
    <w:rsid w:val="006C64C9"/>
    <w:rsid w:val="006C6C5E"/>
    <w:rsid w:val="006C794E"/>
    <w:rsid w:val="006C7997"/>
    <w:rsid w:val="006C7E35"/>
    <w:rsid w:val="006D0A03"/>
    <w:rsid w:val="006D0E59"/>
    <w:rsid w:val="006D100F"/>
    <w:rsid w:val="006D19A4"/>
    <w:rsid w:val="006D1E0D"/>
    <w:rsid w:val="006D4035"/>
    <w:rsid w:val="006D44A3"/>
    <w:rsid w:val="006D7050"/>
    <w:rsid w:val="006D7240"/>
    <w:rsid w:val="006D7C57"/>
    <w:rsid w:val="006E0325"/>
    <w:rsid w:val="006E0347"/>
    <w:rsid w:val="006E0FC2"/>
    <w:rsid w:val="006E22AC"/>
    <w:rsid w:val="006E2511"/>
    <w:rsid w:val="006E26AB"/>
    <w:rsid w:val="006E2C85"/>
    <w:rsid w:val="006E533B"/>
    <w:rsid w:val="006E6E55"/>
    <w:rsid w:val="006E7593"/>
    <w:rsid w:val="006F04A7"/>
    <w:rsid w:val="006F1734"/>
    <w:rsid w:val="006F1AD0"/>
    <w:rsid w:val="006F269E"/>
    <w:rsid w:val="006F3497"/>
    <w:rsid w:val="006F51F8"/>
    <w:rsid w:val="006F571B"/>
    <w:rsid w:val="006F5BE6"/>
    <w:rsid w:val="006F67A1"/>
    <w:rsid w:val="006F705C"/>
    <w:rsid w:val="006F7EAF"/>
    <w:rsid w:val="00700CEA"/>
    <w:rsid w:val="0070116B"/>
    <w:rsid w:val="007018A3"/>
    <w:rsid w:val="007025EA"/>
    <w:rsid w:val="007029BF"/>
    <w:rsid w:val="00703BE2"/>
    <w:rsid w:val="00703E41"/>
    <w:rsid w:val="00704FE1"/>
    <w:rsid w:val="00706692"/>
    <w:rsid w:val="00707499"/>
    <w:rsid w:val="007100D0"/>
    <w:rsid w:val="00710EA4"/>
    <w:rsid w:val="00711D02"/>
    <w:rsid w:val="00712D2A"/>
    <w:rsid w:val="00712E89"/>
    <w:rsid w:val="007131B0"/>
    <w:rsid w:val="007134C6"/>
    <w:rsid w:val="00717771"/>
    <w:rsid w:val="00720589"/>
    <w:rsid w:val="00721335"/>
    <w:rsid w:val="007213EE"/>
    <w:rsid w:val="007249DB"/>
    <w:rsid w:val="007278FB"/>
    <w:rsid w:val="00730A04"/>
    <w:rsid w:val="00730C47"/>
    <w:rsid w:val="00731504"/>
    <w:rsid w:val="00733910"/>
    <w:rsid w:val="00733EDF"/>
    <w:rsid w:val="00734197"/>
    <w:rsid w:val="00735E04"/>
    <w:rsid w:val="00737025"/>
    <w:rsid w:val="00737DC4"/>
    <w:rsid w:val="007402F6"/>
    <w:rsid w:val="00740E34"/>
    <w:rsid w:val="0074451A"/>
    <w:rsid w:val="00744E29"/>
    <w:rsid w:val="00746F2F"/>
    <w:rsid w:val="007476A4"/>
    <w:rsid w:val="00747CCF"/>
    <w:rsid w:val="0075094F"/>
    <w:rsid w:val="00751C5D"/>
    <w:rsid w:val="00751CEB"/>
    <w:rsid w:val="00752491"/>
    <w:rsid w:val="00752872"/>
    <w:rsid w:val="00752D6B"/>
    <w:rsid w:val="00752D94"/>
    <w:rsid w:val="00753857"/>
    <w:rsid w:val="00753CEA"/>
    <w:rsid w:val="0075407A"/>
    <w:rsid w:val="007554AD"/>
    <w:rsid w:val="00755F3F"/>
    <w:rsid w:val="00756A07"/>
    <w:rsid w:val="007572EE"/>
    <w:rsid w:val="00757A39"/>
    <w:rsid w:val="00761854"/>
    <w:rsid w:val="00761996"/>
    <w:rsid w:val="00762FFC"/>
    <w:rsid w:val="00764F18"/>
    <w:rsid w:val="0076570B"/>
    <w:rsid w:val="00765E4A"/>
    <w:rsid w:val="007662AC"/>
    <w:rsid w:val="00766625"/>
    <w:rsid w:val="00767C6D"/>
    <w:rsid w:val="00767F1B"/>
    <w:rsid w:val="007721E4"/>
    <w:rsid w:val="007726CA"/>
    <w:rsid w:val="00772A1E"/>
    <w:rsid w:val="00773814"/>
    <w:rsid w:val="0077469C"/>
    <w:rsid w:val="007749F5"/>
    <w:rsid w:val="00774E7F"/>
    <w:rsid w:val="007755AE"/>
    <w:rsid w:val="00775922"/>
    <w:rsid w:val="00776793"/>
    <w:rsid w:val="00777172"/>
    <w:rsid w:val="00777A30"/>
    <w:rsid w:val="007800B6"/>
    <w:rsid w:val="007806F4"/>
    <w:rsid w:val="0078095F"/>
    <w:rsid w:val="00780AED"/>
    <w:rsid w:val="00781DEA"/>
    <w:rsid w:val="00783326"/>
    <w:rsid w:val="0078360D"/>
    <w:rsid w:val="00784B62"/>
    <w:rsid w:val="007852CF"/>
    <w:rsid w:val="00786191"/>
    <w:rsid w:val="007861CF"/>
    <w:rsid w:val="0079104E"/>
    <w:rsid w:val="00792E1F"/>
    <w:rsid w:val="00794C5F"/>
    <w:rsid w:val="00795622"/>
    <w:rsid w:val="00797715"/>
    <w:rsid w:val="007A02C3"/>
    <w:rsid w:val="007A09AC"/>
    <w:rsid w:val="007A0A9F"/>
    <w:rsid w:val="007A18C0"/>
    <w:rsid w:val="007A1987"/>
    <w:rsid w:val="007A214C"/>
    <w:rsid w:val="007A7E36"/>
    <w:rsid w:val="007B06BE"/>
    <w:rsid w:val="007B1A4E"/>
    <w:rsid w:val="007B210F"/>
    <w:rsid w:val="007B4394"/>
    <w:rsid w:val="007B5226"/>
    <w:rsid w:val="007B68C6"/>
    <w:rsid w:val="007B68CD"/>
    <w:rsid w:val="007B71C4"/>
    <w:rsid w:val="007B7AF6"/>
    <w:rsid w:val="007C2F5D"/>
    <w:rsid w:val="007C3199"/>
    <w:rsid w:val="007C42B6"/>
    <w:rsid w:val="007C5153"/>
    <w:rsid w:val="007C5E17"/>
    <w:rsid w:val="007C6F30"/>
    <w:rsid w:val="007C75EF"/>
    <w:rsid w:val="007C7989"/>
    <w:rsid w:val="007D17B1"/>
    <w:rsid w:val="007D26FD"/>
    <w:rsid w:val="007D2FED"/>
    <w:rsid w:val="007D3045"/>
    <w:rsid w:val="007D4E2C"/>
    <w:rsid w:val="007D57AD"/>
    <w:rsid w:val="007D5A11"/>
    <w:rsid w:val="007D5C77"/>
    <w:rsid w:val="007D5EA6"/>
    <w:rsid w:val="007D6130"/>
    <w:rsid w:val="007D6E1C"/>
    <w:rsid w:val="007D7226"/>
    <w:rsid w:val="007D7823"/>
    <w:rsid w:val="007E0955"/>
    <w:rsid w:val="007E1C9F"/>
    <w:rsid w:val="007E1D64"/>
    <w:rsid w:val="007E1E1F"/>
    <w:rsid w:val="007E1FA0"/>
    <w:rsid w:val="007E3EFC"/>
    <w:rsid w:val="007E4D46"/>
    <w:rsid w:val="007E6F03"/>
    <w:rsid w:val="007E6F0A"/>
    <w:rsid w:val="007E7219"/>
    <w:rsid w:val="007F0908"/>
    <w:rsid w:val="007F0B04"/>
    <w:rsid w:val="007F0B6B"/>
    <w:rsid w:val="007F0D50"/>
    <w:rsid w:val="007F0F8C"/>
    <w:rsid w:val="007F1300"/>
    <w:rsid w:val="007F2799"/>
    <w:rsid w:val="007F686C"/>
    <w:rsid w:val="007F7765"/>
    <w:rsid w:val="007F7A2A"/>
    <w:rsid w:val="00801DF4"/>
    <w:rsid w:val="00801FD7"/>
    <w:rsid w:val="008047F3"/>
    <w:rsid w:val="00804A38"/>
    <w:rsid w:val="0080572B"/>
    <w:rsid w:val="0080753E"/>
    <w:rsid w:val="00807A58"/>
    <w:rsid w:val="00810567"/>
    <w:rsid w:val="00811875"/>
    <w:rsid w:val="008126B1"/>
    <w:rsid w:val="00813226"/>
    <w:rsid w:val="00813C0E"/>
    <w:rsid w:val="008156CC"/>
    <w:rsid w:val="008159B9"/>
    <w:rsid w:val="0082350C"/>
    <w:rsid w:val="00823A5D"/>
    <w:rsid w:val="0082466F"/>
    <w:rsid w:val="00824782"/>
    <w:rsid w:val="00826F0B"/>
    <w:rsid w:val="00827E85"/>
    <w:rsid w:val="00830636"/>
    <w:rsid w:val="0083137B"/>
    <w:rsid w:val="0083142C"/>
    <w:rsid w:val="0083178D"/>
    <w:rsid w:val="0083342F"/>
    <w:rsid w:val="00833D0A"/>
    <w:rsid w:val="00833ED5"/>
    <w:rsid w:val="00834070"/>
    <w:rsid w:val="00834259"/>
    <w:rsid w:val="00834B53"/>
    <w:rsid w:val="00835D11"/>
    <w:rsid w:val="00837698"/>
    <w:rsid w:val="00837F3D"/>
    <w:rsid w:val="008402D9"/>
    <w:rsid w:val="0084076B"/>
    <w:rsid w:val="0084078A"/>
    <w:rsid w:val="00840DCE"/>
    <w:rsid w:val="00840F0F"/>
    <w:rsid w:val="00841046"/>
    <w:rsid w:val="008411AF"/>
    <w:rsid w:val="008416A7"/>
    <w:rsid w:val="00841CF9"/>
    <w:rsid w:val="008458A6"/>
    <w:rsid w:val="0084677D"/>
    <w:rsid w:val="00850E88"/>
    <w:rsid w:val="0085283F"/>
    <w:rsid w:val="0085352D"/>
    <w:rsid w:val="00853DFC"/>
    <w:rsid w:val="00854365"/>
    <w:rsid w:val="00854501"/>
    <w:rsid w:val="008562CE"/>
    <w:rsid w:val="00861AF0"/>
    <w:rsid w:val="008623F9"/>
    <w:rsid w:val="00862BF6"/>
    <w:rsid w:val="00863594"/>
    <w:rsid w:val="00864192"/>
    <w:rsid w:val="008649F7"/>
    <w:rsid w:val="00866286"/>
    <w:rsid w:val="00866EA6"/>
    <w:rsid w:val="00870280"/>
    <w:rsid w:val="0087080F"/>
    <w:rsid w:val="008740DB"/>
    <w:rsid w:val="0087465C"/>
    <w:rsid w:val="00875DF5"/>
    <w:rsid w:val="0087665C"/>
    <w:rsid w:val="008766A0"/>
    <w:rsid w:val="00876BB0"/>
    <w:rsid w:val="008806F6"/>
    <w:rsid w:val="00881350"/>
    <w:rsid w:val="00882079"/>
    <w:rsid w:val="008823F4"/>
    <w:rsid w:val="0088289C"/>
    <w:rsid w:val="008837C6"/>
    <w:rsid w:val="008839D7"/>
    <w:rsid w:val="00884E9B"/>
    <w:rsid w:val="00886007"/>
    <w:rsid w:val="00886049"/>
    <w:rsid w:val="008861A4"/>
    <w:rsid w:val="008873DE"/>
    <w:rsid w:val="00890748"/>
    <w:rsid w:val="0089108F"/>
    <w:rsid w:val="00891A7B"/>
    <w:rsid w:val="00892B7F"/>
    <w:rsid w:val="00894814"/>
    <w:rsid w:val="00895E46"/>
    <w:rsid w:val="00896CB6"/>
    <w:rsid w:val="00896FFD"/>
    <w:rsid w:val="008972D2"/>
    <w:rsid w:val="00897E30"/>
    <w:rsid w:val="008A063C"/>
    <w:rsid w:val="008A12EB"/>
    <w:rsid w:val="008A186E"/>
    <w:rsid w:val="008A22E7"/>
    <w:rsid w:val="008A3063"/>
    <w:rsid w:val="008A34FA"/>
    <w:rsid w:val="008A4248"/>
    <w:rsid w:val="008A424A"/>
    <w:rsid w:val="008A64A9"/>
    <w:rsid w:val="008A706E"/>
    <w:rsid w:val="008A7E39"/>
    <w:rsid w:val="008B03EE"/>
    <w:rsid w:val="008B0756"/>
    <w:rsid w:val="008B0EA8"/>
    <w:rsid w:val="008B2F21"/>
    <w:rsid w:val="008B3392"/>
    <w:rsid w:val="008B3414"/>
    <w:rsid w:val="008B62FF"/>
    <w:rsid w:val="008B6F1C"/>
    <w:rsid w:val="008B796A"/>
    <w:rsid w:val="008C1925"/>
    <w:rsid w:val="008C1E1E"/>
    <w:rsid w:val="008C266D"/>
    <w:rsid w:val="008C358F"/>
    <w:rsid w:val="008C41CB"/>
    <w:rsid w:val="008C5901"/>
    <w:rsid w:val="008C74E7"/>
    <w:rsid w:val="008C7A96"/>
    <w:rsid w:val="008C7FA2"/>
    <w:rsid w:val="008D0130"/>
    <w:rsid w:val="008D03D9"/>
    <w:rsid w:val="008D0987"/>
    <w:rsid w:val="008D0E5B"/>
    <w:rsid w:val="008D1329"/>
    <w:rsid w:val="008D1F37"/>
    <w:rsid w:val="008D21EE"/>
    <w:rsid w:val="008D341F"/>
    <w:rsid w:val="008D4EE4"/>
    <w:rsid w:val="008D69D3"/>
    <w:rsid w:val="008D6CAD"/>
    <w:rsid w:val="008D7B6B"/>
    <w:rsid w:val="008E0B5D"/>
    <w:rsid w:val="008E151C"/>
    <w:rsid w:val="008E1888"/>
    <w:rsid w:val="008E1AD8"/>
    <w:rsid w:val="008E3076"/>
    <w:rsid w:val="008E57D2"/>
    <w:rsid w:val="008E660B"/>
    <w:rsid w:val="008E6EE3"/>
    <w:rsid w:val="008F1871"/>
    <w:rsid w:val="008F1FE2"/>
    <w:rsid w:val="008F2E7F"/>
    <w:rsid w:val="008F59F9"/>
    <w:rsid w:val="00900288"/>
    <w:rsid w:val="00900B7F"/>
    <w:rsid w:val="009032C1"/>
    <w:rsid w:val="00903469"/>
    <w:rsid w:val="00903F2E"/>
    <w:rsid w:val="00905530"/>
    <w:rsid w:val="00906C34"/>
    <w:rsid w:val="009075E7"/>
    <w:rsid w:val="00907D29"/>
    <w:rsid w:val="0091018D"/>
    <w:rsid w:val="00910233"/>
    <w:rsid w:val="0091085E"/>
    <w:rsid w:val="00910879"/>
    <w:rsid w:val="0091163F"/>
    <w:rsid w:val="00912ED0"/>
    <w:rsid w:val="00913150"/>
    <w:rsid w:val="00916AF6"/>
    <w:rsid w:val="00916BAD"/>
    <w:rsid w:val="00916C5A"/>
    <w:rsid w:val="009171BF"/>
    <w:rsid w:val="00917A29"/>
    <w:rsid w:val="00922204"/>
    <w:rsid w:val="0092376D"/>
    <w:rsid w:val="0092398E"/>
    <w:rsid w:val="00923B05"/>
    <w:rsid w:val="00923CF7"/>
    <w:rsid w:val="00923EC5"/>
    <w:rsid w:val="00924B26"/>
    <w:rsid w:val="00931546"/>
    <w:rsid w:val="009318B4"/>
    <w:rsid w:val="00932928"/>
    <w:rsid w:val="0093365F"/>
    <w:rsid w:val="00937113"/>
    <w:rsid w:val="00940658"/>
    <w:rsid w:val="00940CB3"/>
    <w:rsid w:val="00941752"/>
    <w:rsid w:val="00941781"/>
    <w:rsid w:val="00942405"/>
    <w:rsid w:val="009437BF"/>
    <w:rsid w:val="00943D62"/>
    <w:rsid w:val="00944C17"/>
    <w:rsid w:val="0094551E"/>
    <w:rsid w:val="00945A29"/>
    <w:rsid w:val="00945B3A"/>
    <w:rsid w:val="00951312"/>
    <w:rsid w:val="00951459"/>
    <w:rsid w:val="00952651"/>
    <w:rsid w:val="00952C9C"/>
    <w:rsid w:val="009534FA"/>
    <w:rsid w:val="00953D38"/>
    <w:rsid w:val="0095668C"/>
    <w:rsid w:val="00957C2A"/>
    <w:rsid w:val="00961E93"/>
    <w:rsid w:val="00963F84"/>
    <w:rsid w:val="0096598B"/>
    <w:rsid w:val="00966E88"/>
    <w:rsid w:val="00967E14"/>
    <w:rsid w:val="00970CA1"/>
    <w:rsid w:val="009715EE"/>
    <w:rsid w:val="00972B66"/>
    <w:rsid w:val="00973707"/>
    <w:rsid w:val="00973A22"/>
    <w:rsid w:val="00974286"/>
    <w:rsid w:val="00975D2B"/>
    <w:rsid w:val="00975FF9"/>
    <w:rsid w:val="00975FFE"/>
    <w:rsid w:val="00976BDC"/>
    <w:rsid w:val="009802C9"/>
    <w:rsid w:val="00981E9D"/>
    <w:rsid w:val="00981EDD"/>
    <w:rsid w:val="00983306"/>
    <w:rsid w:val="00983440"/>
    <w:rsid w:val="009839BA"/>
    <w:rsid w:val="009843EA"/>
    <w:rsid w:val="00985380"/>
    <w:rsid w:val="009858C9"/>
    <w:rsid w:val="009862B7"/>
    <w:rsid w:val="00986F41"/>
    <w:rsid w:val="009870F7"/>
    <w:rsid w:val="00987411"/>
    <w:rsid w:val="00990048"/>
    <w:rsid w:val="009915A5"/>
    <w:rsid w:val="0099374B"/>
    <w:rsid w:val="00994ACA"/>
    <w:rsid w:val="00996819"/>
    <w:rsid w:val="0099689F"/>
    <w:rsid w:val="009A0FE6"/>
    <w:rsid w:val="009A1075"/>
    <w:rsid w:val="009A13F8"/>
    <w:rsid w:val="009A1956"/>
    <w:rsid w:val="009A203C"/>
    <w:rsid w:val="009A2268"/>
    <w:rsid w:val="009A2DA0"/>
    <w:rsid w:val="009A3526"/>
    <w:rsid w:val="009A46D0"/>
    <w:rsid w:val="009A4849"/>
    <w:rsid w:val="009A4F3D"/>
    <w:rsid w:val="009A5389"/>
    <w:rsid w:val="009A7B26"/>
    <w:rsid w:val="009A7EFA"/>
    <w:rsid w:val="009B2795"/>
    <w:rsid w:val="009B2912"/>
    <w:rsid w:val="009B4FDA"/>
    <w:rsid w:val="009B5388"/>
    <w:rsid w:val="009C0DB9"/>
    <w:rsid w:val="009C1242"/>
    <w:rsid w:val="009C136B"/>
    <w:rsid w:val="009C1D73"/>
    <w:rsid w:val="009C3056"/>
    <w:rsid w:val="009C3DEF"/>
    <w:rsid w:val="009C4195"/>
    <w:rsid w:val="009C43C5"/>
    <w:rsid w:val="009C4EB8"/>
    <w:rsid w:val="009C675C"/>
    <w:rsid w:val="009D008B"/>
    <w:rsid w:val="009D3A68"/>
    <w:rsid w:val="009D3F94"/>
    <w:rsid w:val="009D4235"/>
    <w:rsid w:val="009D4C32"/>
    <w:rsid w:val="009D5132"/>
    <w:rsid w:val="009D5788"/>
    <w:rsid w:val="009E0CFB"/>
    <w:rsid w:val="009E158F"/>
    <w:rsid w:val="009E2BAA"/>
    <w:rsid w:val="009E4216"/>
    <w:rsid w:val="009E4572"/>
    <w:rsid w:val="009E4662"/>
    <w:rsid w:val="009E4735"/>
    <w:rsid w:val="009E51A5"/>
    <w:rsid w:val="009E665D"/>
    <w:rsid w:val="009E6A84"/>
    <w:rsid w:val="009E75AD"/>
    <w:rsid w:val="009E7840"/>
    <w:rsid w:val="009E7A29"/>
    <w:rsid w:val="009F105F"/>
    <w:rsid w:val="009F2D0A"/>
    <w:rsid w:val="009F3089"/>
    <w:rsid w:val="009F5ABD"/>
    <w:rsid w:val="009F6613"/>
    <w:rsid w:val="009F6D81"/>
    <w:rsid w:val="009F6DCC"/>
    <w:rsid w:val="009F7470"/>
    <w:rsid w:val="00A01074"/>
    <w:rsid w:val="00A02221"/>
    <w:rsid w:val="00A024F1"/>
    <w:rsid w:val="00A0320D"/>
    <w:rsid w:val="00A03817"/>
    <w:rsid w:val="00A0403A"/>
    <w:rsid w:val="00A0492B"/>
    <w:rsid w:val="00A05A1A"/>
    <w:rsid w:val="00A05C93"/>
    <w:rsid w:val="00A05CA9"/>
    <w:rsid w:val="00A0630D"/>
    <w:rsid w:val="00A10956"/>
    <w:rsid w:val="00A115FC"/>
    <w:rsid w:val="00A14431"/>
    <w:rsid w:val="00A156B7"/>
    <w:rsid w:val="00A17408"/>
    <w:rsid w:val="00A17D25"/>
    <w:rsid w:val="00A21694"/>
    <w:rsid w:val="00A22174"/>
    <w:rsid w:val="00A233E0"/>
    <w:rsid w:val="00A2410F"/>
    <w:rsid w:val="00A25376"/>
    <w:rsid w:val="00A26B0C"/>
    <w:rsid w:val="00A27536"/>
    <w:rsid w:val="00A279AD"/>
    <w:rsid w:val="00A27C75"/>
    <w:rsid w:val="00A30123"/>
    <w:rsid w:val="00A3061C"/>
    <w:rsid w:val="00A307A7"/>
    <w:rsid w:val="00A30EF7"/>
    <w:rsid w:val="00A316D6"/>
    <w:rsid w:val="00A3296B"/>
    <w:rsid w:val="00A32F8E"/>
    <w:rsid w:val="00A334F7"/>
    <w:rsid w:val="00A33582"/>
    <w:rsid w:val="00A33782"/>
    <w:rsid w:val="00A33AC6"/>
    <w:rsid w:val="00A35DDC"/>
    <w:rsid w:val="00A35E92"/>
    <w:rsid w:val="00A35F2D"/>
    <w:rsid w:val="00A37435"/>
    <w:rsid w:val="00A37E67"/>
    <w:rsid w:val="00A37F81"/>
    <w:rsid w:val="00A42CE9"/>
    <w:rsid w:val="00A42E34"/>
    <w:rsid w:val="00A43977"/>
    <w:rsid w:val="00A439CB"/>
    <w:rsid w:val="00A44434"/>
    <w:rsid w:val="00A44C80"/>
    <w:rsid w:val="00A4785E"/>
    <w:rsid w:val="00A53D77"/>
    <w:rsid w:val="00A5433B"/>
    <w:rsid w:val="00A54989"/>
    <w:rsid w:val="00A60A1B"/>
    <w:rsid w:val="00A60AA0"/>
    <w:rsid w:val="00A60FC7"/>
    <w:rsid w:val="00A615E6"/>
    <w:rsid w:val="00A62039"/>
    <w:rsid w:val="00A62E9E"/>
    <w:rsid w:val="00A634CD"/>
    <w:rsid w:val="00A664F6"/>
    <w:rsid w:val="00A66B38"/>
    <w:rsid w:val="00A677CA"/>
    <w:rsid w:val="00A710FF"/>
    <w:rsid w:val="00A72F7E"/>
    <w:rsid w:val="00A747D8"/>
    <w:rsid w:val="00A75675"/>
    <w:rsid w:val="00A75C58"/>
    <w:rsid w:val="00A75EA8"/>
    <w:rsid w:val="00A76DFA"/>
    <w:rsid w:val="00A77E86"/>
    <w:rsid w:val="00A8047B"/>
    <w:rsid w:val="00A80B38"/>
    <w:rsid w:val="00A81F4B"/>
    <w:rsid w:val="00A823CB"/>
    <w:rsid w:val="00A82B4E"/>
    <w:rsid w:val="00A82BC2"/>
    <w:rsid w:val="00A82C12"/>
    <w:rsid w:val="00A82E9A"/>
    <w:rsid w:val="00A83AF9"/>
    <w:rsid w:val="00A83F50"/>
    <w:rsid w:val="00A85A09"/>
    <w:rsid w:val="00A85DFD"/>
    <w:rsid w:val="00A86028"/>
    <w:rsid w:val="00A8659C"/>
    <w:rsid w:val="00A87693"/>
    <w:rsid w:val="00A91CF0"/>
    <w:rsid w:val="00A92714"/>
    <w:rsid w:val="00A92C6C"/>
    <w:rsid w:val="00A93086"/>
    <w:rsid w:val="00A93304"/>
    <w:rsid w:val="00A94170"/>
    <w:rsid w:val="00A96ADD"/>
    <w:rsid w:val="00A97540"/>
    <w:rsid w:val="00A97ACF"/>
    <w:rsid w:val="00AA1D9B"/>
    <w:rsid w:val="00AA281A"/>
    <w:rsid w:val="00AA377C"/>
    <w:rsid w:val="00AA51D9"/>
    <w:rsid w:val="00AA64A4"/>
    <w:rsid w:val="00AA66C7"/>
    <w:rsid w:val="00AA69BD"/>
    <w:rsid w:val="00AB0153"/>
    <w:rsid w:val="00AB0AD5"/>
    <w:rsid w:val="00AB207F"/>
    <w:rsid w:val="00AB293F"/>
    <w:rsid w:val="00AB363F"/>
    <w:rsid w:val="00AB733B"/>
    <w:rsid w:val="00AB77DA"/>
    <w:rsid w:val="00AC3F83"/>
    <w:rsid w:val="00AD101F"/>
    <w:rsid w:val="00AD2046"/>
    <w:rsid w:val="00AD268A"/>
    <w:rsid w:val="00AD3F2B"/>
    <w:rsid w:val="00AD44AA"/>
    <w:rsid w:val="00AD493B"/>
    <w:rsid w:val="00AD578C"/>
    <w:rsid w:val="00AD7A22"/>
    <w:rsid w:val="00AD7B8C"/>
    <w:rsid w:val="00AD7D52"/>
    <w:rsid w:val="00AE05F6"/>
    <w:rsid w:val="00AE09A5"/>
    <w:rsid w:val="00AE1421"/>
    <w:rsid w:val="00AE1A77"/>
    <w:rsid w:val="00AE21B7"/>
    <w:rsid w:val="00AE25C0"/>
    <w:rsid w:val="00AE2F1F"/>
    <w:rsid w:val="00AE2FE9"/>
    <w:rsid w:val="00AE470D"/>
    <w:rsid w:val="00AE5140"/>
    <w:rsid w:val="00AE5E96"/>
    <w:rsid w:val="00AE602F"/>
    <w:rsid w:val="00AE60A5"/>
    <w:rsid w:val="00AE6530"/>
    <w:rsid w:val="00AE69C9"/>
    <w:rsid w:val="00AE6FD5"/>
    <w:rsid w:val="00AE7BD6"/>
    <w:rsid w:val="00AF02CC"/>
    <w:rsid w:val="00AF0D97"/>
    <w:rsid w:val="00AF1A36"/>
    <w:rsid w:val="00AF6CB4"/>
    <w:rsid w:val="00AF7A37"/>
    <w:rsid w:val="00B00128"/>
    <w:rsid w:val="00B0120F"/>
    <w:rsid w:val="00B0300F"/>
    <w:rsid w:val="00B0424D"/>
    <w:rsid w:val="00B04B2E"/>
    <w:rsid w:val="00B04D37"/>
    <w:rsid w:val="00B053DF"/>
    <w:rsid w:val="00B05E17"/>
    <w:rsid w:val="00B0637A"/>
    <w:rsid w:val="00B066E5"/>
    <w:rsid w:val="00B06767"/>
    <w:rsid w:val="00B06F35"/>
    <w:rsid w:val="00B072A4"/>
    <w:rsid w:val="00B1190A"/>
    <w:rsid w:val="00B119E8"/>
    <w:rsid w:val="00B135B1"/>
    <w:rsid w:val="00B13915"/>
    <w:rsid w:val="00B13E9C"/>
    <w:rsid w:val="00B1412A"/>
    <w:rsid w:val="00B14D45"/>
    <w:rsid w:val="00B153F9"/>
    <w:rsid w:val="00B16D40"/>
    <w:rsid w:val="00B218C7"/>
    <w:rsid w:val="00B22F74"/>
    <w:rsid w:val="00B23BA3"/>
    <w:rsid w:val="00B247A8"/>
    <w:rsid w:val="00B24A82"/>
    <w:rsid w:val="00B24F1F"/>
    <w:rsid w:val="00B26EA7"/>
    <w:rsid w:val="00B271BE"/>
    <w:rsid w:val="00B3204E"/>
    <w:rsid w:val="00B3230F"/>
    <w:rsid w:val="00B35306"/>
    <w:rsid w:val="00B35CAB"/>
    <w:rsid w:val="00B3621E"/>
    <w:rsid w:val="00B36C2A"/>
    <w:rsid w:val="00B412AB"/>
    <w:rsid w:val="00B416FF"/>
    <w:rsid w:val="00B41A7C"/>
    <w:rsid w:val="00B4236E"/>
    <w:rsid w:val="00B42F82"/>
    <w:rsid w:val="00B433D3"/>
    <w:rsid w:val="00B43CD6"/>
    <w:rsid w:val="00B443FE"/>
    <w:rsid w:val="00B45C0E"/>
    <w:rsid w:val="00B46B9C"/>
    <w:rsid w:val="00B46F2A"/>
    <w:rsid w:val="00B47D61"/>
    <w:rsid w:val="00B47E7F"/>
    <w:rsid w:val="00B50DCF"/>
    <w:rsid w:val="00B51306"/>
    <w:rsid w:val="00B51626"/>
    <w:rsid w:val="00B51964"/>
    <w:rsid w:val="00B532AC"/>
    <w:rsid w:val="00B54F24"/>
    <w:rsid w:val="00B54F68"/>
    <w:rsid w:val="00B5509D"/>
    <w:rsid w:val="00B55699"/>
    <w:rsid w:val="00B5609D"/>
    <w:rsid w:val="00B579F0"/>
    <w:rsid w:val="00B61383"/>
    <w:rsid w:val="00B63A6E"/>
    <w:rsid w:val="00B6402A"/>
    <w:rsid w:val="00B64CC5"/>
    <w:rsid w:val="00B6522E"/>
    <w:rsid w:val="00B66F10"/>
    <w:rsid w:val="00B66FF1"/>
    <w:rsid w:val="00B71499"/>
    <w:rsid w:val="00B7153C"/>
    <w:rsid w:val="00B715EB"/>
    <w:rsid w:val="00B732A9"/>
    <w:rsid w:val="00B73FCB"/>
    <w:rsid w:val="00B74521"/>
    <w:rsid w:val="00B750E4"/>
    <w:rsid w:val="00B75237"/>
    <w:rsid w:val="00B763CD"/>
    <w:rsid w:val="00B77B80"/>
    <w:rsid w:val="00B8002C"/>
    <w:rsid w:val="00B80916"/>
    <w:rsid w:val="00B81B71"/>
    <w:rsid w:val="00B8372D"/>
    <w:rsid w:val="00B84977"/>
    <w:rsid w:val="00B854AE"/>
    <w:rsid w:val="00B8655E"/>
    <w:rsid w:val="00B86629"/>
    <w:rsid w:val="00B8734A"/>
    <w:rsid w:val="00B87C02"/>
    <w:rsid w:val="00B923EB"/>
    <w:rsid w:val="00B94DE5"/>
    <w:rsid w:val="00B95D08"/>
    <w:rsid w:val="00B975F5"/>
    <w:rsid w:val="00B97E73"/>
    <w:rsid w:val="00BA03EC"/>
    <w:rsid w:val="00BA0521"/>
    <w:rsid w:val="00BA0564"/>
    <w:rsid w:val="00BA0B81"/>
    <w:rsid w:val="00BA19DC"/>
    <w:rsid w:val="00BA41DE"/>
    <w:rsid w:val="00BA44DF"/>
    <w:rsid w:val="00BA53BB"/>
    <w:rsid w:val="00BB26D5"/>
    <w:rsid w:val="00BB2849"/>
    <w:rsid w:val="00BB342E"/>
    <w:rsid w:val="00BB3AA2"/>
    <w:rsid w:val="00BB3D2F"/>
    <w:rsid w:val="00BB4623"/>
    <w:rsid w:val="00BB4C47"/>
    <w:rsid w:val="00BB50B5"/>
    <w:rsid w:val="00BB6298"/>
    <w:rsid w:val="00BB740C"/>
    <w:rsid w:val="00BB7B52"/>
    <w:rsid w:val="00BC277C"/>
    <w:rsid w:val="00BC6960"/>
    <w:rsid w:val="00BC6BFE"/>
    <w:rsid w:val="00BD0B61"/>
    <w:rsid w:val="00BD1A7F"/>
    <w:rsid w:val="00BD29B6"/>
    <w:rsid w:val="00BD35A1"/>
    <w:rsid w:val="00BD49AB"/>
    <w:rsid w:val="00BD4B37"/>
    <w:rsid w:val="00BD7063"/>
    <w:rsid w:val="00BD71D2"/>
    <w:rsid w:val="00BD792F"/>
    <w:rsid w:val="00BE0048"/>
    <w:rsid w:val="00BE01B8"/>
    <w:rsid w:val="00BE0714"/>
    <w:rsid w:val="00BE2B4F"/>
    <w:rsid w:val="00BE2C32"/>
    <w:rsid w:val="00BE41AD"/>
    <w:rsid w:val="00BE6D0C"/>
    <w:rsid w:val="00BE6D79"/>
    <w:rsid w:val="00BE70B9"/>
    <w:rsid w:val="00BF14C7"/>
    <w:rsid w:val="00BF2352"/>
    <w:rsid w:val="00BF26EE"/>
    <w:rsid w:val="00BF30D5"/>
    <w:rsid w:val="00BF356E"/>
    <w:rsid w:val="00BF449E"/>
    <w:rsid w:val="00BF4D9F"/>
    <w:rsid w:val="00BF61D6"/>
    <w:rsid w:val="00BF7B1C"/>
    <w:rsid w:val="00C00393"/>
    <w:rsid w:val="00C00FE7"/>
    <w:rsid w:val="00C017FC"/>
    <w:rsid w:val="00C024C9"/>
    <w:rsid w:val="00C0257A"/>
    <w:rsid w:val="00C02B6B"/>
    <w:rsid w:val="00C02BEF"/>
    <w:rsid w:val="00C04530"/>
    <w:rsid w:val="00C04EE4"/>
    <w:rsid w:val="00C05225"/>
    <w:rsid w:val="00C055BE"/>
    <w:rsid w:val="00C05735"/>
    <w:rsid w:val="00C05F47"/>
    <w:rsid w:val="00C06EF9"/>
    <w:rsid w:val="00C1292B"/>
    <w:rsid w:val="00C139E2"/>
    <w:rsid w:val="00C1462B"/>
    <w:rsid w:val="00C1481B"/>
    <w:rsid w:val="00C14C34"/>
    <w:rsid w:val="00C15337"/>
    <w:rsid w:val="00C1701F"/>
    <w:rsid w:val="00C20B15"/>
    <w:rsid w:val="00C217E6"/>
    <w:rsid w:val="00C21DCF"/>
    <w:rsid w:val="00C233DD"/>
    <w:rsid w:val="00C25A25"/>
    <w:rsid w:val="00C25FA2"/>
    <w:rsid w:val="00C26777"/>
    <w:rsid w:val="00C2706C"/>
    <w:rsid w:val="00C2715B"/>
    <w:rsid w:val="00C301CA"/>
    <w:rsid w:val="00C30867"/>
    <w:rsid w:val="00C32AF7"/>
    <w:rsid w:val="00C333D0"/>
    <w:rsid w:val="00C334F2"/>
    <w:rsid w:val="00C360C1"/>
    <w:rsid w:val="00C368E0"/>
    <w:rsid w:val="00C36965"/>
    <w:rsid w:val="00C40246"/>
    <w:rsid w:val="00C41CE0"/>
    <w:rsid w:val="00C42072"/>
    <w:rsid w:val="00C44374"/>
    <w:rsid w:val="00C46A54"/>
    <w:rsid w:val="00C47A74"/>
    <w:rsid w:val="00C518AC"/>
    <w:rsid w:val="00C540FB"/>
    <w:rsid w:val="00C552DE"/>
    <w:rsid w:val="00C5642A"/>
    <w:rsid w:val="00C56FCD"/>
    <w:rsid w:val="00C5745D"/>
    <w:rsid w:val="00C60E47"/>
    <w:rsid w:val="00C618D7"/>
    <w:rsid w:val="00C62793"/>
    <w:rsid w:val="00C63B86"/>
    <w:rsid w:val="00C640CC"/>
    <w:rsid w:val="00C6421E"/>
    <w:rsid w:val="00C64D39"/>
    <w:rsid w:val="00C65BB8"/>
    <w:rsid w:val="00C6644B"/>
    <w:rsid w:val="00C67765"/>
    <w:rsid w:val="00C67E00"/>
    <w:rsid w:val="00C7003A"/>
    <w:rsid w:val="00C71E1F"/>
    <w:rsid w:val="00C71E47"/>
    <w:rsid w:val="00C74A2D"/>
    <w:rsid w:val="00C759A8"/>
    <w:rsid w:val="00C76D2D"/>
    <w:rsid w:val="00C8192F"/>
    <w:rsid w:val="00C8196B"/>
    <w:rsid w:val="00C81D1D"/>
    <w:rsid w:val="00C81D58"/>
    <w:rsid w:val="00C8303C"/>
    <w:rsid w:val="00C832AF"/>
    <w:rsid w:val="00C84EA8"/>
    <w:rsid w:val="00C8539C"/>
    <w:rsid w:val="00C85736"/>
    <w:rsid w:val="00C874E7"/>
    <w:rsid w:val="00C90C5F"/>
    <w:rsid w:val="00C90E98"/>
    <w:rsid w:val="00C91432"/>
    <w:rsid w:val="00C91A95"/>
    <w:rsid w:val="00C93A06"/>
    <w:rsid w:val="00C93CBC"/>
    <w:rsid w:val="00C940F5"/>
    <w:rsid w:val="00C96C70"/>
    <w:rsid w:val="00CA01EE"/>
    <w:rsid w:val="00CA0EAC"/>
    <w:rsid w:val="00CA16BE"/>
    <w:rsid w:val="00CA19F1"/>
    <w:rsid w:val="00CA2F4C"/>
    <w:rsid w:val="00CA5A0D"/>
    <w:rsid w:val="00CA5B2E"/>
    <w:rsid w:val="00CA5C2C"/>
    <w:rsid w:val="00CA68D4"/>
    <w:rsid w:val="00CA6E5F"/>
    <w:rsid w:val="00CA7B5E"/>
    <w:rsid w:val="00CB0ADC"/>
    <w:rsid w:val="00CB0F11"/>
    <w:rsid w:val="00CB1554"/>
    <w:rsid w:val="00CB16A5"/>
    <w:rsid w:val="00CB16C7"/>
    <w:rsid w:val="00CB2E29"/>
    <w:rsid w:val="00CB3962"/>
    <w:rsid w:val="00CB4033"/>
    <w:rsid w:val="00CB52C7"/>
    <w:rsid w:val="00CB5A66"/>
    <w:rsid w:val="00CB63B7"/>
    <w:rsid w:val="00CB6EE5"/>
    <w:rsid w:val="00CB7F3B"/>
    <w:rsid w:val="00CC01E8"/>
    <w:rsid w:val="00CC1244"/>
    <w:rsid w:val="00CC152E"/>
    <w:rsid w:val="00CC181B"/>
    <w:rsid w:val="00CC199F"/>
    <w:rsid w:val="00CC2483"/>
    <w:rsid w:val="00CC3408"/>
    <w:rsid w:val="00CC3F7E"/>
    <w:rsid w:val="00CC4825"/>
    <w:rsid w:val="00CC52EC"/>
    <w:rsid w:val="00CC5A0E"/>
    <w:rsid w:val="00CC6333"/>
    <w:rsid w:val="00CC7E97"/>
    <w:rsid w:val="00CC7EA9"/>
    <w:rsid w:val="00CC7FCE"/>
    <w:rsid w:val="00CD07E7"/>
    <w:rsid w:val="00CD090B"/>
    <w:rsid w:val="00CD2C58"/>
    <w:rsid w:val="00CD419D"/>
    <w:rsid w:val="00CD5219"/>
    <w:rsid w:val="00CD770E"/>
    <w:rsid w:val="00CD776E"/>
    <w:rsid w:val="00CD78AF"/>
    <w:rsid w:val="00CE3E8C"/>
    <w:rsid w:val="00CE45A8"/>
    <w:rsid w:val="00CE4A03"/>
    <w:rsid w:val="00CE56E0"/>
    <w:rsid w:val="00CE6F9D"/>
    <w:rsid w:val="00CF04B2"/>
    <w:rsid w:val="00CF05BE"/>
    <w:rsid w:val="00CF16C1"/>
    <w:rsid w:val="00CF1955"/>
    <w:rsid w:val="00CF1F9F"/>
    <w:rsid w:val="00CF21BB"/>
    <w:rsid w:val="00CF2E36"/>
    <w:rsid w:val="00CF3A8E"/>
    <w:rsid w:val="00CF4930"/>
    <w:rsid w:val="00CF5252"/>
    <w:rsid w:val="00CF68AD"/>
    <w:rsid w:val="00CF6B0F"/>
    <w:rsid w:val="00CF7A62"/>
    <w:rsid w:val="00D01368"/>
    <w:rsid w:val="00D01648"/>
    <w:rsid w:val="00D01C7B"/>
    <w:rsid w:val="00D03326"/>
    <w:rsid w:val="00D033BF"/>
    <w:rsid w:val="00D06226"/>
    <w:rsid w:val="00D0667A"/>
    <w:rsid w:val="00D06E0D"/>
    <w:rsid w:val="00D07BD0"/>
    <w:rsid w:val="00D11F3B"/>
    <w:rsid w:val="00D129B1"/>
    <w:rsid w:val="00D13821"/>
    <w:rsid w:val="00D13DC7"/>
    <w:rsid w:val="00D151AF"/>
    <w:rsid w:val="00D15D9D"/>
    <w:rsid w:val="00D15DE8"/>
    <w:rsid w:val="00D15E49"/>
    <w:rsid w:val="00D16809"/>
    <w:rsid w:val="00D17FF9"/>
    <w:rsid w:val="00D20CB7"/>
    <w:rsid w:val="00D227EB"/>
    <w:rsid w:val="00D22D37"/>
    <w:rsid w:val="00D23005"/>
    <w:rsid w:val="00D245CD"/>
    <w:rsid w:val="00D2551B"/>
    <w:rsid w:val="00D26EF8"/>
    <w:rsid w:val="00D27CBB"/>
    <w:rsid w:val="00D3014F"/>
    <w:rsid w:val="00D30910"/>
    <w:rsid w:val="00D30DEE"/>
    <w:rsid w:val="00D31390"/>
    <w:rsid w:val="00D31442"/>
    <w:rsid w:val="00D31A0C"/>
    <w:rsid w:val="00D31DB1"/>
    <w:rsid w:val="00D33051"/>
    <w:rsid w:val="00D3526B"/>
    <w:rsid w:val="00D352F4"/>
    <w:rsid w:val="00D365F3"/>
    <w:rsid w:val="00D37221"/>
    <w:rsid w:val="00D375BB"/>
    <w:rsid w:val="00D4074C"/>
    <w:rsid w:val="00D41699"/>
    <w:rsid w:val="00D42964"/>
    <w:rsid w:val="00D429E1"/>
    <w:rsid w:val="00D42ABA"/>
    <w:rsid w:val="00D46266"/>
    <w:rsid w:val="00D468F6"/>
    <w:rsid w:val="00D4715D"/>
    <w:rsid w:val="00D47D61"/>
    <w:rsid w:val="00D514D6"/>
    <w:rsid w:val="00D51ACF"/>
    <w:rsid w:val="00D527B8"/>
    <w:rsid w:val="00D53214"/>
    <w:rsid w:val="00D53659"/>
    <w:rsid w:val="00D53AAA"/>
    <w:rsid w:val="00D53F32"/>
    <w:rsid w:val="00D55A70"/>
    <w:rsid w:val="00D57BDC"/>
    <w:rsid w:val="00D57D6B"/>
    <w:rsid w:val="00D608C4"/>
    <w:rsid w:val="00D62778"/>
    <w:rsid w:val="00D635F8"/>
    <w:rsid w:val="00D65205"/>
    <w:rsid w:val="00D659F9"/>
    <w:rsid w:val="00D662C2"/>
    <w:rsid w:val="00D669CF"/>
    <w:rsid w:val="00D71D00"/>
    <w:rsid w:val="00D72A50"/>
    <w:rsid w:val="00D73155"/>
    <w:rsid w:val="00D746F2"/>
    <w:rsid w:val="00D74A9B"/>
    <w:rsid w:val="00D750CB"/>
    <w:rsid w:val="00D7545B"/>
    <w:rsid w:val="00D75616"/>
    <w:rsid w:val="00D80D33"/>
    <w:rsid w:val="00D83C14"/>
    <w:rsid w:val="00D84402"/>
    <w:rsid w:val="00D854DD"/>
    <w:rsid w:val="00D85738"/>
    <w:rsid w:val="00D85A55"/>
    <w:rsid w:val="00D85CED"/>
    <w:rsid w:val="00D85E98"/>
    <w:rsid w:val="00D8763F"/>
    <w:rsid w:val="00D87AAF"/>
    <w:rsid w:val="00D87BC4"/>
    <w:rsid w:val="00D900EC"/>
    <w:rsid w:val="00D90583"/>
    <w:rsid w:val="00D913AA"/>
    <w:rsid w:val="00D91DFC"/>
    <w:rsid w:val="00D91E09"/>
    <w:rsid w:val="00D92491"/>
    <w:rsid w:val="00D93AE0"/>
    <w:rsid w:val="00D93B6D"/>
    <w:rsid w:val="00D9540D"/>
    <w:rsid w:val="00D9585B"/>
    <w:rsid w:val="00D967BA"/>
    <w:rsid w:val="00DA0DD0"/>
    <w:rsid w:val="00DA14AC"/>
    <w:rsid w:val="00DA1945"/>
    <w:rsid w:val="00DA1ADE"/>
    <w:rsid w:val="00DA2044"/>
    <w:rsid w:val="00DA2DC5"/>
    <w:rsid w:val="00DA31C8"/>
    <w:rsid w:val="00DA355D"/>
    <w:rsid w:val="00DA4AE9"/>
    <w:rsid w:val="00DA5924"/>
    <w:rsid w:val="00DA6DF6"/>
    <w:rsid w:val="00DA7271"/>
    <w:rsid w:val="00DA7FA5"/>
    <w:rsid w:val="00DB01E8"/>
    <w:rsid w:val="00DB0D04"/>
    <w:rsid w:val="00DB0E0F"/>
    <w:rsid w:val="00DB3E03"/>
    <w:rsid w:val="00DB4170"/>
    <w:rsid w:val="00DC1591"/>
    <w:rsid w:val="00DC1D6A"/>
    <w:rsid w:val="00DC2348"/>
    <w:rsid w:val="00DC37DF"/>
    <w:rsid w:val="00DC3D9D"/>
    <w:rsid w:val="00DC4557"/>
    <w:rsid w:val="00DD0166"/>
    <w:rsid w:val="00DD099D"/>
    <w:rsid w:val="00DD11AD"/>
    <w:rsid w:val="00DD423E"/>
    <w:rsid w:val="00DD5134"/>
    <w:rsid w:val="00DD5F97"/>
    <w:rsid w:val="00DD69F3"/>
    <w:rsid w:val="00DD6FE6"/>
    <w:rsid w:val="00DE2A35"/>
    <w:rsid w:val="00DE2F24"/>
    <w:rsid w:val="00DE557B"/>
    <w:rsid w:val="00DF0755"/>
    <w:rsid w:val="00DF2CD8"/>
    <w:rsid w:val="00DF64AB"/>
    <w:rsid w:val="00DF7002"/>
    <w:rsid w:val="00E002E9"/>
    <w:rsid w:val="00E00A3E"/>
    <w:rsid w:val="00E02052"/>
    <w:rsid w:val="00E02CB6"/>
    <w:rsid w:val="00E04022"/>
    <w:rsid w:val="00E04AE2"/>
    <w:rsid w:val="00E05712"/>
    <w:rsid w:val="00E05AAF"/>
    <w:rsid w:val="00E06440"/>
    <w:rsid w:val="00E06F41"/>
    <w:rsid w:val="00E11C37"/>
    <w:rsid w:val="00E13313"/>
    <w:rsid w:val="00E13455"/>
    <w:rsid w:val="00E15600"/>
    <w:rsid w:val="00E1594E"/>
    <w:rsid w:val="00E1638A"/>
    <w:rsid w:val="00E16995"/>
    <w:rsid w:val="00E16E48"/>
    <w:rsid w:val="00E20186"/>
    <w:rsid w:val="00E20905"/>
    <w:rsid w:val="00E20DEC"/>
    <w:rsid w:val="00E214D0"/>
    <w:rsid w:val="00E27C0F"/>
    <w:rsid w:val="00E318A1"/>
    <w:rsid w:val="00E31F04"/>
    <w:rsid w:val="00E322CF"/>
    <w:rsid w:val="00E322EE"/>
    <w:rsid w:val="00E32E65"/>
    <w:rsid w:val="00E334CF"/>
    <w:rsid w:val="00E33540"/>
    <w:rsid w:val="00E337BF"/>
    <w:rsid w:val="00E341B2"/>
    <w:rsid w:val="00E356A6"/>
    <w:rsid w:val="00E35B02"/>
    <w:rsid w:val="00E3669A"/>
    <w:rsid w:val="00E37397"/>
    <w:rsid w:val="00E425F9"/>
    <w:rsid w:val="00E43016"/>
    <w:rsid w:val="00E44D13"/>
    <w:rsid w:val="00E44D41"/>
    <w:rsid w:val="00E45489"/>
    <w:rsid w:val="00E45731"/>
    <w:rsid w:val="00E4574A"/>
    <w:rsid w:val="00E45933"/>
    <w:rsid w:val="00E46C70"/>
    <w:rsid w:val="00E47052"/>
    <w:rsid w:val="00E47E46"/>
    <w:rsid w:val="00E5003A"/>
    <w:rsid w:val="00E51686"/>
    <w:rsid w:val="00E5279A"/>
    <w:rsid w:val="00E538B7"/>
    <w:rsid w:val="00E54981"/>
    <w:rsid w:val="00E55D70"/>
    <w:rsid w:val="00E55F20"/>
    <w:rsid w:val="00E6433C"/>
    <w:rsid w:val="00E6622F"/>
    <w:rsid w:val="00E6652C"/>
    <w:rsid w:val="00E675B3"/>
    <w:rsid w:val="00E67B7F"/>
    <w:rsid w:val="00E71015"/>
    <w:rsid w:val="00E715F2"/>
    <w:rsid w:val="00E71A5E"/>
    <w:rsid w:val="00E74BF0"/>
    <w:rsid w:val="00E74D6B"/>
    <w:rsid w:val="00E756D6"/>
    <w:rsid w:val="00E7580B"/>
    <w:rsid w:val="00E75D9E"/>
    <w:rsid w:val="00E76399"/>
    <w:rsid w:val="00E76400"/>
    <w:rsid w:val="00E7659F"/>
    <w:rsid w:val="00E80A7C"/>
    <w:rsid w:val="00E80C75"/>
    <w:rsid w:val="00E8158A"/>
    <w:rsid w:val="00E82703"/>
    <w:rsid w:val="00E82B5D"/>
    <w:rsid w:val="00E8448E"/>
    <w:rsid w:val="00E906ED"/>
    <w:rsid w:val="00E9083F"/>
    <w:rsid w:val="00E9321D"/>
    <w:rsid w:val="00E95DC5"/>
    <w:rsid w:val="00EA078F"/>
    <w:rsid w:val="00EA1E02"/>
    <w:rsid w:val="00EA3DBB"/>
    <w:rsid w:val="00EA3EC0"/>
    <w:rsid w:val="00EA5DC9"/>
    <w:rsid w:val="00EA6C77"/>
    <w:rsid w:val="00EA7789"/>
    <w:rsid w:val="00EB0CEE"/>
    <w:rsid w:val="00EB281C"/>
    <w:rsid w:val="00EB37FC"/>
    <w:rsid w:val="00EB3942"/>
    <w:rsid w:val="00EB3E5A"/>
    <w:rsid w:val="00EB3ECF"/>
    <w:rsid w:val="00EB41EF"/>
    <w:rsid w:val="00EB474D"/>
    <w:rsid w:val="00EB66D4"/>
    <w:rsid w:val="00EB79A4"/>
    <w:rsid w:val="00EB7C4C"/>
    <w:rsid w:val="00EC0FBB"/>
    <w:rsid w:val="00EC2059"/>
    <w:rsid w:val="00EC22B3"/>
    <w:rsid w:val="00EC2B40"/>
    <w:rsid w:val="00EC39D4"/>
    <w:rsid w:val="00EC3F43"/>
    <w:rsid w:val="00EC44F2"/>
    <w:rsid w:val="00EC50CF"/>
    <w:rsid w:val="00EC7B31"/>
    <w:rsid w:val="00ED010C"/>
    <w:rsid w:val="00ED015C"/>
    <w:rsid w:val="00ED19DF"/>
    <w:rsid w:val="00ED1FA7"/>
    <w:rsid w:val="00ED218A"/>
    <w:rsid w:val="00ED280A"/>
    <w:rsid w:val="00ED5034"/>
    <w:rsid w:val="00ED53F9"/>
    <w:rsid w:val="00ED572D"/>
    <w:rsid w:val="00ED593C"/>
    <w:rsid w:val="00ED6E0A"/>
    <w:rsid w:val="00ED7940"/>
    <w:rsid w:val="00EE028E"/>
    <w:rsid w:val="00EE1AEF"/>
    <w:rsid w:val="00EE1B1B"/>
    <w:rsid w:val="00EE2C1E"/>
    <w:rsid w:val="00EE3AD9"/>
    <w:rsid w:val="00EE4345"/>
    <w:rsid w:val="00EE495D"/>
    <w:rsid w:val="00EE4E03"/>
    <w:rsid w:val="00EE5280"/>
    <w:rsid w:val="00EE55EF"/>
    <w:rsid w:val="00EE5AC9"/>
    <w:rsid w:val="00EE6F33"/>
    <w:rsid w:val="00EF296D"/>
    <w:rsid w:val="00EF303A"/>
    <w:rsid w:val="00EF397B"/>
    <w:rsid w:val="00EF52BF"/>
    <w:rsid w:val="00EF76E9"/>
    <w:rsid w:val="00F000DB"/>
    <w:rsid w:val="00F00F37"/>
    <w:rsid w:val="00F0156B"/>
    <w:rsid w:val="00F03A28"/>
    <w:rsid w:val="00F03BCD"/>
    <w:rsid w:val="00F0508B"/>
    <w:rsid w:val="00F05142"/>
    <w:rsid w:val="00F05781"/>
    <w:rsid w:val="00F05C5F"/>
    <w:rsid w:val="00F067BE"/>
    <w:rsid w:val="00F06B38"/>
    <w:rsid w:val="00F06D7B"/>
    <w:rsid w:val="00F07360"/>
    <w:rsid w:val="00F07D91"/>
    <w:rsid w:val="00F101A6"/>
    <w:rsid w:val="00F10B5E"/>
    <w:rsid w:val="00F10E7C"/>
    <w:rsid w:val="00F1250F"/>
    <w:rsid w:val="00F12CC0"/>
    <w:rsid w:val="00F13BB3"/>
    <w:rsid w:val="00F13D3D"/>
    <w:rsid w:val="00F14358"/>
    <w:rsid w:val="00F158F3"/>
    <w:rsid w:val="00F15BA4"/>
    <w:rsid w:val="00F16462"/>
    <w:rsid w:val="00F17E1C"/>
    <w:rsid w:val="00F17EDA"/>
    <w:rsid w:val="00F2022D"/>
    <w:rsid w:val="00F20DF7"/>
    <w:rsid w:val="00F231F2"/>
    <w:rsid w:val="00F2428F"/>
    <w:rsid w:val="00F24A66"/>
    <w:rsid w:val="00F24CA3"/>
    <w:rsid w:val="00F25A14"/>
    <w:rsid w:val="00F27943"/>
    <w:rsid w:val="00F27A77"/>
    <w:rsid w:val="00F3094C"/>
    <w:rsid w:val="00F316FA"/>
    <w:rsid w:val="00F319AE"/>
    <w:rsid w:val="00F319D2"/>
    <w:rsid w:val="00F321D0"/>
    <w:rsid w:val="00F34B64"/>
    <w:rsid w:val="00F364BF"/>
    <w:rsid w:val="00F36A9F"/>
    <w:rsid w:val="00F406E8"/>
    <w:rsid w:val="00F40A2C"/>
    <w:rsid w:val="00F40B23"/>
    <w:rsid w:val="00F42D22"/>
    <w:rsid w:val="00F43C08"/>
    <w:rsid w:val="00F44CFD"/>
    <w:rsid w:val="00F45365"/>
    <w:rsid w:val="00F46373"/>
    <w:rsid w:val="00F5009C"/>
    <w:rsid w:val="00F50F5E"/>
    <w:rsid w:val="00F516C6"/>
    <w:rsid w:val="00F52A9D"/>
    <w:rsid w:val="00F52EA7"/>
    <w:rsid w:val="00F52F40"/>
    <w:rsid w:val="00F536F9"/>
    <w:rsid w:val="00F539BC"/>
    <w:rsid w:val="00F5478F"/>
    <w:rsid w:val="00F553D0"/>
    <w:rsid w:val="00F560D5"/>
    <w:rsid w:val="00F572AF"/>
    <w:rsid w:val="00F610E8"/>
    <w:rsid w:val="00F63B1B"/>
    <w:rsid w:val="00F64DEB"/>
    <w:rsid w:val="00F6564E"/>
    <w:rsid w:val="00F6597B"/>
    <w:rsid w:val="00F666A8"/>
    <w:rsid w:val="00F67551"/>
    <w:rsid w:val="00F67815"/>
    <w:rsid w:val="00F70063"/>
    <w:rsid w:val="00F709BA"/>
    <w:rsid w:val="00F72FC1"/>
    <w:rsid w:val="00F7302A"/>
    <w:rsid w:val="00F7381D"/>
    <w:rsid w:val="00F75383"/>
    <w:rsid w:val="00F76391"/>
    <w:rsid w:val="00F776F0"/>
    <w:rsid w:val="00F77DCC"/>
    <w:rsid w:val="00F80457"/>
    <w:rsid w:val="00F809A8"/>
    <w:rsid w:val="00F82005"/>
    <w:rsid w:val="00F8421E"/>
    <w:rsid w:val="00F84D48"/>
    <w:rsid w:val="00F84E39"/>
    <w:rsid w:val="00F857F4"/>
    <w:rsid w:val="00F858D7"/>
    <w:rsid w:val="00F85A7F"/>
    <w:rsid w:val="00F871C5"/>
    <w:rsid w:val="00F905C6"/>
    <w:rsid w:val="00F90AD4"/>
    <w:rsid w:val="00F91330"/>
    <w:rsid w:val="00F915EB"/>
    <w:rsid w:val="00F91ECC"/>
    <w:rsid w:val="00F93377"/>
    <w:rsid w:val="00F935AA"/>
    <w:rsid w:val="00F93787"/>
    <w:rsid w:val="00F959A9"/>
    <w:rsid w:val="00F96176"/>
    <w:rsid w:val="00FA124C"/>
    <w:rsid w:val="00FA151C"/>
    <w:rsid w:val="00FA1CEC"/>
    <w:rsid w:val="00FA207C"/>
    <w:rsid w:val="00FA2C56"/>
    <w:rsid w:val="00FA2EA0"/>
    <w:rsid w:val="00FB28D7"/>
    <w:rsid w:val="00FB379F"/>
    <w:rsid w:val="00FB3A20"/>
    <w:rsid w:val="00FB3B41"/>
    <w:rsid w:val="00FB478C"/>
    <w:rsid w:val="00FB6158"/>
    <w:rsid w:val="00FB6D70"/>
    <w:rsid w:val="00FB7960"/>
    <w:rsid w:val="00FC0036"/>
    <w:rsid w:val="00FC1F71"/>
    <w:rsid w:val="00FC2765"/>
    <w:rsid w:val="00FC3188"/>
    <w:rsid w:val="00FC43E7"/>
    <w:rsid w:val="00FC4C75"/>
    <w:rsid w:val="00FC4E63"/>
    <w:rsid w:val="00FC4FFA"/>
    <w:rsid w:val="00FC56F8"/>
    <w:rsid w:val="00FC5F0F"/>
    <w:rsid w:val="00FD0287"/>
    <w:rsid w:val="00FD099C"/>
    <w:rsid w:val="00FD17DB"/>
    <w:rsid w:val="00FD2093"/>
    <w:rsid w:val="00FD3198"/>
    <w:rsid w:val="00FD3550"/>
    <w:rsid w:val="00FD35A7"/>
    <w:rsid w:val="00FD419A"/>
    <w:rsid w:val="00FD4275"/>
    <w:rsid w:val="00FD4DCE"/>
    <w:rsid w:val="00FD77D7"/>
    <w:rsid w:val="00FD7962"/>
    <w:rsid w:val="00FE01C0"/>
    <w:rsid w:val="00FE1138"/>
    <w:rsid w:val="00FE27C7"/>
    <w:rsid w:val="00FE2EE0"/>
    <w:rsid w:val="00FE3265"/>
    <w:rsid w:val="00FE350D"/>
    <w:rsid w:val="00FE3ADC"/>
    <w:rsid w:val="00FE4110"/>
    <w:rsid w:val="00FE497E"/>
    <w:rsid w:val="00FE4E24"/>
    <w:rsid w:val="00FE5EBE"/>
    <w:rsid w:val="00FE627F"/>
    <w:rsid w:val="00FE62A7"/>
    <w:rsid w:val="00FF28DC"/>
    <w:rsid w:val="00FF320D"/>
    <w:rsid w:val="00FF37FA"/>
    <w:rsid w:val="00FF380C"/>
    <w:rsid w:val="00FF5296"/>
    <w:rsid w:val="00FF5D93"/>
    <w:rsid w:val="00FF6233"/>
    <w:rsid w:val="00FF6D73"/>
    <w:rsid w:val="00FF7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CEE87E"/>
  <w15:docId w15:val="{2C748A02-05DC-4BF2-8244-2587A33C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C03"/>
    <w:rPr>
      <w:sz w:val="24"/>
    </w:rPr>
  </w:style>
  <w:style w:type="paragraph" w:styleId="Heading1">
    <w:name w:val="heading 1"/>
    <w:basedOn w:val="ListParagraph"/>
    <w:next w:val="Normal"/>
    <w:link w:val="Heading1Char"/>
    <w:uiPriority w:val="9"/>
    <w:qFormat/>
    <w:rsid w:val="00193B52"/>
    <w:pPr>
      <w:numPr>
        <w:numId w:val="10"/>
      </w:numPr>
      <w:autoSpaceDE w:val="0"/>
      <w:autoSpaceDN w:val="0"/>
      <w:adjustRightInd w:val="0"/>
      <w:ind w:left="547" w:hanging="547"/>
      <w:contextualSpacing w:val="0"/>
      <w:outlineLvl w:val="0"/>
    </w:pPr>
    <w:rPr>
      <w:rFonts w:ascii="Times New Roman" w:hAnsi="Times New Roman"/>
      <w:b/>
      <w:bCs/>
      <w:color w:val="000000"/>
      <w:sz w:val="24"/>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uiPriority w:val="99"/>
    <w:rsid w:val="002D6BFE"/>
    <w:rPr>
      <w:sz w:val="16"/>
      <w:szCs w:val="16"/>
    </w:rPr>
  </w:style>
  <w:style w:type="paragraph" w:styleId="CommentText">
    <w:name w:val="annotation text"/>
    <w:basedOn w:val="Normal"/>
    <w:link w:val="CommentTextChar"/>
    <w:uiPriority w:val="99"/>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uiPriority w:val="59"/>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uiPriority w:val="99"/>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3B52"/>
    <w:rPr>
      <w:b/>
      <w:bCs/>
      <w:color w:val="000000"/>
      <w:sz w:val="24"/>
      <w:szCs w:val="24"/>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3underline">
    <w:name w:val="h3_underline"/>
    <w:basedOn w:val="Heading3"/>
    <w:rsid w:val="003E3068"/>
    <w:pPr>
      <w:keepLines w:val="0"/>
      <w:spacing w:before="220" w:after="30"/>
    </w:pPr>
    <w:rPr>
      <w:rFonts w:ascii="Times New Roman" w:eastAsia="Times New Roman" w:hAnsi="Times New Roman" w:cs="Times New Roman"/>
      <w:color w:val="auto"/>
      <w:sz w:val="28"/>
      <w:szCs w:val="28"/>
      <w:u w:val="single"/>
      <w:bdr w:val="nil"/>
    </w:rPr>
  </w:style>
  <w:style w:type="paragraph" w:customStyle="1" w:styleId="StyleStyleHeading3NotBold1NotBold">
    <w:name w:val="Style Style Heading 3 + Not Bold1 + Not Bold"/>
    <w:basedOn w:val="Normal"/>
    <w:autoRedefine/>
    <w:rsid w:val="00BE6D0C"/>
    <w:pPr>
      <w:keepNext/>
      <w:outlineLvl w:val="2"/>
    </w:pPr>
    <w:rPr>
      <w:rFonts w:ascii="Courier New" w:hAnsi="Courier New" w:cs="Courier New"/>
      <w:b/>
      <w:szCs w:val="26"/>
    </w:rPr>
  </w:style>
  <w:style w:type="paragraph" w:customStyle="1" w:styleId="EndNoteBibliography">
    <w:name w:val="EndNote Bibliography"/>
    <w:basedOn w:val="Normal"/>
    <w:link w:val="EndNoteBibliographyChar"/>
    <w:rsid w:val="00976BDC"/>
    <w:rPr>
      <w:rFonts w:ascii="Calibri" w:hAnsi="Calibri" w:cs="Calibri"/>
      <w:noProof/>
    </w:rPr>
  </w:style>
  <w:style w:type="character" w:customStyle="1" w:styleId="EndNoteBibliographyChar">
    <w:name w:val="EndNote Bibliography Char"/>
    <w:basedOn w:val="DefaultParagraphFont"/>
    <w:link w:val="EndNoteBibliography"/>
    <w:rsid w:val="00976BDC"/>
    <w:rPr>
      <w:rFonts w:ascii="Calibri" w:hAnsi="Calibri" w:cs="Calibri"/>
      <w:noProof/>
      <w:sz w:val="24"/>
    </w:rPr>
  </w:style>
  <w:style w:type="paragraph" w:styleId="Title">
    <w:name w:val="Title"/>
    <w:basedOn w:val="Normal"/>
    <w:next w:val="Normal"/>
    <w:link w:val="TitleChar"/>
    <w:uiPriority w:val="10"/>
    <w:qFormat/>
    <w:rsid w:val="00A60A1B"/>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A60A1B"/>
    <w:rPr>
      <w:rFonts w:eastAsiaTheme="majorEastAsia" w:cstheme="majorBidi"/>
      <w:spacing w:val="-10"/>
      <w:kern w:val="28"/>
      <w:sz w:val="40"/>
      <w:szCs w:val="56"/>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B54F68"/>
    <w:rPr>
      <w:rFonts w:ascii="Verdana" w:hAnsi="Verdana"/>
      <w:szCs w:val="24"/>
    </w:rPr>
  </w:style>
  <w:style w:type="paragraph" w:styleId="TOCHeading">
    <w:name w:val="TOC Heading"/>
    <w:basedOn w:val="Heading1"/>
    <w:next w:val="Normal"/>
    <w:uiPriority w:val="39"/>
    <w:unhideWhenUsed/>
    <w:qFormat/>
    <w:rsid w:val="00286BCC"/>
    <w:pPr>
      <w:spacing w:line="259" w:lineRule="auto"/>
      <w:outlineLvl w:val="9"/>
    </w:pPr>
  </w:style>
  <w:style w:type="paragraph" w:styleId="TOC1">
    <w:name w:val="toc 1"/>
    <w:basedOn w:val="Normal"/>
    <w:next w:val="Normal"/>
    <w:autoRedefine/>
    <w:uiPriority w:val="39"/>
    <w:unhideWhenUsed/>
    <w:rsid w:val="00055B8C"/>
    <w:pPr>
      <w:tabs>
        <w:tab w:val="left" w:pos="540"/>
        <w:tab w:val="right" w:leader="dot" w:pos="10070"/>
      </w:tabs>
      <w:spacing w:after="100"/>
      <w:ind w:left="540" w:hanging="540"/>
    </w:pPr>
  </w:style>
  <w:style w:type="character" w:styleId="UnresolvedMention">
    <w:name w:val="Unresolved Mention"/>
    <w:basedOn w:val="DefaultParagraphFont"/>
    <w:uiPriority w:val="99"/>
    <w:semiHidden/>
    <w:unhideWhenUsed/>
    <w:rsid w:val="00AE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ydg7@cdc.gov" TargetMode="External" /><Relationship Id="rId11" Type="http://schemas.openxmlformats.org/officeDocument/2006/relationships/hyperlink" Target="mailto:pkh0@cdc.gov" TargetMode="External" /><Relationship Id="rId12" Type="http://schemas.openxmlformats.org/officeDocument/2006/relationships/hyperlink" Target="mailto:iwa6@cdc.gov" TargetMode="External" /><Relationship Id="rId13" Type="http://schemas.openxmlformats.org/officeDocument/2006/relationships/hyperlink" Target="mailto:yeh6@cdc.gov" TargetMode="External" /><Relationship Id="rId14" Type="http://schemas.openxmlformats.org/officeDocument/2006/relationships/hyperlink" Target="mailto:gwe6@cdc.gov" TargetMode="External" /><Relationship Id="rId15" Type="http://schemas.openxmlformats.org/officeDocument/2006/relationships/hyperlink" Target="mailto:ahz0@cdc.gov" TargetMode="External" /><Relationship Id="rId16" Type="http://schemas.openxmlformats.org/officeDocument/2006/relationships/hyperlink" Target="https://www.bls.gov/oes/current/oes_nat.htm" TargetMode="External" /><Relationship Id="rId17" Type="http://schemas.openxmlformats.org/officeDocument/2006/relationships/hyperlink" Target="https://doi.org/10.26616/NIOSHPUB2021110revised52021" TargetMode="External" /><Relationship Id="rId18" Type="http://schemas.openxmlformats.org/officeDocument/2006/relationships/hyperlink" Target="https://doi.org/10.1002/ajim.22305" TargetMode="External" /><Relationship Id="rId19" Type="http://schemas.openxmlformats.org/officeDocument/2006/relationships/hyperlink" Target="https://doi.org/10.1002/ajim.22614" TargetMode="External" /><Relationship Id="rId2" Type="http://schemas.openxmlformats.org/officeDocument/2006/relationships/webSettings" Target="webSettings.xml" /><Relationship Id="rId20" Type="http://schemas.openxmlformats.org/officeDocument/2006/relationships/hyperlink" Target="https://doi.org/10.1183/09031936.94.07050954" TargetMode="External" /><Relationship Id="rId21" Type="http://schemas.openxmlformats.org/officeDocument/2006/relationships/hyperlink" Target="https://www.ecrhs.org/questionnaires-and-protocols" TargetMode="External" /><Relationship Id="rId22" Type="http://schemas.openxmlformats.org/officeDocument/2006/relationships/hyperlink" Target="https://wwwn.cdc.gov/nchs/nhanes/nhanes3/default.aspx" TargetMode="External" /><Relationship Id="rId23" Type="http://schemas.openxmlformats.org/officeDocument/2006/relationships/hyperlink" Target="https://wwwn.cdc.gov/nchs/nhanes/continuousnhanes/default.aspx" TargetMode="External" /><Relationship Id="rId24" Type="http://schemas.openxmlformats.org/officeDocument/2006/relationships/hyperlink" Target="http://www.cdc.gov/niosh/hhe/reports/pdfs/2017-0114-3357.pdf" TargetMode="External" /><Relationship Id="rId25" Type="http://schemas.openxmlformats.org/officeDocument/2006/relationships/hyperlink" Target="https://doi.org/10.1002/ajim.23488" TargetMode="External" /><Relationship Id="rId26" Type="http://schemas.openxmlformats.org/officeDocument/2006/relationships/hyperlink" Target="https://doi.org/10.1093/annweh/wxx087" TargetMode="External" /><Relationship Id="rId27" Type="http://schemas.openxmlformats.org/officeDocument/2006/relationships/hyperlink" Target="https://www.govinfo.gov/content/pkg/FR-2024-03-29/pdf/2024-06469.pdf" TargetMode="External" /><Relationship Id="rId28" Type="http://schemas.openxmlformats.org/officeDocument/2006/relationships/hyperlink" Target="https://www.whitehouse.gov/wp-content/uploads/2023/01/Federal-Evidence-Agenda-on-LGBTQI-Equity.pdf" TargetMode="External" /><Relationship Id="rId29" Type="http://schemas.openxmlformats.org/officeDocument/2006/relationships/hyperlink" Target="https://www.whitehouse.gov/wp-content/uploads/2023/01/SOGI-Best-Practices.pdf" TargetMode="External" /><Relationship Id="rId3" Type="http://schemas.openxmlformats.org/officeDocument/2006/relationships/fontTable" Target="fontTable.xml" /><Relationship Id="rId30" Type="http://schemas.openxmlformats.org/officeDocument/2006/relationships/hyperlink" Target="https://www.hhs.gov/sites/default/files/hhs-sogi-data-action-plan.pdf"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iun8@cdc.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09B6-2CC7-45C5-8ABF-30A88FB8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7047</Words>
  <Characters>40172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Fitzgerald, Emily (CDC/NIOSH/OD/ODDM)</cp:lastModifiedBy>
  <cp:revision>21</cp:revision>
  <cp:lastPrinted>2019-06-04T19:35:00Z</cp:lastPrinted>
  <dcterms:created xsi:type="dcterms:W3CDTF">2024-08-21T19:47:00Z</dcterms:created>
  <dcterms:modified xsi:type="dcterms:W3CDTF">2024-09-04T18:38:00Z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810283c0-b273-4f24-8164-977b3425edc0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2020-12-03T14:10:38Z</vt:lpwstr>
  </property>
  <property fmtid="{D5CDD505-2E9C-101B-9397-08002B2CF9AE}" pid="8" name="MSIP_Label_7b94a7b8-f06c-4dfe-bdcc-9b548fd58c31_SiteId">
    <vt:lpwstr>9ce70869-60db-44fd-abe8-d2767077fc8f</vt:lpwstr>
  </property>
</Properties>
</file>