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598D" w:rsidRPr="00E8598D" w:rsidP="3F09BBBE" w14:paraId="404D1D60" w14:textId="2449181F">
      <w:pPr>
        <w:ind w:left="0"/>
        <w:jc w:val="center"/>
        <w:rPr>
          <w:b/>
          <w:bCs/>
          <w:sz w:val="40"/>
          <w:szCs w:val="40"/>
        </w:rPr>
      </w:pPr>
      <w:r w:rsidRPr="3F09BBBE">
        <w:rPr>
          <w:b/>
          <w:bCs/>
          <w:sz w:val="40"/>
          <w:szCs w:val="40"/>
        </w:rPr>
        <w:t xml:space="preserve">Assessing Funded </w:t>
      </w:r>
      <w:r w:rsidRPr="3F09BBBE" w:rsidR="009B7807">
        <w:rPr>
          <w:b/>
          <w:bCs/>
          <w:sz w:val="40"/>
          <w:szCs w:val="40"/>
        </w:rPr>
        <w:t xml:space="preserve">Overdose Data to Action (OD2A) </w:t>
      </w:r>
      <w:r w:rsidRPr="3F09BBBE" w:rsidR="00106F62">
        <w:rPr>
          <w:b/>
          <w:bCs/>
          <w:sz w:val="40"/>
          <w:szCs w:val="40"/>
        </w:rPr>
        <w:t xml:space="preserve">Grantee </w:t>
      </w:r>
      <w:r w:rsidRPr="3F09BBBE">
        <w:rPr>
          <w:b/>
          <w:bCs/>
          <w:sz w:val="40"/>
          <w:szCs w:val="40"/>
        </w:rPr>
        <w:t>Implementation and Impacts of Stop Overdose Campaigns</w:t>
      </w:r>
    </w:p>
    <w:p w:rsidR="00AA3192" w:rsidP="00CA5840" w14:paraId="14615F9F" w14:textId="77777777">
      <w:pPr>
        <w:ind w:left="0"/>
      </w:pPr>
    </w:p>
    <w:p w:rsidR="00716F94" w:rsidRPr="00AA3192" w:rsidP="00CA5840" w14:paraId="769E1267" w14:textId="013391D2">
      <w:pPr>
        <w:ind w:left="0"/>
        <w:jc w:val="center"/>
      </w:pPr>
      <w:r>
        <w:t>STLT</w:t>
      </w:r>
      <w:r w:rsidR="00316F00">
        <w:t xml:space="preserve"> Generic Information Collection</w:t>
      </w:r>
      <w:r w:rsidRPr="00AA3192" w:rsidR="00484011">
        <w:t xml:space="preserve"> Request</w:t>
      </w:r>
    </w:p>
    <w:p w:rsidR="00484011" w:rsidRPr="00AA3192" w:rsidP="00CA5840" w14:paraId="2934E9BD" w14:textId="00B0D8AD">
      <w:pPr>
        <w:ind w:left="0"/>
        <w:jc w:val="center"/>
      </w:pPr>
      <w:r w:rsidRPr="00AA3192">
        <w:t>OMB No. 0920-0879</w:t>
      </w:r>
      <w:r w:rsidR="00DD6E8E">
        <w:t xml:space="preserve">, exp. </w:t>
      </w:r>
      <w:r w:rsidR="00382DAE">
        <w:t>8</w:t>
      </w:r>
      <w:r w:rsidR="00DD6E8E">
        <w:t>/3</w:t>
      </w:r>
      <w:r w:rsidR="00382DAE">
        <w:t>1</w:t>
      </w:r>
      <w:r w:rsidR="00DD6E8E">
        <w:t>/2026</w:t>
      </w:r>
    </w:p>
    <w:p w:rsidR="009B4A51" w:rsidP="00CA5840" w14:paraId="530B1CC3" w14:textId="77777777">
      <w:pPr>
        <w:ind w:left="0"/>
      </w:pPr>
    </w:p>
    <w:p w:rsidR="00AA3192" w:rsidP="00CA5840" w14:paraId="0682C83A" w14:textId="77777777">
      <w:pPr>
        <w:ind w:left="0"/>
      </w:pPr>
    </w:p>
    <w:p w:rsidR="009B4A51" w:rsidP="00A1453A" w14:paraId="02411B16" w14:textId="64155D7C">
      <w:pPr>
        <w:pStyle w:val="Heading2"/>
        <w:ind w:left="0"/>
      </w:pPr>
      <w:r w:rsidRPr="007D6163">
        <w:t>Supporting Statement</w:t>
      </w:r>
      <w:r w:rsidR="009B7807">
        <w:t>—</w:t>
      </w:r>
      <w:r w:rsidRPr="007D6163">
        <w:t>Section A</w:t>
      </w:r>
    </w:p>
    <w:p w:rsidR="00187D5A" w:rsidP="00CA5840" w14:paraId="22A90E6B" w14:textId="77777777">
      <w:pPr>
        <w:ind w:left="0"/>
      </w:pPr>
    </w:p>
    <w:p w:rsidR="009B4A51" w:rsidRPr="009B4A51" w:rsidP="00CA5840" w14:paraId="4A9AEE25" w14:textId="4A08C73A">
      <w:pPr>
        <w:ind w:left="0"/>
        <w:jc w:val="center"/>
      </w:pPr>
      <w:r>
        <w:t xml:space="preserve">Version </w:t>
      </w:r>
      <w:r w:rsidR="00B33293">
        <w:t>Date</w:t>
      </w:r>
      <w:r w:rsidRPr="00AA3192">
        <w:t>:</w:t>
      </w:r>
      <w:r>
        <w:t xml:space="preserve"> 5/2</w:t>
      </w:r>
      <w:r w:rsidR="00CA5E3B">
        <w:t>8</w:t>
      </w:r>
      <w:r>
        <w:t>/24</w:t>
      </w:r>
      <w:r w:rsidRPr="00713412">
        <w:rPr>
          <w:color w:val="0070C0"/>
        </w:rPr>
        <w:t xml:space="preserve"> </w:t>
      </w:r>
    </w:p>
    <w:p w:rsidR="009B4A51" w:rsidP="007D6163" w14:paraId="34AEE206" w14:textId="77777777"/>
    <w:p w:rsidR="00AA3192" w:rsidP="00A1453A" w14:paraId="1EDB03B1" w14:textId="77777777">
      <w:pPr>
        <w:ind w:left="0"/>
      </w:pPr>
    </w:p>
    <w:p w:rsidR="00A1453A" w:rsidP="00A1453A" w14:paraId="640375EA" w14:textId="77777777">
      <w:pPr>
        <w:ind w:left="0"/>
      </w:pPr>
    </w:p>
    <w:p w:rsidR="009B4A51" w:rsidP="007D6163" w14:paraId="53295C3D" w14:textId="77777777"/>
    <w:p w:rsidR="00441CC3" w:rsidP="00CA5840" w14:paraId="74C4802D" w14:textId="77777777">
      <w:pPr>
        <w:ind w:left="0"/>
        <w:rPr>
          <w:b/>
          <w:u w:val="single"/>
        </w:rPr>
      </w:pPr>
      <w:r w:rsidRPr="00CA5840">
        <w:rPr>
          <w:b/>
          <w:u w:val="single"/>
        </w:rPr>
        <w:t>P</w:t>
      </w:r>
      <w:r w:rsidRPr="00CA5840" w:rsidR="00667C89">
        <w:rPr>
          <w:b/>
          <w:u w:val="single"/>
        </w:rPr>
        <w:t>rogram Official/Project Officer</w:t>
      </w:r>
    </w:p>
    <w:p w:rsidR="00321B51" w:rsidRPr="003D4AF1" w:rsidP="00CA5840" w14:paraId="31762D65" w14:textId="404093FD">
      <w:pPr>
        <w:ind w:left="0"/>
      </w:pPr>
      <w:r>
        <w:t>Jasmine Kenney</w:t>
      </w:r>
      <w:r w:rsidR="001D3AF2">
        <w:t>, MPH</w:t>
      </w:r>
    </w:p>
    <w:p w:rsidR="00AB19CA" w:rsidRPr="003D4AF1" w:rsidP="00AB19CA" w14:paraId="520C492A" w14:textId="77777777">
      <w:pPr>
        <w:ind w:left="0"/>
      </w:pPr>
      <w:r>
        <w:t>Health Communication Specialist</w:t>
      </w:r>
    </w:p>
    <w:p w:rsidR="00840662" w:rsidRPr="003D4AF1" w:rsidP="00840662" w14:paraId="55ADEC88" w14:textId="77777777">
      <w:pPr>
        <w:ind w:left="0"/>
      </w:pPr>
      <w:r w:rsidRPr="003D4AF1">
        <w:t>Division of Overdose Prevention (DOP)</w:t>
      </w:r>
    </w:p>
    <w:p w:rsidR="00840662" w:rsidRPr="003D4AF1" w:rsidP="00840662" w14:paraId="0C580782" w14:textId="77777777">
      <w:pPr>
        <w:ind w:left="0"/>
      </w:pPr>
      <w:r w:rsidRPr="003D4AF1">
        <w:t>National Center for Injury Prevention and Control (NCIPC)</w:t>
      </w:r>
    </w:p>
    <w:p w:rsidR="00840662" w:rsidRPr="003D4AF1" w:rsidP="00840662" w14:paraId="2824C17F" w14:textId="77777777">
      <w:pPr>
        <w:ind w:left="0"/>
      </w:pPr>
      <w:r w:rsidRPr="003D4AF1">
        <w:t>Centers for Disease Control and Prevention (CDC)</w:t>
      </w:r>
    </w:p>
    <w:p w:rsidR="00840662" w:rsidRPr="003D4AF1" w:rsidP="00840662" w14:paraId="251FF29D" w14:textId="77777777">
      <w:pPr>
        <w:ind w:left="0"/>
      </w:pPr>
      <w:r w:rsidRPr="003D4AF1">
        <w:t>4770 Buford Hwy NE, MS S106</w:t>
      </w:r>
    </w:p>
    <w:p w:rsidR="00840662" w:rsidRPr="003D4AF1" w:rsidP="00840662" w14:paraId="55AB43D4" w14:textId="77777777">
      <w:pPr>
        <w:ind w:left="0"/>
      </w:pPr>
      <w:r w:rsidRPr="003D4AF1">
        <w:t>Atlanta, Georgia 30341</w:t>
      </w:r>
    </w:p>
    <w:p w:rsidR="00840662" w:rsidRPr="003D4AF1" w:rsidP="00840662" w14:paraId="26561135" w14:textId="4BDBF503">
      <w:pPr>
        <w:ind w:left="0"/>
      </w:pPr>
      <w:r w:rsidRPr="003D4AF1">
        <w:t xml:space="preserve">Phone: </w:t>
      </w:r>
      <w:r w:rsidR="00692095">
        <w:t>404-639-0826</w:t>
      </w:r>
    </w:p>
    <w:p w:rsidR="000B0962" w:rsidRPr="003D4AF1" w:rsidP="00840662" w14:paraId="59804722" w14:textId="0FBAD47B">
      <w:pPr>
        <w:ind w:left="0"/>
      </w:pPr>
      <w:r w:rsidRPr="003D4AF1">
        <w:t xml:space="preserve">Email: </w:t>
      </w:r>
      <w:r w:rsidR="00692095">
        <w:t>hbu2</w:t>
      </w:r>
      <w:r w:rsidRPr="003D4AF1">
        <w:t>7@cdc.gov</w:t>
      </w:r>
    </w:p>
    <w:p w:rsidR="00CA5840" w14:paraId="2935CA74" w14:textId="77777777">
      <w:pPr>
        <w:tabs>
          <w:tab w:val="clear" w:pos="9360"/>
        </w:tabs>
        <w:spacing w:after="200"/>
        <w:ind w:left="0"/>
        <w:rPr>
          <w:b/>
          <w:sz w:val="28"/>
        </w:rPr>
      </w:pPr>
      <w:r>
        <w:br w:type="page"/>
      </w:r>
    </w:p>
    <w:p w:rsidR="003860A5" w:rsidP="003860A5" w14:paraId="0FA49B96" w14:textId="77777777">
      <w:pPr>
        <w:pStyle w:val="Heading3"/>
        <w:ind w:left="0"/>
      </w:pPr>
      <w:bookmarkStart w:id="0" w:name="_Toc162967731"/>
      <w:r>
        <w:t>Table of Contents</w:t>
      </w:r>
      <w:bookmarkEnd w:id="0"/>
    </w:p>
    <w:p w:rsidR="003860A5" w:rsidRPr="003860A5" w:rsidP="003860A5" w14:paraId="38F17BFF" w14:textId="77777777"/>
    <w:p w:rsidR="00651125" w14:paraId="4C5A6802" w14:textId="49494FC8">
      <w:pPr>
        <w:pStyle w:val="TOC1"/>
        <w:tabs>
          <w:tab w:val="right" w:leader="dot" w:pos="9350"/>
        </w:tabs>
        <w:rPr>
          <w:rFonts w:asciiTheme="minorHAnsi" w:hAnsiTheme="minorHAnsi"/>
          <w:noProof/>
          <w:kern w:val="2"/>
          <w:sz w:val="24"/>
          <w:szCs w:val="24"/>
          <w14:ligatures w14:val="standardContextual"/>
        </w:rPr>
      </w:pPr>
      <w:r>
        <w:fldChar w:fldCharType="begin"/>
      </w:r>
      <w:r>
        <w:instrText xml:space="preserve"> TOC \h \z \u \t "Heading 3,1,Heading 4,2" </w:instrText>
      </w:r>
      <w:r>
        <w:fldChar w:fldCharType="separate"/>
      </w:r>
      <w:hyperlink w:anchor="_Toc162967731" w:history="1">
        <w:r w:rsidRPr="00196180">
          <w:rPr>
            <w:rStyle w:val="Hyperlink"/>
            <w:noProof/>
          </w:rPr>
          <w:t>Table of Contents</w:t>
        </w:r>
        <w:r>
          <w:rPr>
            <w:noProof/>
            <w:webHidden/>
          </w:rPr>
          <w:tab/>
        </w:r>
        <w:r>
          <w:rPr>
            <w:noProof/>
            <w:webHidden/>
          </w:rPr>
          <w:fldChar w:fldCharType="begin"/>
        </w:r>
        <w:r>
          <w:rPr>
            <w:noProof/>
            <w:webHidden/>
          </w:rPr>
          <w:instrText xml:space="preserve"> PAGEREF _Toc162967731 \h </w:instrText>
        </w:r>
        <w:r>
          <w:rPr>
            <w:noProof/>
            <w:webHidden/>
          </w:rPr>
          <w:fldChar w:fldCharType="separate"/>
        </w:r>
        <w:r w:rsidR="00C774F9">
          <w:rPr>
            <w:noProof/>
            <w:webHidden/>
          </w:rPr>
          <w:t>2</w:t>
        </w:r>
        <w:r>
          <w:rPr>
            <w:noProof/>
            <w:webHidden/>
          </w:rPr>
          <w:fldChar w:fldCharType="end"/>
        </w:r>
      </w:hyperlink>
    </w:p>
    <w:p w:rsidR="00651125" w14:paraId="4354F0AA" w14:textId="28FE5275">
      <w:pPr>
        <w:pStyle w:val="TOC1"/>
        <w:tabs>
          <w:tab w:val="right" w:leader="dot" w:pos="9350"/>
        </w:tabs>
        <w:rPr>
          <w:rFonts w:asciiTheme="minorHAnsi" w:hAnsiTheme="minorHAnsi"/>
          <w:noProof/>
          <w:kern w:val="2"/>
          <w:sz w:val="24"/>
          <w:szCs w:val="24"/>
          <w14:ligatures w14:val="standardContextual"/>
        </w:rPr>
      </w:pPr>
      <w:hyperlink w:anchor="_Toc162967732" w:history="1">
        <w:r w:rsidRPr="00196180">
          <w:rPr>
            <w:rStyle w:val="Hyperlink"/>
            <w:noProof/>
          </w:rPr>
          <w:t>Section A – Justification</w:t>
        </w:r>
        <w:r>
          <w:rPr>
            <w:noProof/>
            <w:webHidden/>
          </w:rPr>
          <w:tab/>
        </w:r>
        <w:r>
          <w:rPr>
            <w:noProof/>
            <w:webHidden/>
          </w:rPr>
          <w:fldChar w:fldCharType="begin"/>
        </w:r>
        <w:r>
          <w:rPr>
            <w:noProof/>
            <w:webHidden/>
          </w:rPr>
          <w:instrText xml:space="preserve"> PAGEREF _Toc162967732 \h </w:instrText>
        </w:r>
        <w:r>
          <w:rPr>
            <w:noProof/>
            <w:webHidden/>
          </w:rPr>
          <w:fldChar w:fldCharType="separate"/>
        </w:r>
        <w:r w:rsidR="00C774F9">
          <w:rPr>
            <w:noProof/>
            <w:webHidden/>
          </w:rPr>
          <w:t>3</w:t>
        </w:r>
        <w:r>
          <w:rPr>
            <w:noProof/>
            <w:webHidden/>
          </w:rPr>
          <w:fldChar w:fldCharType="end"/>
        </w:r>
      </w:hyperlink>
    </w:p>
    <w:p w:rsidR="00651125" w14:paraId="2CA17EBA" w14:textId="625DC29B">
      <w:pPr>
        <w:pStyle w:val="TOC2"/>
        <w:rPr>
          <w:rFonts w:asciiTheme="minorHAnsi" w:hAnsiTheme="minorHAnsi"/>
          <w:noProof/>
          <w:kern w:val="2"/>
          <w:sz w:val="24"/>
          <w:szCs w:val="24"/>
          <w14:ligatures w14:val="standardContextual"/>
        </w:rPr>
      </w:pPr>
      <w:hyperlink w:anchor="_Toc162967733" w:history="1">
        <w:r w:rsidRPr="00196180">
          <w:rPr>
            <w:rStyle w:val="Hyperlink"/>
            <w:noProof/>
          </w:rPr>
          <w:t>1.</w:t>
        </w:r>
        <w:r>
          <w:rPr>
            <w:rFonts w:asciiTheme="minorHAnsi" w:hAnsiTheme="minorHAnsi"/>
            <w:noProof/>
            <w:kern w:val="2"/>
            <w:sz w:val="24"/>
            <w:szCs w:val="24"/>
            <w14:ligatures w14:val="standardContextual"/>
          </w:rPr>
          <w:tab/>
        </w:r>
        <w:r w:rsidRPr="00196180">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_Toc162967733 \h </w:instrText>
        </w:r>
        <w:r>
          <w:rPr>
            <w:noProof/>
            <w:webHidden/>
          </w:rPr>
          <w:fldChar w:fldCharType="separate"/>
        </w:r>
        <w:r w:rsidR="00C774F9">
          <w:rPr>
            <w:noProof/>
            <w:webHidden/>
          </w:rPr>
          <w:t>3</w:t>
        </w:r>
        <w:r>
          <w:rPr>
            <w:noProof/>
            <w:webHidden/>
          </w:rPr>
          <w:fldChar w:fldCharType="end"/>
        </w:r>
      </w:hyperlink>
    </w:p>
    <w:p w:rsidR="00651125" w14:paraId="4A877EA9" w14:textId="400D513D">
      <w:pPr>
        <w:pStyle w:val="TOC2"/>
        <w:rPr>
          <w:rFonts w:asciiTheme="minorHAnsi" w:hAnsiTheme="minorHAnsi"/>
          <w:noProof/>
          <w:kern w:val="2"/>
          <w:sz w:val="24"/>
          <w:szCs w:val="24"/>
          <w14:ligatures w14:val="standardContextual"/>
        </w:rPr>
      </w:pPr>
      <w:hyperlink w:anchor="_Toc162967734" w:history="1">
        <w:r w:rsidRPr="00196180">
          <w:rPr>
            <w:rStyle w:val="Hyperlink"/>
            <w:noProof/>
          </w:rPr>
          <w:t>2.</w:t>
        </w:r>
        <w:r>
          <w:rPr>
            <w:rFonts w:asciiTheme="minorHAnsi" w:hAnsiTheme="minorHAnsi"/>
            <w:noProof/>
            <w:kern w:val="2"/>
            <w:sz w:val="24"/>
            <w:szCs w:val="24"/>
            <w14:ligatures w14:val="standardContextual"/>
          </w:rPr>
          <w:tab/>
        </w:r>
        <w:r w:rsidRPr="00196180">
          <w:rPr>
            <w:rStyle w:val="Hyperlink"/>
            <w:noProof/>
          </w:rPr>
          <w:t>Purpose and Use of the Information Collection</w:t>
        </w:r>
        <w:r>
          <w:rPr>
            <w:noProof/>
            <w:webHidden/>
          </w:rPr>
          <w:tab/>
        </w:r>
        <w:r>
          <w:rPr>
            <w:noProof/>
            <w:webHidden/>
          </w:rPr>
          <w:fldChar w:fldCharType="begin"/>
        </w:r>
        <w:r>
          <w:rPr>
            <w:noProof/>
            <w:webHidden/>
          </w:rPr>
          <w:instrText xml:space="preserve"> PAGEREF _Toc162967734 \h </w:instrText>
        </w:r>
        <w:r>
          <w:rPr>
            <w:noProof/>
            <w:webHidden/>
          </w:rPr>
          <w:fldChar w:fldCharType="separate"/>
        </w:r>
        <w:r w:rsidR="00C774F9">
          <w:rPr>
            <w:noProof/>
            <w:webHidden/>
          </w:rPr>
          <w:t>7</w:t>
        </w:r>
        <w:r>
          <w:rPr>
            <w:noProof/>
            <w:webHidden/>
          </w:rPr>
          <w:fldChar w:fldCharType="end"/>
        </w:r>
      </w:hyperlink>
    </w:p>
    <w:p w:rsidR="00651125" w14:paraId="4B12F21C" w14:textId="026CB08A">
      <w:pPr>
        <w:pStyle w:val="TOC2"/>
        <w:rPr>
          <w:rFonts w:asciiTheme="minorHAnsi" w:hAnsiTheme="minorHAnsi"/>
          <w:noProof/>
          <w:kern w:val="2"/>
          <w:sz w:val="24"/>
          <w:szCs w:val="24"/>
          <w14:ligatures w14:val="standardContextual"/>
        </w:rPr>
      </w:pPr>
      <w:hyperlink w:anchor="_Toc162967735" w:history="1">
        <w:r w:rsidRPr="00196180">
          <w:rPr>
            <w:rStyle w:val="Hyperlink"/>
            <w:noProof/>
          </w:rPr>
          <w:t>3.</w:t>
        </w:r>
        <w:r>
          <w:rPr>
            <w:rFonts w:asciiTheme="minorHAnsi" w:hAnsiTheme="minorHAnsi"/>
            <w:noProof/>
            <w:kern w:val="2"/>
            <w:sz w:val="24"/>
            <w:szCs w:val="24"/>
            <w14:ligatures w14:val="standardContextual"/>
          </w:rPr>
          <w:tab/>
        </w:r>
        <w:r w:rsidRPr="00196180">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_Toc162967735 \h </w:instrText>
        </w:r>
        <w:r>
          <w:rPr>
            <w:noProof/>
            <w:webHidden/>
          </w:rPr>
          <w:fldChar w:fldCharType="separate"/>
        </w:r>
        <w:r w:rsidR="00C774F9">
          <w:rPr>
            <w:noProof/>
            <w:webHidden/>
          </w:rPr>
          <w:t>7</w:t>
        </w:r>
        <w:r>
          <w:rPr>
            <w:noProof/>
            <w:webHidden/>
          </w:rPr>
          <w:fldChar w:fldCharType="end"/>
        </w:r>
      </w:hyperlink>
    </w:p>
    <w:p w:rsidR="00651125" w14:paraId="30DEF869" w14:textId="4B00F19F">
      <w:pPr>
        <w:pStyle w:val="TOC2"/>
        <w:rPr>
          <w:rFonts w:asciiTheme="minorHAnsi" w:hAnsiTheme="minorHAnsi"/>
          <w:noProof/>
          <w:kern w:val="2"/>
          <w:sz w:val="24"/>
          <w:szCs w:val="24"/>
          <w14:ligatures w14:val="standardContextual"/>
        </w:rPr>
      </w:pPr>
      <w:hyperlink w:anchor="_Toc162967736" w:history="1">
        <w:r w:rsidRPr="00196180">
          <w:rPr>
            <w:rStyle w:val="Hyperlink"/>
            <w:noProof/>
          </w:rPr>
          <w:t>4.</w:t>
        </w:r>
        <w:r>
          <w:rPr>
            <w:rFonts w:asciiTheme="minorHAnsi" w:hAnsiTheme="minorHAnsi"/>
            <w:noProof/>
            <w:kern w:val="2"/>
            <w:sz w:val="24"/>
            <w:szCs w:val="24"/>
            <w14:ligatures w14:val="standardContextual"/>
          </w:rPr>
          <w:tab/>
        </w:r>
        <w:r w:rsidRPr="00196180">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_Toc162967736 \h </w:instrText>
        </w:r>
        <w:r>
          <w:rPr>
            <w:noProof/>
            <w:webHidden/>
          </w:rPr>
          <w:fldChar w:fldCharType="separate"/>
        </w:r>
        <w:r w:rsidR="00C774F9">
          <w:rPr>
            <w:noProof/>
            <w:webHidden/>
          </w:rPr>
          <w:t>7</w:t>
        </w:r>
        <w:r>
          <w:rPr>
            <w:noProof/>
            <w:webHidden/>
          </w:rPr>
          <w:fldChar w:fldCharType="end"/>
        </w:r>
      </w:hyperlink>
    </w:p>
    <w:p w:rsidR="00651125" w14:paraId="74EC9E9F" w14:textId="1E030933">
      <w:pPr>
        <w:pStyle w:val="TOC2"/>
        <w:rPr>
          <w:rFonts w:asciiTheme="minorHAnsi" w:hAnsiTheme="minorHAnsi"/>
          <w:noProof/>
          <w:kern w:val="2"/>
          <w:sz w:val="24"/>
          <w:szCs w:val="24"/>
          <w14:ligatures w14:val="standardContextual"/>
        </w:rPr>
      </w:pPr>
      <w:hyperlink w:anchor="_Toc162967737" w:history="1">
        <w:r w:rsidRPr="00196180">
          <w:rPr>
            <w:rStyle w:val="Hyperlink"/>
            <w:noProof/>
          </w:rPr>
          <w:t>5.</w:t>
        </w:r>
        <w:r>
          <w:rPr>
            <w:rFonts w:asciiTheme="minorHAnsi" w:hAnsiTheme="minorHAnsi"/>
            <w:noProof/>
            <w:kern w:val="2"/>
            <w:sz w:val="24"/>
            <w:szCs w:val="24"/>
            <w14:ligatures w14:val="standardContextual"/>
          </w:rPr>
          <w:tab/>
        </w:r>
        <w:r w:rsidRPr="00196180">
          <w:rPr>
            <w:rStyle w:val="Hyperlink"/>
            <w:noProof/>
          </w:rPr>
          <w:t>Impact on Small Businesses or Other Small Entities</w:t>
        </w:r>
        <w:r>
          <w:rPr>
            <w:noProof/>
            <w:webHidden/>
          </w:rPr>
          <w:tab/>
        </w:r>
        <w:r>
          <w:rPr>
            <w:noProof/>
            <w:webHidden/>
          </w:rPr>
          <w:fldChar w:fldCharType="begin"/>
        </w:r>
        <w:r>
          <w:rPr>
            <w:noProof/>
            <w:webHidden/>
          </w:rPr>
          <w:instrText xml:space="preserve"> PAGEREF _Toc162967737 \h </w:instrText>
        </w:r>
        <w:r>
          <w:rPr>
            <w:noProof/>
            <w:webHidden/>
          </w:rPr>
          <w:fldChar w:fldCharType="separate"/>
        </w:r>
        <w:r w:rsidR="00C774F9">
          <w:rPr>
            <w:noProof/>
            <w:webHidden/>
          </w:rPr>
          <w:t>8</w:t>
        </w:r>
        <w:r>
          <w:rPr>
            <w:noProof/>
            <w:webHidden/>
          </w:rPr>
          <w:fldChar w:fldCharType="end"/>
        </w:r>
      </w:hyperlink>
    </w:p>
    <w:p w:rsidR="00651125" w14:paraId="348E28BB" w14:textId="00829076">
      <w:pPr>
        <w:pStyle w:val="TOC2"/>
        <w:rPr>
          <w:rFonts w:asciiTheme="minorHAnsi" w:hAnsiTheme="minorHAnsi"/>
          <w:noProof/>
          <w:kern w:val="2"/>
          <w:sz w:val="24"/>
          <w:szCs w:val="24"/>
          <w14:ligatures w14:val="standardContextual"/>
        </w:rPr>
      </w:pPr>
      <w:hyperlink w:anchor="_Toc162967738" w:history="1">
        <w:r w:rsidRPr="00196180">
          <w:rPr>
            <w:rStyle w:val="Hyperlink"/>
            <w:noProof/>
          </w:rPr>
          <w:t>6.</w:t>
        </w:r>
        <w:r>
          <w:rPr>
            <w:rFonts w:asciiTheme="minorHAnsi" w:hAnsiTheme="minorHAnsi"/>
            <w:noProof/>
            <w:kern w:val="2"/>
            <w:sz w:val="24"/>
            <w:szCs w:val="24"/>
            <w14:ligatures w14:val="standardContextual"/>
          </w:rPr>
          <w:tab/>
        </w:r>
        <w:r w:rsidRPr="00196180">
          <w:rPr>
            <w:rStyle w:val="Hyperlink"/>
            <w:noProof/>
          </w:rPr>
          <w:t xml:space="preserve">Consequences of Collecting the Information Less Frequently    </w:t>
        </w:r>
        <w:r>
          <w:rPr>
            <w:noProof/>
            <w:webHidden/>
          </w:rPr>
          <w:tab/>
        </w:r>
        <w:r>
          <w:rPr>
            <w:noProof/>
            <w:webHidden/>
          </w:rPr>
          <w:fldChar w:fldCharType="begin"/>
        </w:r>
        <w:r>
          <w:rPr>
            <w:noProof/>
            <w:webHidden/>
          </w:rPr>
          <w:instrText xml:space="preserve"> PAGEREF _Toc162967738 \h </w:instrText>
        </w:r>
        <w:r>
          <w:rPr>
            <w:noProof/>
            <w:webHidden/>
          </w:rPr>
          <w:fldChar w:fldCharType="separate"/>
        </w:r>
        <w:r w:rsidR="00C774F9">
          <w:rPr>
            <w:noProof/>
            <w:webHidden/>
          </w:rPr>
          <w:t>8</w:t>
        </w:r>
        <w:r>
          <w:rPr>
            <w:noProof/>
            <w:webHidden/>
          </w:rPr>
          <w:fldChar w:fldCharType="end"/>
        </w:r>
      </w:hyperlink>
    </w:p>
    <w:p w:rsidR="00651125" w14:paraId="4CBD6839" w14:textId="770AE80E">
      <w:pPr>
        <w:pStyle w:val="TOC2"/>
        <w:rPr>
          <w:rFonts w:asciiTheme="minorHAnsi" w:hAnsiTheme="minorHAnsi"/>
          <w:noProof/>
          <w:kern w:val="2"/>
          <w:sz w:val="24"/>
          <w:szCs w:val="24"/>
          <w14:ligatures w14:val="standardContextual"/>
        </w:rPr>
      </w:pPr>
      <w:hyperlink w:anchor="_Toc162967739" w:history="1">
        <w:r w:rsidRPr="00196180">
          <w:rPr>
            <w:rStyle w:val="Hyperlink"/>
            <w:noProof/>
          </w:rPr>
          <w:t>7.</w:t>
        </w:r>
        <w:r>
          <w:rPr>
            <w:rFonts w:asciiTheme="minorHAnsi" w:hAnsiTheme="minorHAnsi"/>
            <w:noProof/>
            <w:kern w:val="2"/>
            <w:sz w:val="24"/>
            <w:szCs w:val="24"/>
            <w14:ligatures w14:val="standardContextual"/>
          </w:rPr>
          <w:tab/>
        </w:r>
        <w:r w:rsidRPr="00196180">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_Toc162967739 \h </w:instrText>
        </w:r>
        <w:r>
          <w:rPr>
            <w:noProof/>
            <w:webHidden/>
          </w:rPr>
          <w:fldChar w:fldCharType="separate"/>
        </w:r>
        <w:r w:rsidR="00C774F9">
          <w:rPr>
            <w:noProof/>
            <w:webHidden/>
          </w:rPr>
          <w:t>8</w:t>
        </w:r>
        <w:r>
          <w:rPr>
            <w:noProof/>
            <w:webHidden/>
          </w:rPr>
          <w:fldChar w:fldCharType="end"/>
        </w:r>
      </w:hyperlink>
    </w:p>
    <w:p w:rsidR="00651125" w14:paraId="195427D4" w14:textId="7AEA3F1B">
      <w:pPr>
        <w:pStyle w:val="TOC2"/>
        <w:rPr>
          <w:rFonts w:asciiTheme="minorHAnsi" w:hAnsiTheme="minorHAnsi"/>
          <w:noProof/>
          <w:kern w:val="2"/>
          <w:sz w:val="24"/>
          <w:szCs w:val="24"/>
          <w14:ligatures w14:val="standardContextual"/>
        </w:rPr>
      </w:pPr>
      <w:hyperlink w:anchor="_Toc162967740" w:history="1">
        <w:r w:rsidRPr="00196180">
          <w:rPr>
            <w:rStyle w:val="Hyperlink"/>
            <w:noProof/>
          </w:rPr>
          <w:t>8.</w:t>
        </w:r>
        <w:r>
          <w:rPr>
            <w:rFonts w:asciiTheme="minorHAnsi" w:hAnsiTheme="minorHAnsi"/>
            <w:noProof/>
            <w:kern w:val="2"/>
            <w:sz w:val="24"/>
            <w:szCs w:val="24"/>
            <w14:ligatures w14:val="standardContextual"/>
          </w:rPr>
          <w:tab/>
        </w:r>
        <w:r w:rsidRPr="00196180">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_Toc162967740 \h </w:instrText>
        </w:r>
        <w:r>
          <w:rPr>
            <w:noProof/>
            <w:webHidden/>
          </w:rPr>
          <w:fldChar w:fldCharType="separate"/>
        </w:r>
        <w:r w:rsidR="00C774F9">
          <w:rPr>
            <w:noProof/>
            <w:webHidden/>
          </w:rPr>
          <w:t>8</w:t>
        </w:r>
        <w:r>
          <w:rPr>
            <w:noProof/>
            <w:webHidden/>
          </w:rPr>
          <w:fldChar w:fldCharType="end"/>
        </w:r>
      </w:hyperlink>
    </w:p>
    <w:p w:rsidR="00651125" w14:paraId="4C88B0AE" w14:textId="1AE2781D">
      <w:pPr>
        <w:pStyle w:val="TOC2"/>
        <w:rPr>
          <w:rFonts w:asciiTheme="minorHAnsi" w:hAnsiTheme="minorHAnsi"/>
          <w:noProof/>
          <w:kern w:val="2"/>
          <w:sz w:val="24"/>
          <w:szCs w:val="24"/>
          <w14:ligatures w14:val="standardContextual"/>
        </w:rPr>
      </w:pPr>
      <w:hyperlink w:anchor="_Toc162967741" w:history="1">
        <w:r w:rsidRPr="00196180">
          <w:rPr>
            <w:rStyle w:val="Hyperlink"/>
            <w:noProof/>
          </w:rPr>
          <w:t>9.</w:t>
        </w:r>
        <w:r>
          <w:rPr>
            <w:rFonts w:asciiTheme="minorHAnsi" w:hAnsiTheme="minorHAnsi"/>
            <w:noProof/>
            <w:kern w:val="2"/>
            <w:sz w:val="24"/>
            <w:szCs w:val="24"/>
            <w14:ligatures w14:val="standardContextual"/>
          </w:rPr>
          <w:tab/>
        </w:r>
        <w:r w:rsidRPr="00196180">
          <w:rPr>
            <w:rStyle w:val="Hyperlink"/>
            <w:noProof/>
          </w:rPr>
          <w:t>Explanation of Any Payment or Gift to Respondents</w:t>
        </w:r>
        <w:r>
          <w:rPr>
            <w:noProof/>
            <w:webHidden/>
          </w:rPr>
          <w:tab/>
        </w:r>
        <w:r>
          <w:rPr>
            <w:noProof/>
            <w:webHidden/>
          </w:rPr>
          <w:fldChar w:fldCharType="begin"/>
        </w:r>
        <w:r>
          <w:rPr>
            <w:noProof/>
            <w:webHidden/>
          </w:rPr>
          <w:instrText xml:space="preserve"> PAGEREF _Toc162967741 \h </w:instrText>
        </w:r>
        <w:r>
          <w:rPr>
            <w:noProof/>
            <w:webHidden/>
          </w:rPr>
          <w:fldChar w:fldCharType="separate"/>
        </w:r>
        <w:r w:rsidR="00C774F9">
          <w:rPr>
            <w:noProof/>
            <w:webHidden/>
          </w:rPr>
          <w:t>8</w:t>
        </w:r>
        <w:r>
          <w:rPr>
            <w:noProof/>
            <w:webHidden/>
          </w:rPr>
          <w:fldChar w:fldCharType="end"/>
        </w:r>
      </w:hyperlink>
    </w:p>
    <w:p w:rsidR="00651125" w14:paraId="32EED3AF" w14:textId="7C055A91">
      <w:pPr>
        <w:pStyle w:val="TOC2"/>
        <w:rPr>
          <w:rFonts w:asciiTheme="minorHAnsi" w:hAnsiTheme="minorHAnsi"/>
          <w:noProof/>
          <w:kern w:val="2"/>
          <w:sz w:val="24"/>
          <w:szCs w:val="24"/>
          <w14:ligatures w14:val="standardContextual"/>
        </w:rPr>
      </w:pPr>
      <w:hyperlink w:anchor="_Toc162967742" w:history="1">
        <w:r w:rsidRPr="00196180">
          <w:rPr>
            <w:rStyle w:val="Hyperlink"/>
            <w:noProof/>
          </w:rPr>
          <w:t>10.</w:t>
        </w:r>
        <w:r>
          <w:rPr>
            <w:rFonts w:asciiTheme="minorHAnsi" w:hAnsiTheme="minorHAnsi"/>
            <w:noProof/>
            <w:kern w:val="2"/>
            <w:sz w:val="24"/>
            <w:szCs w:val="24"/>
            <w14:ligatures w14:val="standardContextual"/>
          </w:rPr>
          <w:tab/>
        </w:r>
        <w:r w:rsidRPr="00196180">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_Toc162967742 \h </w:instrText>
        </w:r>
        <w:r>
          <w:rPr>
            <w:noProof/>
            <w:webHidden/>
          </w:rPr>
          <w:fldChar w:fldCharType="separate"/>
        </w:r>
        <w:r w:rsidR="00C774F9">
          <w:rPr>
            <w:noProof/>
            <w:webHidden/>
          </w:rPr>
          <w:t>8</w:t>
        </w:r>
        <w:r>
          <w:rPr>
            <w:noProof/>
            <w:webHidden/>
          </w:rPr>
          <w:fldChar w:fldCharType="end"/>
        </w:r>
      </w:hyperlink>
    </w:p>
    <w:p w:rsidR="00651125" w14:paraId="0F3BBD90" w14:textId="23D33D2B">
      <w:pPr>
        <w:pStyle w:val="TOC2"/>
        <w:rPr>
          <w:rFonts w:asciiTheme="minorHAnsi" w:hAnsiTheme="minorHAnsi"/>
          <w:noProof/>
          <w:kern w:val="2"/>
          <w:sz w:val="24"/>
          <w:szCs w:val="24"/>
          <w14:ligatures w14:val="standardContextual"/>
        </w:rPr>
      </w:pPr>
      <w:hyperlink w:anchor="_Toc162967743" w:history="1">
        <w:r w:rsidRPr="00196180">
          <w:rPr>
            <w:rStyle w:val="Hyperlink"/>
            <w:noProof/>
          </w:rPr>
          <w:t>11.</w:t>
        </w:r>
        <w:r>
          <w:rPr>
            <w:rFonts w:asciiTheme="minorHAnsi" w:hAnsiTheme="minorHAnsi"/>
            <w:noProof/>
            <w:kern w:val="2"/>
            <w:sz w:val="24"/>
            <w:szCs w:val="24"/>
            <w14:ligatures w14:val="standardContextual"/>
          </w:rPr>
          <w:tab/>
        </w:r>
        <w:r w:rsidRPr="00196180">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_Toc162967743 \h </w:instrText>
        </w:r>
        <w:r>
          <w:rPr>
            <w:noProof/>
            <w:webHidden/>
          </w:rPr>
          <w:fldChar w:fldCharType="separate"/>
        </w:r>
        <w:r w:rsidR="00C774F9">
          <w:rPr>
            <w:noProof/>
            <w:webHidden/>
          </w:rPr>
          <w:t>9</w:t>
        </w:r>
        <w:r>
          <w:rPr>
            <w:noProof/>
            <w:webHidden/>
          </w:rPr>
          <w:fldChar w:fldCharType="end"/>
        </w:r>
      </w:hyperlink>
    </w:p>
    <w:p w:rsidR="00651125" w14:paraId="01E400C1" w14:textId="1E64E415">
      <w:pPr>
        <w:pStyle w:val="TOC2"/>
        <w:rPr>
          <w:rFonts w:asciiTheme="minorHAnsi" w:hAnsiTheme="minorHAnsi"/>
          <w:noProof/>
          <w:kern w:val="2"/>
          <w:sz w:val="24"/>
          <w:szCs w:val="24"/>
          <w14:ligatures w14:val="standardContextual"/>
        </w:rPr>
      </w:pPr>
      <w:hyperlink w:anchor="_Toc162967744" w:history="1">
        <w:r w:rsidRPr="00196180">
          <w:rPr>
            <w:rStyle w:val="Hyperlink"/>
            <w:noProof/>
          </w:rPr>
          <w:t>12.</w:t>
        </w:r>
        <w:r>
          <w:rPr>
            <w:rFonts w:asciiTheme="minorHAnsi" w:hAnsiTheme="minorHAnsi"/>
            <w:noProof/>
            <w:kern w:val="2"/>
            <w:sz w:val="24"/>
            <w:szCs w:val="24"/>
            <w14:ligatures w14:val="standardContextual"/>
          </w:rPr>
          <w:tab/>
        </w:r>
        <w:r w:rsidRPr="00196180">
          <w:rPr>
            <w:rStyle w:val="Hyperlink"/>
            <w:noProof/>
          </w:rPr>
          <w:t>Estimates of Annualized Burden Hours and Costs</w:t>
        </w:r>
        <w:r>
          <w:rPr>
            <w:noProof/>
            <w:webHidden/>
          </w:rPr>
          <w:tab/>
        </w:r>
        <w:r>
          <w:rPr>
            <w:noProof/>
            <w:webHidden/>
          </w:rPr>
          <w:fldChar w:fldCharType="begin"/>
        </w:r>
        <w:r>
          <w:rPr>
            <w:noProof/>
            <w:webHidden/>
          </w:rPr>
          <w:instrText xml:space="preserve"> PAGEREF _Toc162967744 \h </w:instrText>
        </w:r>
        <w:r>
          <w:rPr>
            <w:noProof/>
            <w:webHidden/>
          </w:rPr>
          <w:fldChar w:fldCharType="separate"/>
        </w:r>
        <w:r w:rsidR="00C774F9">
          <w:rPr>
            <w:noProof/>
            <w:webHidden/>
          </w:rPr>
          <w:t>9</w:t>
        </w:r>
        <w:r>
          <w:rPr>
            <w:noProof/>
            <w:webHidden/>
          </w:rPr>
          <w:fldChar w:fldCharType="end"/>
        </w:r>
      </w:hyperlink>
    </w:p>
    <w:p w:rsidR="00651125" w14:paraId="22FD8B83" w14:textId="5C497C76">
      <w:pPr>
        <w:pStyle w:val="TOC2"/>
        <w:rPr>
          <w:rFonts w:asciiTheme="minorHAnsi" w:hAnsiTheme="minorHAnsi"/>
          <w:noProof/>
          <w:kern w:val="2"/>
          <w:sz w:val="24"/>
          <w:szCs w:val="24"/>
          <w14:ligatures w14:val="standardContextual"/>
        </w:rPr>
      </w:pPr>
      <w:hyperlink w:anchor="_Toc162967745" w:history="1">
        <w:r w:rsidRPr="00196180">
          <w:rPr>
            <w:rStyle w:val="Hyperlink"/>
            <w:noProof/>
          </w:rPr>
          <w:t>13.</w:t>
        </w:r>
        <w:r>
          <w:rPr>
            <w:rFonts w:asciiTheme="minorHAnsi" w:hAnsiTheme="minorHAnsi"/>
            <w:noProof/>
            <w:kern w:val="2"/>
            <w:sz w:val="24"/>
            <w:szCs w:val="24"/>
            <w14:ligatures w14:val="standardContextual"/>
          </w:rPr>
          <w:tab/>
        </w:r>
        <w:r w:rsidRPr="00196180">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_Toc162967745 \h </w:instrText>
        </w:r>
        <w:r>
          <w:rPr>
            <w:noProof/>
            <w:webHidden/>
          </w:rPr>
          <w:fldChar w:fldCharType="separate"/>
        </w:r>
        <w:r w:rsidR="00C774F9">
          <w:rPr>
            <w:noProof/>
            <w:webHidden/>
          </w:rPr>
          <w:t>9</w:t>
        </w:r>
        <w:r>
          <w:rPr>
            <w:noProof/>
            <w:webHidden/>
          </w:rPr>
          <w:fldChar w:fldCharType="end"/>
        </w:r>
      </w:hyperlink>
    </w:p>
    <w:p w:rsidR="00651125" w14:paraId="73DDD830" w14:textId="3A70C0B4">
      <w:pPr>
        <w:pStyle w:val="TOC2"/>
        <w:rPr>
          <w:rFonts w:asciiTheme="minorHAnsi" w:hAnsiTheme="minorHAnsi"/>
          <w:noProof/>
          <w:kern w:val="2"/>
          <w:sz w:val="24"/>
          <w:szCs w:val="24"/>
          <w14:ligatures w14:val="standardContextual"/>
        </w:rPr>
      </w:pPr>
      <w:hyperlink w:anchor="_Toc162967746" w:history="1">
        <w:r w:rsidRPr="00196180">
          <w:rPr>
            <w:rStyle w:val="Hyperlink"/>
            <w:noProof/>
          </w:rPr>
          <w:t>14.</w:t>
        </w:r>
        <w:r>
          <w:rPr>
            <w:rFonts w:asciiTheme="minorHAnsi" w:hAnsiTheme="minorHAnsi"/>
            <w:noProof/>
            <w:kern w:val="2"/>
            <w:sz w:val="24"/>
            <w:szCs w:val="24"/>
            <w14:ligatures w14:val="standardContextual"/>
          </w:rPr>
          <w:tab/>
        </w:r>
        <w:r w:rsidRPr="00196180">
          <w:rPr>
            <w:rStyle w:val="Hyperlink"/>
            <w:noProof/>
          </w:rPr>
          <w:t>Annualized Cost to the Government</w:t>
        </w:r>
        <w:r>
          <w:rPr>
            <w:noProof/>
            <w:webHidden/>
          </w:rPr>
          <w:tab/>
        </w:r>
        <w:r>
          <w:rPr>
            <w:noProof/>
            <w:webHidden/>
          </w:rPr>
          <w:fldChar w:fldCharType="begin"/>
        </w:r>
        <w:r>
          <w:rPr>
            <w:noProof/>
            <w:webHidden/>
          </w:rPr>
          <w:instrText xml:space="preserve"> PAGEREF _Toc162967746 \h </w:instrText>
        </w:r>
        <w:r>
          <w:rPr>
            <w:noProof/>
            <w:webHidden/>
          </w:rPr>
          <w:fldChar w:fldCharType="separate"/>
        </w:r>
        <w:r w:rsidR="00C774F9">
          <w:rPr>
            <w:noProof/>
            <w:webHidden/>
          </w:rPr>
          <w:t>10</w:t>
        </w:r>
        <w:r>
          <w:rPr>
            <w:noProof/>
            <w:webHidden/>
          </w:rPr>
          <w:fldChar w:fldCharType="end"/>
        </w:r>
      </w:hyperlink>
    </w:p>
    <w:p w:rsidR="00651125" w14:paraId="20BB91BD" w14:textId="39CF48CE">
      <w:pPr>
        <w:pStyle w:val="TOC2"/>
        <w:rPr>
          <w:rFonts w:asciiTheme="minorHAnsi" w:hAnsiTheme="minorHAnsi"/>
          <w:noProof/>
          <w:kern w:val="2"/>
          <w:sz w:val="24"/>
          <w:szCs w:val="24"/>
          <w14:ligatures w14:val="standardContextual"/>
        </w:rPr>
      </w:pPr>
      <w:hyperlink w:anchor="_Toc162967747" w:history="1">
        <w:r w:rsidRPr="00196180">
          <w:rPr>
            <w:rStyle w:val="Hyperlink"/>
            <w:noProof/>
          </w:rPr>
          <w:t>15.</w:t>
        </w:r>
        <w:r>
          <w:rPr>
            <w:rFonts w:asciiTheme="minorHAnsi" w:hAnsiTheme="minorHAnsi"/>
            <w:noProof/>
            <w:kern w:val="2"/>
            <w:sz w:val="24"/>
            <w:szCs w:val="24"/>
            <w14:ligatures w14:val="standardContextual"/>
          </w:rPr>
          <w:tab/>
        </w:r>
        <w:r w:rsidRPr="00196180">
          <w:rPr>
            <w:rStyle w:val="Hyperlink"/>
            <w:noProof/>
          </w:rPr>
          <w:t>Explanation for Program Changes or Adjustments</w:t>
        </w:r>
        <w:r>
          <w:rPr>
            <w:noProof/>
            <w:webHidden/>
          </w:rPr>
          <w:tab/>
        </w:r>
        <w:r>
          <w:rPr>
            <w:noProof/>
            <w:webHidden/>
          </w:rPr>
          <w:fldChar w:fldCharType="begin"/>
        </w:r>
        <w:r>
          <w:rPr>
            <w:noProof/>
            <w:webHidden/>
          </w:rPr>
          <w:instrText xml:space="preserve"> PAGEREF _Toc162967747 \h </w:instrText>
        </w:r>
        <w:r>
          <w:rPr>
            <w:noProof/>
            <w:webHidden/>
          </w:rPr>
          <w:fldChar w:fldCharType="separate"/>
        </w:r>
        <w:r w:rsidR="00C774F9">
          <w:rPr>
            <w:noProof/>
            <w:webHidden/>
          </w:rPr>
          <w:t>10</w:t>
        </w:r>
        <w:r>
          <w:rPr>
            <w:noProof/>
            <w:webHidden/>
          </w:rPr>
          <w:fldChar w:fldCharType="end"/>
        </w:r>
      </w:hyperlink>
    </w:p>
    <w:p w:rsidR="00651125" w14:paraId="56D2D381" w14:textId="3C7DFC66">
      <w:pPr>
        <w:pStyle w:val="TOC2"/>
        <w:rPr>
          <w:rFonts w:asciiTheme="minorHAnsi" w:hAnsiTheme="minorHAnsi"/>
          <w:noProof/>
          <w:kern w:val="2"/>
          <w:sz w:val="24"/>
          <w:szCs w:val="24"/>
          <w14:ligatures w14:val="standardContextual"/>
        </w:rPr>
      </w:pPr>
      <w:hyperlink w:anchor="_Toc162967748" w:history="1">
        <w:r w:rsidRPr="00196180">
          <w:rPr>
            <w:rStyle w:val="Hyperlink"/>
            <w:noProof/>
          </w:rPr>
          <w:t>16.</w:t>
        </w:r>
        <w:r>
          <w:rPr>
            <w:rFonts w:asciiTheme="minorHAnsi" w:hAnsiTheme="minorHAnsi"/>
            <w:noProof/>
            <w:kern w:val="2"/>
            <w:sz w:val="24"/>
            <w:szCs w:val="24"/>
            <w14:ligatures w14:val="standardContextual"/>
          </w:rPr>
          <w:tab/>
        </w:r>
        <w:r w:rsidRPr="00196180">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_Toc162967748 \h </w:instrText>
        </w:r>
        <w:r>
          <w:rPr>
            <w:noProof/>
            <w:webHidden/>
          </w:rPr>
          <w:fldChar w:fldCharType="separate"/>
        </w:r>
        <w:r w:rsidR="00C774F9">
          <w:rPr>
            <w:noProof/>
            <w:webHidden/>
          </w:rPr>
          <w:t>10</w:t>
        </w:r>
        <w:r>
          <w:rPr>
            <w:noProof/>
            <w:webHidden/>
          </w:rPr>
          <w:fldChar w:fldCharType="end"/>
        </w:r>
      </w:hyperlink>
    </w:p>
    <w:p w:rsidR="00651125" w14:paraId="7108DF84" w14:textId="534424BF">
      <w:pPr>
        <w:pStyle w:val="TOC2"/>
        <w:rPr>
          <w:rFonts w:asciiTheme="minorHAnsi" w:hAnsiTheme="minorHAnsi"/>
          <w:noProof/>
          <w:kern w:val="2"/>
          <w:sz w:val="24"/>
          <w:szCs w:val="24"/>
          <w14:ligatures w14:val="standardContextual"/>
        </w:rPr>
      </w:pPr>
      <w:hyperlink w:anchor="_Toc162967749" w:history="1">
        <w:r w:rsidRPr="00196180">
          <w:rPr>
            <w:rStyle w:val="Hyperlink"/>
            <w:noProof/>
          </w:rPr>
          <w:t>17.</w:t>
        </w:r>
        <w:r>
          <w:rPr>
            <w:rFonts w:asciiTheme="minorHAnsi" w:hAnsiTheme="minorHAnsi"/>
            <w:noProof/>
            <w:kern w:val="2"/>
            <w:sz w:val="24"/>
            <w:szCs w:val="24"/>
            <w14:ligatures w14:val="standardContextual"/>
          </w:rPr>
          <w:tab/>
        </w:r>
        <w:r w:rsidRPr="00196180">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_Toc162967749 \h </w:instrText>
        </w:r>
        <w:r>
          <w:rPr>
            <w:noProof/>
            <w:webHidden/>
          </w:rPr>
          <w:fldChar w:fldCharType="separate"/>
        </w:r>
        <w:r w:rsidR="00C774F9">
          <w:rPr>
            <w:noProof/>
            <w:webHidden/>
          </w:rPr>
          <w:t>11</w:t>
        </w:r>
        <w:r>
          <w:rPr>
            <w:noProof/>
            <w:webHidden/>
          </w:rPr>
          <w:fldChar w:fldCharType="end"/>
        </w:r>
      </w:hyperlink>
    </w:p>
    <w:p w:rsidR="00651125" w14:paraId="7C73BB1E" w14:textId="588E1EBA">
      <w:pPr>
        <w:pStyle w:val="TOC2"/>
        <w:rPr>
          <w:rFonts w:asciiTheme="minorHAnsi" w:hAnsiTheme="minorHAnsi"/>
          <w:noProof/>
          <w:kern w:val="2"/>
          <w:sz w:val="24"/>
          <w:szCs w:val="24"/>
          <w14:ligatures w14:val="standardContextual"/>
        </w:rPr>
      </w:pPr>
      <w:hyperlink w:anchor="_Toc162967750" w:history="1">
        <w:r w:rsidRPr="00196180">
          <w:rPr>
            <w:rStyle w:val="Hyperlink"/>
            <w:noProof/>
          </w:rPr>
          <w:t>18.</w:t>
        </w:r>
        <w:r>
          <w:rPr>
            <w:rFonts w:asciiTheme="minorHAnsi" w:hAnsiTheme="minorHAnsi"/>
            <w:noProof/>
            <w:kern w:val="2"/>
            <w:sz w:val="24"/>
            <w:szCs w:val="24"/>
            <w14:ligatures w14:val="standardContextual"/>
          </w:rPr>
          <w:tab/>
        </w:r>
        <w:r w:rsidRPr="00196180">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_Toc162967750 \h </w:instrText>
        </w:r>
        <w:r>
          <w:rPr>
            <w:noProof/>
            <w:webHidden/>
          </w:rPr>
          <w:fldChar w:fldCharType="separate"/>
        </w:r>
        <w:r w:rsidR="00C774F9">
          <w:rPr>
            <w:noProof/>
            <w:webHidden/>
          </w:rPr>
          <w:t>11</w:t>
        </w:r>
        <w:r>
          <w:rPr>
            <w:noProof/>
            <w:webHidden/>
          </w:rPr>
          <w:fldChar w:fldCharType="end"/>
        </w:r>
      </w:hyperlink>
    </w:p>
    <w:p w:rsidR="00651125" w14:paraId="7EDE6AF3" w14:textId="7572ACDA">
      <w:pPr>
        <w:pStyle w:val="TOC1"/>
        <w:tabs>
          <w:tab w:val="right" w:leader="dot" w:pos="9350"/>
        </w:tabs>
        <w:rPr>
          <w:rFonts w:asciiTheme="minorHAnsi" w:hAnsiTheme="minorHAnsi"/>
          <w:noProof/>
          <w:kern w:val="2"/>
          <w:sz w:val="24"/>
          <w:szCs w:val="24"/>
          <w14:ligatures w14:val="standardContextual"/>
        </w:rPr>
      </w:pPr>
      <w:hyperlink w:anchor="_Toc162967751" w:history="1">
        <w:r w:rsidRPr="00196180">
          <w:rPr>
            <w:rStyle w:val="Hyperlink"/>
            <w:noProof/>
          </w:rPr>
          <w:t>LIST OF ATTACHMENTS – Section A</w:t>
        </w:r>
        <w:r>
          <w:rPr>
            <w:noProof/>
            <w:webHidden/>
          </w:rPr>
          <w:tab/>
        </w:r>
        <w:r>
          <w:rPr>
            <w:noProof/>
            <w:webHidden/>
          </w:rPr>
          <w:fldChar w:fldCharType="begin"/>
        </w:r>
        <w:r>
          <w:rPr>
            <w:noProof/>
            <w:webHidden/>
          </w:rPr>
          <w:instrText xml:space="preserve"> PAGEREF _Toc162967751 \h </w:instrText>
        </w:r>
        <w:r>
          <w:rPr>
            <w:noProof/>
            <w:webHidden/>
          </w:rPr>
          <w:fldChar w:fldCharType="separate"/>
        </w:r>
        <w:r w:rsidR="00C774F9">
          <w:rPr>
            <w:noProof/>
            <w:webHidden/>
          </w:rPr>
          <w:t>11</w:t>
        </w:r>
        <w:r>
          <w:rPr>
            <w:noProof/>
            <w:webHidden/>
          </w:rPr>
          <w:fldChar w:fldCharType="end"/>
        </w:r>
      </w:hyperlink>
    </w:p>
    <w:p w:rsidR="00651125" w14:paraId="35B9F2A0" w14:textId="421EBE27">
      <w:pPr>
        <w:pStyle w:val="TOC1"/>
        <w:tabs>
          <w:tab w:val="right" w:leader="dot" w:pos="9350"/>
        </w:tabs>
        <w:rPr>
          <w:rFonts w:asciiTheme="minorHAnsi" w:hAnsiTheme="minorHAnsi"/>
          <w:noProof/>
          <w:kern w:val="2"/>
          <w:sz w:val="24"/>
          <w:szCs w:val="24"/>
          <w14:ligatures w14:val="standardContextual"/>
        </w:rPr>
      </w:pPr>
      <w:hyperlink w:anchor="_Toc162967752" w:history="1">
        <w:r w:rsidRPr="00196180">
          <w:rPr>
            <w:rStyle w:val="Hyperlink"/>
            <w:noProof/>
          </w:rPr>
          <w:t>REFERENCE LIST</w:t>
        </w:r>
        <w:r>
          <w:rPr>
            <w:noProof/>
            <w:webHidden/>
          </w:rPr>
          <w:tab/>
        </w:r>
        <w:r>
          <w:rPr>
            <w:noProof/>
            <w:webHidden/>
          </w:rPr>
          <w:fldChar w:fldCharType="begin"/>
        </w:r>
        <w:r>
          <w:rPr>
            <w:noProof/>
            <w:webHidden/>
          </w:rPr>
          <w:instrText xml:space="preserve"> PAGEREF _Toc162967752 \h </w:instrText>
        </w:r>
        <w:r>
          <w:rPr>
            <w:noProof/>
            <w:webHidden/>
          </w:rPr>
          <w:fldChar w:fldCharType="separate"/>
        </w:r>
        <w:r w:rsidR="00C774F9">
          <w:rPr>
            <w:noProof/>
            <w:webHidden/>
          </w:rPr>
          <w:t>11</w:t>
        </w:r>
        <w:r>
          <w:rPr>
            <w:noProof/>
            <w:webHidden/>
          </w:rPr>
          <w:fldChar w:fldCharType="end"/>
        </w:r>
      </w:hyperlink>
    </w:p>
    <w:p w:rsidR="003860A5" w:rsidP="00CA5840" w14:paraId="7E0F2413" w14:textId="399DB1D4">
      <w:pPr>
        <w:pStyle w:val="Heading3"/>
        <w:ind w:left="0"/>
      </w:pPr>
      <w:r>
        <w:fldChar w:fldCharType="end"/>
      </w:r>
    </w:p>
    <w:p w:rsidR="00487937" w:rsidP="00651125" w14:paraId="25E7D594" w14:textId="72181601">
      <w:pPr>
        <w:ind w:left="0"/>
      </w:pPr>
      <w:bookmarkStart w:id="1" w:name="_Toc413847747"/>
      <w:bookmarkStart w:id="2" w:name="_Toc427752812"/>
      <w:r w:rsidRPr="00487937">
        <w:rPr>
          <w:rFonts w:ascii="Calibri" w:eastAsia="Calibri" w:hAnsi="Calibri" w:cs="Times New Roman"/>
          <w:noProof/>
        </w:rPr>
        <mc:AlternateContent>
          <mc:Choice Requires="wps">
            <w:drawing>
              <wp:inline distT="0" distB="0" distL="0" distR="0">
                <wp:extent cx="6162675" cy="3763926"/>
                <wp:effectExtent l="0" t="0" r="28575" b="27305"/>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3763926"/>
                        </a:xfrm>
                        <a:prstGeom prst="rect">
                          <a:avLst/>
                        </a:prstGeom>
                        <a:solidFill>
                          <a:srgbClr val="FFFFFF"/>
                        </a:solidFill>
                        <a:ln w="9525">
                          <a:solidFill>
                            <a:srgbClr val="000000"/>
                          </a:solidFill>
                          <a:miter lim="800000"/>
                          <a:headEnd/>
                          <a:tailEnd/>
                        </a:ln>
                      </wps:spPr>
                      <wps:txbx>
                        <w:txbxContent>
                          <w:p w:rsidR="00795CC7" w:rsidRPr="00433CFF" w:rsidP="00833EA4" w14:textId="72D16857">
                            <w:pPr>
                              <w:ind w:left="0"/>
                            </w:pPr>
                            <w:r w:rsidRPr="00433CFF">
                              <w:rPr>
                                <w:b/>
                              </w:rPr>
                              <w:t>Purpose of the data collection</w:t>
                            </w:r>
                            <w:r w:rsidRPr="00433CFF" w:rsidR="003711F7">
                              <w:rPr>
                                <w:b/>
                              </w:rPr>
                              <w:t>:</w:t>
                            </w:r>
                            <w:r w:rsidRPr="00433CFF">
                              <w:rPr>
                                <w:b/>
                              </w:rPr>
                              <w:t xml:space="preserve"> </w:t>
                            </w:r>
                            <w:r w:rsidRPr="00433CFF" w:rsidR="00C81980">
                              <w:t xml:space="preserve">Collect data from </w:t>
                            </w:r>
                            <w:r w:rsidR="008E0538">
                              <w:t xml:space="preserve">National Center for Injury Prevention </w:t>
                            </w:r>
                            <w:r w:rsidR="00AA202D">
                              <w:t>and Control (</w:t>
                            </w:r>
                            <w:r w:rsidRPr="00433CFF" w:rsidR="00C81980">
                              <w:t>NCIPC</w:t>
                            </w:r>
                            <w:r w:rsidR="00AA202D">
                              <w:t>)</w:t>
                            </w:r>
                            <w:r w:rsidRPr="00433CFF" w:rsidR="00C81980">
                              <w:t xml:space="preserve"> </w:t>
                            </w:r>
                            <w:r w:rsidR="008E0538">
                              <w:t>Overdose</w:t>
                            </w:r>
                            <w:r w:rsidR="00833EA4">
                              <w:t xml:space="preserve"> Data</w:t>
                            </w:r>
                            <w:r w:rsidR="008E0538">
                              <w:t xml:space="preserve"> to Action (</w:t>
                            </w:r>
                            <w:r w:rsidRPr="00433CFF" w:rsidR="00C81980">
                              <w:t>OD2A</w:t>
                            </w:r>
                            <w:r w:rsidR="009B7807">
                              <w:t>)-</w:t>
                            </w:r>
                            <w:r w:rsidRPr="00433CFF" w:rsidR="00C81980">
                              <w:t xml:space="preserve">funded </w:t>
                            </w:r>
                            <w:r w:rsidR="00212137">
                              <w:t>grantees</w:t>
                            </w:r>
                            <w:r w:rsidRPr="00433CFF" w:rsidR="00212137">
                              <w:t xml:space="preserve"> </w:t>
                            </w:r>
                            <w:r w:rsidRPr="00433CFF" w:rsidR="005B73BA">
                              <w:t xml:space="preserve">about the </w:t>
                            </w:r>
                            <w:r w:rsidRPr="00433CFF" w:rsidR="00B826AC">
                              <w:t xml:space="preserve">Stop Overdose </w:t>
                            </w:r>
                            <w:r w:rsidR="00111C20">
                              <w:t>campaign</w:t>
                            </w:r>
                            <w:r w:rsidRPr="00433CFF" w:rsidR="0035644A">
                              <w:t xml:space="preserve"> materials</w:t>
                            </w:r>
                            <w:r w:rsidRPr="00433CFF" w:rsidR="005B73BA">
                              <w:t>, specifically to:</w:t>
                            </w:r>
                            <w:r w:rsidRPr="00433CFF" w:rsidR="0035644A">
                              <w:t xml:space="preserve"> </w:t>
                            </w:r>
                            <w:r w:rsidR="009B7807">
                              <w:t>(</w:t>
                            </w:r>
                            <w:r w:rsidRPr="00433CFF" w:rsidR="005B73BA">
                              <w:t>1) a</w:t>
                            </w:r>
                            <w:r w:rsidRPr="00433CFF">
                              <w:t>ssess how and to what extent CDC-funded OD2A partners have implemented Stop Overdose campaigns</w:t>
                            </w:r>
                            <w:r w:rsidRPr="00433CFF" w:rsidR="005B73BA">
                              <w:t xml:space="preserve">, </w:t>
                            </w:r>
                            <w:r w:rsidR="009B7807">
                              <w:t>(</w:t>
                            </w:r>
                            <w:r w:rsidRPr="00433CFF" w:rsidR="005B73BA">
                              <w:t>2) a</w:t>
                            </w:r>
                            <w:r w:rsidRPr="00433CFF">
                              <w:t xml:space="preserve">ssess the perceived effectiveness of Stop Overdose materials </w:t>
                            </w:r>
                            <w:r w:rsidRPr="00433CFF" w:rsidR="005B73BA">
                              <w:t>in</w:t>
                            </w:r>
                            <w:r w:rsidRPr="00433CFF">
                              <w:t xml:space="preserve"> supporting their work</w:t>
                            </w:r>
                            <w:r w:rsidRPr="00433CFF" w:rsidR="005B73BA">
                              <w:t xml:space="preserve">, and </w:t>
                            </w:r>
                            <w:r w:rsidR="009B7807">
                              <w:t>(</w:t>
                            </w:r>
                            <w:r w:rsidRPr="00433CFF" w:rsidR="005B73BA">
                              <w:t>3) i</w:t>
                            </w:r>
                            <w:r w:rsidRPr="00433CFF">
                              <w:t xml:space="preserve">dentify barriers, facilitators, and areas of need and support for OD2A partners </w:t>
                            </w:r>
                            <w:r w:rsidRPr="00433CFF" w:rsidR="005B73BA">
                              <w:t xml:space="preserve">in </w:t>
                            </w:r>
                            <w:r w:rsidRPr="00433CFF">
                              <w:t>using Stop Overdose campaigns to support their drug overdose prevention work.</w:t>
                            </w:r>
                          </w:p>
                          <w:p w:rsidR="003270E7" w:rsidRPr="00433CFF" w:rsidP="00833EA4" w14:textId="32D9A08C">
                            <w:pPr>
                              <w:ind w:left="0"/>
                            </w:pPr>
                            <w:r w:rsidRPr="00433CFF">
                              <w:rPr>
                                <w:b/>
                              </w:rPr>
                              <w:t>Intended use of the resulting data</w:t>
                            </w:r>
                            <w:r w:rsidRPr="00433CFF" w:rsidR="003711F7">
                              <w:rPr>
                                <w:b/>
                              </w:rPr>
                              <w:t>:</w:t>
                            </w:r>
                            <w:r w:rsidRPr="00433CFF">
                              <w:rPr>
                                <w:b/>
                              </w:rPr>
                              <w:t xml:space="preserve"> </w:t>
                            </w:r>
                            <w:r w:rsidRPr="00433CFF">
                              <w:rPr>
                                <w:rFonts w:eastAsia="Times New Roman" w:cs="Times New Roman"/>
                              </w:rPr>
                              <w:t>Use feedback to improve and enhance Stop Overdose campaign materials and products, dissemination tactics, and support</w:t>
                            </w:r>
                            <w:r w:rsidR="00345C86">
                              <w:rPr>
                                <w:rFonts w:eastAsia="Times New Roman" w:cs="Times New Roman"/>
                              </w:rPr>
                              <w:t>. Use feedback</w:t>
                            </w:r>
                            <w:r w:rsidRPr="00433CFF">
                              <w:rPr>
                                <w:rFonts w:eastAsia="Times New Roman" w:cs="Times New Roman"/>
                              </w:rPr>
                              <w:t xml:space="preserve"> to optimize the use of campaign materials by OD2A </w:t>
                            </w:r>
                            <w:r w:rsidR="002F60AA">
                              <w:rPr>
                                <w:rFonts w:eastAsia="Times New Roman" w:cs="Times New Roman"/>
                              </w:rPr>
                              <w:t>grantees</w:t>
                            </w:r>
                            <w:r w:rsidRPr="00433CFF" w:rsidR="002F60AA">
                              <w:rPr>
                                <w:rFonts w:eastAsia="Times New Roman" w:cs="Times New Roman"/>
                              </w:rPr>
                              <w:t xml:space="preserve"> </w:t>
                            </w:r>
                            <w:r w:rsidRPr="00433CFF" w:rsidR="00433CFF">
                              <w:rPr>
                                <w:rFonts w:eastAsia="Times New Roman" w:cs="Times New Roman"/>
                              </w:rPr>
                              <w:t>and i</w:t>
                            </w:r>
                            <w:r w:rsidRPr="00433CFF">
                              <w:rPr>
                                <w:rFonts w:eastAsia="Times New Roman" w:cs="Times New Roman"/>
                              </w:rPr>
                              <w:t xml:space="preserve">ncrease use of Stop Overdose campaign materials and products among OD2A </w:t>
                            </w:r>
                            <w:r w:rsidR="002F60AA">
                              <w:rPr>
                                <w:rFonts w:eastAsia="Times New Roman" w:cs="Times New Roman"/>
                              </w:rPr>
                              <w:t>grantees</w:t>
                            </w:r>
                            <w:r w:rsidRPr="00433CFF">
                              <w:rPr>
                                <w:rFonts w:eastAsia="Times New Roman" w:cs="Times New Roman"/>
                              </w:rPr>
                              <w:t xml:space="preserve">. </w:t>
                            </w:r>
                          </w:p>
                          <w:p w:rsidR="003E0F5E" w:rsidRPr="00433CFF" w:rsidP="00833EA4" w14:textId="737B14D0">
                            <w:pPr>
                              <w:ind w:left="0"/>
                            </w:pPr>
                            <w:r w:rsidRPr="004F1D13">
                              <w:rPr>
                                <w:b/>
                              </w:rPr>
                              <w:t>Methods to be used to collect data</w:t>
                            </w:r>
                            <w:r w:rsidRPr="004F1D13" w:rsidR="003711F7">
                              <w:rPr>
                                <w:b/>
                              </w:rPr>
                              <w:t>:</w:t>
                            </w:r>
                            <w:r w:rsidRPr="004F1D13">
                              <w:rPr>
                                <w:b/>
                              </w:rPr>
                              <w:t xml:space="preserve"> </w:t>
                            </w:r>
                            <w:r w:rsidRPr="004F1D13" w:rsidR="004F1D13">
                              <w:rPr>
                                <w:bCs/>
                              </w:rPr>
                              <w:t>Data will be collected using a</w:t>
                            </w:r>
                            <w:r w:rsidRPr="004F1D13" w:rsidR="00433CFF">
                              <w:rPr>
                                <w:bCs/>
                              </w:rPr>
                              <w:t>n online survey</w:t>
                            </w:r>
                            <w:r w:rsidRPr="004F1D13" w:rsidR="004F1D13">
                              <w:rPr>
                                <w:bCs/>
                              </w:rPr>
                              <w:t xml:space="preserve"> sent to OD2A partners.</w:t>
                            </w:r>
                          </w:p>
                          <w:p w:rsidR="003E0F5E" w:rsidRPr="00433CFF" w:rsidP="00833EA4" w14:textId="742D4598">
                            <w:pPr>
                              <w:ind w:left="0"/>
                            </w:pPr>
                            <w:r w:rsidRPr="00433CFF">
                              <w:rPr>
                                <w:b/>
                              </w:rPr>
                              <w:t>Respondent Universe</w:t>
                            </w:r>
                            <w:r w:rsidRPr="00433CFF" w:rsidR="003711F7">
                              <w:rPr>
                                <w:b/>
                              </w:rPr>
                              <w:t>:</w:t>
                            </w:r>
                            <w:r w:rsidRPr="00433CFF">
                              <w:rPr>
                                <w:b/>
                              </w:rPr>
                              <w:t xml:space="preserve"> </w:t>
                            </w:r>
                            <w:r w:rsidRPr="004F1D13" w:rsidR="004F1D13">
                              <w:rPr>
                                <w:bCs/>
                              </w:rPr>
                              <w:t>Existing OD2A funded grantee</w:t>
                            </w:r>
                            <w:r w:rsidR="002F60AA">
                              <w:rPr>
                                <w:bCs/>
                              </w:rPr>
                              <w:t>s</w:t>
                            </w:r>
                            <w:r w:rsidR="004F1D13">
                              <w:rPr>
                                <w:b/>
                              </w:rPr>
                              <w:t xml:space="preserve">. </w:t>
                            </w:r>
                            <w:r w:rsidRPr="004F1D13" w:rsidR="004F1D13">
                              <w:rPr>
                                <w:bCs/>
                              </w:rPr>
                              <w:t xml:space="preserve">There are currently </w:t>
                            </w:r>
                            <w:r w:rsidRPr="004F1D13" w:rsidR="009B7807">
                              <w:rPr>
                                <w:bCs/>
                              </w:rPr>
                              <w:t>90</w:t>
                            </w:r>
                            <w:r w:rsidR="009B7807">
                              <w:rPr>
                                <w:bCs/>
                              </w:rPr>
                              <w:t> </w:t>
                            </w:r>
                            <w:r w:rsidRPr="004F1D13" w:rsidR="004F1D13">
                              <w:rPr>
                                <w:bCs/>
                              </w:rPr>
                              <w:t>grantees. There will be one survey response per grantee.</w:t>
                            </w:r>
                          </w:p>
                          <w:p w:rsidR="003E0F5E" w:rsidRPr="00433CFF" w:rsidP="00833EA4" w14:textId="214BCA9A">
                            <w:pPr>
                              <w:ind w:left="0"/>
                            </w:pPr>
                            <w:r w:rsidRPr="00433CFF">
                              <w:rPr>
                                <w:b/>
                              </w:rPr>
                              <w:t>How data will be analyzed</w:t>
                            </w:r>
                            <w:r w:rsidRPr="00433CFF" w:rsidR="00184915">
                              <w:rPr>
                                <w:b/>
                              </w:rPr>
                              <w:t>:</w:t>
                            </w:r>
                            <w:r w:rsidRPr="00433CFF">
                              <w:rPr>
                                <w:b/>
                              </w:rPr>
                              <w:t xml:space="preserve"> </w:t>
                            </w:r>
                            <w:r w:rsidRPr="00501351" w:rsidR="00501351">
                              <w:rPr>
                                <w:bCs/>
                              </w:rPr>
                              <w:t xml:space="preserve">For quantitative </w:t>
                            </w:r>
                            <w:r w:rsidR="00372E36">
                              <w:rPr>
                                <w:bCs/>
                              </w:rPr>
                              <w:t>survey items</w:t>
                            </w:r>
                            <w:r w:rsidRPr="00501351" w:rsidR="00501351">
                              <w:rPr>
                                <w:bCs/>
                              </w:rPr>
                              <w:t xml:space="preserve">, we will </w:t>
                            </w:r>
                            <w:r w:rsidR="00501351">
                              <w:rPr>
                                <w:bCs/>
                              </w:rPr>
                              <w:t>report</w:t>
                            </w:r>
                            <w:r w:rsidRPr="00501351" w:rsidR="00501351">
                              <w:rPr>
                                <w:bCs/>
                              </w:rPr>
                              <w:t xml:space="preserve"> frequencies and means. For qualitative </w:t>
                            </w:r>
                            <w:r w:rsidR="00372E36">
                              <w:rPr>
                                <w:bCs/>
                              </w:rPr>
                              <w:t xml:space="preserve">open-ended </w:t>
                            </w:r>
                            <w:r w:rsidRPr="00501351" w:rsidR="00501351">
                              <w:rPr>
                                <w:bCs/>
                              </w:rPr>
                              <w:t xml:space="preserve">items, </w:t>
                            </w:r>
                            <w:r w:rsidR="002F3654">
                              <w:rPr>
                                <w:bCs/>
                              </w:rPr>
                              <w:t xml:space="preserve">text </w:t>
                            </w:r>
                            <w:r w:rsidRPr="00501351" w:rsidR="00501351">
                              <w:rPr>
                                <w:bCs/>
                              </w:rPr>
                              <w:t xml:space="preserve">responses will be analyzed to produce </w:t>
                            </w:r>
                            <w:r w:rsidR="001E532F">
                              <w:rPr>
                                <w:bCs/>
                              </w:rPr>
                              <w:t xml:space="preserve">a </w:t>
                            </w:r>
                            <w:r w:rsidRPr="00501351" w:rsidR="00501351">
                              <w:rPr>
                                <w:bCs/>
                              </w:rPr>
                              <w:t xml:space="preserve">summary </w:t>
                            </w:r>
                            <w:r w:rsidR="001E532F">
                              <w:rPr>
                                <w:bCs/>
                              </w:rPr>
                              <w:t xml:space="preserve">of </w:t>
                            </w:r>
                            <w:r w:rsidRPr="00501351" w:rsidR="00501351">
                              <w:rPr>
                                <w:bCs/>
                              </w:rPr>
                              <w:t>themes and key takeaways.</w:t>
                            </w:r>
                            <w:r w:rsidR="002F3654">
                              <w:rPr>
                                <w:bCs/>
                              </w:rPr>
                              <w:t xml:space="preserve"> Responses may be reported by grantee type as well (state vs. local).</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85.25pt;height:296.35pt;mso-left-percent:-10001;mso-position-horizontal-relative:char;mso-position-vertical-relative:line;mso-top-percent:-10001;mso-wrap-style:square;visibility:visible;v-text-anchor:top">
                <v:textbox>
                  <w:txbxContent>
                    <w:p w:rsidR="00795CC7" w:rsidRPr="00433CFF" w:rsidP="00833EA4" w14:paraId="4DF644F8" w14:textId="72D16857">
                      <w:pPr>
                        <w:ind w:left="0"/>
                      </w:pPr>
                      <w:r w:rsidRPr="00433CFF">
                        <w:rPr>
                          <w:b/>
                        </w:rPr>
                        <w:t>Purpose of the data collection</w:t>
                      </w:r>
                      <w:r w:rsidRPr="00433CFF" w:rsidR="003711F7">
                        <w:rPr>
                          <w:b/>
                        </w:rPr>
                        <w:t>:</w:t>
                      </w:r>
                      <w:r w:rsidRPr="00433CFF">
                        <w:rPr>
                          <w:b/>
                        </w:rPr>
                        <w:t xml:space="preserve"> </w:t>
                      </w:r>
                      <w:r w:rsidRPr="00433CFF" w:rsidR="00C81980">
                        <w:t xml:space="preserve">Collect data from </w:t>
                      </w:r>
                      <w:r w:rsidR="008E0538">
                        <w:t xml:space="preserve">National Center for Injury Prevention </w:t>
                      </w:r>
                      <w:r w:rsidR="00AA202D">
                        <w:t>and Control (</w:t>
                      </w:r>
                      <w:r w:rsidRPr="00433CFF" w:rsidR="00C81980">
                        <w:t>NCIPC</w:t>
                      </w:r>
                      <w:r w:rsidR="00AA202D">
                        <w:t>)</w:t>
                      </w:r>
                      <w:r w:rsidRPr="00433CFF" w:rsidR="00C81980">
                        <w:t xml:space="preserve"> </w:t>
                      </w:r>
                      <w:r w:rsidR="008E0538">
                        <w:t>Overdose</w:t>
                      </w:r>
                      <w:r w:rsidR="00833EA4">
                        <w:t xml:space="preserve"> Data</w:t>
                      </w:r>
                      <w:r w:rsidR="008E0538">
                        <w:t xml:space="preserve"> to Action (</w:t>
                      </w:r>
                      <w:r w:rsidRPr="00433CFF" w:rsidR="00C81980">
                        <w:t>OD2A</w:t>
                      </w:r>
                      <w:r w:rsidR="009B7807">
                        <w:t>)-</w:t>
                      </w:r>
                      <w:r w:rsidRPr="00433CFF" w:rsidR="00C81980">
                        <w:t xml:space="preserve">funded </w:t>
                      </w:r>
                      <w:r w:rsidR="00212137">
                        <w:t>grantees</w:t>
                      </w:r>
                      <w:r w:rsidRPr="00433CFF" w:rsidR="00212137">
                        <w:t xml:space="preserve"> </w:t>
                      </w:r>
                      <w:r w:rsidRPr="00433CFF" w:rsidR="005B73BA">
                        <w:t xml:space="preserve">about the </w:t>
                      </w:r>
                      <w:r w:rsidRPr="00433CFF" w:rsidR="00B826AC">
                        <w:t xml:space="preserve">Stop Overdose </w:t>
                      </w:r>
                      <w:r w:rsidR="00111C20">
                        <w:t>campaign</w:t>
                      </w:r>
                      <w:r w:rsidRPr="00433CFF" w:rsidR="0035644A">
                        <w:t xml:space="preserve"> materials</w:t>
                      </w:r>
                      <w:r w:rsidRPr="00433CFF" w:rsidR="005B73BA">
                        <w:t>, specifically to:</w:t>
                      </w:r>
                      <w:r w:rsidRPr="00433CFF" w:rsidR="0035644A">
                        <w:t xml:space="preserve"> </w:t>
                      </w:r>
                      <w:r w:rsidR="009B7807">
                        <w:t>(</w:t>
                      </w:r>
                      <w:r w:rsidRPr="00433CFF" w:rsidR="005B73BA">
                        <w:t>1) a</w:t>
                      </w:r>
                      <w:r w:rsidRPr="00433CFF">
                        <w:t>ssess how and to what extent CDC-funded OD2A partners have implemented Stop Overdose campaigns</w:t>
                      </w:r>
                      <w:r w:rsidRPr="00433CFF" w:rsidR="005B73BA">
                        <w:t xml:space="preserve">, </w:t>
                      </w:r>
                      <w:r w:rsidR="009B7807">
                        <w:t>(</w:t>
                      </w:r>
                      <w:r w:rsidRPr="00433CFF" w:rsidR="005B73BA">
                        <w:t>2) a</w:t>
                      </w:r>
                      <w:r w:rsidRPr="00433CFF">
                        <w:t xml:space="preserve">ssess the perceived effectiveness of Stop Overdose materials </w:t>
                      </w:r>
                      <w:r w:rsidRPr="00433CFF" w:rsidR="005B73BA">
                        <w:t>in</w:t>
                      </w:r>
                      <w:r w:rsidRPr="00433CFF">
                        <w:t xml:space="preserve"> supporting their work</w:t>
                      </w:r>
                      <w:r w:rsidRPr="00433CFF" w:rsidR="005B73BA">
                        <w:t xml:space="preserve">, and </w:t>
                      </w:r>
                      <w:r w:rsidR="009B7807">
                        <w:t>(</w:t>
                      </w:r>
                      <w:r w:rsidRPr="00433CFF" w:rsidR="005B73BA">
                        <w:t>3) i</w:t>
                      </w:r>
                      <w:r w:rsidRPr="00433CFF">
                        <w:t xml:space="preserve">dentify barriers, facilitators, and areas of need and support for OD2A partners </w:t>
                      </w:r>
                      <w:r w:rsidRPr="00433CFF" w:rsidR="005B73BA">
                        <w:t xml:space="preserve">in </w:t>
                      </w:r>
                      <w:r w:rsidRPr="00433CFF">
                        <w:t>using Stop Overdose campaigns to support their drug overdose prevention work.</w:t>
                      </w:r>
                    </w:p>
                    <w:p w:rsidR="003270E7" w:rsidRPr="00433CFF" w:rsidP="00833EA4" w14:paraId="2D6881E3" w14:textId="32D9A08C">
                      <w:pPr>
                        <w:ind w:left="0"/>
                      </w:pPr>
                      <w:r w:rsidRPr="00433CFF">
                        <w:rPr>
                          <w:b/>
                        </w:rPr>
                        <w:t>Intended use of the resulting data</w:t>
                      </w:r>
                      <w:r w:rsidRPr="00433CFF" w:rsidR="003711F7">
                        <w:rPr>
                          <w:b/>
                        </w:rPr>
                        <w:t>:</w:t>
                      </w:r>
                      <w:r w:rsidRPr="00433CFF">
                        <w:rPr>
                          <w:b/>
                        </w:rPr>
                        <w:t xml:space="preserve"> </w:t>
                      </w:r>
                      <w:r w:rsidRPr="00433CFF">
                        <w:rPr>
                          <w:rFonts w:eastAsia="Times New Roman" w:cs="Times New Roman"/>
                        </w:rPr>
                        <w:t>Use feedback to improve and enhance Stop Overdose campaign materials and products, dissemination tactics, and support</w:t>
                      </w:r>
                      <w:r w:rsidR="00345C86">
                        <w:rPr>
                          <w:rFonts w:eastAsia="Times New Roman" w:cs="Times New Roman"/>
                        </w:rPr>
                        <w:t>. Use feedback</w:t>
                      </w:r>
                      <w:r w:rsidRPr="00433CFF">
                        <w:rPr>
                          <w:rFonts w:eastAsia="Times New Roman" w:cs="Times New Roman"/>
                        </w:rPr>
                        <w:t xml:space="preserve"> to optimize the use of campaign materials by OD2A </w:t>
                      </w:r>
                      <w:r w:rsidR="002F60AA">
                        <w:rPr>
                          <w:rFonts w:eastAsia="Times New Roman" w:cs="Times New Roman"/>
                        </w:rPr>
                        <w:t>grantees</w:t>
                      </w:r>
                      <w:r w:rsidRPr="00433CFF" w:rsidR="002F60AA">
                        <w:rPr>
                          <w:rFonts w:eastAsia="Times New Roman" w:cs="Times New Roman"/>
                        </w:rPr>
                        <w:t xml:space="preserve"> </w:t>
                      </w:r>
                      <w:r w:rsidRPr="00433CFF" w:rsidR="00433CFF">
                        <w:rPr>
                          <w:rFonts w:eastAsia="Times New Roman" w:cs="Times New Roman"/>
                        </w:rPr>
                        <w:t>and i</w:t>
                      </w:r>
                      <w:r w:rsidRPr="00433CFF">
                        <w:rPr>
                          <w:rFonts w:eastAsia="Times New Roman" w:cs="Times New Roman"/>
                        </w:rPr>
                        <w:t xml:space="preserve">ncrease use of Stop Overdose campaign materials and products among OD2A </w:t>
                      </w:r>
                      <w:r w:rsidR="002F60AA">
                        <w:rPr>
                          <w:rFonts w:eastAsia="Times New Roman" w:cs="Times New Roman"/>
                        </w:rPr>
                        <w:t>grantees</w:t>
                      </w:r>
                      <w:r w:rsidRPr="00433CFF">
                        <w:rPr>
                          <w:rFonts w:eastAsia="Times New Roman" w:cs="Times New Roman"/>
                        </w:rPr>
                        <w:t xml:space="preserve">. </w:t>
                      </w:r>
                    </w:p>
                    <w:p w:rsidR="003E0F5E" w:rsidRPr="00433CFF" w:rsidP="00833EA4" w14:paraId="0AE3D4E8" w14:textId="737B14D0">
                      <w:pPr>
                        <w:ind w:left="0"/>
                      </w:pPr>
                      <w:r w:rsidRPr="004F1D13">
                        <w:rPr>
                          <w:b/>
                        </w:rPr>
                        <w:t>Methods to be used to collect data</w:t>
                      </w:r>
                      <w:r w:rsidRPr="004F1D13" w:rsidR="003711F7">
                        <w:rPr>
                          <w:b/>
                        </w:rPr>
                        <w:t>:</w:t>
                      </w:r>
                      <w:r w:rsidRPr="004F1D13">
                        <w:rPr>
                          <w:b/>
                        </w:rPr>
                        <w:t xml:space="preserve"> </w:t>
                      </w:r>
                      <w:r w:rsidRPr="004F1D13" w:rsidR="004F1D13">
                        <w:rPr>
                          <w:bCs/>
                        </w:rPr>
                        <w:t>Data will be collected using a</w:t>
                      </w:r>
                      <w:r w:rsidRPr="004F1D13" w:rsidR="00433CFF">
                        <w:rPr>
                          <w:bCs/>
                        </w:rPr>
                        <w:t>n online survey</w:t>
                      </w:r>
                      <w:r w:rsidRPr="004F1D13" w:rsidR="004F1D13">
                        <w:rPr>
                          <w:bCs/>
                        </w:rPr>
                        <w:t xml:space="preserve"> sent to OD2A partners.</w:t>
                      </w:r>
                    </w:p>
                    <w:p w:rsidR="003E0F5E" w:rsidRPr="00433CFF" w:rsidP="00833EA4" w14:paraId="0EE73597" w14:textId="742D4598">
                      <w:pPr>
                        <w:ind w:left="0"/>
                      </w:pPr>
                      <w:r w:rsidRPr="00433CFF">
                        <w:rPr>
                          <w:b/>
                        </w:rPr>
                        <w:t>Respondent Universe</w:t>
                      </w:r>
                      <w:r w:rsidRPr="00433CFF" w:rsidR="003711F7">
                        <w:rPr>
                          <w:b/>
                        </w:rPr>
                        <w:t>:</w:t>
                      </w:r>
                      <w:r w:rsidRPr="00433CFF">
                        <w:rPr>
                          <w:b/>
                        </w:rPr>
                        <w:t xml:space="preserve"> </w:t>
                      </w:r>
                      <w:r w:rsidRPr="004F1D13" w:rsidR="004F1D13">
                        <w:rPr>
                          <w:bCs/>
                        </w:rPr>
                        <w:t>Existing OD2A funded grantee</w:t>
                      </w:r>
                      <w:r w:rsidR="002F60AA">
                        <w:rPr>
                          <w:bCs/>
                        </w:rPr>
                        <w:t>s</w:t>
                      </w:r>
                      <w:r w:rsidR="004F1D13">
                        <w:rPr>
                          <w:b/>
                        </w:rPr>
                        <w:t xml:space="preserve">. </w:t>
                      </w:r>
                      <w:r w:rsidRPr="004F1D13" w:rsidR="004F1D13">
                        <w:rPr>
                          <w:bCs/>
                        </w:rPr>
                        <w:t xml:space="preserve">There are currently </w:t>
                      </w:r>
                      <w:r w:rsidRPr="004F1D13" w:rsidR="009B7807">
                        <w:rPr>
                          <w:bCs/>
                        </w:rPr>
                        <w:t>90</w:t>
                      </w:r>
                      <w:r w:rsidR="009B7807">
                        <w:rPr>
                          <w:bCs/>
                        </w:rPr>
                        <w:t> </w:t>
                      </w:r>
                      <w:r w:rsidRPr="004F1D13" w:rsidR="004F1D13">
                        <w:rPr>
                          <w:bCs/>
                        </w:rPr>
                        <w:t>grantees. There will be one survey response per grantee.</w:t>
                      </w:r>
                    </w:p>
                    <w:p w:rsidR="003E0F5E" w:rsidRPr="00433CFF" w:rsidP="00833EA4" w14:paraId="688FFC13" w14:textId="214BCA9A">
                      <w:pPr>
                        <w:ind w:left="0"/>
                      </w:pPr>
                      <w:r w:rsidRPr="00433CFF">
                        <w:rPr>
                          <w:b/>
                        </w:rPr>
                        <w:t>How data will be analyzed</w:t>
                      </w:r>
                      <w:r w:rsidRPr="00433CFF" w:rsidR="00184915">
                        <w:rPr>
                          <w:b/>
                        </w:rPr>
                        <w:t>:</w:t>
                      </w:r>
                      <w:r w:rsidRPr="00433CFF">
                        <w:rPr>
                          <w:b/>
                        </w:rPr>
                        <w:t xml:space="preserve"> </w:t>
                      </w:r>
                      <w:r w:rsidRPr="00501351" w:rsidR="00501351">
                        <w:rPr>
                          <w:bCs/>
                        </w:rPr>
                        <w:t xml:space="preserve">For quantitative </w:t>
                      </w:r>
                      <w:r w:rsidR="00372E36">
                        <w:rPr>
                          <w:bCs/>
                        </w:rPr>
                        <w:t>survey items</w:t>
                      </w:r>
                      <w:r w:rsidRPr="00501351" w:rsidR="00501351">
                        <w:rPr>
                          <w:bCs/>
                        </w:rPr>
                        <w:t xml:space="preserve">, we will </w:t>
                      </w:r>
                      <w:r w:rsidR="00501351">
                        <w:rPr>
                          <w:bCs/>
                        </w:rPr>
                        <w:t>report</w:t>
                      </w:r>
                      <w:r w:rsidRPr="00501351" w:rsidR="00501351">
                        <w:rPr>
                          <w:bCs/>
                        </w:rPr>
                        <w:t xml:space="preserve"> frequencies and means. For qualitative </w:t>
                      </w:r>
                      <w:r w:rsidR="00372E36">
                        <w:rPr>
                          <w:bCs/>
                        </w:rPr>
                        <w:t xml:space="preserve">open-ended </w:t>
                      </w:r>
                      <w:r w:rsidRPr="00501351" w:rsidR="00501351">
                        <w:rPr>
                          <w:bCs/>
                        </w:rPr>
                        <w:t xml:space="preserve">items, </w:t>
                      </w:r>
                      <w:r w:rsidR="002F3654">
                        <w:rPr>
                          <w:bCs/>
                        </w:rPr>
                        <w:t xml:space="preserve">text </w:t>
                      </w:r>
                      <w:r w:rsidRPr="00501351" w:rsidR="00501351">
                        <w:rPr>
                          <w:bCs/>
                        </w:rPr>
                        <w:t xml:space="preserve">responses will be analyzed to produce </w:t>
                      </w:r>
                      <w:r w:rsidR="001E532F">
                        <w:rPr>
                          <w:bCs/>
                        </w:rPr>
                        <w:t xml:space="preserve">a </w:t>
                      </w:r>
                      <w:r w:rsidRPr="00501351" w:rsidR="00501351">
                        <w:rPr>
                          <w:bCs/>
                        </w:rPr>
                        <w:t xml:space="preserve">summary </w:t>
                      </w:r>
                      <w:r w:rsidR="001E532F">
                        <w:rPr>
                          <w:bCs/>
                        </w:rPr>
                        <w:t xml:space="preserve">of </w:t>
                      </w:r>
                      <w:r w:rsidRPr="00501351" w:rsidR="00501351">
                        <w:rPr>
                          <w:bCs/>
                        </w:rPr>
                        <w:t>themes and key takeaways.</w:t>
                      </w:r>
                      <w:r w:rsidR="002F3654">
                        <w:rPr>
                          <w:bCs/>
                        </w:rPr>
                        <w:t xml:space="preserve"> Responses may be reported by grantee type as well (state vs. local).</w:t>
                      </w:r>
                    </w:p>
                  </w:txbxContent>
                </v:textbox>
                <w10:wrap type="none"/>
                <w10:anchorlock/>
              </v:shape>
            </w:pict>
          </mc:Fallback>
        </mc:AlternateContent>
      </w:r>
      <w:bookmarkEnd w:id="1"/>
      <w:bookmarkEnd w:id="2"/>
    </w:p>
    <w:p w:rsidR="00487937" w:rsidP="00651125" w14:paraId="49F95F2A" w14:textId="77777777"/>
    <w:p w:rsidR="00CD1EA8" w:rsidRPr="007D6163" w:rsidP="00CA5840" w14:paraId="7EC4A446" w14:textId="2C387DBD">
      <w:pPr>
        <w:pStyle w:val="Heading3"/>
        <w:ind w:left="0"/>
      </w:pPr>
      <w:bookmarkStart w:id="3" w:name="_Toc162967732"/>
      <w:r w:rsidRPr="007D6163">
        <w:t>Section A</w:t>
      </w:r>
      <w:r w:rsidRPr="007D6163" w:rsidR="00B12F51">
        <w:t xml:space="preserve"> – Justification</w:t>
      </w:r>
      <w:bookmarkEnd w:id="3"/>
    </w:p>
    <w:p w:rsidR="00B12F51" w:rsidP="007D6163" w14:paraId="58DEFF59" w14:textId="77777777"/>
    <w:p w:rsidR="00CD1EA8" w:rsidRPr="007D6163" w:rsidP="00692DEB" w14:paraId="7DF6E526" w14:textId="5D1F8F04">
      <w:pPr>
        <w:pStyle w:val="Heading4"/>
      </w:pPr>
      <w:bookmarkStart w:id="4" w:name="_Toc162967733"/>
      <w:r w:rsidRPr="00692DEB">
        <w:t>Circumstances</w:t>
      </w:r>
      <w:r w:rsidRPr="007D6163">
        <w:t xml:space="preserve"> Making the Collection of Information </w:t>
      </w:r>
      <w:r w:rsidRPr="00692DEB">
        <w:t>Necessary</w:t>
      </w:r>
      <w:bookmarkEnd w:id="4"/>
    </w:p>
    <w:p w:rsidR="00E33E1B" w:rsidRPr="007D6163" w:rsidP="007B7C44" w14:paraId="03C1F19F" w14:textId="77777777">
      <w:pPr>
        <w:pStyle w:val="Heading5"/>
        <w:spacing w:after="120"/>
        <w:ind w:left="360"/>
      </w:pPr>
      <w:r w:rsidRPr="008B12FA">
        <w:t>Background</w:t>
      </w:r>
    </w:p>
    <w:p w:rsidR="00FB19D8" w:rsidP="00FB19D8" w14:paraId="07A219C6" w14:textId="58870E8B">
      <w:pPr>
        <w:ind w:left="360"/>
      </w:pPr>
      <w:r w:rsidRPr="002929D3">
        <w:t xml:space="preserve">This information collection is being conducted using </w:t>
      </w:r>
      <w:r w:rsidR="009B7807">
        <w:t>Office of Management and Budget (</w:t>
      </w:r>
      <w:r w:rsidRPr="002929D3">
        <w:t>OMB</w:t>
      </w:r>
      <w:r w:rsidR="009B7807">
        <w:t>)</w:t>
      </w:r>
      <w:r w:rsidRPr="002929D3">
        <w:t xml:space="preserve"> No. 0920-0879 “Information Collections to Advance State, Tribal, Local and Territorial Governmental Agency System Performance, Capacity, and Program Delivery” nicknamed the “</w:t>
      </w:r>
      <w:r w:rsidR="006A455E">
        <w:t>STLT</w:t>
      </w:r>
      <w:r w:rsidRPr="002929D3">
        <w:t xml:space="preserve"> Generic.” </w:t>
      </w:r>
      <w:r w:rsidR="009252DC">
        <w:t xml:space="preserve">The respondent universe for this </w:t>
      </w:r>
      <w:r w:rsidR="00157413">
        <w:t xml:space="preserve">information collection aligns with that of the </w:t>
      </w:r>
      <w:r w:rsidR="004E047D">
        <w:t>STLT</w:t>
      </w:r>
      <w:r w:rsidR="00614CAE">
        <w:t xml:space="preserve"> Generic</w:t>
      </w:r>
      <w:r w:rsidR="00157413">
        <w:t>.</w:t>
      </w:r>
      <w:r w:rsidR="009252DC">
        <w:t xml:space="preserve"> </w:t>
      </w:r>
      <w:r w:rsidRPr="00711BFA" w:rsidR="0019164D">
        <w:t>Data will be collected from</w:t>
      </w:r>
      <w:r w:rsidR="0019164D">
        <w:t xml:space="preserve"> </w:t>
      </w:r>
      <w:r w:rsidRPr="00DC51F9" w:rsidR="002B3342">
        <w:t>90</w:t>
      </w:r>
      <w:r w:rsidRPr="00DC51F9" w:rsidR="0019164D">
        <w:t xml:space="preserve"> </w:t>
      </w:r>
      <w:r w:rsidRPr="00DC51F9" w:rsidR="00944D82">
        <w:t xml:space="preserve">respondents </w:t>
      </w:r>
      <w:r w:rsidRPr="00DC51F9" w:rsidR="0019164D">
        <w:t>across</w:t>
      </w:r>
      <w:r w:rsidRPr="00DC51F9" w:rsidR="001E7537">
        <w:t xml:space="preserve"> </w:t>
      </w:r>
      <w:r w:rsidRPr="00DC51F9" w:rsidR="002B3342">
        <w:t>all of the</w:t>
      </w:r>
      <w:r w:rsidRPr="00DC51F9" w:rsidR="001E7537">
        <w:t xml:space="preserve"> </w:t>
      </w:r>
      <w:r w:rsidR="000543BA">
        <w:t xml:space="preserve">Overdose Data to Action (OD2A) </w:t>
      </w:r>
      <w:r w:rsidR="00853B42">
        <w:t xml:space="preserve">grantee </w:t>
      </w:r>
      <w:r w:rsidR="00990A3E">
        <w:t>programs</w:t>
      </w:r>
      <w:r w:rsidRPr="00711BFA" w:rsidR="0019164D">
        <w:t>.</w:t>
      </w:r>
      <w:r w:rsidR="008B12FA">
        <w:t xml:space="preserve"> Respondents acting in their official capacities </w:t>
      </w:r>
      <w:r w:rsidRPr="008B12FA" w:rsidR="008B12FA">
        <w:t>include</w:t>
      </w:r>
      <w:r w:rsidRPr="008C4B74" w:rsidR="008C4B74">
        <w:t xml:space="preserve"> program director, program manager, communication manager, public health educator, grant coordinator, and outreach worker/manager.</w:t>
      </w:r>
    </w:p>
    <w:p w:rsidR="00687C5C" w:rsidP="00FB19D8" w14:paraId="24472B0E" w14:textId="77777777">
      <w:pPr>
        <w:ind w:left="360"/>
      </w:pPr>
    </w:p>
    <w:p w:rsidR="000543BA" w:rsidP="00A80EF2" w14:paraId="74D1B82E" w14:textId="6DB783F3">
      <w:pPr>
        <w:ind w:left="360"/>
        <w:rPr>
          <w:u w:val="single"/>
        </w:rPr>
      </w:pPr>
      <w:r>
        <w:t xml:space="preserve">The Centers for Disease Control and Prevention’s (CDC) </w:t>
      </w:r>
      <w:r w:rsidR="00687C5C">
        <w:t xml:space="preserve">National Center for Injury Prevention and Control (NCIPC), Division of Overdose Prevention (DOP) wants to </w:t>
      </w:r>
      <w:r w:rsidR="00072802">
        <w:t xml:space="preserve">assess </w:t>
      </w:r>
      <w:r w:rsidR="00687C5C">
        <w:t xml:space="preserve">the implementation of the Stop Overdose campaigns and materials among its </w:t>
      </w:r>
      <w:r w:rsidR="005E4816">
        <w:t>grantees</w:t>
      </w:r>
      <w:r w:rsidR="00687C5C">
        <w:t xml:space="preserve">. </w:t>
      </w:r>
      <w:r>
        <w:t>The CDC</w:t>
      </w:r>
      <w:r w:rsidR="00351B76">
        <w:t xml:space="preserve"> </w:t>
      </w:r>
      <w:r>
        <w:t xml:space="preserve">OD2A program supports jurisdictions in implementing </w:t>
      </w:r>
      <w:r w:rsidR="00351B76">
        <w:t>overdose-</w:t>
      </w:r>
      <w:r>
        <w:t xml:space="preserve">prevention activities and collecting data to enhance programmatic and surveillance efforts. The multiyear OD2A cooperative agreement was launched in 2019 with 66 recipients, including state, territorial, county, and city health departments. CDC awarded new 5-year cooperative agreements to </w:t>
      </w:r>
      <w:r w:rsidR="00351B76">
        <w:t>90 </w:t>
      </w:r>
      <w:r>
        <w:t>jurisdictions (state and local) in August 2023.</w:t>
      </w:r>
      <w:r w:rsidRPr="3F09BBBE">
        <w:rPr>
          <w:u w:val="single"/>
        </w:rPr>
        <w:t xml:space="preserve"> </w:t>
      </w:r>
    </w:p>
    <w:p w:rsidR="00A80EF2" w:rsidP="00477F87" w14:paraId="35D1845C" w14:textId="77777777">
      <w:pPr>
        <w:ind w:left="360"/>
      </w:pPr>
    </w:p>
    <w:p w:rsidR="00D41885" w:rsidP="00D41885" w14:paraId="059F3BFF" w14:textId="77777777"/>
    <w:p w:rsidR="009252DC" w:rsidP="00477F87" w14:paraId="55CEABDD" w14:textId="77777777">
      <w:pPr>
        <w:ind w:left="0"/>
      </w:pPr>
    </w:p>
    <w:p w:rsidR="001E7537" w:rsidRPr="00774689" w:rsidP="007B7C44" w14:paraId="74A425F5" w14:textId="1A004963">
      <w:pPr>
        <w:ind w:left="360"/>
        <w:rPr>
          <w:i/>
          <w:iCs/>
        </w:rPr>
      </w:pPr>
      <w:r>
        <w:t xml:space="preserve">This </w:t>
      </w:r>
      <w:r w:rsidR="00157413">
        <w:t>information collection</w:t>
      </w:r>
      <w:r>
        <w:t xml:space="preserve"> is authorized by Section 301 of the Public Health Service Act (</w:t>
      </w:r>
      <w:r w:rsidR="00351B76">
        <w:t>42 </w:t>
      </w:r>
      <w:r>
        <w:t xml:space="preserve">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sidRPr="00B43AFE">
        <w:rPr>
          <w:iCs/>
        </w:rPr>
        <w:t xml:space="preserve">of </w:t>
      </w:r>
    </w:p>
    <w:p w:rsidR="00350C8C" w:rsidRPr="00774689" w:rsidP="007B7C44" w14:paraId="58511EB0" w14:textId="77777777">
      <w:pPr>
        <w:ind w:left="360"/>
      </w:pPr>
    </w:p>
    <w:p w:rsidR="008750EA" w:rsidP="007B7C44" w14:paraId="4AE61227" w14:textId="77777777">
      <w:pPr>
        <w:ind w:left="360"/>
        <w:rPr>
          <w:rFonts w:ascii="Shruti" w:eastAsia="Times New Roman" w:hAnsi="Shruti" w:cs="Shruti"/>
          <w:sz w:val="16"/>
          <w:szCs w:val="14"/>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5"/>
      <w:r w:rsidRPr="00774689">
        <w:rPr>
          <w:rFonts w:ascii="Shruti" w:eastAsia="Times New Roman" w:hAnsi="Shruti" w:cs="Shruti"/>
          <w:sz w:val="16"/>
          <w:szCs w:val="14"/>
        </w:rPr>
        <w:t xml:space="preserve"> </w:t>
      </w:r>
      <w:r w:rsidRPr="00774689" w:rsidR="00F45451">
        <w:t xml:space="preserve">1. </w:t>
      </w:r>
      <w:r w:rsidRPr="00356270">
        <w:t>Assess and monitor population health status, factors that influence health, and community needs and assets</w:t>
      </w:r>
      <w:r w:rsidRPr="00774689">
        <w:rPr>
          <w:rFonts w:ascii="Shruti" w:eastAsia="Times New Roman" w:hAnsi="Shruti" w:cs="Shruti"/>
          <w:sz w:val="16"/>
          <w:szCs w:val="14"/>
        </w:rPr>
        <w:t xml:space="preserve"> </w:t>
      </w:r>
    </w:p>
    <w:p w:rsidR="00587C72" w:rsidRPr="00774689" w:rsidP="007B7C44" w14:paraId="6BD8B75F" w14:textId="4A9E05A5">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rsidR="00F45451">
        <w:t xml:space="preserve">2. </w:t>
      </w:r>
      <w:r w:rsidRPr="00356270" w:rsidR="008750EA">
        <w:t>Investigate, diagnose, and address health problems and hazards affecting the population</w:t>
      </w:r>
    </w:p>
    <w:p w:rsidR="008750EA" w:rsidP="007B7C44" w14:paraId="277B990A" w14:textId="5C74E6D5">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sidR="00B63CF3">
        <w:rPr>
          <w:rFonts w:ascii="Shruti" w:eastAsia="Times New Roman" w:hAnsi="Shruti" w:cs="Shruti"/>
          <w:sz w:val="16"/>
          <w:szCs w:val="14"/>
        </w:rPr>
        <w:t xml:space="preserve"> </w:t>
      </w:r>
      <w:r w:rsidRPr="00774689" w:rsidR="00F45451">
        <w:t xml:space="preserve">3. </w:t>
      </w:r>
      <w:r w:rsidRPr="00356270">
        <w:t>Communicate effectively to inform and educate people about health, factors that influence it, and how to improve it</w:t>
      </w:r>
    </w:p>
    <w:p w:rsidR="008750EA" w:rsidP="007B7C44" w14:paraId="3BDD9F08" w14:textId="77777777">
      <w:pPr>
        <w:ind w:left="360"/>
        <w:rPr>
          <w:rFonts w:ascii="Shruti" w:eastAsia="Times New Roman" w:hAnsi="Shruti" w:cs="Shruti"/>
          <w:sz w:val="16"/>
          <w:szCs w:val="14"/>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rsidR="00481D80">
        <w:t xml:space="preserve">4. </w:t>
      </w:r>
      <w:r w:rsidRPr="00356270">
        <w:t>Strengthen, support, and mobilize communities and partnerships to improve health</w:t>
      </w:r>
      <w:r w:rsidRPr="00774689">
        <w:rPr>
          <w:rFonts w:ascii="Shruti" w:eastAsia="Times New Roman" w:hAnsi="Shruti" w:cs="Shruti"/>
          <w:sz w:val="16"/>
          <w:szCs w:val="14"/>
        </w:rPr>
        <w:t xml:space="preserve"> </w:t>
      </w:r>
    </w:p>
    <w:p w:rsidR="00587C72" w:rsidRPr="00774689" w:rsidP="008750EA" w14:paraId="1852C8E7" w14:textId="1A06F5F0">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rsidR="00481D80">
        <w:t xml:space="preserve">5. </w:t>
      </w:r>
      <w:r w:rsidRPr="00356270" w:rsidR="008750EA">
        <w:t>Create, champion, and implement policies, plans, and laws that impact health</w:t>
      </w:r>
    </w:p>
    <w:p w:rsidR="008750EA" w:rsidP="7A3BBF7B" w14:paraId="4D04253F" w14:textId="55F9FAB5">
      <w:pPr>
        <w:ind w:left="360"/>
        <w:rPr>
          <w:rFonts w:ascii="Shruti" w:eastAsia="Times New Roman" w:hAnsi="Shruti" w:cs="Shruti"/>
          <w:sz w:val="16"/>
          <w:szCs w:val="16"/>
        </w:rPr>
      </w:pPr>
      <w:r w:rsidRPr="00774689">
        <w:rPr>
          <w:rFonts w:ascii="Shruti" w:eastAsia="Times New Roman" w:hAnsi="Shruti" w:cs="Shruti"/>
          <w:sz w:val="16"/>
          <w:szCs w:val="16"/>
        </w:rPr>
        <w:fldChar w:fldCharType="begin">
          <w:ffData>
            <w:name w:val="Check25"/>
            <w:enabled/>
            <w:calcOnExit w:val="0"/>
            <w:checkBox>
              <w:sizeAuto/>
              <w:default w:val="0"/>
            </w:checkBox>
          </w:ffData>
        </w:fldChar>
      </w:r>
      <w:r w:rsidRPr="00774689">
        <w:rPr>
          <w:rFonts w:ascii="Shruti" w:eastAsia="Times New Roman" w:hAnsi="Shruti" w:cs="Shruti"/>
          <w:sz w:val="16"/>
          <w:szCs w:val="16"/>
        </w:rPr>
        <w:instrText xml:space="preserve"> FORMCHECKBOX </w:instrText>
      </w:r>
      <w:r w:rsidR="0001017E">
        <w:rPr>
          <w:rFonts w:ascii="Shruti" w:eastAsia="Times New Roman" w:hAnsi="Shruti" w:cs="Shruti"/>
          <w:sz w:val="16"/>
          <w:szCs w:val="16"/>
        </w:rPr>
        <w:fldChar w:fldCharType="separate"/>
      </w:r>
      <w:r w:rsidRPr="00774689">
        <w:rPr>
          <w:rFonts w:ascii="Shruti" w:eastAsia="Times New Roman" w:hAnsi="Shruti" w:cs="Shruti"/>
          <w:sz w:val="16"/>
          <w:szCs w:val="16"/>
        </w:rPr>
        <w:fldChar w:fldCharType="end"/>
      </w:r>
      <w:r w:rsidRPr="00774689">
        <w:rPr>
          <w:rFonts w:ascii="Shruti" w:eastAsia="Times New Roman" w:hAnsi="Shruti" w:cs="Shruti"/>
          <w:sz w:val="16"/>
          <w:szCs w:val="16"/>
        </w:rPr>
        <w:t xml:space="preserve"> </w:t>
      </w:r>
      <w:r w:rsidRPr="00774689" w:rsidR="00481D80">
        <w:t xml:space="preserve">6. </w:t>
      </w:r>
      <w:r w:rsidRPr="00356270">
        <w:t>Utilize legal and regulatory actions designed to improve and protect the public’s health</w:t>
      </w:r>
      <w:r w:rsidRPr="00774689">
        <w:rPr>
          <w:rFonts w:ascii="Shruti" w:eastAsia="Times New Roman" w:hAnsi="Shruti" w:cs="Shruti"/>
          <w:sz w:val="16"/>
          <w:szCs w:val="16"/>
        </w:rPr>
        <w:t xml:space="preserve"> </w:t>
      </w:r>
      <w:r w:rsidRPr="00774689">
        <w:rPr>
          <w:rFonts w:ascii="Shruti" w:eastAsia="Times New Roman" w:hAnsi="Shruti" w:cs="Shruti"/>
          <w:sz w:val="16"/>
          <w:szCs w:val="16"/>
        </w:rPr>
        <w:fldChar w:fldCharType="begin">
          <w:ffData>
            <w:name w:val="Check25"/>
            <w:enabled/>
            <w:calcOnExit w:val="0"/>
            <w:checkBox>
              <w:sizeAuto/>
              <w:default w:val="0"/>
            </w:checkBox>
          </w:ffData>
        </w:fldChar>
      </w:r>
      <w:r w:rsidRPr="00774689">
        <w:rPr>
          <w:rFonts w:ascii="Shruti" w:eastAsia="Times New Roman" w:hAnsi="Shruti" w:cs="Shruti"/>
          <w:sz w:val="16"/>
          <w:szCs w:val="16"/>
        </w:rPr>
        <w:instrText xml:space="preserve"> FORMCHECKBOX </w:instrText>
      </w:r>
      <w:r w:rsidR="0001017E">
        <w:rPr>
          <w:rFonts w:ascii="Shruti" w:eastAsia="Times New Roman" w:hAnsi="Shruti" w:cs="Shruti"/>
          <w:sz w:val="16"/>
          <w:szCs w:val="16"/>
        </w:rPr>
        <w:fldChar w:fldCharType="separate"/>
      </w:r>
      <w:r w:rsidRPr="00774689">
        <w:rPr>
          <w:rFonts w:ascii="Shruti" w:eastAsia="Times New Roman" w:hAnsi="Shruti" w:cs="Shruti"/>
          <w:sz w:val="16"/>
          <w:szCs w:val="16"/>
        </w:rPr>
        <w:fldChar w:fldCharType="end"/>
      </w:r>
      <w:r w:rsidRPr="00774689">
        <w:rPr>
          <w:rFonts w:ascii="Shruti" w:eastAsia="Times New Roman" w:hAnsi="Shruti" w:cs="Shruti"/>
          <w:sz w:val="16"/>
          <w:szCs w:val="16"/>
        </w:rPr>
        <w:t xml:space="preserve"> </w:t>
      </w:r>
    </w:p>
    <w:p w:rsidR="008750EA" w:rsidP="008750EA" w14:paraId="6E10E8B8" w14:textId="0163D2EF">
      <w:pPr>
        <w:ind w:left="360"/>
        <w:rPr>
          <w:rFonts w:ascii="Shruti" w:eastAsia="Times New Roman" w:hAnsi="Shruti" w:cs="Shruti"/>
          <w:sz w:val="16"/>
          <w:szCs w:val="16"/>
        </w:rPr>
      </w:pPr>
      <w:r w:rsidRPr="00774689">
        <w:t xml:space="preserve">7. </w:t>
      </w:r>
      <w:r w:rsidRPr="00356270">
        <w:t>Assure an effective system that enables equitable access to the individual services and care needed to be healthy</w:t>
      </w:r>
      <w:r w:rsidRPr="00774689">
        <w:rPr>
          <w:rFonts w:ascii="Shruti" w:eastAsia="Times New Roman" w:hAnsi="Shruti" w:cs="Shruti"/>
          <w:sz w:val="16"/>
          <w:szCs w:val="16"/>
        </w:rPr>
        <w:t xml:space="preserve"> </w:t>
      </w:r>
    </w:p>
    <w:p w:rsidR="00587C72" w:rsidRPr="00774689" w:rsidP="008750EA" w14:paraId="31A2189B" w14:textId="16D4CFE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rsidR="00481D80">
        <w:t xml:space="preserve">8. </w:t>
      </w:r>
      <w:r w:rsidRPr="00356270" w:rsidR="008750EA">
        <w:t>Build and support a diverse and skilled public health workforce</w:t>
      </w:r>
    </w:p>
    <w:p w:rsidR="008750EA" w:rsidP="008750EA" w14:paraId="53B5DA76" w14:textId="13E73298">
      <w:pPr>
        <w:ind w:left="360"/>
        <w:rPr>
          <w:rFonts w:ascii="Shruti" w:eastAsia="Times New Roman" w:hAnsi="Shruti" w:cs="Shruti"/>
          <w:sz w:val="16"/>
          <w:szCs w:val="14"/>
        </w:rPr>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sidR="00B63CF3">
        <w:rPr>
          <w:rFonts w:ascii="Shruti" w:eastAsia="Times New Roman" w:hAnsi="Shruti" w:cs="Shruti"/>
          <w:sz w:val="16"/>
          <w:szCs w:val="14"/>
        </w:rPr>
        <w:t xml:space="preserve"> </w:t>
      </w:r>
      <w:r w:rsidRPr="00774689" w:rsidR="00481D80">
        <w:t xml:space="preserve">9. </w:t>
      </w:r>
      <w:r w:rsidRPr="00356270">
        <w:t>Improve and innovate public health functions through ongoing evaluation, research, and continuous quality improvement</w:t>
      </w:r>
      <w:r w:rsidRPr="00774689">
        <w:rPr>
          <w:rFonts w:ascii="Shruti" w:eastAsia="Times New Roman" w:hAnsi="Shruti" w:cs="Shruti"/>
          <w:sz w:val="16"/>
          <w:szCs w:val="14"/>
        </w:rPr>
        <w:t xml:space="preserve"> </w:t>
      </w:r>
    </w:p>
    <w:p w:rsidR="00481D80" w:rsidP="008750EA" w14:paraId="0D81D7FF" w14:textId="03C1FF4D">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1017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10. </w:t>
      </w:r>
      <w:r w:rsidRPr="00356270" w:rsidR="008750EA">
        <w:t>Build and maintain a strong organizational infrastructure for public health</w:t>
      </w:r>
      <w:r w:rsidRPr="00774689" w:rsidR="008750EA">
        <w:rPr>
          <w:iCs/>
          <w:vertAlign w:val="superscript"/>
        </w:rPr>
        <w:t>1</w:t>
      </w:r>
    </w:p>
    <w:p w:rsidR="00AB5EDC" w:rsidP="001B5045" w14:paraId="61655C87" w14:textId="77777777">
      <w:pPr>
        <w:pStyle w:val="Normal2"/>
        <w:rPr>
          <w:rFonts w:asciiTheme="majorHAnsi" w:hAnsiTheme="majorHAnsi"/>
          <w:lang w:eastAsia="en-GB"/>
        </w:rPr>
      </w:pPr>
    </w:p>
    <w:p w:rsidR="00DC2797" w:rsidP="005E2133" w14:paraId="519B2B6D" w14:textId="301E436F">
      <w:pPr>
        <w:ind w:left="360"/>
        <w:rPr>
          <w:lang w:eastAsia="en-GB"/>
        </w:rPr>
      </w:pPr>
      <w:r w:rsidRPr="005570F2">
        <w:t>Drug overdoses are one of the leading causes of injury death in adults and have risen over the past several decades in the United States.</w:t>
      </w:r>
      <w:r w:rsidR="009C5502">
        <w:rPr>
          <w:vertAlign w:val="superscript"/>
        </w:rPr>
        <w:t>2</w:t>
      </w:r>
      <w:r w:rsidR="008F2713">
        <w:rPr>
          <w:vertAlign w:val="superscript"/>
        </w:rPr>
        <w:t>–</w:t>
      </w:r>
      <w:r w:rsidR="009C5502">
        <w:rPr>
          <w:vertAlign w:val="superscript"/>
        </w:rPr>
        <w:t>4</w:t>
      </w:r>
      <w:r w:rsidRPr="005570F2">
        <w:t xml:space="preserve"> </w:t>
      </w:r>
      <w:r>
        <w:t>H</w:t>
      </w:r>
      <w:r w:rsidRPr="005570F2">
        <w:rPr>
          <w:rFonts w:eastAsia="Calibri" w:cs="Calibri"/>
          <w:color w:val="222222"/>
          <w:highlight w:val="white"/>
        </w:rPr>
        <w:t xml:space="preserve">ealth education campaigns that harness mass media are effective at supporting behavior change for substance use and illicit drug use, </w:t>
      </w:r>
      <w:r>
        <w:rPr>
          <w:rFonts w:eastAsia="Calibri" w:cs="Calibri"/>
          <w:color w:val="222222"/>
          <w:highlight w:val="white"/>
        </w:rPr>
        <w:t>but</w:t>
      </w:r>
      <w:r w:rsidRPr="005570F2">
        <w:rPr>
          <w:rFonts w:eastAsia="Calibri" w:cs="Calibri"/>
          <w:color w:val="222222"/>
          <w:highlight w:val="white"/>
        </w:rPr>
        <w:t xml:space="preserve"> more evidence is needed.</w:t>
      </w:r>
      <w:r w:rsidR="009C5502">
        <w:rPr>
          <w:rFonts w:eastAsia="Calibri" w:cs="Calibri"/>
          <w:color w:val="222222"/>
          <w:highlight w:val="white"/>
          <w:vertAlign w:val="superscript"/>
        </w:rPr>
        <w:t>5</w:t>
      </w:r>
      <w:r w:rsidRPr="005570F2">
        <w:rPr>
          <w:rFonts w:eastAsia="Calibri" w:cs="Calibri"/>
          <w:color w:val="222222"/>
          <w:highlight w:val="white"/>
        </w:rPr>
        <w:t xml:space="preserve"> </w:t>
      </w:r>
      <w:r w:rsidRPr="005570F2">
        <w:t>S</w:t>
      </w:r>
      <w:r w:rsidRPr="005570F2">
        <w:rPr>
          <w:lang w:eastAsia="en-GB"/>
        </w:rPr>
        <w:t xml:space="preserve">tate </w:t>
      </w:r>
      <w:r w:rsidR="006632CE">
        <w:rPr>
          <w:lang w:eastAsia="en-GB"/>
        </w:rPr>
        <w:t xml:space="preserve">health departments, </w:t>
      </w:r>
      <w:r w:rsidRPr="005570F2">
        <w:rPr>
          <w:lang w:eastAsia="en-GB"/>
        </w:rPr>
        <w:t xml:space="preserve">local health departments, and community-based organizations are </w:t>
      </w:r>
      <w:r>
        <w:rPr>
          <w:lang w:eastAsia="en-GB"/>
        </w:rPr>
        <w:t xml:space="preserve">critical </w:t>
      </w:r>
      <w:r w:rsidR="00B93968">
        <w:rPr>
          <w:lang w:eastAsia="en-GB"/>
        </w:rPr>
        <w:t>to</w:t>
      </w:r>
      <w:r w:rsidRPr="005570F2">
        <w:rPr>
          <w:lang w:eastAsia="en-GB"/>
        </w:rPr>
        <w:t xml:space="preserve"> promoting information to raise awareness about the</w:t>
      </w:r>
      <w:r>
        <w:rPr>
          <w:lang w:eastAsia="en-GB"/>
        </w:rPr>
        <w:t xml:space="preserve"> dangers of </w:t>
      </w:r>
      <w:r w:rsidRPr="005570F2">
        <w:rPr>
          <w:lang w:eastAsia="en-GB"/>
        </w:rPr>
        <w:t xml:space="preserve">drug overdose. </w:t>
      </w:r>
      <w:r w:rsidR="0033234C">
        <w:rPr>
          <w:lang w:eastAsia="en-GB"/>
        </w:rPr>
        <w:t>However, s</w:t>
      </w:r>
      <w:r w:rsidR="00140A45">
        <w:rPr>
          <w:lang w:eastAsia="en-GB"/>
        </w:rPr>
        <w:t xml:space="preserve">tate and local agencies often lack the </w:t>
      </w:r>
      <w:r w:rsidR="00976014">
        <w:rPr>
          <w:lang w:eastAsia="en-GB"/>
        </w:rPr>
        <w:t>resources to design, develop, implement</w:t>
      </w:r>
      <w:r w:rsidR="00E17DEA">
        <w:rPr>
          <w:lang w:eastAsia="en-GB"/>
        </w:rPr>
        <w:t xml:space="preserve">, and </w:t>
      </w:r>
      <w:r w:rsidR="003626F4">
        <w:rPr>
          <w:lang w:eastAsia="en-GB"/>
        </w:rPr>
        <w:t>evaluate</w:t>
      </w:r>
      <w:r w:rsidR="00E17DEA">
        <w:rPr>
          <w:lang w:eastAsia="en-GB"/>
        </w:rPr>
        <w:t xml:space="preserve"> health communication </w:t>
      </w:r>
      <w:r w:rsidRPr="00055372" w:rsidR="00E17DEA">
        <w:rPr>
          <w:lang w:eastAsia="en-GB"/>
        </w:rPr>
        <w:t xml:space="preserve">campaigns. </w:t>
      </w:r>
      <w:r w:rsidRPr="00055372" w:rsidR="003626F4">
        <w:rPr>
          <w:lang w:eastAsia="en-GB"/>
        </w:rPr>
        <w:t>Providing</w:t>
      </w:r>
      <w:r w:rsidRPr="00055372" w:rsidR="0009068E">
        <w:rPr>
          <w:lang w:eastAsia="en-GB"/>
        </w:rPr>
        <w:t xml:space="preserve"> </w:t>
      </w:r>
      <w:r w:rsidRPr="00055372" w:rsidR="004C05D2">
        <w:rPr>
          <w:lang w:eastAsia="en-GB"/>
        </w:rPr>
        <w:t>turnkey</w:t>
      </w:r>
      <w:r w:rsidRPr="00055372" w:rsidR="0009068E">
        <w:rPr>
          <w:lang w:eastAsia="en-GB"/>
        </w:rPr>
        <w:t xml:space="preserve"> (</w:t>
      </w:r>
      <w:r w:rsidRPr="00055372" w:rsidR="00351B76">
        <w:rPr>
          <w:lang w:eastAsia="en-GB"/>
        </w:rPr>
        <w:t xml:space="preserve">i.e., </w:t>
      </w:r>
      <w:r w:rsidRPr="00055372" w:rsidR="0009068E">
        <w:rPr>
          <w:lang w:eastAsia="en-GB"/>
        </w:rPr>
        <w:t>ready-made) campaigns</w:t>
      </w:r>
      <w:r w:rsidRPr="00055372" w:rsidR="005927B7">
        <w:rPr>
          <w:lang w:eastAsia="en-GB"/>
        </w:rPr>
        <w:t xml:space="preserve"> like the</w:t>
      </w:r>
      <w:r w:rsidRPr="00055372" w:rsidR="00A8143F">
        <w:rPr>
          <w:lang w:eastAsia="en-GB"/>
        </w:rPr>
        <w:t xml:space="preserve"> CDC</w:t>
      </w:r>
      <w:r w:rsidRPr="00055372" w:rsidR="005927B7">
        <w:rPr>
          <w:lang w:eastAsia="en-GB"/>
        </w:rPr>
        <w:t xml:space="preserve"> Stop Overdose </w:t>
      </w:r>
      <w:r w:rsidRPr="00055372" w:rsidR="008F2713">
        <w:rPr>
          <w:lang w:eastAsia="en-GB"/>
        </w:rPr>
        <w:t>campaigns</w:t>
      </w:r>
      <w:r w:rsidRPr="00055372" w:rsidR="0009068E">
        <w:rPr>
          <w:lang w:eastAsia="en-GB"/>
        </w:rPr>
        <w:t xml:space="preserve"> can </w:t>
      </w:r>
      <w:r w:rsidRPr="00055372" w:rsidR="00CF6BDC">
        <w:rPr>
          <w:lang w:eastAsia="en-GB"/>
        </w:rPr>
        <w:t xml:space="preserve">improve agency and system efforts related to drug overdose prevention </w:t>
      </w:r>
      <w:r w:rsidRPr="00055372" w:rsidR="004D1019">
        <w:rPr>
          <w:lang w:eastAsia="en-GB"/>
        </w:rPr>
        <w:t xml:space="preserve">through </w:t>
      </w:r>
      <w:r w:rsidRPr="00055372" w:rsidR="004C05D2">
        <w:rPr>
          <w:lang w:eastAsia="en-GB"/>
        </w:rPr>
        <w:t xml:space="preserve">the </w:t>
      </w:r>
      <w:r w:rsidRPr="00055372" w:rsidR="004D1019">
        <w:rPr>
          <w:lang w:eastAsia="en-GB"/>
        </w:rPr>
        <w:t>provision of</w:t>
      </w:r>
      <w:r w:rsidRPr="00055372" w:rsidR="003514C6">
        <w:rPr>
          <w:lang w:eastAsia="en-GB"/>
        </w:rPr>
        <w:t xml:space="preserve"> tested </w:t>
      </w:r>
      <w:r w:rsidRPr="00055372" w:rsidR="00111C20">
        <w:rPr>
          <w:lang w:eastAsia="en-GB"/>
        </w:rPr>
        <w:t>campaign</w:t>
      </w:r>
      <w:r w:rsidRPr="00055372" w:rsidR="003514C6">
        <w:rPr>
          <w:lang w:eastAsia="en-GB"/>
        </w:rPr>
        <w:t xml:space="preserve"> materials</w:t>
      </w:r>
      <w:r w:rsidRPr="00055372" w:rsidR="00A8143F">
        <w:rPr>
          <w:lang w:eastAsia="en-GB"/>
        </w:rPr>
        <w:t xml:space="preserve"> that are</w:t>
      </w:r>
      <w:r w:rsidRPr="00055372" w:rsidR="00CF6BDC">
        <w:rPr>
          <w:lang w:eastAsia="en-GB"/>
        </w:rPr>
        <w:t xml:space="preserve"> developed using evidence</w:t>
      </w:r>
      <w:r w:rsidRPr="00055372" w:rsidR="004C05D2">
        <w:rPr>
          <w:lang w:eastAsia="en-GB"/>
        </w:rPr>
        <w:t>-b</w:t>
      </w:r>
      <w:r w:rsidRPr="00055372" w:rsidR="00CF6BDC">
        <w:rPr>
          <w:lang w:eastAsia="en-GB"/>
        </w:rPr>
        <w:t xml:space="preserve">ased </w:t>
      </w:r>
      <w:r w:rsidRPr="00055372" w:rsidR="004C05D2">
        <w:rPr>
          <w:lang w:eastAsia="en-GB"/>
        </w:rPr>
        <w:t>health communication practices</w:t>
      </w:r>
      <w:r w:rsidRPr="00055372" w:rsidR="009D1A8F">
        <w:rPr>
          <w:lang w:eastAsia="en-GB"/>
        </w:rPr>
        <w:t>.</w:t>
      </w:r>
      <w:r w:rsidR="000D4542">
        <w:rPr>
          <w:lang w:eastAsia="en-GB"/>
        </w:rPr>
        <w:t xml:space="preserve"> </w:t>
      </w:r>
    </w:p>
    <w:p w:rsidR="00DC2797" w:rsidP="005E2133" w14:paraId="011FE689" w14:textId="77777777">
      <w:pPr>
        <w:ind w:left="360"/>
        <w:rPr>
          <w:lang w:eastAsia="en-GB"/>
        </w:rPr>
      </w:pPr>
    </w:p>
    <w:p w:rsidR="005E2133" w:rsidP="005E2133" w14:paraId="2881541B" w14:textId="214BB690">
      <w:pPr>
        <w:ind w:left="360"/>
        <w:rPr>
          <w:lang w:eastAsia="en-GB"/>
        </w:rPr>
      </w:pPr>
      <w:r w:rsidRPr="3F09BBBE">
        <w:rPr>
          <w:lang w:eastAsia="en-GB"/>
        </w:rPr>
        <w:t xml:space="preserve">CDC assists </w:t>
      </w:r>
      <w:r w:rsidRPr="3F09BBBE" w:rsidR="00C1779B">
        <w:rPr>
          <w:lang w:eastAsia="en-GB"/>
        </w:rPr>
        <w:t>O</w:t>
      </w:r>
      <w:r w:rsidRPr="3F09BBBE">
        <w:rPr>
          <w:lang w:eastAsia="en-GB"/>
        </w:rPr>
        <w:t xml:space="preserve">D2A </w:t>
      </w:r>
      <w:r w:rsidRPr="3F09BBBE" w:rsidR="002F60AA">
        <w:rPr>
          <w:lang w:eastAsia="en-GB"/>
        </w:rPr>
        <w:t xml:space="preserve">grantees </w:t>
      </w:r>
      <w:r w:rsidRPr="3F09BBBE">
        <w:rPr>
          <w:lang w:eastAsia="en-GB"/>
        </w:rPr>
        <w:t>with media materials upon request</w:t>
      </w:r>
      <w:r w:rsidRPr="3F09BBBE">
        <w:rPr>
          <w:lang w:eastAsia="en-GB"/>
        </w:rPr>
        <w:t>, i</w:t>
      </w:r>
      <w:r w:rsidRPr="3F09BBBE">
        <w:rPr>
          <w:lang w:eastAsia="en-GB"/>
        </w:rPr>
        <w:t xml:space="preserve">ncluding resource sharing, planning support, consultation, resizing, and content review. </w:t>
      </w:r>
      <w:r w:rsidRPr="3F09BBBE">
        <w:rPr>
          <w:lang w:eastAsia="en-GB"/>
        </w:rPr>
        <w:t xml:space="preserve">This assistance develops capacity through delivery mechanisms, including </w:t>
      </w:r>
      <w:r w:rsidRPr="3F09BBBE" w:rsidR="00A8143F">
        <w:rPr>
          <w:lang w:eastAsia="en-GB"/>
        </w:rPr>
        <w:t xml:space="preserve">technical assistance </w:t>
      </w:r>
      <w:r w:rsidRPr="3F09BBBE">
        <w:rPr>
          <w:lang w:eastAsia="en-GB"/>
        </w:rPr>
        <w:t>(consultation and services), training (skills building), technology</w:t>
      </w:r>
      <w:r w:rsidRPr="3F09BBBE" w:rsidR="00A8143F">
        <w:rPr>
          <w:lang w:eastAsia="en-GB"/>
        </w:rPr>
        <w:t>,</w:t>
      </w:r>
      <w:r w:rsidRPr="3F09BBBE">
        <w:rPr>
          <w:lang w:eastAsia="en-GB"/>
        </w:rPr>
        <w:t xml:space="preserve"> and information transfer.</w:t>
      </w:r>
      <w:r w:rsidRPr="3F09BBBE" w:rsidR="005927B7">
        <w:rPr>
          <w:lang w:eastAsia="en-GB"/>
        </w:rPr>
        <w:t xml:space="preserve"> </w:t>
      </w:r>
      <w:r w:rsidRPr="3F09BBBE" w:rsidR="00A8143F">
        <w:rPr>
          <w:lang w:eastAsia="en-GB"/>
        </w:rPr>
        <w:t xml:space="preserve">OD2A </w:t>
      </w:r>
      <w:r w:rsidRPr="3F09BBBE" w:rsidR="0045242E">
        <w:rPr>
          <w:lang w:eastAsia="en-GB"/>
        </w:rPr>
        <w:t xml:space="preserve">grantees </w:t>
      </w:r>
      <w:r w:rsidRPr="3F09BBBE" w:rsidR="005927B7">
        <w:rPr>
          <w:lang w:eastAsia="en-GB"/>
        </w:rPr>
        <w:t>are allowed to create their own materials and are strongly encouraged to disseminate CDC-developed resources.</w:t>
      </w:r>
    </w:p>
    <w:p w:rsidR="005E2133" w:rsidP="005E2133" w14:paraId="5C9B3281" w14:textId="77777777">
      <w:pPr>
        <w:ind w:left="360"/>
        <w:rPr>
          <w:lang w:eastAsia="en-GB"/>
        </w:rPr>
      </w:pPr>
    </w:p>
    <w:p w:rsidR="00406FA1" w:rsidP="00406FA1" w14:paraId="0F781D98" w14:textId="59008769">
      <w:pPr>
        <w:ind w:left="360"/>
        <w:rPr>
          <w:lang w:eastAsia="en-GB"/>
        </w:rPr>
      </w:pPr>
      <w:r w:rsidRPr="3F09BBBE">
        <w:rPr>
          <w:lang w:eastAsia="en-GB"/>
        </w:rPr>
        <w:t>After</w:t>
      </w:r>
      <w:r w:rsidRPr="3F09BBBE" w:rsidR="005E2133">
        <w:rPr>
          <w:lang w:eastAsia="en-GB"/>
        </w:rPr>
        <w:t xml:space="preserve"> </w:t>
      </w:r>
      <w:r w:rsidRPr="3F09BBBE">
        <w:rPr>
          <w:lang w:eastAsia="en-GB"/>
        </w:rPr>
        <w:t xml:space="preserve">more than </w:t>
      </w:r>
      <w:r w:rsidRPr="3F09BBBE" w:rsidR="007130C3">
        <w:rPr>
          <w:lang w:eastAsia="en-GB"/>
        </w:rPr>
        <w:t xml:space="preserve">2 </w:t>
      </w:r>
      <w:r w:rsidRPr="3F09BBBE" w:rsidR="005E2133">
        <w:rPr>
          <w:lang w:eastAsia="en-GB"/>
        </w:rPr>
        <w:t xml:space="preserve">years </w:t>
      </w:r>
      <w:r w:rsidRPr="3F09BBBE">
        <w:rPr>
          <w:lang w:eastAsia="en-GB"/>
        </w:rPr>
        <w:t xml:space="preserve">of </w:t>
      </w:r>
      <w:r w:rsidRPr="3F09BBBE" w:rsidR="005E2133">
        <w:rPr>
          <w:lang w:eastAsia="en-GB"/>
        </w:rPr>
        <w:t>implementation</w:t>
      </w:r>
      <w:r w:rsidRPr="3F09BBBE" w:rsidR="00F2497D">
        <w:rPr>
          <w:lang w:eastAsia="en-GB"/>
        </w:rPr>
        <w:t>,</w:t>
      </w:r>
      <w:r w:rsidRPr="3F09BBBE" w:rsidR="005E2133">
        <w:rPr>
          <w:lang w:eastAsia="en-GB"/>
        </w:rPr>
        <w:t xml:space="preserve"> there is a need to assess </w:t>
      </w:r>
      <w:r w:rsidRPr="3F09BBBE" w:rsidR="005E4816">
        <w:rPr>
          <w:lang w:eastAsia="en-GB"/>
        </w:rPr>
        <w:t xml:space="preserve">grantee </w:t>
      </w:r>
      <w:r w:rsidRPr="3F09BBBE" w:rsidR="005E2133">
        <w:rPr>
          <w:lang w:eastAsia="en-GB"/>
        </w:rPr>
        <w:t xml:space="preserve">implementation of the Stop Overdose campaigns and how the </w:t>
      </w:r>
      <w:r w:rsidRPr="3F09BBBE" w:rsidR="00F2497D">
        <w:rPr>
          <w:lang w:eastAsia="en-GB"/>
        </w:rPr>
        <w:t xml:space="preserve">campaigns support </w:t>
      </w:r>
      <w:r w:rsidRPr="3F09BBBE" w:rsidR="001D3ECB">
        <w:rPr>
          <w:lang w:eastAsia="en-GB"/>
        </w:rPr>
        <w:t>OD2A</w:t>
      </w:r>
      <w:r w:rsidRPr="3F09BBBE" w:rsidR="005E2133">
        <w:rPr>
          <w:lang w:eastAsia="en-GB"/>
        </w:rPr>
        <w:t xml:space="preserve"> </w:t>
      </w:r>
      <w:r w:rsidRPr="3F09BBBE" w:rsidR="0045242E">
        <w:rPr>
          <w:lang w:eastAsia="en-GB"/>
        </w:rPr>
        <w:t xml:space="preserve">grantees </w:t>
      </w:r>
      <w:r w:rsidRPr="3F09BBBE" w:rsidR="005E2133">
        <w:rPr>
          <w:lang w:eastAsia="en-GB"/>
        </w:rPr>
        <w:t>in conducting their public health essential services</w:t>
      </w:r>
      <w:r w:rsidRPr="3F09BBBE" w:rsidR="001D3ECB">
        <w:rPr>
          <w:lang w:eastAsia="en-GB"/>
        </w:rPr>
        <w:t xml:space="preserve"> as related to drug overdose prevention communication</w:t>
      </w:r>
      <w:r w:rsidRPr="3F09BBBE" w:rsidR="005E2133">
        <w:rPr>
          <w:lang w:eastAsia="en-GB"/>
        </w:rPr>
        <w:t xml:space="preserve">.  </w:t>
      </w:r>
    </w:p>
    <w:p w:rsidR="009D4BC8" w:rsidP="00406FA1" w14:paraId="1593E768" w14:textId="77777777">
      <w:pPr>
        <w:ind w:left="360"/>
        <w:rPr>
          <w:lang w:eastAsia="en-GB"/>
        </w:rPr>
      </w:pPr>
    </w:p>
    <w:p w:rsidR="009D4BC8" w:rsidP="00406FA1" w14:paraId="37770496" w14:textId="12CA8272">
      <w:pPr>
        <w:ind w:left="360"/>
        <w:rPr>
          <w:lang w:eastAsia="en-GB"/>
        </w:rPr>
      </w:pPr>
      <w:r w:rsidRPr="3F09BBBE">
        <w:rPr>
          <w:lang w:eastAsia="en-GB"/>
        </w:rPr>
        <w:t>The</w:t>
      </w:r>
      <w:r w:rsidRPr="3F09BBBE" w:rsidR="00A26292">
        <w:rPr>
          <w:lang w:eastAsia="en-GB"/>
        </w:rPr>
        <w:t xml:space="preserve"> </w:t>
      </w:r>
      <w:r w:rsidRPr="3F09BBBE" w:rsidR="00191144">
        <w:rPr>
          <w:lang w:eastAsia="en-GB"/>
        </w:rPr>
        <w:t>data collection</w:t>
      </w:r>
      <w:r w:rsidRPr="3F09BBBE" w:rsidR="00A26292">
        <w:rPr>
          <w:lang w:eastAsia="en-GB"/>
        </w:rPr>
        <w:t xml:space="preserve"> effort will be supported by Fors Mash, a funded contractor who supports NCIPC with communication research projects and technical assistance with OD2A </w:t>
      </w:r>
      <w:r w:rsidRPr="3F09BBBE" w:rsidR="005E4816">
        <w:rPr>
          <w:lang w:eastAsia="en-GB"/>
        </w:rPr>
        <w:t>grantees</w:t>
      </w:r>
      <w:r w:rsidRPr="3F09BBBE" w:rsidR="00A26292">
        <w:rPr>
          <w:lang w:eastAsia="en-GB"/>
        </w:rPr>
        <w:t>.</w:t>
      </w:r>
    </w:p>
    <w:p w:rsidR="007522AA" w:rsidP="00C64CF6" w14:paraId="753B9C58" w14:textId="77777777">
      <w:pPr>
        <w:ind w:left="360"/>
        <w:rPr>
          <w:lang w:eastAsia="en-GB"/>
        </w:rPr>
      </w:pPr>
    </w:p>
    <w:p w:rsidR="001B5045" w:rsidRPr="005570F2" w:rsidP="00C64CF6" w14:paraId="1F382FF6" w14:textId="5B87CC03">
      <w:pPr>
        <w:ind w:left="360"/>
      </w:pPr>
      <w:r w:rsidRPr="3F09BBBE">
        <w:rPr>
          <w:lang w:eastAsia="en-GB"/>
        </w:rPr>
        <w:t xml:space="preserve">The purpose of this data collection effort is to identify and assess OD2A </w:t>
      </w:r>
      <w:r w:rsidRPr="3F09BBBE" w:rsidR="0045242E">
        <w:rPr>
          <w:lang w:eastAsia="en-GB"/>
        </w:rPr>
        <w:t xml:space="preserve">grantees’ </w:t>
      </w:r>
      <w:r w:rsidRPr="3F09BBBE">
        <w:rPr>
          <w:lang w:eastAsia="en-GB"/>
        </w:rPr>
        <w:t xml:space="preserve">implementation of CDC’s four Stop Overdose campaigns. The respondent universe is all </w:t>
      </w:r>
      <w:r w:rsidRPr="3F09BBBE" w:rsidR="00F2497D">
        <w:rPr>
          <w:lang w:eastAsia="en-GB"/>
        </w:rPr>
        <w:t>90 OD2A-</w:t>
      </w:r>
      <w:r w:rsidRPr="3F09BBBE">
        <w:rPr>
          <w:lang w:eastAsia="en-GB"/>
        </w:rPr>
        <w:t>funded grantee</w:t>
      </w:r>
      <w:r w:rsidRPr="3F09BBBE" w:rsidR="0045242E">
        <w:rPr>
          <w:lang w:eastAsia="en-GB"/>
        </w:rPr>
        <w:t>s</w:t>
      </w:r>
      <w:r w:rsidRPr="3F09BBBE">
        <w:rPr>
          <w:lang w:eastAsia="en-GB"/>
        </w:rPr>
        <w:t xml:space="preserve">. The data will be used to develop strategic communications recommendations for the Stop Overdose campaigns to optimize their use among </w:t>
      </w:r>
      <w:r w:rsidRPr="3F09BBBE">
        <w:rPr>
          <w:lang w:val="en" w:eastAsia="en-GB"/>
        </w:rPr>
        <w:t xml:space="preserve">funded OD2A </w:t>
      </w:r>
      <w:r w:rsidRPr="3F09BBBE" w:rsidR="005E4816">
        <w:rPr>
          <w:lang w:val="en" w:eastAsia="en-GB"/>
        </w:rPr>
        <w:t xml:space="preserve">grantees </w:t>
      </w:r>
      <w:r w:rsidRPr="3F09BBBE">
        <w:rPr>
          <w:lang w:val="en" w:eastAsia="en-GB"/>
        </w:rPr>
        <w:t xml:space="preserve">to support </w:t>
      </w:r>
      <w:r w:rsidRPr="3F09BBBE">
        <w:rPr>
          <w:lang w:eastAsia="en-GB"/>
        </w:rPr>
        <w:t>their drug overdose prevention work.</w:t>
      </w:r>
    </w:p>
    <w:p w:rsidR="001B5045" w:rsidP="00EA3A4A" w14:paraId="30011CE9" w14:textId="77777777">
      <w:pPr>
        <w:ind w:left="0"/>
        <w:rPr>
          <w:iCs/>
          <w:vertAlign w:val="superscript"/>
        </w:rPr>
      </w:pPr>
    </w:p>
    <w:p w:rsidR="00613BCF" w:rsidRPr="001A28F6" w:rsidP="009C5502" w14:paraId="4F9051DA" w14:textId="2CC31061">
      <w:pPr>
        <w:pStyle w:val="Normal2"/>
      </w:pPr>
      <w:r w:rsidRPr="005570F2">
        <w:rPr>
          <w:rFonts w:asciiTheme="majorHAnsi" w:hAnsiTheme="majorHAnsi"/>
        </w:rPr>
        <w:t xml:space="preserve"> </w:t>
      </w:r>
    </w:p>
    <w:p w:rsidR="00376290" w:rsidP="00376290" w14:paraId="43143E28" w14:textId="1B973539">
      <w:pPr>
        <w:pStyle w:val="Heading5"/>
        <w:spacing w:after="120"/>
        <w:ind w:left="360"/>
      </w:pPr>
      <w:r w:rsidRPr="00BB0813">
        <w:t xml:space="preserve">Overview of the </w:t>
      </w:r>
      <w:r w:rsidRPr="00BB0813" w:rsidR="007F5776">
        <w:t>Information C</w:t>
      </w:r>
      <w:r w:rsidRPr="00BB0813" w:rsidR="00157413">
        <w:t>ollection</w:t>
      </w:r>
      <w:r w:rsidRPr="00BB0813">
        <w:t xml:space="preserve"> System</w:t>
      </w:r>
      <w:r w:rsidRPr="001A28F6" w:rsidR="00151567">
        <w:t xml:space="preserve"> </w:t>
      </w:r>
    </w:p>
    <w:p w:rsidR="00DC2AD2" w:rsidP="008B65FF" w14:paraId="32EF8C83" w14:textId="0AF03330">
      <w:pPr>
        <w:ind w:left="360"/>
      </w:pPr>
      <w:r>
        <w:t>Data will be collected</w:t>
      </w:r>
      <w:r w:rsidR="00376290">
        <w:t xml:space="preserve"> from </w:t>
      </w:r>
      <w:r w:rsidR="000C4270">
        <w:t xml:space="preserve">up to </w:t>
      </w:r>
      <w:r w:rsidR="002B3342">
        <w:t>90</w:t>
      </w:r>
      <w:r w:rsidR="00376290">
        <w:t xml:space="preserve"> </w:t>
      </w:r>
      <w:r w:rsidR="000C4270">
        <w:t xml:space="preserve">OD2A-funded grantees </w:t>
      </w:r>
      <w:r w:rsidR="00376290">
        <w:t xml:space="preserve">via </w:t>
      </w:r>
      <w:r w:rsidR="0057013D">
        <w:t xml:space="preserve">an </w:t>
      </w:r>
      <w:r w:rsidR="00AB6A9E">
        <w:t xml:space="preserve">online </w:t>
      </w:r>
      <w:r w:rsidR="0057013D">
        <w:t>survey</w:t>
      </w:r>
      <w:r>
        <w:t xml:space="preserve"> (</w:t>
      </w:r>
      <w:r w:rsidR="00E647FB">
        <w:t xml:space="preserve">see </w:t>
      </w:r>
      <w:r w:rsidRPr="00A306AC" w:rsidR="00E647FB">
        <w:rPr>
          <w:b/>
          <w:bCs/>
        </w:rPr>
        <w:t>Attachment</w:t>
      </w:r>
      <w:r w:rsidRPr="00F609CE" w:rsidR="00E647FB">
        <w:rPr>
          <w:b/>
          <w:bCs/>
        </w:rPr>
        <w:t xml:space="preserve"> </w:t>
      </w:r>
      <w:r w:rsidRPr="00A306AC" w:rsidR="00AE0CC4">
        <w:rPr>
          <w:b/>
          <w:bCs/>
        </w:rPr>
        <w:t>1</w:t>
      </w:r>
      <w:r w:rsidRPr="00A306AC" w:rsidR="001F1D6E">
        <w:rPr>
          <w:b/>
          <w:bCs/>
        </w:rPr>
        <w:t>—</w:t>
      </w:r>
      <w:r w:rsidRPr="00A306AC" w:rsidR="00AE0CC4">
        <w:rPr>
          <w:b/>
          <w:bCs/>
        </w:rPr>
        <w:t xml:space="preserve">Survey </w:t>
      </w:r>
      <w:r w:rsidRPr="00A306AC" w:rsidR="006D7968">
        <w:rPr>
          <w:b/>
          <w:bCs/>
        </w:rPr>
        <w:t>Instrument</w:t>
      </w:r>
      <w:r w:rsidR="00A9666B">
        <w:t xml:space="preserve"> and </w:t>
      </w:r>
      <w:r w:rsidRPr="00A306AC" w:rsidR="00A9666B">
        <w:rPr>
          <w:b/>
          <w:bCs/>
        </w:rPr>
        <w:t xml:space="preserve">Attachment </w:t>
      </w:r>
      <w:r w:rsidRPr="00A306AC" w:rsidR="00F609CE">
        <w:rPr>
          <w:b/>
          <w:bCs/>
        </w:rPr>
        <w:t>2</w:t>
      </w:r>
      <w:r w:rsidRPr="00A306AC" w:rsidR="001F1D6E">
        <w:rPr>
          <w:b/>
          <w:bCs/>
        </w:rPr>
        <w:t>—</w:t>
      </w:r>
      <w:r w:rsidRPr="00A306AC" w:rsidR="00A9666B">
        <w:rPr>
          <w:b/>
          <w:bCs/>
        </w:rPr>
        <w:t>Programmed Survey</w:t>
      </w:r>
      <w:r>
        <w:t xml:space="preserve">). The instrument will be used to gather information from </w:t>
      </w:r>
      <w:r w:rsidR="006D7968">
        <w:t>representatives of the OD2A grantee</w:t>
      </w:r>
      <w:r w:rsidR="000C4270">
        <w:t>s</w:t>
      </w:r>
      <w:r w:rsidR="006D7968">
        <w:t xml:space="preserve"> </w:t>
      </w:r>
      <w:r>
        <w:t>regarding</w:t>
      </w:r>
      <w:r w:rsidR="008C59E7">
        <w:t xml:space="preserve"> </w:t>
      </w:r>
      <w:r w:rsidR="003F34AE">
        <w:t xml:space="preserve">the Stop Overdose </w:t>
      </w:r>
      <w:r w:rsidR="001F1D6E">
        <w:t xml:space="preserve">campaigns </w:t>
      </w:r>
      <w:r w:rsidR="003F34AE">
        <w:t>implementation at the state or local level</w:t>
      </w:r>
      <w:r w:rsidR="00A306AC">
        <w:t xml:space="preserve"> (see </w:t>
      </w:r>
      <w:r w:rsidRPr="00A306AC" w:rsidR="00A306AC">
        <w:rPr>
          <w:b/>
          <w:bCs/>
        </w:rPr>
        <w:t>Attachment 6—Respondent Universe</w:t>
      </w:r>
      <w:r w:rsidR="00A306AC">
        <w:t>)</w:t>
      </w:r>
      <w:r w:rsidR="003F34AE">
        <w:t>.</w:t>
      </w:r>
      <w:r>
        <w:t xml:space="preserve"> </w:t>
      </w:r>
    </w:p>
    <w:p w:rsidR="00DC2AD2" w:rsidP="008B65FF" w14:paraId="1021FC3D" w14:textId="77777777">
      <w:pPr>
        <w:ind w:left="360"/>
      </w:pPr>
    </w:p>
    <w:p w:rsidR="00687C5C" w:rsidP="00687C5C" w14:paraId="4EA9A3B0" w14:textId="5C98CD31">
      <w:pPr>
        <w:ind w:left="360"/>
      </w:pPr>
      <w:r>
        <w:t xml:space="preserve">The </w:t>
      </w:r>
      <w:r w:rsidRPr="00711BFA">
        <w:t xml:space="preserve">information collection instrument was </w:t>
      </w:r>
      <w:r w:rsidR="3A166C54">
        <w:t xml:space="preserve">reviewed and </w:t>
      </w:r>
      <w:r w:rsidRPr="00711BFA">
        <w:t xml:space="preserve">pilot tested by </w:t>
      </w:r>
      <w:r w:rsidR="001F1D6E">
        <w:t xml:space="preserve">six </w:t>
      </w:r>
      <w:r>
        <w:t>p</w:t>
      </w:r>
      <w:r w:rsidRPr="00711BFA">
        <w:t>ublic health professionals. Feedback from this group was used to refine questions as needed, ensure accurate programming and skip patterns</w:t>
      </w:r>
      <w:r w:rsidR="001F1D6E">
        <w:t>,</w:t>
      </w:r>
      <w:r w:rsidRPr="00711BFA">
        <w:t xml:space="preserve"> and establish the estimated time required to complete the information collection instrument.</w:t>
      </w:r>
      <w:r w:rsidRPr="00687C5C">
        <w:t xml:space="preserve"> </w:t>
      </w:r>
    </w:p>
    <w:p w:rsidR="00687C5C" w:rsidP="00687C5C" w14:paraId="290F6A97" w14:textId="77777777">
      <w:pPr>
        <w:ind w:left="360"/>
      </w:pPr>
    </w:p>
    <w:p w:rsidR="00687C5C" w:rsidP="00687C5C" w14:paraId="2DA96748" w14:textId="035E58E0">
      <w:pPr>
        <w:ind w:left="360"/>
      </w:pPr>
      <w:r>
        <w:t xml:space="preserve">Participants will be contacted by email about the process evaluation and invited to </w:t>
      </w:r>
      <w:r w:rsidR="0001719D">
        <w:t xml:space="preserve">complete </w:t>
      </w:r>
      <w:r>
        <w:t>a survey. Through the online survey</w:t>
      </w:r>
      <w:r w:rsidR="001F1D6E">
        <w:t>,</w:t>
      </w:r>
      <w:r>
        <w:t xml:space="preserve"> we will collect quantitative and some qualitative (open-ended) responses from OD2A </w:t>
      </w:r>
      <w:r w:rsidR="005E4816">
        <w:t xml:space="preserve">grantees </w:t>
      </w:r>
      <w:r>
        <w:t>about their experiences implementing</w:t>
      </w:r>
      <w:r w:rsidR="001F1D6E">
        <w:t>—</w:t>
      </w:r>
      <w:r>
        <w:t>and their perspectives on</w:t>
      </w:r>
      <w:r w:rsidR="001F1D6E">
        <w:t>—</w:t>
      </w:r>
      <w:r>
        <w:t xml:space="preserve">Stop Overdose materials and products. The survey will be fielded for up to </w:t>
      </w:r>
      <w:r w:rsidR="001F1D6E">
        <w:t>4 </w:t>
      </w:r>
      <w:r>
        <w:t>weeks to ensure grantees have sufficient time to respond.</w:t>
      </w:r>
    </w:p>
    <w:p w:rsidR="00687C5C" w:rsidP="00687C5C" w14:paraId="56EBEF39" w14:textId="77777777">
      <w:pPr>
        <w:ind w:left="360"/>
      </w:pPr>
    </w:p>
    <w:p w:rsidR="00272E3E" w:rsidP="00383542" w14:paraId="1BDDAD80" w14:textId="3BF46D7E">
      <w:pPr>
        <w:ind w:left="360"/>
      </w:pPr>
      <w:r>
        <w:t xml:space="preserve">Voxco is the online survey platform used to host the survey. Hosting for Voxco is done onsite and the system resides in our </w:t>
      </w:r>
      <w:r w:rsidRPr="001F1D6E" w:rsidR="001F1D6E">
        <w:t xml:space="preserve">Federal Information Security Modernization Act </w:t>
      </w:r>
      <w:r w:rsidR="001F1D6E">
        <w:t>(</w:t>
      </w:r>
      <w:r>
        <w:t>FISMA</w:t>
      </w:r>
      <w:r w:rsidR="001F1D6E">
        <w:t>)-</w:t>
      </w:r>
      <w:r>
        <w:t xml:space="preserve">compliant environment. This software is housed internally within our secure IT infrastructure and access to the raw data collected is limited to the </w:t>
      </w:r>
      <w:r w:rsidR="001F1D6E">
        <w:t xml:space="preserve">system administrator </w:t>
      </w:r>
      <w:r>
        <w:t xml:space="preserve">and the </w:t>
      </w:r>
      <w:r w:rsidR="001F1D6E">
        <w:t>survey designer</w:t>
      </w:r>
      <w:r>
        <w:t xml:space="preserve">. Voxco employs state-of-the-art encryption protocols to safeguard information at every stage of the data collection process. From transmission to storage, data </w:t>
      </w:r>
      <w:r w:rsidR="001F1D6E">
        <w:t xml:space="preserve">are </w:t>
      </w:r>
      <w:r>
        <w:t xml:space="preserve">encrypted using industry-standard encryption algorithms, ensuring protection against unauthorized access or interception. Moreover, Voxco Online adheres to strict compliance standards, including </w:t>
      </w:r>
      <w:r w:rsidR="000A00CB">
        <w:t>General Data Protection Regulation (</w:t>
      </w:r>
      <w:r>
        <w:t>GDPR</w:t>
      </w:r>
      <w:r w:rsidR="000A00CB">
        <w:t>)</w:t>
      </w:r>
      <w:r>
        <w:t xml:space="preserve"> and </w:t>
      </w:r>
      <w:r w:rsidR="000F52BC">
        <w:t>Health Insurance Portability and Accountability Act (</w:t>
      </w:r>
      <w:r>
        <w:t>HIPAA</w:t>
      </w:r>
      <w:r w:rsidR="000F52BC">
        <w:t>)</w:t>
      </w:r>
      <w:r>
        <w:t>, assuring users of its commitment to data privacy and regulatory requirements.</w:t>
      </w:r>
    </w:p>
    <w:p w:rsidR="003F34AE" w:rsidP="00383542" w14:paraId="19565D42" w14:textId="77777777">
      <w:pPr>
        <w:ind w:left="360"/>
      </w:pPr>
    </w:p>
    <w:p w:rsidR="00383542" w:rsidP="00383542" w14:paraId="236ABAAD" w14:textId="77777777">
      <w:pPr>
        <w:ind w:left="360"/>
      </w:pPr>
    </w:p>
    <w:p w:rsidR="005C0793" w:rsidP="008B65FF" w14:paraId="05FA9A06" w14:textId="77777777">
      <w:pPr>
        <w:pStyle w:val="Heading5"/>
        <w:spacing w:after="120"/>
        <w:ind w:left="360"/>
      </w:pPr>
    </w:p>
    <w:p w:rsidR="00692DEB" w:rsidRPr="007B7C44" w:rsidP="008B65FF" w14:paraId="36702F9E" w14:textId="77777777">
      <w:pPr>
        <w:pStyle w:val="Heading5"/>
        <w:spacing w:after="120"/>
        <w:ind w:left="360"/>
      </w:pPr>
      <w:r w:rsidRPr="005C0793">
        <w:t>Items of Information to be Collected</w:t>
      </w:r>
    </w:p>
    <w:p w:rsidR="00692DEB" w:rsidP="008B65FF" w14:paraId="08DF8928" w14:textId="15C5D363">
      <w:pPr>
        <w:ind w:left="360"/>
      </w:pPr>
      <w:r w:rsidRPr="04524006">
        <w:t xml:space="preserve">The data collection instrument consists </w:t>
      </w:r>
      <w:r w:rsidRPr="00943C03">
        <w:t xml:space="preserve">of </w:t>
      </w:r>
      <w:r w:rsidRPr="00943C03" w:rsidR="00B25CC4">
        <w:t>3</w:t>
      </w:r>
      <w:r w:rsidR="0065422C">
        <w:t>8</w:t>
      </w:r>
      <w:r w:rsidRPr="00943C03">
        <w:t xml:space="preserve"> </w:t>
      </w:r>
      <w:r w:rsidRPr="04524006">
        <w:t>questions of various types, including</w:t>
      </w:r>
      <w:r w:rsidR="008C59E7">
        <w:t xml:space="preserve"> </w:t>
      </w:r>
      <w:r w:rsidRPr="00943C03" w:rsidR="008C59E7">
        <w:t xml:space="preserve">dichotomous (yes/no), multiple response, interval (rating scales), </w:t>
      </w:r>
      <w:r w:rsidRPr="00943C03" w:rsidR="002737A0">
        <w:t xml:space="preserve">and </w:t>
      </w:r>
      <w:r w:rsidRPr="00943C03" w:rsidR="008C59E7">
        <w:rPr>
          <w:rFonts w:eastAsiaTheme="majorEastAsia" w:cstheme="majorBidi"/>
        </w:rPr>
        <w:t>open-ended</w:t>
      </w:r>
      <w:r w:rsidRPr="00943C03" w:rsidR="00B25CC4">
        <w:rPr>
          <w:rFonts w:eastAsiaTheme="majorEastAsia" w:cstheme="majorBidi"/>
        </w:rPr>
        <w:t xml:space="preserve"> items</w:t>
      </w:r>
      <w:r w:rsidRPr="00943C03">
        <w:rPr>
          <w:rFonts w:eastAsiaTheme="majorEastAsia" w:cstheme="majorBidi"/>
        </w:rPr>
        <w:t xml:space="preserve">. </w:t>
      </w:r>
      <w:r w:rsidR="001B5045">
        <w:t xml:space="preserve">Open-ended narrative questions were </w:t>
      </w:r>
      <w:r w:rsidR="00BF2284">
        <w:t>kept to a minimum</w:t>
      </w:r>
      <w:r w:rsidR="001B5045">
        <w:t xml:space="preserve"> and programmed as optional to reduce the </w:t>
      </w:r>
      <w:r w:rsidR="00E85E18">
        <w:t xml:space="preserve">response </w:t>
      </w:r>
      <w:r w:rsidR="001B5045">
        <w:t xml:space="preserve">burden. </w:t>
      </w:r>
      <w:r w:rsidRPr="04524006">
        <w:t xml:space="preserve">The instrument will collect </w:t>
      </w:r>
      <w:r w:rsidR="006C20E8">
        <w:t>data</w:t>
      </w:r>
      <w:r w:rsidRPr="04524006">
        <w:t xml:space="preserve"> on the following</w:t>
      </w:r>
      <w:r w:rsidR="00C21374">
        <w:t xml:space="preserve"> </w:t>
      </w:r>
      <w:r w:rsidR="001F1D6E">
        <w:t xml:space="preserve">domains </w:t>
      </w:r>
      <w:r w:rsidR="00C21374">
        <w:t>(</w:t>
      </w:r>
      <w:r w:rsidR="00913501">
        <w:t>also, s</w:t>
      </w:r>
      <w:r w:rsidR="00C21374">
        <w:t xml:space="preserve">ee </w:t>
      </w:r>
      <w:r w:rsidR="00913501">
        <w:t>t</w:t>
      </w:r>
      <w:r w:rsidR="00C21374">
        <w:t xml:space="preserve">able </w:t>
      </w:r>
      <w:r w:rsidR="00913501">
        <w:t>b</w:t>
      </w:r>
      <w:r w:rsidR="00C21374">
        <w:t>elow)</w:t>
      </w:r>
      <w:r w:rsidRPr="04524006">
        <w:t>:</w:t>
      </w:r>
      <w:r>
        <w:t xml:space="preserve"> </w:t>
      </w:r>
    </w:p>
    <w:p w:rsidR="00B25CC4" w:rsidRPr="00943C03" w:rsidP="001F1D6E" w14:paraId="22B24E55" w14:textId="39E775C3">
      <w:pPr>
        <w:pStyle w:val="ListParagraph"/>
        <w:numPr>
          <w:ilvl w:val="0"/>
          <w:numId w:val="46"/>
        </w:numPr>
      </w:pPr>
      <w:r w:rsidRPr="00943C03">
        <w:t xml:space="preserve">Use/Implementation </w:t>
      </w:r>
      <w:r>
        <w:t>o</w:t>
      </w:r>
      <w:r w:rsidRPr="00943C03">
        <w:t xml:space="preserve">f Stop Overdose Campaigns </w:t>
      </w:r>
    </w:p>
    <w:p w:rsidR="00B25CC4" w:rsidRPr="00943C03" w:rsidP="001F1D6E" w14:paraId="2D73E18E" w14:textId="3930C53C">
      <w:pPr>
        <w:pStyle w:val="ListParagraph"/>
        <w:numPr>
          <w:ilvl w:val="0"/>
          <w:numId w:val="46"/>
        </w:numPr>
      </w:pPr>
      <w:r w:rsidRPr="00943C03">
        <w:t xml:space="preserve">Perceptions </w:t>
      </w:r>
      <w:r>
        <w:t>o</w:t>
      </w:r>
      <w:r w:rsidRPr="00943C03">
        <w:t xml:space="preserve">f Stop Overdose Campaign Products </w:t>
      </w:r>
    </w:p>
    <w:p w:rsidR="00B25CC4" w:rsidRPr="00943C03" w:rsidP="001F1D6E" w14:paraId="51A0D3C9" w14:textId="699FF696">
      <w:pPr>
        <w:pStyle w:val="ListParagraph"/>
        <w:numPr>
          <w:ilvl w:val="0"/>
          <w:numId w:val="46"/>
        </w:numPr>
      </w:pPr>
      <w:r w:rsidRPr="00943C03">
        <w:t xml:space="preserve">Facilitators </w:t>
      </w:r>
      <w:r>
        <w:t>a</w:t>
      </w:r>
      <w:r w:rsidRPr="00943C03">
        <w:t xml:space="preserve">nd Barriers </w:t>
      </w:r>
      <w:r>
        <w:t>t</w:t>
      </w:r>
      <w:r w:rsidRPr="00943C03">
        <w:t>o Campaign Implementation</w:t>
      </w:r>
    </w:p>
    <w:p w:rsidR="00B25CC4" w:rsidRPr="00943C03" w:rsidP="001F1D6E" w14:paraId="21E99FA3" w14:textId="14F7428D">
      <w:pPr>
        <w:pStyle w:val="ListParagraph"/>
        <w:numPr>
          <w:ilvl w:val="0"/>
          <w:numId w:val="46"/>
        </w:numPr>
      </w:pPr>
      <w:r w:rsidRPr="00943C03">
        <w:t xml:space="preserve">Lessons Learned </w:t>
      </w:r>
      <w:r>
        <w:t>f</w:t>
      </w:r>
      <w:r w:rsidRPr="00943C03">
        <w:t xml:space="preserve">rom Campaign Implementation </w:t>
      </w:r>
    </w:p>
    <w:p w:rsidR="00B25CC4" w:rsidRPr="00943C03" w:rsidP="001F1D6E" w14:paraId="1A9DECFC" w14:textId="72C23B3C">
      <w:pPr>
        <w:pStyle w:val="ListParagraph"/>
        <w:numPr>
          <w:ilvl w:val="0"/>
          <w:numId w:val="46"/>
        </w:numPr>
      </w:pPr>
      <w:r w:rsidRPr="00943C03">
        <w:t xml:space="preserve">Support Needs </w:t>
      </w:r>
      <w:r>
        <w:t>f</w:t>
      </w:r>
      <w:r w:rsidRPr="00943C03">
        <w:t xml:space="preserve">or Implementation </w:t>
      </w:r>
      <w:r>
        <w:t>a</w:t>
      </w:r>
      <w:r w:rsidRPr="00943C03">
        <w:t xml:space="preserve">nd Campaigns Areas </w:t>
      </w:r>
      <w:r>
        <w:t>o</w:t>
      </w:r>
      <w:r w:rsidRPr="00943C03">
        <w:t xml:space="preserve">f Improvement </w:t>
      </w:r>
    </w:p>
    <w:p w:rsidR="00B25CC4" w:rsidRPr="00943C03" w:rsidP="001F1D6E" w14:paraId="4A6F79FB" w14:textId="0ACE48FC">
      <w:pPr>
        <w:numPr>
          <w:ilvl w:val="0"/>
          <w:numId w:val="6"/>
        </w:numPr>
        <w:tabs>
          <w:tab w:val="clear" w:pos="9360"/>
        </w:tabs>
        <w:spacing w:line="240" w:lineRule="auto"/>
      </w:pPr>
      <w:r w:rsidRPr="00943C03">
        <w:t>Organization Information</w:t>
      </w:r>
    </w:p>
    <w:p w:rsidR="00692DEB" w:rsidP="002F088A" w14:paraId="247A4CFA" w14:textId="77777777">
      <w:pPr>
        <w:rPr>
          <w:lang w:eastAsia="zh-CN"/>
        </w:rPr>
      </w:pPr>
    </w:p>
    <w:p w:rsidR="00252340" w:rsidRPr="007F0CBF" w:rsidP="00252340" w14:paraId="14F3E0EA" w14:textId="2BB862CA">
      <w:pPr>
        <w:rPr>
          <w:i/>
          <w:iCs/>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610"/>
        <w:gridCol w:w="4130"/>
        <w:gridCol w:w="2605"/>
      </w:tblGrid>
      <w:tr w14:paraId="7EF3A655" w14:textId="77777777" w:rsidTr="3F09BBBE">
        <w:tblPrEx>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c>
          <w:tcPr>
            <w:tcW w:w="2610" w:type="dxa"/>
            <w:shd w:val="clear" w:color="auto" w:fill="CCCCCC"/>
            <w:tcMar>
              <w:top w:w="100" w:type="dxa"/>
              <w:left w:w="100" w:type="dxa"/>
              <w:bottom w:w="100" w:type="dxa"/>
              <w:right w:w="100" w:type="dxa"/>
            </w:tcMar>
          </w:tcPr>
          <w:p w:rsidR="00252340" w:rsidRPr="004A1FF7" w14:paraId="6B0837D0" w14:textId="77777777">
            <w:pPr>
              <w:widowControl w:val="0"/>
              <w:rPr>
                <w:rFonts w:eastAsia="Calibri" w:cs="Calibri"/>
                <w:b/>
                <w:color w:val="222222"/>
              </w:rPr>
            </w:pPr>
            <w:r w:rsidRPr="004A1FF7">
              <w:rPr>
                <w:rFonts w:eastAsia="Calibri" w:cs="Calibri"/>
                <w:b/>
                <w:color w:val="222222"/>
              </w:rPr>
              <w:t>Domain</w:t>
            </w:r>
          </w:p>
        </w:tc>
        <w:tc>
          <w:tcPr>
            <w:tcW w:w="4130" w:type="dxa"/>
            <w:shd w:val="clear" w:color="auto" w:fill="CCCCCC"/>
            <w:tcMar>
              <w:top w:w="100" w:type="dxa"/>
              <w:left w:w="100" w:type="dxa"/>
              <w:bottom w:w="100" w:type="dxa"/>
              <w:right w:w="100" w:type="dxa"/>
            </w:tcMar>
          </w:tcPr>
          <w:p w:rsidR="00252340" w:rsidRPr="004A1FF7" w:rsidP="004A1FF7" w14:paraId="3552195B" w14:textId="77777777">
            <w:pPr>
              <w:widowControl w:val="0"/>
              <w:ind w:left="0"/>
              <w:jc w:val="center"/>
              <w:rPr>
                <w:rFonts w:eastAsia="Calibri" w:cs="Calibri"/>
                <w:b/>
                <w:color w:val="222222"/>
              </w:rPr>
            </w:pPr>
            <w:r w:rsidRPr="004A1FF7">
              <w:rPr>
                <w:rFonts w:eastAsia="Calibri" w:cs="Calibri"/>
                <w:b/>
                <w:color w:val="222222"/>
              </w:rPr>
              <w:t>Measures</w:t>
            </w:r>
          </w:p>
        </w:tc>
        <w:tc>
          <w:tcPr>
            <w:tcW w:w="2605" w:type="dxa"/>
            <w:shd w:val="clear" w:color="auto" w:fill="CCCCCC"/>
            <w:tcMar>
              <w:top w:w="100" w:type="dxa"/>
              <w:left w:w="100" w:type="dxa"/>
              <w:bottom w:w="100" w:type="dxa"/>
              <w:right w:w="100" w:type="dxa"/>
            </w:tcMar>
          </w:tcPr>
          <w:p w:rsidR="00252340" w:rsidRPr="004A1FF7" w:rsidP="004A1FF7" w14:paraId="29A37607" w14:textId="77777777">
            <w:pPr>
              <w:widowControl w:val="0"/>
              <w:ind w:left="0"/>
              <w:jc w:val="center"/>
              <w:rPr>
                <w:rFonts w:eastAsia="Calibri" w:cs="Calibri"/>
                <w:b/>
                <w:color w:val="222222"/>
              </w:rPr>
            </w:pPr>
            <w:r w:rsidRPr="004A1FF7">
              <w:rPr>
                <w:rFonts w:eastAsia="Calibri" w:cs="Calibri"/>
                <w:b/>
                <w:color w:val="222222"/>
              </w:rPr>
              <w:t>Response Types</w:t>
            </w:r>
          </w:p>
        </w:tc>
      </w:tr>
      <w:tr w14:paraId="52F01FA1" w14:textId="77777777" w:rsidTr="3F09BBBE">
        <w:tblPrEx>
          <w:tblW w:w="9345" w:type="dxa"/>
          <w:tblLayout w:type="fixed"/>
          <w:tblCellMar>
            <w:top w:w="100" w:type="dxa"/>
            <w:left w:w="100" w:type="dxa"/>
            <w:bottom w:w="100" w:type="dxa"/>
            <w:right w:w="100" w:type="dxa"/>
          </w:tblCellMar>
          <w:tblLook w:val="0600"/>
        </w:tblPrEx>
        <w:tc>
          <w:tcPr>
            <w:tcW w:w="2610" w:type="dxa"/>
            <w:shd w:val="clear" w:color="auto" w:fill="auto"/>
            <w:tcMar>
              <w:top w:w="100" w:type="dxa"/>
              <w:left w:w="100" w:type="dxa"/>
              <w:bottom w:w="100" w:type="dxa"/>
              <w:right w:w="100" w:type="dxa"/>
            </w:tcMar>
          </w:tcPr>
          <w:p w:rsidR="00252340" w:rsidRPr="00D865F3" w:rsidP="002F088A" w14:paraId="64410922" w14:textId="77777777">
            <w:pPr>
              <w:widowControl w:val="0"/>
              <w:ind w:left="0"/>
              <w:rPr>
                <w:rFonts w:eastAsia="Calibri" w:cs="Calibri"/>
                <w:color w:val="222222"/>
                <w:sz w:val="20"/>
                <w:szCs w:val="20"/>
                <w:highlight w:val="white"/>
              </w:rPr>
            </w:pPr>
            <w:r w:rsidRPr="00D865F3">
              <w:rPr>
                <w:rFonts w:eastAsia="Calibri" w:cs="Calibri"/>
                <w:color w:val="222222"/>
                <w:sz w:val="20"/>
                <w:szCs w:val="20"/>
                <w:highlight w:val="white"/>
              </w:rPr>
              <w:t xml:space="preserve">Use/Implementation of Stop Overdose Campaigns </w:t>
            </w:r>
          </w:p>
        </w:tc>
        <w:tc>
          <w:tcPr>
            <w:tcW w:w="4130" w:type="dxa"/>
            <w:shd w:val="clear" w:color="auto" w:fill="auto"/>
            <w:tcMar>
              <w:top w:w="100" w:type="dxa"/>
              <w:left w:w="100" w:type="dxa"/>
              <w:bottom w:w="100" w:type="dxa"/>
              <w:right w:w="100" w:type="dxa"/>
            </w:tcMar>
          </w:tcPr>
          <w:p w:rsidR="00252340" w:rsidRPr="00D865F3" w:rsidP="002F088A" w14:paraId="2E0839BD" w14:textId="77777777">
            <w:pPr>
              <w:widowControl w:val="0"/>
              <w:ind w:left="0"/>
              <w:rPr>
                <w:rFonts w:eastAsia="Calibri" w:cs="Calibri"/>
                <w:color w:val="222222"/>
                <w:sz w:val="20"/>
                <w:szCs w:val="20"/>
                <w:highlight w:val="white"/>
              </w:rPr>
            </w:pPr>
            <w:r w:rsidRPr="00D865F3">
              <w:rPr>
                <w:rFonts w:eastAsia="Calibri" w:cs="Calibri"/>
                <w:color w:val="222222"/>
                <w:sz w:val="20"/>
                <w:szCs w:val="20"/>
                <w:highlight w:val="white"/>
              </w:rPr>
              <w:t>Actual implementation of campaign assets, frequency of use, channels disseminated, implementation date(s), evaluations planned or conducted, metrics collected/evaluated</w:t>
            </w:r>
          </w:p>
        </w:tc>
        <w:tc>
          <w:tcPr>
            <w:tcW w:w="2605" w:type="dxa"/>
            <w:shd w:val="clear" w:color="auto" w:fill="auto"/>
            <w:tcMar>
              <w:top w:w="100" w:type="dxa"/>
              <w:left w:w="100" w:type="dxa"/>
              <w:bottom w:w="100" w:type="dxa"/>
              <w:right w:w="100" w:type="dxa"/>
            </w:tcMar>
          </w:tcPr>
          <w:p w:rsidR="00252340" w:rsidRPr="00D865F3" w:rsidP="002F088A" w14:paraId="0C9BE014" w14:textId="77777777">
            <w:pPr>
              <w:ind w:left="0"/>
              <w:rPr>
                <w:rFonts w:eastAsia="Calibri" w:cs="Calibri"/>
                <w:color w:val="222222"/>
                <w:sz w:val="20"/>
                <w:szCs w:val="20"/>
                <w:highlight w:val="white"/>
              </w:rPr>
            </w:pPr>
            <w:r w:rsidRPr="00D865F3">
              <w:rPr>
                <w:rFonts w:eastAsia="Calibri" w:cs="Calibri"/>
                <w:color w:val="222222"/>
                <w:sz w:val="20"/>
                <w:szCs w:val="20"/>
                <w:highlight w:val="white"/>
              </w:rPr>
              <w:t>Likert, Open-ended, Binary (Yes/No)</w:t>
            </w:r>
          </w:p>
        </w:tc>
      </w:tr>
      <w:tr w14:paraId="68AEC148" w14:textId="77777777" w:rsidTr="3F09BBBE">
        <w:tblPrEx>
          <w:tblW w:w="9345" w:type="dxa"/>
          <w:tblLayout w:type="fixed"/>
          <w:tblCellMar>
            <w:top w:w="100" w:type="dxa"/>
            <w:left w:w="100" w:type="dxa"/>
            <w:bottom w:w="100" w:type="dxa"/>
            <w:right w:w="100" w:type="dxa"/>
          </w:tblCellMar>
          <w:tblLook w:val="0600"/>
        </w:tblPrEx>
        <w:tc>
          <w:tcPr>
            <w:tcW w:w="2610" w:type="dxa"/>
            <w:shd w:val="clear" w:color="auto" w:fill="auto"/>
            <w:tcMar>
              <w:top w:w="100" w:type="dxa"/>
              <w:left w:w="100" w:type="dxa"/>
              <w:bottom w:w="100" w:type="dxa"/>
              <w:right w:w="100" w:type="dxa"/>
            </w:tcMar>
          </w:tcPr>
          <w:p w:rsidR="00252340" w:rsidRPr="00D865F3" w:rsidP="002F088A" w14:paraId="60FA3E73" w14:textId="77777777">
            <w:pPr>
              <w:ind w:left="0"/>
              <w:rPr>
                <w:rFonts w:eastAsia="Calibri" w:cs="Calibri"/>
                <w:color w:val="222222"/>
                <w:sz w:val="20"/>
                <w:szCs w:val="20"/>
                <w:highlight w:val="white"/>
              </w:rPr>
            </w:pPr>
            <w:r w:rsidRPr="00D865F3">
              <w:rPr>
                <w:rFonts w:eastAsia="Calibri" w:cs="Calibri"/>
                <w:color w:val="222222"/>
                <w:sz w:val="20"/>
                <w:szCs w:val="20"/>
                <w:highlight w:val="white"/>
              </w:rPr>
              <w:t xml:space="preserve">Perceptions of Stop Overdose Campaign Products </w:t>
            </w:r>
          </w:p>
        </w:tc>
        <w:tc>
          <w:tcPr>
            <w:tcW w:w="4130" w:type="dxa"/>
            <w:shd w:val="clear" w:color="auto" w:fill="auto"/>
            <w:tcMar>
              <w:top w:w="100" w:type="dxa"/>
              <w:left w:w="100" w:type="dxa"/>
              <w:bottom w:w="100" w:type="dxa"/>
              <w:right w:w="100" w:type="dxa"/>
            </w:tcMar>
          </w:tcPr>
          <w:p w:rsidR="00252340" w:rsidRPr="00D865F3" w:rsidP="002F088A" w14:paraId="7B3AAF3F" w14:textId="77777777">
            <w:pPr>
              <w:ind w:left="0"/>
              <w:rPr>
                <w:rFonts w:eastAsia="Calibri" w:cs="Calibri"/>
                <w:color w:val="222222"/>
                <w:sz w:val="20"/>
                <w:szCs w:val="20"/>
                <w:highlight w:val="white"/>
              </w:rPr>
            </w:pPr>
            <w:r w:rsidRPr="00D865F3">
              <w:rPr>
                <w:rFonts w:eastAsia="Calibri" w:cs="Calibri"/>
                <w:color w:val="222222"/>
                <w:sz w:val="20"/>
                <w:szCs w:val="20"/>
                <w:highlight w:val="white"/>
              </w:rPr>
              <w:t>Informativeness, likeability, memorability, visual appeal, and clarity of products; satisfaction with products; areas of improvement; perceived benefit of products</w:t>
            </w:r>
          </w:p>
        </w:tc>
        <w:tc>
          <w:tcPr>
            <w:tcW w:w="2605" w:type="dxa"/>
            <w:shd w:val="clear" w:color="auto" w:fill="auto"/>
            <w:tcMar>
              <w:top w:w="100" w:type="dxa"/>
              <w:left w:w="100" w:type="dxa"/>
              <w:bottom w:w="100" w:type="dxa"/>
              <w:right w:w="100" w:type="dxa"/>
            </w:tcMar>
          </w:tcPr>
          <w:p w:rsidR="00252340" w:rsidRPr="00D865F3" w:rsidP="002F088A" w14:paraId="1561EC31" w14:textId="77777777">
            <w:pPr>
              <w:ind w:left="0"/>
              <w:rPr>
                <w:rFonts w:eastAsia="Calibri" w:cs="Calibri"/>
                <w:color w:val="222222"/>
                <w:sz w:val="20"/>
                <w:szCs w:val="20"/>
                <w:highlight w:val="white"/>
              </w:rPr>
            </w:pPr>
            <w:r w:rsidRPr="00D865F3">
              <w:rPr>
                <w:rFonts w:eastAsia="Calibri" w:cs="Calibri"/>
                <w:color w:val="222222"/>
                <w:sz w:val="20"/>
                <w:szCs w:val="20"/>
                <w:highlight w:val="white"/>
              </w:rPr>
              <w:t>Likert, Open-ended, Rank choice</w:t>
            </w:r>
          </w:p>
        </w:tc>
      </w:tr>
      <w:tr w14:paraId="0B4F4326" w14:textId="77777777" w:rsidTr="3F09BBBE">
        <w:tblPrEx>
          <w:tblW w:w="9345" w:type="dxa"/>
          <w:tblLayout w:type="fixed"/>
          <w:tblCellMar>
            <w:top w:w="100" w:type="dxa"/>
            <w:left w:w="100" w:type="dxa"/>
            <w:bottom w:w="100" w:type="dxa"/>
            <w:right w:w="100" w:type="dxa"/>
          </w:tblCellMar>
          <w:tblLook w:val="0600"/>
        </w:tblPrEx>
        <w:tc>
          <w:tcPr>
            <w:tcW w:w="2610" w:type="dxa"/>
            <w:shd w:val="clear" w:color="auto" w:fill="auto"/>
            <w:tcMar>
              <w:top w:w="100" w:type="dxa"/>
              <w:left w:w="100" w:type="dxa"/>
              <w:bottom w:w="100" w:type="dxa"/>
              <w:right w:w="100" w:type="dxa"/>
            </w:tcMar>
          </w:tcPr>
          <w:p w:rsidR="00252340" w:rsidRPr="00D865F3" w:rsidP="002F088A" w14:paraId="1339CAD0" w14:textId="41962163">
            <w:pPr>
              <w:ind w:left="0"/>
              <w:rPr>
                <w:rFonts w:eastAsia="Calibri" w:cs="Calibri"/>
                <w:color w:val="222222"/>
                <w:sz w:val="20"/>
                <w:szCs w:val="20"/>
                <w:highlight w:val="white"/>
              </w:rPr>
            </w:pPr>
            <w:r w:rsidRPr="00D865F3">
              <w:rPr>
                <w:rFonts w:eastAsia="Calibri" w:cs="Calibri"/>
                <w:color w:val="222222"/>
                <w:sz w:val="20"/>
                <w:szCs w:val="20"/>
                <w:highlight w:val="white"/>
              </w:rPr>
              <w:t xml:space="preserve">Facilitators and Barriers </w:t>
            </w:r>
            <w:r w:rsidR="00B25CC4">
              <w:rPr>
                <w:rFonts w:eastAsia="Calibri" w:cs="Calibri"/>
                <w:color w:val="222222"/>
                <w:sz w:val="20"/>
                <w:szCs w:val="20"/>
                <w:highlight w:val="white"/>
              </w:rPr>
              <w:t>to Campaign Implementation</w:t>
            </w:r>
          </w:p>
        </w:tc>
        <w:tc>
          <w:tcPr>
            <w:tcW w:w="4130" w:type="dxa"/>
            <w:shd w:val="clear" w:color="auto" w:fill="auto"/>
            <w:tcMar>
              <w:top w:w="100" w:type="dxa"/>
              <w:left w:w="100" w:type="dxa"/>
              <w:bottom w:w="100" w:type="dxa"/>
              <w:right w:w="100" w:type="dxa"/>
            </w:tcMar>
          </w:tcPr>
          <w:p w:rsidR="00252340" w:rsidRPr="00D865F3" w:rsidP="002F088A" w14:paraId="2B26575E" w14:textId="77777777">
            <w:pPr>
              <w:ind w:left="0"/>
              <w:rPr>
                <w:rFonts w:eastAsia="Calibri" w:cs="Calibri"/>
                <w:color w:val="222222"/>
                <w:sz w:val="20"/>
                <w:szCs w:val="20"/>
                <w:highlight w:val="white"/>
              </w:rPr>
            </w:pPr>
            <w:r w:rsidRPr="00D865F3">
              <w:rPr>
                <w:rFonts w:eastAsia="Calibri" w:cs="Calibri"/>
                <w:color w:val="222222"/>
                <w:sz w:val="20"/>
                <w:szCs w:val="20"/>
                <w:highlight w:val="white"/>
              </w:rPr>
              <w:t>Identification of specific facilitators and barriers to implementation, rating specific facilitators/barriers (e.g., cost, human resources, product types)</w:t>
            </w:r>
          </w:p>
        </w:tc>
        <w:tc>
          <w:tcPr>
            <w:tcW w:w="2605" w:type="dxa"/>
            <w:shd w:val="clear" w:color="auto" w:fill="auto"/>
            <w:tcMar>
              <w:top w:w="100" w:type="dxa"/>
              <w:left w:w="100" w:type="dxa"/>
              <w:bottom w:w="100" w:type="dxa"/>
              <w:right w:w="100" w:type="dxa"/>
            </w:tcMar>
          </w:tcPr>
          <w:p w:rsidR="00252340" w:rsidRPr="00D865F3" w:rsidP="002F088A" w14:paraId="78F287C3" w14:textId="617BDA44">
            <w:pPr>
              <w:ind w:left="0"/>
              <w:rPr>
                <w:rFonts w:eastAsia="Calibri" w:cs="Calibri"/>
                <w:color w:val="222222"/>
                <w:sz w:val="20"/>
                <w:szCs w:val="20"/>
                <w:highlight w:val="white"/>
              </w:rPr>
            </w:pPr>
            <w:r w:rsidRPr="00D865F3">
              <w:rPr>
                <w:rFonts w:eastAsia="Calibri" w:cs="Calibri"/>
                <w:color w:val="222222"/>
                <w:sz w:val="20"/>
                <w:szCs w:val="20"/>
                <w:highlight w:val="white"/>
              </w:rPr>
              <w:t>Likert, Open-ended</w:t>
            </w:r>
          </w:p>
        </w:tc>
      </w:tr>
      <w:tr w14:paraId="03134033" w14:textId="77777777" w:rsidTr="3F09BBBE">
        <w:tblPrEx>
          <w:tblW w:w="9345" w:type="dxa"/>
          <w:tblLayout w:type="fixed"/>
          <w:tblCellMar>
            <w:top w:w="100" w:type="dxa"/>
            <w:left w:w="100" w:type="dxa"/>
            <w:bottom w:w="100" w:type="dxa"/>
            <w:right w:w="100" w:type="dxa"/>
          </w:tblCellMar>
          <w:tblLook w:val="0600"/>
        </w:tblPrEx>
        <w:tc>
          <w:tcPr>
            <w:tcW w:w="2610" w:type="dxa"/>
            <w:shd w:val="clear" w:color="auto" w:fill="auto"/>
            <w:tcMar>
              <w:top w:w="100" w:type="dxa"/>
              <w:left w:w="100" w:type="dxa"/>
              <w:bottom w:w="100" w:type="dxa"/>
              <w:right w:w="100" w:type="dxa"/>
            </w:tcMar>
          </w:tcPr>
          <w:p w:rsidR="00252340" w:rsidRPr="00D865F3" w:rsidP="002F088A" w14:paraId="7ACFAD4B" w14:textId="79F52130">
            <w:pPr>
              <w:ind w:left="0"/>
              <w:rPr>
                <w:rFonts w:eastAsia="Calibri" w:cs="Calibri"/>
                <w:color w:val="222222"/>
                <w:sz w:val="20"/>
                <w:szCs w:val="20"/>
                <w:highlight w:val="white"/>
              </w:rPr>
            </w:pPr>
            <w:r w:rsidRPr="00D865F3">
              <w:rPr>
                <w:rFonts w:eastAsia="Calibri" w:cs="Calibri"/>
                <w:color w:val="222222"/>
                <w:sz w:val="20"/>
                <w:szCs w:val="20"/>
                <w:highlight w:val="white"/>
              </w:rPr>
              <w:t xml:space="preserve">Lessons Learned </w:t>
            </w:r>
            <w:r w:rsidR="00B25CC4">
              <w:rPr>
                <w:rFonts w:eastAsia="Calibri" w:cs="Calibri"/>
                <w:color w:val="222222"/>
                <w:sz w:val="20"/>
                <w:szCs w:val="20"/>
                <w:highlight w:val="white"/>
              </w:rPr>
              <w:t xml:space="preserve">from Campaign Implementation </w:t>
            </w:r>
          </w:p>
        </w:tc>
        <w:tc>
          <w:tcPr>
            <w:tcW w:w="4130" w:type="dxa"/>
            <w:shd w:val="clear" w:color="auto" w:fill="auto"/>
            <w:tcMar>
              <w:top w:w="100" w:type="dxa"/>
              <w:left w:w="100" w:type="dxa"/>
              <w:bottom w:w="100" w:type="dxa"/>
              <w:right w:w="100" w:type="dxa"/>
            </w:tcMar>
          </w:tcPr>
          <w:p w:rsidR="00252340" w:rsidRPr="00D865F3" w:rsidP="002F088A" w14:paraId="0C3801B2" w14:textId="77777777">
            <w:pPr>
              <w:widowControl w:val="0"/>
              <w:ind w:left="0"/>
              <w:rPr>
                <w:rFonts w:eastAsia="Calibri" w:cs="Calibri"/>
                <w:color w:val="222222"/>
                <w:sz w:val="20"/>
                <w:szCs w:val="20"/>
                <w:highlight w:val="white"/>
              </w:rPr>
            </w:pPr>
            <w:r w:rsidRPr="00D865F3">
              <w:rPr>
                <w:rFonts w:eastAsia="Calibri" w:cs="Calibri"/>
                <w:color w:val="222222"/>
                <w:sz w:val="20"/>
                <w:szCs w:val="20"/>
                <w:highlight w:val="white"/>
              </w:rPr>
              <w:t xml:space="preserve">Identification of specific </w:t>
            </w:r>
            <w:r w:rsidRPr="00D865F3">
              <w:rPr>
                <w:rFonts w:eastAsia="Calibri" w:cs="Calibri"/>
                <w:color w:val="222222"/>
                <w:sz w:val="20"/>
                <w:szCs w:val="20"/>
              </w:rPr>
              <w:t>knowledge or understanding gained by implementing campaign resources</w:t>
            </w:r>
          </w:p>
        </w:tc>
        <w:tc>
          <w:tcPr>
            <w:tcW w:w="2605" w:type="dxa"/>
            <w:shd w:val="clear" w:color="auto" w:fill="auto"/>
            <w:tcMar>
              <w:top w:w="100" w:type="dxa"/>
              <w:left w:w="100" w:type="dxa"/>
              <w:bottom w:w="100" w:type="dxa"/>
              <w:right w:w="100" w:type="dxa"/>
            </w:tcMar>
          </w:tcPr>
          <w:p w:rsidR="00252340" w:rsidRPr="00D865F3" w:rsidP="002F088A" w14:paraId="5BA5CF6C" w14:textId="77777777">
            <w:pPr>
              <w:ind w:left="0"/>
              <w:rPr>
                <w:rFonts w:eastAsia="Calibri" w:cs="Calibri"/>
                <w:color w:val="222222"/>
                <w:sz w:val="20"/>
                <w:szCs w:val="20"/>
                <w:highlight w:val="white"/>
              </w:rPr>
            </w:pPr>
            <w:r w:rsidRPr="00D865F3">
              <w:rPr>
                <w:rFonts w:eastAsia="Calibri" w:cs="Calibri"/>
                <w:color w:val="222222"/>
                <w:sz w:val="20"/>
                <w:szCs w:val="20"/>
                <w:highlight w:val="white"/>
              </w:rPr>
              <w:t>Open-ended</w:t>
            </w:r>
          </w:p>
        </w:tc>
      </w:tr>
      <w:tr w14:paraId="2414BCCE" w14:textId="77777777" w:rsidTr="3F09BBBE">
        <w:tblPrEx>
          <w:tblW w:w="9345" w:type="dxa"/>
          <w:tblLayout w:type="fixed"/>
          <w:tblCellMar>
            <w:top w:w="100" w:type="dxa"/>
            <w:left w:w="100" w:type="dxa"/>
            <w:bottom w:w="100" w:type="dxa"/>
            <w:right w:w="100" w:type="dxa"/>
          </w:tblCellMar>
          <w:tblLook w:val="0600"/>
        </w:tblPrEx>
        <w:tc>
          <w:tcPr>
            <w:tcW w:w="2610" w:type="dxa"/>
            <w:shd w:val="clear" w:color="auto" w:fill="auto"/>
            <w:tcMar>
              <w:top w:w="100" w:type="dxa"/>
              <w:left w:w="100" w:type="dxa"/>
              <w:bottom w:w="100" w:type="dxa"/>
              <w:right w:w="100" w:type="dxa"/>
            </w:tcMar>
          </w:tcPr>
          <w:p w:rsidR="00252340" w:rsidRPr="00D865F3" w:rsidP="002F088A" w14:paraId="14928F77" w14:textId="2798C0BA">
            <w:pPr>
              <w:ind w:left="0"/>
              <w:rPr>
                <w:rFonts w:eastAsia="Calibri" w:cs="Calibri"/>
                <w:color w:val="222222"/>
                <w:sz w:val="20"/>
                <w:szCs w:val="20"/>
                <w:highlight w:val="white"/>
              </w:rPr>
            </w:pPr>
            <w:r w:rsidRPr="00D865F3">
              <w:rPr>
                <w:rFonts w:eastAsia="Calibri" w:cs="Calibri"/>
                <w:color w:val="222222"/>
                <w:sz w:val="20"/>
                <w:szCs w:val="20"/>
                <w:highlight w:val="white"/>
              </w:rPr>
              <w:t xml:space="preserve">Support Needs </w:t>
            </w:r>
            <w:r w:rsidR="00B25CC4">
              <w:rPr>
                <w:rFonts w:eastAsia="Calibri" w:cs="Calibri"/>
                <w:color w:val="222222"/>
                <w:sz w:val="20"/>
                <w:szCs w:val="20"/>
                <w:highlight w:val="white"/>
              </w:rPr>
              <w:t xml:space="preserve">for Implementation </w:t>
            </w:r>
            <w:r w:rsidRPr="00D865F3">
              <w:rPr>
                <w:rFonts w:eastAsia="Calibri" w:cs="Calibri"/>
                <w:color w:val="222222"/>
                <w:sz w:val="20"/>
                <w:szCs w:val="20"/>
                <w:highlight w:val="white"/>
              </w:rPr>
              <w:t xml:space="preserve">and </w:t>
            </w:r>
            <w:r w:rsidR="00B25CC4">
              <w:rPr>
                <w:rFonts w:eastAsia="Calibri" w:cs="Calibri"/>
                <w:color w:val="222222"/>
                <w:sz w:val="20"/>
                <w:szCs w:val="20"/>
                <w:highlight w:val="white"/>
              </w:rPr>
              <w:t xml:space="preserve">Campaigns </w:t>
            </w:r>
            <w:r w:rsidRPr="00D865F3">
              <w:rPr>
                <w:rFonts w:eastAsia="Calibri" w:cs="Calibri"/>
                <w:color w:val="222222"/>
                <w:sz w:val="20"/>
                <w:szCs w:val="20"/>
                <w:highlight w:val="white"/>
              </w:rPr>
              <w:t xml:space="preserve">Areas of Improvement </w:t>
            </w:r>
          </w:p>
        </w:tc>
        <w:tc>
          <w:tcPr>
            <w:tcW w:w="4130" w:type="dxa"/>
            <w:shd w:val="clear" w:color="auto" w:fill="auto"/>
            <w:tcMar>
              <w:top w:w="100" w:type="dxa"/>
              <w:left w:w="100" w:type="dxa"/>
              <w:bottom w:w="100" w:type="dxa"/>
              <w:right w:w="100" w:type="dxa"/>
            </w:tcMar>
          </w:tcPr>
          <w:p w:rsidR="00252340" w:rsidRPr="00D865F3" w:rsidP="002F088A" w14:paraId="55967EC8" w14:textId="77777777">
            <w:pPr>
              <w:widowControl w:val="0"/>
              <w:ind w:left="0"/>
              <w:rPr>
                <w:rFonts w:eastAsia="Calibri" w:cs="Calibri"/>
                <w:color w:val="222222"/>
                <w:sz w:val="20"/>
                <w:szCs w:val="20"/>
                <w:highlight w:val="white"/>
              </w:rPr>
            </w:pPr>
            <w:r w:rsidRPr="00D865F3">
              <w:rPr>
                <w:rFonts w:eastAsia="Calibri" w:cs="Calibri"/>
                <w:color w:val="222222"/>
                <w:sz w:val="20"/>
                <w:szCs w:val="20"/>
                <w:highlight w:val="white"/>
              </w:rPr>
              <w:t>Identification of needs, rating specific types of support areas (e.g., training, strategy), areas of improvement</w:t>
            </w:r>
          </w:p>
        </w:tc>
        <w:tc>
          <w:tcPr>
            <w:tcW w:w="2605" w:type="dxa"/>
            <w:shd w:val="clear" w:color="auto" w:fill="auto"/>
            <w:tcMar>
              <w:top w:w="100" w:type="dxa"/>
              <w:left w:w="100" w:type="dxa"/>
              <w:bottom w:w="100" w:type="dxa"/>
              <w:right w:w="100" w:type="dxa"/>
            </w:tcMar>
          </w:tcPr>
          <w:p w:rsidR="00252340" w:rsidRPr="00D865F3" w:rsidP="002F088A" w14:paraId="098A9221" w14:textId="0C052EB1">
            <w:pPr>
              <w:ind w:left="0"/>
              <w:rPr>
                <w:rFonts w:eastAsia="Calibri" w:cs="Calibri"/>
                <w:color w:val="222222"/>
                <w:sz w:val="20"/>
                <w:szCs w:val="20"/>
                <w:highlight w:val="white"/>
              </w:rPr>
            </w:pPr>
            <w:r w:rsidRPr="00D865F3">
              <w:rPr>
                <w:rFonts w:eastAsia="Calibri" w:cs="Calibri"/>
                <w:color w:val="222222"/>
                <w:sz w:val="20"/>
                <w:szCs w:val="20"/>
                <w:highlight w:val="white"/>
              </w:rPr>
              <w:t>Likert, Open-ended</w:t>
            </w:r>
          </w:p>
        </w:tc>
      </w:tr>
      <w:tr w14:paraId="56062F88" w14:textId="77777777" w:rsidTr="3F09BBBE">
        <w:tblPrEx>
          <w:tblW w:w="9345" w:type="dxa"/>
          <w:tblLayout w:type="fixed"/>
          <w:tblCellMar>
            <w:top w:w="100" w:type="dxa"/>
            <w:left w:w="100" w:type="dxa"/>
            <w:bottom w:w="100" w:type="dxa"/>
            <w:right w:w="100" w:type="dxa"/>
          </w:tblCellMar>
          <w:tblLook w:val="0600"/>
        </w:tblPrEx>
        <w:tc>
          <w:tcPr>
            <w:tcW w:w="2610" w:type="dxa"/>
            <w:shd w:val="clear" w:color="auto" w:fill="auto"/>
            <w:tcMar>
              <w:top w:w="100" w:type="dxa"/>
              <w:left w:w="100" w:type="dxa"/>
              <w:bottom w:w="100" w:type="dxa"/>
              <w:right w:w="100" w:type="dxa"/>
            </w:tcMar>
          </w:tcPr>
          <w:p w:rsidR="00252340" w:rsidRPr="00D865F3" w:rsidP="002F088A" w14:paraId="4A9BE2E2" w14:textId="159F4D47">
            <w:pPr>
              <w:ind w:left="0"/>
              <w:rPr>
                <w:rFonts w:eastAsia="Calibri" w:cs="Calibri"/>
                <w:color w:val="222222"/>
                <w:sz w:val="20"/>
                <w:szCs w:val="20"/>
                <w:highlight w:val="white"/>
              </w:rPr>
            </w:pPr>
            <w:r>
              <w:rPr>
                <w:rFonts w:eastAsia="Calibri" w:cs="Calibri"/>
                <w:color w:val="222222"/>
                <w:sz w:val="20"/>
                <w:szCs w:val="20"/>
                <w:highlight w:val="white"/>
              </w:rPr>
              <w:t>Organization Information</w:t>
            </w:r>
          </w:p>
        </w:tc>
        <w:tc>
          <w:tcPr>
            <w:tcW w:w="4130" w:type="dxa"/>
            <w:shd w:val="clear" w:color="auto" w:fill="auto"/>
            <w:tcMar>
              <w:top w:w="100" w:type="dxa"/>
              <w:left w:w="100" w:type="dxa"/>
              <w:bottom w:w="100" w:type="dxa"/>
              <w:right w:w="100" w:type="dxa"/>
            </w:tcMar>
          </w:tcPr>
          <w:p w:rsidR="00252340" w:rsidRPr="00D865F3" w:rsidP="002F088A" w14:paraId="595BCCD8" w14:textId="5AB7F75F">
            <w:pPr>
              <w:widowControl w:val="0"/>
              <w:ind w:left="0"/>
              <w:rPr>
                <w:rFonts w:eastAsia="Calibri" w:cs="Calibri"/>
                <w:color w:val="222222"/>
                <w:sz w:val="20"/>
                <w:szCs w:val="20"/>
                <w:highlight w:val="white"/>
              </w:rPr>
            </w:pPr>
            <w:r w:rsidRPr="3F09BBBE">
              <w:rPr>
                <w:rFonts w:eastAsia="Calibri" w:cs="Calibri"/>
                <w:color w:val="222222"/>
                <w:sz w:val="20"/>
                <w:szCs w:val="20"/>
                <w:highlight w:val="white"/>
              </w:rPr>
              <w:t xml:space="preserve">Organization type, years as an OD2A </w:t>
            </w:r>
            <w:r w:rsidRPr="3F09BBBE" w:rsidR="7E65DCE3">
              <w:rPr>
                <w:rFonts w:eastAsia="Calibri" w:cs="Calibri"/>
                <w:color w:val="222222"/>
                <w:sz w:val="20"/>
                <w:szCs w:val="20"/>
                <w:highlight w:val="white"/>
              </w:rPr>
              <w:t>grantee</w:t>
            </w:r>
          </w:p>
        </w:tc>
        <w:tc>
          <w:tcPr>
            <w:tcW w:w="2605" w:type="dxa"/>
            <w:shd w:val="clear" w:color="auto" w:fill="auto"/>
            <w:tcMar>
              <w:top w:w="100" w:type="dxa"/>
              <w:left w:w="100" w:type="dxa"/>
              <w:bottom w:w="100" w:type="dxa"/>
              <w:right w:w="100" w:type="dxa"/>
            </w:tcMar>
          </w:tcPr>
          <w:p w:rsidR="00252340" w:rsidRPr="00D865F3" w:rsidP="002F088A" w14:paraId="31CE6505" w14:textId="77777777">
            <w:pPr>
              <w:widowControl w:val="0"/>
              <w:ind w:left="0"/>
              <w:rPr>
                <w:rFonts w:eastAsia="Calibri" w:cs="Calibri"/>
                <w:color w:val="222222"/>
                <w:sz w:val="20"/>
                <w:szCs w:val="20"/>
                <w:highlight w:val="white"/>
              </w:rPr>
            </w:pPr>
            <w:r w:rsidRPr="00D865F3">
              <w:rPr>
                <w:rFonts w:eastAsia="Calibri" w:cs="Calibri"/>
                <w:color w:val="222222"/>
                <w:sz w:val="20"/>
                <w:szCs w:val="20"/>
                <w:highlight w:val="white"/>
              </w:rPr>
              <w:t>Multiple choice, Likert, Open-ended</w:t>
            </w:r>
          </w:p>
        </w:tc>
      </w:tr>
    </w:tbl>
    <w:p w:rsidR="001F1D6E" w:rsidP="00383542" w14:paraId="795636AB" w14:textId="6F3E7EA3">
      <w:pPr>
        <w:ind w:left="0"/>
        <w:rPr>
          <w:lang w:eastAsia="zh-CN"/>
        </w:rPr>
      </w:pPr>
    </w:p>
    <w:p w:rsidR="00BD4599" w:rsidP="00383542" w14:paraId="6B1066A3" w14:textId="77777777">
      <w:pPr>
        <w:ind w:left="0"/>
        <w:rPr>
          <w:lang w:eastAsia="zh-CN"/>
        </w:rPr>
      </w:pPr>
    </w:p>
    <w:p w:rsidR="00B12F51" w:rsidRPr="00014361" w:rsidP="00692DEB" w14:paraId="02E7EB51" w14:textId="1EBE864A">
      <w:pPr>
        <w:pStyle w:val="Heading4"/>
      </w:pPr>
      <w:bookmarkStart w:id="6" w:name="_Toc162967734"/>
      <w:r w:rsidRPr="00014361">
        <w:t>Purpose and Use of the Information Collection</w:t>
      </w:r>
      <w:bookmarkEnd w:id="6"/>
    </w:p>
    <w:p w:rsidR="001559A4" w:rsidRPr="00BC4DAB" w:rsidP="3F09BBBE" w14:paraId="1A2F48D1" w14:textId="3498B70C">
      <w:pPr>
        <w:pStyle w:val="Normal2"/>
        <w:ind w:left="360"/>
        <w:rPr>
          <w:rFonts w:asciiTheme="majorHAnsi" w:hAnsiTheme="majorHAnsi"/>
        </w:rPr>
      </w:pPr>
      <w:r w:rsidRPr="3F09BBBE">
        <w:rPr>
          <w:rFonts w:asciiTheme="majorHAnsi" w:hAnsiTheme="majorHAnsi"/>
          <w:lang w:eastAsia="en-GB"/>
        </w:rPr>
        <w:t xml:space="preserve">The purpose of this data collection effort is to assess </w:t>
      </w:r>
      <w:r w:rsidRPr="3F09BBBE" w:rsidR="00094503">
        <w:rPr>
          <w:rFonts w:asciiTheme="majorHAnsi" w:hAnsiTheme="majorHAnsi"/>
          <w:lang w:eastAsia="en-GB"/>
        </w:rPr>
        <w:t xml:space="preserve">and </w:t>
      </w:r>
      <w:r w:rsidRPr="3F09BBBE" w:rsidR="002774C4">
        <w:rPr>
          <w:rFonts w:asciiTheme="majorHAnsi" w:hAnsiTheme="majorHAnsi"/>
          <w:lang w:eastAsia="en-GB"/>
        </w:rPr>
        <w:t>characterize</w:t>
      </w:r>
      <w:r w:rsidRPr="3F09BBBE">
        <w:rPr>
          <w:rFonts w:asciiTheme="majorHAnsi" w:hAnsiTheme="majorHAnsi"/>
          <w:lang w:eastAsia="en-GB"/>
        </w:rPr>
        <w:t xml:space="preserve"> OD2A </w:t>
      </w:r>
      <w:r w:rsidRPr="3F09BBBE" w:rsidR="000C4270">
        <w:rPr>
          <w:rFonts w:asciiTheme="majorHAnsi" w:hAnsiTheme="majorHAnsi"/>
          <w:lang w:eastAsia="en-GB"/>
        </w:rPr>
        <w:t xml:space="preserve">grantees’ </w:t>
      </w:r>
      <w:r w:rsidRPr="3F09BBBE">
        <w:rPr>
          <w:rFonts w:asciiTheme="majorHAnsi" w:hAnsiTheme="majorHAnsi"/>
          <w:lang w:eastAsia="en-GB"/>
        </w:rPr>
        <w:t xml:space="preserve">implementation of CDC’s four Stop Overdose campaigns. </w:t>
      </w:r>
      <w:r w:rsidRPr="3F09BBBE" w:rsidR="00CF02B2">
        <w:rPr>
          <w:rFonts w:asciiTheme="majorHAnsi" w:hAnsiTheme="majorHAnsi"/>
        </w:rPr>
        <w:t>To achieve this, we will use a</w:t>
      </w:r>
      <w:r w:rsidRPr="3F09BBBE" w:rsidR="009D28C4">
        <w:rPr>
          <w:rFonts w:asciiTheme="majorHAnsi" w:hAnsiTheme="majorHAnsi"/>
        </w:rPr>
        <w:t>n online</w:t>
      </w:r>
      <w:r w:rsidRPr="3F09BBBE" w:rsidR="00CF02B2">
        <w:rPr>
          <w:rFonts w:asciiTheme="majorHAnsi" w:hAnsiTheme="majorHAnsi"/>
        </w:rPr>
        <w:t xml:space="preserve"> survey</w:t>
      </w:r>
      <w:r w:rsidRPr="3F09BBBE" w:rsidR="00D27F2D">
        <w:rPr>
          <w:rFonts w:asciiTheme="majorHAnsi" w:hAnsiTheme="majorHAnsi"/>
        </w:rPr>
        <w:t xml:space="preserve"> to assess </w:t>
      </w:r>
      <w:r w:rsidRPr="3F09BBBE" w:rsidR="00EE08B3">
        <w:rPr>
          <w:rFonts w:asciiTheme="majorHAnsi" w:hAnsiTheme="majorHAnsi"/>
        </w:rPr>
        <w:t xml:space="preserve">grantees’ </w:t>
      </w:r>
      <w:r w:rsidRPr="3F09BBBE" w:rsidR="00D27F2D">
        <w:rPr>
          <w:rFonts w:asciiTheme="majorHAnsi" w:hAnsiTheme="majorHAnsi"/>
        </w:rPr>
        <w:t xml:space="preserve">implementation of </w:t>
      </w:r>
      <w:r w:rsidRPr="3F09BBBE" w:rsidR="00905675">
        <w:rPr>
          <w:rFonts w:asciiTheme="majorHAnsi" w:hAnsiTheme="majorHAnsi"/>
        </w:rPr>
        <w:t>Stop Overdose campaign</w:t>
      </w:r>
      <w:r w:rsidRPr="3F09BBBE" w:rsidR="008D6025">
        <w:rPr>
          <w:rFonts w:asciiTheme="majorHAnsi" w:hAnsiTheme="majorHAnsi"/>
        </w:rPr>
        <w:t>s</w:t>
      </w:r>
      <w:r w:rsidRPr="3F09BBBE" w:rsidR="00D84597">
        <w:rPr>
          <w:rFonts w:asciiTheme="majorHAnsi" w:hAnsiTheme="majorHAnsi"/>
        </w:rPr>
        <w:t>,</w:t>
      </w:r>
      <w:r w:rsidRPr="3F09BBBE" w:rsidR="00A71CA3">
        <w:rPr>
          <w:rFonts w:asciiTheme="majorHAnsi" w:hAnsiTheme="majorHAnsi"/>
        </w:rPr>
        <w:t xml:space="preserve"> understand</w:t>
      </w:r>
      <w:r w:rsidRPr="3F09BBBE" w:rsidR="00D84597">
        <w:rPr>
          <w:rFonts w:asciiTheme="majorHAnsi" w:hAnsiTheme="majorHAnsi"/>
        </w:rPr>
        <w:t xml:space="preserve"> </w:t>
      </w:r>
      <w:r w:rsidRPr="3F09BBBE" w:rsidR="000C4270">
        <w:rPr>
          <w:rFonts w:asciiTheme="majorHAnsi" w:hAnsiTheme="majorHAnsi"/>
        </w:rPr>
        <w:t xml:space="preserve">their </w:t>
      </w:r>
      <w:r w:rsidRPr="3F09BBBE" w:rsidR="00234EC8">
        <w:rPr>
          <w:rFonts w:asciiTheme="majorHAnsi" w:hAnsiTheme="majorHAnsi"/>
        </w:rPr>
        <w:t>perception</w:t>
      </w:r>
      <w:r w:rsidRPr="3F09BBBE" w:rsidR="00EC0C0F">
        <w:rPr>
          <w:rFonts w:asciiTheme="majorHAnsi" w:hAnsiTheme="majorHAnsi"/>
        </w:rPr>
        <w:t>s</w:t>
      </w:r>
      <w:r w:rsidRPr="3F09BBBE" w:rsidR="00234EC8">
        <w:rPr>
          <w:rFonts w:asciiTheme="majorHAnsi" w:hAnsiTheme="majorHAnsi"/>
        </w:rPr>
        <w:t xml:space="preserve"> of campaign materials</w:t>
      </w:r>
      <w:r w:rsidRPr="3F09BBBE" w:rsidR="00D84597">
        <w:rPr>
          <w:rFonts w:asciiTheme="majorHAnsi" w:hAnsiTheme="majorHAnsi"/>
        </w:rPr>
        <w:t xml:space="preserve">, identify </w:t>
      </w:r>
      <w:r w:rsidRPr="3F09BBBE" w:rsidR="00D84597">
        <w:rPr>
          <w:rFonts w:asciiTheme="majorHAnsi" w:hAnsiTheme="majorHAnsi"/>
          <w:lang w:eastAsia="en-GB"/>
        </w:rPr>
        <w:t xml:space="preserve">barriers </w:t>
      </w:r>
      <w:r w:rsidRPr="3F09BBBE" w:rsidR="008D6025">
        <w:rPr>
          <w:rFonts w:asciiTheme="majorHAnsi" w:hAnsiTheme="majorHAnsi"/>
          <w:lang w:eastAsia="en-GB"/>
        </w:rPr>
        <w:t xml:space="preserve">to </w:t>
      </w:r>
      <w:r w:rsidRPr="3F09BBBE" w:rsidR="00D84597">
        <w:rPr>
          <w:rFonts w:asciiTheme="majorHAnsi" w:hAnsiTheme="majorHAnsi"/>
          <w:lang w:eastAsia="en-GB"/>
        </w:rPr>
        <w:t>and facilitators</w:t>
      </w:r>
      <w:r w:rsidRPr="3F09BBBE" w:rsidR="0036532B">
        <w:rPr>
          <w:rFonts w:asciiTheme="majorHAnsi" w:hAnsiTheme="majorHAnsi"/>
          <w:lang w:eastAsia="en-GB"/>
        </w:rPr>
        <w:t xml:space="preserve"> </w:t>
      </w:r>
      <w:r w:rsidRPr="3F09BBBE" w:rsidR="008D6025">
        <w:rPr>
          <w:rFonts w:asciiTheme="majorHAnsi" w:hAnsiTheme="majorHAnsi"/>
          <w:lang w:eastAsia="en-GB"/>
        </w:rPr>
        <w:t xml:space="preserve">of </w:t>
      </w:r>
      <w:r w:rsidRPr="3F09BBBE" w:rsidR="0036532B">
        <w:rPr>
          <w:rFonts w:asciiTheme="majorHAnsi" w:hAnsiTheme="majorHAnsi"/>
          <w:lang w:eastAsia="en-GB"/>
        </w:rPr>
        <w:t xml:space="preserve">implementation, </w:t>
      </w:r>
      <w:r w:rsidRPr="3F09BBBE" w:rsidR="00234EC8">
        <w:rPr>
          <w:rFonts w:asciiTheme="majorHAnsi" w:hAnsiTheme="majorHAnsi"/>
          <w:lang w:eastAsia="en-GB"/>
        </w:rPr>
        <w:t>identify lessons learned from</w:t>
      </w:r>
      <w:r w:rsidRPr="3F09BBBE" w:rsidR="0036532B">
        <w:rPr>
          <w:rFonts w:asciiTheme="majorHAnsi" w:hAnsiTheme="majorHAnsi"/>
          <w:lang w:eastAsia="en-GB"/>
        </w:rPr>
        <w:t xml:space="preserve"> implementation, </w:t>
      </w:r>
      <w:r w:rsidRPr="3F09BBBE" w:rsidR="00D84597">
        <w:rPr>
          <w:rFonts w:asciiTheme="majorHAnsi" w:hAnsiTheme="majorHAnsi"/>
          <w:lang w:eastAsia="en-GB"/>
        </w:rPr>
        <w:t xml:space="preserve">and </w:t>
      </w:r>
      <w:r w:rsidRPr="3F09BBBE">
        <w:rPr>
          <w:rFonts w:asciiTheme="majorHAnsi" w:hAnsiTheme="majorHAnsi"/>
          <w:lang w:eastAsia="en-GB"/>
        </w:rPr>
        <w:t xml:space="preserve">identify </w:t>
      </w:r>
      <w:r w:rsidRPr="3F09BBBE" w:rsidR="00D84597">
        <w:rPr>
          <w:rFonts w:asciiTheme="majorHAnsi" w:hAnsiTheme="majorHAnsi"/>
          <w:lang w:eastAsia="en-GB"/>
        </w:rPr>
        <w:t xml:space="preserve">areas of </w:t>
      </w:r>
      <w:r w:rsidRPr="3F09BBBE" w:rsidR="008D6025">
        <w:rPr>
          <w:rFonts w:asciiTheme="majorHAnsi" w:hAnsiTheme="majorHAnsi"/>
          <w:lang w:eastAsia="en-GB"/>
        </w:rPr>
        <w:t xml:space="preserve">campaign </w:t>
      </w:r>
      <w:r w:rsidRPr="3F09BBBE" w:rsidR="00D84597">
        <w:rPr>
          <w:rFonts w:asciiTheme="majorHAnsi" w:hAnsiTheme="majorHAnsi"/>
          <w:lang w:eastAsia="en-GB"/>
        </w:rPr>
        <w:t xml:space="preserve">improvement </w:t>
      </w:r>
      <w:r w:rsidRPr="3F09BBBE" w:rsidR="00DA1971">
        <w:rPr>
          <w:rFonts w:asciiTheme="majorHAnsi" w:hAnsiTheme="majorHAnsi"/>
          <w:lang w:eastAsia="en-GB"/>
        </w:rPr>
        <w:t>areas</w:t>
      </w:r>
      <w:r w:rsidRPr="3F09BBBE" w:rsidR="008D6025">
        <w:rPr>
          <w:rFonts w:asciiTheme="majorHAnsi" w:hAnsiTheme="majorHAnsi"/>
          <w:lang w:eastAsia="en-GB"/>
        </w:rPr>
        <w:t xml:space="preserve"> </w:t>
      </w:r>
      <w:r w:rsidRPr="3F09BBBE" w:rsidR="00D84597">
        <w:rPr>
          <w:rFonts w:asciiTheme="majorHAnsi" w:hAnsiTheme="majorHAnsi"/>
          <w:lang w:eastAsia="en-GB"/>
        </w:rPr>
        <w:t xml:space="preserve">and opportunities for CDC to better support state and local partners. </w:t>
      </w:r>
      <w:r w:rsidRPr="3F09BBBE" w:rsidR="00162E7C">
        <w:rPr>
          <w:rFonts w:asciiTheme="majorHAnsi" w:hAnsiTheme="majorHAnsi"/>
          <w:lang w:eastAsia="en-GB"/>
        </w:rPr>
        <w:t>This effort address</w:t>
      </w:r>
      <w:r w:rsidRPr="3F09BBBE" w:rsidR="00EC75F4">
        <w:rPr>
          <w:rFonts w:asciiTheme="majorHAnsi" w:hAnsiTheme="majorHAnsi"/>
          <w:lang w:eastAsia="en-GB"/>
        </w:rPr>
        <w:t>es</w:t>
      </w:r>
      <w:r w:rsidRPr="3F09BBBE" w:rsidR="007062BB">
        <w:rPr>
          <w:rFonts w:asciiTheme="majorHAnsi" w:hAnsiTheme="majorHAnsi"/>
          <w:lang w:eastAsia="en-GB"/>
        </w:rPr>
        <w:t xml:space="preserve"> </w:t>
      </w:r>
      <w:r w:rsidRPr="3F09BBBE" w:rsidR="00FC3BDE">
        <w:rPr>
          <w:rFonts w:asciiTheme="majorHAnsi" w:hAnsiTheme="majorHAnsi"/>
          <w:lang w:eastAsia="en-GB"/>
        </w:rPr>
        <w:t>e</w:t>
      </w:r>
      <w:r w:rsidRPr="3F09BBBE" w:rsidR="001F1D6E">
        <w:rPr>
          <w:rFonts w:asciiTheme="majorHAnsi" w:hAnsiTheme="majorHAnsi"/>
          <w:lang w:eastAsia="en-GB"/>
        </w:rPr>
        <w:t>ssential</w:t>
      </w:r>
      <w:r w:rsidRPr="3F09BBBE" w:rsidR="00FC3BDE">
        <w:rPr>
          <w:rFonts w:asciiTheme="majorHAnsi" w:hAnsiTheme="majorHAnsi"/>
          <w:lang w:eastAsia="en-GB"/>
        </w:rPr>
        <w:t xml:space="preserve"> p</w:t>
      </w:r>
      <w:r w:rsidRPr="3F09BBBE" w:rsidR="001F1D6E">
        <w:rPr>
          <w:rFonts w:asciiTheme="majorHAnsi" w:hAnsiTheme="majorHAnsi"/>
          <w:lang w:eastAsia="en-GB"/>
        </w:rPr>
        <w:t xml:space="preserve">ublic </w:t>
      </w:r>
      <w:r w:rsidRPr="3F09BBBE" w:rsidR="00FC3BDE">
        <w:rPr>
          <w:rFonts w:asciiTheme="majorHAnsi" w:hAnsiTheme="majorHAnsi"/>
          <w:lang w:eastAsia="en-GB"/>
        </w:rPr>
        <w:t>h</w:t>
      </w:r>
      <w:r w:rsidRPr="3F09BBBE" w:rsidR="001F1D6E">
        <w:rPr>
          <w:rFonts w:asciiTheme="majorHAnsi" w:hAnsiTheme="majorHAnsi"/>
          <w:lang w:eastAsia="en-GB"/>
        </w:rPr>
        <w:t xml:space="preserve">ealth </w:t>
      </w:r>
      <w:r w:rsidRPr="3F09BBBE" w:rsidR="00FC3BDE">
        <w:rPr>
          <w:rFonts w:asciiTheme="majorHAnsi" w:hAnsiTheme="majorHAnsi"/>
          <w:lang w:eastAsia="en-GB"/>
        </w:rPr>
        <w:t>s</w:t>
      </w:r>
      <w:r w:rsidRPr="3F09BBBE" w:rsidR="001F1D6E">
        <w:rPr>
          <w:rFonts w:asciiTheme="majorHAnsi" w:hAnsiTheme="majorHAnsi"/>
          <w:lang w:eastAsia="en-GB"/>
        </w:rPr>
        <w:t xml:space="preserve">ervices (EPHS) </w:t>
      </w:r>
      <w:r w:rsidRPr="3F09BBBE" w:rsidR="007062BB">
        <w:rPr>
          <w:rFonts w:asciiTheme="majorHAnsi" w:hAnsiTheme="majorHAnsi"/>
          <w:lang w:eastAsia="en-GB"/>
        </w:rPr>
        <w:t xml:space="preserve">3 and 7. </w:t>
      </w:r>
      <w:r w:rsidRPr="3F09BBBE" w:rsidR="00100C95">
        <w:rPr>
          <w:rFonts w:asciiTheme="majorHAnsi" w:hAnsiTheme="majorHAnsi"/>
          <w:lang w:eastAsia="en-GB"/>
        </w:rPr>
        <w:t xml:space="preserve">The </w:t>
      </w:r>
      <w:r w:rsidRPr="3F09BBBE" w:rsidR="00B809C9">
        <w:rPr>
          <w:rFonts w:asciiTheme="majorHAnsi" w:hAnsiTheme="majorHAnsi"/>
          <w:lang w:eastAsia="en-GB"/>
        </w:rPr>
        <w:t xml:space="preserve">Stop </w:t>
      </w:r>
      <w:r w:rsidRPr="3F09BBBE" w:rsidR="00100C95">
        <w:rPr>
          <w:rFonts w:asciiTheme="majorHAnsi" w:hAnsiTheme="majorHAnsi"/>
          <w:lang w:eastAsia="en-GB"/>
        </w:rPr>
        <w:t xml:space="preserve">Overdose campaigns </w:t>
      </w:r>
      <w:r w:rsidRPr="3F09BBBE" w:rsidR="00F26E22">
        <w:rPr>
          <w:rFonts w:asciiTheme="majorHAnsi" w:hAnsiTheme="majorHAnsi"/>
          <w:lang w:eastAsia="en-GB"/>
        </w:rPr>
        <w:t>are health education efforts</w:t>
      </w:r>
      <w:r w:rsidRPr="3F09BBBE" w:rsidR="00BC4DAB">
        <w:rPr>
          <w:rFonts w:asciiTheme="majorHAnsi" w:hAnsiTheme="majorHAnsi"/>
          <w:lang w:eastAsia="en-GB"/>
        </w:rPr>
        <w:t xml:space="preserve"> </w:t>
      </w:r>
      <w:r w:rsidRPr="3F09BBBE" w:rsidR="00F26E22">
        <w:rPr>
          <w:rFonts w:asciiTheme="majorHAnsi" w:hAnsiTheme="majorHAnsi"/>
          <w:lang w:eastAsia="en-GB"/>
        </w:rPr>
        <w:t>t</w:t>
      </w:r>
      <w:r w:rsidRPr="3F09BBBE" w:rsidR="00F37A6A">
        <w:rPr>
          <w:rFonts w:asciiTheme="majorHAnsi" w:hAnsiTheme="majorHAnsi"/>
          <w:lang w:eastAsia="en-GB"/>
        </w:rPr>
        <w:t>hat support</w:t>
      </w:r>
      <w:r w:rsidRPr="3F09BBBE" w:rsidR="00BC4DAB">
        <w:rPr>
          <w:rFonts w:asciiTheme="majorHAnsi" w:hAnsiTheme="majorHAnsi"/>
          <w:lang w:eastAsia="en-GB"/>
        </w:rPr>
        <w:t xml:space="preserve"> </w:t>
      </w:r>
      <w:r w:rsidRPr="3F09BBBE" w:rsidR="00F37A6A">
        <w:rPr>
          <w:rFonts w:asciiTheme="majorHAnsi" w:hAnsiTheme="majorHAnsi"/>
        </w:rPr>
        <w:t>c</w:t>
      </w:r>
      <w:r w:rsidRPr="3F09BBBE">
        <w:rPr>
          <w:rFonts w:asciiTheme="majorHAnsi" w:hAnsiTheme="majorHAnsi"/>
        </w:rPr>
        <w:t>ommunicat</w:t>
      </w:r>
      <w:r w:rsidRPr="3F09BBBE" w:rsidR="00F37A6A">
        <w:rPr>
          <w:rFonts w:asciiTheme="majorHAnsi" w:hAnsiTheme="majorHAnsi"/>
        </w:rPr>
        <w:t>ing</w:t>
      </w:r>
      <w:r w:rsidRPr="3F09BBBE">
        <w:rPr>
          <w:rFonts w:asciiTheme="majorHAnsi" w:hAnsiTheme="majorHAnsi"/>
        </w:rPr>
        <w:t xml:space="preserve"> effectively to inform and educate people about </w:t>
      </w:r>
      <w:r w:rsidRPr="3F09BBBE" w:rsidR="00F37A6A">
        <w:rPr>
          <w:rFonts w:asciiTheme="majorHAnsi" w:hAnsiTheme="majorHAnsi"/>
        </w:rPr>
        <w:t>drug overdose, the</w:t>
      </w:r>
      <w:r w:rsidRPr="3F09BBBE">
        <w:rPr>
          <w:rFonts w:asciiTheme="majorHAnsi" w:hAnsiTheme="majorHAnsi"/>
        </w:rPr>
        <w:t xml:space="preserve"> factors that influence it, and how to improve </w:t>
      </w:r>
      <w:r w:rsidRPr="3F09BBBE" w:rsidR="00F37A6A">
        <w:rPr>
          <w:rFonts w:asciiTheme="majorHAnsi" w:hAnsiTheme="majorHAnsi"/>
        </w:rPr>
        <w:t>outcomes related to the drug overdose epidemic (</w:t>
      </w:r>
      <w:r w:rsidRPr="3F09BBBE" w:rsidR="001F1D6E">
        <w:rPr>
          <w:rFonts w:asciiTheme="majorHAnsi" w:hAnsiTheme="majorHAnsi"/>
        </w:rPr>
        <w:t xml:space="preserve">EPHS </w:t>
      </w:r>
      <w:r w:rsidRPr="3F09BBBE" w:rsidR="00F37A6A">
        <w:rPr>
          <w:rFonts w:asciiTheme="majorHAnsi" w:hAnsiTheme="majorHAnsi"/>
        </w:rPr>
        <w:t>3)</w:t>
      </w:r>
      <w:r w:rsidRPr="3F09BBBE">
        <w:rPr>
          <w:rFonts w:asciiTheme="majorHAnsi" w:hAnsiTheme="majorHAnsi"/>
        </w:rPr>
        <w:t xml:space="preserve">. </w:t>
      </w:r>
      <w:r w:rsidRPr="3F09BBBE" w:rsidR="00A95807">
        <w:rPr>
          <w:rFonts w:asciiTheme="majorHAnsi" w:hAnsiTheme="majorHAnsi"/>
        </w:rPr>
        <w:t>B</w:t>
      </w:r>
      <w:r w:rsidRPr="3F09BBBE" w:rsidR="00F37A6A">
        <w:rPr>
          <w:rFonts w:asciiTheme="majorHAnsi" w:hAnsiTheme="majorHAnsi"/>
        </w:rPr>
        <w:t>y engaging in a process evaluat</w:t>
      </w:r>
      <w:r w:rsidRPr="3F09BBBE" w:rsidR="00D13D12">
        <w:rPr>
          <w:rFonts w:asciiTheme="majorHAnsi" w:hAnsiTheme="majorHAnsi"/>
        </w:rPr>
        <w:t>i</w:t>
      </w:r>
      <w:r w:rsidRPr="3F09BBBE" w:rsidR="00F37A6A">
        <w:rPr>
          <w:rFonts w:asciiTheme="majorHAnsi" w:hAnsiTheme="majorHAnsi"/>
        </w:rPr>
        <w:t xml:space="preserve">on </w:t>
      </w:r>
      <w:r w:rsidRPr="3F09BBBE" w:rsidR="00D13D12">
        <w:rPr>
          <w:rFonts w:asciiTheme="majorHAnsi" w:hAnsiTheme="majorHAnsi"/>
        </w:rPr>
        <w:t xml:space="preserve">of </w:t>
      </w:r>
      <w:r w:rsidRPr="3F09BBBE" w:rsidR="008153C8">
        <w:rPr>
          <w:rFonts w:asciiTheme="majorHAnsi" w:hAnsiTheme="majorHAnsi"/>
        </w:rPr>
        <w:t>campaign</w:t>
      </w:r>
      <w:r w:rsidRPr="3F09BBBE" w:rsidR="00D13D12">
        <w:rPr>
          <w:rFonts w:asciiTheme="majorHAnsi" w:hAnsiTheme="majorHAnsi"/>
        </w:rPr>
        <w:t xml:space="preserve"> </w:t>
      </w:r>
      <w:r w:rsidRPr="3F09BBBE" w:rsidR="00142EF2">
        <w:rPr>
          <w:rFonts w:asciiTheme="majorHAnsi" w:hAnsiTheme="majorHAnsi"/>
        </w:rPr>
        <w:t>implementation</w:t>
      </w:r>
      <w:r w:rsidRPr="3F09BBBE" w:rsidR="00D13D12">
        <w:rPr>
          <w:rFonts w:asciiTheme="majorHAnsi" w:hAnsiTheme="majorHAnsi"/>
        </w:rPr>
        <w:t xml:space="preserve"> among O</w:t>
      </w:r>
      <w:r w:rsidRPr="3F09BBBE" w:rsidR="001F1D6E">
        <w:rPr>
          <w:rFonts w:asciiTheme="majorHAnsi" w:hAnsiTheme="majorHAnsi"/>
        </w:rPr>
        <w:t>D</w:t>
      </w:r>
      <w:r w:rsidRPr="3F09BBBE" w:rsidR="00D13D12">
        <w:rPr>
          <w:rFonts w:asciiTheme="majorHAnsi" w:hAnsiTheme="majorHAnsi"/>
        </w:rPr>
        <w:t xml:space="preserve">2A </w:t>
      </w:r>
      <w:r w:rsidRPr="3F09BBBE" w:rsidR="00681887">
        <w:rPr>
          <w:rFonts w:asciiTheme="majorHAnsi" w:hAnsiTheme="majorHAnsi"/>
        </w:rPr>
        <w:t>grantees</w:t>
      </w:r>
      <w:r w:rsidRPr="3F09BBBE" w:rsidR="00D13D12">
        <w:rPr>
          <w:rFonts w:asciiTheme="majorHAnsi" w:hAnsiTheme="majorHAnsi"/>
        </w:rPr>
        <w:t>, this effort will serve to i</w:t>
      </w:r>
      <w:r w:rsidRPr="3F09BBBE">
        <w:rPr>
          <w:rFonts w:asciiTheme="majorHAnsi" w:hAnsiTheme="majorHAnsi"/>
        </w:rPr>
        <w:t>mprove and innovate public health functions through ongoing evaluation, research, and continuous quality improvement</w:t>
      </w:r>
      <w:r w:rsidRPr="3F09BBBE" w:rsidR="00D13D12">
        <w:rPr>
          <w:rFonts w:asciiTheme="majorHAnsi" w:hAnsiTheme="majorHAnsi"/>
        </w:rPr>
        <w:t xml:space="preserve"> of</w:t>
      </w:r>
      <w:r w:rsidRPr="3F09BBBE" w:rsidR="00142EF2">
        <w:rPr>
          <w:rFonts w:asciiTheme="majorHAnsi" w:hAnsiTheme="majorHAnsi"/>
        </w:rPr>
        <w:t xml:space="preserve"> the Stop Overdose campaign</w:t>
      </w:r>
      <w:r w:rsidRPr="3F09BBBE" w:rsidR="00B663EC">
        <w:rPr>
          <w:rFonts w:asciiTheme="majorHAnsi" w:hAnsiTheme="majorHAnsi"/>
        </w:rPr>
        <w:t xml:space="preserve"> products, materials</w:t>
      </w:r>
      <w:r w:rsidRPr="3F09BBBE" w:rsidR="001F1D6E">
        <w:rPr>
          <w:rFonts w:asciiTheme="majorHAnsi" w:hAnsiTheme="majorHAnsi"/>
        </w:rPr>
        <w:t>,</w:t>
      </w:r>
      <w:r w:rsidRPr="3F09BBBE" w:rsidR="00B663EC">
        <w:rPr>
          <w:rFonts w:asciiTheme="majorHAnsi" w:hAnsiTheme="majorHAnsi"/>
        </w:rPr>
        <w:t xml:space="preserve"> and support for OD2A </w:t>
      </w:r>
      <w:r w:rsidRPr="3F09BBBE" w:rsidR="005E4816">
        <w:rPr>
          <w:rFonts w:asciiTheme="majorHAnsi" w:hAnsiTheme="majorHAnsi"/>
        </w:rPr>
        <w:t xml:space="preserve">grantees </w:t>
      </w:r>
      <w:r w:rsidRPr="3F09BBBE" w:rsidR="00B663EC">
        <w:rPr>
          <w:rFonts w:asciiTheme="majorHAnsi" w:hAnsiTheme="majorHAnsi"/>
        </w:rPr>
        <w:t>(</w:t>
      </w:r>
      <w:r w:rsidRPr="3F09BBBE" w:rsidR="001F1D6E">
        <w:rPr>
          <w:rFonts w:asciiTheme="majorHAnsi" w:hAnsiTheme="majorHAnsi"/>
        </w:rPr>
        <w:t xml:space="preserve">EPHS </w:t>
      </w:r>
      <w:r w:rsidRPr="3F09BBBE" w:rsidR="00B663EC">
        <w:rPr>
          <w:rFonts w:asciiTheme="majorHAnsi" w:hAnsiTheme="majorHAnsi"/>
        </w:rPr>
        <w:t xml:space="preserve">7). </w:t>
      </w:r>
    </w:p>
    <w:p w:rsidR="00400F63" w:rsidP="00D84597" w14:paraId="0604B9F2" w14:textId="77777777">
      <w:pPr>
        <w:pStyle w:val="Normal2"/>
        <w:rPr>
          <w:rFonts w:asciiTheme="majorHAnsi" w:hAnsiTheme="majorHAnsi"/>
        </w:rPr>
      </w:pPr>
    </w:p>
    <w:p w:rsidR="00905675" w:rsidRPr="00D865F3" w:rsidP="005944B8" w14:paraId="125F0038" w14:textId="3ADBDAB3">
      <w:pPr>
        <w:tabs>
          <w:tab w:val="clear" w:pos="9360"/>
        </w:tabs>
        <w:spacing w:line="240" w:lineRule="auto"/>
        <w:ind w:left="360"/>
        <w:textAlignment w:val="baseline"/>
        <w:rPr>
          <w:rFonts w:eastAsia="Times New Roman" w:cs="Times New Roman"/>
          <w:lang w:val="en"/>
        </w:rPr>
      </w:pPr>
      <w:r w:rsidRPr="3F09BBBE">
        <w:rPr>
          <w:rFonts w:eastAsia="Times New Roman" w:cs="Times New Roman"/>
        </w:rPr>
        <w:t>The data will be used to</w:t>
      </w:r>
      <w:r w:rsidRPr="3F09BBBE" w:rsidR="001B2068">
        <w:rPr>
          <w:rFonts w:eastAsia="Times New Roman" w:cs="Times New Roman"/>
        </w:rPr>
        <w:t xml:space="preserve"> develop </w:t>
      </w:r>
      <w:r w:rsidRPr="3F09BBBE" w:rsidR="00806145">
        <w:rPr>
          <w:rFonts w:eastAsia="Times New Roman" w:cs="Times New Roman"/>
        </w:rPr>
        <w:t xml:space="preserve">strategic communications </w:t>
      </w:r>
      <w:r w:rsidRPr="3F09BBBE" w:rsidR="001B2068">
        <w:rPr>
          <w:rFonts w:eastAsia="Times New Roman" w:cs="Times New Roman"/>
        </w:rPr>
        <w:t>recommendations</w:t>
      </w:r>
      <w:r w:rsidRPr="3F09BBBE" w:rsidR="00983D35">
        <w:rPr>
          <w:rFonts w:eastAsia="Times New Roman" w:cs="Times New Roman"/>
        </w:rPr>
        <w:t xml:space="preserve"> for t</w:t>
      </w:r>
      <w:r w:rsidRPr="3F09BBBE" w:rsidR="000B6EFD">
        <w:rPr>
          <w:rFonts w:eastAsia="Times New Roman" w:cs="Times New Roman"/>
        </w:rPr>
        <w:t xml:space="preserve">he Stop Overdose campaigns to </w:t>
      </w:r>
      <w:r w:rsidRPr="3F09BBBE" w:rsidR="00806145">
        <w:rPr>
          <w:rFonts w:eastAsia="Times New Roman" w:cs="Times New Roman"/>
        </w:rPr>
        <w:t xml:space="preserve">optimize </w:t>
      </w:r>
      <w:r w:rsidRPr="3F09BBBE" w:rsidR="005E4724">
        <w:rPr>
          <w:rFonts w:eastAsia="Times New Roman" w:cs="Times New Roman"/>
        </w:rPr>
        <w:t>campaign</w:t>
      </w:r>
      <w:r w:rsidRPr="3F09BBBE" w:rsidR="004F539F">
        <w:rPr>
          <w:rFonts w:eastAsia="Times New Roman" w:cs="Times New Roman"/>
        </w:rPr>
        <w:t xml:space="preserve"> usefulness to</w:t>
      </w:r>
      <w:r w:rsidRPr="3F09BBBE">
        <w:rPr>
          <w:rFonts w:eastAsia="Times New Roman" w:cs="Times New Roman"/>
        </w:rPr>
        <w:t xml:space="preserve"> </w:t>
      </w:r>
      <w:r w:rsidRPr="3F09BBBE">
        <w:rPr>
          <w:rFonts w:eastAsia="Times New Roman" w:cs="Times New Roman"/>
          <w:lang w:val="en"/>
        </w:rPr>
        <w:t xml:space="preserve">funded OD2A </w:t>
      </w:r>
      <w:r w:rsidRPr="3F09BBBE" w:rsidR="005E4816">
        <w:rPr>
          <w:rFonts w:eastAsia="Times New Roman" w:cs="Times New Roman"/>
          <w:lang w:val="en"/>
        </w:rPr>
        <w:t xml:space="preserve">grantees </w:t>
      </w:r>
      <w:r w:rsidRPr="3F09BBBE" w:rsidR="004F539F">
        <w:rPr>
          <w:rFonts w:eastAsia="Times New Roman" w:cs="Times New Roman"/>
          <w:lang w:val="en"/>
        </w:rPr>
        <w:t xml:space="preserve">in </w:t>
      </w:r>
      <w:r w:rsidRPr="3F09BBBE" w:rsidR="004F539F">
        <w:rPr>
          <w:rFonts w:cs="Times New Roman"/>
        </w:rPr>
        <w:t>their drug overdose prevention work</w:t>
      </w:r>
      <w:r w:rsidRPr="3F09BBBE" w:rsidR="00806145">
        <w:rPr>
          <w:rFonts w:cs="Times New Roman"/>
        </w:rPr>
        <w:t>.</w:t>
      </w:r>
      <w:r w:rsidRPr="3F09BBBE" w:rsidR="00AE687E">
        <w:rPr>
          <w:rFonts w:cs="Times New Roman"/>
        </w:rPr>
        <w:t xml:space="preserve"> The recommendations will support increasing the reach of the Stop Overdose </w:t>
      </w:r>
      <w:r w:rsidRPr="3F09BBBE" w:rsidR="00111C20">
        <w:rPr>
          <w:rFonts w:cs="Times New Roman"/>
        </w:rPr>
        <w:t>campaign</w:t>
      </w:r>
      <w:r w:rsidRPr="3F09BBBE" w:rsidR="00AE687E">
        <w:rPr>
          <w:rFonts w:cs="Times New Roman"/>
        </w:rPr>
        <w:t xml:space="preserve"> mat</w:t>
      </w:r>
      <w:r w:rsidRPr="3F09BBBE" w:rsidR="00974744">
        <w:rPr>
          <w:rFonts w:cs="Times New Roman"/>
        </w:rPr>
        <w:t>e</w:t>
      </w:r>
      <w:r w:rsidRPr="3F09BBBE" w:rsidR="00AE687E">
        <w:rPr>
          <w:rFonts w:cs="Times New Roman"/>
        </w:rPr>
        <w:t>rials</w:t>
      </w:r>
      <w:r w:rsidRPr="3F09BBBE" w:rsidR="008B459E">
        <w:rPr>
          <w:rFonts w:cs="Times New Roman"/>
        </w:rPr>
        <w:t xml:space="preserve"> to </w:t>
      </w:r>
      <w:r w:rsidRPr="3F09BBBE" w:rsidR="005E4816">
        <w:rPr>
          <w:rFonts w:cs="Times New Roman"/>
        </w:rPr>
        <w:t>grantees</w:t>
      </w:r>
      <w:r w:rsidRPr="3F09BBBE" w:rsidR="00565A05">
        <w:rPr>
          <w:rFonts w:cs="Times New Roman"/>
        </w:rPr>
        <w:t>, and ultimately</w:t>
      </w:r>
      <w:r w:rsidRPr="3F09BBBE" w:rsidR="005E4724">
        <w:rPr>
          <w:rFonts w:cs="Times New Roman"/>
        </w:rPr>
        <w:t>,</w:t>
      </w:r>
      <w:r w:rsidRPr="3F09BBBE" w:rsidR="00565A05">
        <w:rPr>
          <w:rFonts w:cs="Times New Roman"/>
        </w:rPr>
        <w:t xml:space="preserve"> expand </w:t>
      </w:r>
      <w:r w:rsidRPr="3F09BBBE" w:rsidR="005E4724">
        <w:rPr>
          <w:rFonts w:cs="Times New Roman"/>
        </w:rPr>
        <w:t>dissemination and</w:t>
      </w:r>
      <w:r w:rsidRPr="3F09BBBE" w:rsidR="00565A05">
        <w:rPr>
          <w:rFonts w:cs="Times New Roman"/>
        </w:rPr>
        <w:t xml:space="preserve"> reach </w:t>
      </w:r>
      <w:r w:rsidRPr="3F09BBBE" w:rsidR="005E4724">
        <w:rPr>
          <w:rFonts w:cs="Times New Roman"/>
        </w:rPr>
        <w:t xml:space="preserve">among </w:t>
      </w:r>
      <w:r w:rsidRPr="3F09BBBE" w:rsidR="00565A05">
        <w:rPr>
          <w:rFonts w:cs="Times New Roman"/>
        </w:rPr>
        <w:t xml:space="preserve">people </w:t>
      </w:r>
      <w:r w:rsidRPr="3F09BBBE" w:rsidR="002B0DFD">
        <w:rPr>
          <w:rFonts w:cs="Times New Roman"/>
        </w:rPr>
        <w:t>at risk of drug overdose.</w:t>
      </w:r>
    </w:p>
    <w:p w:rsidR="00BD4599" w:rsidP="00A62C98" w14:paraId="5131A14F" w14:textId="77777777">
      <w:pPr>
        <w:ind w:left="360"/>
      </w:pPr>
    </w:p>
    <w:p w:rsidR="00B47055" w:rsidRPr="00FF5BF1" w:rsidP="00692DEB" w14:paraId="55865641" w14:textId="0E3285B3">
      <w:pPr>
        <w:pStyle w:val="Heading4"/>
      </w:pPr>
      <w:bookmarkStart w:id="7" w:name="_Toc162967735"/>
      <w:r w:rsidRPr="00FF5BF1">
        <w:t>Use of Improved Information Technology and Burden Reduction</w:t>
      </w:r>
      <w:bookmarkEnd w:id="7"/>
    </w:p>
    <w:p w:rsidR="00692DEB" w:rsidRPr="00711BFA" w:rsidP="007B7C44" w14:paraId="1DA7D767" w14:textId="7CA92DAE">
      <w:pPr>
        <w:ind w:left="360"/>
      </w:pPr>
      <w:r>
        <w:t>Data will be collected via</w:t>
      </w:r>
      <w:r w:rsidRPr="005944B8">
        <w:t xml:space="preserve"> </w:t>
      </w:r>
      <w:r w:rsidR="001F1D6E">
        <w:t xml:space="preserve">an </w:t>
      </w:r>
      <w:r w:rsidRPr="005944B8" w:rsidR="002B0DFD">
        <w:t>online survey</w:t>
      </w:r>
      <w:r w:rsidRPr="00711BFA">
        <w:t>. This method was chosen to reduce the overall burden on respondents</w:t>
      </w:r>
      <w:r w:rsidR="00FF5BF1">
        <w:t xml:space="preserve"> by </w:t>
      </w:r>
      <w:r w:rsidRPr="005944B8" w:rsidR="00BE1708">
        <w:t>minimizing the level of effort and time needed to provide the requested information</w:t>
      </w:r>
      <w:r w:rsidRPr="00711BFA">
        <w:t xml:space="preserve">. </w:t>
      </w:r>
      <w:r w:rsidRPr="006F0460">
        <w:t xml:space="preserve">The </w:t>
      </w:r>
      <w:r w:rsidR="002E2EDD">
        <w:t>data</w:t>
      </w:r>
      <w:r w:rsidRPr="006F0460">
        <w:t xml:space="preserve"> collection instrument </w:t>
      </w:r>
      <w:r w:rsidRPr="00711BFA">
        <w:t>was designed to collect the minimum information necessary for the purposes of this project</w:t>
      </w:r>
      <w:r w:rsidR="000B17AE">
        <w:t>. The survey is limited to</w:t>
      </w:r>
      <w:r w:rsidRPr="00711BFA">
        <w:t xml:space="preserve"> </w:t>
      </w:r>
      <w:r w:rsidR="000B17AE">
        <w:t>3</w:t>
      </w:r>
      <w:r w:rsidR="00856285">
        <w:t>8</w:t>
      </w:r>
      <w:r w:rsidR="000B17AE">
        <w:t xml:space="preserve"> items, </w:t>
      </w:r>
      <w:r w:rsidR="00011B8E">
        <w:t xml:space="preserve">which were </w:t>
      </w:r>
      <w:r w:rsidR="000B17AE">
        <w:t>reduce</w:t>
      </w:r>
      <w:r w:rsidR="00011B8E">
        <w:t xml:space="preserve">d from the original larger number of items. </w:t>
      </w:r>
      <w:r w:rsidR="000E1B37">
        <w:t>Skip logic has been</w:t>
      </w:r>
      <w:r w:rsidR="000E1B37">
        <w:t xml:space="preserve"> </w:t>
      </w:r>
      <w:r w:rsidR="002662D0">
        <w:t>included</w:t>
      </w:r>
      <w:r w:rsidR="0029032A">
        <w:t xml:space="preserve"> so participants are only asked </w:t>
      </w:r>
      <w:r w:rsidR="00DF5FA3">
        <w:t xml:space="preserve">questions that are </w:t>
      </w:r>
      <w:r w:rsidR="0029032A">
        <w:t xml:space="preserve">relevant </w:t>
      </w:r>
      <w:r w:rsidR="00DF5FA3">
        <w:t>to their experiences</w:t>
      </w:r>
      <w:r w:rsidR="0029032A">
        <w:t>. “Other</w:t>
      </w:r>
      <w:r w:rsidR="004F13D3">
        <w:t xml:space="preserve"> (specify)</w:t>
      </w:r>
      <w:r w:rsidR="0029032A">
        <w:t>” questions are offered as a convenience</w:t>
      </w:r>
      <w:r w:rsidR="00843BD6">
        <w:t xml:space="preserve"> to respondents</w:t>
      </w:r>
      <w:r w:rsidR="004F13D3">
        <w:t xml:space="preserve"> and reduce the number of possible response options</w:t>
      </w:r>
      <w:r w:rsidR="00843BD6">
        <w:t xml:space="preserve">. Open-ended narrative questions were reduced and programmed as optional to reduce the burden.  </w:t>
      </w:r>
    </w:p>
    <w:p w:rsidR="00383542" w:rsidP="006A09E0" w14:paraId="5FC1B357" w14:textId="77777777">
      <w:pPr>
        <w:ind w:left="0"/>
      </w:pPr>
    </w:p>
    <w:p w:rsidR="00B47055" w:rsidRPr="00D42A92" w:rsidP="00692DEB" w14:paraId="3FE48A1C" w14:textId="433FDC13">
      <w:pPr>
        <w:pStyle w:val="Heading4"/>
      </w:pPr>
      <w:bookmarkStart w:id="8" w:name="_Toc162967736"/>
      <w:r w:rsidRPr="00D42A92">
        <w:t>Efforts to Identify Duplication and Use of Similar Information</w:t>
      </w:r>
      <w:bookmarkEnd w:id="8"/>
    </w:p>
    <w:p w:rsidR="003F4D15" w:rsidP="00A95807" w14:paraId="49F50881" w14:textId="3BE8774E">
      <w:pPr>
        <w:ind w:left="360"/>
      </w:pPr>
      <w:r>
        <w:t>There a</w:t>
      </w:r>
      <w:r w:rsidR="00A84F70">
        <w:t>r</w:t>
      </w:r>
      <w:r>
        <w:t xml:space="preserve">e no current </w:t>
      </w:r>
      <w:r w:rsidR="003F45A1">
        <w:t>CDC</w:t>
      </w:r>
      <w:r>
        <w:t xml:space="preserve"> efforts to evaluate OD2A or other </w:t>
      </w:r>
      <w:r w:rsidR="00A84F70">
        <w:t>jurisdiction</w:t>
      </w:r>
      <w:r>
        <w:t xml:space="preserve"> </w:t>
      </w:r>
      <w:r w:rsidR="00A84F70">
        <w:t>implementation</w:t>
      </w:r>
      <w:r>
        <w:t xml:space="preserve"> of the Stop Overdose campaigns</w:t>
      </w:r>
      <w:r w:rsidR="00A84F70">
        <w:t xml:space="preserve">. </w:t>
      </w:r>
      <w:r>
        <w:t>This effort compl</w:t>
      </w:r>
      <w:r w:rsidR="00A95807">
        <w:t>e</w:t>
      </w:r>
      <w:r>
        <w:t xml:space="preserve">ments </w:t>
      </w:r>
      <w:r w:rsidR="001C1F3D">
        <w:t xml:space="preserve">a </w:t>
      </w:r>
      <w:r w:rsidR="004E27E8">
        <w:t xml:space="preserve">data collection taking place currently to </w:t>
      </w:r>
      <w:r w:rsidR="00072802">
        <w:t xml:space="preserve">assess </w:t>
      </w:r>
      <w:r w:rsidR="004E27E8">
        <w:t xml:space="preserve">the Stop Overdose </w:t>
      </w:r>
      <w:r w:rsidR="001F1D6E">
        <w:t xml:space="preserve">campaign </w:t>
      </w:r>
      <w:r w:rsidR="004E27E8">
        <w:t xml:space="preserve">messages among </w:t>
      </w:r>
      <w:r w:rsidR="001D5DB7">
        <w:t>its primary audience</w:t>
      </w:r>
      <w:r w:rsidR="00E73933">
        <w:t>—</w:t>
      </w:r>
      <w:r w:rsidR="001D5DB7">
        <w:t xml:space="preserve">U.S. adults ages </w:t>
      </w:r>
      <w:r w:rsidR="00E73933">
        <w:t>18</w:t>
      </w:r>
      <w:r w:rsidR="00A95807">
        <w:t>–</w:t>
      </w:r>
      <w:r w:rsidR="001D5DB7">
        <w:t>34</w:t>
      </w:r>
      <w:r w:rsidR="00E73933">
        <w:t xml:space="preserve"> (</w:t>
      </w:r>
      <w:r w:rsidR="00A02455">
        <w:t>M</w:t>
      </w:r>
      <w:r w:rsidR="00C41A64">
        <w:t xml:space="preserve">essage Evaluation for CDC's Stop Overdose Campaigns </w:t>
      </w:r>
      <w:r w:rsidR="0046317F">
        <w:t>[</w:t>
      </w:r>
      <w:r w:rsidR="00C41A64">
        <w:t>Broadcast Radio &amp; Digital Ad Surveys</w:t>
      </w:r>
      <w:r w:rsidR="0046317F">
        <w:t>]</w:t>
      </w:r>
      <w:r w:rsidR="000F29D3">
        <w:t xml:space="preserve">, </w:t>
      </w:r>
      <w:r w:rsidR="00E73933">
        <w:t>OMB control number:</w:t>
      </w:r>
      <w:r w:rsidR="00A80EF2">
        <w:t xml:space="preserve"> 0920-1154</w:t>
      </w:r>
      <w:r w:rsidR="005D28F7">
        <w:t xml:space="preserve">, </w:t>
      </w:r>
      <w:r w:rsidR="000F29D3">
        <w:t>expiration date 3/15/2026</w:t>
      </w:r>
      <w:r w:rsidR="00007DFD">
        <w:t>)</w:t>
      </w:r>
      <w:r w:rsidR="00E1338E">
        <w:t>.</w:t>
      </w:r>
    </w:p>
    <w:p w:rsidR="00EB09B6" w14:paraId="48F4623C" w14:textId="7903EE3E">
      <w:pPr>
        <w:tabs>
          <w:tab w:val="clear" w:pos="9360"/>
        </w:tabs>
        <w:spacing w:after="200"/>
        <w:ind w:left="0"/>
      </w:pPr>
      <w:r>
        <w:br w:type="page"/>
      </w:r>
    </w:p>
    <w:p w:rsidR="00675F9A" w:rsidP="005D6F14" w14:paraId="26D7B5B7" w14:textId="77777777"/>
    <w:p w:rsidR="00B12F51" w:rsidRPr="00B47055" w:rsidP="00692DEB" w14:paraId="75B88CF6" w14:textId="77777777">
      <w:pPr>
        <w:pStyle w:val="Heading4"/>
      </w:pPr>
      <w:bookmarkStart w:id="9" w:name="_Toc162967737"/>
      <w:r w:rsidRPr="00B47055">
        <w:t>Impact on Small Businesses or Other Small Entities</w:t>
      </w:r>
      <w:bookmarkEnd w:id="9"/>
    </w:p>
    <w:p w:rsidR="00BD4599" w:rsidP="00383542" w14:paraId="580A7711" w14:textId="538B84B2">
      <w:pPr>
        <w:ind w:left="360"/>
      </w:pPr>
      <w:r>
        <w:t>N</w:t>
      </w:r>
      <w:r w:rsidR="00AF2252">
        <w:t xml:space="preserve">o small businesses will be involved in this </w:t>
      </w:r>
      <w:r w:rsidR="00157413">
        <w:t>information collection</w:t>
      </w:r>
      <w:r>
        <w:t>.</w:t>
      </w:r>
    </w:p>
    <w:p w:rsidR="00BD4599" w:rsidP="005D6F14" w14:paraId="2486A5E3" w14:textId="77777777"/>
    <w:p w:rsidR="00B12F51" w:rsidRPr="00B47055" w:rsidP="00692DEB" w14:paraId="5E04EB42" w14:textId="03EA99A6">
      <w:pPr>
        <w:pStyle w:val="Heading4"/>
      </w:pPr>
      <w:bookmarkStart w:id="10" w:name="_Toc162967738"/>
      <w:r w:rsidRPr="00B47055">
        <w:t xml:space="preserve">Consequences of Collecting the Information Less Frequently </w:t>
      </w:r>
      <w:r w:rsidRPr="00B47055" w:rsidR="00D95FBF">
        <w:t xml:space="preserve">   </w:t>
      </w:r>
      <w:bookmarkEnd w:id="10"/>
    </w:p>
    <w:p w:rsidR="000058E0" w:rsidP="007B7C44" w14:paraId="7DC21F0F" w14:textId="2AA5421C">
      <w:pPr>
        <w:ind w:left="360"/>
      </w:pPr>
      <w:r w:rsidRPr="00711BFA">
        <w:t xml:space="preserve">This request is for a </w:t>
      </w:r>
      <w:r w:rsidRPr="00711BFA" w:rsidR="00F70D43">
        <w:t>one-time</w:t>
      </w:r>
      <w:r w:rsidRPr="00711BFA">
        <w:t xml:space="preserve"> </w:t>
      </w:r>
      <w:r w:rsidR="005212E5">
        <w:t>data</w:t>
      </w:r>
      <w:r w:rsidRPr="00711BFA">
        <w:t xml:space="preserve"> collection. There are no legal obstacles to reduce the burden.</w:t>
      </w:r>
      <w:r>
        <w:t xml:space="preserve"> </w:t>
      </w:r>
      <w:r w:rsidRPr="0061015C">
        <w:t xml:space="preserve">If no data are collected, </w:t>
      </w:r>
      <w:r w:rsidR="001F1D6E">
        <w:t xml:space="preserve">then </w:t>
      </w:r>
      <w:r>
        <w:t>CDC</w:t>
      </w:r>
      <w:r w:rsidRPr="0061015C">
        <w:t xml:space="preserve"> will be unable to:</w:t>
      </w:r>
    </w:p>
    <w:p w:rsidR="00972F38" w:rsidP="00782FBD" w14:paraId="128429EF" w14:textId="12D6ABB3">
      <w:pPr>
        <w:pStyle w:val="ListParagraph"/>
        <w:numPr>
          <w:ilvl w:val="0"/>
          <w:numId w:val="6"/>
        </w:numPr>
        <w:tabs>
          <w:tab w:val="clear" w:pos="9360"/>
        </w:tabs>
        <w:spacing w:line="240" w:lineRule="auto"/>
      </w:pPr>
      <w:r>
        <w:t xml:space="preserve">Have </w:t>
      </w:r>
      <w:r w:rsidR="00C257FB">
        <w:t>c</w:t>
      </w:r>
      <w:r>
        <w:t>o</w:t>
      </w:r>
      <w:r w:rsidR="00C257FB">
        <w:t xml:space="preserve">mprehensive knowledge of </w:t>
      </w:r>
      <w:r w:rsidR="001E7BB4">
        <w:t>whether</w:t>
      </w:r>
      <w:r w:rsidR="0007151E">
        <w:t xml:space="preserve"> </w:t>
      </w:r>
      <w:r w:rsidR="001E7BB4">
        <w:t xml:space="preserve">grantees are implementing Stop </w:t>
      </w:r>
      <w:r>
        <w:t xml:space="preserve">Overdose </w:t>
      </w:r>
      <w:r w:rsidR="001E7BB4">
        <w:t>campaigns and products intended for them</w:t>
      </w:r>
      <w:r>
        <w:t>;</w:t>
      </w:r>
    </w:p>
    <w:p w:rsidR="00FE663C" w:rsidRPr="001E620E" w:rsidP="00FE663C" w14:paraId="0E51B25D" w14:textId="26E51FCD">
      <w:pPr>
        <w:pStyle w:val="ListParagraph"/>
        <w:numPr>
          <w:ilvl w:val="0"/>
          <w:numId w:val="6"/>
        </w:numPr>
        <w:tabs>
          <w:tab w:val="clear" w:pos="9360"/>
        </w:tabs>
        <w:spacing w:line="240" w:lineRule="auto"/>
      </w:pPr>
      <w:r>
        <w:t>A</w:t>
      </w:r>
      <w:r w:rsidRPr="001E620E">
        <w:t xml:space="preserve">ssess </w:t>
      </w:r>
      <w:r w:rsidRPr="001E620E">
        <w:t xml:space="preserve">grantees’ </w:t>
      </w:r>
      <w:r>
        <w:t>perceptions</w:t>
      </w:r>
      <w:r w:rsidRPr="001E620E">
        <w:t xml:space="preserve"> about the Stop Overdose campaign materials</w:t>
      </w:r>
      <w:r>
        <w:t xml:space="preserve"> and</w:t>
      </w:r>
      <w:r w:rsidR="008769B8">
        <w:t xml:space="preserve"> how they support grantee drug overdose prevention work</w:t>
      </w:r>
      <w:r>
        <w:t xml:space="preserve">; </w:t>
      </w:r>
      <w:r w:rsidR="008769B8">
        <w:t>nor</w:t>
      </w:r>
    </w:p>
    <w:p w:rsidR="008C59E7" w:rsidRPr="008769B8" w:rsidP="00782FBD" w14:paraId="1B2E8BB8" w14:textId="329EBC9B">
      <w:pPr>
        <w:pStyle w:val="ListParagraph"/>
        <w:numPr>
          <w:ilvl w:val="0"/>
          <w:numId w:val="6"/>
        </w:numPr>
        <w:tabs>
          <w:tab w:val="clear" w:pos="9360"/>
        </w:tabs>
        <w:spacing w:line="240" w:lineRule="auto"/>
      </w:pPr>
      <w:r>
        <w:t xml:space="preserve">Identify whether </w:t>
      </w:r>
      <w:r w:rsidR="00972F38">
        <w:t>changes or</w:t>
      </w:r>
      <w:r w:rsidRPr="008769B8" w:rsidR="00FD5AC9">
        <w:t xml:space="preserve"> improvements </w:t>
      </w:r>
      <w:r w:rsidR="00972F38">
        <w:t>should be made to</w:t>
      </w:r>
      <w:r w:rsidRPr="008769B8" w:rsidR="00972F38">
        <w:t xml:space="preserve"> </w:t>
      </w:r>
      <w:r w:rsidR="000409E2">
        <w:t xml:space="preserve">existing and future </w:t>
      </w:r>
      <w:r w:rsidRPr="008769B8" w:rsidR="00FD5AC9">
        <w:t>Stop Overdose</w:t>
      </w:r>
      <w:r w:rsidRPr="008769B8" w:rsidR="00887579">
        <w:t xml:space="preserve"> </w:t>
      </w:r>
      <w:r w:rsidRPr="008769B8" w:rsidR="00746D09">
        <w:t>campaign</w:t>
      </w:r>
      <w:r w:rsidR="000409E2">
        <w:t xml:space="preserve"> products and materials</w:t>
      </w:r>
      <w:r w:rsidRPr="008769B8" w:rsidR="00746D09">
        <w:t xml:space="preserve"> </w:t>
      </w:r>
      <w:r w:rsidRPr="008769B8" w:rsidR="00887579">
        <w:t xml:space="preserve">based on </w:t>
      </w:r>
      <w:r w:rsidRPr="008769B8" w:rsidR="00BA2AF7">
        <w:t xml:space="preserve">grantee </w:t>
      </w:r>
      <w:r w:rsidRPr="008769B8" w:rsidR="00A8353B">
        <w:t>feedback</w:t>
      </w:r>
      <w:r w:rsidR="008769B8">
        <w:t>.</w:t>
      </w:r>
    </w:p>
    <w:p w:rsidR="00BD4599" w:rsidP="00675F9A" w14:paraId="248BC0CD" w14:textId="77777777">
      <w:pPr>
        <w:pStyle w:val="ListParagraph"/>
        <w:ind w:left="360"/>
        <w:rPr>
          <w:lang w:eastAsia="zh-CN"/>
        </w:rPr>
      </w:pPr>
    </w:p>
    <w:p w:rsidR="00B12F51" w:rsidRPr="00B47055" w:rsidP="00692DEB" w14:paraId="1C352D4B" w14:textId="5A15397D">
      <w:pPr>
        <w:pStyle w:val="Heading4"/>
      </w:pPr>
      <w:bookmarkStart w:id="11" w:name="_Toc162967739"/>
      <w:r w:rsidRPr="00B47055">
        <w:t>Special Circumstances Relating to the Guidelines of 5 CFR 1320.5</w:t>
      </w:r>
      <w:bookmarkEnd w:id="11"/>
    </w:p>
    <w:p w:rsidR="00F52BCC" w:rsidP="007B7C44" w14:paraId="3F174D52" w14:textId="060D178C">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F52BCC" w:rsidP="00675F9A" w14:paraId="7BFE09AB" w14:textId="77777777">
      <w:pPr>
        <w:ind w:left="360"/>
      </w:pPr>
    </w:p>
    <w:p w:rsidR="00B12F51" w:rsidRPr="0088467A" w:rsidP="00692DEB" w14:paraId="5BC5DEE1" w14:textId="77777777">
      <w:pPr>
        <w:pStyle w:val="Heading4"/>
      </w:pPr>
      <w:bookmarkStart w:id="12" w:name="_Toc162967740"/>
      <w:r w:rsidRPr="0088467A">
        <w:t>Comments in Response to the Federal Register Notice and Efforts to Consult Outside the Agency</w:t>
      </w:r>
      <w:bookmarkEnd w:id="12"/>
    </w:p>
    <w:p w:rsidR="00522CC5" w:rsidRPr="00B8783F" w:rsidP="00522CC5" w14:paraId="233296C7" w14:textId="7DB860FF">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 xml:space="preserve">nism of the </w:t>
      </w:r>
      <w:r w:rsidR="006A455E">
        <w:t>P</w:t>
      </w:r>
      <w:r w:rsidR="111CC086">
        <w:t xml:space="preserve">ublic Health </w:t>
      </w:r>
      <w:r w:rsidR="19BC8AC3">
        <w:t>Infrastructure</w:t>
      </w:r>
      <w:r w:rsidR="111CC086">
        <w:t xml:space="preserve"> Center (PHIC)</w:t>
      </w:r>
      <w:r w:rsidR="00614CAE">
        <w:t xml:space="preserve"> </w:t>
      </w:r>
      <w:r w:rsidR="00F44470">
        <w:t xml:space="preserve">STLT </w:t>
      </w:r>
      <w:r w:rsidR="00614CAE">
        <w:t>Generic</w:t>
      </w:r>
      <w:r w:rsidR="00925CD1">
        <w:t xml:space="preserve"> Information Collection Service</w:t>
      </w:r>
      <w:r>
        <w:t xml:space="preserve"> (</w:t>
      </w:r>
      <w:r w:rsidR="00047D2A">
        <w:t>STLT</w:t>
      </w:r>
      <w:r w:rsidR="00614CAE">
        <w:t xml:space="preserve"> Generic</w:t>
      </w:r>
      <w:r>
        <w:t>)</w:t>
      </w:r>
      <w:r w:rsidR="00173D8D">
        <w:t>—</w:t>
      </w:r>
      <w:r>
        <w:t xml:space="preserve">OMB No. 0920-0879. A 60-day Federal Register Notice was published in the Federal Register on </w:t>
      </w:r>
      <w:r w:rsidR="001C5C54">
        <w:t>January 23, 2023</w:t>
      </w:r>
      <w:r>
        <w:t>, Vol</w:t>
      </w:r>
      <w:r w:rsidR="00173D8D">
        <w:t>. </w:t>
      </w:r>
      <w:r>
        <w:t>8</w:t>
      </w:r>
      <w:r w:rsidR="001C5C54">
        <w:t>8</w:t>
      </w:r>
      <w:r>
        <w:t xml:space="preserve">, No. </w:t>
      </w:r>
      <w:r w:rsidR="001C5C54">
        <w:t>14</w:t>
      </w:r>
      <w:r>
        <w:t>, pp</w:t>
      </w:r>
      <w:r w:rsidR="00821DF5">
        <w:t>.</w:t>
      </w:r>
      <w:r>
        <w:t xml:space="preserve"> </w:t>
      </w:r>
      <w:r w:rsidR="001C5C54">
        <w:t>3991-3992</w:t>
      </w:r>
      <w:r>
        <w:t xml:space="preserve">. </w:t>
      </w:r>
      <w:r w:rsidR="00BF4155">
        <w:t xml:space="preserve">One non-substantive </w:t>
      </w:r>
      <w:r>
        <w:t>comment w</w:t>
      </w:r>
      <w:r w:rsidR="00BF4155">
        <w:t>as</w:t>
      </w:r>
      <w:r>
        <w:t xml:space="preserve"> received</w:t>
      </w:r>
      <w:r w:rsidR="00F475AE">
        <w:t>; no changes were made to the generic clearance</w:t>
      </w:r>
      <w:r>
        <w:t xml:space="preserve">. </w:t>
      </w:r>
      <w:r w:rsidR="00673AA9">
        <w:t>A</w:t>
      </w:r>
      <w:r w:rsidR="00821DF5">
        <w:t>dd</w:t>
      </w:r>
      <w:r w:rsidR="00B02512">
        <w:t>itional public comment periods are</w:t>
      </w:r>
      <w:r w:rsidR="00673AA9">
        <w:t xml:space="preserve"> not</w:t>
      </w:r>
      <w:r w:rsidR="00B02512">
        <w:t xml:space="preserve"> required for project-specific data collection requests submitted under this generic clearance.</w:t>
      </w:r>
    </w:p>
    <w:p w:rsidR="00A809AA" w:rsidRPr="00A809AA" w:rsidP="00522CC5" w14:paraId="2ACC2F51" w14:textId="66CF148D">
      <w:pPr>
        <w:ind w:left="360"/>
      </w:pPr>
    </w:p>
    <w:p w:rsidR="00A809AA" w:rsidP="007B7C44" w14:paraId="764006AC" w14:textId="5A54FDFE">
      <w:pPr>
        <w:ind w:left="360"/>
      </w:pPr>
      <w: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w:t>
      </w:r>
      <w:r w:rsidR="00173D8D">
        <w:t>time frame</w:t>
      </w:r>
      <w:r>
        <w:t xml:space="preserve">.  </w:t>
      </w:r>
    </w:p>
    <w:p w:rsidR="00F52BCC" w:rsidRPr="00A809AA" w:rsidP="00675F9A" w14:paraId="114CE2EF" w14:textId="77777777">
      <w:pPr>
        <w:ind w:left="360"/>
      </w:pPr>
    </w:p>
    <w:p w:rsidR="00B12F51" w:rsidRPr="0088467A" w:rsidP="00692DEB" w14:paraId="4DAA9469" w14:textId="296CBAF7">
      <w:pPr>
        <w:pStyle w:val="Heading4"/>
      </w:pPr>
      <w:bookmarkStart w:id="13" w:name="_Toc162967741"/>
      <w:r w:rsidRPr="0088467A">
        <w:t>Explanation of Any Payment or Gift to Respondents</w:t>
      </w:r>
      <w:bookmarkEnd w:id="13"/>
    </w:p>
    <w:p w:rsidR="00675F9A" w:rsidP="005212E5" w14:paraId="616434FC" w14:textId="78ADCCA1">
      <w:pPr>
        <w:ind w:left="360"/>
      </w:pPr>
      <w:r>
        <w:t>CDC will not provide p</w:t>
      </w:r>
      <w:r w:rsidR="00D26A64">
        <w:t>ayments or gifts to respondents.</w:t>
      </w:r>
    </w:p>
    <w:p w:rsidR="00C4416B" w:rsidP="005212E5" w14:paraId="23E8606B" w14:textId="77777777">
      <w:pPr>
        <w:ind w:left="360"/>
      </w:pPr>
    </w:p>
    <w:p w:rsidR="00B12F51" w:rsidRPr="00D16E78" w:rsidP="00692DEB" w14:paraId="084C2058" w14:textId="7B4B557C">
      <w:pPr>
        <w:pStyle w:val="Heading4"/>
      </w:pPr>
      <w:r>
        <w:t xml:space="preserve"> </w:t>
      </w:r>
      <w:bookmarkStart w:id="14" w:name="_Toc162967742"/>
      <w:r w:rsidRPr="009D5927" w:rsidR="009D5927">
        <w:t>Protection of the Privacy and Confidentiality of Information Provided by Respondents</w:t>
      </w:r>
      <w:bookmarkEnd w:id="14"/>
    </w:p>
    <w:p w:rsidR="003C31C9" w:rsidP="006A09E0" w14:paraId="612C8EA3" w14:textId="2866FDCF">
      <w:pPr>
        <w:ind w:left="36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and/or delegates </w:t>
      </w:r>
      <w:r w:rsidRPr="00040611">
        <w:t>will be speaking from their official roles</w:t>
      </w:r>
      <w:r w:rsidR="00D06816">
        <w:t xml:space="preserve">. </w:t>
      </w:r>
      <w:r w:rsidR="00CA4D84">
        <w:t>Data will be kept private to the extent allowed by law.</w:t>
      </w:r>
      <w:r w:rsidR="00D06816">
        <w:t xml:space="preserve"> </w:t>
      </w:r>
      <w:r w:rsidRPr="00040611">
        <w:t xml:space="preserve"> </w:t>
      </w:r>
    </w:p>
    <w:p w:rsidR="00383542" w:rsidRPr="00383542" w:rsidP="00383542" w14:paraId="23A787F4" w14:textId="77777777">
      <w:pPr>
        <w:ind w:left="0"/>
        <w:rPr>
          <w:iCs/>
          <w:color w:val="0070C0"/>
          <w:vertAlign w:val="superscript"/>
        </w:rPr>
      </w:pPr>
    </w:p>
    <w:p w:rsidR="00B12F51" w:rsidRPr="0088467A" w:rsidP="00692DEB" w14:paraId="6454A151" w14:textId="141B7787">
      <w:pPr>
        <w:pStyle w:val="Heading4"/>
      </w:pPr>
      <w:bookmarkStart w:id="15" w:name="_Toc162967743"/>
      <w:r w:rsidRPr="009D5927">
        <w:t>Institutional Review Board (IRB) and Justification for Sensitive Questions</w:t>
      </w:r>
      <w:bookmarkEnd w:id="15"/>
    </w:p>
    <w:p w:rsidR="002A1CF5" w:rsidP="002A1CF5" w14:paraId="220E0924" w14:textId="0F81638D">
      <w:pPr>
        <w:ind w:left="360"/>
      </w:pPr>
      <w:r>
        <w:t>No information will be collected</w:t>
      </w:r>
      <w:r w:rsidR="00616090">
        <w:t xml:space="preserve"> that are of personal or sensitive nature</w:t>
      </w:r>
      <w:r w:rsidR="00D26A64">
        <w:t>.</w:t>
      </w:r>
      <w:r w:rsidRPr="002A1CF5">
        <w:t xml:space="preserve"> </w:t>
      </w:r>
      <w:r w:rsidRPr="003C31C9">
        <w:t xml:space="preserve">This </w:t>
      </w:r>
      <w:r>
        <w:t>data collection</w:t>
      </w:r>
      <w:r w:rsidRPr="003C31C9">
        <w:t xml:space="preserve"> is not research involving human subjects.</w:t>
      </w:r>
    </w:p>
    <w:p w:rsidR="00E20294" w:rsidRPr="0088467A" w:rsidP="005D6F14" w14:paraId="3692ADA9" w14:textId="77777777"/>
    <w:p w:rsidR="00B64BFA" w:rsidRPr="0088467A" w:rsidP="00692DEB" w14:paraId="2716336A" w14:textId="77777777">
      <w:pPr>
        <w:pStyle w:val="Heading4"/>
      </w:pPr>
      <w:bookmarkStart w:id="16" w:name="_Toc162967744"/>
      <w:r w:rsidRPr="0088467A">
        <w:t>Estimates of Annualized Burden Hours and Costs</w:t>
      </w:r>
      <w:bookmarkEnd w:id="16"/>
    </w:p>
    <w:p w:rsidR="000058E0" w:rsidRPr="00711BFA" w:rsidP="008B65FF" w14:paraId="19BF394F" w14:textId="4C1BEA3F">
      <w:pPr>
        <w:ind w:left="360"/>
        <w:rPr>
          <w:color w:val="000000"/>
        </w:rPr>
      </w:pPr>
      <w:r w:rsidRPr="666551BC">
        <w:rPr>
          <w:color w:val="000000" w:themeColor="text1"/>
        </w:rPr>
        <w:t xml:space="preserve">The estimate for burden hours is based on a pilot test of </w:t>
      </w:r>
      <w:r w:rsidRPr="0061015C">
        <w:t xml:space="preserve">the </w:t>
      </w:r>
      <w:r w:rsidR="002E2EDD">
        <w:t>data</w:t>
      </w:r>
      <w:r w:rsidRPr="0061015C">
        <w:t xml:space="preserve"> collection instrument </w:t>
      </w:r>
      <w:r w:rsidRPr="666551BC">
        <w:rPr>
          <w:color w:val="000000" w:themeColor="text1"/>
        </w:rPr>
        <w:t xml:space="preserve">by </w:t>
      </w:r>
      <w:r w:rsidR="00E307D9">
        <w:t>three</w:t>
      </w:r>
      <w:r w:rsidRPr="00774689" w:rsidR="00E307D9">
        <w:rPr>
          <w:color w:val="0070C0"/>
        </w:rPr>
        <w:t xml:space="preserve"> </w:t>
      </w:r>
      <w:r w:rsidRPr="00711BFA">
        <w:t xml:space="preserve">public health professionals. In the pilot test, the average time to complete the </w:t>
      </w:r>
      <w:r w:rsidRPr="0061015C">
        <w:t>instrument</w:t>
      </w:r>
      <w:r w:rsidR="00173D8D">
        <w:t>—</w:t>
      </w:r>
      <w:r w:rsidRPr="0061015C">
        <w:t>including time for reviewing instructions, gathering needed information</w:t>
      </w:r>
      <w:r w:rsidR="00173D8D">
        <w:t>,</w:t>
      </w:r>
      <w:r w:rsidRPr="0061015C">
        <w:t xml:space="preserve"> and completing the instrument</w:t>
      </w:r>
      <w:r w:rsidR="00173D8D">
        <w:t>—</w:t>
      </w:r>
      <w:r w:rsidRPr="00711BFA">
        <w:t xml:space="preserve">was approximately </w:t>
      </w:r>
      <w:r w:rsidRPr="00077211" w:rsidR="00903F51">
        <w:t>2</w:t>
      </w:r>
      <w:r w:rsidRPr="00077211" w:rsidR="006C39DB">
        <w:t>0</w:t>
      </w:r>
      <w:r w:rsidRPr="00077211">
        <w:t xml:space="preserve"> </w:t>
      </w:r>
      <w:r w:rsidRPr="000A3A14">
        <w:t>minutes</w:t>
      </w:r>
      <w:r w:rsidRPr="000A3A14" w:rsidR="00A242DB">
        <w:t xml:space="preserve"> (range: </w:t>
      </w:r>
      <w:r w:rsidRPr="00077211" w:rsidR="00903F51">
        <w:t>10</w:t>
      </w:r>
      <w:r w:rsidRPr="000A3A14" w:rsidR="00721719">
        <w:t>–</w:t>
      </w:r>
      <w:r w:rsidRPr="000A3A14" w:rsidR="004D32FD">
        <w:t>25</w:t>
      </w:r>
      <w:r w:rsidRPr="000A3A14" w:rsidR="00721719">
        <w:t>)</w:t>
      </w:r>
      <w:r w:rsidRPr="000A3A14">
        <w:t xml:space="preserve">. For the purposes of estimating burden hours, the upper limit of this range (i.e., </w:t>
      </w:r>
      <w:r w:rsidRPr="00077211" w:rsidR="00903F51">
        <w:t>25</w:t>
      </w:r>
      <w:r w:rsidRPr="00077211" w:rsidR="008C59E7">
        <w:t xml:space="preserve"> </w:t>
      </w:r>
      <w:r w:rsidRPr="00711BFA">
        <w:t>minutes) is used.</w:t>
      </w:r>
    </w:p>
    <w:p w:rsidR="000058E0" w:rsidP="000058E0" w14:paraId="58065055" w14:textId="77777777">
      <w:pPr>
        <w:ind w:left="0"/>
      </w:pPr>
    </w:p>
    <w:p w:rsidR="00BB090C" w:rsidRPr="00077211" w:rsidP="008B65FF" w14:paraId="0544B568" w14:textId="0B016C7F">
      <w:pPr>
        <w:ind w:left="360"/>
      </w:pPr>
      <w:r w:rsidRPr="003E7701">
        <w:t xml:space="preserve">Estimates for the average hourly wage for respondents are based on the </w:t>
      </w:r>
      <w:r w:rsidR="00173D8D">
        <w:t xml:space="preserve">U.S. </w:t>
      </w:r>
      <w:r w:rsidRPr="003E7701">
        <w:t xml:space="preserve">Department of Labor (DOL) </w:t>
      </w:r>
      <w:r>
        <w:t>Bureau of Labor Statisti</w:t>
      </w:r>
      <w:r w:rsidR="008F3D10">
        <w:t xml:space="preserve">cs for occupational employment </w:t>
      </w:r>
      <w:r>
        <w:t>for</w:t>
      </w:r>
      <w:r w:rsidRPr="008C408E">
        <w:rPr>
          <w:color w:val="0070C0"/>
        </w:rPr>
        <w:t xml:space="preserve"> </w:t>
      </w:r>
      <w:r w:rsidRPr="00752444" w:rsidR="00D93CA1">
        <w:t xml:space="preserve">Health Education Specialists </w:t>
      </w:r>
      <w:hyperlink r:id="rId10" w:history="1">
        <w:r w:rsidRPr="009C70BD">
          <w:rPr>
            <w:rStyle w:val="Hyperlink"/>
          </w:rPr>
          <w:t>http://www.bls.gov/oes/current/oes_nat.htm</w:t>
        </w:r>
      </w:hyperlink>
      <w:r>
        <w:t xml:space="preserve">. </w:t>
      </w:r>
      <w:r w:rsidRPr="00711BFA" w:rsidR="000058E0">
        <w:t xml:space="preserve">Based on DOL data, an average hourly wage of </w:t>
      </w:r>
      <w:r w:rsidRPr="00752444" w:rsidR="00536D5F">
        <w:t>$32.07</w:t>
      </w:r>
      <w:r w:rsidRPr="00752444" w:rsidR="000058E0">
        <w:t xml:space="preserve"> </w:t>
      </w:r>
      <w:r w:rsidRPr="00711BFA" w:rsidR="000058E0">
        <w:t xml:space="preserve">is estimated for </w:t>
      </w:r>
      <w:r w:rsidRPr="00077211" w:rsidR="000058E0">
        <w:t xml:space="preserve">all </w:t>
      </w:r>
      <w:r w:rsidRPr="00077211" w:rsidR="00D65E71">
        <w:t>90</w:t>
      </w:r>
      <w:r w:rsidRPr="00077211" w:rsidR="000058E0">
        <w:t xml:space="preserve"> respondents. Table A-12 shows estimated burden and cost information.</w:t>
      </w:r>
    </w:p>
    <w:p w:rsidR="00383542" w:rsidRPr="00077211" w:rsidP="008B65FF" w14:paraId="4541F4E8" w14:textId="2D1C3026">
      <w:pPr>
        <w:ind w:left="360"/>
      </w:pPr>
    </w:p>
    <w:p w:rsidR="00383542" w:rsidRPr="00077211" w:rsidP="00383542" w14:paraId="0A50A872" w14:textId="5E264A51">
      <w:pPr>
        <w:ind w:left="360"/>
      </w:pPr>
      <w:r w:rsidRPr="00077211">
        <w:rPr>
          <w:rFonts w:ascii="Cambria" w:hAnsi="Cambria"/>
        </w:rPr>
        <w:t xml:space="preserve">There will be </w:t>
      </w:r>
      <w:r w:rsidRPr="00077211" w:rsidR="009156F5">
        <w:rPr>
          <w:rFonts w:ascii="Cambria" w:hAnsi="Cambria"/>
        </w:rPr>
        <w:t>90</w:t>
      </w:r>
      <w:r w:rsidRPr="00077211">
        <w:rPr>
          <w:rFonts w:ascii="Cambria" w:hAnsi="Cambria"/>
        </w:rPr>
        <w:t xml:space="preserve"> respondents and </w:t>
      </w:r>
      <w:r w:rsidRPr="00077211" w:rsidR="00752444">
        <w:rPr>
          <w:rFonts w:ascii="Cambria" w:hAnsi="Cambria"/>
        </w:rPr>
        <w:t xml:space="preserve">up to </w:t>
      </w:r>
      <w:r w:rsidRPr="00077211" w:rsidR="009156F5">
        <w:rPr>
          <w:rFonts w:ascii="Cambria" w:hAnsi="Cambria"/>
        </w:rPr>
        <w:t>90</w:t>
      </w:r>
      <w:r w:rsidRPr="00077211">
        <w:rPr>
          <w:rFonts w:ascii="Cambria" w:hAnsi="Cambria"/>
        </w:rPr>
        <w:t xml:space="preserve"> responses.</w:t>
      </w:r>
    </w:p>
    <w:p w:rsidR="005A59E5" w:rsidP="00692DEB" w14:paraId="37F0192B" w14:textId="0DEEA1F3">
      <w:pPr>
        <w:ind w:left="0"/>
      </w:pPr>
    </w:p>
    <w:p w:rsidR="00E41812" w:rsidP="006A09E0" w14:paraId="7137351D" w14:textId="7CC524B8">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14:paraId="11025DEA" w14:textId="77777777">
      <w:pPr>
        <w:pStyle w:val="ListParagraph"/>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440"/>
        <w:gridCol w:w="1350"/>
        <w:gridCol w:w="1350"/>
        <w:gridCol w:w="990"/>
        <w:gridCol w:w="1128"/>
        <w:gridCol w:w="1350"/>
      </w:tblGrid>
      <w:tr w14:paraId="65EE5621" w14:textId="77777777" w:rsidTr="006A09E0">
        <w:tblPrEx>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93"/>
        </w:trPr>
        <w:tc>
          <w:tcPr>
            <w:tcW w:w="1350" w:type="dxa"/>
            <w:shd w:val="clear" w:color="auto" w:fill="D9D9D9" w:themeFill="background1" w:themeFillShade="D9"/>
          </w:tcPr>
          <w:p w:rsidR="003B2200" w:rsidRPr="00173D8D" w:rsidP="000058E0" w14:paraId="22D9A4F0" w14:textId="64C9DF34">
            <w:pPr>
              <w:ind w:left="-18"/>
              <w:rPr>
                <w:b/>
                <w:sz w:val="20"/>
                <w:szCs w:val="20"/>
              </w:rPr>
            </w:pPr>
            <w:r w:rsidRPr="00173D8D">
              <w:rPr>
                <w:b/>
                <w:sz w:val="20"/>
                <w:szCs w:val="20"/>
              </w:rPr>
              <w:t>Data</w:t>
            </w:r>
            <w:r w:rsidRPr="00173D8D" w:rsidR="00157413">
              <w:rPr>
                <w:b/>
                <w:sz w:val="20"/>
                <w:szCs w:val="20"/>
              </w:rPr>
              <w:t xml:space="preserve"> </w:t>
            </w:r>
            <w:r w:rsidRPr="00173D8D" w:rsidR="00173D8D">
              <w:rPr>
                <w:b/>
                <w:sz w:val="20"/>
                <w:szCs w:val="20"/>
              </w:rPr>
              <w:t xml:space="preserve">Collection </w:t>
            </w:r>
            <w:r w:rsidRPr="00173D8D">
              <w:rPr>
                <w:b/>
                <w:sz w:val="20"/>
                <w:szCs w:val="20"/>
              </w:rPr>
              <w:t>Instrument: Form Name</w:t>
            </w:r>
          </w:p>
        </w:tc>
        <w:tc>
          <w:tcPr>
            <w:tcW w:w="1350" w:type="dxa"/>
            <w:shd w:val="clear" w:color="auto" w:fill="D9D9D9" w:themeFill="background1" w:themeFillShade="D9"/>
            <w:vAlign w:val="center"/>
          </w:tcPr>
          <w:p w:rsidR="003B2200" w:rsidRPr="00173D8D" w:rsidP="000058E0" w14:paraId="1299573E" w14:textId="77777777">
            <w:pPr>
              <w:ind w:left="-18"/>
              <w:rPr>
                <w:b/>
                <w:sz w:val="20"/>
                <w:szCs w:val="20"/>
              </w:rPr>
            </w:pPr>
            <w:r w:rsidRPr="00173D8D">
              <w:rPr>
                <w:b/>
                <w:sz w:val="20"/>
                <w:szCs w:val="20"/>
              </w:rPr>
              <w:t>Type of Respondent</w:t>
            </w:r>
          </w:p>
        </w:tc>
        <w:tc>
          <w:tcPr>
            <w:tcW w:w="1440" w:type="dxa"/>
            <w:shd w:val="clear" w:color="auto" w:fill="D9D9D9" w:themeFill="background1" w:themeFillShade="D9"/>
            <w:vAlign w:val="center"/>
          </w:tcPr>
          <w:p w:rsidR="003B2200" w:rsidRPr="00173D8D" w:rsidP="000058E0" w14:paraId="1FB4A703" w14:textId="77777777">
            <w:pPr>
              <w:ind w:left="-18"/>
              <w:rPr>
                <w:b/>
                <w:sz w:val="20"/>
                <w:szCs w:val="20"/>
              </w:rPr>
            </w:pPr>
            <w:r w:rsidRPr="00173D8D">
              <w:rPr>
                <w:b/>
                <w:sz w:val="20"/>
                <w:szCs w:val="20"/>
              </w:rPr>
              <w:t>No. of Respondents</w:t>
            </w:r>
          </w:p>
        </w:tc>
        <w:tc>
          <w:tcPr>
            <w:tcW w:w="1350" w:type="dxa"/>
            <w:shd w:val="clear" w:color="auto" w:fill="D9D9D9" w:themeFill="background1" w:themeFillShade="D9"/>
            <w:vAlign w:val="center"/>
          </w:tcPr>
          <w:p w:rsidR="003B2200" w:rsidRPr="00173D8D" w:rsidP="000058E0" w14:paraId="7077EE7C" w14:textId="77777777">
            <w:pPr>
              <w:ind w:left="-18"/>
              <w:rPr>
                <w:b/>
                <w:sz w:val="20"/>
                <w:szCs w:val="20"/>
              </w:rPr>
            </w:pPr>
            <w:r w:rsidRPr="00173D8D">
              <w:rPr>
                <w:b/>
                <w:sz w:val="20"/>
                <w:szCs w:val="20"/>
              </w:rPr>
              <w:t>No. of Responses per Respondent</w:t>
            </w:r>
          </w:p>
        </w:tc>
        <w:tc>
          <w:tcPr>
            <w:tcW w:w="1350" w:type="dxa"/>
            <w:shd w:val="clear" w:color="auto" w:fill="D9D9D9" w:themeFill="background1" w:themeFillShade="D9"/>
            <w:vAlign w:val="center"/>
          </w:tcPr>
          <w:p w:rsidR="003B2200" w:rsidRPr="00173D8D" w:rsidP="000058E0" w14:paraId="4405076E" w14:textId="77777777">
            <w:pPr>
              <w:ind w:left="-18"/>
              <w:rPr>
                <w:b/>
                <w:sz w:val="20"/>
                <w:szCs w:val="20"/>
              </w:rPr>
            </w:pPr>
            <w:r w:rsidRPr="00173D8D">
              <w:rPr>
                <w:b/>
                <w:sz w:val="20"/>
                <w:szCs w:val="20"/>
              </w:rPr>
              <w:t>Average Burden per Response (in hours)</w:t>
            </w:r>
          </w:p>
        </w:tc>
        <w:tc>
          <w:tcPr>
            <w:tcW w:w="990" w:type="dxa"/>
            <w:shd w:val="clear" w:color="auto" w:fill="D9D9D9" w:themeFill="background1" w:themeFillShade="D9"/>
            <w:vAlign w:val="center"/>
          </w:tcPr>
          <w:p w:rsidR="003B2200" w:rsidRPr="00173D8D" w:rsidP="000058E0" w14:paraId="0FFACE85" w14:textId="77777777">
            <w:pPr>
              <w:ind w:left="-18"/>
              <w:rPr>
                <w:b/>
                <w:sz w:val="20"/>
                <w:szCs w:val="20"/>
              </w:rPr>
            </w:pPr>
            <w:r w:rsidRPr="00173D8D">
              <w:rPr>
                <w:b/>
                <w:sz w:val="20"/>
                <w:szCs w:val="20"/>
              </w:rPr>
              <w:t>Total Burden Hours</w:t>
            </w:r>
          </w:p>
        </w:tc>
        <w:tc>
          <w:tcPr>
            <w:tcW w:w="1128" w:type="dxa"/>
            <w:shd w:val="clear" w:color="auto" w:fill="D9D9D9" w:themeFill="background1" w:themeFillShade="D9"/>
            <w:vAlign w:val="center"/>
          </w:tcPr>
          <w:p w:rsidR="003B2200" w:rsidRPr="00173D8D" w:rsidP="000058E0" w14:paraId="23D189B4" w14:textId="77777777">
            <w:pPr>
              <w:ind w:left="-18"/>
              <w:rPr>
                <w:b/>
                <w:sz w:val="20"/>
                <w:szCs w:val="20"/>
              </w:rPr>
            </w:pPr>
            <w:r w:rsidRPr="00173D8D">
              <w:rPr>
                <w:b/>
                <w:sz w:val="20"/>
                <w:szCs w:val="20"/>
              </w:rPr>
              <w:t>Hourly Wage Rate</w:t>
            </w:r>
          </w:p>
        </w:tc>
        <w:tc>
          <w:tcPr>
            <w:tcW w:w="1350" w:type="dxa"/>
            <w:shd w:val="clear" w:color="auto" w:fill="D9D9D9" w:themeFill="background1" w:themeFillShade="D9"/>
            <w:vAlign w:val="center"/>
          </w:tcPr>
          <w:p w:rsidR="003B2200" w:rsidRPr="00173D8D" w:rsidP="000058E0" w14:paraId="389C7983" w14:textId="77777777">
            <w:pPr>
              <w:ind w:left="-18"/>
              <w:rPr>
                <w:b/>
                <w:sz w:val="20"/>
                <w:szCs w:val="20"/>
              </w:rPr>
            </w:pPr>
            <w:r w:rsidRPr="00173D8D">
              <w:rPr>
                <w:b/>
                <w:sz w:val="20"/>
                <w:szCs w:val="20"/>
              </w:rPr>
              <w:t>Total Respondent Costs</w:t>
            </w:r>
          </w:p>
        </w:tc>
      </w:tr>
      <w:tr w14:paraId="01292F86" w14:textId="77777777" w:rsidTr="006A09E0">
        <w:tblPrEx>
          <w:tblW w:w="10308" w:type="dxa"/>
          <w:tblInd w:w="355" w:type="dxa"/>
          <w:tblLayout w:type="fixed"/>
          <w:tblLook w:val="04A0"/>
        </w:tblPrEx>
        <w:tc>
          <w:tcPr>
            <w:tcW w:w="1350" w:type="dxa"/>
          </w:tcPr>
          <w:p w:rsidR="00471642" w:rsidRPr="00173D8D" w:rsidP="00471642" w14:paraId="036B0B08" w14:textId="6EEAF736">
            <w:pPr>
              <w:ind w:left="0"/>
              <w:rPr>
                <w:sz w:val="20"/>
                <w:szCs w:val="20"/>
              </w:rPr>
            </w:pPr>
            <w:r w:rsidRPr="00173D8D">
              <w:rPr>
                <w:sz w:val="20"/>
                <w:szCs w:val="20"/>
              </w:rPr>
              <w:t>Survey Instrument</w:t>
            </w:r>
          </w:p>
        </w:tc>
        <w:tc>
          <w:tcPr>
            <w:tcW w:w="1350" w:type="dxa"/>
          </w:tcPr>
          <w:p w:rsidR="00471642" w:rsidRPr="00173D8D" w:rsidP="00471642" w14:paraId="3C92D99E" w14:textId="01D939F4">
            <w:pPr>
              <w:ind w:left="0"/>
              <w:rPr>
                <w:sz w:val="20"/>
                <w:szCs w:val="20"/>
              </w:rPr>
            </w:pPr>
            <w:r w:rsidRPr="00173D8D">
              <w:rPr>
                <w:sz w:val="20"/>
                <w:szCs w:val="20"/>
              </w:rPr>
              <w:t>State</w:t>
            </w:r>
            <w:r w:rsidRPr="00173D8D" w:rsidR="00215DAB">
              <w:rPr>
                <w:sz w:val="20"/>
                <w:szCs w:val="20"/>
              </w:rPr>
              <w:t xml:space="preserve"> </w:t>
            </w:r>
            <w:r w:rsidRPr="00173D8D">
              <w:rPr>
                <w:sz w:val="20"/>
                <w:szCs w:val="20"/>
              </w:rPr>
              <w:t>hea</w:t>
            </w:r>
            <w:r w:rsidRPr="00173D8D" w:rsidR="00215DAB">
              <w:rPr>
                <w:sz w:val="20"/>
                <w:szCs w:val="20"/>
              </w:rPr>
              <w:t>lth department OD2A staff</w:t>
            </w:r>
            <w:r w:rsidRPr="00173D8D" w:rsidR="00E63F1A">
              <w:rPr>
                <w:sz w:val="20"/>
                <w:szCs w:val="20"/>
              </w:rPr>
              <w:t xml:space="preserve"> </w:t>
            </w:r>
          </w:p>
        </w:tc>
        <w:tc>
          <w:tcPr>
            <w:tcW w:w="1440" w:type="dxa"/>
          </w:tcPr>
          <w:p w:rsidR="00471642" w:rsidRPr="00173D8D" w:rsidP="00A1050C" w14:paraId="68B36693" w14:textId="469BE7A7">
            <w:pPr>
              <w:ind w:left="0"/>
              <w:rPr>
                <w:sz w:val="20"/>
                <w:szCs w:val="20"/>
              </w:rPr>
            </w:pPr>
            <w:r>
              <w:rPr>
                <w:sz w:val="20"/>
                <w:szCs w:val="20"/>
              </w:rPr>
              <w:t>50</w:t>
            </w:r>
          </w:p>
        </w:tc>
        <w:tc>
          <w:tcPr>
            <w:tcW w:w="1350" w:type="dxa"/>
          </w:tcPr>
          <w:p w:rsidR="00471642" w:rsidRPr="00173D8D" w:rsidP="00471642" w14:paraId="45730FFC" w14:textId="61BD7F80">
            <w:pPr>
              <w:ind w:left="0"/>
              <w:rPr>
                <w:sz w:val="20"/>
                <w:szCs w:val="20"/>
              </w:rPr>
            </w:pPr>
            <w:r w:rsidRPr="00173D8D">
              <w:rPr>
                <w:sz w:val="20"/>
                <w:szCs w:val="20"/>
              </w:rPr>
              <w:t>1</w:t>
            </w:r>
          </w:p>
        </w:tc>
        <w:tc>
          <w:tcPr>
            <w:tcW w:w="1350" w:type="dxa"/>
          </w:tcPr>
          <w:p w:rsidR="00471642" w:rsidRPr="00173D8D" w:rsidP="00471642" w14:paraId="6A3916AD" w14:textId="0C867D8B">
            <w:pPr>
              <w:ind w:left="0"/>
              <w:rPr>
                <w:sz w:val="20"/>
                <w:szCs w:val="20"/>
              </w:rPr>
            </w:pPr>
            <w:r w:rsidRPr="00173D8D">
              <w:rPr>
                <w:sz w:val="20"/>
                <w:szCs w:val="20"/>
              </w:rPr>
              <w:t>25</w:t>
            </w:r>
            <w:r w:rsidRPr="00173D8D">
              <w:rPr>
                <w:sz w:val="20"/>
                <w:szCs w:val="20"/>
              </w:rPr>
              <w:t xml:space="preserve">/60 </w:t>
            </w:r>
          </w:p>
        </w:tc>
        <w:tc>
          <w:tcPr>
            <w:tcW w:w="990" w:type="dxa"/>
          </w:tcPr>
          <w:p w:rsidR="00471642" w:rsidRPr="00173D8D" w:rsidP="00A1050C" w14:paraId="2B27ECC6" w14:textId="1F3A2AEA">
            <w:pPr>
              <w:ind w:left="0"/>
              <w:rPr>
                <w:sz w:val="20"/>
                <w:szCs w:val="20"/>
              </w:rPr>
            </w:pPr>
            <w:r>
              <w:rPr>
                <w:sz w:val="20"/>
                <w:szCs w:val="20"/>
              </w:rPr>
              <w:t>21</w:t>
            </w:r>
          </w:p>
        </w:tc>
        <w:tc>
          <w:tcPr>
            <w:tcW w:w="1128" w:type="dxa"/>
          </w:tcPr>
          <w:p w:rsidR="00471642" w:rsidRPr="00173D8D" w:rsidP="00471642" w14:paraId="35B3406C" w14:textId="33006178">
            <w:pPr>
              <w:ind w:left="0"/>
              <w:rPr>
                <w:sz w:val="20"/>
                <w:szCs w:val="20"/>
              </w:rPr>
            </w:pPr>
            <w:r w:rsidRPr="00173D8D">
              <w:rPr>
                <w:sz w:val="20"/>
                <w:szCs w:val="20"/>
              </w:rPr>
              <w:t>$</w:t>
            </w:r>
            <w:r w:rsidRPr="0084117C">
              <w:rPr>
                <w:sz w:val="20"/>
                <w:szCs w:val="20"/>
              </w:rPr>
              <w:t>32.07</w:t>
            </w:r>
          </w:p>
        </w:tc>
        <w:tc>
          <w:tcPr>
            <w:tcW w:w="1350" w:type="dxa"/>
          </w:tcPr>
          <w:p w:rsidR="00471642" w:rsidRPr="00173D8D" w:rsidP="00EE54FA" w14:paraId="38BB3691" w14:textId="3A0FA65F">
            <w:pPr>
              <w:ind w:left="0"/>
              <w:rPr>
                <w:sz w:val="20"/>
                <w:szCs w:val="20"/>
              </w:rPr>
            </w:pPr>
            <w:r w:rsidRPr="00173D8D">
              <w:rPr>
                <w:sz w:val="20"/>
                <w:szCs w:val="20"/>
              </w:rPr>
              <w:t>$</w:t>
            </w:r>
            <w:r w:rsidR="009271B3">
              <w:rPr>
                <w:sz w:val="20"/>
                <w:szCs w:val="20"/>
              </w:rPr>
              <w:t>67</w:t>
            </w:r>
            <w:r w:rsidR="006C4B2E">
              <w:rPr>
                <w:sz w:val="20"/>
                <w:szCs w:val="20"/>
              </w:rPr>
              <w:t>3.47</w:t>
            </w:r>
          </w:p>
        </w:tc>
      </w:tr>
      <w:tr w14:paraId="125F3025" w14:textId="77777777" w:rsidTr="00EC13CC">
        <w:tblPrEx>
          <w:tblW w:w="10308" w:type="dxa"/>
          <w:tblInd w:w="355" w:type="dxa"/>
          <w:tblLayout w:type="fixed"/>
          <w:tblLook w:val="04A0"/>
        </w:tblPrEx>
        <w:trPr>
          <w:trHeight w:hRule="exact" w:val="1072"/>
        </w:trPr>
        <w:tc>
          <w:tcPr>
            <w:tcW w:w="1350" w:type="dxa"/>
          </w:tcPr>
          <w:p w:rsidR="005A2725" w:rsidRPr="00173D8D" w:rsidP="005A2725" w14:paraId="6DB9A96D" w14:textId="2EF6186B">
            <w:pPr>
              <w:ind w:left="0"/>
              <w:rPr>
                <w:b/>
                <w:sz w:val="20"/>
                <w:szCs w:val="20"/>
              </w:rPr>
            </w:pPr>
            <w:r w:rsidRPr="00173D8D">
              <w:rPr>
                <w:sz w:val="20"/>
                <w:szCs w:val="20"/>
              </w:rPr>
              <w:t>Survey Instrument</w:t>
            </w:r>
          </w:p>
        </w:tc>
        <w:tc>
          <w:tcPr>
            <w:tcW w:w="1350" w:type="dxa"/>
            <w:vAlign w:val="center"/>
          </w:tcPr>
          <w:p w:rsidR="005A2725" w:rsidRPr="00EC13CC" w:rsidP="005A2725" w14:paraId="06A5B316" w14:textId="22409133">
            <w:pPr>
              <w:ind w:left="0"/>
              <w:rPr>
                <w:bCs/>
                <w:sz w:val="20"/>
                <w:szCs w:val="20"/>
              </w:rPr>
            </w:pPr>
            <w:r w:rsidRPr="00EC13CC">
              <w:rPr>
                <w:bCs/>
                <w:sz w:val="20"/>
                <w:szCs w:val="20"/>
              </w:rPr>
              <w:t>Local health department OD2A staff</w:t>
            </w:r>
          </w:p>
        </w:tc>
        <w:tc>
          <w:tcPr>
            <w:tcW w:w="1440" w:type="dxa"/>
            <w:vAlign w:val="center"/>
          </w:tcPr>
          <w:p w:rsidR="005A2725" w:rsidRPr="00173D8D" w:rsidP="005A2725" w14:paraId="1DD40978" w14:textId="7758AB73">
            <w:pPr>
              <w:ind w:left="0"/>
              <w:rPr>
                <w:b/>
                <w:sz w:val="20"/>
                <w:szCs w:val="20"/>
              </w:rPr>
            </w:pPr>
            <w:r>
              <w:rPr>
                <w:b/>
                <w:sz w:val="20"/>
                <w:szCs w:val="20"/>
              </w:rPr>
              <w:t>40</w:t>
            </w:r>
          </w:p>
        </w:tc>
        <w:tc>
          <w:tcPr>
            <w:tcW w:w="1350" w:type="dxa"/>
            <w:shd w:val="clear" w:color="auto" w:fill="auto"/>
          </w:tcPr>
          <w:p w:rsidR="005A2725" w:rsidRPr="00173D8D" w:rsidP="005A2725" w14:paraId="6A7BF617" w14:textId="16B605DB">
            <w:pPr>
              <w:ind w:left="0"/>
              <w:rPr>
                <w:b/>
                <w:sz w:val="20"/>
                <w:szCs w:val="20"/>
              </w:rPr>
            </w:pPr>
            <w:r w:rsidRPr="00173D8D">
              <w:rPr>
                <w:sz w:val="20"/>
                <w:szCs w:val="20"/>
              </w:rPr>
              <w:t>1</w:t>
            </w:r>
          </w:p>
        </w:tc>
        <w:tc>
          <w:tcPr>
            <w:tcW w:w="1350" w:type="dxa"/>
            <w:shd w:val="clear" w:color="auto" w:fill="auto"/>
          </w:tcPr>
          <w:p w:rsidR="005A2725" w:rsidRPr="00173D8D" w:rsidP="005A2725" w14:paraId="309CC4B8" w14:textId="600B6DDC">
            <w:pPr>
              <w:ind w:left="0"/>
              <w:rPr>
                <w:b/>
                <w:sz w:val="20"/>
                <w:szCs w:val="20"/>
              </w:rPr>
            </w:pPr>
            <w:r w:rsidRPr="00173D8D">
              <w:rPr>
                <w:sz w:val="20"/>
                <w:szCs w:val="20"/>
              </w:rPr>
              <w:t xml:space="preserve">25/60 </w:t>
            </w:r>
          </w:p>
        </w:tc>
        <w:tc>
          <w:tcPr>
            <w:tcW w:w="990" w:type="dxa"/>
            <w:shd w:val="clear" w:color="auto" w:fill="auto"/>
          </w:tcPr>
          <w:p w:rsidR="005A2725" w:rsidRPr="00173D8D" w:rsidP="005A2725" w14:paraId="0933A40F" w14:textId="64784C1D">
            <w:pPr>
              <w:ind w:left="0"/>
              <w:rPr>
                <w:b/>
                <w:sz w:val="20"/>
                <w:szCs w:val="20"/>
              </w:rPr>
            </w:pPr>
            <w:r>
              <w:rPr>
                <w:sz w:val="20"/>
                <w:szCs w:val="20"/>
              </w:rPr>
              <w:t>17</w:t>
            </w:r>
          </w:p>
        </w:tc>
        <w:tc>
          <w:tcPr>
            <w:tcW w:w="1128" w:type="dxa"/>
            <w:shd w:val="clear" w:color="auto" w:fill="auto"/>
          </w:tcPr>
          <w:p w:rsidR="005A2725" w:rsidRPr="00173D8D" w:rsidP="005A2725" w14:paraId="1D29856E" w14:textId="766E482B">
            <w:pPr>
              <w:ind w:left="0"/>
              <w:rPr>
                <w:b/>
                <w:sz w:val="20"/>
                <w:szCs w:val="20"/>
              </w:rPr>
            </w:pPr>
            <w:r w:rsidRPr="00173D8D">
              <w:rPr>
                <w:sz w:val="20"/>
                <w:szCs w:val="20"/>
              </w:rPr>
              <w:t>$</w:t>
            </w:r>
            <w:r w:rsidRPr="0084117C">
              <w:rPr>
                <w:sz w:val="20"/>
                <w:szCs w:val="20"/>
              </w:rPr>
              <w:t>32.07</w:t>
            </w:r>
          </w:p>
        </w:tc>
        <w:tc>
          <w:tcPr>
            <w:tcW w:w="1350" w:type="dxa"/>
            <w:vAlign w:val="center"/>
          </w:tcPr>
          <w:p w:rsidR="005A2725" w:rsidRPr="00252FFD" w:rsidP="005A2725" w14:paraId="5CF0865B" w14:textId="61D9DA12">
            <w:pPr>
              <w:ind w:left="0"/>
              <w:rPr>
                <w:bCs/>
                <w:sz w:val="20"/>
                <w:szCs w:val="20"/>
              </w:rPr>
            </w:pPr>
            <w:r>
              <w:rPr>
                <w:bCs/>
                <w:sz w:val="20"/>
                <w:szCs w:val="20"/>
              </w:rPr>
              <w:t>$</w:t>
            </w:r>
            <w:r w:rsidR="00230BF9">
              <w:rPr>
                <w:bCs/>
                <w:sz w:val="20"/>
                <w:szCs w:val="20"/>
              </w:rPr>
              <w:t>545.</w:t>
            </w:r>
            <w:r w:rsidR="00CA5E3B">
              <w:rPr>
                <w:bCs/>
                <w:sz w:val="20"/>
                <w:szCs w:val="20"/>
              </w:rPr>
              <w:t>19</w:t>
            </w:r>
          </w:p>
        </w:tc>
      </w:tr>
      <w:tr w14:paraId="59B5BF79" w14:textId="77777777" w:rsidTr="00EC13CC">
        <w:tblPrEx>
          <w:tblW w:w="10308" w:type="dxa"/>
          <w:tblInd w:w="355" w:type="dxa"/>
          <w:tblLayout w:type="fixed"/>
          <w:tblLook w:val="04A0"/>
        </w:tblPrEx>
        <w:trPr>
          <w:trHeight w:hRule="exact" w:val="1072"/>
        </w:trPr>
        <w:tc>
          <w:tcPr>
            <w:tcW w:w="1350" w:type="dxa"/>
          </w:tcPr>
          <w:p w:rsidR="005A2725" w:rsidRPr="00173D8D" w:rsidP="005A2725" w14:paraId="38FD8AD1" w14:textId="77777777">
            <w:pPr>
              <w:ind w:left="0"/>
              <w:rPr>
                <w:b/>
                <w:sz w:val="20"/>
                <w:szCs w:val="20"/>
              </w:rPr>
            </w:pPr>
          </w:p>
        </w:tc>
        <w:tc>
          <w:tcPr>
            <w:tcW w:w="1350" w:type="dxa"/>
            <w:vAlign w:val="center"/>
          </w:tcPr>
          <w:p w:rsidR="005A2725" w:rsidRPr="00173D8D" w:rsidP="005A2725" w14:paraId="71C3376F" w14:textId="77777777">
            <w:pPr>
              <w:ind w:left="0"/>
              <w:rPr>
                <w:b/>
                <w:sz w:val="20"/>
                <w:szCs w:val="20"/>
              </w:rPr>
            </w:pPr>
            <w:r w:rsidRPr="00173D8D">
              <w:rPr>
                <w:b/>
                <w:sz w:val="20"/>
                <w:szCs w:val="20"/>
              </w:rPr>
              <w:t>TOTALS</w:t>
            </w:r>
          </w:p>
        </w:tc>
        <w:tc>
          <w:tcPr>
            <w:tcW w:w="1440" w:type="dxa"/>
            <w:vAlign w:val="center"/>
          </w:tcPr>
          <w:p w:rsidR="005A2725" w:rsidRPr="00173D8D" w:rsidP="005A2725" w14:paraId="69329069" w14:textId="0B448D8D">
            <w:pPr>
              <w:ind w:left="0"/>
              <w:rPr>
                <w:b/>
                <w:sz w:val="20"/>
                <w:szCs w:val="20"/>
              </w:rPr>
            </w:pPr>
            <w:r w:rsidRPr="00173D8D">
              <w:rPr>
                <w:b/>
                <w:sz w:val="20"/>
                <w:szCs w:val="20"/>
              </w:rPr>
              <w:t>90</w:t>
            </w:r>
          </w:p>
        </w:tc>
        <w:tc>
          <w:tcPr>
            <w:tcW w:w="1350" w:type="dxa"/>
            <w:shd w:val="clear" w:color="auto" w:fill="auto"/>
            <w:vAlign w:val="center"/>
          </w:tcPr>
          <w:p w:rsidR="005A2725" w:rsidRPr="00173D8D" w:rsidP="005A2725" w14:paraId="53DB0C59" w14:textId="41B5F90F">
            <w:pPr>
              <w:ind w:left="0"/>
              <w:rPr>
                <w:b/>
                <w:sz w:val="20"/>
                <w:szCs w:val="20"/>
              </w:rPr>
            </w:pPr>
            <w:r w:rsidRPr="00173D8D">
              <w:rPr>
                <w:b/>
                <w:sz w:val="20"/>
                <w:szCs w:val="20"/>
              </w:rPr>
              <w:t>1</w:t>
            </w:r>
          </w:p>
        </w:tc>
        <w:tc>
          <w:tcPr>
            <w:tcW w:w="1350" w:type="dxa"/>
            <w:shd w:val="clear" w:color="auto" w:fill="auto"/>
            <w:vAlign w:val="center"/>
          </w:tcPr>
          <w:p w:rsidR="005A2725" w:rsidRPr="00173D8D" w:rsidP="005A2725" w14:paraId="15758402" w14:textId="77777777">
            <w:pPr>
              <w:ind w:left="0"/>
              <w:rPr>
                <w:b/>
                <w:sz w:val="20"/>
                <w:szCs w:val="20"/>
              </w:rPr>
            </w:pPr>
          </w:p>
        </w:tc>
        <w:tc>
          <w:tcPr>
            <w:tcW w:w="990" w:type="dxa"/>
            <w:shd w:val="clear" w:color="auto" w:fill="auto"/>
            <w:vAlign w:val="center"/>
          </w:tcPr>
          <w:p w:rsidR="005A2725" w:rsidRPr="00173D8D" w:rsidP="005A2725" w14:paraId="5855F3C0" w14:textId="6E771652">
            <w:pPr>
              <w:ind w:left="0"/>
              <w:rPr>
                <w:b/>
                <w:sz w:val="20"/>
                <w:szCs w:val="20"/>
              </w:rPr>
            </w:pPr>
            <w:r w:rsidRPr="00173D8D">
              <w:rPr>
                <w:b/>
                <w:sz w:val="20"/>
                <w:szCs w:val="20"/>
              </w:rPr>
              <w:t>3</w:t>
            </w:r>
            <w:r w:rsidR="00A01857">
              <w:rPr>
                <w:b/>
                <w:sz w:val="20"/>
                <w:szCs w:val="20"/>
              </w:rPr>
              <w:t>8</w:t>
            </w:r>
          </w:p>
        </w:tc>
        <w:tc>
          <w:tcPr>
            <w:tcW w:w="1128" w:type="dxa"/>
            <w:shd w:val="clear" w:color="auto" w:fill="auto"/>
            <w:vAlign w:val="center"/>
          </w:tcPr>
          <w:p w:rsidR="005A2725" w:rsidRPr="00173D8D" w:rsidP="005A2725" w14:paraId="74750156" w14:textId="77777777">
            <w:pPr>
              <w:ind w:left="0"/>
              <w:rPr>
                <w:b/>
                <w:sz w:val="20"/>
                <w:szCs w:val="20"/>
              </w:rPr>
            </w:pPr>
          </w:p>
        </w:tc>
        <w:tc>
          <w:tcPr>
            <w:tcW w:w="1350" w:type="dxa"/>
            <w:vAlign w:val="center"/>
          </w:tcPr>
          <w:p w:rsidR="005A2725" w:rsidP="005A2725" w14:paraId="492ED297" w14:textId="7F2AF5C5">
            <w:pPr>
              <w:ind w:left="0"/>
              <w:rPr>
                <w:b/>
                <w:sz w:val="20"/>
                <w:szCs w:val="20"/>
              </w:rPr>
            </w:pPr>
            <w:r w:rsidRPr="00173D8D">
              <w:rPr>
                <w:b/>
                <w:sz w:val="20"/>
                <w:szCs w:val="20"/>
              </w:rPr>
              <w:t>$</w:t>
            </w:r>
            <w:r w:rsidR="00250015">
              <w:rPr>
                <w:b/>
                <w:sz w:val="20"/>
                <w:szCs w:val="20"/>
              </w:rPr>
              <w:t>1,2</w:t>
            </w:r>
            <w:r w:rsidR="00085709">
              <w:rPr>
                <w:b/>
                <w:sz w:val="20"/>
                <w:szCs w:val="20"/>
              </w:rPr>
              <w:t>18.66</w:t>
            </w:r>
          </w:p>
          <w:p w:rsidR="00250015" w:rsidRPr="00173D8D" w:rsidP="005A2725" w14:paraId="47C1325C" w14:textId="52687C30">
            <w:pPr>
              <w:ind w:left="0"/>
              <w:rPr>
                <w:b/>
                <w:sz w:val="20"/>
                <w:szCs w:val="20"/>
              </w:rPr>
            </w:pPr>
          </w:p>
        </w:tc>
      </w:tr>
    </w:tbl>
    <w:p w:rsidR="00130D45" w:rsidRPr="004F6AFA" w:rsidP="00383542" w14:paraId="17012717" w14:textId="74EF9962">
      <w:pPr>
        <w:ind w:left="0"/>
      </w:pPr>
    </w:p>
    <w:p w:rsidR="00B12F51" w:rsidRPr="0088467A" w:rsidP="00692DEB" w14:paraId="2F7E1199" w14:textId="5DE9DE72">
      <w:pPr>
        <w:pStyle w:val="Heading4"/>
      </w:pPr>
      <w:bookmarkStart w:id="17" w:name="_Toc162967745"/>
      <w:r w:rsidRPr="0088467A">
        <w:t>Estimates of Other Total Annual Cost Burden to Respondents or Record Keepers</w:t>
      </w:r>
      <w:bookmarkEnd w:id="17"/>
    </w:p>
    <w:p w:rsidR="00721719" w:rsidP="0084117C" w14:paraId="720BF57C" w14:textId="6941887F">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383542" w:rsidP="00692DEB" w14:paraId="23771AEB" w14:textId="77777777">
      <w:pPr>
        <w:ind w:left="0"/>
      </w:pPr>
    </w:p>
    <w:p w:rsidR="00B12F51" w:rsidRPr="0088467A" w:rsidP="00692DEB" w14:paraId="6A72193F" w14:textId="7007A5F6">
      <w:pPr>
        <w:pStyle w:val="Heading4"/>
      </w:pPr>
      <w:bookmarkStart w:id="18" w:name="_Toc162967746"/>
      <w:r w:rsidRPr="0088467A">
        <w:t>Annualized Cost to the Government</w:t>
      </w:r>
      <w:bookmarkEnd w:id="18"/>
      <w:r w:rsidR="00D75750">
        <w:t xml:space="preserve"> </w:t>
      </w:r>
    </w:p>
    <w:p w:rsidR="008B65FF" w:rsidRPr="005031AB" w:rsidP="00752444" w14:paraId="7B2F92B8" w14:textId="7EDF8955">
      <w:pPr>
        <w:tabs>
          <w:tab w:val="left" w:pos="3960"/>
        </w:tabs>
        <w:ind w:left="360"/>
        <w:rPr>
          <w:rFonts w:cs="Arial"/>
        </w:rPr>
      </w:pPr>
      <w:r w:rsidRPr="000E58F5">
        <w:rPr>
          <w:rFonts w:cs="Arial"/>
        </w:rPr>
        <w:t xml:space="preserve">There are no equipment or overhead costs. The only cost to the federal government would be the salary of CDC staff </w:t>
      </w:r>
      <w:r w:rsidRPr="009C5502">
        <w:rPr>
          <w:rFonts w:cs="Arial"/>
        </w:rPr>
        <w:t xml:space="preserve">and </w:t>
      </w:r>
      <w:r w:rsidRPr="009C5502" w:rsidR="001D5F23">
        <w:rPr>
          <w:rFonts w:cs="Arial"/>
        </w:rPr>
        <w:t>the contractor,</w:t>
      </w:r>
      <w:r w:rsidRPr="009C5502" w:rsidR="00CF6092">
        <w:rPr>
          <w:rFonts w:cs="Arial"/>
        </w:rPr>
        <w:t xml:space="preserve"> </w:t>
      </w:r>
      <w:r w:rsidRPr="00752444" w:rsidR="000463AB">
        <w:rPr>
          <w:rFonts w:cs="Arial"/>
        </w:rPr>
        <w:t>Fors Marsh</w:t>
      </w:r>
      <w:r w:rsidR="00173D8D">
        <w:rPr>
          <w:rFonts w:cs="Arial"/>
        </w:rPr>
        <w:t>,</w:t>
      </w:r>
      <w:r w:rsidRPr="00752444" w:rsidR="000463AB">
        <w:rPr>
          <w:rFonts w:cs="Arial"/>
        </w:rPr>
        <w:t xml:space="preserve"> </w:t>
      </w:r>
      <w:r w:rsidRPr="000E58F5" w:rsidR="00CF6092">
        <w:rPr>
          <w:rFonts w:cs="Arial"/>
        </w:rPr>
        <w:t xml:space="preserve">to </w:t>
      </w:r>
      <w:r w:rsidR="00CF6092">
        <w:rPr>
          <w:rFonts w:cs="Arial"/>
        </w:rPr>
        <w:t>develop</w:t>
      </w:r>
      <w:r w:rsidRPr="000E58F5" w:rsidR="00CF6092">
        <w:rPr>
          <w:rFonts w:cs="Arial"/>
        </w:rPr>
        <w:t xml:space="preserve"> the </w:t>
      </w:r>
      <w:r w:rsidR="00CF6092">
        <w:rPr>
          <w:rFonts w:cs="Arial"/>
        </w:rPr>
        <w:t>data collection instrument</w:t>
      </w:r>
      <w:r w:rsidRPr="000E58F5" w:rsidR="00CF6092">
        <w:rPr>
          <w:rFonts w:cs="Arial"/>
        </w:rPr>
        <w:t xml:space="preserve">, </w:t>
      </w:r>
      <w:r w:rsidR="00CF6092">
        <w:rPr>
          <w:rFonts w:cs="Arial"/>
        </w:rPr>
        <w:t>collect data</w:t>
      </w:r>
      <w:r w:rsidRPr="000E58F5" w:rsidR="00CF6092">
        <w:rPr>
          <w:rFonts w:cs="Arial"/>
        </w:rPr>
        <w:t xml:space="preserve">, and </w:t>
      </w:r>
      <w:r w:rsidR="00CF6092">
        <w:rPr>
          <w:rFonts w:cs="Arial"/>
        </w:rPr>
        <w:t xml:space="preserve">perform </w:t>
      </w:r>
      <w:r w:rsidRPr="000E58F5" w:rsidR="00CF6092">
        <w:rPr>
          <w:rFonts w:cs="Arial"/>
        </w:rPr>
        <w:t>data analysis</w:t>
      </w:r>
      <w:r w:rsidRPr="000E58F5">
        <w:rPr>
          <w:rFonts w:cs="Arial"/>
        </w:rPr>
        <w:t>.</w:t>
      </w:r>
      <w:r>
        <w:rPr>
          <w:rFonts w:cs="Arial"/>
        </w:rPr>
        <w:t xml:space="preserve"> </w:t>
      </w:r>
      <w:r w:rsidR="00A01EB5">
        <w:rPr>
          <w:rFonts w:cs="Arial"/>
        </w:rPr>
        <w:t>Contra</w:t>
      </w:r>
      <w:r w:rsidR="000F4DB1">
        <w:rPr>
          <w:rFonts w:cs="Arial"/>
        </w:rPr>
        <w:t>c</w:t>
      </w:r>
      <w:r w:rsidR="00A01EB5">
        <w:rPr>
          <w:rFonts w:cs="Arial"/>
        </w:rPr>
        <w:t>tors are being used t</w:t>
      </w:r>
      <w:r w:rsidR="00104DD5">
        <w:rPr>
          <w:rFonts w:cs="Arial"/>
        </w:rPr>
        <w:t>o</w:t>
      </w:r>
      <w:r w:rsidR="00A01EB5">
        <w:rPr>
          <w:rFonts w:cs="Arial"/>
        </w:rPr>
        <w:t xml:space="preserve"> support the following tasks:</w:t>
      </w:r>
      <w:r w:rsidR="0009360F">
        <w:rPr>
          <w:rFonts w:cs="Arial"/>
        </w:rPr>
        <w:t xml:space="preserve"> </w:t>
      </w:r>
      <w:r w:rsidR="00026B48">
        <w:rPr>
          <w:rFonts w:cs="Arial"/>
        </w:rPr>
        <w:t>d</w:t>
      </w:r>
      <w:r w:rsidR="00785421">
        <w:rPr>
          <w:rFonts w:cs="Arial"/>
        </w:rPr>
        <w:t>evelop data</w:t>
      </w:r>
      <w:r w:rsidR="00026B48">
        <w:rPr>
          <w:rFonts w:cs="Arial"/>
        </w:rPr>
        <w:t xml:space="preserve"> collection protocol</w:t>
      </w:r>
      <w:r w:rsidR="00785421">
        <w:rPr>
          <w:rFonts w:cs="Arial"/>
        </w:rPr>
        <w:t>;</w:t>
      </w:r>
      <w:r w:rsidR="00026B48">
        <w:rPr>
          <w:rFonts w:cs="Arial"/>
        </w:rPr>
        <w:t xml:space="preserve"> develop</w:t>
      </w:r>
      <w:r w:rsidR="00785421">
        <w:rPr>
          <w:rFonts w:cs="Arial"/>
        </w:rPr>
        <w:t>, program</w:t>
      </w:r>
      <w:r w:rsidR="009F421F">
        <w:rPr>
          <w:rFonts w:cs="Arial"/>
        </w:rPr>
        <w:t>, and test</w:t>
      </w:r>
      <w:r w:rsidR="00535578">
        <w:rPr>
          <w:rFonts w:cs="Arial"/>
        </w:rPr>
        <w:t xml:space="preserve"> survey instrument; manage, </w:t>
      </w:r>
      <w:r w:rsidRPr="005031AB" w:rsidR="00535578">
        <w:rPr>
          <w:rFonts w:cs="Arial"/>
        </w:rPr>
        <w:t>clean, and analyze data</w:t>
      </w:r>
      <w:r w:rsidRPr="005031AB" w:rsidR="00F67002">
        <w:rPr>
          <w:rFonts w:cs="Arial"/>
        </w:rPr>
        <w:t xml:space="preserve">; develop final report. </w:t>
      </w:r>
      <w:r w:rsidRPr="005031AB">
        <w:rPr>
          <w:rFonts w:cs="Arial"/>
        </w:rPr>
        <w:t>The total estimated cost to the federal government is</w:t>
      </w:r>
      <w:r w:rsidRPr="005031AB" w:rsidR="008C59E7">
        <w:rPr>
          <w:rFonts w:cs="Arial"/>
        </w:rPr>
        <w:t xml:space="preserve"> </w:t>
      </w:r>
      <w:r w:rsidRPr="0001017E" w:rsidR="008C59E7">
        <w:rPr>
          <w:rFonts w:cs="Arial"/>
        </w:rPr>
        <w:t>$</w:t>
      </w:r>
      <w:r w:rsidRPr="005031AB" w:rsidR="008416B5">
        <w:rPr>
          <w:rFonts w:cs="Arial"/>
        </w:rPr>
        <w:t>65</w:t>
      </w:r>
      <w:r w:rsidRPr="005031AB" w:rsidR="005031AB">
        <w:rPr>
          <w:rFonts w:cs="Arial"/>
        </w:rPr>
        <w:t>, 135.82</w:t>
      </w:r>
      <w:r w:rsidRPr="005031AB">
        <w:rPr>
          <w:rFonts w:cs="Arial"/>
        </w:rPr>
        <w:t xml:space="preserve"> Table A-14 describes how this cost estimate was calculated.</w:t>
      </w:r>
    </w:p>
    <w:p w:rsidR="00A01EB5" w:rsidRPr="005031AB" w:rsidP="008B65FF" w14:paraId="4B8B679D" w14:textId="77777777">
      <w:pPr>
        <w:ind w:left="360"/>
        <w:rPr>
          <w:rFonts w:cs="Arial"/>
        </w:rPr>
      </w:pPr>
    </w:p>
    <w:p w:rsidR="008B65FF" w:rsidRPr="005031AB" w:rsidP="008B65FF" w14:paraId="6B1CA24A" w14:textId="77777777">
      <w:pPr>
        <w:ind w:left="360"/>
      </w:pPr>
    </w:p>
    <w:p w:rsidR="003C31C9" w:rsidRPr="005031AB" w:rsidP="008B65FF" w14:paraId="351738C3" w14:textId="0D8B4D6A">
      <w:pPr>
        <w:ind w:left="360"/>
        <w:rPr>
          <w:sz w:val="20"/>
          <w:szCs w:val="20"/>
        </w:rPr>
      </w:pPr>
      <w:r w:rsidRPr="005031AB">
        <w:rPr>
          <w:b/>
          <w:sz w:val="20"/>
          <w:szCs w:val="20"/>
          <w:u w:val="single"/>
        </w:rPr>
        <w:t>Table A-14</w:t>
      </w:r>
      <w:r w:rsidRPr="005031AB">
        <w:rPr>
          <w:b/>
          <w:sz w:val="20"/>
          <w:szCs w:val="20"/>
        </w:rPr>
        <w:t>:</w:t>
      </w:r>
      <w:r w:rsidRPr="005031AB">
        <w:rPr>
          <w:sz w:val="20"/>
          <w:szCs w:val="20"/>
        </w:rPr>
        <w:t xml:space="preserve"> Estimated Annualized Cost to the Federal Government</w:t>
      </w:r>
    </w:p>
    <w:p w:rsidR="00173D8D" w:rsidRPr="005031AB" w:rsidP="008B65FF" w14:paraId="3FD00EEB" w14:textId="77777777">
      <w:pPr>
        <w:ind w:left="360"/>
        <w:rPr>
          <w:sz w:val="20"/>
          <w:szCs w:val="20"/>
        </w:rPr>
      </w:pPr>
    </w:p>
    <w:tbl>
      <w:tblPr>
        <w:tblStyle w:val="TableGrid"/>
        <w:tblW w:w="9434" w:type="dxa"/>
        <w:tblInd w:w="355" w:type="dxa"/>
        <w:tblLook w:val="04A0"/>
      </w:tblPr>
      <w:tblGrid>
        <w:gridCol w:w="4121"/>
        <w:gridCol w:w="1768"/>
        <w:gridCol w:w="1330"/>
        <w:gridCol w:w="277"/>
        <w:gridCol w:w="277"/>
        <w:gridCol w:w="1661"/>
      </w:tblGrid>
      <w:tr w14:paraId="6AEC53D1" w14:textId="77777777" w:rsidTr="00BF7344">
        <w:tblPrEx>
          <w:tblW w:w="9434" w:type="dxa"/>
          <w:tblInd w:w="355" w:type="dxa"/>
          <w:tblLook w:val="04A0"/>
        </w:tblPrEx>
        <w:trPr>
          <w:trHeight w:val="593"/>
        </w:trPr>
        <w:tc>
          <w:tcPr>
            <w:tcW w:w="4121" w:type="dxa"/>
            <w:tcBorders>
              <w:bottom w:val="single" w:sz="12" w:space="0" w:color="auto"/>
            </w:tcBorders>
            <w:shd w:val="clear" w:color="auto" w:fill="D9D9D9" w:themeFill="background1" w:themeFillShade="D9"/>
            <w:vAlign w:val="center"/>
          </w:tcPr>
          <w:p w:rsidR="004841F1" w:rsidRPr="005031AB" w:rsidP="005D6F14" w14:paraId="56E95EEA" w14:textId="77777777">
            <w:pPr>
              <w:ind w:left="0"/>
              <w:jc w:val="center"/>
              <w:rPr>
                <w:b/>
                <w:sz w:val="20"/>
                <w:szCs w:val="20"/>
              </w:rPr>
            </w:pPr>
            <w:r w:rsidRPr="005031AB">
              <w:rPr>
                <w:b/>
                <w:sz w:val="20"/>
                <w:szCs w:val="20"/>
              </w:rPr>
              <w:t>Staff (FTE)</w:t>
            </w:r>
          </w:p>
        </w:tc>
        <w:tc>
          <w:tcPr>
            <w:tcW w:w="1768" w:type="dxa"/>
            <w:tcBorders>
              <w:bottom w:val="single" w:sz="12" w:space="0" w:color="auto"/>
            </w:tcBorders>
            <w:shd w:val="clear" w:color="auto" w:fill="D9D9D9" w:themeFill="background1" w:themeFillShade="D9"/>
            <w:vAlign w:val="center"/>
          </w:tcPr>
          <w:p w:rsidR="004841F1" w:rsidRPr="005031AB" w:rsidP="005D6F14" w14:paraId="51EB1B30" w14:textId="77777777">
            <w:pPr>
              <w:ind w:left="0"/>
              <w:jc w:val="center"/>
              <w:rPr>
                <w:b/>
                <w:sz w:val="20"/>
                <w:szCs w:val="20"/>
              </w:rPr>
            </w:pPr>
            <w:r w:rsidRPr="005031AB">
              <w:rPr>
                <w:b/>
                <w:sz w:val="20"/>
                <w:szCs w:val="20"/>
              </w:rPr>
              <w:t>Average Hours per Collection</w:t>
            </w:r>
          </w:p>
        </w:tc>
        <w:tc>
          <w:tcPr>
            <w:tcW w:w="1884" w:type="dxa"/>
            <w:gridSpan w:val="3"/>
            <w:tcBorders>
              <w:bottom w:val="single" w:sz="12" w:space="0" w:color="auto"/>
            </w:tcBorders>
            <w:shd w:val="clear" w:color="auto" w:fill="D9D9D9" w:themeFill="background1" w:themeFillShade="D9"/>
            <w:vAlign w:val="center"/>
          </w:tcPr>
          <w:p w:rsidR="004841F1" w:rsidRPr="005031AB" w:rsidP="005D6F14" w14:paraId="437ED4A8" w14:textId="77777777">
            <w:pPr>
              <w:ind w:left="0"/>
              <w:jc w:val="center"/>
              <w:rPr>
                <w:b/>
                <w:sz w:val="20"/>
                <w:szCs w:val="20"/>
              </w:rPr>
            </w:pPr>
            <w:r w:rsidRPr="005031AB">
              <w:rPr>
                <w:b/>
                <w:sz w:val="20"/>
                <w:szCs w:val="20"/>
              </w:rPr>
              <w:t>Average Hourly Rate</w:t>
            </w:r>
          </w:p>
        </w:tc>
        <w:tc>
          <w:tcPr>
            <w:tcW w:w="1661" w:type="dxa"/>
            <w:tcBorders>
              <w:bottom w:val="single" w:sz="12" w:space="0" w:color="auto"/>
            </w:tcBorders>
            <w:shd w:val="clear" w:color="auto" w:fill="D9D9D9" w:themeFill="background1" w:themeFillShade="D9"/>
            <w:vAlign w:val="center"/>
          </w:tcPr>
          <w:p w:rsidR="004841F1" w:rsidRPr="005031AB" w:rsidP="005D6F14" w14:paraId="73B11129" w14:textId="0D5D65AC">
            <w:pPr>
              <w:ind w:left="0"/>
              <w:jc w:val="center"/>
              <w:rPr>
                <w:b/>
                <w:sz w:val="20"/>
                <w:szCs w:val="20"/>
              </w:rPr>
            </w:pPr>
            <w:r w:rsidRPr="005031AB">
              <w:rPr>
                <w:b/>
                <w:sz w:val="20"/>
                <w:szCs w:val="20"/>
              </w:rPr>
              <w:t xml:space="preserve">Total </w:t>
            </w:r>
            <w:r w:rsidRPr="005031AB">
              <w:rPr>
                <w:b/>
                <w:sz w:val="20"/>
                <w:szCs w:val="20"/>
              </w:rPr>
              <w:t>Average Cost</w:t>
            </w:r>
          </w:p>
        </w:tc>
      </w:tr>
      <w:tr w14:paraId="1E2A53F1" w14:textId="77777777" w:rsidTr="00BF7344">
        <w:tblPrEx>
          <w:tblW w:w="9434" w:type="dxa"/>
          <w:tblInd w:w="355" w:type="dxa"/>
          <w:tblLook w:val="04A0"/>
        </w:tblPrEx>
        <w:tc>
          <w:tcPr>
            <w:tcW w:w="4121" w:type="dxa"/>
            <w:tcBorders>
              <w:top w:val="single" w:sz="12" w:space="0" w:color="auto"/>
            </w:tcBorders>
          </w:tcPr>
          <w:p w:rsidR="00E319A6" w:rsidRPr="005031AB" w:rsidP="00E319A6" w14:paraId="70CC6098" w14:textId="2501E9F7">
            <w:pPr>
              <w:ind w:left="0"/>
              <w:jc w:val="both"/>
              <w:rPr>
                <w:sz w:val="20"/>
                <w:szCs w:val="20"/>
              </w:rPr>
            </w:pPr>
            <w:r w:rsidRPr="005031AB">
              <w:rPr>
                <w:sz w:val="20"/>
                <w:szCs w:val="20"/>
              </w:rPr>
              <w:t>[</w:t>
            </w:r>
            <w:r w:rsidRPr="005031AB">
              <w:rPr>
                <w:rFonts w:ascii="Cambria" w:hAnsi="Cambria"/>
                <w:sz w:val="20"/>
                <w:szCs w:val="20"/>
              </w:rPr>
              <w:t xml:space="preserve">Health Communication Specialist – GS-13, Step 3; </w:t>
            </w:r>
          </w:p>
          <w:p w:rsidR="00EE54FA" w:rsidRPr="005031AB" w:rsidP="00E319A6" w14:paraId="075877EF" w14:textId="4D820D77">
            <w:pPr>
              <w:ind w:left="0"/>
            </w:pPr>
            <w:r w:rsidRPr="005031AB">
              <w:rPr>
                <w:rFonts w:ascii="Cambria" w:hAnsi="Cambria"/>
                <w:sz w:val="20"/>
                <w:szCs w:val="20"/>
              </w:rPr>
              <w:t>Contractor oversight, project management., OMB package preparation, partner outreach and quality assurance.</w:t>
            </w:r>
          </w:p>
        </w:tc>
        <w:tc>
          <w:tcPr>
            <w:tcW w:w="1768" w:type="dxa"/>
            <w:tcBorders>
              <w:top w:val="single" w:sz="12" w:space="0" w:color="auto"/>
            </w:tcBorders>
          </w:tcPr>
          <w:p w:rsidR="004841F1" w:rsidRPr="005031AB" w:rsidP="005A3933" w14:paraId="67FDBACD" w14:textId="57F9E626">
            <w:pPr>
              <w:ind w:left="0"/>
              <w:jc w:val="center"/>
              <w:rPr>
                <w:sz w:val="20"/>
                <w:szCs w:val="20"/>
              </w:rPr>
            </w:pPr>
            <w:r w:rsidRPr="005031AB">
              <w:rPr>
                <w:sz w:val="20"/>
                <w:szCs w:val="20"/>
              </w:rPr>
              <w:t>100</w:t>
            </w:r>
          </w:p>
        </w:tc>
        <w:tc>
          <w:tcPr>
            <w:tcW w:w="1884" w:type="dxa"/>
            <w:gridSpan w:val="3"/>
            <w:tcBorders>
              <w:top w:val="single" w:sz="12" w:space="0" w:color="auto"/>
            </w:tcBorders>
          </w:tcPr>
          <w:p w:rsidR="004841F1" w:rsidRPr="005031AB" w:rsidP="005A3933" w14:paraId="0BF44668" w14:textId="378841D4">
            <w:pPr>
              <w:ind w:left="0"/>
              <w:rPr>
                <w:sz w:val="20"/>
                <w:szCs w:val="20"/>
              </w:rPr>
            </w:pPr>
            <w:r w:rsidRPr="005031AB">
              <w:rPr>
                <w:sz w:val="20"/>
                <w:szCs w:val="20"/>
              </w:rPr>
              <w:t>$55.85</w:t>
            </w:r>
            <w:r w:rsidRPr="005031AB" w:rsidR="005A3933">
              <w:rPr>
                <w:sz w:val="20"/>
                <w:szCs w:val="20"/>
              </w:rPr>
              <w:t xml:space="preserve"> /hour</w:t>
            </w:r>
          </w:p>
        </w:tc>
        <w:tc>
          <w:tcPr>
            <w:tcW w:w="1661" w:type="dxa"/>
            <w:tcBorders>
              <w:top w:val="single" w:sz="12" w:space="0" w:color="auto"/>
            </w:tcBorders>
          </w:tcPr>
          <w:p w:rsidR="004841F1" w:rsidRPr="005031AB" w:rsidP="005A3933" w14:paraId="353DC7E4" w14:textId="55A18A71">
            <w:pPr>
              <w:ind w:left="0"/>
              <w:rPr>
                <w:sz w:val="20"/>
                <w:szCs w:val="20"/>
              </w:rPr>
            </w:pPr>
            <w:r w:rsidRPr="005031AB">
              <w:rPr>
                <w:sz w:val="20"/>
                <w:szCs w:val="20"/>
              </w:rPr>
              <w:t>$5,585</w:t>
            </w:r>
          </w:p>
        </w:tc>
      </w:tr>
      <w:tr w14:paraId="0D082FFC" w14:textId="77777777" w:rsidTr="00BF7344">
        <w:tblPrEx>
          <w:tblW w:w="9434" w:type="dxa"/>
          <w:tblInd w:w="355" w:type="dxa"/>
          <w:tblLook w:val="04A0"/>
        </w:tblPrEx>
        <w:tc>
          <w:tcPr>
            <w:tcW w:w="4121" w:type="dxa"/>
          </w:tcPr>
          <w:p w:rsidR="00BF7344" w:rsidRPr="005031AB" w:rsidP="00BF7344" w14:paraId="5A9AC1A5" w14:textId="3A378C8C">
            <w:pPr>
              <w:ind w:left="0"/>
              <w:jc w:val="both"/>
              <w:rPr>
                <w:sz w:val="20"/>
                <w:szCs w:val="20"/>
              </w:rPr>
            </w:pPr>
            <w:r w:rsidRPr="005031AB">
              <w:rPr>
                <w:sz w:val="20"/>
                <w:szCs w:val="20"/>
              </w:rPr>
              <w:t>Principal Researcher/Fors Marsh;</w:t>
            </w:r>
          </w:p>
          <w:p w:rsidR="00046CCD" w:rsidRPr="005031AB" w:rsidP="00046CCD" w14:paraId="58E2FD6C" w14:textId="38894FAF">
            <w:pPr>
              <w:ind w:left="0"/>
              <w:rPr>
                <w:szCs w:val="20"/>
              </w:rPr>
            </w:pPr>
            <w:r w:rsidRPr="005031AB">
              <w:rPr>
                <w:sz w:val="20"/>
              </w:rPr>
              <w:t>Study design</w:t>
            </w:r>
            <w:r w:rsidRPr="005031AB" w:rsidR="00C4228F">
              <w:rPr>
                <w:sz w:val="20"/>
              </w:rPr>
              <w:t>, i</w:t>
            </w:r>
            <w:r w:rsidRPr="005031AB">
              <w:rPr>
                <w:sz w:val="20"/>
              </w:rPr>
              <w:t>mplementation</w:t>
            </w:r>
            <w:r w:rsidRPr="005031AB" w:rsidR="00C4228F">
              <w:rPr>
                <w:sz w:val="20"/>
              </w:rPr>
              <w:t>, data collection, analysis</w:t>
            </w:r>
            <w:r w:rsidRPr="005031AB" w:rsidR="00010EB4">
              <w:rPr>
                <w:sz w:val="20"/>
              </w:rPr>
              <w:t>,</w:t>
            </w:r>
            <w:r w:rsidRPr="005031AB">
              <w:rPr>
                <w:sz w:val="20"/>
              </w:rPr>
              <w:t xml:space="preserve"> and reporting</w:t>
            </w:r>
          </w:p>
        </w:tc>
        <w:tc>
          <w:tcPr>
            <w:tcW w:w="1768" w:type="dxa"/>
          </w:tcPr>
          <w:p w:rsidR="004841F1" w:rsidRPr="005031AB" w:rsidP="005A3933" w14:paraId="1720ECE8" w14:textId="15BD4976">
            <w:pPr>
              <w:ind w:left="0"/>
              <w:jc w:val="center"/>
              <w:rPr>
                <w:sz w:val="20"/>
                <w:szCs w:val="20"/>
              </w:rPr>
            </w:pPr>
            <w:r w:rsidRPr="005031AB">
              <w:rPr>
                <w:sz w:val="20"/>
                <w:szCs w:val="20"/>
              </w:rPr>
              <w:t>N/A</w:t>
            </w:r>
          </w:p>
        </w:tc>
        <w:tc>
          <w:tcPr>
            <w:tcW w:w="1884" w:type="dxa"/>
            <w:gridSpan w:val="3"/>
          </w:tcPr>
          <w:p w:rsidR="004841F1" w:rsidRPr="005031AB" w:rsidP="005A3933" w14:paraId="2D109371" w14:textId="797A93F0">
            <w:pPr>
              <w:ind w:left="0"/>
              <w:rPr>
                <w:sz w:val="20"/>
                <w:szCs w:val="20"/>
              </w:rPr>
            </w:pPr>
            <w:r w:rsidRPr="005031AB">
              <w:rPr>
                <w:sz w:val="20"/>
                <w:szCs w:val="20"/>
              </w:rPr>
              <w:t>N/A</w:t>
            </w:r>
          </w:p>
          <w:p w:rsidR="005A3933" w:rsidRPr="005031AB" w:rsidP="005A3933" w14:paraId="652D3D7F" w14:textId="1C0DDA2C">
            <w:pPr>
              <w:ind w:left="0"/>
              <w:rPr>
                <w:sz w:val="20"/>
                <w:szCs w:val="20"/>
              </w:rPr>
            </w:pPr>
          </w:p>
        </w:tc>
        <w:tc>
          <w:tcPr>
            <w:tcW w:w="1661" w:type="dxa"/>
          </w:tcPr>
          <w:p w:rsidR="004841F1" w:rsidRPr="005031AB" w:rsidP="005A3933" w14:paraId="139D1A57" w14:textId="6A1B068E">
            <w:pPr>
              <w:ind w:left="0"/>
              <w:rPr>
                <w:sz w:val="20"/>
                <w:szCs w:val="20"/>
              </w:rPr>
            </w:pPr>
            <w:r w:rsidRPr="005031AB">
              <w:rPr>
                <w:sz w:val="20"/>
                <w:szCs w:val="20"/>
              </w:rPr>
              <w:t>$</w:t>
            </w:r>
            <w:r w:rsidRPr="005031AB" w:rsidR="009156F5">
              <w:rPr>
                <w:sz w:val="20"/>
                <w:szCs w:val="20"/>
              </w:rPr>
              <w:t>5</w:t>
            </w:r>
            <w:r w:rsidRPr="005031AB" w:rsidR="000A664C">
              <w:rPr>
                <w:sz w:val="20"/>
                <w:szCs w:val="20"/>
              </w:rPr>
              <w:t>9,550</w:t>
            </w:r>
            <w:r w:rsidRPr="005031AB" w:rsidR="008A3F08">
              <w:rPr>
                <w:sz w:val="20"/>
                <w:szCs w:val="20"/>
              </w:rPr>
              <w:t>.82</w:t>
            </w:r>
          </w:p>
        </w:tc>
      </w:tr>
      <w:tr w14:paraId="0FF5F86F" w14:textId="77777777" w:rsidTr="00BF7344">
        <w:tblPrEx>
          <w:tblW w:w="9434" w:type="dxa"/>
          <w:tblInd w:w="355" w:type="dxa"/>
          <w:tblLook w:val="04A0"/>
        </w:tblPrEx>
        <w:trPr>
          <w:trHeight w:val="332"/>
        </w:trPr>
        <w:tc>
          <w:tcPr>
            <w:tcW w:w="7219" w:type="dxa"/>
            <w:gridSpan w:val="3"/>
            <w:tcBorders>
              <w:right w:val="nil"/>
            </w:tcBorders>
            <w:vAlign w:val="center"/>
          </w:tcPr>
          <w:p w:rsidR="005D6F14" w:rsidRPr="005031AB" w:rsidP="005D6F14" w14:paraId="0EC59306" w14:textId="77777777">
            <w:pPr>
              <w:ind w:left="0"/>
              <w:jc w:val="right"/>
              <w:rPr>
                <w:b/>
                <w:sz w:val="20"/>
                <w:szCs w:val="20"/>
              </w:rPr>
            </w:pPr>
            <w:r w:rsidRPr="005031AB">
              <w:rPr>
                <w:b/>
                <w:sz w:val="20"/>
                <w:szCs w:val="20"/>
              </w:rPr>
              <w:t>Estimated Total Cost of Information Collection</w:t>
            </w:r>
          </w:p>
        </w:tc>
        <w:tc>
          <w:tcPr>
            <w:tcW w:w="277" w:type="dxa"/>
            <w:tcBorders>
              <w:left w:val="nil"/>
              <w:right w:val="nil"/>
            </w:tcBorders>
            <w:vAlign w:val="center"/>
          </w:tcPr>
          <w:p w:rsidR="005D6F14" w:rsidRPr="005031AB" w:rsidP="00CA5840" w14:paraId="4CA60A19" w14:textId="77777777">
            <w:pPr>
              <w:ind w:left="0"/>
              <w:rPr>
                <w:b/>
                <w:sz w:val="20"/>
                <w:szCs w:val="20"/>
              </w:rPr>
            </w:pPr>
          </w:p>
        </w:tc>
        <w:tc>
          <w:tcPr>
            <w:tcW w:w="277" w:type="dxa"/>
            <w:tcBorders>
              <w:left w:val="nil"/>
            </w:tcBorders>
            <w:vAlign w:val="center"/>
          </w:tcPr>
          <w:p w:rsidR="005D6F14" w:rsidRPr="005031AB" w:rsidP="00CA5840" w14:paraId="18DE2E69" w14:textId="77777777">
            <w:pPr>
              <w:ind w:left="0"/>
              <w:rPr>
                <w:b/>
                <w:sz w:val="20"/>
                <w:szCs w:val="20"/>
              </w:rPr>
            </w:pPr>
          </w:p>
        </w:tc>
        <w:tc>
          <w:tcPr>
            <w:tcW w:w="1661" w:type="dxa"/>
            <w:vAlign w:val="center"/>
          </w:tcPr>
          <w:p w:rsidR="005D6F14" w:rsidRPr="005031AB" w:rsidP="005D6F14" w14:paraId="1EA73702" w14:textId="31DE2107">
            <w:pPr>
              <w:ind w:left="0"/>
              <w:jc w:val="center"/>
              <w:rPr>
                <w:b/>
                <w:sz w:val="20"/>
                <w:szCs w:val="20"/>
              </w:rPr>
            </w:pPr>
            <w:r w:rsidRPr="005031AB">
              <w:rPr>
                <w:b/>
                <w:sz w:val="20"/>
                <w:szCs w:val="20"/>
              </w:rPr>
              <w:t>$</w:t>
            </w:r>
            <w:r w:rsidRPr="005031AB" w:rsidR="008416B5">
              <w:rPr>
                <w:b/>
                <w:sz w:val="20"/>
                <w:szCs w:val="20"/>
              </w:rPr>
              <w:t>65,135.82</w:t>
            </w:r>
          </w:p>
        </w:tc>
      </w:tr>
    </w:tbl>
    <w:p w:rsidR="0042500C" w:rsidP="001C7607" w14:paraId="1E3B96F1" w14:textId="77777777">
      <w:pPr>
        <w:ind w:left="360"/>
      </w:pPr>
    </w:p>
    <w:p w:rsidR="00B12F51" w:rsidRPr="00D75750" w:rsidP="00692DEB" w14:paraId="780ADEBF" w14:textId="7076B371">
      <w:pPr>
        <w:pStyle w:val="Heading4"/>
      </w:pPr>
      <w:bookmarkStart w:id="19" w:name="_Toc162967747"/>
      <w:r w:rsidRPr="00D75750">
        <w:t>Explanation for Program Changes or Adjustments</w:t>
      </w:r>
      <w:bookmarkEnd w:id="19"/>
    </w:p>
    <w:p w:rsidR="00F52BCC" w:rsidP="008B65FF" w14:paraId="54102C1D" w14:textId="7D4FEAAF">
      <w:pPr>
        <w:ind w:left="360"/>
      </w:pPr>
      <w:r>
        <w:t xml:space="preserve">This is a new </w:t>
      </w:r>
      <w:r w:rsidR="002E2EDD">
        <w:t>data</w:t>
      </w:r>
      <w:r w:rsidR="00157413">
        <w:t xml:space="preserve"> collection</w:t>
      </w:r>
      <w:r>
        <w:t>.</w:t>
      </w:r>
    </w:p>
    <w:p w:rsidR="00734D99" w:rsidP="001C7607" w14:paraId="301A2350" w14:textId="77777777"/>
    <w:p w:rsidR="00B12F51" w:rsidRPr="007B6A12" w:rsidP="00692DEB" w14:paraId="4322E87A" w14:textId="5395AB6A">
      <w:pPr>
        <w:pStyle w:val="Heading4"/>
      </w:pPr>
      <w:bookmarkStart w:id="20" w:name="_Toc162967748"/>
      <w:r w:rsidRPr="007B6A12">
        <w:t>Plan</w:t>
      </w:r>
      <w:r w:rsidRPr="007B6A12" w:rsidR="00D75750">
        <w:t>s for Tabulation and Publication and Project Time Schedule</w:t>
      </w:r>
      <w:bookmarkEnd w:id="20"/>
    </w:p>
    <w:p w:rsidR="00B53B2F" w:rsidP="3F09BBBE" w14:paraId="1B0CA3D7" w14:textId="32139E75">
      <w:pPr>
        <w:autoSpaceDE w:val="0"/>
        <w:autoSpaceDN w:val="0"/>
        <w:adjustRightInd w:val="0"/>
        <w:ind w:left="360"/>
        <w:rPr>
          <w:rFonts w:ascii="Cambria" w:hAnsi="Cambria"/>
        </w:rPr>
      </w:pPr>
      <w:r w:rsidRPr="3F09BBBE">
        <w:rPr>
          <w:rFonts w:ascii="Cambria" w:hAnsi="Cambria"/>
        </w:rPr>
        <w:t xml:space="preserve">After the raw survey data </w:t>
      </w:r>
      <w:r w:rsidRPr="3F09BBBE" w:rsidR="00173D8D">
        <w:rPr>
          <w:rFonts w:ascii="Cambria" w:hAnsi="Cambria"/>
        </w:rPr>
        <w:t xml:space="preserve">are </w:t>
      </w:r>
      <w:r w:rsidRPr="3F09BBBE">
        <w:rPr>
          <w:rFonts w:ascii="Cambria" w:hAnsi="Cambria"/>
        </w:rPr>
        <w:t xml:space="preserve">downloaded from the Voxco platform, the </w:t>
      </w:r>
      <w:r w:rsidR="00E24E4E">
        <w:rPr>
          <w:rFonts w:ascii="Cambria" w:hAnsi="Cambria"/>
        </w:rPr>
        <w:t>project</w:t>
      </w:r>
      <w:r w:rsidRPr="3F09BBBE" w:rsidR="00E24E4E">
        <w:rPr>
          <w:rFonts w:ascii="Cambria" w:hAnsi="Cambria"/>
        </w:rPr>
        <w:t xml:space="preserve"> </w:t>
      </w:r>
      <w:r w:rsidRPr="3F09BBBE">
        <w:rPr>
          <w:rFonts w:ascii="Cambria" w:hAnsi="Cambria"/>
        </w:rPr>
        <w:t>team will use Stata</w:t>
      </w:r>
      <w:r w:rsidRPr="3F09BBBE" w:rsidR="00900F6F">
        <w:rPr>
          <w:rFonts w:ascii="Cambria" w:hAnsi="Cambria"/>
        </w:rPr>
        <w:t xml:space="preserve"> statistical software</w:t>
      </w:r>
      <w:r w:rsidRPr="3F09BBBE">
        <w:rPr>
          <w:rFonts w:ascii="Cambria" w:hAnsi="Cambria"/>
        </w:rPr>
        <w:t xml:space="preserve"> for data processing and cleaning. Each variable will be clearly named and labeled, and each will be properly identified by type (e.g., Likert-type variables designated as interval variables). Any personally identifiable information (PII) provided by respondents will be removed. </w:t>
      </w:r>
    </w:p>
    <w:p w:rsidR="00B53B2F" w:rsidP="009714B3" w14:paraId="6AFADB25" w14:textId="77777777">
      <w:pPr>
        <w:autoSpaceDE w:val="0"/>
        <w:autoSpaceDN w:val="0"/>
        <w:adjustRightInd w:val="0"/>
        <w:ind w:left="360"/>
        <w:rPr>
          <w:rFonts w:ascii="Cambria" w:hAnsi="Cambria"/>
          <w:szCs w:val="24"/>
        </w:rPr>
      </w:pPr>
    </w:p>
    <w:p w:rsidR="001051F0" w:rsidP="00B53B2F" w14:paraId="5F509F48" w14:textId="79C0C4D8">
      <w:pPr>
        <w:autoSpaceDE w:val="0"/>
        <w:autoSpaceDN w:val="0"/>
        <w:adjustRightInd w:val="0"/>
        <w:ind w:left="360"/>
        <w:rPr>
          <w:rFonts w:ascii="Cambria" w:hAnsi="Cambria"/>
          <w:szCs w:val="24"/>
        </w:rPr>
      </w:pPr>
      <w:r>
        <w:rPr>
          <w:rFonts w:ascii="Cambria" w:hAnsi="Cambria"/>
          <w:szCs w:val="24"/>
        </w:rPr>
        <w:t>Data analysis methods includ</w:t>
      </w:r>
      <w:r w:rsidR="00626DE3">
        <w:rPr>
          <w:rFonts w:ascii="Cambria" w:hAnsi="Cambria"/>
          <w:szCs w:val="24"/>
        </w:rPr>
        <w:t xml:space="preserve">e frequencies, subgroup </w:t>
      </w:r>
      <w:r w:rsidR="00885789">
        <w:rPr>
          <w:rFonts w:ascii="Cambria" w:hAnsi="Cambria"/>
          <w:szCs w:val="24"/>
        </w:rPr>
        <w:t xml:space="preserve">comparisons, and rapid thematic analysis for open-ended </w:t>
      </w:r>
      <w:r w:rsidR="00B53B2F">
        <w:rPr>
          <w:rFonts w:ascii="Cambria" w:hAnsi="Cambria"/>
          <w:szCs w:val="24"/>
        </w:rPr>
        <w:t>responses</w:t>
      </w:r>
      <w:r w:rsidR="00885789">
        <w:rPr>
          <w:rFonts w:ascii="Cambria" w:hAnsi="Cambria"/>
          <w:szCs w:val="24"/>
        </w:rPr>
        <w:t>.</w:t>
      </w:r>
      <w:r w:rsidR="00B53B2F">
        <w:rPr>
          <w:rFonts w:ascii="Cambria" w:hAnsi="Cambria"/>
          <w:szCs w:val="24"/>
        </w:rPr>
        <w:t xml:space="preserve"> </w:t>
      </w:r>
      <w:r w:rsidRPr="00B53B2F" w:rsidR="00B53B2F">
        <w:rPr>
          <w:rFonts w:ascii="Cambria" w:hAnsi="Cambria"/>
          <w:szCs w:val="24"/>
        </w:rPr>
        <w:t>Frequencies will be reported as percentages (%) and means will be reported on a scale from 1 to 5, with 1 generally being the least favorable and 5 being the most favorable.</w:t>
      </w:r>
      <w:r w:rsidR="00B53B2F">
        <w:rPr>
          <w:rFonts w:ascii="Cambria" w:hAnsi="Cambria"/>
          <w:szCs w:val="24"/>
        </w:rPr>
        <w:t xml:space="preserve"> </w:t>
      </w:r>
      <w:r w:rsidRPr="00B53B2F" w:rsidR="00B53B2F">
        <w:rPr>
          <w:rFonts w:ascii="Cambria" w:hAnsi="Cambria"/>
          <w:szCs w:val="24"/>
        </w:rPr>
        <w:t xml:space="preserve">Subgroup comparisons will include </w:t>
      </w:r>
      <w:r w:rsidRPr="0084117C" w:rsidR="00B53B2F">
        <w:rPr>
          <w:rFonts w:ascii="Cambria" w:hAnsi="Cambria"/>
          <w:i/>
          <w:iCs/>
          <w:szCs w:val="24"/>
        </w:rPr>
        <w:t>z</w:t>
      </w:r>
      <w:r w:rsidR="00173D8D">
        <w:rPr>
          <w:rFonts w:ascii="Cambria" w:hAnsi="Cambria"/>
          <w:szCs w:val="24"/>
        </w:rPr>
        <w:t> </w:t>
      </w:r>
      <w:r w:rsidRPr="00B53B2F" w:rsidR="00B53B2F">
        <w:rPr>
          <w:rFonts w:ascii="Cambria" w:hAnsi="Cambria"/>
          <w:szCs w:val="24"/>
        </w:rPr>
        <w:t xml:space="preserve">tests for frequencies (proportions) and </w:t>
      </w:r>
      <w:r w:rsidRPr="0084117C" w:rsidR="00B53B2F">
        <w:rPr>
          <w:rFonts w:ascii="Cambria" w:hAnsi="Cambria"/>
          <w:i/>
          <w:iCs/>
          <w:szCs w:val="24"/>
        </w:rPr>
        <w:t>t</w:t>
      </w:r>
      <w:r w:rsidR="00173D8D">
        <w:rPr>
          <w:rFonts w:ascii="Cambria" w:hAnsi="Cambria"/>
          <w:szCs w:val="24"/>
        </w:rPr>
        <w:t> </w:t>
      </w:r>
      <w:r w:rsidRPr="00B53B2F" w:rsidR="00B53B2F">
        <w:rPr>
          <w:rFonts w:ascii="Cambria" w:hAnsi="Cambria"/>
          <w:szCs w:val="24"/>
        </w:rPr>
        <w:t xml:space="preserve">tests for continuous data (means), using a confidence level of 95% (significance level of </w:t>
      </w:r>
      <w:r w:rsidRPr="0084117C" w:rsidR="00B53B2F">
        <w:rPr>
          <w:rFonts w:ascii="Cambria" w:hAnsi="Cambria"/>
          <w:i/>
          <w:iCs/>
          <w:szCs w:val="24"/>
        </w:rPr>
        <w:t>p</w:t>
      </w:r>
      <w:r w:rsidRPr="00B53B2F" w:rsidR="00B53B2F">
        <w:rPr>
          <w:rFonts w:ascii="Cambria" w:hAnsi="Cambria"/>
          <w:szCs w:val="24"/>
        </w:rPr>
        <w:t xml:space="preserve"> &lt; .05). Subgroup analyses may include comparisons between state- and local-level organizations and new </w:t>
      </w:r>
      <w:r w:rsidR="00173D8D">
        <w:rPr>
          <w:rFonts w:ascii="Cambria" w:hAnsi="Cambria"/>
          <w:szCs w:val="24"/>
        </w:rPr>
        <w:t xml:space="preserve">versus </w:t>
      </w:r>
      <w:r w:rsidRPr="00B53B2F" w:rsidR="00B53B2F">
        <w:rPr>
          <w:rFonts w:ascii="Cambria" w:hAnsi="Cambria"/>
          <w:szCs w:val="24"/>
        </w:rPr>
        <w:t>original grantees.</w:t>
      </w:r>
      <w:r w:rsidR="00B23316">
        <w:rPr>
          <w:rFonts w:ascii="Cambria" w:hAnsi="Cambria"/>
          <w:szCs w:val="24"/>
        </w:rPr>
        <w:t xml:space="preserve"> </w:t>
      </w:r>
      <w:r w:rsidRPr="00B23316" w:rsidR="00B23316">
        <w:rPr>
          <w:rFonts w:ascii="Cambria" w:hAnsi="Cambria"/>
          <w:szCs w:val="24"/>
        </w:rPr>
        <w:t xml:space="preserve">Open-ended responses with text data will be analyzed to identify common themes across participants’ responses. Qualitative </w:t>
      </w:r>
      <w:r w:rsidR="00E24E4E">
        <w:rPr>
          <w:rFonts w:ascii="Cambria" w:hAnsi="Cambria"/>
          <w:szCs w:val="24"/>
        </w:rPr>
        <w:t xml:space="preserve">responses </w:t>
      </w:r>
      <w:r w:rsidRPr="00B23316" w:rsidR="00B23316">
        <w:rPr>
          <w:rFonts w:ascii="Cambria" w:hAnsi="Cambria"/>
          <w:szCs w:val="24"/>
        </w:rPr>
        <w:t>will provide insights on grantees’ experiences and needs from CDC.</w:t>
      </w:r>
    </w:p>
    <w:p w:rsidR="001051F0" w:rsidP="009714B3" w14:paraId="449F3DA9" w14:textId="77777777">
      <w:pPr>
        <w:autoSpaceDE w:val="0"/>
        <w:autoSpaceDN w:val="0"/>
        <w:adjustRightInd w:val="0"/>
        <w:ind w:left="360"/>
        <w:rPr>
          <w:rFonts w:ascii="Cambria" w:hAnsi="Cambria"/>
          <w:szCs w:val="24"/>
        </w:rPr>
      </w:pPr>
    </w:p>
    <w:p w:rsidR="009714B3" w:rsidRPr="00F609BE" w:rsidP="009714B3" w14:paraId="49E9C97E" w14:textId="680EC339">
      <w:pPr>
        <w:autoSpaceDE w:val="0"/>
        <w:autoSpaceDN w:val="0"/>
        <w:adjustRightInd w:val="0"/>
        <w:ind w:left="360"/>
        <w:rPr>
          <w:rFonts w:ascii="Cambria" w:hAnsi="Cambria"/>
        </w:rPr>
      </w:pPr>
      <w:r w:rsidRPr="00F609BE">
        <w:rPr>
          <w:rFonts w:ascii="Cambria" w:hAnsi="Cambria"/>
        </w:rPr>
        <w:t>The data set cleaning procedures will include independent review of data set creation to ensure accuracy.</w:t>
      </w:r>
      <w:r>
        <w:rPr>
          <w:rFonts w:ascii="Cambria" w:hAnsi="Cambria"/>
        </w:rPr>
        <w:t xml:space="preserve"> The data will be password protected and stored in a secure environment maintained by the contractor.</w:t>
      </w:r>
    </w:p>
    <w:p w:rsidR="00E20294" w:rsidP="0042500C" w14:paraId="48037288" w14:textId="77777777">
      <w:pPr>
        <w:ind w:left="0"/>
        <w:rPr>
          <w:rFonts w:cs="Arial"/>
          <w:b/>
        </w:rPr>
      </w:pPr>
    </w:p>
    <w:p w:rsidR="008C59E7" w:rsidRPr="00BB090C" w:rsidP="008B65FF" w14:paraId="25F940FB" w14:textId="48BAADFD">
      <w:pPr>
        <w:ind w:left="360"/>
        <w:rPr>
          <w:rFonts w:cs="Arial"/>
          <w:color w:val="0070C0"/>
        </w:rPr>
      </w:pPr>
      <w:r w:rsidRPr="00BB090C">
        <w:rPr>
          <w:rFonts w:cs="Arial"/>
          <w:u w:val="single"/>
        </w:rPr>
        <w:t>Project Time Schedule</w:t>
      </w:r>
      <w:r w:rsidR="00C009E2">
        <w:rPr>
          <w:rFonts w:cs="Arial"/>
          <w:u w:val="single"/>
        </w:rPr>
        <w:t xml:space="preserve"> </w:t>
      </w:r>
    </w:p>
    <w:p w:rsidR="008C59E7" w:rsidRPr="00F0000D" w:rsidP="00782FBD" w14:paraId="663E9261" w14:textId="02EF73A0">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008C59E7" w:rsidRPr="00F0000D" w:rsidP="00782FBD" w14:paraId="09829218"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008C59E7" w:rsidRPr="00F0000D" w:rsidP="00782FBD" w14:paraId="712B6A0C" w14:textId="4C8E63C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008C59E7" w:rsidRPr="00F0000D" w:rsidP="00782FBD" w14:paraId="29904B91"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008C59E7" w:rsidRPr="00F0000D" w:rsidP="00782FBD" w14:paraId="1FAFC13C"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008C59E7" w:rsidRPr="00F0000D" w:rsidP="00782FBD" w14:paraId="3494E02E" w14:textId="77777777">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rsidR="008C59E7" w:rsidRPr="009C3149" w:rsidP="00782FBD" w14:paraId="4E692631" w14:textId="7827ADA8">
      <w:pPr>
        <w:pStyle w:val="ListParagraph"/>
        <w:numPr>
          <w:ilvl w:val="0"/>
          <w:numId w:val="2"/>
        </w:numPr>
        <w:tabs>
          <w:tab w:val="right" w:leader="dot" w:pos="9360"/>
        </w:tabs>
        <w:ind w:left="1080"/>
      </w:pPr>
      <w:r w:rsidRPr="009C3149">
        <w:rPr>
          <w:rFonts w:eastAsiaTheme="majorEastAsia" w:cstheme="majorBidi"/>
        </w:rPr>
        <w:t xml:space="preserve">Conduct </w:t>
      </w:r>
      <w:r w:rsidRPr="009C3149" w:rsidR="00F0000D">
        <w:rPr>
          <w:rFonts w:eastAsiaTheme="majorEastAsia" w:cstheme="majorBidi"/>
        </w:rPr>
        <w:t>data collection</w:t>
      </w:r>
      <w:r w:rsidRPr="009C3149">
        <w:rPr>
          <w:rFonts w:eastAsiaTheme="majorEastAsia" w:cstheme="majorBidi"/>
        </w:rPr>
        <w:t xml:space="preserve"> </w:t>
      </w:r>
      <w:r w:rsidRPr="009C3149">
        <w:tab/>
      </w:r>
      <w:r w:rsidRPr="009C3149">
        <w:rPr>
          <w:rFonts w:eastAsiaTheme="majorEastAsia" w:cstheme="majorBidi"/>
        </w:rPr>
        <w:t>(</w:t>
      </w:r>
      <w:r w:rsidRPr="009C3149" w:rsidR="00C86159">
        <w:rPr>
          <w:rFonts w:eastAsiaTheme="majorEastAsia" w:cstheme="majorBidi"/>
        </w:rPr>
        <w:t xml:space="preserve">4 </w:t>
      </w:r>
      <w:r w:rsidRPr="009C3149">
        <w:rPr>
          <w:rFonts w:eastAsiaTheme="majorEastAsia" w:cstheme="majorBidi"/>
        </w:rPr>
        <w:t>weeks)</w:t>
      </w:r>
    </w:p>
    <w:p w:rsidR="008C59E7" w:rsidRPr="009C3149" w:rsidP="00782FBD" w14:paraId="32EB0BB4" w14:textId="1A1EEE75">
      <w:pPr>
        <w:pStyle w:val="ListParagraph"/>
        <w:numPr>
          <w:ilvl w:val="0"/>
          <w:numId w:val="2"/>
        </w:numPr>
        <w:tabs>
          <w:tab w:val="right" w:leader="dot" w:pos="9360"/>
        </w:tabs>
        <w:ind w:left="1080"/>
      </w:pPr>
      <w:r w:rsidRPr="009C3149">
        <w:rPr>
          <w:rFonts w:eastAsiaTheme="majorEastAsia" w:cstheme="majorBidi"/>
        </w:rPr>
        <w:t>Code</w:t>
      </w:r>
      <w:r w:rsidRPr="009C3149" w:rsidR="001C7607">
        <w:rPr>
          <w:rFonts w:eastAsiaTheme="majorEastAsia" w:cstheme="majorBidi"/>
        </w:rPr>
        <w:t xml:space="preserve"> data</w:t>
      </w:r>
      <w:r w:rsidRPr="009C3149">
        <w:rPr>
          <w:rFonts w:eastAsiaTheme="majorEastAsia" w:cstheme="majorBidi"/>
        </w:rPr>
        <w:t xml:space="preserve">, </w:t>
      </w:r>
      <w:r w:rsidRPr="009C3149" w:rsidR="001C7607">
        <w:rPr>
          <w:rFonts w:eastAsiaTheme="majorEastAsia" w:cstheme="majorBidi"/>
        </w:rPr>
        <w:t xml:space="preserve">conduct </w:t>
      </w:r>
      <w:r w:rsidRPr="009C3149">
        <w:rPr>
          <w:rFonts w:eastAsiaTheme="majorEastAsia" w:cstheme="majorBidi"/>
        </w:rPr>
        <w:t>quality control, and analyze data</w:t>
      </w:r>
      <w:r w:rsidRPr="009C3149">
        <w:rPr>
          <w:rFonts w:cs="Arial"/>
        </w:rPr>
        <w:tab/>
      </w:r>
      <w:r w:rsidRPr="009C3149" w:rsidR="00F0000D">
        <w:rPr>
          <w:rFonts w:eastAsiaTheme="majorEastAsia" w:cstheme="majorBidi"/>
        </w:rPr>
        <w:t>(</w:t>
      </w:r>
      <w:r w:rsidRPr="009C3149" w:rsidR="00C86159">
        <w:rPr>
          <w:rFonts w:eastAsiaTheme="majorEastAsia" w:cstheme="majorBidi"/>
        </w:rPr>
        <w:t xml:space="preserve">4 </w:t>
      </w:r>
      <w:r w:rsidRPr="009C3149">
        <w:rPr>
          <w:rFonts w:eastAsiaTheme="majorEastAsia" w:cstheme="majorBidi"/>
        </w:rPr>
        <w:t>weeks)</w:t>
      </w:r>
    </w:p>
    <w:p w:rsidR="008C59E7" w:rsidRPr="009C3149" w:rsidP="00782FBD" w14:paraId="7E2CD36D" w14:textId="6DE8EA22">
      <w:pPr>
        <w:pStyle w:val="ListParagraph"/>
        <w:numPr>
          <w:ilvl w:val="0"/>
          <w:numId w:val="2"/>
        </w:numPr>
        <w:tabs>
          <w:tab w:val="right" w:leader="dot" w:pos="9360"/>
        </w:tabs>
        <w:ind w:left="1080"/>
      </w:pPr>
      <w:r w:rsidRPr="009C3149">
        <w:rPr>
          <w:rFonts w:eastAsiaTheme="majorEastAsia" w:cstheme="majorBidi"/>
        </w:rPr>
        <w:t xml:space="preserve">Prepare </w:t>
      </w:r>
      <w:r w:rsidRPr="009C3149" w:rsidR="001C7607">
        <w:rPr>
          <w:rFonts w:eastAsiaTheme="majorEastAsia" w:cstheme="majorBidi"/>
        </w:rPr>
        <w:t xml:space="preserve">summary </w:t>
      </w:r>
      <w:r w:rsidRPr="009C3149">
        <w:rPr>
          <w:rFonts w:eastAsiaTheme="majorEastAsia" w:cstheme="majorBidi"/>
        </w:rPr>
        <w:t>report(s)</w:t>
      </w:r>
      <w:r w:rsidRPr="009C3149">
        <w:rPr>
          <w:rFonts w:eastAsiaTheme="majorEastAsia" w:cstheme="majorBidi"/>
        </w:rPr>
        <w:t xml:space="preserve"> </w:t>
      </w:r>
      <w:r w:rsidRPr="009C3149">
        <w:tab/>
      </w:r>
      <w:r w:rsidRPr="009C3149">
        <w:rPr>
          <w:rFonts w:eastAsiaTheme="majorEastAsia" w:cstheme="majorBidi"/>
        </w:rPr>
        <w:t>(</w:t>
      </w:r>
      <w:r w:rsidRPr="009C3149" w:rsidR="00C86159">
        <w:rPr>
          <w:rFonts w:eastAsiaTheme="majorEastAsia" w:cstheme="majorBidi"/>
        </w:rPr>
        <w:t xml:space="preserve">2 </w:t>
      </w:r>
      <w:r w:rsidRPr="009C3149">
        <w:rPr>
          <w:rFonts w:eastAsiaTheme="majorEastAsia" w:cstheme="majorBidi"/>
        </w:rPr>
        <w:t>weeks)</w:t>
      </w:r>
    </w:p>
    <w:p w:rsidR="008C59E7" w:rsidRPr="009C3149" w:rsidP="00782FBD" w14:paraId="18B7F10A" w14:textId="7FC7700B">
      <w:pPr>
        <w:pStyle w:val="ListParagraph"/>
        <w:numPr>
          <w:ilvl w:val="0"/>
          <w:numId w:val="2"/>
        </w:numPr>
        <w:tabs>
          <w:tab w:val="right" w:leader="dot" w:pos="9360"/>
        </w:tabs>
        <w:ind w:left="1080"/>
      </w:pPr>
      <w:r w:rsidRPr="009C3149">
        <w:rPr>
          <w:rFonts w:eastAsiaTheme="majorEastAsia" w:cstheme="majorBidi"/>
        </w:rPr>
        <w:t xml:space="preserve">Disseminate results/reports </w:t>
      </w:r>
      <w:r w:rsidRPr="009C3149">
        <w:tab/>
      </w:r>
      <w:r w:rsidRPr="009C3149">
        <w:rPr>
          <w:rFonts w:eastAsiaTheme="majorEastAsia" w:cstheme="majorBidi"/>
        </w:rPr>
        <w:t>(</w:t>
      </w:r>
      <w:r w:rsidRPr="009C3149" w:rsidR="00C86159">
        <w:rPr>
          <w:rFonts w:eastAsiaTheme="majorEastAsia" w:cstheme="majorBidi"/>
        </w:rPr>
        <w:t xml:space="preserve">4 </w:t>
      </w:r>
      <w:r w:rsidRPr="009C3149">
        <w:rPr>
          <w:rFonts w:eastAsiaTheme="majorEastAsia" w:cstheme="majorBidi"/>
        </w:rPr>
        <w:t>weeks)</w:t>
      </w:r>
    </w:p>
    <w:p w:rsidR="000A71DF" w:rsidP="005D6F14" w14:paraId="63A6CA99" w14:textId="77777777"/>
    <w:p w:rsidR="00B12F51" w:rsidRPr="00D75750" w:rsidP="00692DEB" w14:paraId="10B731BE" w14:textId="14CEF79B">
      <w:pPr>
        <w:pStyle w:val="Heading4"/>
      </w:pPr>
      <w:bookmarkStart w:id="21" w:name="_Toc162967749"/>
      <w:r w:rsidRPr="00D75750">
        <w:t xml:space="preserve">Reason(s) Display of OMB Expiration </w:t>
      </w:r>
      <w:r>
        <w:t xml:space="preserve">Date </w:t>
      </w:r>
      <w:r w:rsidRPr="00D75750">
        <w:t>is Inappropriate</w:t>
      </w:r>
      <w:bookmarkEnd w:id="21"/>
    </w:p>
    <w:p w:rsidR="00F52BCC" w:rsidP="008B65FF" w14:paraId="5EFBF78D" w14:textId="77777777">
      <w:pPr>
        <w:ind w:left="360"/>
      </w:pPr>
      <w:r>
        <w:t>We are requesting no exemption.</w:t>
      </w:r>
    </w:p>
    <w:p w:rsidR="003705DF" w:rsidP="005D6F14" w14:paraId="19E33178" w14:textId="77777777"/>
    <w:p w:rsidR="00B12F51" w:rsidRPr="00D26A64" w:rsidP="00692DEB" w14:paraId="64383137" w14:textId="62FDAB08">
      <w:pPr>
        <w:pStyle w:val="Heading4"/>
      </w:pPr>
      <w:bookmarkStart w:id="22" w:name="_Toc162967750"/>
      <w:r w:rsidRPr="00D26A64">
        <w:t>Exceptions to Certification for Paperwork Reduction Act Submissions</w:t>
      </w:r>
      <w:bookmarkEnd w:id="22"/>
    </w:p>
    <w:p w:rsidR="00D1343B" w:rsidP="00DD5E65" w14:paraId="15EB9D3D" w14:textId="06FA0C3C">
      <w:pPr>
        <w:ind w:left="360"/>
      </w:pPr>
      <w:r>
        <w:t>There are no exceptions to the certification.</w:t>
      </w:r>
      <w:r w:rsidR="00180D45">
        <w:t xml:space="preserve">  These activities comply with the requirements in </w:t>
      </w:r>
      <w:r w:rsidR="00173D8D">
        <w:t>5 </w:t>
      </w:r>
      <w:r w:rsidR="00180D45">
        <w:t>CFR 1320.9.</w:t>
      </w:r>
      <w:r w:rsidRPr="009C5502" w:rsidR="009C5502">
        <w:t xml:space="preserve"> </w:t>
      </w:r>
    </w:p>
    <w:p w:rsidR="008B12FA" w:rsidP="00DD5E65" w14:paraId="0F39B494" w14:textId="77777777">
      <w:pPr>
        <w:ind w:left="360"/>
      </w:pPr>
    </w:p>
    <w:p w:rsidR="00A36419" w:rsidP="008C59E7" w14:paraId="0AFBDE2B" w14:textId="1359D60C">
      <w:pPr>
        <w:pStyle w:val="Heading3"/>
        <w:ind w:left="0"/>
      </w:pPr>
      <w:bookmarkStart w:id="23" w:name="_Toc162967751"/>
      <w:r>
        <w:t>LIST OF ATTACHMENTS</w:t>
      </w:r>
      <w:r w:rsidR="00A33E90">
        <w:t xml:space="preserve"> – Section A</w:t>
      </w:r>
      <w:bookmarkEnd w:id="23"/>
    </w:p>
    <w:p w:rsidR="000058E0" w:rsidP="008C59E7" w14:paraId="7B86C327" w14:textId="77777777">
      <w:pPr>
        <w:ind w:left="0"/>
      </w:pPr>
      <w:r w:rsidRPr="00711BFA">
        <w:t>Note: Attachments are included as separate files as instructed.</w:t>
      </w:r>
    </w:p>
    <w:p w:rsidR="00E647FB" w:rsidRPr="00F96D7D" w:rsidP="00782FBD" w14:paraId="7BF99D76" w14:textId="6DE9C774">
      <w:pPr>
        <w:pStyle w:val="ListParagraph"/>
        <w:numPr>
          <w:ilvl w:val="0"/>
          <w:numId w:val="7"/>
        </w:numPr>
        <w:tabs>
          <w:tab w:val="clear" w:pos="9360"/>
        </w:tabs>
        <w:spacing w:line="240" w:lineRule="auto"/>
        <w:ind w:left="720"/>
        <w:rPr>
          <w:b/>
        </w:rPr>
      </w:pPr>
      <w:r w:rsidRPr="00F96D7D">
        <w:rPr>
          <w:b/>
        </w:rPr>
        <w:t xml:space="preserve">Attachment </w:t>
      </w:r>
      <w:r w:rsidRPr="00F96D7D" w:rsidR="00E371B5">
        <w:rPr>
          <w:b/>
        </w:rPr>
        <w:t>1</w:t>
      </w:r>
      <w:r w:rsidRPr="00F96D7D" w:rsidR="00173D8D">
        <w:rPr>
          <w:rFonts w:ascii="Cambria" w:hAnsi="Cambria"/>
          <w:b/>
        </w:rPr>
        <w:t>—</w:t>
      </w:r>
      <w:r w:rsidRPr="00F96D7D" w:rsidR="006B4DA4">
        <w:rPr>
          <w:b/>
        </w:rPr>
        <w:t>Survey Instrument</w:t>
      </w:r>
    </w:p>
    <w:p w:rsidR="00E24E4E" w:rsidRPr="00F96D7D" w:rsidP="00782FBD" w14:paraId="0278BB22" w14:textId="3FD04DB3">
      <w:pPr>
        <w:pStyle w:val="ListParagraph"/>
        <w:numPr>
          <w:ilvl w:val="0"/>
          <w:numId w:val="7"/>
        </w:numPr>
        <w:tabs>
          <w:tab w:val="clear" w:pos="9360"/>
        </w:tabs>
        <w:spacing w:line="240" w:lineRule="auto"/>
        <w:ind w:left="720"/>
        <w:rPr>
          <w:b/>
        </w:rPr>
      </w:pPr>
      <w:r w:rsidRPr="00F96D7D">
        <w:rPr>
          <w:b/>
        </w:rPr>
        <w:t>Attachment 2</w:t>
      </w:r>
      <w:r w:rsidRPr="00F96D7D">
        <w:rPr>
          <w:rFonts w:ascii="Cambria" w:hAnsi="Cambria"/>
          <w:b/>
        </w:rPr>
        <w:t>—</w:t>
      </w:r>
      <w:r w:rsidRPr="00F96D7D">
        <w:rPr>
          <w:b/>
        </w:rPr>
        <w:t>Programmed Survey</w:t>
      </w:r>
    </w:p>
    <w:p w:rsidR="00E647FB" w:rsidRPr="00F96D7D" w:rsidP="00782FBD" w14:paraId="321AA018" w14:textId="5FDABDE4">
      <w:pPr>
        <w:pStyle w:val="ListParagraph"/>
        <w:numPr>
          <w:ilvl w:val="0"/>
          <w:numId w:val="7"/>
        </w:numPr>
        <w:tabs>
          <w:tab w:val="clear" w:pos="9360"/>
        </w:tabs>
        <w:spacing w:line="240" w:lineRule="auto"/>
        <w:ind w:left="720"/>
        <w:rPr>
          <w:b/>
        </w:rPr>
      </w:pPr>
      <w:r w:rsidRPr="00F96D7D">
        <w:rPr>
          <w:b/>
        </w:rPr>
        <w:t xml:space="preserve">Attachment </w:t>
      </w:r>
      <w:r w:rsidRPr="00F96D7D" w:rsidR="00E24E4E">
        <w:rPr>
          <w:b/>
        </w:rPr>
        <w:t>3</w:t>
      </w:r>
      <w:r w:rsidRPr="00F96D7D" w:rsidR="00173D8D">
        <w:rPr>
          <w:rFonts w:ascii="Cambria" w:hAnsi="Cambria"/>
          <w:b/>
        </w:rPr>
        <w:t>—</w:t>
      </w:r>
      <w:r w:rsidRPr="00F96D7D" w:rsidR="006B4DA4">
        <w:rPr>
          <w:b/>
        </w:rPr>
        <w:t>Recruitment Email</w:t>
      </w:r>
      <w:r w:rsidRPr="00F96D7D" w:rsidR="004F2A8A">
        <w:rPr>
          <w:b/>
        </w:rPr>
        <w:t xml:space="preserve"> </w:t>
      </w:r>
    </w:p>
    <w:p w:rsidR="00E647FB" w:rsidRPr="00F96D7D" w:rsidP="00782FBD" w14:paraId="427C85AC" w14:textId="2309CD57">
      <w:pPr>
        <w:pStyle w:val="ListParagraph"/>
        <w:numPr>
          <w:ilvl w:val="0"/>
          <w:numId w:val="7"/>
        </w:numPr>
        <w:tabs>
          <w:tab w:val="clear" w:pos="9360"/>
        </w:tabs>
        <w:spacing w:line="240" w:lineRule="auto"/>
        <w:ind w:left="720"/>
        <w:rPr>
          <w:b/>
        </w:rPr>
      </w:pPr>
      <w:r w:rsidRPr="00F96D7D">
        <w:rPr>
          <w:b/>
        </w:rPr>
        <w:t xml:space="preserve">Attachment </w:t>
      </w:r>
      <w:r w:rsidRPr="00F96D7D" w:rsidR="00E24E4E">
        <w:rPr>
          <w:b/>
        </w:rPr>
        <w:t>4</w:t>
      </w:r>
      <w:r w:rsidRPr="00F96D7D" w:rsidR="0001017E">
        <w:rPr>
          <w:rFonts w:ascii="Cambria" w:hAnsi="Cambria"/>
          <w:b/>
        </w:rPr>
        <w:t>—</w:t>
      </w:r>
      <w:r w:rsidRPr="00F96D7D" w:rsidR="00E24E4E">
        <w:rPr>
          <w:b/>
        </w:rPr>
        <w:t>Reminder Email</w:t>
      </w:r>
    </w:p>
    <w:p w:rsidR="00E24E4E" w:rsidRPr="00F96D7D" w:rsidP="00782FBD" w14:paraId="48B5E107" w14:textId="127470DE">
      <w:pPr>
        <w:pStyle w:val="ListParagraph"/>
        <w:numPr>
          <w:ilvl w:val="0"/>
          <w:numId w:val="7"/>
        </w:numPr>
        <w:tabs>
          <w:tab w:val="clear" w:pos="9360"/>
        </w:tabs>
        <w:spacing w:line="240" w:lineRule="auto"/>
        <w:ind w:left="720"/>
        <w:rPr>
          <w:b/>
        </w:rPr>
      </w:pPr>
      <w:r w:rsidRPr="00F96D7D">
        <w:rPr>
          <w:b/>
        </w:rPr>
        <w:t>Attachment 5</w:t>
      </w:r>
      <w:r w:rsidRPr="00F96D7D">
        <w:rPr>
          <w:rFonts w:ascii="Cambria" w:hAnsi="Cambria"/>
          <w:b/>
        </w:rPr>
        <w:t>—Final Reminder Email</w:t>
      </w:r>
    </w:p>
    <w:p w:rsidR="00454728" w:rsidRPr="00F96D7D" w:rsidP="00782FBD" w14:paraId="6BB9A14D" w14:textId="2F186CB5">
      <w:pPr>
        <w:pStyle w:val="ListParagraph"/>
        <w:numPr>
          <w:ilvl w:val="0"/>
          <w:numId w:val="7"/>
        </w:numPr>
        <w:tabs>
          <w:tab w:val="clear" w:pos="9360"/>
        </w:tabs>
        <w:spacing w:line="240" w:lineRule="auto"/>
        <w:ind w:left="720"/>
        <w:rPr>
          <w:b/>
        </w:rPr>
      </w:pPr>
      <w:r w:rsidRPr="00F96D7D">
        <w:rPr>
          <w:b/>
        </w:rPr>
        <w:t>Attachment 6</w:t>
      </w:r>
      <w:r w:rsidRPr="00F96D7D">
        <w:rPr>
          <w:rFonts w:ascii="Cambria" w:hAnsi="Cambria"/>
          <w:b/>
        </w:rPr>
        <w:t>—Respondent Universe</w:t>
      </w:r>
    </w:p>
    <w:p w:rsidR="00454728" w:rsidRPr="00F96D7D" w:rsidP="00782FBD" w14:paraId="148F133A" w14:textId="6949BBF9">
      <w:pPr>
        <w:pStyle w:val="ListParagraph"/>
        <w:numPr>
          <w:ilvl w:val="0"/>
          <w:numId w:val="7"/>
        </w:numPr>
        <w:tabs>
          <w:tab w:val="clear" w:pos="9360"/>
        </w:tabs>
        <w:spacing w:line="240" w:lineRule="auto"/>
        <w:ind w:left="720"/>
        <w:rPr>
          <w:b/>
        </w:rPr>
      </w:pPr>
      <w:r w:rsidRPr="00F96D7D">
        <w:rPr>
          <w:rFonts w:ascii="Cambria" w:hAnsi="Cambria"/>
          <w:b/>
        </w:rPr>
        <w:t xml:space="preserve">Attachment </w:t>
      </w:r>
      <w:r w:rsidRPr="00F96D7D" w:rsidR="0048490A">
        <w:rPr>
          <w:rFonts w:ascii="Cambria" w:hAnsi="Cambria"/>
          <w:b/>
        </w:rPr>
        <w:t>7</w:t>
      </w:r>
      <w:r w:rsidRPr="00F96D7D">
        <w:rPr>
          <w:rFonts w:ascii="Cambria" w:hAnsi="Cambria"/>
          <w:b/>
        </w:rPr>
        <w:t>—STARS Project Determination</w:t>
      </w:r>
    </w:p>
    <w:p w:rsidR="00454728" w:rsidRPr="00F96D7D" w:rsidP="00782FBD" w14:paraId="4DFE0DC2" w14:textId="5D5FF9FD">
      <w:pPr>
        <w:pStyle w:val="ListParagraph"/>
        <w:numPr>
          <w:ilvl w:val="0"/>
          <w:numId w:val="7"/>
        </w:numPr>
        <w:tabs>
          <w:tab w:val="clear" w:pos="9360"/>
        </w:tabs>
        <w:spacing w:line="240" w:lineRule="auto"/>
        <w:ind w:left="720"/>
        <w:rPr>
          <w:b/>
        </w:rPr>
      </w:pPr>
      <w:r w:rsidRPr="00F96D7D">
        <w:rPr>
          <w:rFonts w:ascii="Cambria" w:hAnsi="Cambria"/>
          <w:b/>
        </w:rPr>
        <w:t xml:space="preserve">Attachment </w:t>
      </w:r>
      <w:r w:rsidRPr="00F96D7D" w:rsidR="0048490A">
        <w:rPr>
          <w:rFonts w:ascii="Cambria" w:hAnsi="Cambria"/>
          <w:b/>
        </w:rPr>
        <w:t>8</w:t>
      </w:r>
      <w:r w:rsidRPr="00F96D7D">
        <w:rPr>
          <w:rFonts w:ascii="Cambria" w:hAnsi="Cambria"/>
          <w:b/>
        </w:rPr>
        <w:t>—Privacy Act Statement</w:t>
      </w:r>
    </w:p>
    <w:p w:rsidR="00CC7188" w:rsidP="005D6F14" w14:paraId="0E390CF6" w14:textId="77777777"/>
    <w:p w:rsidR="003705DF" w:rsidP="005D6F14" w14:paraId="01D0FCA9" w14:textId="77777777"/>
    <w:p w:rsidR="00CC7188" w:rsidP="003860A5" w14:paraId="3DB2ED85" w14:textId="389734D0">
      <w:pPr>
        <w:pStyle w:val="Heading3"/>
        <w:ind w:left="0"/>
      </w:pPr>
      <w:bookmarkStart w:id="24" w:name="_Toc162967752"/>
      <w:r w:rsidRPr="00CC7188">
        <w:t>REFERENCE LIST</w:t>
      </w:r>
      <w:bookmarkEnd w:id="24"/>
      <w:r w:rsidRPr="00CC7188">
        <w:t xml:space="preserve"> </w:t>
      </w:r>
    </w:p>
    <w:p w:rsidR="000058E0" w:rsidP="00782FBD" w14:paraId="6EF783F7" w14:textId="0EF62631">
      <w:pPr>
        <w:pStyle w:val="ListParagraph"/>
        <w:numPr>
          <w:ilvl w:val="2"/>
          <w:numId w:val="1"/>
        </w:numPr>
        <w:tabs>
          <w:tab w:val="clear" w:pos="9360"/>
        </w:tabs>
        <w:spacing w:line="240" w:lineRule="auto"/>
        <w:ind w:hanging="360"/>
      </w:pPr>
      <w:r w:rsidRPr="008C59E7">
        <w:t xml:space="preserve">Centers for Disease Control and Prevention (CDC). </w:t>
      </w:r>
      <w:r w:rsidR="00173D8D">
        <w:t>“</w:t>
      </w:r>
      <w:r w:rsidR="006536C4">
        <w:t>The</w:t>
      </w:r>
      <w:r w:rsidRPr="008C59E7">
        <w:t xml:space="preserve"> 10 Essential Public Health Services</w:t>
      </w:r>
      <w:r w:rsidRPr="008C59E7" w:rsidR="00173D8D">
        <w:t>.</w:t>
      </w:r>
      <w:r w:rsidR="00173D8D">
        <w:t xml:space="preserve">” </w:t>
      </w:r>
      <w:hyperlink r:id="rId11" w:history="1">
        <w:r w:rsidR="00C84005">
          <w:rPr>
            <w:rStyle w:val="Hyperlink"/>
          </w:rPr>
          <w:t>CDC - 10 Essential Public Health Services - Public Health Infrastructure Center</w:t>
        </w:r>
      </w:hyperlink>
      <w:r w:rsidRPr="008C59E7">
        <w:t xml:space="preserve">. Accessed on </w:t>
      </w:r>
      <w:r w:rsidR="00C84005">
        <w:t>3</w:t>
      </w:r>
      <w:r w:rsidRPr="008C59E7">
        <w:t>/1</w:t>
      </w:r>
      <w:r w:rsidR="00C84005">
        <w:t>9</w:t>
      </w:r>
      <w:r w:rsidRPr="008C59E7">
        <w:t>/</w:t>
      </w:r>
      <w:r w:rsidR="00C84005">
        <w:t>2024</w:t>
      </w:r>
      <w:r w:rsidRPr="008C59E7">
        <w:t>.</w:t>
      </w:r>
    </w:p>
    <w:p w:rsidR="009C5502" w:rsidP="009C5502" w14:paraId="7192B84C" w14:textId="4B770E19">
      <w:pPr>
        <w:pStyle w:val="ListParagraph"/>
        <w:numPr>
          <w:ilvl w:val="2"/>
          <w:numId w:val="1"/>
        </w:numPr>
        <w:tabs>
          <w:tab w:val="clear" w:pos="9360"/>
        </w:tabs>
        <w:spacing w:line="240" w:lineRule="auto"/>
        <w:ind w:hanging="360"/>
      </w:pPr>
      <w:r>
        <w:t xml:space="preserve">Hyattsville, MD: National Center for Health Statistics. 2022. DOI: </w:t>
      </w:r>
      <w:hyperlink r:id="rId12" w:history="1">
        <w:r w:rsidRPr="00E40F2E">
          <w:rPr>
            <w:rStyle w:val="Hyperlink"/>
          </w:rPr>
          <w:t>https://dx.doi.org/10.15620/cdc:122556</w:t>
        </w:r>
      </w:hyperlink>
      <w:r>
        <w:t>.</w:t>
      </w:r>
    </w:p>
    <w:p w:rsidR="009C5502" w:rsidP="009C5502" w14:paraId="4B1DBF38" w14:textId="77777777">
      <w:pPr>
        <w:pStyle w:val="ListParagraph"/>
        <w:numPr>
          <w:ilvl w:val="2"/>
          <w:numId w:val="1"/>
        </w:numPr>
        <w:tabs>
          <w:tab w:val="clear" w:pos="9360"/>
        </w:tabs>
        <w:spacing w:line="240" w:lineRule="auto"/>
        <w:ind w:hanging="360"/>
      </w:pPr>
      <w:r>
        <w:t>National Center for Injury Prevention and Control. WISQARS—Web-based Injury Statistics Query and Reporting System. 2023.</w:t>
      </w:r>
    </w:p>
    <w:p w:rsidR="009C5502" w:rsidP="009C5502" w14:paraId="6D7ED55E" w14:textId="7C1EF805">
      <w:pPr>
        <w:pStyle w:val="ListParagraph"/>
        <w:numPr>
          <w:ilvl w:val="2"/>
          <w:numId w:val="1"/>
        </w:numPr>
        <w:tabs>
          <w:tab w:val="clear" w:pos="9360"/>
        </w:tabs>
        <w:spacing w:line="240" w:lineRule="auto"/>
        <w:ind w:hanging="360"/>
      </w:pPr>
      <w:r>
        <w:t>National Center for Health Statistics. Mortality multiple cause files. 2020.</w:t>
      </w:r>
    </w:p>
    <w:p w:rsidR="000058E0" w:rsidRPr="008C59E7" w:rsidP="00782FBD" w14:paraId="2C48566E" w14:textId="45242A89">
      <w:pPr>
        <w:pStyle w:val="ListParagraph"/>
        <w:numPr>
          <w:ilvl w:val="2"/>
          <w:numId w:val="1"/>
        </w:numPr>
        <w:tabs>
          <w:tab w:val="clear" w:pos="9360"/>
        </w:tabs>
        <w:spacing w:line="240" w:lineRule="auto"/>
        <w:ind w:hanging="360"/>
      </w:pPr>
      <w:r w:rsidRPr="001B5045">
        <w:t>Wakefield, M. A., Loken, B., &amp; Hornik, R. C. (2010). Use of mass media campaigns to change health behaviour. The Lancet, 376(9748), 1261-1271.</w:t>
      </w:r>
    </w:p>
    <w:sectPr w:rsidSect="009D02C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4503" w:rsidP="007D6163" w14:paraId="061DBD37" w14:textId="77777777">
      <w:r>
        <w:separator/>
      </w:r>
    </w:p>
    <w:p w:rsidR="00E34503" w:rsidP="007D6163" w14:paraId="3DF0ABB1" w14:textId="77777777"/>
  </w:endnote>
  <w:endnote w:type="continuationSeparator" w:id="1">
    <w:p w:rsidR="00E34503" w:rsidP="007D6163" w14:paraId="33545697" w14:textId="77777777">
      <w:r>
        <w:continuationSeparator/>
      </w:r>
    </w:p>
    <w:p w:rsidR="00E34503" w:rsidP="007D6163" w14:paraId="458AB686" w14:textId="77777777"/>
  </w:endnote>
  <w:endnote w:type="continuationNotice" w:id="2">
    <w:p w:rsidR="00E34503" w14:paraId="22EEFBC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130A32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3367856"/>
      <w:docPartObj>
        <w:docPartGallery w:val="Page Numbers (Bottom of Page)"/>
        <w:docPartUnique/>
      </w:docPartObj>
    </w:sdtPr>
    <w:sdtContent>
      <w:sdt>
        <w:sdtPr>
          <w:id w:val="860082579"/>
          <w:docPartObj>
            <w:docPartGallery w:val="Page Numbers (Top of Page)"/>
            <w:docPartUnique/>
          </w:docPartObj>
        </w:sdtPr>
        <w:sdtContent>
          <w:p w:rsidR="003E0F5E" w14:paraId="4EAC17F9" w14:textId="0EDCE9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29D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29D3">
              <w:rPr>
                <w:b/>
                <w:bCs/>
                <w:noProof/>
              </w:rPr>
              <w:t>8</w:t>
            </w:r>
            <w:r>
              <w:rPr>
                <w:b/>
                <w:bCs/>
                <w:sz w:val="24"/>
                <w:szCs w:val="24"/>
              </w:rPr>
              <w:fldChar w:fldCharType="end"/>
            </w:r>
          </w:p>
        </w:sdtContent>
      </w:sdt>
    </w:sdtContent>
  </w:sdt>
  <w:p w:rsidR="003E0F5E" w:rsidP="007D6163" w14:paraId="3B20815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34109A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4503" w:rsidP="007D6163" w14:paraId="52AAA6BA" w14:textId="77777777">
      <w:r>
        <w:separator/>
      </w:r>
    </w:p>
    <w:p w:rsidR="00E34503" w:rsidP="007D6163" w14:paraId="77CAFC51" w14:textId="77777777"/>
  </w:footnote>
  <w:footnote w:type="continuationSeparator" w:id="1">
    <w:p w:rsidR="00E34503" w:rsidP="007D6163" w14:paraId="1C57ABA6" w14:textId="77777777">
      <w:r>
        <w:continuationSeparator/>
      </w:r>
    </w:p>
    <w:p w:rsidR="00E34503" w:rsidP="007D6163" w14:paraId="6A60CA61" w14:textId="77777777"/>
  </w:footnote>
  <w:footnote w:type="continuationNotice" w:id="2">
    <w:p w:rsidR="00E34503" w14:paraId="3B9ADF7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39F835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F5E" w:rsidRPr="00716F94" w:rsidP="007D6163" w14:paraId="1F018B77" w14:textId="77777777">
    <w:pPr>
      <w:pStyle w:val="Header"/>
      <w:rPr>
        <w:color w:val="0033CC"/>
      </w:rPr>
    </w:pPr>
    <w:r>
      <w:tab/>
    </w:r>
  </w:p>
  <w:p w:rsidR="003E0F5E" w:rsidP="007D6163" w14:paraId="195027E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286F3D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53182"/>
    <w:multiLevelType w:val="hybridMultilevel"/>
    <w:tmpl w:val="F4E47E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69B0A25"/>
    <w:multiLevelType w:val="hybridMultilevel"/>
    <w:tmpl w:val="09C667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D77D0"/>
    <w:multiLevelType w:val="hybridMultilevel"/>
    <w:tmpl w:val="83E433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8C22082"/>
    <w:multiLevelType w:val="hybridMultilevel"/>
    <w:tmpl w:val="B51C5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B42F2"/>
    <w:multiLevelType w:val="hybridMultilevel"/>
    <w:tmpl w:val="E80CC9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B840359"/>
    <w:multiLevelType w:val="hybridMultilevel"/>
    <w:tmpl w:val="31EEF24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6">
    <w:nsid w:val="111803C0"/>
    <w:multiLevelType w:val="hybridMultilevel"/>
    <w:tmpl w:val="1DE42F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B140B24"/>
    <w:multiLevelType w:val="hybridMultilevel"/>
    <w:tmpl w:val="14FC73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6036E21"/>
    <w:multiLevelType w:val="hybridMultilevel"/>
    <w:tmpl w:val="8C30747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9">
    <w:nsid w:val="26985860"/>
    <w:multiLevelType w:val="hybridMultilevel"/>
    <w:tmpl w:val="4DBC8ABA"/>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0">
    <w:nsid w:val="28561803"/>
    <w:multiLevelType w:val="hybridMultilevel"/>
    <w:tmpl w:val="B6427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4E15C0"/>
    <w:multiLevelType w:val="hybridMultilevel"/>
    <w:tmpl w:val="162C09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E0947F7"/>
    <w:multiLevelType w:val="hybridMultilevel"/>
    <w:tmpl w:val="4054567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FC97E8D"/>
    <w:multiLevelType w:val="hybridMultilevel"/>
    <w:tmpl w:val="7D4063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A67B22"/>
    <w:multiLevelType w:val="hybridMultilevel"/>
    <w:tmpl w:val="46BCEEB0"/>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6">
    <w:nsid w:val="32396831"/>
    <w:multiLevelType w:val="hybridMultilevel"/>
    <w:tmpl w:val="EFD212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330F0FA1"/>
    <w:multiLevelType w:val="hybridMultilevel"/>
    <w:tmpl w:val="596AC156"/>
    <w:lvl w:ilvl="0">
      <w:start w:val="1"/>
      <w:numFmt w:val="decimal"/>
      <w:pStyle w:val="Heading4"/>
      <w:lvlText w:val="%1."/>
      <w:lvlJc w:val="left"/>
      <w:pPr>
        <w:ind w:left="360" w:hanging="360"/>
      </w:pPr>
      <w:rPr>
        <w:rFonts w:hint="default"/>
      </w:rPr>
    </w:lvl>
    <w:lvl w:ilvl="1">
      <w:start w:val="1"/>
      <w:numFmt w:val="lowerLetter"/>
      <w:lvlText w:val="%2."/>
      <w:lvlJc w:val="left"/>
      <w:pPr>
        <w:ind w:left="0" w:hanging="360"/>
      </w:pPr>
    </w:lvl>
    <w:lvl w:ilvl="2">
      <w:start w:val="1"/>
      <w:numFmt w:val="decimal"/>
      <w:lvlText w:val="%3."/>
      <w:lvlJc w:val="left"/>
      <w:pPr>
        <w:ind w:left="720" w:hanging="180"/>
      </w:pPr>
      <w:rPr>
        <w:rFonts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8">
    <w:nsid w:val="33A03DCC"/>
    <w:multiLevelType w:val="hybridMultilevel"/>
    <w:tmpl w:val="D93692D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9">
    <w:nsid w:val="35357F7C"/>
    <w:multiLevelType w:val="hybridMultilevel"/>
    <w:tmpl w:val="082A7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3C654E"/>
    <w:multiLevelType w:val="hybridMultilevel"/>
    <w:tmpl w:val="652E0AE6"/>
    <w:lvl w:ilvl="0">
      <w:start w:val="1"/>
      <w:numFmt w:val="upperLetter"/>
      <w:lvlText w:val="%1."/>
      <w:lvlJc w:val="left"/>
      <w:pPr>
        <w:ind w:left="153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A62060E"/>
    <w:multiLevelType w:val="hybridMultilevel"/>
    <w:tmpl w:val="E602696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2">
    <w:nsid w:val="40DD1E46"/>
    <w:multiLevelType w:val="hybridMultilevel"/>
    <w:tmpl w:val="1940F2D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3">
    <w:nsid w:val="45010049"/>
    <w:multiLevelType w:val="hybridMultilevel"/>
    <w:tmpl w:val="3F8E846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4">
    <w:nsid w:val="4B676E59"/>
    <w:multiLevelType w:val="hybridMultilevel"/>
    <w:tmpl w:val="4AF65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4263E3"/>
    <w:multiLevelType w:val="hybridMultilevel"/>
    <w:tmpl w:val="A266CBB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6">
    <w:nsid w:val="4FA35F35"/>
    <w:multiLevelType w:val="hybridMultilevel"/>
    <w:tmpl w:val="73667B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50477C4B"/>
    <w:multiLevelType w:val="hybridMultilevel"/>
    <w:tmpl w:val="6DC82C1C"/>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8">
    <w:nsid w:val="521078DC"/>
    <w:multiLevelType w:val="hybridMultilevel"/>
    <w:tmpl w:val="D31442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57232ABC"/>
    <w:multiLevelType w:val="hybridMultilevel"/>
    <w:tmpl w:val="559821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599C7A6A"/>
    <w:multiLevelType w:val="hybridMultilevel"/>
    <w:tmpl w:val="154ECC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5ACE6C11"/>
    <w:multiLevelType w:val="hybridMultilevel"/>
    <w:tmpl w:val="41E449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5CA16375"/>
    <w:multiLevelType w:val="hybridMultilevel"/>
    <w:tmpl w:val="AA76EE5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33">
    <w:nsid w:val="5FAA364A"/>
    <w:multiLevelType w:val="hybridMultilevel"/>
    <w:tmpl w:val="C8BC574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65B232A8"/>
    <w:multiLevelType w:val="hybridMultilevel"/>
    <w:tmpl w:val="454C0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86201B"/>
    <w:multiLevelType w:val="hybridMultilevel"/>
    <w:tmpl w:val="D43C98DC"/>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36">
    <w:nsid w:val="69605014"/>
    <w:multiLevelType w:val="hybridMultilevel"/>
    <w:tmpl w:val="860A917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9733F94"/>
    <w:multiLevelType w:val="hybridMultilevel"/>
    <w:tmpl w:val="C8E0F7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6A1616DE"/>
    <w:multiLevelType w:val="hybridMultilevel"/>
    <w:tmpl w:val="CD5AA3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6D1D5398"/>
    <w:multiLevelType w:val="hybridMultilevel"/>
    <w:tmpl w:val="750A8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2A7D49"/>
    <w:multiLevelType w:val="hybridMultilevel"/>
    <w:tmpl w:val="3BCEE2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715B73B6"/>
    <w:multiLevelType w:val="hybridMultilevel"/>
    <w:tmpl w:val="DA90668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FC0D7E"/>
    <w:multiLevelType w:val="hybridMultilevel"/>
    <w:tmpl w:val="A8E87D9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3">
    <w:nsid w:val="745F21D4"/>
    <w:multiLevelType w:val="hybridMultilevel"/>
    <w:tmpl w:val="21400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C94696"/>
    <w:multiLevelType w:val="hybridMultilevel"/>
    <w:tmpl w:val="345E8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7B73EE"/>
    <w:multiLevelType w:val="hybridMultilevel"/>
    <w:tmpl w:val="71A666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008562083">
    <w:abstractNumId w:val="17"/>
  </w:num>
  <w:num w:numId="2" w16cid:durableId="235167483">
    <w:abstractNumId w:val="36"/>
  </w:num>
  <w:num w:numId="3" w16cid:durableId="512452552">
    <w:abstractNumId w:val="41"/>
  </w:num>
  <w:num w:numId="4" w16cid:durableId="1771268145">
    <w:abstractNumId w:val="14"/>
  </w:num>
  <w:num w:numId="5" w16cid:durableId="60956176">
    <w:abstractNumId w:val="33"/>
  </w:num>
  <w:num w:numId="6" w16cid:durableId="324819260">
    <w:abstractNumId w:val="3"/>
  </w:num>
  <w:num w:numId="7" w16cid:durableId="377509977">
    <w:abstractNumId w:val="20"/>
  </w:num>
  <w:num w:numId="8" w16cid:durableId="762069853">
    <w:abstractNumId w:val="13"/>
  </w:num>
  <w:num w:numId="9" w16cid:durableId="783695284">
    <w:abstractNumId w:val="27"/>
  </w:num>
  <w:num w:numId="10" w16cid:durableId="2114981000">
    <w:abstractNumId w:val="10"/>
  </w:num>
  <w:num w:numId="11" w16cid:durableId="2067945726">
    <w:abstractNumId w:val="19"/>
  </w:num>
  <w:num w:numId="12" w16cid:durableId="333579502">
    <w:abstractNumId w:val="44"/>
  </w:num>
  <w:num w:numId="13" w16cid:durableId="2067751294">
    <w:abstractNumId w:val="42"/>
  </w:num>
  <w:num w:numId="14" w16cid:durableId="231741564">
    <w:abstractNumId w:val="25"/>
  </w:num>
  <w:num w:numId="15" w16cid:durableId="445514066">
    <w:abstractNumId w:val="24"/>
  </w:num>
  <w:num w:numId="16" w16cid:durableId="1797212648">
    <w:abstractNumId w:val="39"/>
  </w:num>
  <w:num w:numId="17" w16cid:durableId="534468528">
    <w:abstractNumId w:val="45"/>
  </w:num>
  <w:num w:numId="18" w16cid:durableId="2089227768">
    <w:abstractNumId w:val="31"/>
  </w:num>
  <w:num w:numId="19" w16cid:durableId="1935823888">
    <w:abstractNumId w:val="15"/>
  </w:num>
  <w:num w:numId="20" w16cid:durableId="1741370644">
    <w:abstractNumId w:val="38"/>
  </w:num>
  <w:num w:numId="21" w16cid:durableId="145557912">
    <w:abstractNumId w:val="28"/>
  </w:num>
  <w:num w:numId="22" w16cid:durableId="1038505292">
    <w:abstractNumId w:val="35"/>
  </w:num>
  <w:num w:numId="23" w16cid:durableId="441414351">
    <w:abstractNumId w:val="8"/>
  </w:num>
  <w:num w:numId="24" w16cid:durableId="630862237">
    <w:abstractNumId w:val="12"/>
  </w:num>
  <w:num w:numId="25" w16cid:durableId="1776439712">
    <w:abstractNumId w:val="21"/>
  </w:num>
  <w:num w:numId="26" w16cid:durableId="367681804">
    <w:abstractNumId w:val="32"/>
  </w:num>
  <w:num w:numId="27" w16cid:durableId="1224684130">
    <w:abstractNumId w:val="18"/>
  </w:num>
  <w:num w:numId="28" w16cid:durableId="377828216">
    <w:abstractNumId w:val="22"/>
  </w:num>
  <w:num w:numId="29" w16cid:durableId="1112869080">
    <w:abstractNumId w:val="4"/>
  </w:num>
  <w:num w:numId="30" w16cid:durableId="1871605195">
    <w:abstractNumId w:val="7"/>
  </w:num>
  <w:num w:numId="31" w16cid:durableId="1619330957">
    <w:abstractNumId w:val="30"/>
  </w:num>
  <w:num w:numId="32" w16cid:durableId="1423064529">
    <w:abstractNumId w:val="26"/>
  </w:num>
  <w:num w:numId="33" w16cid:durableId="1775712911">
    <w:abstractNumId w:val="6"/>
  </w:num>
  <w:num w:numId="34" w16cid:durableId="564800182">
    <w:abstractNumId w:val="11"/>
  </w:num>
  <w:num w:numId="35" w16cid:durableId="433594052">
    <w:abstractNumId w:val="2"/>
  </w:num>
  <w:num w:numId="36" w16cid:durableId="106125497">
    <w:abstractNumId w:val="16"/>
  </w:num>
  <w:num w:numId="37" w16cid:durableId="1724718626">
    <w:abstractNumId w:val="37"/>
  </w:num>
  <w:num w:numId="38" w16cid:durableId="1718699571">
    <w:abstractNumId w:val="40"/>
  </w:num>
  <w:num w:numId="39" w16cid:durableId="237983413">
    <w:abstractNumId w:val="5"/>
  </w:num>
  <w:num w:numId="40" w16cid:durableId="270093503">
    <w:abstractNumId w:val="23"/>
  </w:num>
  <w:num w:numId="41" w16cid:durableId="306403685">
    <w:abstractNumId w:val="0"/>
  </w:num>
  <w:num w:numId="42" w16cid:durableId="570580072">
    <w:abstractNumId w:val="29"/>
  </w:num>
  <w:num w:numId="43" w16cid:durableId="607278973">
    <w:abstractNumId w:val="9"/>
  </w:num>
  <w:num w:numId="44" w16cid:durableId="1424372775">
    <w:abstractNumId w:val="43"/>
  </w:num>
  <w:num w:numId="45" w16cid:durableId="1679188988">
    <w:abstractNumId w:val="1"/>
  </w:num>
  <w:num w:numId="46" w16cid:durableId="1594896292">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3903"/>
    <w:rsid w:val="0000488A"/>
    <w:rsid w:val="000058E0"/>
    <w:rsid w:val="00005AE8"/>
    <w:rsid w:val="000078F0"/>
    <w:rsid w:val="00007DFD"/>
    <w:rsid w:val="00007E08"/>
    <w:rsid w:val="0001017E"/>
    <w:rsid w:val="00010EB4"/>
    <w:rsid w:val="00010F10"/>
    <w:rsid w:val="00011A98"/>
    <w:rsid w:val="00011B8E"/>
    <w:rsid w:val="00011F8D"/>
    <w:rsid w:val="000130B4"/>
    <w:rsid w:val="00013DC0"/>
    <w:rsid w:val="00014105"/>
    <w:rsid w:val="00014361"/>
    <w:rsid w:val="00014579"/>
    <w:rsid w:val="00014944"/>
    <w:rsid w:val="00015E95"/>
    <w:rsid w:val="0001719D"/>
    <w:rsid w:val="00017EE3"/>
    <w:rsid w:val="000214F6"/>
    <w:rsid w:val="00026B48"/>
    <w:rsid w:val="0002778C"/>
    <w:rsid w:val="00031F83"/>
    <w:rsid w:val="000325AF"/>
    <w:rsid w:val="000356D5"/>
    <w:rsid w:val="00040611"/>
    <w:rsid w:val="000409E2"/>
    <w:rsid w:val="00040C5E"/>
    <w:rsid w:val="0004305C"/>
    <w:rsid w:val="0004634F"/>
    <w:rsid w:val="000463AB"/>
    <w:rsid w:val="00046CCD"/>
    <w:rsid w:val="000474FB"/>
    <w:rsid w:val="00047559"/>
    <w:rsid w:val="00047D2A"/>
    <w:rsid w:val="00050240"/>
    <w:rsid w:val="00052F7D"/>
    <w:rsid w:val="00053A92"/>
    <w:rsid w:val="000543BA"/>
    <w:rsid w:val="00054839"/>
    <w:rsid w:val="00055372"/>
    <w:rsid w:val="00055DAE"/>
    <w:rsid w:val="00057F36"/>
    <w:rsid w:val="00061616"/>
    <w:rsid w:val="0006532C"/>
    <w:rsid w:val="000678D8"/>
    <w:rsid w:val="00070142"/>
    <w:rsid w:val="0007151E"/>
    <w:rsid w:val="00072802"/>
    <w:rsid w:val="00076BAF"/>
    <w:rsid w:val="00076F12"/>
    <w:rsid w:val="00077211"/>
    <w:rsid w:val="00080672"/>
    <w:rsid w:val="000830E6"/>
    <w:rsid w:val="000837B1"/>
    <w:rsid w:val="00085709"/>
    <w:rsid w:val="0008620C"/>
    <w:rsid w:val="00086FB6"/>
    <w:rsid w:val="0009068E"/>
    <w:rsid w:val="0009360F"/>
    <w:rsid w:val="00094503"/>
    <w:rsid w:val="00095196"/>
    <w:rsid w:val="00096E06"/>
    <w:rsid w:val="000A00CB"/>
    <w:rsid w:val="000A1F30"/>
    <w:rsid w:val="000A2598"/>
    <w:rsid w:val="000A2D0C"/>
    <w:rsid w:val="000A3A14"/>
    <w:rsid w:val="000A3B73"/>
    <w:rsid w:val="000A664C"/>
    <w:rsid w:val="000A71DF"/>
    <w:rsid w:val="000B0962"/>
    <w:rsid w:val="000B1063"/>
    <w:rsid w:val="000B17AE"/>
    <w:rsid w:val="000B1EDB"/>
    <w:rsid w:val="000B2CBC"/>
    <w:rsid w:val="000B6EFD"/>
    <w:rsid w:val="000C13D2"/>
    <w:rsid w:val="000C3A5E"/>
    <w:rsid w:val="000C4270"/>
    <w:rsid w:val="000D3429"/>
    <w:rsid w:val="000D4542"/>
    <w:rsid w:val="000E1B37"/>
    <w:rsid w:val="000E58F5"/>
    <w:rsid w:val="000E6577"/>
    <w:rsid w:val="000E7A19"/>
    <w:rsid w:val="000E7C44"/>
    <w:rsid w:val="000F29D3"/>
    <w:rsid w:val="000F353F"/>
    <w:rsid w:val="000F3B1D"/>
    <w:rsid w:val="000F4DB1"/>
    <w:rsid w:val="000F52BC"/>
    <w:rsid w:val="000F7905"/>
    <w:rsid w:val="00100C95"/>
    <w:rsid w:val="00103E92"/>
    <w:rsid w:val="001045A5"/>
    <w:rsid w:val="00104A1B"/>
    <w:rsid w:val="00104DD5"/>
    <w:rsid w:val="001051F0"/>
    <w:rsid w:val="00106F62"/>
    <w:rsid w:val="00111C20"/>
    <w:rsid w:val="00112523"/>
    <w:rsid w:val="001177DD"/>
    <w:rsid w:val="00121795"/>
    <w:rsid w:val="001249C1"/>
    <w:rsid w:val="00124F8E"/>
    <w:rsid w:val="00126C7A"/>
    <w:rsid w:val="00130D45"/>
    <w:rsid w:val="00135334"/>
    <w:rsid w:val="00140936"/>
    <w:rsid w:val="00140A45"/>
    <w:rsid w:val="001412D4"/>
    <w:rsid w:val="00142EF2"/>
    <w:rsid w:val="00144EA8"/>
    <w:rsid w:val="00144F64"/>
    <w:rsid w:val="00145498"/>
    <w:rsid w:val="00145D62"/>
    <w:rsid w:val="001464E5"/>
    <w:rsid w:val="00146BF6"/>
    <w:rsid w:val="00147E64"/>
    <w:rsid w:val="00151567"/>
    <w:rsid w:val="00152671"/>
    <w:rsid w:val="001545BF"/>
    <w:rsid w:val="001559A4"/>
    <w:rsid w:val="00156509"/>
    <w:rsid w:val="0015715D"/>
    <w:rsid w:val="00157413"/>
    <w:rsid w:val="00162E7C"/>
    <w:rsid w:val="00163E17"/>
    <w:rsid w:val="00166F9E"/>
    <w:rsid w:val="00167880"/>
    <w:rsid w:val="00167AAB"/>
    <w:rsid w:val="00171284"/>
    <w:rsid w:val="0017232B"/>
    <w:rsid w:val="00172D7E"/>
    <w:rsid w:val="00173D8D"/>
    <w:rsid w:val="00174968"/>
    <w:rsid w:val="00180D45"/>
    <w:rsid w:val="0018398A"/>
    <w:rsid w:val="00184915"/>
    <w:rsid w:val="00186178"/>
    <w:rsid w:val="00187870"/>
    <w:rsid w:val="00187D5A"/>
    <w:rsid w:val="00191144"/>
    <w:rsid w:val="0019164D"/>
    <w:rsid w:val="0019253A"/>
    <w:rsid w:val="00196180"/>
    <w:rsid w:val="00196487"/>
    <w:rsid w:val="00196622"/>
    <w:rsid w:val="001972D7"/>
    <w:rsid w:val="001A28F6"/>
    <w:rsid w:val="001A6E02"/>
    <w:rsid w:val="001A7416"/>
    <w:rsid w:val="001A7D65"/>
    <w:rsid w:val="001B0373"/>
    <w:rsid w:val="001B0848"/>
    <w:rsid w:val="001B2068"/>
    <w:rsid w:val="001B2831"/>
    <w:rsid w:val="001B29B4"/>
    <w:rsid w:val="001B4065"/>
    <w:rsid w:val="001B5045"/>
    <w:rsid w:val="001B5910"/>
    <w:rsid w:val="001B5B12"/>
    <w:rsid w:val="001B70B4"/>
    <w:rsid w:val="001C0493"/>
    <w:rsid w:val="001C1F3D"/>
    <w:rsid w:val="001C2022"/>
    <w:rsid w:val="001C28AD"/>
    <w:rsid w:val="001C30AB"/>
    <w:rsid w:val="001C5C54"/>
    <w:rsid w:val="001C7607"/>
    <w:rsid w:val="001D1436"/>
    <w:rsid w:val="001D3AF2"/>
    <w:rsid w:val="001D3ECB"/>
    <w:rsid w:val="001D5697"/>
    <w:rsid w:val="001D5DB7"/>
    <w:rsid w:val="001D5F23"/>
    <w:rsid w:val="001D6AE1"/>
    <w:rsid w:val="001D7FCB"/>
    <w:rsid w:val="001E2075"/>
    <w:rsid w:val="001E2B99"/>
    <w:rsid w:val="001E532F"/>
    <w:rsid w:val="001E620E"/>
    <w:rsid w:val="001E69B6"/>
    <w:rsid w:val="001E7537"/>
    <w:rsid w:val="001E7BB4"/>
    <w:rsid w:val="001F1D6E"/>
    <w:rsid w:val="001F4DBB"/>
    <w:rsid w:val="001F652C"/>
    <w:rsid w:val="00202D07"/>
    <w:rsid w:val="0020312D"/>
    <w:rsid w:val="002032EF"/>
    <w:rsid w:val="00205C5F"/>
    <w:rsid w:val="00206D68"/>
    <w:rsid w:val="00206E33"/>
    <w:rsid w:val="00210519"/>
    <w:rsid w:val="00212137"/>
    <w:rsid w:val="00212B10"/>
    <w:rsid w:val="00214003"/>
    <w:rsid w:val="00215DAB"/>
    <w:rsid w:val="002175D9"/>
    <w:rsid w:val="0022067F"/>
    <w:rsid w:val="00221E25"/>
    <w:rsid w:val="00227259"/>
    <w:rsid w:val="00230BF9"/>
    <w:rsid w:val="00233BEA"/>
    <w:rsid w:val="00234EC8"/>
    <w:rsid w:val="0023539A"/>
    <w:rsid w:val="00235B0D"/>
    <w:rsid w:val="00241B17"/>
    <w:rsid w:val="00241C81"/>
    <w:rsid w:val="002420C7"/>
    <w:rsid w:val="0024292F"/>
    <w:rsid w:val="00244557"/>
    <w:rsid w:val="00245477"/>
    <w:rsid w:val="00247AF7"/>
    <w:rsid w:val="00250015"/>
    <w:rsid w:val="00252340"/>
    <w:rsid w:val="002527A4"/>
    <w:rsid w:val="00252FFD"/>
    <w:rsid w:val="002540EE"/>
    <w:rsid w:val="00255CED"/>
    <w:rsid w:val="00257A1C"/>
    <w:rsid w:val="0026238E"/>
    <w:rsid w:val="002662D0"/>
    <w:rsid w:val="00266389"/>
    <w:rsid w:val="0027234C"/>
    <w:rsid w:val="00272AFD"/>
    <w:rsid w:val="00272E3E"/>
    <w:rsid w:val="002737A0"/>
    <w:rsid w:val="00274BA6"/>
    <w:rsid w:val="00275A37"/>
    <w:rsid w:val="00276327"/>
    <w:rsid w:val="002774C4"/>
    <w:rsid w:val="00281795"/>
    <w:rsid w:val="002818E8"/>
    <w:rsid w:val="002850E3"/>
    <w:rsid w:val="00287E2F"/>
    <w:rsid w:val="0029032A"/>
    <w:rsid w:val="00290759"/>
    <w:rsid w:val="002929D3"/>
    <w:rsid w:val="002946A6"/>
    <w:rsid w:val="002949EA"/>
    <w:rsid w:val="002A1948"/>
    <w:rsid w:val="002A1CF5"/>
    <w:rsid w:val="002A28DF"/>
    <w:rsid w:val="002A73B7"/>
    <w:rsid w:val="002B0DFD"/>
    <w:rsid w:val="002B3342"/>
    <w:rsid w:val="002B42CB"/>
    <w:rsid w:val="002C0375"/>
    <w:rsid w:val="002C0877"/>
    <w:rsid w:val="002C2AE2"/>
    <w:rsid w:val="002D0DCE"/>
    <w:rsid w:val="002D22B6"/>
    <w:rsid w:val="002D479C"/>
    <w:rsid w:val="002E148B"/>
    <w:rsid w:val="002E1CBA"/>
    <w:rsid w:val="002E1D5B"/>
    <w:rsid w:val="002E2B10"/>
    <w:rsid w:val="002E2EDD"/>
    <w:rsid w:val="002E332B"/>
    <w:rsid w:val="002E545C"/>
    <w:rsid w:val="002E72B9"/>
    <w:rsid w:val="002E73B0"/>
    <w:rsid w:val="002F02B6"/>
    <w:rsid w:val="002F088A"/>
    <w:rsid w:val="002F1502"/>
    <w:rsid w:val="002F2069"/>
    <w:rsid w:val="002F3654"/>
    <w:rsid w:val="002F5AF2"/>
    <w:rsid w:val="002F60AA"/>
    <w:rsid w:val="002F71A2"/>
    <w:rsid w:val="00300FA6"/>
    <w:rsid w:val="003041AD"/>
    <w:rsid w:val="00310EA1"/>
    <w:rsid w:val="0031279F"/>
    <w:rsid w:val="00315C0C"/>
    <w:rsid w:val="003165A8"/>
    <w:rsid w:val="00316F00"/>
    <w:rsid w:val="0031772C"/>
    <w:rsid w:val="003179F7"/>
    <w:rsid w:val="00321B51"/>
    <w:rsid w:val="00323BB8"/>
    <w:rsid w:val="00324E03"/>
    <w:rsid w:val="003253E6"/>
    <w:rsid w:val="00326667"/>
    <w:rsid w:val="003270E7"/>
    <w:rsid w:val="00330F9F"/>
    <w:rsid w:val="0033234C"/>
    <w:rsid w:val="00333C03"/>
    <w:rsid w:val="00335158"/>
    <w:rsid w:val="00335264"/>
    <w:rsid w:val="00336D96"/>
    <w:rsid w:val="00340AC8"/>
    <w:rsid w:val="00344D84"/>
    <w:rsid w:val="00344F07"/>
    <w:rsid w:val="00345C86"/>
    <w:rsid w:val="003469C8"/>
    <w:rsid w:val="00350C8C"/>
    <w:rsid w:val="003514C6"/>
    <w:rsid w:val="00351B76"/>
    <w:rsid w:val="00352A3C"/>
    <w:rsid w:val="00353A28"/>
    <w:rsid w:val="003547F2"/>
    <w:rsid w:val="00354C71"/>
    <w:rsid w:val="00355EA4"/>
    <w:rsid w:val="003560D7"/>
    <w:rsid w:val="00356270"/>
    <w:rsid w:val="0035644A"/>
    <w:rsid w:val="00362326"/>
    <w:rsid w:val="003626F4"/>
    <w:rsid w:val="00362EA6"/>
    <w:rsid w:val="003635BE"/>
    <w:rsid w:val="00363AD8"/>
    <w:rsid w:val="00365045"/>
    <w:rsid w:val="0036532B"/>
    <w:rsid w:val="00366B5E"/>
    <w:rsid w:val="003705DF"/>
    <w:rsid w:val="00370AA9"/>
    <w:rsid w:val="00370C46"/>
    <w:rsid w:val="003711F7"/>
    <w:rsid w:val="00372E36"/>
    <w:rsid w:val="00376290"/>
    <w:rsid w:val="00376ACD"/>
    <w:rsid w:val="00377969"/>
    <w:rsid w:val="00377D60"/>
    <w:rsid w:val="0038199D"/>
    <w:rsid w:val="003819F2"/>
    <w:rsid w:val="00382DAE"/>
    <w:rsid w:val="00382EE3"/>
    <w:rsid w:val="00383542"/>
    <w:rsid w:val="00385BB5"/>
    <w:rsid w:val="003860A5"/>
    <w:rsid w:val="00386BC2"/>
    <w:rsid w:val="00387CA6"/>
    <w:rsid w:val="003918C1"/>
    <w:rsid w:val="003978F1"/>
    <w:rsid w:val="003A08DA"/>
    <w:rsid w:val="003A2555"/>
    <w:rsid w:val="003A5C03"/>
    <w:rsid w:val="003B048F"/>
    <w:rsid w:val="003B125E"/>
    <w:rsid w:val="003B12B6"/>
    <w:rsid w:val="003B1BE3"/>
    <w:rsid w:val="003B2200"/>
    <w:rsid w:val="003B2AE6"/>
    <w:rsid w:val="003B3493"/>
    <w:rsid w:val="003C10D5"/>
    <w:rsid w:val="003C3021"/>
    <w:rsid w:val="003C31C9"/>
    <w:rsid w:val="003C4961"/>
    <w:rsid w:val="003C7C5D"/>
    <w:rsid w:val="003D0AD2"/>
    <w:rsid w:val="003D0F63"/>
    <w:rsid w:val="003D43EC"/>
    <w:rsid w:val="003D48F5"/>
    <w:rsid w:val="003D4AF1"/>
    <w:rsid w:val="003D68BD"/>
    <w:rsid w:val="003D74C9"/>
    <w:rsid w:val="003E0F5E"/>
    <w:rsid w:val="003E2F5E"/>
    <w:rsid w:val="003E38A9"/>
    <w:rsid w:val="003E472D"/>
    <w:rsid w:val="003E71A6"/>
    <w:rsid w:val="003E71EF"/>
    <w:rsid w:val="003E7701"/>
    <w:rsid w:val="003F0CC1"/>
    <w:rsid w:val="003F34AE"/>
    <w:rsid w:val="003F386D"/>
    <w:rsid w:val="003F45A1"/>
    <w:rsid w:val="003F4D15"/>
    <w:rsid w:val="003F5913"/>
    <w:rsid w:val="00400BAA"/>
    <w:rsid w:val="00400F63"/>
    <w:rsid w:val="00401E74"/>
    <w:rsid w:val="004024F8"/>
    <w:rsid w:val="00405696"/>
    <w:rsid w:val="00405ECC"/>
    <w:rsid w:val="00406A6F"/>
    <w:rsid w:val="00406FA1"/>
    <w:rsid w:val="0041159A"/>
    <w:rsid w:val="004135D5"/>
    <w:rsid w:val="00414C9F"/>
    <w:rsid w:val="00420B9E"/>
    <w:rsid w:val="004226DA"/>
    <w:rsid w:val="0042289B"/>
    <w:rsid w:val="0042500C"/>
    <w:rsid w:val="00427F7D"/>
    <w:rsid w:val="004305A8"/>
    <w:rsid w:val="0043229B"/>
    <w:rsid w:val="0043286D"/>
    <w:rsid w:val="00433CFF"/>
    <w:rsid w:val="004353D5"/>
    <w:rsid w:val="00435A87"/>
    <w:rsid w:val="00435DEC"/>
    <w:rsid w:val="004360B0"/>
    <w:rsid w:val="004368B3"/>
    <w:rsid w:val="00436B8A"/>
    <w:rsid w:val="00436E3D"/>
    <w:rsid w:val="0044130D"/>
    <w:rsid w:val="00441CC3"/>
    <w:rsid w:val="00443CA0"/>
    <w:rsid w:val="0044453F"/>
    <w:rsid w:val="00445A46"/>
    <w:rsid w:val="00450E14"/>
    <w:rsid w:val="00451E6F"/>
    <w:rsid w:val="0045242E"/>
    <w:rsid w:val="00454728"/>
    <w:rsid w:val="0045556C"/>
    <w:rsid w:val="00455653"/>
    <w:rsid w:val="00457A64"/>
    <w:rsid w:val="0046150D"/>
    <w:rsid w:val="00461520"/>
    <w:rsid w:val="00462C65"/>
    <w:rsid w:val="0046317F"/>
    <w:rsid w:val="00463846"/>
    <w:rsid w:val="004670C4"/>
    <w:rsid w:val="004674E7"/>
    <w:rsid w:val="00467B14"/>
    <w:rsid w:val="00467D07"/>
    <w:rsid w:val="00470852"/>
    <w:rsid w:val="00470B37"/>
    <w:rsid w:val="00471642"/>
    <w:rsid w:val="00471AF8"/>
    <w:rsid w:val="00474EDA"/>
    <w:rsid w:val="004751AD"/>
    <w:rsid w:val="00477F87"/>
    <w:rsid w:val="00481760"/>
    <w:rsid w:val="00481D80"/>
    <w:rsid w:val="004824FA"/>
    <w:rsid w:val="00484011"/>
    <w:rsid w:val="004841F1"/>
    <w:rsid w:val="0048490A"/>
    <w:rsid w:val="00485B99"/>
    <w:rsid w:val="00487937"/>
    <w:rsid w:val="004A1E3A"/>
    <w:rsid w:val="004A1FF7"/>
    <w:rsid w:val="004A30CE"/>
    <w:rsid w:val="004B06F2"/>
    <w:rsid w:val="004B46D6"/>
    <w:rsid w:val="004C05D2"/>
    <w:rsid w:val="004C0BF6"/>
    <w:rsid w:val="004C3E13"/>
    <w:rsid w:val="004C4464"/>
    <w:rsid w:val="004C4AEA"/>
    <w:rsid w:val="004C6A67"/>
    <w:rsid w:val="004C7BE5"/>
    <w:rsid w:val="004D0430"/>
    <w:rsid w:val="004D1019"/>
    <w:rsid w:val="004D1DAA"/>
    <w:rsid w:val="004D2725"/>
    <w:rsid w:val="004D2E40"/>
    <w:rsid w:val="004D32FD"/>
    <w:rsid w:val="004D4EB1"/>
    <w:rsid w:val="004D7679"/>
    <w:rsid w:val="004D7FBB"/>
    <w:rsid w:val="004E003C"/>
    <w:rsid w:val="004E047D"/>
    <w:rsid w:val="004E13D4"/>
    <w:rsid w:val="004E16EB"/>
    <w:rsid w:val="004E27E8"/>
    <w:rsid w:val="004E28CB"/>
    <w:rsid w:val="004E2FDF"/>
    <w:rsid w:val="004E6665"/>
    <w:rsid w:val="004E78E2"/>
    <w:rsid w:val="004F13D3"/>
    <w:rsid w:val="004F15BB"/>
    <w:rsid w:val="004F17FE"/>
    <w:rsid w:val="004F1D13"/>
    <w:rsid w:val="004F2A8A"/>
    <w:rsid w:val="004F3A21"/>
    <w:rsid w:val="004F539F"/>
    <w:rsid w:val="004F600F"/>
    <w:rsid w:val="004F601A"/>
    <w:rsid w:val="004F634E"/>
    <w:rsid w:val="004F67A8"/>
    <w:rsid w:val="004F6AFA"/>
    <w:rsid w:val="004F7716"/>
    <w:rsid w:val="00501351"/>
    <w:rsid w:val="005031AB"/>
    <w:rsid w:val="0050456A"/>
    <w:rsid w:val="00506D83"/>
    <w:rsid w:val="005070F6"/>
    <w:rsid w:val="005115FA"/>
    <w:rsid w:val="005127F3"/>
    <w:rsid w:val="00514850"/>
    <w:rsid w:val="00515290"/>
    <w:rsid w:val="0051582C"/>
    <w:rsid w:val="005212E5"/>
    <w:rsid w:val="0052172A"/>
    <w:rsid w:val="0052182B"/>
    <w:rsid w:val="00522A50"/>
    <w:rsid w:val="00522CC5"/>
    <w:rsid w:val="0052359A"/>
    <w:rsid w:val="00524126"/>
    <w:rsid w:val="0052441C"/>
    <w:rsid w:val="00525E61"/>
    <w:rsid w:val="00527225"/>
    <w:rsid w:val="005278B2"/>
    <w:rsid w:val="00527920"/>
    <w:rsid w:val="00535578"/>
    <w:rsid w:val="0053557D"/>
    <w:rsid w:val="00535FA8"/>
    <w:rsid w:val="00536D5F"/>
    <w:rsid w:val="005410E3"/>
    <w:rsid w:val="00543C6E"/>
    <w:rsid w:val="005463DE"/>
    <w:rsid w:val="00546DC2"/>
    <w:rsid w:val="00550089"/>
    <w:rsid w:val="0055315C"/>
    <w:rsid w:val="005542E8"/>
    <w:rsid w:val="0055440C"/>
    <w:rsid w:val="00556630"/>
    <w:rsid w:val="0055686D"/>
    <w:rsid w:val="005570F2"/>
    <w:rsid w:val="0056358C"/>
    <w:rsid w:val="00563DA9"/>
    <w:rsid w:val="00565168"/>
    <w:rsid w:val="00565A05"/>
    <w:rsid w:val="0056614E"/>
    <w:rsid w:val="0057013D"/>
    <w:rsid w:val="005708F4"/>
    <w:rsid w:val="005800EE"/>
    <w:rsid w:val="005869D6"/>
    <w:rsid w:val="00586E07"/>
    <w:rsid w:val="00587C72"/>
    <w:rsid w:val="00590084"/>
    <w:rsid w:val="005927B7"/>
    <w:rsid w:val="0059331E"/>
    <w:rsid w:val="005944B8"/>
    <w:rsid w:val="00594619"/>
    <w:rsid w:val="00596679"/>
    <w:rsid w:val="005A0E5B"/>
    <w:rsid w:val="005A2725"/>
    <w:rsid w:val="005A2D03"/>
    <w:rsid w:val="005A33F6"/>
    <w:rsid w:val="005A3933"/>
    <w:rsid w:val="005A5021"/>
    <w:rsid w:val="005A59E5"/>
    <w:rsid w:val="005B341B"/>
    <w:rsid w:val="005B4972"/>
    <w:rsid w:val="005B73BA"/>
    <w:rsid w:val="005B7440"/>
    <w:rsid w:val="005C0793"/>
    <w:rsid w:val="005C2AE8"/>
    <w:rsid w:val="005C413E"/>
    <w:rsid w:val="005D0AD7"/>
    <w:rsid w:val="005D28F7"/>
    <w:rsid w:val="005D2946"/>
    <w:rsid w:val="005D381B"/>
    <w:rsid w:val="005D6F14"/>
    <w:rsid w:val="005E2133"/>
    <w:rsid w:val="005E2150"/>
    <w:rsid w:val="005E2236"/>
    <w:rsid w:val="005E2995"/>
    <w:rsid w:val="005E4724"/>
    <w:rsid w:val="005E4816"/>
    <w:rsid w:val="005F3047"/>
    <w:rsid w:val="005F3FEF"/>
    <w:rsid w:val="00600554"/>
    <w:rsid w:val="00600C4F"/>
    <w:rsid w:val="0060287B"/>
    <w:rsid w:val="006043EE"/>
    <w:rsid w:val="00605D50"/>
    <w:rsid w:val="00606943"/>
    <w:rsid w:val="00607F7C"/>
    <w:rsid w:val="0061015C"/>
    <w:rsid w:val="006102DA"/>
    <w:rsid w:val="006129F8"/>
    <w:rsid w:val="00613BCF"/>
    <w:rsid w:val="00614CAE"/>
    <w:rsid w:val="00616090"/>
    <w:rsid w:val="00616C7D"/>
    <w:rsid w:val="0062226D"/>
    <w:rsid w:val="00625C3E"/>
    <w:rsid w:val="00626DE3"/>
    <w:rsid w:val="006315A3"/>
    <w:rsid w:val="0063281F"/>
    <w:rsid w:val="006336AB"/>
    <w:rsid w:val="00640088"/>
    <w:rsid w:val="00643A2B"/>
    <w:rsid w:val="00646356"/>
    <w:rsid w:val="00647192"/>
    <w:rsid w:val="00650DF0"/>
    <w:rsid w:val="00651125"/>
    <w:rsid w:val="00651309"/>
    <w:rsid w:val="00651CA0"/>
    <w:rsid w:val="006536C4"/>
    <w:rsid w:val="0065422C"/>
    <w:rsid w:val="006579A2"/>
    <w:rsid w:val="0066034F"/>
    <w:rsid w:val="006632CE"/>
    <w:rsid w:val="00667C89"/>
    <w:rsid w:val="00670EBD"/>
    <w:rsid w:val="00670F9A"/>
    <w:rsid w:val="006711EE"/>
    <w:rsid w:val="00673AA9"/>
    <w:rsid w:val="00675F9A"/>
    <w:rsid w:val="00676A76"/>
    <w:rsid w:val="00677685"/>
    <w:rsid w:val="006809BB"/>
    <w:rsid w:val="006809FD"/>
    <w:rsid w:val="00681887"/>
    <w:rsid w:val="00687C5C"/>
    <w:rsid w:val="00691D1F"/>
    <w:rsid w:val="00691F66"/>
    <w:rsid w:val="00692095"/>
    <w:rsid w:val="00692622"/>
    <w:rsid w:val="00692DEB"/>
    <w:rsid w:val="00693FEA"/>
    <w:rsid w:val="00696B6B"/>
    <w:rsid w:val="00697BAE"/>
    <w:rsid w:val="00697C78"/>
    <w:rsid w:val="00697FF8"/>
    <w:rsid w:val="006A0053"/>
    <w:rsid w:val="006A09E0"/>
    <w:rsid w:val="006A0AE2"/>
    <w:rsid w:val="006A455E"/>
    <w:rsid w:val="006B04A5"/>
    <w:rsid w:val="006B14D7"/>
    <w:rsid w:val="006B4DA4"/>
    <w:rsid w:val="006B4DDC"/>
    <w:rsid w:val="006B51BD"/>
    <w:rsid w:val="006B5E55"/>
    <w:rsid w:val="006B734E"/>
    <w:rsid w:val="006C20E8"/>
    <w:rsid w:val="006C39DB"/>
    <w:rsid w:val="006C4B2E"/>
    <w:rsid w:val="006C4C8C"/>
    <w:rsid w:val="006C4DA7"/>
    <w:rsid w:val="006D1FB7"/>
    <w:rsid w:val="006D25A1"/>
    <w:rsid w:val="006D2BEB"/>
    <w:rsid w:val="006D7968"/>
    <w:rsid w:val="006E14E9"/>
    <w:rsid w:val="006E2534"/>
    <w:rsid w:val="006E4201"/>
    <w:rsid w:val="006E4C10"/>
    <w:rsid w:val="006F0460"/>
    <w:rsid w:val="006F09A2"/>
    <w:rsid w:val="006F0E6D"/>
    <w:rsid w:val="006F26FB"/>
    <w:rsid w:val="006F2792"/>
    <w:rsid w:val="006F2C71"/>
    <w:rsid w:val="006F35B6"/>
    <w:rsid w:val="006F36C6"/>
    <w:rsid w:val="006F6856"/>
    <w:rsid w:val="006F6C46"/>
    <w:rsid w:val="006F752C"/>
    <w:rsid w:val="00703D45"/>
    <w:rsid w:val="00704801"/>
    <w:rsid w:val="007062BB"/>
    <w:rsid w:val="0070720C"/>
    <w:rsid w:val="00711BFA"/>
    <w:rsid w:val="007130C3"/>
    <w:rsid w:val="00713412"/>
    <w:rsid w:val="0071419D"/>
    <w:rsid w:val="0071430D"/>
    <w:rsid w:val="007145D0"/>
    <w:rsid w:val="00716CB4"/>
    <w:rsid w:val="00716F94"/>
    <w:rsid w:val="007178D0"/>
    <w:rsid w:val="00721180"/>
    <w:rsid w:val="0072137C"/>
    <w:rsid w:val="00721719"/>
    <w:rsid w:val="007242C3"/>
    <w:rsid w:val="00725B5C"/>
    <w:rsid w:val="00732897"/>
    <w:rsid w:val="0073386C"/>
    <w:rsid w:val="0073390E"/>
    <w:rsid w:val="00734D99"/>
    <w:rsid w:val="007403BA"/>
    <w:rsid w:val="00742539"/>
    <w:rsid w:val="00744E0F"/>
    <w:rsid w:val="00746D09"/>
    <w:rsid w:val="0075013D"/>
    <w:rsid w:val="0075188E"/>
    <w:rsid w:val="007522AA"/>
    <w:rsid w:val="00752444"/>
    <w:rsid w:val="0075679A"/>
    <w:rsid w:val="0076001C"/>
    <w:rsid w:val="0076047B"/>
    <w:rsid w:val="00760E12"/>
    <w:rsid w:val="00761F5C"/>
    <w:rsid w:val="00763CF3"/>
    <w:rsid w:val="00766AD3"/>
    <w:rsid w:val="00772293"/>
    <w:rsid w:val="00774689"/>
    <w:rsid w:val="00774845"/>
    <w:rsid w:val="00776981"/>
    <w:rsid w:val="00781AE3"/>
    <w:rsid w:val="00781B97"/>
    <w:rsid w:val="00782FBD"/>
    <w:rsid w:val="007835AF"/>
    <w:rsid w:val="00783C75"/>
    <w:rsid w:val="00784619"/>
    <w:rsid w:val="00784735"/>
    <w:rsid w:val="00785421"/>
    <w:rsid w:val="0078627B"/>
    <w:rsid w:val="00786D37"/>
    <w:rsid w:val="0078765B"/>
    <w:rsid w:val="007921F1"/>
    <w:rsid w:val="00793BAF"/>
    <w:rsid w:val="00794E32"/>
    <w:rsid w:val="00795CC7"/>
    <w:rsid w:val="00795DF6"/>
    <w:rsid w:val="00796CB4"/>
    <w:rsid w:val="007A0D73"/>
    <w:rsid w:val="007A2C5B"/>
    <w:rsid w:val="007A3475"/>
    <w:rsid w:val="007B305A"/>
    <w:rsid w:val="007B3AA7"/>
    <w:rsid w:val="007B6784"/>
    <w:rsid w:val="007B6A12"/>
    <w:rsid w:val="007B7424"/>
    <w:rsid w:val="007B74FD"/>
    <w:rsid w:val="007B7C44"/>
    <w:rsid w:val="007C3ED1"/>
    <w:rsid w:val="007C480F"/>
    <w:rsid w:val="007C5666"/>
    <w:rsid w:val="007C58E7"/>
    <w:rsid w:val="007C6ABF"/>
    <w:rsid w:val="007D32A8"/>
    <w:rsid w:val="007D50C7"/>
    <w:rsid w:val="007D6163"/>
    <w:rsid w:val="007E45F8"/>
    <w:rsid w:val="007E55B6"/>
    <w:rsid w:val="007E575D"/>
    <w:rsid w:val="007E57CD"/>
    <w:rsid w:val="007E6AEF"/>
    <w:rsid w:val="007F0B4B"/>
    <w:rsid w:val="007F0CBF"/>
    <w:rsid w:val="007F5776"/>
    <w:rsid w:val="007F7E6E"/>
    <w:rsid w:val="0080064A"/>
    <w:rsid w:val="00801861"/>
    <w:rsid w:val="00806145"/>
    <w:rsid w:val="00806342"/>
    <w:rsid w:val="00807686"/>
    <w:rsid w:val="00807E15"/>
    <w:rsid w:val="008153C8"/>
    <w:rsid w:val="00815C7D"/>
    <w:rsid w:val="00817430"/>
    <w:rsid w:val="00817941"/>
    <w:rsid w:val="00820636"/>
    <w:rsid w:val="0082098E"/>
    <w:rsid w:val="008215A7"/>
    <w:rsid w:val="00821DF5"/>
    <w:rsid w:val="008229E4"/>
    <w:rsid w:val="00823547"/>
    <w:rsid w:val="008261AB"/>
    <w:rsid w:val="008269AB"/>
    <w:rsid w:val="00832A1B"/>
    <w:rsid w:val="00833EA4"/>
    <w:rsid w:val="008349B3"/>
    <w:rsid w:val="00834C91"/>
    <w:rsid w:val="00835034"/>
    <w:rsid w:val="00835CA7"/>
    <w:rsid w:val="00836004"/>
    <w:rsid w:val="008370D4"/>
    <w:rsid w:val="00840662"/>
    <w:rsid w:val="0084117C"/>
    <w:rsid w:val="008414AD"/>
    <w:rsid w:val="008416B5"/>
    <w:rsid w:val="0084269E"/>
    <w:rsid w:val="008428D9"/>
    <w:rsid w:val="00843BD6"/>
    <w:rsid w:val="00853B42"/>
    <w:rsid w:val="008547BD"/>
    <w:rsid w:val="00855F79"/>
    <w:rsid w:val="00856285"/>
    <w:rsid w:val="008568BF"/>
    <w:rsid w:val="00862863"/>
    <w:rsid w:val="008632BC"/>
    <w:rsid w:val="00865049"/>
    <w:rsid w:val="008705AC"/>
    <w:rsid w:val="008710AD"/>
    <w:rsid w:val="008715E7"/>
    <w:rsid w:val="00873933"/>
    <w:rsid w:val="0087417E"/>
    <w:rsid w:val="008748B4"/>
    <w:rsid w:val="00874DD6"/>
    <w:rsid w:val="008750EA"/>
    <w:rsid w:val="00876835"/>
    <w:rsid w:val="008769B8"/>
    <w:rsid w:val="0088467A"/>
    <w:rsid w:val="00884BFC"/>
    <w:rsid w:val="00884DB9"/>
    <w:rsid w:val="00884E6F"/>
    <w:rsid w:val="00885789"/>
    <w:rsid w:val="0088597C"/>
    <w:rsid w:val="0088662E"/>
    <w:rsid w:val="008867FB"/>
    <w:rsid w:val="00887579"/>
    <w:rsid w:val="008A3DD3"/>
    <w:rsid w:val="008A3F08"/>
    <w:rsid w:val="008A487A"/>
    <w:rsid w:val="008B0C47"/>
    <w:rsid w:val="008B12FA"/>
    <w:rsid w:val="008B459E"/>
    <w:rsid w:val="008B65FF"/>
    <w:rsid w:val="008C408E"/>
    <w:rsid w:val="008C4B74"/>
    <w:rsid w:val="008C59E7"/>
    <w:rsid w:val="008C67D2"/>
    <w:rsid w:val="008D3E8D"/>
    <w:rsid w:val="008D6025"/>
    <w:rsid w:val="008E0538"/>
    <w:rsid w:val="008E0683"/>
    <w:rsid w:val="008E32CF"/>
    <w:rsid w:val="008E3D8D"/>
    <w:rsid w:val="008E48CB"/>
    <w:rsid w:val="008E6720"/>
    <w:rsid w:val="008F2713"/>
    <w:rsid w:val="008F2B7D"/>
    <w:rsid w:val="008F3D10"/>
    <w:rsid w:val="008F4961"/>
    <w:rsid w:val="008F57C2"/>
    <w:rsid w:val="00900F6F"/>
    <w:rsid w:val="00902D97"/>
    <w:rsid w:val="00902DD9"/>
    <w:rsid w:val="00903F51"/>
    <w:rsid w:val="00905675"/>
    <w:rsid w:val="00910C18"/>
    <w:rsid w:val="00911486"/>
    <w:rsid w:val="009129CA"/>
    <w:rsid w:val="00913501"/>
    <w:rsid w:val="009156F5"/>
    <w:rsid w:val="00915C4D"/>
    <w:rsid w:val="009206B6"/>
    <w:rsid w:val="00921D60"/>
    <w:rsid w:val="009247CC"/>
    <w:rsid w:val="009252DC"/>
    <w:rsid w:val="009252F5"/>
    <w:rsid w:val="00925CD1"/>
    <w:rsid w:val="009263C1"/>
    <w:rsid w:val="009271B3"/>
    <w:rsid w:val="0093286A"/>
    <w:rsid w:val="00934126"/>
    <w:rsid w:val="00934972"/>
    <w:rsid w:val="00941B4F"/>
    <w:rsid w:val="00943C03"/>
    <w:rsid w:val="00944081"/>
    <w:rsid w:val="00944D82"/>
    <w:rsid w:val="00945B19"/>
    <w:rsid w:val="00946BD3"/>
    <w:rsid w:val="00950200"/>
    <w:rsid w:val="009515C4"/>
    <w:rsid w:val="009518C0"/>
    <w:rsid w:val="00954637"/>
    <w:rsid w:val="009603A3"/>
    <w:rsid w:val="009638BD"/>
    <w:rsid w:val="00963CE3"/>
    <w:rsid w:val="00964F18"/>
    <w:rsid w:val="00967D4C"/>
    <w:rsid w:val="009714B3"/>
    <w:rsid w:val="00972F38"/>
    <w:rsid w:val="00974424"/>
    <w:rsid w:val="00974744"/>
    <w:rsid w:val="00976014"/>
    <w:rsid w:val="009778CD"/>
    <w:rsid w:val="00981AE6"/>
    <w:rsid w:val="00983D35"/>
    <w:rsid w:val="00984792"/>
    <w:rsid w:val="00984A30"/>
    <w:rsid w:val="00987706"/>
    <w:rsid w:val="00987AE8"/>
    <w:rsid w:val="00987F76"/>
    <w:rsid w:val="00990138"/>
    <w:rsid w:val="00990A3E"/>
    <w:rsid w:val="00993088"/>
    <w:rsid w:val="0099472B"/>
    <w:rsid w:val="009950D5"/>
    <w:rsid w:val="0099664F"/>
    <w:rsid w:val="00997D5D"/>
    <w:rsid w:val="009A0447"/>
    <w:rsid w:val="009A2CE5"/>
    <w:rsid w:val="009A4B59"/>
    <w:rsid w:val="009A737F"/>
    <w:rsid w:val="009B1224"/>
    <w:rsid w:val="009B3EEF"/>
    <w:rsid w:val="009B4A51"/>
    <w:rsid w:val="009B7807"/>
    <w:rsid w:val="009C0F13"/>
    <w:rsid w:val="009C28B1"/>
    <w:rsid w:val="009C3149"/>
    <w:rsid w:val="009C5502"/>
    <w:rsid w:val="009C61AD"/>
    <w:rsid w:val="009C6697"/>
    <w:rsid w:val="009C70BD"/>
    <w:rsid w:val="009C7769"/>
    <w:rsid w:val="009C7DC1"/>
    <w:rsid w:val="009D02CA"/>
    <w:rsid w:val="009D0B81"/>
    <w:rsid w:val="009D1A8F"/>
    <w:rsid w:val="009D28C4"/>
    <w:rsid w:val="009D373D"/>
    <w:rsid w:val="009D436B"/>
    <w:rsid w:val="009D4BC8"/>
    <w:rsid w:val="009D5927"/>
    <w:rsid w:val="009D5C17"/>
    <w:rsid w:val="009D6D76"/>
    <w:rsid w:val="009D7B2C"/>
    <w:rsid w:val="009E0801"/>
    <w:rsid w:val="009E0988"/>
    <w:rsid w:val="009E1D05"/>
    <w:rsid w:val="009E23D0"/>
    <w:rsid w:val="009E28B4"/>
    <w:rsid w:val="009F1FC0"/>
    <w:rsid w:val="009F421F"/>
    <w:rsid w:val="009F7DE0"/>
    <w:rsid w:val="00A01857"/>
    <w:rsid w:val="00A01EB5"/>
    <w:rsid w:val="00A0222E"/>
    <w:rsid w:val="00A02455"/>
    <w:rsid w:val="00A05973"/>
    <w:rsid w:val="00A06BCB"/>
    <w:rsid w:val="00A10422"/>
    <w:rsid w:val="00A1050C"/>
    <w:rsid w:val="00A11B0C"/>
    <w:rsid w:val="00A11ECD"/>
    <w:rsid w:val="00A12369"/>
    <w:rsid w:val="00A1453A"/>
    <w:rsid w:val="00A15AE9"/>
    <w:rsid w:val="00A16D5E"/>
    <w:rsid w:val="00A20BA8"/>
    <w:rsid w:val="00A227BE"/>
    <w:rsid w:val="00A22CEF"/>
    <w:rsid w:val="00A242DB"/>
    <w:rsid w:val="00A26292"/>
    <w:rsid w:val="00A306AC"/>
    <w:rsid w:val="00A31491"/>
    <w:rsid w:val="00A31A4C"/>
    <w:rsid w:val="00A33B35"/>
    <w:rsid w:val="00A33E90"/>
    <w:rsid w:val="00A36419"/>
    <w:rsid w:val="00A40DC1"/>
    <w:rsid w:val="00A43D56"/>
    <w:rsid w:val="00A44921"/>
    <w:rsid w:val="00A44AD9"/>
    <w:rsid w:val="00A45401"/>
    <w:rsid w:val="00A51F37"/>
    <w:rsid w:val="00A52967"/>
    <w:rsid w:val="00A53C66"/>
    <w:rsid w:val="00A578C2"/>
    <w:rsid w:val="00A619B1"/>
    <w:rsid w:val="00A61B87"/>
    <w:rsid w:val="00A62C98"/>
    <w:rsid w:val="00A6360E"/>
    <w:rsid w:val="00A70B3C"/>
    <w:rsid w:val="00A7195C"/>
    <w:rsid w:val="00A71CA3"/>
    <w:rsid w:val="00A72652"/>
    <w:rsid w:val="00A75D1C"/>
    <w:rsid w:val="00A809AA"/>
    <w:rsid w:val="00A80EF2"/>
    <w:rsid w:val="00A8143F"/>
    <w:rsid w:val="00A8243E"/>
    <w:rsid w:val="00A8307A"/>
    <w:rsid w:val="00A8353B"/>
    <w:rsid w:val="00A849B3"/>
    <w:rsid w:val="00A84F70"/>
    <w:rsid w:val="00A8510D"/>
    <w:rsid w:val="00A85805"/>
    <w:rsid w:val="00A86AF3"/>
    <w:rsid w:val="00A87551"/>
    <w:rsid w:val="00A875C9"/>
    <w:rsid w:val="00A90AFF"/>
    <w:rsid w:val="00A90BDC"/>
    <w:rsid w:val="00A9494B"/>
    <w:rsid w:val="00A95477"/>
    <w:rsid w:val="00A9567E"/>
    <w:rsid w:val="00A95807"/>
    <w:rsid w:val="00A9666B"/>
    <w:rsid w:val="00A975A9"/>
    <w:rsid w:val="00AA202D"/>
    <w:rsid w:val="00AA3192"/>
    <w:rsid w:val="00AA56D9"/>
    <w:rsid w:val="00AA6984"/>
    <w:rsid w:val="00AB0486"/>
    <w:rsid w:val="00AB19CA"/>
    <w:rsid w:val="00AB251E"/>
    <w:rsid w:val="00AB2560"/>
    <w:rsid w:val="00AB2BC0"/>
    <w:rsid w:val="00AB3608"/>
    <w:rsid w:val="00AB5035"/>
    <w:rsid w:val="00AB5EDC"/>
    <w:rsid w:val="00AB6A9E"/>
    <w:rsid w:val="00AC0A53"/>
    <w:rsid w:val="00AC1272"/>
    <w:rsid w:val="00AC2B59"/>
    <w:rsid w:val="00AC36EF"/>
    <w:rsid w:val="00AC3F81"/>
    <w:rsid w:val="00AC5C48"/>
    <w:rsid w:val="00AC63E3"/>
    <w:rsid w:val="00AC7ECF"/>
    <w:rsid w:val="00AD32D8"/>
    <w:rsid w:val="00AD3F08"/>
    <w:rsid w:val="00AD7185"/>
    <w:rsid w:val="00AE08EA"/>
    <w:rsid w:val="00AE0CC4"/>
    <w:rsid w:val="00AE521D"/>
    <w:rsid w:val="00AE64E0"/>
    <w:rsid w:val="00AE687E"/>
    <w:rsid w:val="00AE7CE0"/>
    <w:rsid w:val="00AF0CF4"/>
    <w:rsid w:val="00AF2252"/>
    <w:rsid w:val="00AF2C2E"/>
    <w:rsid w:val="00AF323B"/>
    <w:rsid w:val="00B0098C"/>
    <w:rsid w:val="00B00B12"/>
    <w:rsid w:val="00B022B7"/>
    <w:rsid w:val="00B02383"/>
    <w:rsid w:val="00B02512"/>
    <w:rsid w:val="00B05118"/>
    <w:rsid w:val="00B07170"/>
    <w:rsid w:val="00B07D0F"/>
    <w:rsid w:val="00B1129F"/>
    <w:rsid w:val="00B11D61"/>
    <w:rsid w:val="00B11F7B"/>
    <w:rsid w:val="00B12F51"/>
    <w:rsid w:val="00B14974"/>
    <w:rsid w:val="00B23316"/>
    <w:rsid w:val="00B25CC4"/>
    <w:rsid w:val="00B2639A"/>
    <w:rsid w:val="00B2751E"/>
    <w:rsid w:val="00B33293"/>
    <w:rsid w:val="00B34186"/>
    <w:rsid w:val="00B3650C"/>
    <w:rsid w:val="00B3701A"/>
    <w:rsid w:val="00B4203B"/>
    <w:rsid w:val="00B42280"/>
    <w:rsid w:val="00B43AFE"/>
    <w:rsid w:val="00B43F3A"/>
    <w:rsid w:val="00B444D4"/>
    <w:rsid w:val="00B469AB"/>
    <w:rsid w:val="00B47055"/>
    <w:rsid w:val="00B50C5B"/>
    <w:rsid w:val="00B50D36"/>
    <w:rsid w:val="00B52210"/>
    <w:rsid w:val="00B53B2F"/>
    <w:rsid w:val="00B5681A"/>
    <w:rsid w:val="00B63CF3"/>
    <w:rsid w:val="00B64BFA"/>
    <w:rsid w:val="00B663EC"/>
    <w:rsid w:val="00B70D47"/>
    <w:rsid w:val="00B71B41"/>
    <w:rsid w:val="00B71E63"/>
    <w:rsid w:val="00B73672"/>
    <w:rsid w:val="00B73C7F"/>
    <w:rsid w:val="00B80365"/>
    <w:rsid w:val="00B809C9"/>
    <w:rsid w:val="00B826AC"/>
    <w:rsid w:val="00B83212"/>
    <w:rsid w:val="00B844BD"/>
    <w:rsid w:val="00B85DE4"/>
    <w:rsid w:val="00B87229"/>
    <w:rsid w:val="00B8783F"/>
    <w:rsid w:val="00B87AAD"/>
    <w:rsid w:val="00B90575"/>
    <w:rsid w:val="00B91028"/>
    <w:rsid w:val="00B91A31"/>
    <w:rsid w:val="00B91BE2"/>
    <w:rsid w:val="00B9300C"/>
    <w:rsid w:val="00B93968"/>
    <w:rsid w:val="00B9553C"/>
    <w:rsid w:val="00B96C73"/>
    <w:rsid w:val="00B96FE0"/>
    <w:rsid w:val="00B97BF9"/>
    <w:rsid w:val="00BA2815"/>
    <w:rsid w:val="00BA2AF7"/>
    <w:rsid w:val="00BA50D9"/>
    <w:rsid w:val="00BA6325"/>
    <w:rsid w:val="00BA6C28"/>
    <w:rsid w:val="00BA6DB4"/>
    <w:rsid w:val="00BA7701"/>
    <w:rsid w:val="00BB074B"/>
    <w:rsid w:val="00BB0813"/>
    <w:rsid w:val="00BB090C"/>
    <w:rsid w:val="00BB0997"/>
    <w:rsid w:val="00BB402C"/>
    <w:rsid w:val="00BB5032"/>
    <w:rsid w:val="00BC3412"/>
    <w:rsid w:val="00BC3F3C"/>
    <w:rsid w:val="00BC4DAB"/>
    <w:rsid w:val="00BC5BB2"/>
    <w:rsid w:val="00BD4599"/>
    <w:rsid w:val="00BD56AF"/>
    <w:rsid w:val="00BE1708"/>
    <w:rsid w:val="00BE5A15"/>
    <w:rsid w:val="00BE614A"/>
    <w:rsid w:val="00BE6EAB"/>
    <w:rsid w:val="00BE738E"/>
    <w:rsid w:val="00BF11A1"/>
    <w:rsid w:val="00BF2284"/>
    <w:rsid w:val="00BF3F54"/>
    <w:rsid w:val="00BF4155"/>
    <w:rsid w:val="00BF6BC0"/>
    <w:rsid w:val="00BF7344"/>
    <w:rsid w:val="00C005AB"/>
    <w:rsid w:val="00C00697"/>
    <w:rsid w:val="00C009E2"/>
    <w:rsid w:val="00C01DFE"/>
    <w:rsid w:val="00C0376C"/>
    <w:rsid w:val="00C053E0"/>
    <w:rsid w:val="00C06D77"/>
    <w:rsid w:val="00C07DFD"/>
    <w:rsid w:val="00C14BA6"/>
    <w:rsid w:val="00C1779B"/>
    <w:rsid w:val="00C20179"/>
    <w:rsid w:val="00C21374"/>
    <w:rsid w:val="00C2354C"/>
    <w:rsid w:val="00C23CC5"/>
    <w:rsid w:val="00C256F4"/>
    <w:rsid w:val="00C257FB"/>
    <w:rsid w:val="00C27ED0"/>
    <w:rsid w:val="00C30A3E"/>
    <w:rsid w:val="00C3252F"/>
    <w:rsid w:val="00C32BC2"/>
    <w:rsid w:val="00C3485C"/>
    <w:rsid w:val="00C36EFC"/>
    <w:rsid w:val="00C37F57"/>
    <w:rsid w:val="00C41907"/>
    <w:rsid w:val="00C41A64"/>
    <w:rsid w:val="00C4228F"/>
    <w:rsid w:val="00C427C8"/>
    <w:rsid w:val="00C42995"/>
    <w:rsid w:val="00C4416B"/>
    <w:rsid w:val="00C46E57"/>
    <w:rsid w:val="00C475D0"/>
    <w:rsid w:val="00C47E55"/>
    <w:rsid w:val="00C50AD6"/>
    <w:rsid w:val="00C544A4"/>
    <w:rsid w:val="00C613A2"/>
    <w:rsid w:val="00C64CF6"/>
    <w:rsid w:val="00C70A09"/>
    <w:rsid w:val="00C73686"/>
    <w:rsid w:val="00C75B64"/>
    <w:rsid w:val="00C768E5"/>
    <w:rsid w:val="00C770F3"/>
    <w:rsid w:val="00C774F9"/>
    <w:rsid w:val="00C81980"/>
    <w:rsid w:val="00C84005"/>
    <w:rsid w:val="00C86159"/>
    <w:rsid w:val="00C9059C"/>
    <w:rsid w:val="00C90F34"/>
    <w:rsid w:val="00C927A9"/>
    <w:rsid w:val="00C963B1"/>
    <w:rsid w:val="00CA2004"/>
    <w:rsid w:val="00CA4D84"/>
    <w:rsid w:val="00CA5840"/>
    <w:rsid w:val="00CA5B99"/>
    <w:rsid w:val="00CA5E3B"/>
    <w:rsid w:val="00CB0933"/>
    <w:rsid w:val="00CB334D"/>
    <w:rsid w:val="00CB56D5"/>
    <w:rsid w:val="00CB70B7"/>
    <w:rsid w:val="00CC0311"/>
    <w:rsid w:val="00CC0362"/>
    <w:rsid w:val="00CC4DAB"/>
    <w:rsid w:val="00CC4FA0"/>
    <w:rsid w:val="00CC53BB"/>
    <w:rsid w:val="00CC6BEF"/>
    <w:rsid w:val="00CC7188"/>
    <w:rsid w:val="00CC76CD"/>
    <w:rsid w:val="00CD1EA8"/>
    <w:rsid w:val="00CD3254"/>
    <w:rsid w:val="00CD36A7"/>
    <w:rsid w:val="00CD38F0"/>
    <w:rsid w:val="00CD419C"/>
    <w:rsid w:val="00CD4B04"/>
    <w:rsid w:val="00CE0525"/>
    <w:rsid w:val="00CE0892"/>
    <w:rsid w:val="00CE1324"/>
    <w:rsid w:val="00CE3245"/>
    <w:rsid w:val="00CE3804"/>
    <w:rsid w:val="00CF01BC"/>
    <w:rsid w:val="00CF02B2"/>
    <w:rsid w:val="00CF53F0"/>
    <w:rsid w:val="00CF5ABD"/>
    <w:rsid w:val="00CF6092"/>
    <w:rsid w:val="00CF63CE"/>
    <w:rsid w:val="00CF6BDC"/>
    <w:rsid w:val="00D0098F"/>
    <w:rsid w:val="00D04523"/>
    <w:rsid w:val="00D065B1"/>
    <w:rsid w:val="00D067C1"/>
    <w:rsid w:val="00D06816"/>
    <w:rsid w:val="00D10516"/>
    <w:rsid w:val="00D1343B"/>
    <w:rsid w:val="00D13B13"/>
    <w:rsid w:val="00D13D12"/>
    <w:rsid w:val="00D16B23"/>
    <w:rsid w:val="00D16E78"/>
    <w:rsid w:val="00D201D3"/>
    <w:rsid w:val="00D21124"/>
    <w:rsid w:val="00D21203"/>
    <w:rsid w:val="00D267D5"/>
    <w:rsid w:val="00D26A64"/>
    <w:rsid w:val="00D27703"/>
    <w:rsid w:val="00D27E9F"/>
    <w:rsid w:val="00D27F2D"/>
    <w:rsid w:val="00D31720"/>
    <w:rsid w:val="00D327AC"/>
    <w:rsid w:val="00D330FC"/>
    <w:rsid w:val="00D335DF"/>
    <w:rsid w:val="00D33697"/>
    <w:rsid w:val="00D338B6"/>
    <w:rsid w:val="00D40236"/>
    <w:rsid w:val="00D409AB"/>
    <w:rsid w:val="00D41885"/>
    <w:rsid w:val="00D4274A"/>
    <w:rsid w:val="00D42A92"/>
    <w:rsid w:val="00D4393F"/>
    <w:rsid w:val="00D45731"/>
    <w:rsid w:val="00D47B41"/>
    <w:rsid w:val="00D5046D"/>
    <w:rsid w:val="00D52B9A"/>
    <w:rsid w:val="00D5367E"/>
    <w:rsid w:val="00D53B1E"/>
    <w:rsid w:val="00D6105F"/>
    <w:rsid w:val="00D611F1"/>
    <w:rsid w:val="00D61AD2"/>
    <w:rsid w:val="00D61EA5"/>
    <w:rsid w:val="00D62A9D"/>
    <w:rsid w:val="00D65E71"/>
    <w:rsid w:val="00D70880"/>
    <w:rsid w:val="00D71C1C"/>
    <w:rsid w:val="00D74A93"/>
    <w:rsid w:val="00D75750"/>
    <w:rsid w:val="00D77C24"/>
    <w:rsid w:val="00D8040E"/>
    <w:rsid w:val="00D84597"/>
    <w:rsid w:val="00D84EF0"/>
    <w:rsid w:val="00D861ED"/>
    <w:rsid w:val="00D865F3"/>
    <w:rsid w:val="00D873E0"/>
    <w:rsid w:val="00D91331"/>
    <w:rsid w:val="00D91DBF"/>
    <w:rsid w:val="00D9258E"/>
    <w:rsid w:val="00D92CAE"/>
    <w:rsid w:val="00D930CA"/>
    <w:rsid w:val="00D93388"/>
    <w:rsid w:val="00D93CA1"/>
    <w:rsid w:val="00D941E3"/>
    <w:rsid w:val="00D944D5"/>
    <w:rsid w:val="00D94F8B"/>
    <w:rsid w:val="00D95FBF"/>
    <w:rsid w:val="00DA1213"/>
    <w:rsid w:val="00DA18B7"/>
    <w:rsid w:val="00DA1971"/>
    <w:rsid w:val="00DA5988"/>
    <w:rsid w:val="00DA63A9"/>
    <w:rsid w:val="00DA762F"/>
    <w:rsid w:val="00DA7C9F"/>
    <w:rsid w:val="00DB3E7D"/>
    <w:rsid w:val="00DB6567"/>
    <w:rsid w:val="00DB7F78"/>
    <w:rsid w:val="00DC0184"/>
    <w:rsid w:val="00DC2797"/>
    <w:rsid w:val="00DC2AD2"/>
    <w:rsid w:val="00DC317C"/>
    <w:rsid w:val="00DC3A6D"/>
    <w:rsid w:val="00DC4C68"/>
    <w:rsid w:val="00DC4FF2"/>
    <w:rsid w:val="00DC51F9"/>
    <w:rsid w:val="00DC7202"/>
    <w:rsid w:val="00DC79CC"/>
    <w:rsid w:val="00DD431C"/>
    <w:rsid w:val="00DD5E65"/>
    <w:rsid w:val="00DD6E8E"/>
    <w:rsid w:val="00DD7BF0"/>
    <w:rsid w:val="00DE083C"/>
    <w:rsid w:val="00DE2832"/>
    <w:rsid w:val="00DE2AA5"/>
    <w:rsid w:val="00DE55A4"/>
    <w:rsid w:val="00DE7273"/>
    <w:rsid w:val="00DE7FA3"/>
    <w:rsid w:val="00DF5FA3"/>
    <w:rsid w:val="00DF6811"/>
    <w:rsid w:val="00E0455E"/>
    <w:rsid w:val="00E1007A"/>
    <w:rsid w:val="00E10D39"/>
    <w:rsid w:val="00E1189F"/>
    <w:rsid w:val="00E1338E"/>
    <w:rsid w:val="00E134F4"/>
    <w:rsid w:val="00E147D9"/>
    <w:rsid w:val="00E162E0"/>
    <w:rsid w:val="00E17DEA"/>
    <w:rsid w:val="00E20294"/>
    <w:rsid w:val="00E20D75"/>
    <w:rsid w:val="00E23568"/>
    <w:rsid w:val="00E245B5"/>
    <w:rsid w:val="00E24E4E"/>
    <w:rsid w:val="00E27B9A"/>
    <w:rsid w:val="00E3044F"/>
    <w:rsid w:val="00E307D9"/>
    <w:rsid w:val="00E319A6"/>
    <w:rsid w:val="00E33504"/>
    <w:rsid w:val="00E33D9B"/>
    <w:rsid w:val="00E33E1B"/>
    <w:rsid w:val="00E34503"/>
    <w:rsid w:val="00E34CF2"/>
    <w:rsid w:val="00E34D3E"/>
    <w:rsid w:val="00E35AB7"/>
    <w:rsid w:val="00E371B5"/>
    <w:rsid w:val="00E40C5C"/>
    <w:rsid w:val="00E40F2E"/>
    <w:rsid w:val="00E41812"/>
    <w:rsid w:val="00E44E5B"/>
    <w:rsid w:val="00E466BB"/>
    <w:rsid w:val="00E46BAF"/>
    <w:rsid w:val="00E46C56"/>
    <w:rsid w:val="00E4718A"/>
    <w:rsid w:val="00E47937"/>
    <w:rsid w:val="00E47ABA"/>
    <w:rsid w:val="00E5146F"/>
    <w:rsid w:val="00E62116"/>
    <w:rsid w:val="00E62BD2"/>
    <w:rsid w:val="00E63F1A"/>
    <w:rsid w:val="00E647FB"/>
    <w:rsid w:val="00E67197"/>
    <w:rsid w:val="00E71164"/>
    <w:rsid w:val="00E71B4B"/>
    <w:rsid w:val="00E720E9"/>
    <w:rsid w:val="00E73933"/>
    <w:rsid w:val="00E7655F"/>
    <w:rsid w:val="00E776FB"/>
    <w:rsid w:val="00E80FE8"/>
    <w:rsid w:val="00E81C5E"/>
    <w:rsid w:val="00E83230"/>
    <w:rsid w:val="00E83B3C"/>
    <w:rsid w:val="00E85894"/>
    <w:rsid w:val="00E8598D"/>
    <w:rsid w:val="00E85E18"/>
    <w:rsid w:val="00E8736B"/>
    <w:rsid w:val="00E90275"/>
    <w:rsid w:val="00E925D4"/>
    <w:rsid w:val="00E9465D"/>
    <w:rsid w:val="00E94775"/>
    <w:rsid w:val="00E9550E"/>
    <w:rsid w:val="00E96EBE"/>
    <w:rsid w:val="00E96FC3"/>
    <w:rsid w:val="00E97226"/>
    <w:rsid w:val="00E97454"/>
    <w:rsid w:val="00EA0A1C"/>
    <w:rsid w:val="00EA1EE6"/>
    <w:rsid w:val="00EA2B44"/>
    <w:rsid w:val="00EA2F8C"/>
    <w:rsid w:val="00EA321E"/>
    <w:rsid w:val="00EA33EF"/>
    <w:rsid w:val="00EA3A4A"/>
    <w:rsid w:val="00EB09B6"/>
    <w:rsid w:val="00EB45EA"/>
    <w:rsid w:val="00EB4A69"/>
    <w:rsid w:val="00EB62F8"/>
    <w:rsid w:val="00EC0C0F"/>
    <w:rsid w:val="00EC13CC"/>
    <w:rsid w:val="00EC4FFD"/>
    <w:rsid w:val="00EC58F5"/>
    <w:rsid w:val="00EC5908"/>
    <w:rsid w:val="00EC5EFC"/>
    <w:rsid w:val="00EC75F4"/>
    <w:rsid w:val="00ED0748"/>
    <w:rsid w:val="00ED54D8"/>
    <w:rsid w:val="00ED57D1"/>
    <w:rsid w:val="00ED6DF6"/>
    <w:rsid w:val="00EE08B3"/>
    <w:rsid w:val="00EE3B07"/>
    <w:rsid w:val="00EE3F28"/>
    <w:rsid w:val="00EE40C6"/>
    <w:rsid w:val="00EE503B"/>
    <w:rsid w:val="00EE54FA"/>
    <w:rsid w:val="00EE7BFB"/>
    <w:rsid w:val="00EF039C"/>
    <w:rsid w:val="00EF1E19"/>
    <w:rsid w:val="00EF33CD"/>
    <w:rsid w:val="00EF35AD"/>
    <w:rsid w:val="00EF4F1A"/>
    <w:rsid w:val="00EF784E"/>
    <w:rsid w:val="00F0000D"/>
    <w:rsid w:val="00F045A1"/>
    <w:rsid w:val="00F05275"/>
    <w:rsid w:val="00F1145F"/>
    <w:rsid w:val="00F12924"/>
    <w:rsid w:val="00F14510"/>
    <w:rsid w:val="00F1459F"/>
    <w:rsid w:val="00F14F02"/>
    <w:rsid w:val="00F1600B"/>
    <w:rsid w:val="00F160A3"/>
    <w:rsid w:val="00F20C9B"/>
    <w:rsid w:val="00F2275A"/>
    <w:rsid w:val="00F24812"/>
    <w:rsid w:val="00F2497D"/>
    <w:rsid w:val="00F26E22"/>
    <w:rsid w:val="00F300CB"/>
    <w:rsid w:val="00F31310"/>
    <w:rsid w:val="00F31AB0"/>
    <w:rsid w:val="00F340B1"/>
    <w:rsid w:val="00F37A6A"/>
    <w:rsid w:val="00F42A8D"/>
    <w:rsid w:val="00F42AF1"/>
    <w:rsid w:val="00F42C3A"/>
    <w:rsid w:val="00F44470"/>
    <w:rsid w:val="00F45451"/>
    <w:rsid w:val="00F455A6"/>
    <w:rsid w:val="00F475AE"/>
    <w:rsid w:val="00F515F6"/>
    <w:rsid w:val="00F51BE4"/>
    <w:rsid w:val="00F52BCC"/>
    <w:rsid w:val="00F5313F"/>
    <w:rsid w:val="00F609BE"/>
    <w:rsid w:val="00F609CE"/>
    <w:rsid w:val="00F626C6"/>
    <w:rsid w:val="00F66662"/>
    <w:rsid w:val="00F67002"/>
    <w:rsid w:val="00F70D43"/>
    <w:rsid w:val="00F73E4A"/>
    <w:rsid w:val="00F75D44"/>
    <w:rsid w:val="00F766E8"/>
    <w:rsid w:val="00F806E5"/>
    <w:rsid w:val="00F80879"/>
    <w:rsid w:val="00F81135"/>
    <w:rsid w:val="00F81A48"/>
    <w:rsid w:val="00F83D5D"/>
    <w:rsid w:val="00F87E8F"/>
    <w:rsid w:val="00F900D8"/>
    <w:rsid w:val="00F90ECD"/>
    <w:rsid w:val="00F92F3B"/>
    <w:rsid w:val="00F96D7D"/>
    <w:rsid w:val="00FA32EB"/>
    <w:rsid w:val="00FA6100"/>
    <w:rsid w:val="00FB0295"/>
    <w:rsid w:val="00FB07BA"/>
    <w:rsid w:val="00FB19D8"/>
    <w:rsid w:val="00FB2122"/>
    <w:rsid w:val="00FB62BC"/>
    <w:rsid w:val="00FB712A"/>
    <w:rsid w:val="00FB78C1"/>
    <w:rsid w:val="00FC344B"/>
    <w:rsid w:val="00FC3BDE"/>
    <w:rsid w:val="00FD17C9"/>
    <w:rsid w:val="00FD2A5B"/>
    <w:rsid w:val="00FD4FE0"/>
    <w:rsid w:val="00FD5AC9"/>
    <w:rsid w:val="00FD731A"/>
    <w:rsid w:val="00FE1E14"/>
    <w:rsid w:val="00FE663C"/>
    <w:rsid w:val="00FE6A5C"/>
    <w:rsid w:val="00FF2038"/>
    <w:rsid w:val="00FF5BF1"/>
    <w:rsid w:val="00FF6C33"/>
    <w:rsid w:val="04524006"/>
    <w:rsid w:val="111CC086"/>
    <w:rsid w:val="13846998"/>
    <w:rsid w:val="197A8583"/>
    <w:rsid w:val="19BC8AC3"/>
    <w:rsid w:val="24721B18"/>
    <w:rsid w:val="3A166C54"/>
    <w:rsid w:val="3D4D759E"/>
    <w:rsid w:val="3F09BBBE"/>
    <w:rsid w:val="42A1C901"/>
    <w:rsid w:val="46F306FB"/>
    <w:rsid w:val="4AE445C7"/>
    <w:rsid w:val="4C8C7346"/>
    <w:rsid w:val="5D3969A7"/>
    <w:rsid w:val="5D5F9EF0"/>
    <w:rsid w:val="666551BC"/>
    <w:rsid w:val="67D40EE0"/>
    <w:rsid w:val="757083FA"/>
    <w:rsid w:val="7A3BBF7B"/>
    <w:rsid w:val="7E65DC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44232C"/>
  <w15:docId w15:val="{882BE842-84B3-4313-8160-093C6B90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left" w:pos="660"/>
        <w:tab w:val="right" w:leader="dot" w:pos="9350"/>
        <w:tab w:val="clear" w:pos="936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UnresolvedMention">
    <w:name w:val="Unresolved Mention"/>
    <w:basedOn w:val="DefaultParagraphFont"/>
    <w:uiPriority w:val="99"/>
    <w:semiHidden/>
    <w:unhideWhenUsed/>
    <w:rsid w:val="00A9567E"/>
    <w:rPr>
      <w:color w:val="605E5C"/>
      <w:shd w:val="clear" w:color="auto" w:fill="E1DFDD"/>
    </w:rPr>
  </w:style>
  <w:style w:type="character" w:customStyle="1" w:styleId="ListParagraphChar">
    <w:name w:val="List Paragraph Char"/>
    <w:link w:val="ListParagraph"/>
    <w:uiPriority w:val="34"/>
    <w:locked/>
    <w:rsid w:val="003270E7"/>
    <w:rPr>
      <w:rFonts w:asciiTheme="majorHAnsi" w:hAnsiTheme="majorHAnsi"/>
    </w:rPr>
  </w:style>
  <w:style w:type="character" w:styleId="Mention">
    <w:name w:val="Mention"/>
    <w:basedOn w:val="DefaultParagraphFont"/>
    <w:uiPriority w:val="99"/>
    <w:unhideWhenUsed/>
    <w:rsid w:val="000B1EDB"/>
    <w:rPr>
      <w:color w:val="2B579A"/>
      <w:shd w:val="clear" w:color="auto" w:fill="E1DFDD"/>
    </w:rPr>
  </w:style>
  <w:style w:type="paragraph" w:customStyle="1" w:styleId="Normal2">
    <w:name w:val="Normal2"/>
    <w:qFormat/>
    <w:rsid w:val="00D41885"/>
    <w:pPr>
      <w:autoSpaceDE w:val="0"/>
      <w:autoSpaceDN w:val="0"/>
      <w:adjustRightInd w:val="0"/>
      <w:spacing w:after="0" w:line="240" w:lineRule="auto"/>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876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s://www.cdc.gov/publichealthgateway/publichealthservices/essentialhealthservices.html" TargetMode="External" /><Relationship Id="rId12" Type="http://schemas.openxmlformats.org/officeDocument/2006/relationships/hyperlink" Target="https://dx.doi.org/10.15620/cdc:122556"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2cb6dfe-256c-468f-a249-517e8848b42c" xsi:nil="true"/>
    <lcf76f155ced4ddcb4097134ff3c332f xmlns="17273376-4701-4e40-9c6c-cca19f7dc1c8">
      <Terms xmlns="http://schemas.microsoft.com/office/infopath/2007/PartnerControls"/>
    </lcf76f155ced4ddcb4097134ff3c332f>
    <SharedWithUsers xmlns="12cb6dfe-256c-468f-a249-517e8848b42c">
      <UserInfo>
        <DisplayName>Elise Bui</DisplayName>
        <AccountId>18</AccountId>
        <AccountType/>
      </UserInfo>
      <UserInfo>
        <DisplayName>Stacy Birchfield-Foltz</DisplayName>
        <AccountId>69</AccountId>
        <AccountType/>
      </UserInfo>
      <UserInfo>
        <DisplayName>Ivan Sciupac</DisplayName>
        <AccountId>360</AccountId>
        <AccountType/>
      </UserInfo>
      <UserInfo>
        <DisplayName>Everett Long</DisplayName>
        <AccountId>37</AccountId>
        <AccountType/>
      </UserInfo>
      <UserInfo>
        <DisplayName>Sarah Mason</DisplayName>
        <AccountId>215</AccountId>
        <AccountType/>
      </UserInfo>
      <UserInfo>
        <DisplayName>Emily Prince</DisplayName>
        <AccountId>401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42FE-8FF0-485D-90FA-120FCDE88DC9}">
  <ds:schemaRefs>
    <ds:schemaRef ds:uri="http://schemas.openxmlformats.org/officeDocument/2006/bibliography"/>
  </ds:schemaRefs>
</ds:datastoreItem>
</file>

<file path=customXml/itemProps2.xml><?xml version="1.0" encoding="utf-8"?>
<ds:datastoreItem xmlns:ds="http://schemas.openxmlformats.org/officeDocument/2006/customXml" ds:itemID="{C9FD5762-97DB-4739-B942-7EA68B955086}">
  <ds:schemaRefs>
    <ds:schemaRef ds:uri="http://schemas.microsoft.com/office/2006/metadata/properties"/>
    <ds:schemaRef ds:uri="http://schemas.microsoft.com/office/infopath/2007/PartnerControls"/>
    <ds:schemaRef ds:uri="12cb6dfe-256c-468f-a249-517e8848b42c"/>
    <ds:schemaRef ds:uri="17273376-4701-4e40-9c6c-cca19f7dc1c8"/>
  </ds:schemaRefs>
</ds:datastoreItem>
</file>

<file path=customXml/itemProps3.xml><?xml version="1.0" encoding="utf-8"?>
<ds:datastoreItem xmlns:ds="http://schemas.openxmlformats.org/officeDocument/2006/customXml" ds:itemID="{980DC055-76FC-4878-8140-B36DBF070DC6}">
  <ds:schemaRefs>
    <ds:schemaRef ds:uri="http://schemas.microsoft.com/sharepoint/v3/contenttype/forms"/>
  </ds:schemaRefs>
</ds:datastoreItem>
</file>

<file path=customXml/itemProps4.xml><?xml version="1.0" encoding="utf-8"?>
<ds:datastoreItem xmlns:ds="http://schemas.openxmlformats.org/officeDocument/2006/customXml" ds:itemID="{D8FC496D-5534-4683-99D7-3C439C51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3599</Words>
  <Characters>20516</Characters>
  <Application>Microsoft Office Word</Application>
  <DocSecurity>0</DocSecurity>
  <Lines>170</Lines>
  <Paragraphs>48</Paragraphs>
  <ScaleCrop>false</ScaleCrop>
  <Company>CDC</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Macaluso, Renita (CDC/PHIC/OD)</cp:lastModifiedBy>
  <cp:revision>10</cp:revision>
  <cp:lastPrinted>2011-06-07T21:53:00Z</cp:lastPrinted>
  <dcterms:created xsi:type="dcterms:W3CDTF">2024-05-23T14:06:00Z</dcterms:created>
  <dcterms:modified xsi:type="dcterms:W3CDTF">2024-05-28T20:34:00Z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MediaServiceImageTags">
    <vt:lpwstr/>
  </property>
  <property fmtid="{D5CDD505-2E9C-101B-9397-08002B2CF9AE}" pid="4" name="MSIP_Label_7b94a7b8-f06c-4dfe-bdcc-9b548fd58c31_ActionId">
    <vt:lpwstr>20858f3b-f7b4-4e8e-9419-47a843e0e1a0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2021-02-18T16:26:28Z</vt:lpwstr>
  </property>
  <property fmtid="{D5CDD505-2E9C-101B-9397-08002B2CF9AE}" pid="10" name="MSIP_Label_7b94a7b8-f06c-4dfe-bdcc-9b548fd58c31_SiteId">
    <vt:lpwstr>9ce70869-60db-44fd-abe8-d2767077fc8f</vt:lpwstr>
  </property>
</Properties>
</file>