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4A51" w:rsidP="00BC6896" w14:paraId="2CE66927" w14:textId="6DE9A7DD"/>
    <w:p w:rsidR="008A7E1F" w:rsidRPr="00F64B98" w:rsidP="6A568BE0" w14:paraId="0BA25568" w14:textId="79ED7FE0">
      <w:pPr>
        <w:pStyle w:val="Normal2"/>
        <w:jc w:val="center"/>
        <w:rPr>
          <w:rFonts w:asciiTheme="majorHAnsi" w:hAnsiTheme="majorHAnsi"/>
          <w:b/>
          <w:bCs/>
        </w:rPr>
      </w:pPr>
      <w:r w:rsidRPr="6A568BE0">
        <w:rPr>
          <w:rFonts w:asciiTheme="majorHAnsi" w:hAnsiTheme="majorHAnsi"/>
          <w:b/>
          <w:bCs/>
          <w:color w:val="222222"/>
          <w:sz w:val="48"/>
          <w:szCs w:val="48"/>
        </w:rPr>
        <w:t xml:space="preserve">Assessing Funded </w:t>
      </w:r>
      <w:bookmarkStart w:id="0" w:name="_Hlk163036930"/>
      <w:r w:rsidRPr="6A568BE0" w:rsidR="00D54842">
        <w:rPr>
          <w:rFonts w:asciiTheme="majorHAnsi" w:hAnsiTheme="majorHAnsi"/>
          <w:b/>
          <w:bCs/>
          <w:color w:val="222222"/>
          <w:sz w:val="48"/>
          <w:szCs w:val="48"/>
        </w:rPr>
        <w:t xml:space="preserve">Overdose </w:t>
      </w:r>
      <w:r w:rsidRPr="6A568BE0" w:rsidR="005B7800">
        <w:rPr>
          <w:rFonts w:asciiTheme="majorHAnsi" w:hAnsiTheme="majorHAnsi"/>
          <w:b/>
          <w:bCs/>
          <w:color w:val="222222"/>
          <w:sz w:val="48"/>
          <w:szCs w:val="48"/>
        </w:rPr>
        <w:t xml:space="preserve">Data </w:t>
      </w:r>
      <w:r w:rsidRPr="6A568BE0" w:rsidR="00D54842">
        <w:rPr>
          <w:rFonts w:asciiTheme="majorHAnsi" w:hAnsiTheme="majorHAnsi"/>
          <w:b/>
          <w:bCs/>
          <w:color w:val="222222"/>
          <w:sz w:val="48"/>
          <w:szCs w:val="48"/>
        </w:rPr>
        <w:t>to Action (</w:t>
      </w:r>
      <w:r w:rsidRPr="6A568BE0">
        <w:rPr>
          <w:rFonts w:asciiTheme="majorHAnsi" w:hAnsiTheme="majorHAnsi"/>
          <w:b/>
          <w:bCs/>
          <w:color w:val="222222"/>
          <w:sz w:val="48"/>
          <w:szCs w:val="48"/>
        </w:rPr>
        <w:t>OD2A</w:t>
      </w:r>
      <w:r w:rsidRPr="6A568BE0" w:rsidR="00D54842">
        <w:rPr>
          <w:rFonts w:asciiTheme="majorHAnsi" w:hAnsiTheme="majorHAnsi"/>
          <w:b/>
          <w:bCs/>
          <w:color w:val="222222"/>
          <w:sz w:val="48"/>
          <w:szCs w:val="48"/>
        </w:rPr>
        <w:t>)</w:t>
      </w:r>
      <w:bookmarkEnd w:id="0"/>
      <w:r w:rsidRPr="6A568BE0">
        <w:rPr>
          <w:rFonts w:asciiTheme="majorHAnsi" w:hAnsiTheme="majorHAnsi"/>
          <w:b/>
          <w:bCs/>
          <w:color w:val="222222"/>
          <w:sz w:val="48"/>
          <w:szCs w:val="48"/>
        </w:rPr>
        <w:t xml:space="preserve"> </w:t>
      </w:r>
      <w:r w:rsidRPr="6A568BE0" w:rsidR="00DA0338">
        <w:rPr>
          <w:rFonts w:asciiTheme="majorHAnsi" w:hAnsiTheme="majorHAnsi"/>
          <w:b/>
          <w:bCs/>
          <w:color w:val="222222"/>
          <w:sz w:val="48"/>
          <w:szCs w:val="48"/>
        </w:rPr>
        <w:t xml:space="preserve">Grantee </w:t>
      </w:r>
      <w:r w:rsidRPr="6A568BE0">
        <w:rPr>
          <w:rFonts w:asciiTheme="majorHAnsi" w:hAnsiTheme="majorHAnsi"/>
          <w:b/>
          <w:bCs/>
          <w:color w:val="222222"/>
          <w:sz w:val="48"/>
          <w:szCs w:val="48"/>
        </w:rPr>
        <w:t>Implementation and Impacts of Stop Overdose Campaigns</w:t>
      </w:r>
    </w:p>
    <w:p w:rsidR="00AA3192" w:rsidP="00BC6896" w14:paraId="65FCCF95" w14:textId="77777777"/>
    <w:p w:rsidR="00716F94" w:rsidRPr="00AA3192" w:rsidP="00BC6896" w14:paraId="2EB48742" w14:textId="3A769683">
      <w:pPr>
        <w:ind w:left="0"/>
        <w:jc w:val="center"/>
      </w:pPr>
      <w:r>
        <w:t>STLT</w:t>
      </w:r>
      <w:r w:rsidRPr="00AA3192" w:rsidR="00484011">
        <w:t xml:space="preserve"> Generic </w:t>
      </w:r>
      <w:r>
        <w:t>Information</w:t>
      </w:r>
      <w:r w:rsidR="00487E55">
        <w:t xml:space="preserve"> </w:t>
      </w:r>
      <w:r>
        <w:t>C</w:t>
      </w:r>
      <w:r w:rsidR="00487E55">
        <w:t>ollection</w:t>
      </w:r>
      <w:r w:rsidRPr="00AA3192" w:rsidR="00484011">
        <w:t xml:space="preserve"> Request</w:t>
      </w:r>
    </w:p>
    <w:p w:rsidR="00484011" w:rsidRPr="00AA3192" w:rsidP="00BC6896" w14:paraId="5EB5B9AE" w14:textId="093341DC">
      <w:pPr>
        <w:pStyle w:val="Header"/>
        <w:ind w:left="0"/>
        <w:jc w:val="center"/>
      </w:pPr>
      <w:r w:rsidRPr="00AA3192">
        <w:t>OMB No. 0920-0879</w:t>
      </w:r>
      <w:r w:rsidR="001A033E">
        <w:t>, exp. 8/31/2026</w:t>
      </w:r>
    </w:p>
    <w:p w:rsidR="009B4A51" w:rsidP="00BC6896" w14:paraId="7CA125B8" w14:textId="77777777"/>
    <w:p w:rsidR="00AA3192" w:rsidP="00BC6896" w14:paraId="764247A8" w14:textId="77777777"/>
    <w:p w:rsidR="009B4A51" w:rsidRPr="00BC6896" w:rsidP="00BC6896" w14:paraId="67C3F948" w14:textId="0F38690A">
      <w:pPr>
        <w:pStyle w:val="Heading2"/>
      </w:pPr>
      <w:r w:rsidRPr="00BC6896">
        <w:t xml:space="preserve">Supporting Statement – Section </w:t>
      </w:r>
      <w:r w:rsidRPr="00BC6896" w:rsidR="00601392">
        <w:t>B</w:t>
      </w:r>
    </w:p>
    <w:p w:rsidR="009B4A51" w:rsidP="00BC6896" w14:paraId="643F25BB" w14:textId="77777777"/>
    <w:p w:rsidR="009B4A51" w:rsidRPr="00BC6896" w:rsidP="00BC6896" w14:paraId="031B1731" w14:textId="76772926">
      <w:pPr>
        <w:ind w:left="0"/>
        <w:jc w:val="center"/>
      </w:pPr>
      <w:r>
        <w:t xml:space="preserve">Version </w:t>
      </w:r>
      <w:r w:rsidR="00E51B44">
        <w:t>Date</w:t>
      </w:r>
      <w:r w:rsidRPr="00AA3192">
        <w:t xml:space="preserve">: </w:t>
      </w:r>
      <w:r>
        <w:t xml:space="preserve"> 05/2</w:t>
      </w:r>
      <w:r w:rsidR="00A672E0">
        <w:t>8</w:t>
      </w:r>
      <w:r>
        <w:t>/24</w:t>
      </w:r>
    </w:p>
    <w:p w:rsidR="009B4A51" w:rsidP="00BC6896" w14:paraId="415560A8" w14:textId="77777777"/>
    <w:p w:rsidR="009B4A51" w:rsidP="00BC6896" w14:paraId="0369ED2C" w14:textId="77777777"/>
    <w:p w:rsidR="009B4A51" w:rsidP="00BC6896" w14:paraId="11BC56D4" w14:textId="77777777"/>
    <w:p w:rsidR="00A81BF7" w:rsidRPr="00BC6896" w:rsidP="00A81BF7" w14:paraId="7D9EECF2" w14:textId="7777777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:rsidR="00C47E8D" w:rsidRPr="003D4AF1" w:rsidP="00C47E8D" w14:paraId="7D55E2D9" w14:textId="5578A4D8">
      <w:pPr>
        <w:ind w:left="0"/>
      </w:pPr>
      <w:r>
        <w:t>Jasmine Kenney</w:t>
      </w:r>
      <w:r w:rsidR="003A47B0">
        <w:t>, MPH</w:t>
      </w:r>
    </w:p>
    <w:p w:rsidR="00C47E8D" w:rsidRPr="003D4AF1" w:rsidP="00C47E8D" w14:paraId="62ECA8B3" w14:textId="3209BE43">
      <w:pPr>
        <w:ind w:left="0"/>
      </w:pPr>
      <w:r>
        <w:t>Health Communication Speci</w:t>
      </w:r>
      <w:r w:rsidR="00FA55C0">
        <w:t>alist</w:t>
      </w:r>
    </w:p>
    <w:p w:rsidR="00C47E8D" w:rsidRPr="003D4AF1" w:rsidP="00C47E8D" w14:paraId="2C10BD43" w14:textId="77777777">
      <w:pPr>
        <w:ind w:left="0"/>
      </w:pPr>
      <w:r w:rsidRPr="003D4AF1">
        <w:t>Division of Overdose Prevention (DOP)</w:t>
      </w:r>
    </w:p>
    <w:p w:rsidR="00C47E8D" w:rsidRPr="003D4AF1" w:rsidP="00C47E8D" w14:paraId="19396BD7" w14:textId="77777777">
      <w:pPr>
        <w:ind w:left="0"/>
      </w:pPr>
      <w:r w:rsidRPr="003D4AF1">
        <w:t>National Center for Injury Prevention and Control (NCIPC)</w:t>
      </w:r>
    </w:p>
    <w:p w:rsidR="00C47E8D" w:rsidRPr="003D4AF1" w:rsidP="00C47E8D" w14:paraId="4AEAC8EF" w14:textId="77777777">
      <w:pPr>
        <w:ind w:left="0"/>
      </w:pPr>
      <w:r w:rsidRPr="003D4AF1">
        <w:t>Centers for Disease Control and Prevention (CDC)</w:t>
      </w:r>
    </w:p>
    <w:p w:rsidR="00C47E8D" w:rsidRPr="003D4AF1" w:rsidP="00C47E8D" w14:paraId="2C2B4AA6" w14:textId="77777777">
      <w:pPr>
        <w:ind w:left="0"/>
      </w:pPr>
      <w:r w:rsidRPr="003D4AF1">
        <w:t>4770 Buford Hwy NE, MS S106</w:t>
      </w:r>
    </w:p>
    <w:p w:rsidR="00C47E8D" w:rsidRPr="003D4AF1" w:rsidP="00C47E8D" w14:paraId="13DB8345" w14:textId="77777777">
      <w:pPr>
        <w:ind w:left="0"/>
      </w:pPr>
      <w:r w:rsidRPr="003D4AF1">
        <w:t>Atlanta, Georgia 30341</w:t>
      </w:r>
    </w:p>
    <w:p w:rsidR="00C47E8D" w:rsidRPr="003D4AF1" w:rsidP="00C47E8D" w14:paraId="6747B40C" w14:textId="654F8D34">
      <w:pPr>
        <w:ind w:left="0"/>
      </w:pPr>
      <w:r>
        <w:t xml:space="preserve">Phone: </w:t>
      </w:r>
      <w:r w:rsidR="003A47B0">
        <w:t>404-639-0826</w:t>
      </w:r>
    </w:p>
    <w:p w:rsidR="00C47E8D" w:rsidRPr="003D4AF1" w:rsidP="00C47E8D" w14:paraId="44D32339" w14:textId="5FC2B35A">
      <w:pPr>
        <w:ind w:left="0"/>
      </w:pPr>
      <w:r>
        <w:t xml:space="preserve">Email: </w:t>
      </w:r>
      <w:r w:rsidR="003A47B0">
        <w:t>hbu2</w:t>
      </w:r>
      <w:r>
        <w:t>@cdc.gov</w:t>
      </w:r>
    </w:p>
    <w:p w:rsidR="00691031" w:rsidP="00BC6896" w14:paraId="52A3C4F0" w14:textId="77777777">
      <w:pPr>
        <w:ind w:left="0"/>
        <w:rPr>
          <w:color w:val="0070C0"/>
        </w:rPr>
      </w:pPr>
    </w:p>
    <w:p w:rsidR="00691031" w:rsidP="00BC6896" w14:paraId="6FC715CF" w14:textId="77777777">
      <w:pPr>
        <w:ind w:left="0"/>
        <w:rPr>
          <w:color w:val="0070C0"/>
        </w:rPr>
      </w:pPr>
    </w:p>
    <w:p w:rsidR="00691031" w:rsidP="00BC6896" w14:paraId="439C923F" w14:textId="77777777">
      <w:pPr>
        <w:ind w:left="0"/>
        <w:rPr>
          <w:color w:val="0070C0"/>
        </w:rPr>
      </w:pPr>
    </w:p>
    <w:p w:rsidR="00EC45F0" w:rsidP="00BC6896" w14:paraId="72E59235" w14:textId="77777777">
      <w:pPr>
        <w:ind w:left="0"/>
        <w:rPr>
          <w:color w:val="0070C0"/>
        </w:rPr>
      </w:pPr>
    </w:p>
    <w:p w:rsidR="00EC45F0" w:rsidP="00BC6896" w14:paraId="6C26DF22" w14:textId="77777777">
      <w:pPr>
        <w:ind w:left="0"/>
        <w:rPr>
          <w:color w:val="0070C0"/>
        </w:rPr>
      </w:pPr>
    </w:p>
    <w:p w:rsidR="00EC45F0" w:rsidRPr="0042604A" w:rsidP="00BC6896" w14:paraId="2A4AFA23" w14:textId="77777777">
      <w:pPr>
        <w:ind w:left="0"/>
        <w:rPr>
          <w:color w:val="0070C0"/>
        </w:rPr>
      </w:pPr>
    </w:p>
    <w:p w:rsidR="001F7474" w14:paraId="24E75AFD" w14:textId="77777777">
      <w:pPr>
        <w:spacing w:after="200"/>
        <w:ind w:left="0"/>
        <w:rPr>
          <w:b/>
          <w:sz w:val="28"/>
        </w:rPr>
      </w:pPr>
      <w:bookmarkStart w:id="1" w:name="_Toc413847909"/>
      <w:r>
        <w:br w:type="page"/>
      </w:r>
    </w:p>
    <w:p w:rsidR="00245F1F" w:rsidRPr="000A538D" w:rsidP="00BC6896" w14:paraId="6B5884A0" w14:textId="77777777">
      <w:pPr>
        <w:pStyle w:val="Heading3"/>
      </w:pPr>
      <w:r>
        <w:t>Table of Contents</w:t>
      </w:r>
      <w:bookmarkEnd w:id="1"/>
    </w:p>
    <w:p w:rsidR="00245F1F" w:rsidRPr="000A538D" w:rsidP="006F23AF" w14:paraId="3DE4D30E" w14:textId="2D627480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:rsidR="00245F1F" w:rsidRPr="000A538D" w:rsidP="00A94074" w14:paraId="0E818D57" w14:textId="6B21560E">
      <w:pPr>
        <w:pStyle w:val="TOC1"/>
        <w:rPr>
          <w:rFonts w:asciiTheme="minorHAnsi" w:hAnsiTheme="minorHAnsi"/>
          <w:noProof/>
        </w:rPr>
      </w:pPr>
      <w:hyperlink w:anchor="_Toc413847910" w:history="1">
        <w:r w:rsidRPr="000A538D">
          <w:rPr>
            <w:rStyle w:val="Hyperlink"/>
            <w:noProof/>
            <w:color w:val="auto"/>
          </w:rPr>
          <w:t xml:space="preserve">Section B – </w:t>
        </w:r>
        <w:r w:rsidRPr="000A538D" w:rsidR="00487E55">
          <w:rPr>
            <w:rStyle w:val="Hyperlink"/>
            <w:noProof/>
            <w:color w:val="auto"/>
          </w:rPr>
          <w:t>Data collection</w:t>
        </w:r>
        <w:r w:rsidRPr="000A538D">
          <w:rPr>
            <w:rStyle w:val="Hyperlink"/>
            <w:noProof/>
            <w:color w:val="auto"/>
          </w:rPr>
          <w:t xml:space="preserve"> Procedures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_Toc413847910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1B180080" w14:textId="1314376C">
      <w:pPr>
        <w:pStyle w:val="TOC2"/>
        <w:rPr>
          <w:noProof/>
        </w:rPr>
      </w:pPr>
      <w:hyperlink w:anchor="_Toc413847911" w:history="1">
        <w:r w:rsidRPr="000A538D">
          <w:rPr>
            <w:rStyle w:val="Hyperlink"/>
            <w:noProof/>
            <w:color w:val="auto"/>
          </w:rPr>
          <w:t>1.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Respondent Universe and Sampling Methods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_Toc413847911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02D7E354" w14:textId="48C50DF1">
      <w:pPr>
        <w:pStyle w:val="TOC2"/>
        <w:rPr>
          <w:noProof/>
        </w:rPr>
      </w:pPr>
      <w:hyperlink w:anchor="_Toc413847912" w:history="1">
        <w:r w:rsidRPr="000A538D">
          <w:rPr>
            <w:rStyle w:val="Hyperlink"/>
            <w:noProof/>
            <w:color w:val="auto"/>
          </w:rPr>
          <w:t>2.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Procedures for the Collection of Information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_Toc413847912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3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2F38C32A" w14:textId="1B8D761C">
      <w:pPr>
        <w:pStyle w:val="TOC2"/>
        <w:rPr>
          <w:noProof/>
        </w:rPr>
      </w:pPr>
      <w:hyperlink w:anchor="_Toc413847913" w:history="1">
        <w:r w:rsidRPr="000A538D">
          <w:rPr>
            <w:rStyle w:val="Hyperlink"/>
            <w:noProof/>
            <w:color w:val="auto"/>
          </w:rPr>
          <w:t>3.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Methods to Maximize Response Rates  Deal with Nonresponse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_Toc413847913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4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2FA3FE33" w14:textId="17709A3C">
      <w:pPr>
        <w:pStyle w:val="TOC2"/>
        <w:rPr>
          <w:noProof/>
        </w:rPr>
      </w:pPr>
      <w:hyperlink w:anchor="_Toc413847914" w:history="1">
        <w:r w:rsidRPr="000A538D">
          <w:rPr>
            <w:rStyle w:val="Hyperlink"/>
            <w:noProof/>
            <w:color w:val="auto"/>
          </w:rPr>
          <w:t>4.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Test of Procedures or Methods to be Undertaken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_Toc413847914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4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245F1F" w14:paraId="415BB023" w14:textId="744B0541">
      <w:pPr>
        <w:pStyle w:val="TOC2"/>
        <w:rPr>
          <w:noProof/>
        </w:rPr>
      </w:pPr>
      <w:hyperlink w:anchor="_Toc413847915" w:history="1">
        <w:r w:rsidRPr="000A538D">
          <w:rPr>
            <w:rStyle w:val="Hyperlink"/>
            <w:noProof/>
            <w:color w:val="auto"/>
          </w:rPr>
          <w:t>5.</w:t>
        </w:r>
        <w:r w:rsidRPr="000A538D">
          <w:rPr>
            <w:noProof/>
          </w:rPr>
          <w:tab/>
        </w:r>
        <w:r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Pr="000A538D">
          <w:rPr>
            <w:rStyle w:val="Hyperlink"/>
            <w:noProof/>
            <w:color w:val="auto"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_Toc413847915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4</w:t>
        </w:r>
        <w:r w:rsidRPr="000A538D">
          <w:rPr>
            <w:noProof/>
            <w:webHidden/>
          </w:rPr>
          <w:fldChar w:fldCharType="end"/>
        </w:r>
      </w:hyperlink>
    </w:p>
    <w:p w:rsidR="00245F1F" w:rsidRPr="000A538D" w:rsidP="00A94074" w14:paraId="7580FEBC" w14:textId="7E9ACE85">
      <w:pPr>
        <w:pStyle w:val="TOC1"/>
        <w:rPr>
          <w:rFonts w:asciiTheme="minorHAnsi" w:hAnsiTheme="minorHAnsi"/>
          <w:noProof/>
        </w:rPr>
      </w:pPr>
      <w:hyperlink w:anchor="_Toc413847916" w:history="1">
        <w:r w:rsidRPr="000A538D">
          <w:rPr>
            <w:rStyle w:val="Hyperlink"/>
            <w:noProof/>
            <w:color w:val="auto"/>
          </w:rPr>
          <w:t>LIST OF ATTACHMENTS – Section B</w:t>
        </w:r>
        <w:r w:rsidRPr="000A538D">
          <w:rPr>
            <w:noProof/>
            <w:webHidden/>
          </w:rPr>
          <w:tab/>
        </w:r>
        <w:r w:rsidRPr="000A538D">
          <w:rPr>
            <w:noProof/>
            <w:webHidden/>
          </w:rPr>
          <w:fldChar w:fldCharType="begin"/>
        </w:r>
        <w:r w:rsidRPr="000A538D">
          <w:rPr>
            <w:noProof/>
            <w:webHidden/>
          </w:rPr>
          <w:instrText xml:space="preserve"> PAGEREF _Toc413847916 \h </w:instrText>
        </w:r>
        <w:r w:rsidRPr="000A538D">
          <w:rPr>
            <w:noProof/>
            <w:webHidden/>
          </w:rPr>
          <w:fldChar w:fldCharType="separate"/>
        </w:r>
        <w:r w:rsidR="00E772B0">
          <w:rPr>
            <w:noProof/>
            <w:webHidden/>
          </w:rPr>
          <w:t>4</w:t>
        </w:r>
        <w:r w:rsidRPr="000A538D">
          <w:rPr>
            <w:noProof/>
            <w:webHidden/>
          </w:rPr>
          <w:fldChar w:fldCharType="end"/>
        </w:r>
      </w:hyperlink>
    </w:p>
    <w:p w:rsidR="00245F1F" w:rsidP="00BC6896" w14:paraId="70B97232" w14:textId="77777777">
      <w:pPr>
        <w:pStyle w:val="Heading3"/>
      </w:pPr>
      <w:r w:rsidRPr="000A538D">
        <w:fldChar w:fldCharType="end"/>
      </w:r>
    </w:p>
    <w:p w:rsidR="00245F1F" w14:paraId="155EEAC4" w14:textId="77777777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:rsidR="00B12F51" w:rsidRPr="00BC6896" w:rsidP="00BC6896" w14:paraId="75612BC1" w14:textId="150C736C">
      <w:pPr>
        <w:pStyle w:val="Heading3"/>
      </w:pPr>
      <w:r w:rsidRPr="00BC6896">
        <w:t xml:space="preserve">Section B – </w:t>
      </w:r>
      <w:r w:rsidR="00487E55">
        <w:t xml:space="preserve">Data </w:t>
      </w:r>
      <w:r w:rsidR="002249A4">
        <w:t>C</w:t>
      </w:r>
      <w:r w:rsidR="00487E55">
        <w:t>ollection</w:t>
      </w:r>
      <w:r w:rsidRPr="00BC6896" w:rsidR="00287E2F">
        <w:t xml:space="preserve"> Procedures</w:t>
      </w:r>
      <w:bookmarkEnd w:id="2"/>
    </w:p>
    <w:p w:rsidR="00287E2F" w:rsidP="002955E6" w14:paraId="2BD8810D" w14:textId="77777777">
      <w:pPr>
        <w:spacing w:line="240" w:lineRule="auto"/>
      </w:pPr>
    </w:p>
    <w:p w:rsidR="00A75D1C" w:rsidRPr="00BC6896" w:rsidP="002955E6" w14:paraId="2BDBA5F7" w14:textId="0FB26171">
      <w:pPr>
        <w:pStyle w:val="Heading4"/>
        <w:spacing w:after="0" w:line="240" w:lineRule="auto"/>
      </w:pPr>
      <w:bookmarkStart w:id="3" w:name="_Toc413847911"/>
      <w:r w:rsidRPr="00BC6896">
        <w:t xml:space="preserve">Respondent </w:t>
      </w:r>
      <w:r w:rsidR="00DE2D45">
        <w:t>Uni</w:t>
      </w:r>
      <w:r w:rsidRPr="00BC6896" w:rsidR="001960AE">
        <w:t xml:space="preserve">verse and </w:t>
      </w:r>
      <w:r w:rsidRPr="00991BF9" w:rsidR="001960AE">
        <w:t>Sampling</w:t>
      </w:r>
      <w:r w:rsidRPr="00BC6896" w:rsidR="001960AE">
        <w:t xml:space="preserve"> Methods </w:t>
      </w:r>
      <w:bookmarkEnd w:id="3"/>
    </w:p>
    <w:p w:rsidR="002955E6" w:rsidP="002955E6" w14:paraId="67F70FD0" w14:textId="77777777">
      <w:pPr>
        <w:spacing w:line="240" w:lineRule="auto"/>
        <w:ind w:left="360"/>
        <w:rPr>
          <w:b/>
          <w:color w:val="0070C0"/>
        </w:rPr>
      </w:pPr>
    </w:p>
    <w:p w:rsidR="00641F60" w:rsidRPr="005C3798" w:rsidP="00641F60" w14:paraId="7FEFDA39" w14:textId="3257CEE9">
      <w:pPr>
        <w:pStyle w:val="Normal1"/>
        <w:rPr>
          <w:rFonts w:ascii="Cambria" w:hAnsi="Cambria"/>
          <w:sz w:val="22"/>
          <w:szCs w:val="22"/>
        </w:rPr>
      </w:pPr>
      <w:r w:rsidRPr="6A568BE0">
        <w:rPr>
          <w:rFonts w:ascii="Cambria" w:hAnsi="Cambria"/>
          <w:sz w:val="22"/>
          <w:szCs w:val="22"/>
        </w:rPr>
        <w:t xml:space="preserve">The primary audience is all current </w:t>
      </w:r>
      <w:r w:rsidRPr="6A568BE0" w:rsidR="00D13B0B">
        <w:rPr>
          <w:rFonts w:ascii="Cambria" w:hAnsi="Cambria"/>
          <w:sz w:val="22"/>
          <w:szCs w:val="22"/>
        </w:rPr>
        <w:t xml:space="preserve">Overdose </w:t>
      </w:r>
      <w:r w:rsidRPr="6A568BE0" w:rsidR="005B7800">
        <w:rPr>
          <w:rFonts w:ascii="Cambria" w:hAnsi="Cambria"/>
          <w:sz w:val="22"/>
          <w:szCs w:val="22"/>
        </w:rPr>
        <w:t xml:space="preserve">Data </w:t>
      </w:r>
      <w:r w:rsidRPr="6A568BE0" w:rsidR="00D13B0B">
        <w:rPr>
          <w:rFonts w:ascii="Cambria" w:hAnsi="Cambria"/>
          <w:sz w:val="22"/>
          <w:szCs w:val="22"/>
        </w:rPr>
        <w:t>to Action (</w:t>
      </w:r>
      <w:r w:rsidRPr="6A568BE0">
        <w:rPr>
          <w:rFonts w:ascii="Cambria" w:hAnsi="Cambria"/>
          <w:sz w:val="22"/>
          <w:szCs w:val="22"/>
        </w:rPr>
        <w:t>OD2A</w:t>
      </w:r>
      <w:r w:rsidRPr="6A568BE0" w:rsidR="00D13B0B">
        <w:rPr>
          <w:rFonts w:ascii="Cambria" w:hAnsi="Cambria"/>
          <w:sz w:val="22"/>
          <w:szCs w:val="22"/>
        </w:rPr>
        <w:t>)</w:t>
      </w:r>
      <w:r w:rsidRPr="6A568BE0">
        <w:rPr>
          <w:rFonts w:ascii="Cambria" w:hAnsi="Cambria"/>
          <w:sz w:val="22"/>
          <w:szCs w:val="22"/>
        </w:rPr>
        <w:t xml:space="preserve"> grantees at the time of data collection. </w:t>
      </w:r>
      <w:r w:rsidRPr="6A568BE0" w:rsidR="00E41CE6">
        <w:rPr>
          <w:rFonts w:ascii="Cambria" w:hAnsi="Cambria"/>
          <w:sz w:val="22"/>
          <w:szCs w:val="22"/>
        </w:rPr>
        <w:t>No sampling will be used</w:t>
      </w:r>
      <w:r w:rsidRPr="6A568BE0" w:rsidR="005B7800">
        <w:rPr>
          <w:rFonts w:ascii="Cambria" w:hAnsi="Cambria"/>
          <w:sz w:val="22"/>
          <w:szCs w:val="22"/>
        </w:rPr>
        <w:t xml:space="preserve">; instead, </w:t>
      </w:r>
      <w:r w:rsidRPr="6A568BE0" w:rsidR="00E41CE6">
        <w:rPr>
          <w:rFonts w:ascii="Cambria" w:hAnsi="Cambria"/>
          <w:sz w:val="22"/>
          <w:szCs w:val="22"/>
        </w:rPr>
        <w:t xml:space="preserve">all 90 </w:t>
      </w:r>
      <w:r w:rsidRPr="6A568BE0" w:rsidR="005B7800">
        <w:rPr>
          <w:rFonts w:ascii="Cambria" w:hAnsi="Cambria"/>
          <w:sz w:val="22"/>
          <w:szCs w:val="22"/>
        </w:rPr>
        <w:t>Centers for Disease Control and Prevention (</w:t>
      </w:r>
      <w:r w:rsidRPr="6A568BE0" w:rsidR="00FD5040">
        <w:rPr>
          <w:rFonts w:ascii="Cambria" w:hAnsi="Cambria"/>
          <w:sz w:val="22"/>
          <w:szCs w:val="22"/>
        </w:rPr>
        <w:t>CDC</w:t>
      </w:r>
      <w:r w:rsidRPr="6A568BE0" w:rsidR="005B7800">
        <w:rPr>
          <w:rFonts w:ascii="Cambria" w:hAnsi="Cambria"/>
          <w:sz w:val="22"/>
          <w:szCs w:val="22"/>
        </w:rPr>
        <w:t>)</w:t>
      </w:r>
      <w:r w:rsidRPr="6A568BE0" w:rsidR="00FD5040">
        <w:rPr>
          <w:rFonts w:ascii="Cambria" w:hAnsi="Cambria"/>
          <w:sz w:val="22"/>
          <w:szCs w:val="22"/>
        </w:rPr>
        <w:t>-</w:t>
      </w:r>
      <w:r w:rsidRPr="6A568BE0" w:rsidR="00E41CE6">
        <w:rPr>
          <w:rFonts w:ascii="Cambria" w:hAnsi="Cambria"/>
          <w:sz w:val="22"/>
          <w:szCs w:val="22"/>
        </w:rPr>
        <w:t>funded</w:t>
      </w:r>
      <w:r w:rsidRPr="6A568BE0">
        <w:rPr>
          <w:rFonts w:ascii="Cambria" w:hAnsi="Cambria"/>
          <w:sz w:val="22"/>
          <w:szCs w:val="22"/>
        </w:rPr>
        <w:t xml:space="preserve"> OD2A grantees</w:t>
      </w:r>
      <w:r w:rsidRPr="6A568BE0" w:rsidR="00E41CE6">
        <w:rPr>
          <w:rFonts w:ascii="Cambria" w:hAnsi="Cambria"/>
          <w:sz w:val="22"/>
          <w:szCs w:val="22"/>
        </w:rPr>
        <w:t xml:space="preserve"> will be asked to complete the survey</w:t>
      </w:r>
      <w:r w:rsidRPr="6A568BE0">
        <w:rPr>
          <w:rFonts w:ascii="Cambria" w:hAnsi="Cambria"/>
          <w:sz w:val="22"/>
          <w:szCs w:val="22"/>
        </w:rPr>
        <w:t xml:space="preserve">. All participants will come from CDC’s </w:t>
      </w:r>
      <w:r w:rsidRPr="6A568BE0" w:rsidR="005B7800">
        <w:rPr>
          <w:rFonts w:ascii="Cambria" w:hAnsi="Cambria"/>
          <w:sz w:val="22"/>
          <w:szCs w:val="22"/>
        </w:rPr>
        <w:t>National Center for Injury Prevention and Control's (NCIPC) 90 </w:t>
      </w:r>
      <w:r w:rsidRPr="6A568BE0">
        <w:rPr>
          <w:rFonts w:ascii="Cambria" w:hAnsi="Cambria"/>
          <w:sz w:val="22"/>
          <w:szCs w:val="22"/>
        </w:rPr>
        <w:t xml:space="preserve">OD2A </w:t>
      </w:r>
      <w:r w:rsidRPr="6A568BE0" w:rsidR="00195EF4">
        <w:rPr>
          <w:rFonts w:ascii="Cambria" w:hAnsi="Cambria"/>
          <w:sz w:val="22"/>
          <w:szCs w:val="22"/>
        </w:rPr>
        <w:t xml:space="preserve">grantee </w:t>
      </w:r>
      <w:r w:rsidRPr="6A568BE0">
        <w:rPr>
          <w:rFonts w:ascii="Cambria" w:hAnsi="Cambria"/>
          <w:sz w:val="22"/>
          <w:szCs w:val="22"/>
        </w:rPr>
        <w:t xml:space="preserve">list. Participants will be instructed to designate one person to complete the survey on behalf of the organization. The invitation will include a link to the survey and </w:t>
      </w:r>
      <w:r w:rsidRPr="6A568BE0" w:rsidR="00627624">
        <w:rPr>
          <w:rFonts w:ascii="Cambria" w:hAnsi="Cambria"/>
          <w:sz w:val="22"/>
          <w:szCs w:val="22"/>
        </w:rPr>
        <w:t xml:space="preserve">the designated respondent </w:t>
      </w:r>
      <w:r w:rsidRPr="6A568BE0">
        <w:rPr>
          <w:rFonts w:ascii="Cambria" w:hAnsi="Cambria"/>
          <w:sz w:val="22"/>
          <w:szCs w:val="22"/>
        </w:rPr>
        <w:t>may get input from other colleagues.</w:t>
      </w:r>
    </w:p>
    <w:p w:rsidR="00F52BCC" w:rsidP="00653AF7" w14:paraId="16B82430" w14:textId="78ABBFFF">
      <w:pPr>
        <w:pStyle w:val="Normal1"/>
      </w:pPr>
      <w:r w:rsidRPr="6A568BE0">
        <w:rPr>
          <w:rFonts w:ascii="Cambria" w:hAnsi="Cambria"/>
          <w:sz w:val="22"/>
          <w:szCs w:val="22"/>
        </w:rPr>
        <w:t xml:space="preserve">The respondent </w:t>
      </w:r>
      <w:r w:rsidRPr="6A568BE0" w:rsidR="00925F33">
        <w:rPr>
          <w:rFonts w:ascii="Cambria" w:hAnsi="Cambria"/>
          <w:sz w:val="22"/>
          <w:szCs w:val="22"/>
        </w:rPr>
        <w:t>type</w:t>
      </w:r>
      <w:r w:rsidRPr="6A568BE0">
        <w:rPr>
          <w:rFonts w:ascii="Cambria" w:hAnsi="Cambria"/>
          <w:sz w:val="22"/>
          <w:szCs w:val="22"/>
        </w:rPr>
        <w:t xml:space="preserve"> </w:t>
      </w:r>
      <w:r w:rsidRPr="6A568BE0" w:rsidR="00925F33">
        <w:rPr>
          <w:rFonts w:ascii="Cambria" w:hAnsi="Cambria"/>
          <w:sz w:val="22"/>
          <w:szCs w:val="22"/>
        </w:rPr>
        <w:t xml:space="preserve">will </w:t>
      </w:r>
      <w:r w:rsidRPr="6A568BE0">
        <w:rPr>
          <w:rFonts w:ascii="Cambria" w:hAnsi="Cambria"/>
          <w:sz w:val="22"/>
          <w:szCs w:val="22"/>
        </w:rPr>
        <w:t xml:space="preserve">be a </w:t>
      </w:r>
      <w:r w:rsidRPr="6A568BE0" w:rsidR="008944CB">
        <w:rPr>
          <w:rFonts w:ascii="Cambria" w:hAnsi="Cambria"/>
          <w:sz w:val="22"/>
          <w:szCs w:val="22"/>
        </w:rPr>
        <w:t>staff member</w:t>
      </w:r>
      <w:r w:rsidRPr="6A568BE0" w:rsidR="006259F8">
        <w:rPr>
          <w:rFonts w:ascii="Cambria" w:hAnsi="Cambria"/>
          <w:sz w:val="22"/>
          <w:szCs w:val="22"/>
        </w:rPr>
        <w:t xml:space="preserve"> </w:t>
      </w:r>
      <w:r w:rsidRPr="6A568BE0" w:rsidR="009117CC">
        <w:rPr>
          <w:rFonts w:ascii="Cambria" w:hAnsi="Cambria"/>
          <w:sz w:val="22"/>
          <w:szCs w:val="22"/>
        </w:rPr>
        <w:t xml:space="preserve">of </w:t>
      </w:r>
      <w:r w:rsidRPr="6A568BE0">
        <w:rPr>
          <w:rFonts w:ascii="Cambria" w:hAnsi="Cambria"/>
          <w:sz w:val="22"/>
          <w:szCs w:val="22"/>
        </w:rPr>
        <w:t>the</w:t>
      </w:r>
      <w:r w:rsidRPr="6A568BE0" w:rsidR="00BA2F91">
        <w:rPr>
          <w:rFonts w:ascii="Cambria" w:hAnsi="Cambria"/>
          <w:sz w:val="22"/>
          <w:szCs w:val="22"/>
        </w:rPr>
        <w:t xml:space="preserve"> state or local OD2A grantee</w:t>
      </w:r>
      <w:r w:rsidRPr="6A568BE0">
        <w:rPr>
          <w:rFonts w:ascii="Cambria" w:hAnsi="Cambria"/>
          <w:sz w:val="22"/>
          <w:szCs w:val="22"/>
        </w:rPr>
        <w:t xml:space="preserve"> who is involved in their implementation of the OD2A program activities, specifically communication</w:t>
      </w:r>
      <w:r w:rsidRPr="6A568BE0" w:rsidR="008E5751">
        <w:rPr>
          <w:rFonts w:ascii="Cambria" w:hAnsi="Cambria"/>
          <w:sz w:val="22"/>
          <w:szCs w:val="22"/>
        </w:rPr>
        <w:t>, education,</w:t>
      </w:r>
      <w:r w:rsidRPr="6A568BE0">
        <w:rPr>
          <w:rFonts w:ascii="Cambria" w:hAnsi="Cambria"/>
          <w:sz w:val="22"/>
          <w:szCs w:val="22"/>
        </w:rPr>
        <w:t xml:space="preserve"> and campaign-related activities.</w:t>
      </w:r>
      <w:r w:rsidRPr="6A568BE0" w:rsidR="00765C8F">
        <w:rPr>
          <w:rFonts w:ascii="Cambria" w:hAnsi="Cambria"/>
          <w:sz w:val="22"/>
          <w:szCs w:val="22"/>
        </w:rPr>
        <w:t xml:space="preserve"> The email recipient will be asked to </w:t>
      </w:r>
      <w:r w:rsidRPr="6A568BE0" w:rsidR="000D7910">
        <w:rPr>
          <w:rFonts w:ascii="Cambria" w:hAnsi="Cambria"/>
          <w:sz w:val="22"/>
          <w:szCs w:val="22"/>
        </w:rPr>
        <w:t>forward the email to</w:t>
      </w:r>
      <w:r w:rsidRPr="6A568BE0" w:rsidR="00765C8F">
        <w:rPr>
          <w:rFonts w:ascii="Cambria" w:hAnsi="Cambria"/>
          <w:sz w:val="22"/>
          <w:szCs w:val="22"/>
        </w:rPr>
        <w:t xml:space="preserve"> an alternate contact to complete the survey</w:t>
      </w:r>
      <w:r w:rsidRPr="6A568BE0" w:rsidR="005B7800">
        <w:rPr>
          <w:rFonts w:ascii="Cambria" w:hAnsi="Cambria"/>
          <w:sz w:val="22"/>
          <w:szCs w:val="22"/>
        </w:rPr>
        <w:t>,</w:t>
      </w:r>
      <w:r w:rsidRPr="6A568BE0" w:rsidR="00765C8F">
        <w:rPr>
          <w:rFonts w:ascii="Cambria" w:hAnsi="Cambria"/>
          <w:sz w:val="22"/>
          <w:szCs w:val="22"/>
        </w:rPr>
        <w:t xml:space="preserve"> if needed (e.g., if the original recipient does not feel qualified to answer the questions).</w:t>
      </w:r>
      <w:r w:rsidRPr="6A568BE0" w:rsidR="006F6D0B">
        <w:rPr>
          <w:rFonts w:ascii="Cambria" w:hAnsi="Cambria"/>
          <w:sz w:val="22"/>
          <w:szCs w:val="22"/>
        </w:rPr>
        <w:t xml:space="preserve"> The OD2A grantee may request </w:t>
      </w:r>
      <w:r w:rsidRPr="6A568BE0" w:rsidR="005B7800">
        <w:rPr>
          <w:rFonts w:ascii="Cambria" w:hAnsi="Cambria"/>
          <w:sz w:val="22"/>
          <w:szCs w:val="22"/>
        </w:rPr>
        <w:t xml:space="preserve">that </w:t>
      </w:r>
      <w:r w:rsidRPr="6A568BE0" w:rsidR="006F6D0B">
        <w:rPr>
          <w:rFonts w:ascii="Cambria" w:hAnsi="Cambria"/>
          <w:sz w:val="22"/>
          <w:szCs w:val="22"/>
        </w:rPr>
        <w:t xml:space="preserve">a delegate complete the survey, </w:t>
      </w:r>
      <w:r w:rsidRPr="6A568BE0" w:rsidR="008849C9">
        <w:rPr>
          <w:rFonts w:ascii="Cambria" w:hAnsi="Cambria"/>
          <w:sz w:val="22"/>
          <w:szCs w:val="22"/>
        </w:rPr>
        <w:t xml:space="preserve">such </w:t>
      </w:r>
      <w:r w:rsidRPr="6A568BE0" w:rsidR="006F6D0B">
        <w:rPr>
          <w:rFonts w:ascii="Cambria" w:hAnsi="Cambria"/>
          <w:sz w:val="22"/>
          <w:szCs w:val="22"/>
        </w:rPr>
        <w:t>a</w:t>
      </w:r>
      <w:r w:rsidRPr="6A568BE0" w:rsidR="008849C9">
        <w:rPr>
          <w:rFonts w:ascii="Cambria" w:hAnsi="Cambria"/>
          <w:sz w:val="22"/>
          <w:szCs w:val="22"/>
        </w:rPr>
        <w:t>s</w:t>
      </w:r>
      <w:r w:rsidRPr="6A568BE0" w:rsidR="006F6D0B">
        <w:rPr>
          <w:rFonts w:ascii="Cambria" w:hAnsi="Cambria"/>
          <w:sz w:val="22"/>
          <w:szCs w:val="22"/>
        </w:rPr>
        <w:t xml:space="preserve"> </w:t>
      </w:r>
      <w:r w:rsidRPr="6A568BE0" w:rsidR="00B16ACF">
        <w:rPr>
          <w:rFonts w:ascii="Cambria" w:hAnsi="Cambria"/>
          <w:sz w:val="22"/>
          <w:szCs w:val="22"/>
        </w:rPr>
        <w:t xml:space="preserve">a </w:t>
      </w:r>
      <w:r w:rsidRPr="6A568BE0" w:rsidR="006F6D0B">
        <w:rPr>
          <w:rFonts w:ascii="Cambria" w:hAnsi="Cambria"/>
          <w:sz w:val="22"/>
          <w:szCs w:val="22"/>
        </w:rPr>
        <w:t>contractor</w:t>
      </w:r>
      <w:r w:rsidRPr="6A568BE0" w:rsidR="008849C9">
        <w:rPr>
          <w:rFonts w:ascii="Cambria" w:hAnsi="Cambria"/>
          <w:sz w:val="22"/>
          <w:szCs w:val="22"/>
        </w:rPr>
        <w:t xml:space="preserve">, who may be conducting communication services on </w:t>
      </w:r>
      <w:r w:rsidRPr="6A568BE0" w:rsidR="00C352DE">
        <w:rPr>
          <w:rFonts w:ascii="Cambria" w:hAnsi="Cambria"/>
          <w:sz w:val="22"/>
          <w:szCs w:val="22"/>
        </w:rPr>
        <w:t>behalf</w:t>
      </w:r>
      <w:r w:rsidRPr="6A568BE0" w:rsidR="008849C9">
        <w:rPr>
          <w:rFonts w:ascii="Cambria" w:hAnsi="Cambria"/>
          <w:sz w:val="22"/>
          <w:szCs w:val="22"/>
        </w:rPr>
        <w:t xml:space="preserve"> of the </w:t>
      </w:r>
      <w:r w:rsidRPr="6A568BE0" w:rsidR="005B7800">
        <w:rPr>
          <w:rFonts w:ascii="Cambria" w:hAnsi="Cambria"/>
          <w:sz w:val="22"/>
          <w:szCs w:val="22"/>
        </w:rPr>
        <w:t>State, Tribal, Local, and Territorial (</w:t>
      </w:r>
      <w:r w:rsidRPr="6A568BE0" w:rsidR="008849C9">
        <w:rPr>
          <w:rFonts w:ascii="Cambria" w:hAnsi="Cambria"/>
          <w:sz w:val="22"/>
          <w:szCs w:val="22"/>
        </w:rPr>
        <w:t>STL</w:t>
      </w:r>
      <w:r w:rsidRPr="6A568BE0" w:rsidR="00C352DE">
        <w:rPr>
          <w:rFonts w:ascii="Cambria" w:hAnsi="Cambria"/>
          <w:sz w:val="22"/>
          <w:szCs w:val="22"/>
        </w:rPr>
        <w:t>T</w:t>
      </w:r>
      <w:r w:rsidRPr="6A568BE0" w:rsidR="005B7800">
        <w:rPr>
          <w:rFonts w:ascii="Cambria" w:hAnsi="Cambria"/>
          <w:sz w:val="22"/>
          <w:szCs w:val="22"/>
        </w:rPr>
        <w:t>)</w:t>
      </w:r>
      <w:r w:rsidRPr="6A568BE0" w:rsidR="008849C9">
        <w:rPr>
          <w:rFonts w:ascii="Cambria" w:hAnsi="Cambria"/>
          <w:sz w:val="22"/>
          <w:szCs w:val="22"/>
        </w:rPr>
        <w:t xml:space="preserve"> </w:t>
      </w:r>
      <w:r w:rsidRPr="6A568BE0" w:rsidR="00C352DE">
        <w:rPr>
          <w:rFonts w:ascii="Cambria" w:hAnsi="Cambria"/>
          <w:sz w:val="22"/>
          <w:szCs w:val="22"/>
        </w:rPr>
        <w:t>health department. For example, many health departments use outside vendors or contractors to conduct marketing or communication activities.</w:t>
      </w:r>
    </w:p>
    <w:p w:rsidR="00287E2F" w:rsidRPr="009759F3" w:rsidP="002955E6" w14:paraId="315101AE" w14:textId="77777777">
      <w:pPr>
        <w:pStyle w:val="Heading4"/>
        <w:spacing w:after="0" w:line="240" w:lineRule="auto"/>
      </w:pPr>
      <w:bookmarkStart w:id="4" w:name="_Toc413847912"/>
      <w:r w:rsidRPr="009759F3">
        <w:t xml:space="preserve">Procedures for </w:t>
      </w:r>
      <w:r w:rsidRPr="009759F3" w:rsidR="009759F3">
        <w:t xml:space="preserve">the </w:t>
      </w:r>
      <w:r w:rsidRPr="009759F3">
        <w:t>Collecti</w:t>
      </w:r>
      <w:r w:rsidRPr="009759F3" w:rsidR="009759F3">
        <w:t>on</w:t>
      </w:r>
      <w:r w:rsidRPr="009759F3">
        <w:t xml:space="preserve"> of Information</w:t>
      </w:r>
      <w:bookmarkEnd w:id="4"/>
      <w:r w:rsidRPr="009759F3" w:rsidR="00F725B5">
        <w:t xml:space="preserve"> </w:t>
      </w:r>
      <w:r w:rsidRPr="009759F3" w:rsidR="009759F3">
        <w:t xml:space="preserve">  </w:t>
      </w:r>
    </w:p>
    <w:p w:rsidR="001D461D" w:rsidP="002955E6" w14:paraId="260C996C" w14:textId="77777777">
      <w:pPr>
        <w:spacing w:line="240" w:lineRule="auto"/>
        <w:ind w:left="360"/>
      </w:pPr>
    </w:p>
    <w:p w:rsidR="00E33BBA" w:rsidRPr="009011A8" w:rsidP="00E33BBA" w14:paraId="71219EF4" w14:textId="642DDB83">
      <w:pPr>
        <w:ind w:left="360"/>
      </w:pPr>
      <w:r>
        <w:t>D</w:t>
      </w:r>
      <w:r w:rsidRPr="003163A2">
        <w:t xml:space="preserve">ata will be collected </w:t>
      </w:r>
      <w:r>
        <w:t xml:space="preserve">via </w:t>
      </w:r>
      <w:r w:rsidR="00970CC6">
        <w:t xml:space="preserve">an </w:t>
      </w:r>
      <w:r w:rsidRPr="00765C8F" w:rsidR="007B7F13">
        <w:t>online survey</w:t>
      </w:r>
      <w:r w:rsidRPr="00765C8F">
        <w:t xml:space="preserve"> </w:t>
      </w:r>
      <w:r w:rsidR="00BB2E75">
        <w:t xml:space="preserve">(see </w:t>
      </w:r>
      <w:r w:rsidRPr="00D11F75" w:rsidR="00D11F75">
        <w:rPr>
          <w:b/>
          <w:bCs/>
        </w:rPr>
        <w:t>Attachment 1—Survey Instrument</w:t>
      </w:r>
      <w:r w:rsidR="00D11F75">
        <w:t xml:space="preserve"> and </w:t>
      </w:r>
      <w:r w:rsidRPr="00D11F75" w:rsidR="00BB2E75">
        <w:rPr>
          <w:b/>
          <w:bCs/>
        </w:rPr>
        <w:t>Attachment 2</w:t>
      </w:r>
      <w:r w:rsidRPr="00D11F75" w:rsidR="00D11F75">
        <w:rPr>
          <w:b/>
          <w:bCs/>
        </w:rPr>
        <w:t>—Programmed Survey</w:t>
      </w:r>
      <w:r w:rsidR="00D11F75">
        <w:t xml:space="preserve">) </w:t>
      </w:r>
      <w:r w:rsidRPr="00765C8F">
        <w:t xml:space="preserve">and </w:t>
      </w:r>
      <w:r>
        <w:t>respondents</w:t>
      </w:r>
      <w:r w:rsidRPr="003163A2">
        <w:t xml:space="preserve"> will be recruited through a</w:t>
      </w:r>
      <w:r>
        <w:t xml:space="preserve"> notification</w:t>
      </w:r>
      <w:r w:rsidRPr="003163A2">
        <w:t xml:space="preserve"> </w:t>
      </w:r>
      <w:r w:rsidRPr="009011A8">
        <w:t xml:space="preserve">(see </w:t>
      </w:r>
      <w:r w:rsidRPr="00FA1567">
        <w:rPr>
          <w:b/>
        </w:rPr>
        <w:t xml:space="preserve">Attachment </w:t>
      </w:r>
      <w:r w:rsidR="009A1EE5">
        <w:rPr>
          <w:b/>
        </w:rPr>
        <w:t>3</w:t>
      </w:r>
      <w:r w:rsidRPr="00FA1567">
        <w:rPr>
          <w:b/>
        </w:rPr>
        <w:t>—</w:t>
      </w:r>
      <w:r w:rsidRPr="00FA1567" w:rsidR="00765C8F">
        <w:rPr>
          <w:b/>
        </w:rPr>
        <w:t>Recruitment Email</w:t>
      </w:r>
      <w:r w:rsidRPr="009011A8">
        <w:t>)</w:t>
      </w:r>
      <w:r w:rsidRPr="0069580C">
        <w:t xml:space="preserve"> </w:t>
      </w:r>
      <w:r>
        <w:t>to the respondent universe</w:t>
      </w:r>
      <w:r w:rsidR="002B0251">
        <w:t xml:space="preserve"> </w:t>
      </w:r>
      <w:r w:rsidR="00D11F75">
        <w:t xml:space="preserve">(see </w:t>
      </w:r>
      <w:r w:rsidRPr="00D11F75" w:rsidR="00D11F75">
        <w:rPr>
          <w:b/>
          <w:bCs/>
        </w:rPr>
        <w:t>Attachment 6—Respondent Universe</w:t>
      </w:r>
      <w:r w:rsidR="00D11F75">
        <w:t xml:space="preserve">) </w:t>
      </w:r>
      <w:r w:rsidR="002B0251">
        <w:t>via email</w:t>
      </w:r>
      <w:r w:rsidRPr="009011A8">
        <w:t xml:space="preserve">. The notification email will explain: </w:t>
      </w:r>
    </w:p>
    <w:p w:rsidR="00E33BBA" w:rsidP="000741B7" w14:paraId="31DBDEB8" w14:textId="3F9BDB9C">
      <w:pPr>
        <w:pStyle w:val="ListParagraph"/>
        <w:numPr>
          <w:ilvl w:val="0"/>
          <w:numId w:val="2"/>
        </w:numPr>
        <w:ind w:left="1080"/>
      </w:pPr>
      <w:r w:rsidRPr="009011A8">
        <w:t xml:space="preserve">The purpose of the </w:t>
      </w:r>
      <w:r w:rsidR="006C1771">
        <w:t>data collection</w:t>
      </w:r>
      <w:r w:rsidRPr="009011A8">
        <w:t xml:space="preserve">, and why their participation is </w:t>
      </w:r>
      <w:r w:rsidRPr="009011A8">
        <w:t>important</w:t>
      </w:r>
      <w:r w:rsidR="005B7800">
        <w:t>;</w:t>
      </w:r>
      <w:r w:rsidRPr="009011A8">
        <w:t xml:space="preserve"> </w:t>
      </w:r>
    </w:p>
    <w:p w:rsidR="00E33BBA" w:rsidRPr="009011A8" w:rsidP="000741B7" w14:paraId="5AFBF7DB" w14:textId="17C58521">
      <w:pPr>
        <w:pStyle w:val="ListParagraph"/>
        <w:numPr>
          <w:ilvl w:val="0"/>
          <w:numId w:val="2"/>
        </w:numPr>
        <w:ind w:left="1080"/>
      </w:pPr>
      <w:r>
        <w:t xml:space="preserve">Instructions for </w:t>
      </w:r>
      <w:r>
        <w:t>participating</w:t>
      </w:r>
      <w:r w:rsidR="005B7800">
        <w:t>;</w:t>
      </w:r>
    </w:p>
    <w:p w:rsidR="00E33BBA" w:rsidRPr="009011A8" w:rsidP="000741B7" w14:paraId="0F60838C" w14:textId="6B2477A3">
      <w:pPr>
        <w:pStyle w:val="ListParagraph"/>
        <w:numPr>
          <w:ilvl w:val="0"/>
          <w:numId w:val="2"/>
        </w:numPr>
        <w:ind w:left="1080"/>
      </w:pPr>
      <w:r w:rsidRPr="009011A8">
        <w:t xml:space="preserve">Method to safeguard their </w:t>
      </w:r>
      <w:r w:rsidRPr="009011A8">
        <w:t>responses</w:t>
      </w:r>
      <w:r w:rsidR="005B7800">
        <w:t>;</w:t>
      </w:r>
      <w:r w:rsidRPr="009011A8">
        <w:t xml:space="preserve"> </w:t>
      </w:r>
    </w:p>
    <w:p w:rsidR="00E33BBA" w:rsidRPr="009011A8" w:rsidP="000741B7" w14:paraId="04A3566C" w14:textId="3D7F9D28">
      <w:pPr>
        <w:pStyle w:val="ListParagraph"/>
        <w:numPr>
          <w:ilvl w:val="0"/>
          <w:numId w:val="2"/>
        </w:numPr>
        <w:ind w:left="1080"/>
      </w:pPr>
      <w:r w:rsidRPr="009011A8">
        <w:t xml:space="preserve">That participation is </w:t>
      </w:r>
      <w:r w:rsidRPr="009011A8">
        <w:t>voluntary</w:t>
      </w:r>
      <w:r w:rsidR="005B7800">
        <w:t>;</w:t>
      </w:r>
    </w:p>
    <w:p w:rsidR="000279A9" w:rsidP="000741B7" w14:paraId="1AA9CF1B" w14:textId="00EFF21B">
      <w:pPr>
        <w:pStyle w:val="ListParagraph"/>
        <w:numPr>
          <w:ilvl w:val="0"/>
          <w:numId w:val="2"/>
        </w:numPr>
        <w:ind w:left="1080"/>
      </w:pPr>
      <w:r w:rsidRPr="009011A8">
        <w:t xml:space="preserve">The expected time to complete the </w:t>
      </w:r>
      <w:r w:rsidR="006C1771">
        <w:t>instrument</w:t>
      </w:r>
      <w:r w:rsidR="005B7800">
        <w:t>; and</w:t>
      </w:r>
      <w:r w:rsidRPr="009011A8">
        <w:t xml:space="preserve"> </w:t>
      </w:r>
    </w:p>
    <w:p w:rsidR="00691031" w:rsidP="000741B7" w14:paraId="1617C7CB" w14:textId="4FB73FE3">
      <w:pPr>
        <w:pStyle w:val="ListParagraph"/>
        <w:numPr>
          <w:ilvl w:val="0"/>
          <w:numId w:val="2"/>
        </w:numPr>
        <w:ind w:left="1080"/>
      </w:pPr>
      <w:r w:rsidRPr="009011A8">
        <w:t xml:space="preserve">Contact information for the </w:t>
      </w:r>
      <w:r w:rsidR="006C1771">
        <w:t>project</w:t>
      </w:r>
      <w:r w:rsidRPr="009011A8">
        <w:t xml:space="preserve"> team</w:t>
      </w:r>
      <w:r w:rsidR="005B7800">
        <w:t>.</w:t>
      </w:r>
    </w:p>
    <w:p w:rsidR="00691031" w:rsidP="002955E6" w14:paraId="409C569F" w14:textId="77777777">
      <w:pPr>
        <w:spacing w:line="240" w:lineRule="auto"/>
        <w:ind w:left="360"/>
      </w:pPr>
    </w:p>
    <w:p w:rsidR="000523F6" w:rsidP="00394F52" w14:paraId="416FF7DB" w14:textId="0DED8539">
      <w:pPr>
        <w:spacing w:line="240" w:lineRule="auto"/>
        <w:ind w:left="360"/>
        <w:rPr>
          <w:rFonts w:ascii="Cambria" w:hAnsi="Cambria"/>
        </w:rPr>
      </w:pPr>
      <w:r>
        <w:rPr>
          <w:rFonts w:ascii="Cambria" w:hAnsi="Cambria"/>
        </w:rPr>
        <w:t>The email will include a survey link</w:t>
      </w:r>
      <w:r w:rsidR="007E0395">
        <w:rPr>
          <w:rFonts w:ascii="Cambria" w:hAnsi="Cambria"/>
        </w:rPr>
        <w:t>, where</w:t>
      </w:r>
      <w:r>
        <w:rPr>
          <w:rFonts w:ascii="Cambria" w:hAnsi="Cambria"/>
        </w:rPr>
        <w:t xml:space="preserve"> </w:t>
      </w:r>
      <w:r w:rsidR="007E0395">
        <w:rPr>
          <w:rFonts w:ascii="Cambria" w:hAnsi="Cambria"/>
        </w:rPr>
        <w:t>each participant will submit re</w:t>
      </w:r>
      <w:r w:rsidR="001657A4">
        <w:rPr>
          <w:rFonts w:ascii="Cambria" w:hAnsi="Cambria"/>
        </w:rPr>
        <w:t>s</w:t>
      </w:r>
      <w:r w:rsidR="007E0395">
        <w:rPr>
          <w:rFonts w:ascii="Cambria" w:hAnsi="Cambria"/>
        </w:rPr>
        <w:t xml:space="preserve">ponses. </w:t>
      </w:r>
      <w:r w:rsidRPr="00586C47" w:rsidR="007E0395">
        <w:rPr>
          <w:rFonts w:ascii="Cambria" w:hAnsi="Cambria"/>
        </w:rPr>
        <w:t xml:space="preserve">The survey will be fielded for up to 4 weeks to ensure grantees have sufficient time to respond. Participants will receive up to </w:t>
      </w:r>
      <w:r w:rsidR="005B7800">
        <w:rPr>
          <w:rFonts w:ascii="Cambria" w:hAnsi="Cambria"/>
        </w:rPr>
        <w:t xml:space="preserve">one </w:t>
      </w:r>
      <w:r w:rsidRPr="00586C47" w:rsidR="007E0395">
        <w:rPr>
          <w:rFonts w:ascii="Cambria" w:hAnsi="Cambria"/>
        </w:rPr>
        <w:t xml:space="preserve">reminder email each week (i.e., up to </w:t>
      </w:r>
      <w:r w:rsidR="005B7800">
        <w:rPr>
          <w:rFonts w:ascii="Cambria" w:hAnsi="Cambria"/>
        </w:rPr>
        <w:t xml:space="preserve">four </w:t>
      </w:r>
      <w:r w:rsidRPr="00586C47" w:rsidR="007E0395">
        <w:rPr>
          <w:rFonts w:ascii="Cambria" w:hAnsi="Cambria"/>
        </w:rPr>
        <w:t>emails in total)</w:t>
      </w:r>
      <w:r w:rsidR="009A1EE5">
        <w:rPr>
          <w:rFonts w:ascii="Cambria" w:hAnsi="Cambria"/>
        </w:rPr>
        <w:t xml:space="preserve"> (see</w:t>
      </w:r>
      <w:r w:rsidR="00394F52">
        <w:rPr>
          <w:rFonts w:ascii="Cambria" w:hAnsi="Cambria"/>
        </w:rPr>
        <w:t xml:space="preserve"> </w:t>
      </w:r>
      <w:r w:rsidRPr="00394F52" w:rsidR="00394F52">
        <w:rPr>
          <w:rFonts w:ascii="Cambria" w:hAnsi="Cambria"/>
          <w:b/>
          <w:bCs/>
        </w:rPr>
        <w:t>Attachment 4—Reminder Email</w:t>
      </w:r>
      <w:r w:rsidR="00394F52">
        <w:rPr>
          <w:rFonts w:ascii="Cambria" w:hAnsi="Cambria"/>
        </w:rPr>
        <w:t xml:space="preserve"> and </w:t>
      </w:r>
      <w:r w:rsidRPr="00394F52" w:rsidR="00394F52">
        <w:rPr>
          <w:rFonts w:ascii="Cambria" w:hAnsi="Cambria"/>
          <w:b/>
          <w:bCs/>
        </w:rPr>
        <w:t>Attachment 5—Final Reminder Email</w:t>
      </w:r>
      <w:r w:rsidR="00394F52">
        <w:rPr>
          <w:rFonts w:ascii="Cambria" w:hAnsi="Cambria"/>
        </w:rPr>
        <w:t>)</w:t>
      </w:r>
      <w:r w:rsidRPr="00586C47" w:rsidR="007E0395">
        <w:rPr>
          <w:rFonts w:ascii="Cambria" w:hAnsi="Cambria"/>
        </w:rPr>
        <w:t>.</w:t>
      </w:r>
    </w:p>
    <w:p w:rsidR="000523F6" w:rsidP="002955E6" w14:paraId="5187FB77" w14:textId="77777777">
      <w:pPr>
        <w:spacing w:line="240" w:lineRule="auto"/>
        <w:ind w:left="360"/>
        <w:rPr>
          <w:rFonts w:ascii="Cambria" w:hAnsi="Cambria"/>
        </w:rPr>
      </w:pPr>
    </w:p>
    <w:p w:rsidR="00691031" w:rsidRPr="00586C47" w:rsidP="002955E6" w14:paraId="48B3DA11" w14:textId="2DDA47B4">
      <w:pPr>
        <w:spacing w:line="240" w:lineRule="auto"/>
        <w:ind w:left="360"/>
        <w:rPr>
          <w:rFonts w:ascii="Cambria" w:hAnsi="Cambria"/>
        </w:rPr>
      </w:pPr>
      <w:r w:rsidRPr="6A568BE0">
        <w:rPr>
          <w:rFonts w:ascii="Cambria" w:hAnsi="Cambria"/>
        </w:rPr>
        <w:t xml:space="preserve">Survey </w:t>
      </w:r>
      <w:r w:rsidRPr="6A568BE0" w:rsidR="00022B67">
        <w:rPr>
          <w:rFonts w:ascii="Cambria" w:hAnsi="Cambria"/>
        </w:rPr>
        <w:t>invites</w:t>
      </w:r>
      <w:r w:rsidRPr="6A568BE0" w:rsidR="001657A4">
        <w:rPr>
          <w:rFonts w:ascii="Cambria" w:hAnsi="Cambria"/>
        </w:rPr>
        <w:t xml:space="preserve"> will be </w:t>
      </w:r>
      <w:r w:rsidRPr="6A568BE0">
        <w:rPr>
          <w:rFonts w:ascii="Cambria" w:hAnsi="Cambria"/>
        </w:rPr>
        <w:t>sent</w:t>
      </w:r>
      <w:r w:rsidRPr="6A568BE0" w:rsidR="00E32B18">
        <w:rPr>
          <w:rFonts w:ascii="Cambria" w:hAnsi="Cambria"/>
        </w:rPr>
        <w:t xml:space="preserve"> to </w:t>
      </w:r>
      <w:r w:rsidRPr="6A568BE0" w:rsidR="00645283">
        <w:rPr>
          <w:rFonts w:ascii="Cambria" w:hAnsi="Cambria"/>
        </w:rPr>
        <w:t xml:space="preserve">up to </w:t>
      </w:r>
      <w:r w:rsidRPr="6A568BE0">
        <w:rPr>
          <w:rFonts w:ascii="Cambria" w:hAnsi="Cambria"/>
        </w:rPr>
        <w:t>90 CDC-funded OD2A grantee</w:t>
      </w:r>
      <w:r w:rsidRPr="6A568BE0" w:rsidR="00195EF4">
        <w:rPr>
          <w:rFonts w:ascii="Cambria" w:hAnsi="Cambria"/>
        </w:rPr>
        <w:t>s</w:t>
      </w:r>
      <w:r w:rsidRPr="6A568BE0">
        <w:rPr>
          <w:rFonts w:ascii="Cambria" w:hAnsi="Cambria"/>
        </w:rPr>
        <w:t xml:space="preserve"> </w:t>
      </w:r>
      <w:r w:rsidRPr="6A568BE0" w:rsidR="00022B67">
        <w:rPr>
          <w:rFonts w:ascii="Cambria" w:hAnsi="Cambria"/>
        </w:rPr>
        <w:t xml:space="preserve">with jobs titles </w:t>
      </w:r>
      <w:r w:rsidRPr="6A568BE0" w:rsidR="005B7800">
        <w:rPr>
          <w:rFonts w:ascii="Cambria" w:hAnsi="Cambria"/>
        </w:rPr>
        <w:t>such as program director, program manager, communication manager, public health educator, grant coordinator, and outreach worker/manager</w:t>
      </w:r>
      <w:r w:rsidRPr="6A568BE0" w:rsidR="00022B67">
        <w:rPr>
          <w:rFonts w:ascii="Cambria" w:hAnsi="Cambria"/>
        </w:rPr>
        <w:t>.</w:t>
      </w:r>
      <w:r w:rsidRPr="6A568BE0" w:rsidR="00E32B18">
        <w:rPr>
          <w:rFonts w:ascii="Cambria" w:hAnsi="Cambria"/>
        </w:rPr>
        <w:t xml:space="preserve"> </w:t>
      </w:r>
      <w:r w:rsidRPr="6A568BE0" w:rsidR="006D7D31">
        <w:rPr>
          <w:rFonts w:ascii="Cambria" w:hAnsi="Cambria"/>
        </w:rPr>
        <w:t xml:space="preserve">Email recipients </w:t>
      </w:r>
      <w:r w:rsidRPr="6A568BE0" w:rsidR="00CE301C">
        <w:rPr>
          <w:rFonts w:ascii="Cambria" w:hAnsi="Cambria"/>
        </w:rPr>
        <w:t xml:space="preserve">may select an </w:t>
      </w:r>
      <w:r w:rsidRPr="6A568BE0" w:rsidR="006D7D31">
        <w:rPr>
          <w:rFonts w:ascii="Cambria" w:hAnsi="Cambria"/>
        </w:rPr>
        <w:t xml:space="preserve">alternative point of contact </w:t>
      </w:r>
      <w:r w:rsidRPr="6A568BE0" w:rsidR="00CE301C">
        <w:rPr>
          <w:rFonts w:ascii="Cambria" w:hAnsi="Cambria"/>
        </w:rPr>
        <w:t>to complete the survey</w:t>
      </w:r>
      <w:r w:rsidRPr="6A568BE0" w:rsidR="005B7800">
        <w:rPr>
          <w:rFonts w:ascii="Cambria" w:hAnsi="Cambria"/>
        </w:rPr>
        <w:t>,</w:t>
      </w:r>
      <w:r w:rsidRPr="6A568BE0" w:rsidR="00CE301C">
        <w:rPr>
          <w:rFonts w:ascii="Cambria" w:hAnsi="Cambria"/>
        </w:rPr>
        <w:t xml:space="preserve"> if </w:t>
      </w:r>
      <w:r w:rsidRPr="6A568BE0" w:rsidR="006D7D31">
        <w:rPr>
          <w:rFonts w:ascii="Cambria" w:hAnsi="Cambria"/>
        </w:rPr>
        <w:t xml:space="preserve">appropriate. </w:t>
      </w:r>
      <w:r w:rsidRPr="6A568BE0" w:rsidR="006C0B56">
        <w:rPr>
          <w:rFonts w:ascii="Cambria" w:hAnsi="Cambria"/>
        </w:rPr>
        <w:t>Those who do not submit responses by the time the fielding window closes will be considered non-responders</w:t>
      </w:r>
      <w:r w:rsidRPr="6A568BE0" w:rsidR="009700F4">
        <w:rPr>
          <w:rFonts w:ascii="Cambria" w:hAnsi="Cambria"/>
        </w:rPr>
        <w:t>.</w:t>
      </w:r>
    </w:p>
    <w:p w:rsidR="004D70EE" w:rsidP="002955E6" w14:paraId="1B0E8711" w14:textId="56FD1854">
      <w:pPr>
        <w:spacing w:line="240" w:lineRule="auto"/>
        <w:ind w:left="360"/>
      </w:pPr>
    </w:p>
    <w:p w:rsidR="0053651D" w:rsidRPr="00F609BE" w:rsidP="00EE7601" w14:paraId="42F10D00" w14:textId="3ABAE3E1">
      <w:pPr>
        <w:autoSpaceDE w:val="0"/>
        <w:autoSpaceDN w:val="0"/>
        <w:adjustRightInd w:val="0"/>
        <w:ind w:left="360"/>
        <w:rPr>
          <w:rFonts w:ascii="Cambria" w:hAnsi="Cambria"/>
        </w:rPr>
      </w:pPr>
      <w:r w:rsidRPr="6A568BE0">
        <w:rPr>
          <w:rFonts w:ascii="Cambria" w:hAnsi="Cambria"/>
        </w:rPr>
        <w:t xml:space="preserve">After the raw survey data </w:t>
      </w:r>
      <w:r w:rsidRPr="6A568BE0" w:rsidR="005B7800">
        <w:rPr>
          <w:rFonts w:ascii="Cambria" w:hAnsi="Cambria"/>
        </w:rPr>
        <w:t xml:space="preserve">are </w:t>
      </w:r>
      <w:r w:rsidRPr="6A568BE0">
        <w:rPr>
          <w:rFonts w:ascii="Cambria" w:hAnsi="Cambria"/>
        </w:rPr>
        <w:t xml:space="preserve">downloaded from the </w:t>
      </w:r>
      <w:r w:rsidRPr="6A568BE0">
        <w:rPr>
          <w:rFonts w:ascii="Cambria" w:hAnsi="Cambria"/>
        </w:rPr>
        <w:t>Voxco</w:t>
      </w:r>
      <w:r w:rsidRPr="6A568BE0">
        <w:rPr>
          <w:rFonts w:ascii="Cambria" w:hAnsi="Cambria"/>
        </w:rPr>
        <w:t xml:space="preserve"> platform,</w:t>
      </w:r>
      <w:r w:rsidRPr="6A568BE0">
        <w:rPr>
          <w:rFonts w:ascii="Cambria" w:hAnsi="Cambria"/>
        </w:rPr>
        <w:t xml:space="preserve"> </w:t>
      </w:r>
      <w:r w:rsidRPr="6A568BE0">
        <w:rPr>
          <w:rFonts w:ascii="Cambria" w:hAnsi="Cambria"/>
        </w:rPr>
        <w:t xml:space="preserve">the </w:t>
      </w:r>
      <w:r w:rsidR="009604B8">
        <w:rPr>
          <w:rFonts w:ascii="Cambria" w:hAnsi="Cambria"/>
        </w:rPr>
        <w:t>project</w:t>
      </w:r>
      <w:r w:rsidRPr="6A568BE0" w:rsidR="009604B8">
        <w:rPr>
          <w:rFonts w:ascii="Cambria" w:hAnsi="Cambria"/>
        </w:rPr>
        <w:t xml:space="preserve"> </w:t>
      </w:r>
      <w:r w:rsidRPr="6A568BE0">
        <w:rPr>
          <w:rFonts w:ascii="Cambria" w:hAnsi="Cambria"/>
        </w:rPr>
        <w:t>team will use Stata</w:t>
      </w:r>
      <w:r w:rsidRPr="6A568BE0" w:rsidR="0094179A">
        <w:rPr>
          <w:rFonts w:ascii="Cambria" w:hAnsi="Cambria"/>
        </w:rPr>
        <w:t xml:space="preserve"> statistical software</w:t>
      </w:r>
      <w:r w:rsidRPr="6A568BE0">
        <w:rPr>
          <w:rFonts w:ascii="Cambria" w:hAnsi="Cambria"/>
        </w:rPr>
        <w:t xml:space="preserve"> for data processing and cleaning. E</w:t>
      </w:r>
      <w:r w:rsidRPr="6A568BE0">
        <w:rPr>
          <w:rFonts w:ascii="Cambria" w:hAnsi="Cambria"/>
        </w:rPr>
        <w:t>ach variable will be clearly named and labeled, and each will be properly identified by type (e.g., Likert-type variables designated as interval variables). Any personally identifiable information (PII) provided by respondents will be removed. The data set cleaning procedures will include</w:t>
      </w:r>
      <w:r w:rsidRPr="6A568BE0">
        <w:rPr>
          <w:rFonts w:ascii="Cambria" w:hAnsi="Cambria"/>
        </w:rPr>
        <w:t xml:space="preserve"> i</w:t>
      </w:r>
      <w:r w:rsidRPr="6A568BE0">
        <w:rPr>
          <w:rFonts w:ascii="Cambria" w:hAnsi="Cambria"/>
        </w:rPr>
        <w:t>ndependent review of data set creation to ensure accuracy</w:t>
      </w:r>
      <w:r w:rsidRPr="6A568BE0">
        <w:rPr>
          <w:rFonts w:ascii="Cambria" w:hAnsi="Cambria"/>
        </w:rPr>
        <w:t>.</w:t>
      </w:r>
      <w:r w:rsidRPr="6A568BE0" w:rsidR="00EE7601">
        <w:rPr>
          <w:rFonts w:ascii="Cambria" w:hAnsi="Cambria"/>
        </w:rPr>
        <w:t xml:space="preserve"> The data will be password protected and stored in a secure environment maintained by the contractor.</w:t>
      </w:r>
    </w:p>
    <w:p w:rsidR="001D461D" w:rsidP="00176E14" w14:paraId="16300312" w14:textId="77777777">
      <w:pPr>
        <w:spacing w:line="240" w:lineRule="auto"/>
        <w:ind w:left="0"/>
      </w:pPr>
    </w:p>
    <w:p w:rsidR="009759F3" w:rsidRPr="009759F3" w:rsidP="002955E6" w14:paraId="2E71A48E" w14:textId="15E30D14">
      <w:pPr>
        <w:pStyle w:val="Heading4"/>
        <w:spacing w:after="0" w:line="240" w:lineRule="auto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Pr="009759F3">
        <w:t>Deal with Nonresponse</w:t>
      </w:r>
      <w:bookmarkEnd w:id="5"/>
    </w:p>
    <w:p w:rsidR="001D461D" w:rsidP="002955E6" w14:paraId="4AF28A6D" w14:textId="77777777">
      <w:pPr>
        <w:spacing w:line="240" w:lineRule="auto"/>
        <w:ind w:left="360"/>
        <w:rPr>
          <w:b/>
          <w:color w:val="0070C0"/>
        </w:rPr>
      </w:pPr>
    </w:p>
    <w:p w:rsidR="00991BF9" w:rsidRPr="001D2951" w:rsidP="001D461D" w14:paraId="58C2AAA2" w14:textId="00AB3FB4">
      <w:pPr>
        <w:pStyle w:val="ListParagraph"/>
        <w:spacing w:line="240" w:lineRule="auto"/>
        <w:ind w:left="360"/>
        <w:rPr>
          <w:rFonts w:cs="Times New Roman"/>
        </w:rPr>
      </w:pPr>
      <w:r w:rsidRPr="001D2951">
        <w:rPr>
          <w:rFonts w:cs="Times New Roman"/>
        </w:rPr>
        <w:t xml:space="preserve">Although participation in the </w:t>
      </w:r>
      <w:r w:rsidRPr="001D2951" w:rsidR="00687C5F">
        <w:rPr>
          <w:rFonts w:cs="Times New Roman"/>
        </w:rPr>
        <w:t xml:space="preserve">data collection </w:t>
      </w:r>
      <w:r w:rsidRPr="001D2951">
        <w:rPr>
          <w:rFonts w:cs="Times New Roman"/>
        </w:rPr>
        <w:t xml:space="preserve">is voluntary, the </w:t>
      </w:r>
      <w:r w:rsidRPr="001D2951" w:rsidR="00687C5F">
        <w:rPr>
          <w:rFonts w:cs="Times New Roman"/>
        </w:rPr>
        <w:t xml:space="preserve">project team </w:t>
      </w:r>
      <w:r w:rsidR="006C1771">
        <w:rPr>
          <w:rFonts w:cs="Times New Roman"/>
        </w:rPr>
        <w:t xml:space="preserve">will make every </w:t>
      </w:r>
      <w:r w:rsidRPr="001D2951">
        <w:rPr>
          <w:rFonts w:cs="Times New Roman"/>
        </w:rPr>
        <w:t xml:space="preserve">effort to maximize the rate of response. The </w:t>
      </w:r>
      <w:r w:rsidRPr="001D2951" w:rsidR="00687C5F">
        <w:rPr>
          <w:rFonts w:cs="Times New Roman"/>
        </w:rPr>
        <w:t>data collection instrument</w:t>
      </w:r>
      <w:r w:rsidRPr="001D2951">
        <w:rPr>
          <w:rFonts w:cs="Times New Roman"/>
        </w:rPr>
        <w:t xml:space="preserve"> was designed with </w:t>
      </w:r>
      <w:r w:rsidR="005B7800">
        <w:rPr>
          <w:rFonts w:cs="Times New Roman"/>
        </w:rPr>
        <w:t xml:space="preserve">a </w:t>
      </w:r>
      <w:r w:rsidRPr="001D2951">
        <w:rPr>
          <w:rFonts w:cs="Times New Roman"/>
        </w:rPr>
        <w:t xml:space="preserve">particular focus on streamlining questions to allow for skipping questions based on responses to previous questions, thereby minimizing response burden. </w:t>
      </w:r>
    </w:p>
    <w:p w:rsidR="00687C5F" w:rsidRPr="001D2951" w:rsidP="001D461D" w14:paraId="16AC71A3" w14:textId="77777777">
      <w:pPr>
        <w:pStyle w:val="ListParagraph"/>
        <w:spacing w:line="240" w:lineRule="auto"/>
        <w:ind w:left="360"/>
        <w:rPr>
          <w:rFonts w:cs="Times New Roman"/>
        </w:rPr>
      </w:pPr>
    </w:p>
    <w:p w:rsidR="00991BF9" w:rsidRPr="001D2951" w:rsidP="001D461D" w14:paraId="3F18FAE5" w14:textId="7A14689F">
      <w:pPr>
        <w:spacing w:line="240" w:lineRule="auto"/>
        <w:ind w:left="360"/>
        <w:rPr>
          <w:rFonts w:cs="Arial"/>
        </w:rPr>
      </w:pPr>
      <w:r w:rsidRPr="001D2951">
        <w:t xml:space="preserve">Following the distribution of the invitation to participate in the </w:t>
      </w:r>
      <w:r w:rsidR="00487E55">
        <w:t>data collection</w:t>
      </w:r>
      <w:r w:rsidRPr="00FA1567">
        <w:t xml:space="preserve">, </w:t>
      </w:r>
      <w:r w:rsidRPr="00FA1567" w:rsidR="00687C5F">
        <w:t>(</w:t>
      </w:r>
      <w:r w:rsidRPr="009131B8">
        <w:rPr>
          <w:b/>
          <w:bCs/>
        </w:rPr>
        <w:t>Attachment</w:t>
      </w:r>
      <w:r w:rsidRPr="009131B8" w:rsidR="009019EE">
        <w:rPr>
          <w:b/>
          <w:bCs/>
        </w:rPr>
        <w:t xml:space="preserve"> </w:t>
      </w:r>
      <w:bookmarkStart w:id="6" w:name="_Hlk163047434"/>
      <w:r w:rsidRPr="009131B8" w:rsidR="00061A58">
        <w:rPr>
          <w:b/>
          <w:bCs/>
        </w:rPr>
        <w:t>3</w:t>
      </w:r>
      <w:r w:rsidRPr="009131B8" w:rsidR="005B7800">
        <w:rPr>
          <w:b/>
          <w:bCs/>
        </w:rPr>
        <w:t>—</w:t>
      </w:r>
      <w:bookmarkEnd w:id="6"/>
      <w:r w:rsidRPr="009131B8" w:rsidR="009019EE">
        <w:rPr>
          <w:b/>
          <w:bCs/>
        </w:rPr>
        <w:t>Recruitment Email</w:t>
      </w:r>
      <w:r w:rsidRPr="00FA1567">
        <w:t>)</w:t>
      </w:r>
      <w:r w:rsidRPr="00FA1567" w:rsidR="00687C5F">
        <w:t xml:space="preserve">, respondents will have </w:t>
      </w:r>
      <w:r w:rsidRPr="00FA1567" w:rsidR="006D7D31">
        <w:t>up to 20</w:t>
      </w:r>
      <w:r w:rsidRPr="00FA1567" w:rsidR="00687C5F">
        <w:t xml:space="preserve"> business days to complete the instrument. Those who do not respond within </w:t>
      </w:r>
      <w:r w:rsidRPr="00FA1567" w:rsidR="00466F5E">
        <w:t xml:space="preserve">5 </w:t>
      </w:r>
      <w:r w:rsidRPr="00FA1567" w:rsidR="00687C5F">
        <w:t>business days will receive a</w:t>
      </w:r>
      <w:r w:rsidRPr="00FA1567" w:rsidR="003B683A">
        <w:t>n email</w:t>
      </w:r>
      <w:r w:rsidRPr="00FA1567" w:rsidR="00687C5F">
        <w:t xml:space="preserve"> reminder </w:t>
      </w:r>
      <w:r w:rsidRPr="00FA1567">
        <w:t>(</w:t>
      </w:r>
      <w:r w:rsidRPr="00FA1567" w:rsidR="003B683A">
        <w:t>see</w:t>
      </w:r>
      <w:r w:rsidRPr="00FA1567">
        <w:t xml:space="preserve"> </w:t>
      </w:r>
      <w:r w:rsidRPr="008A1762" w:rsidR="00FA1567">
        <w:rPr>
          <w:b/>
          <w:bCs/>
        </w:rPr>
        <w:t xml:space="preserve">Attachment </w:t>
      </w:r>
      <w:r w:rsidRPr="008A1762" w:rsidR="00061A58">
        <w:rPr>
          <w:b/>
          <w:bCs/>
        </w:rPr>
        <w:t>4</w:t>
      </w:r>
      <w:r w:rsidRPr="008A1762" w:rsidR="005B7800">
        <w:rPr>
          <w:b/>
          <w:bCs/>
        </w:rPr>
        <w:t>—</w:t>
      </w:r>
      <w:r w:rsidRPr="008A1762" w:rsidR="00061A58">
        <w:rPr>
          <w:b/>
          <w:bCs/>
        </w:rPr>
        <w:t>Reminder</w:t>
      </w:r>
      <w:r w:rsidRPr="008A1762" w:rsidR="005B7800">
        <w:rPr>
          <w:b/>
          <w:bCs/>
        </w:rPr>
        <w:t xml:space="preserve"> </w:t>
      </w:r>
      <w:r w:rsidRPr="008A1762" w:rsidR="003B683A">
        <w:rPr>
          <w:b/>
          <w:bCs/>
        </w:rPr>
        <w:t>Emai</w:t>
      </w:r>
      <w:r w:rsidRPr="00FA1567" w:rsidR="003B683A">
        <w:t>l</w:t>
      </w:r>
      <w:r w:rsidR="005B7800">
        <w:t>)</w:t>
      </w:r>
      <w:r w:rsidRPr="00FA1567" w:rsidR="00687C5F">
        <w:t xml:space="preserve"> </w:t>
      </w:r>
      <w:r w:rsidRPr="003161B9" w:rsidR="00687C5F">
        <w:t xml:space="preserve">urging them to complete the </w:t>
      </w:r>
      <w:r w:rsidRPr="003161B9" w:rsidR="006C1771">
        <w:t>instrument</w:t>
      </w:r>
      <w:r w:rsidR="008F5895">
        <w:t>, which will be repeated on a weekly basis</w:t>
      </w:r>
      <w:r w:rsidRPr="003161B9" w:rsidR="00687C5F">
        <w:t xml:space="preserve">. </w:t>
      </w:r>
      <w:r w:rsidRPr="003161B9" w:rsidR="00687C5F">
        <w:rPr>
          <w:rFonts w:cs="Arial"/>
        </w:rPr>
        <w:t xml:space="preserve">Those who do not respond within </w:t>
      </w:r>
      <w:r w:rsidRPr="00FA1567" w:rsidR="003B683A">
        <w:rPr>
          <w:rFonts w:cs="Arial"/>
        </w:rPr>
        <w:t xml:space="preserve">5 </w:t>
      </w:r>
      <w:r w:rsidRPr="001D2951" w:rsidR="00687C5F">
        <w:rPr>
          <w:rFonts w:cs="Arial"/>
        </w:rPr>
        <w:t xml:space="preserve">business days from the </w:t>
      </w:r>
      <w:r w:rsidR="00A24911">
        <w:rPr>
          <w:rFonts w:cs="Arial"/>
        </w:rPr>
        <w:t xml:space="preserve">last </w:t>
      </w:r>
      <w:r w:rsidRPr="001D2951" w:rsidR="00687C5F">
        <w:rPr>
          <w:rFonts w:cs="Arial"/>
        </w:rPr>
        <w:t>reminder email</w:t>
      </w:r>
      <w:r w:rsidRPr="001D2951">
        <w:rPr>
          <w:rFonts w:cs="Arial"/>
        </w:rPr>
        <w:t xml:space="preserve"> </w:t>
      </w:r>
      <w:r w:rsidR="00627E19">
        <w:rPr>
          <w:rFonts w:cs="Arial"/>
        </w:rPr>
        <w:t xml:space="preserve">(see </w:t>
      </w:r>
      <w:r w:rsidRPr="008A1762" w:rsidR="00627E19">
        <w:rPr>
          <w:rFonts w:cs="Arial"/>
          <w:b/>
          <w:bCs/>
        </w:rPr>
        <w:t>Attachment 5</w:t>
      </w:r>
      <w:r w:rsidRPr="001B0D86" w:rsidR="00627E19">
        <w:rPr>
          <w:b/>
          <w:bCs/>
        </w:rPr>
        <w:t>—</w:t>
      </w:r>
      <w:r w:rsidR="00627E19">
        <w:rPr>
          <w:b/>
          <w:bCs/>
        </w:rPr>
        <w:t xml:space="preserve">Final Reminder Email) </w:t>
      </w:r>
      <w:r w:rsidRPr="001D2951" w:rsidR="00687C5F">
        <w:rPr>
          <w:rFonts w:cs="Arial"/>
        </w:rPr>
        <w:t>will be considered non-responders.</w:t>
      </w:r>
    </w:p>
    <w:p w:rsidR="00691031" w:rsidRPr="00176E14" w:rsidP="001D461D" w14:paraId="5AD60BAD" w14:textId="77777777">
      <w:pPr>
        <w:spacing w:line="240" w:lineRule="auto"/>
        <w:ind w:left="360"/>
        <w:rPr>
          <w:rFonts w:cs="Arial"/>
        </w:rPr>
      </w:pPr>
    </w:p>
    <w:p w:rsidR="00F52BCC" w:rsidRPr="009759F3" w:rsidP="002955E6" w14:paraId="3C5DE833" w14:textId="77777777">
      <w:pPr>
        <w:pStyle w:val="Heading4"/>
        <w:spacing w:after="0" w:line="240" w:lineRule="auto"/>
      </w:pPr>
      <w:bookmarkStart w:id="7" w:name="_Toc413847914"/>
      <w:r w:rsidRPr="005F3FEF">
        <w:t xml:space="preserve">Test of Procedures </w:t>
      </w:r>
      <w:r w:rsidRPr="009759F3" w:rsidR="009759F3">
        <w:t>or Methods to be Undertaken</w:t>
      </w:r>
      <w:bookmarkEnd w:id="7"/>
    </w:p>
    <w:p w:rsidR="00865573" w:rsidP="002955E6" w14:paraId="72649700" w14:textId="77777777">
      <w:pPr>
        <w:spacing w:line="240" w:lineRule="auto"/>
        <w:ind w:left="360"/>
        <w:rPr>
          <w:color w:val="000000"/>
          <w:lang w:eastAsia="zh-CN"/>
        </w:rPr>
      </w:pPr>
    </w:p>
    <w:p w:rsidR="004D70EE" w:rsidP="002955E6" w14:paraId="18AD02DF" w14:textId="4120FABA">
      <w:pPr>
        <w:spacing w:line="240" w:lineRule="auto"/>
        <w:ind w:left="360"/>
      </w:pPr>
      <w:r w:rsidRPr="001D2951">
        <w:rPr>
          <w:color w:val="000000"/>
          <w:lang w:eastAsia="zh-CN"/>
        </w:rPr>
        <w:t xml:space="preserve">The estimate for burden hours is based on a pilot test of the </w:t>
      </w:r>
      <w:r w:rsidR="00487E55">
        <w:rPr>
          <w:color w:val="000000"/>
          <w:lang w:eastAsia="zh-CN"/>
        </w:rPr>
        <w:t>data collection</w:t>
      </w:r>
      <w:r w:rsidRPr="001D2951">
        <w:rPr>
          <w:color w:val="000000"/>
          <w:lang w:eastAsia="zh-CN"/>
        </w:rPr>
        <w:t xml:space="preserve"> instrument </w:t>
      </w:r>
      <w:r w:rsidRPr="00D613E0">
        <w:rPr>
          <w:lang w:eastAsia="zh-CN"/>
        </w:rPr>
        <w:t xml:space="preserve">by </w:t>
      </w:r>
      <w:r w:rsidRPr="00D613E0" w:rsidR="00905FB7">
        <w:rPr>
          <w:lang w:eastAsia="zh-CN"/>
        </w:rPr>
        <w:t>three</w:t>
      </w:r>
      <w:r w:rsidRPr="00D613E0" w:rsidR="004154E6">
        <w:rPr>
          <w:lang w:eastAsia="zh-CN"/>
        </w:rPr>
        <w:t xml:space="preserve"> </w:t>
      </w:r>
      <w:r w:rsidRPr="00D613E0">
        <w:rPr>
          <w:lang w:eastAsia="zh-CN"/>
        </w:rPr>
        <w:t xml:space="preserve">public health professionals. In the pilot test, the average time to complete the instrument </w:t>
      </w:r>
      <w:r w:rsidRPr="003161B9">
        <w:rPr>
          <w:color w:val="000000"/>
          <w:lang w:eastAsia="zh-CN"/>
        </w:rPr>
        <w:t xml:space="preserve">including time for reviewing instructions, gathering needed </w:t>
      </w:r>
      <w:r w:rsidRPr="003161B9">
        <w:rPr>
          <w:color w:val="000000"/>
          <w:lang w:eastAsia="zh-CN"/>
        </w:rPr>
        <w:t>information</w:t>
      </w:r>
      <w:r w:rsidRPr="003161B9">
        <w:rPr>
          <w:color w:val="000000"/>
          <w:lang w:eastAsia="zh-CN"/>
        </w:rPr>
        <w:t xml:space="preserve"> and completing the instrument, was </w:t>
      </w:r>
      <w:r w:rsidRPr="008A147E">
        <w:rPr>
          <w:lang w:eastAsia="zh-CN"/>
        </w:rPr>
        <w:t xml:space="preserve">approximately </w:t>
      </w:r>
      <w:r w:rsidRPr="008A147E" w:rsidR="008D3A36">
        <w:rPr>
          <w:lang w:eastAsia="zh-CN"/>
        </w:rPr>
        <w:t>20</w:t>
      </w:r>
      <w:r w:rsidRPr="008A147E">
        <w:rPr>
          <w:lang w:eastAsia="zh-CN"/>
        </w:rPr>
        <w:t xml:space="preserve"> minutes</w:t>
      </w:r>
      <w:r w:rsidRPr="008A147E" w:rsidR="0069580C">
        <w:rPr>
          <w:lang w:eastAsia="zh-CN"/>
        </w:rPr>
        <w:t xml:space="preserve"> (range: </w:t>
      </w:r>
      <w:r w:rsidRPr="008A147E" w:rsidR="008D3A36">
        <w:rPr>
          <w:lang w:eastAsia="zh-CN"/>
        </w:rPr>
        <w:t xml:space="preserve">10 </w:t>
      </w:r>
      <w:r w:rsidRPr="008A147E" w:rsidR="0069580C">
        <w:rPr>
          <w:lang w:eastAsia="zh-CN"/>
        </w:rPr>
        <w:t xml:space="preserve">to </w:t>
      </w:r>
      <w:r w:rsidRPr="008A147E" w:rsidR="008D3A36">
        <w:rPr>
          <w:lang w:eastAsia="zh-CN"/>
        </w:rPr>
        <w:t xml:space="preserve">25 </w:t>
      </w:r>
      <w:r w:rsidRPr="008A147E" w:rsidR="0069580C">
        <w:rPr>
          <w:lang w:eastAsia="zh-CN"/>
        </w:rPr>
        <w:t>minutes)</w:t>
      </w:r>
      <w:r w:rsidRPr="008A147E">
        <w:rPr>
          <w:lang w:eastAsia="zh-CN"/>
        </w:rPr>
        <w:t xml:space="preserve">. For the purposes of estimating burden hours, the upper limit of this range (i.e., </w:t>
      </w:r>
      <w:r w:rsidRPr="008A147E" w:rsidR="008D3A36">
        <w:rPr>
          <w:lang w:eastAsia="zh-CN"/>
        </w:rPr>
        <w:t xml:space="preserve">25 </w:t>
      </w:r>
      <w:r w:rsidRPr="008A147E">
        <w:rPr>
          <w:lang w:eastAsia="zh-CN"/>
        </w:rPr>
        <w:t>minutes</w:t>
      </w:r>
      <w:r w:rsidRPr="001D2951">
        <w:rPr>
          <w:color w:val="000000"/>
          <w:lang w:eastAsia="zh-CN"/>
        </w:rPr>
        <w:t>) is used.</w:t>
      </w:r>
    </w:p>
    <w:p w:rsidR="004D70EE" w:rsidP="004D70EE" w14:paraId="63AC01B8" w14:textId="61214D69">
      <w:pPr>
        <w:spacing w:line="240" w:lineRule="auto"/>
        <w:ind w:left="360"/>
      </w:pPr>
    </w:p>
    <w:p w:rsidR="004D70EE" w:rsidP="004D70EE" w14:paraId="55A3999F" w14:textId="77777777">
      <w:pPr>
        <w:spacing w:line="240" w:lineRule="auto"/>
        <w:ind w:left="360"/>
      </w:pPr>
    </w:p>
    <w:p w:rsidR="009759F3" w:rsidP="002955E6" w14:paraId="4A6A5476" w14:textId="77777777">
      <w:pPr>
        <w:pStyle w:val="Heading4"/>
        <w:spacing w:after="0" w:line="240" w:lineRule="auto"/>
      </w:pPr>
      <w:bookmarkStart w:id="8" w:name="_Toc413847915"/>
      <w:r w:rsidRPr="009759F3">
        <w:t>Individuals Consulted on Statistical Aspects and Individuals Collecting and/or Analyzing Data</w:t>
      </w:r>
      <w:bookmarkEnd w:id="8"/>
    </w:p>
    <w:p w:rsidR="006A5F1B" w:rsidP="002955E6" w14:paraId="6B03FF12" w14:textId="77777777">
      <w:pPr>
        <w:spacing w:line="240" w:lineRule="auto"/>
        <w:ind w:left="360"/>
      </w:pPr>
    </w:p>
    <w:p w:rsidR="006A5F1B" w:rsidP="002955E6" w14:paraId="7E75AE5A" w14:textId="24216397">
      <w:pPr>
        <w:spacing w:line="240" w:lineRule="auto"/>
        <w:ind w:left="360"/>
      </w:pPr>
    </w:p>
    <w:p w:rsidR="000C3C44" w:rsidRPr="00FA1567" w:rsidP="002955E6" w14:paraId="59F9EB44" w14:textId="135D543F">
      <w:pPr>
        <w:spacing w:line="240" w:lineRule="auto"/>
        <w:ind w:left="360"/>
      </w:pPr>
      <w:r w:rsidRPr="00FA1567">
        <w:t>Everett Long, PhD</w:t>
      </w:r>
    </w:p>
    <w:p w:rsidR="000C3C44" w:rsidRPr="00FA1567" w:rsidP="002955E6" w14:paraId="7B57A5FD" w14:textId="52DAB38E">
      <w:pPr>
        <w:spacing w:line="240" w:lineRule="auto"/>
        <w:ind w:left="360"/>
      </w:pPr>
      <w:r w:rsidRPr="00FA1567">
        <w:t>Principal Scientist</w:t>
      </w:r>
    </w:p>
    <w:p w:rsidR="000C3C44" w:rsidRPr="00FA1567" w:rsidP="002955E6" w14:paraId="2A346544" w14:textId="5F6698EE">
      <w:pPr>
        <w:spacing w:line="240" w:lineRule="auto"/>
        <w:ind w:left="360"/>
      </w:pPr>
      <w:r w:rsidRPr="00FA1567">
        <w:t>Fors Marsh</w:t>
      </w:r>
    </w:p>
    <w:p w:rsidR="000C3C44" w:rsidRPr="00FA1567" w:rsidP="002955E6" w14:paraId="2DFB39EE" w14:textId="6516C571">
      <w:pPr>
        <w:spacing w:line="240" w:lineRule="auto"/>
        <w:ind w:left="360"/>
      </w:pPr>
    </w:p>
    <w:p w:rsidR="000C3C44" w:rsidRPr="00FA1567" w:rsidP="002955E6" w14:paraId="54031F1C" w14:textId="77777777">
      <w:pPr>
        <w:spacing w:line="240" w:lineRule="auto"/>
        <w:ind w:left="360"/>
      </w:pPr>
    </w:p>
    <w:p w:rsidR="00865573" w:rsidRPr="004D70EE" w:rsidP="002955E6" w14:paraId="768D156A" w14:textId="77777777">
      <w:pPr>
        <w:spacing w:line="240" w:lineRule="auto"/>
        <w:ind w:left="360"/>
        <w:rPr>
          <w:rStyle w:val="Hyperlink"/>
          <w:color w:val="0070C0"/>
        </w:rPr>
      </w:pPr>
    </w:p>
    <w:p w:rsidR="00865573" w:rsidRPr="00865573" w:rsidP="002955E6" w14:paraId="1D7B86DC" w14:textId="77777777">
      <w:pPr>
        <w:spacing w:line="240" w:lineRule="auto"/>
        <w:ind w:left="360"/>
        <w:rPr>
          <w:rStyle w:val="Hyperlink"/>
          <w:b/>
          <w:color w:val="0070C0"/>
        </w:rPr>
      </w:pPr>
    </w:p>
    <w:p w:rsidR="00A672E0" w14:paraId="0D358CA5" w14:textId="77777777">
      <w:pPr>
        <w:spacing w:after="200"/>
        <w:ind w:left="0"/>
        <w:rPr>
          <w:b/>
          <w:sz w:val="28"/>
        </w:rPr>
      </w:pPr>
      <w:bookmarkStart w:id="9" w:name="_Toc413847916"/>
      <w:r>
        <w:br w:type="page"/>
      </w:r>
    </w:p>
    <w:p w:rsidR="00A36419" w:rsidRPr="00BC6896" w:rsidP="002955E6" w14:paraId="1E82E35E" w14:textId="35A16F3F">
      <w:pPr>
        <w:pStyle w:val="Heading3"/>
        <w:spacing w:line="240" w:lineRule="auto"/>
      </w:pPr>
      <w:r w:rsidRPr="00BC6896">
        <w:t>LIST OF ATTACHMENTS</w:t>
      </w:r>
      <w:r w:rsidRPr="00BC6896" w:rsidR="00E24C20">
        <w:t xml:space="preserve"> – Section B</w:t>
      </w:r>
      <w:bookmarkEnd w:id="9"/>
    </w:p>
    <w:p w:rsidR="00400C2C" w:rsidRPr="003C3D1C" w:rsidP="002955E6" w14:paraId="435407BF" w14:textId="1CFD9A24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:rsidR="00871A1A" w:rsidP="00871A1A" w14:paraId="35F8FEC7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752444">
        <w:rPr>
          <w:b/>
        </w:rPr>
        <w:t>Attachment 1</w:t>
      </w:r>
      <w:r>
        <w:rPr>
          <w:rFonts w:ascii="Cambria" w:hAnsi="Cambria"/>
          <w:b/>
        </w:rPr>
        <w:t>—</w:t>
      </w:r>
      <w:r w:rsidRPr="00752444">
        <w:rPr>
          <w:b/>
        </w:rPr>
        <w:t>Survey Instrument</w:t>
      </w:r>
    </w:p>
    <w:p w:rsidR="00871A1A" w:rsidRPr="00752444" w:rsidP="00871A1A" w14:paraId="2C52F3DB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>
        <w:rPr>
          <w:b/>
        </w:rPr>
        <w:t>Attachment 2</w:t>
      </w:r>
      <w:r>
        <w:rPr>
          <w:rFonts w:ascii="Cambria" w:hAnsi="Cambria"/>
          <w:b/>
        </w:rPr>
        <w:t>—</w:t>
      </w:r>
      <w:r w:rsidRPr="00752444">
        <w:rPr>
          <w:b/>
        </w:rPr>
        <w:t>Programmed Survey</w:t>
      </w:r>
    </w:p>
    <w:p w:rsidR="00871A1A" w:rsidRPr="00752444" w:rsidP="00871A1A" w14:paraId="0561F10E" w14:textId="2CB73B1C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752444">
        <w:rPr>
          <w:b/>
        </w:rPr>
        <w:t xml:space="preserve">Attachment </w:t>
      </w:r>
      <w:r>
        <w:rPr>
          <w:b/>
        </w:rPr>
        <w:t>3</w:t>
      </w:r>
      <w:r>
        <w:rPr>
          <w:rFonts w:ascii="Cambria" w:hAnsi="Cambria"/>
          <w:b/>
        </w:rPr>
        <w:t>—</w:t>
      </w:r>
      <w:r w:rsidRPr="00752444">
        <w:rPr>
          <w:b/>
        </w:rPr>
        <w:t>Recruitment Email</w:t>
      </w:r>
      <w:r>
        <w:rPr>
          <w:b/>
        </w:rPr>
        <w:t xml:space="preserve"> </w:t>
      </w:r>
    </w:p>
    <w:p w:rsidR="00871A1A" w:rsidRPr="005E5921" w:rsidP="00871A1A" w14:paraId="1969470F" w14:textId="25D31E88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752444">
        <w:rPr>
          <w:b/>
        </w:rPr>
        <w:t xml:space="preserve">Attachment </w:t>
      </w:r>
      <w:r w:rsidRPr="005E5921">
        <w:rPr>
          <w:b/>
        </w:rPr>
        <w:t>4</w:t>
      </w:r>
      <w:r w:rsidR="00A672E0">
        <w:rPr>
          <w:rFonts w:ascii="Cambria" w:hAnsi="Cambria"/>
          <w:b/>
        </w:rPr>
        <w:t>—</w:t>
      </w:r>
      <w:r w:rsidRPr="005E5921">
        <w:rPr>
          <w:b/>
        </w:rPr>
        <w:t>Reminder</w:t>
      </w:r>
      <w:r>
        <w:rPr>
          <w:b/>
        </w:rPr>
        <w:t xml:space="preserve"> </w:t>
      </w:r>
      <w:r w:rsidRPr="005E5921">
        <w:rPr>
          <w:b/>
        </w:rPr>
        <w:t>Email</w:t>
      </w:r>
    </w:p>
    <w:p w:rsidR="00871A1A" w:rsidRPr="005E5921" w:rsidP="00871A1A" w14:paraId="76D7BAED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5E5921">
        <w:rPr>
          <w:b/>
        </w:rPr>
        <w:t>Attachment 5</w:t>
      </w:r>
      <w:r w:rsidRPr="005E5921">
        <w:rPr>
          <w:rFonts w:ascii="Cambria" w:hAnsi="Cambria"/>
          <w:b/>
        </w:rPr>
        <w:t>—Final Reminder Email</w:t>
      </w:r>
    </w:p>
    <w:p w:rsidR="00871A1A" w:rsidRPr="005E5921" w:rsidP="00871A1A" w14:paraId="4D2B03F1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5E5921">
        <w:rPr>
          <w:b/>
        </w:rPr>
        <w:t>Attachment 6</w:t>
      </w:r>
      <w:r w:rsidRPr="005E5921">
        <w:rPr>
          <w:rFonts w:ascii="Cambria" w:hAnsi="Cambria"/>
          <w:b/>
        </w:rPr>
        <w:t>—Respondent Universe</w:t>
      </w:r>
    </w:p>
    <w:p w:rsidR="00871A1A" w:rsidRPr="005E5921" w:rsidP="00871A1A" w14:paraId="0643197C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5E5921">
        <w:rPr>
          <w:rFonts w:ascii="Cambria" w:hAnsi="Cambria"/>
          <w:b/>
        </w:rPr>
        <w:t>Attachment 7—STARS Project Determination</w:t>
      </w:r>
    </w:p>
    <w:p w:rsidR="00871A1A" w:rsidRPr="005E5921" w:rsidP="00871A1A" w14:paraId="573550DC" w14:textId="77777777">
      <w:pPr>
        <w:pStyle w:val="ListParagraph"/>
        <w:numPr>
          <w:ilvl w:val="0"/>
          <w:numId w:val="20"/>
        </w:numPr>
        <w:spacing w:line="240" w:lineRule="auto"/>
        <w:ind w:left="720"/>
        <w:rPr>
          <w:b/>
        </w:rPr>
      </w:pPr>
      <w:r w:rsidRPr="005E5921">
        <w:rPr>
          <w:rFonts w:ascii="Cambria" w:hAnsi="Cambria"/>
          <w:b/>
        </w:rPr>
        <w:t>Attachment 8—Privacy Act Statement</w:t>
      </w:r>
    </w:p>
    <w:p w:rsidR="00865573" w:rsidRPr="00871A1A" w:rsidP="00871A1A" w14:paraId="504ACF37" w14:textId="6225AF83">
      <w:pPr>
        <w:pStyle w:val="ListParagraph"/>
        <w:spacing w:line="240" w:lineRule="auto"/>
        <w:rPr>
          <w:rFonts w:ascii="Cambria" w:hAnsi="Cambria"/>
          <w:color w:val="0070C0"/>
        </w:rPr>
      </w:pPr>
    </w:p>
    <w:sectPr w:rsidSect="00D40D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5E4042" w:rsidP="00BC6896" w14:paraId="2804EB40" w14:textId="77777777">
      <w:r>
        <w:separator/>
      </w:r>
    </w:p>
    <w:p w:rsidR="005E4042" w:rsidP="00BC6896" w14:paraId="5FC1BF01" w14:textId="77777777"/>
  </w:endnote>
  <w:endnote w:type="continuationSeparator" w:id="1">
    <w:p w:rsidR="005E4042" w:rsidP="00BC6896" w14:paraId="19149ADD" w14:textId="77777777">
      <w:r>
        <w:continuationSeparator/>
      </w:r>
    </w:p>
    <w:p w:rsidR="005E4042" w:rsidP="00BC6896" w14:paraId="4685D5D2" w14:textId="77777777"/>
  </w:endnote>
  <w:endnote w:type="continuationNotice" w:id="2">
    <w:p w:rsidR="005E4042" w14:paraId="2428E7A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2B03DD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59255898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56392" w14:paraId="057A6931" w14:textId="7FDC9B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84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75F6" w:rsidP="00BC6896" w14:paraId="44222E07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386F76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E4042" w:rsidP="00BC6896" w14:paraId="5C085799" w14:textId="77777777">
      <w:r>
        <w:separator/>
      </w:r>
    </w:p>
    <w:p w:rsidR="005E4042" w:rsidP="00BC6896" w14:paraId="471581D1" w14:textId="77777777"/>
  </w:footnote>
  <w:footnote w:type="continuationSeparator" w:id="1">
    <w:p w:rsidR="005E4042" w:rsidP="00BC6896" w14:paraId="771BDFDB" w14:textId="77777777">
      <w:r>
        <w:continuationSeparator/>
      </w:r>
    </w:p>
    <w:p w:rsidR="005E4042" w:rsidP="00BC6896" w14:paraId="0367CCAC" w14:textId="77777777"/>
  </w:footnote>
  <w:footnote w:type="continuationNotice" w:id="2">
    <w:p w:rsidR="005E4042" w14:paraId="3139C4A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78C18BA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3A3C" w:rsidRPr="00716F94" w:rsidP="00BC6896" w14:paraId="2BC2A4D9" w14:textId="77777777">
    <w:pPr>
      <w:pStyle w:val="Header"/>
      <w:rPr>
        <w:color w:val="0033CC"/>
      </w:rPr>
    </w:pPr>
    <w:r>
      <w:tab/>
    </w:r>
  </w:p>
  <w:p w:rsidR="006075F6" w:rsidP="00BC6896" w14:paraId="653AF48B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08B" w14:paraId="092420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6213D"/>
    <w:multiLevelType w:val="hybridMultilevel"/>
    <w:tmpl w:val="9E64C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35F0675"/>
    <w:multiLevelType w:val="hybridMultilevel"/>
    <w:tmpl w:val="B6FC5A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>
    <w:nsid w:val="084D292C"/>
    <w:multiLevelType w:val="hybridMultilevel"/>
    <w:tmpl w:val="733EA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101355CD"/>
    <w:multiLevelType w:val="hybridMultilevel"/>
    <w:tmpl w:val="E85CB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>
    <w:nsid w:val="1B524E37"/>
    <w:multiLevelType w:val="hybridMultilevel"/>
    <w:tmpl w:val="97C6F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>
    <w:nsid w:val="22350B1F"/>
    <w:multiLevelType w:val="hybridMultilevel"/>
    <w:tmpl w:val="CA140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>
    <w:nsid w:val="28160A1F"/>
    <w:multiLevelType w:val="hybridMultilevel"/>
    <w:tmpl w:val="E8E8A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>
    <w:nsid w:val="31CC22BD"/>
    <w:multiLevelType w:val="hybridMultilevel"/>
    <w:tmpl w:val="DCF6675A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53BDA"/>
    <w:multiLevelType w:val="hybridMultilevel"/>
    <w:tmpl w:val="9F563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>
    <w:nsid w:val="368E3289"/>
    <w:multiLevelType w:val="hybridMultilevel"/>
    <w:tmpl w:val="E9A4D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>
    <w:nsid w:val="376315F5"/>
    <w:multiLevelType w:val="hybridMultilevel"/>
    <w:tmpl w:val="30E677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>
    <w:nsid w:val="393C654E"/>
    <w:multiLevelType w:val="hybridMultilevel"/>
    <w:tmpl w:val="2A882884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587C94"/>
    <w:multiLevelType w:val="hybridMultilevel"/>
    <w:tmpl w:val="FCAABB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>
    <w:nsid w:val="455A6301"/>
    <w:multiLevelType w:val="hybridMultilevel"/>
    <w:tmpl w:val="DE641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48DC6291"/>
    <w:multiLevelType w:val="hybridMultilevel"/>
    <w:tmpl w:val="58D69B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D3A98"/>
    <w:multiLevelType w:val="hybridMultilevel"/>
    <w:tmpl w:val="17CAF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>
    <w:nsid w:val="5EBA571E"/>
    <w:multiLevelType w:val="hybridMultilevel"/>
    <w:tmpl w:val="B2B8EE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>
    <w:nsid w:val="623A29E7"/>
    <w:multiLevelType w:val="hybridMultilevel"/>
    <w:tmpl w:val="5A365308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6806762B"/>
    <w:multiLevelType w:val="hybridMultilevel"/>
    <w:tmpl w:val="631EC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7A0C6AF8"/>
    <w:multiLevelType w:val="hybridMultilevel"/>
    <w:tmpl w:val="1CDEF31C"/>
    <w:lvl w:ilvl="0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79901">
    <w:abstractNumId w:val="19"/>
  </w:num>
  <w:num w:numId="2" w16cid:durableId="864825778">
    <w:abstractNumId w:val="17"/>
  </w:num>
  <w:num w:numId="3" w16cid:durableId="1600068816">
    <w:abstractNumId w:val="7"/>
  </w:num>
  <w:num w:numId="4" w16cid:durableId="1629702191">
    <w:abstractNumId w:val="3"/>
  </w:num>
  <w:num w:numId="5" w16cid:durableId="533006820">
    <w:abstractNumId w:val="13"/>
  </w:num>
  <w:num w:numId="6" w16cid:durableId="398941504">
    <w:abstractNumId w:val="8"/>
  </w:num>
  <w:num w:numId="7" w16cid:durableId="802423442">
    <w:abstractNumId w:val="18"/>
  </w:num>
  <w:num w:numId="8" w16cid:durableId="1458529404">
    <w:abstractNumId w:val="2"/>
  </w:num>
  <w:num w:numId="9" w16cid:durableId="1292856603">
    <w:abstractNumId w:val="15"/>
  </w:num>
  <w:num w:numId="10" w16cid:durableId="532114774">
    <w:abstractNumId w:val="6"/>
  </w:num>
  <w:num w:numId="11" w16cid:durableId="671954581">
    <w:abstractNumId w:val="9"/>
  </w:num>
  <w:num w:numId="12" w16cid:durableId="826750773">
    <w:abstractNumId w:val="1"/>
  </w:num>
  <w:num w:numId="13" w16cid:durableId="1595898442">
    <w:abstractNumId w:val="12"/>
  </w:num>
  <w:num w:numId="14" w16cid:durableId="960189952">
    <w:abstractNumId w:val="10"/>
  </w:num>
  <w:num w:numId="15" w16cid:durableId="1880043088">
    <w:abstractNumId w:val="4"/>
  </w:num>
  <w:num w:numId="16" w16cid:durableId="1654748939">
    <w:abstractNumId w:val="16"/>
  </w:num>
  <w:num w:numId="17" w16cid:durableId="1771126782">
    <w:abstractNumId w:val="5"/>
  </w:num>
  <w:num w:numId="18" w16cid:durableId="1264418435">
    <w:abstractNumId w:val="0"/>
  </w:num>
  <w:num w:numId="19" w16cid:durableId="1179589356">
    <w:abstractNumId w:val="14"/>
  </w:num>
  <w:num w:numId="20" w16cid:durableId="37750997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10420"/>
    <w:rsid w:val="00011A98"/>
    <w:rsid w:val="00011CF5"/>
    <w:rsid w:val="00011F8D"/>
    <w:rsid w:val="000130B4"/>
    <w:rsid w:val="00014361"/>
    <w:rsid w:val="00022B67"/>
    <w:rsid w:val="000279A9"/>
    <w:rsid w:val="00037792"/>
    <w:rsid w:val="00041EDD"/>
    <w:rsid w:val="000474FB"/>
    <w:rsid w:val="000523F6"/>
    <w:rsid w:val="00052A34"/>
    <w:rsid w:val="00053A92"/>
    <w:rsid w:val="000557D0"/>
    <w:rsid w:val="0005605E"/>
    <w:rsid w:val="00057F36"/>
    <w:rsid w:val="00061A58"/>
    <w:rsid w:val="00065895"/>
    <w:rsid w:val="00071FB1"/>
    <w:rsid w:val="00072C05"/>
    <w:rsid w:val="000741B7"/>
    <w:rsid w:val="000A1F30"/>
    <w:rsid w:val="000A538D"/>
    <w:rsid w:val="000A5FFD"/>
    <w:rsid w:val="000C2C67"/>
    <w:rsid w:val="000C3366"/>
    <w:rsid w:val="000C3C44"/>
    <w:rsid w:val="000C4D5C"/>
    <w:rsid w:val="000D7910"/>
    <w:rsid w:val="000E07E8"/>
    <w:rsid w:val="000E6577"/>
    <w:rsid w:val="000E7A19"/>
    <w:rsid w:val="000F2659"/>
    <w:rsid w:val="000F36A3"/>
    <w:rsid w:val="001030FC"/>
    <w:rsid w:val="00104A1B"/>
    <w:rsid w:val="0011230E"/>
    <w:rsid w:val="00113C69"/>
    <w:rsid w:val="001177DD"/>
    <w:rsid w:val="001308EB"/>
    <w:rsid w:val="001412D4"/>
    <w:rsid w:val="00144F64"/>
    <w:rsid w:val="00151567"/>
    <w:rsid w:val="00153227"/>
    <w:rsid w:val="00163E17"/>
    <w:rsid w:val="001657A4"/>
    <w:rsid w:val="00166F9E"/>
    <w:rsid w:val="001709D1"/>
    <w:rsid w:val="00175844"/>
    <w:rsid w:val="00176E14"/>
    <w:rsid w:val="00180F16"/>
    <w:rsid w:val="00186302"/>
    <w:rsid w:val="00187D5A"/>
    <w:rsid w:val="00190045"/>
    <w:rsid w:val="00195EF4"/>
    <w:rsid w:val="001960AE"/>
    <w:rsid w:val="001972D7"/>
    <w:rsid w:val="001A033E"/>
    <w:rsid w:val="001A28F6"/>
    <w:rsid w:val="001A5C49"/>
    <w:rsid w:val="001A7D0E"/>
    <w:rsid w:val="001B0D86"/>
    <w:rsid w:val="001B2831"/>
    <w:rsid w:val="001B3BA1"/>
    <w:rsid w:val="001B50C6"/>
    <w:rsid w:val="001C0493"/>
    <w:rsid w:val="001C28AD"/>
    <w:rsid w:val="001D1F8F"/>
    <w:rsid w:val="001D2951"/>
    <w:rsid w:val="001D461D"/>
    <w:rsid w:val="001D7FCB"/>
    <w:rsid w:val="001E2B99"/>
    <w:rsid w:val="001E69B6"/>
    <w:rsid w:val="001F0E38"/>
    <w:rsid w:val="001F4DBB"/>
    <w:rsid w:val="001F501E"/>
    <w:rsid w:val="001F7474"/>
    <w:rsid w:val="001F7C89"/>
    <w:rsid w:val="002024F3"/>
    <w:rsid w:val="0020312D"/>
    <w:rsid w:val="0020495F"/>
    <w:rsid w:val="00206E33"/>
    <w:rsid w:val="00210519"/>
    <w:rsid w:val="00212145"/>
    <w:rsid w:val="002249A4"/>
    <w:rsid w:val="00230CEF"/>
    <w:rsid w:val="00233A71"/>
    <w:rsid w:val="00237CA1"/>
    <w:rsid w:val="00241B17"/>
    <w:rsid w:val="00241C81"/>
    <w:rsid w:val="00245F1F"/>
    <w:rsid w:val="00252BF8"/>
    <w:rsid w:val="00256392"/>
    <w:rsid w:val="00257A1C"/>
    <w:rsid w:val="002721C7"/>
    <w:rsid w:val="0027234C"/>
    <w:rsid w:val="00272E03"/>
    <w:rsid w:val="00281795"/>
    <w:rsid w:val="002850E3"/>
    <w:rsid w:val="00287E2F"/>
    <w:rsid w:val="002955E6"/>
    <w:rsid w:val="002A1948"/>
    <w:rsid w:val="002A262A"/>
    <w:rsid w:val="002A446F"/>
    <w:rsid w:val="002B0251"/>
    <w:rsid w:val="002C0877"/>
    <w:rsid w:val="002C2AE2"/>
    <w:rsid w:val="002D092B"/>
    <w:rsid w:val="002D0DCE"/>
    <w:rsid w:val="002E19C3"/>
    <w:rsid w:val="002E2B10"/>
    <w:rsid w:val="002E2CF3"/>
    <w:rsid w:val="002E4E57"/>
    <w:rsid w:val="002F1502"/>
    <w:rsid w:val="002F169D"/>
    <w:rsid w:val="002F2069"/>
    <w:rsid w:val="002F2191"/>
    <w:rsid w:val="002F3D87"/>
    <w:rsid w:val="002F6F92"/>
    <w:rsid w:val="003041AD"/>
    <w:rsid w:val="003071A1"/>
    <w:rsid w:val="0031279F"/>
    <w:rsid w:val="00312D63"/>
    <w:rsid w:val="003161B9"/>
    <w:rsid w:val="003163A2"/>
    <w:rsid w:val="00317993"/>
    <w:rsid w:val="00327D05"/>
    <w:rsid w:val="00335EBD"/>
    <w:rsid w:val="00336D96"/>
    <w:rsid w:val="003429C3"/>
    <w:rsid w:val="00344F07"/>
    <w:rsid w:val="003469C8"/>
    <w:rsid w:val="003478BF"/>
    <w:rsid w:val="00350794"/>
    <w:rsid w:val="00355EA4"/>
    <w:rsid w:val="003635BE"/>
    <w:rsid w:val="00365042"/>
    <w:rsid w:val="00366B5E"/>
    <w:rsid w:val="00372844"/>
    <w:rsid w:val="00373181"/>
    <w:rsid w:val="00374BEC"/>
    <w:rsid w:val="0038560A"/>
    <w:rsid w:val="00394F52"/>
    <w:rsid w:val="003A2737"/>
    <w:rsid w:val="003A47B0"/>
    <w:rsid w:val="003B683A"/>
    <w:rsid w:val="003C31C9"/>
    <w:rsid w:val="003C3D1C"/>
    <w:rsid w:val="003C4961"/>
    <w:rsid w:val="003C7C5D"/>
    <w:rsid w:val="003D0AD2"/>
    <w:rsid w:val="003D2DA9"/>
    <w:rsid w:val="003D4AF1"/>
    <w:rsid w:val="003E4383"/>
    <w:rsid w:val="003E4E7D"/>
    <w:rsid w:val="003E5D57"/>
    <w:rsid w:val="003F5913"/>
    <w:rsid w:val="004004CA"/>
    <w:rsid w:val="00400C2C"/>
    <w:rsid w:val="004024F8"/>
    <w:rsid w:val="0041159A"/>
    <w:rsid w:val="00412271"/>
    <w:rsid w:val="00414772"/>
    <w:rsid w:val="004154E6"/>
    <w:rsid w:val="0041780A"/>
    <w:rsid w:val="0042604A"/>
    <w:rsid w:val="004305A8"/>
    <w:rsid w:val="0043150B"/>
    <w:rsid w:val="0043417A"/>
    <w:rsid w:val="00443CA0"/>
    <w:rsid w:val="00450E14"/>
    <w:rsid w:val="0045771B"/>
    <w:rsid w:val="00462C65"/>
    <w:rsid w:val="00466F5E"/>
    <w:rsid w:val="004679A7"/>
    <w:rsid w:val="00467B14"/>
    <w:rsid w:val="00474EDA"/>
    <w:rsid w:val="0047536D"/>
    <w:rsid w:val="004824FA"/>
    <w:rsid w:val="00484011"/>
    <w:rsid w:val="004841F1"/>
    <w:rsid w:val="00485041"/>
    <w:rsid w:val="00485D98"/>
    <w:rsid w:val="00487E55"/>
    <w:rsid w:val="00497BC1"/>
    <w:rsid w:val="004A1E3A"/>
    <w:rsid w:val="004A2C70"/>
    <w:rsid w:val="004B144F"/>
    <w:rsid w:val="004B1D39"/>
    <w:rsid w:val="004B4EB5"/>
    <w:rsid w:val="004C4AEA"/>
    <w:rsid w:val="004C6A67"/>
    <w:rsid w:val="004D70EE"/>
    <w:rsid w:val="004D7C89"/>
    <w:rsid w:val="004E003C"/>
    <w:rsid w:val="004E0CC6"/>
    <w:rsid w:val="004E16EB"/>
    <w:rsid w:val="004E6665"/>
    <w:rsid w:val="004F634E"/>
    <w:rsid w:val="004F67A8"/>
    <w:rsid w:val="00505A95"/>
    <w:rsid w:val="00522A50"/>
    <w:rsid w:val="00527225"/>
    <w:rsid w:val="0053557D"/>
    <w:rsid w:val="0053651D"/>
    <w:rsid w:val="005463DE"/>
    <w:rsid w:val="00546DC2"/>
    <w:rsid w:val="005542E8"/>
    <w:rsid w:val="00556630"/>
    <w:rsid w:val="0055686D"/>
    <w:rsid w:val="0056097C"/>
    <w:rsid w:val="0056276D"/>
    <w:rsid w:val="005800EE"/>
    <w:rsid w:val="00580379"/>
    <w:rsid w:val="005869D6"/>
    <w:rsid w:val="00586C47"/>
    <w:rsid w:val="00593E85"/>
    <w:rsid w:val="005A33F6"/>
    <w:rsid w:val="005A3485"/>
    <w:rsid w:val="005A59E5"/>
    <w:rsid w:val="005B3772"/>
    <w:rsid w:val="005B7440"/>
    <w:rsid w:val="005B7800"/>
    <w:rsid w:val="005C01FC"/>
    <w:rsid w:val="005C3798"/>
    <w:rsid w:val="005C6E9D"/>
    <w:rsid w:val="005C7099"/>
    <w:rsid w:val="005D6BDD"/>
    <w:rsid w:val="005D7716"/>
    <w:rsid w:val="005E2150"/>
    <w:rsid w:val="005E2995"/>
    <w:rsid w:val="005E4042"/>
    <w:rsid w:val="005E5864"/>
    <w:rsid w:val="005E5921"/>
    <w:rsid w:val="005E7F33"/>
    <w:rsid w:val="005F0851"/>
    <w:rsid w:val="005F0B6D"/>
    <w:rsid w:val="005F3ADE"/>
    <w:rsid w:val="005F3FEF"/>
    <w:rsid w:val="00601392"/>
    <w:rsid w:val="006062F7"/>
    <w:rsid w:val="006075F6"/>
    <w:rsid w:val="00607F7C"/>
    <w:rsid w:val="00607FFE"/>
    <w:rsid w:val="006102DA"/>
    <w:rsid w:val="006161CF"/>
    <w:rsid w:val="00621F93"/>
    <w:rsid w:val="006259F8"/>
    <w:rsid w:val="0062608B"/>
    <w:rsid w:val="00627624"/>
    <w:rsid w:val="00627E19"/>
    <w:rsid w:val="006315A3"/>
    <w:rsid w:val="006379E9"/>
    <w:rsid w:val="00637CC1"/>
    <w:rsid w:val="00641F60"/>
    <w:rsid w:val="00645283"/>
    <w:rsid w:val="006466BA"/>
    <w:rsid w:val="00653AF7"/>
    <w:rsid w:val="006579A2"/>
    <w:rsid w:val="00663BB3"/>
    <w:rsid w:val="00667C89"/>
    <w:rsid w:val="006711EE"/>
    <w:rsid w:val="00674E53"/>
    <w:rsid w:val="0067633B"/>
    <w:rsid w:val="006809BB"/>
    <w:rsid w:val="006809FD"/>
    <w:rsid w:val="00683C7C"/>
    <w:rsid w:val="00687C5F"/>
    <w:rsid w:val="00691031"/>
    <w:rsid w:val="00691D1F"/>
    <w:rsid w:val="0069295D"/>
    <w:rsid w:val="0069580C"/>
    <w:rsid w:val="00697BAE"/>
    <w:rsid w:val="006A5F1B"/>
    <w:rsid w:val="006A63FD"/>
    <w:rsid w:val="006B214A"/>
    <w:rsid w:val="006B4DDC"/>
    <w:rsid w:val="006B5E55"/>
    <w:rsid w:val="006C0B56"/>
    <w:rsid w:val="006C1771"/>
    <w:rsid w:val="006C5C38"/>
    <w:rsid w:val="006D100C"/>
    <w:rsid w:val="006D25A1"/>
    <w:rsid w:val="006D6932"/>
    <w:rsid w:val="006D7AA8"/>
    <w:rsid w:val="006D7D31"/>
    <w:rsid w:val="006E4BB7"/>
    <w:rsid w:val="006F23AF"/>
    <w:rsid w:val="006F6856"/>
    <w:rsid w:val="006F6D0B"/>
    <w:rsid w:val="0071190E"/>
    <w:rsid w:val="0071254B"/>
    <w:rsid w:val="007145D0"/>
    <w:rsid w:val="00716F94"/>
    <w:rsid w:val="00734D8F"/>
    <w:rsid w:val="007513E7"/>
    <w:rsid w:val="00752444"/>
    <w:rsid w:val="00760E12"/>
    <w:rsid w:val="00762C34"/>
    <w:rsid w:val="00763CF3"/>
    <w:rsid w:val="00765C8F"/>
    <w:rsid w:val="00772293"/>
    <w:rsid w:val="007755C4"/>
    <w:rsid w:val="00783A3C"/>
    <w:rsid w:val="00783C75"/>
    <w:rsid w:val="00784619"/>
    <w:rsid w:val="0078627B"/>
    <w:rsid w:val="007935DA"/>
    <w:rsid w:val="00794E32"/>
    <w:rsid w:val="00795745"/>
    <w:rsid w:val="007A34E7"/>
    <w:rsid w:val="007A500C"/>
    <w:rsid w:val="007B305A"/>
    <w:rsid w:val="007B7F13"/>
    <w:rsid w:val="007C1CB7"/>
    <w:rsid w:val="007D0E00"/>
    <w:rsid w:val="007E0395"/>
    <w:rsid w:val="007E3F71"/>
    <w:rsid w:val="007F75BA"/>
    <w:rsid w:val="00800605"/>
    <w:rsid w:val="00800993"/>
    <w:rsid w:val="00810FBF"/>
    <w:rsid w:val="00815C7D"/>
    <w:rsid w:val="00817941"/>
    <w:rsid w:val="008261AB"/>
    <w:rsid w:val="00835CA7"/>
    <w:rsid w:val="008370D4"/>
    <w:rsid w:val="008414AD"/>
    <w:rsid w:val="008428D9"/>
    <w:rsid w:val="00865573"/>
    <w:rsid w:val="00871A1A"/>
    <w:rsid w:val="008759F6"/>
    <w:rsid w:val="00876B98"/>
    <w:rsid w:val="008849C9"/>
    <w:rsid w:val="00884DB9"/>
    <w:rsid w:val="008944CB"/>
    <w:rsid w:val="0089676F"/>
    <w:rsid w:val="008A147E"/>
    <w:rsid w:val="008A1762"/>
    <w:rsid w:val="008A7E1F"/>
    <w:rsid w:val="008B3CB1"/>
    <w:rsid w:val="008C67D2"/>
    <w:rsid w:val="008D3A36"/>
    <w:rsid w:val="008E0683"/>
    <w:rsid w:val="008E5751"/>
    <w:rsid w:val="008F1F4B"/>
    <w:rsid w:val="008F5895"/>
    <w:rsid w:val="009011A8"/>
    <w:rsid w:val="009019EE"/>
    <w:rsid w:val="00902DD9"/>
    <w:rsid w:val="009036B3"/>
    <w:rsid w:val="00905FB7"/>
    <w:rsid w:val="00911466"/>
    <w:rsid w:val="00911486"/>
    <w:rsid w:val="009117CC"/>
    <w:rsid w:val="00912296"/>
    <w:rsid w:val="009129CA"/>
    <w:rsid w:val="009131B8"/>
    <w:rsid w:val="00913470"/>
    <w:rsid w:val="009206B6"/>
    <w:rsid w:val="00923208"/>
    <w:rsid w:val="00925F33"/>
    <w:rsid w:val="009263C1"/>
    <w:rsid w:val="00931C02"/>
    <w:rsid w:val="00935FFD"/>
    <w:rsid w:val="0094179A"/>
    <w:rsid w:val="00941B35"/>
    <w:rsid w:val="00941B4F"/>
    <w:rsid w:val="009518BC"/>
    <w:rsid w:val="00957EF4"/>
    <w:rsid w:val="009604B8"/>
    <w:rsid w:val="00963CE3"/>
    <w:rsid w:val="00964F18"/>
    <w:rsid w:val="009700F4"/>
    <w:rsid w:val="0097039F"/>
    <w:rsid w:val="00970CC6"/>
    <w:rsid w:val="00974424"/>
    <w:rsid w:val="009759F3"/>
    <w:rsid w:val="00983320"/>
    <w:rsid w:val="00986385"/>
    <w:rsid w:val="00987F76"/>
    <w:rsid w:val="00991BF9"/>
    <w:rsid w:val="00993088"/>
    <w:rsid w:val="0099664F"/>
    <w:rsid w:val="00997D5D"/>
    <w:rsid w:val="009A0447"/>
    <w:rsid w:val="009A1EE5"/>
    <w:rsid w:val="009B034F"/>
    <w:rsid w:val="009B4A51"/>
    <w:rsid w:val="009C28B1"/>
    <w:rsid w:val="009C61AD"/>
    <w:rsid w:val="009C6867"/>
    <w:rsid w:val="009D373D"/>
    <w:rsid w:val="009D77CD"/>
    <w:rsid w:val="009E1D05"/>
    <w:rsid w:val="009E7267"/>
    <w:rsid w:val="009F64D8"/>
    <w:rsid w:val="009F7283"/>
    <w:rsid w:val="00A00C86"/>
    <w:rsid w:val="00A04BEE"/>
    <w:rsid w:val="00A11B0C"/>
    <w:rsid w:val="00A14BFF"/>
    <w:rsid w:val="00A24911"/>
    <w:rsid w:val="00A305CE"/>
    <w:rsid w:val="00A33B35"/>
    <w:rsid w:val="00A36419"/>
    <w:rsid w:val="00A37AE0"/>
    <w:rsid w:val="00A47A16"/>
    <w:rsid w:val="00A578C2"/>
    <w:rsid w:val="00A672E0"/>
    <w:rsid w:val="00A70EBC"/>
    <w:rsid w:val="00A7226C"/>
    <w:rsid w:val="00A72652"/>
    <w:rsid w:val="00A75D1C"/>
    <w:rsid w:val="00A809AA"/>
    <w:rsid w:val="00A81BF7"/>
    <w:rsid w:val="00A849B3"/>
    <w:rsid w:val="00A8510D"/>
    <w:rsid w:val="00A86AF3"/>
    <w:rsid w:val="00A90BDC"/>
    <w:rsid w:val="00A94074"/>
    <w:rsid w:val="00A95477"/>
    <w:rsid w:val="00A975A9"/>
    <w:rsid w:val="00AA3192"/>
    <w:rsid w:val="00AA70F1"/>
    <w:rsid w:val="00AB08E8"/>
    <w:rsid w:val="00AB3608"/>
    <w:rsid w:val="00AB55F9"/>
    <w:rsid w:val="00AC5C48"/>
    <w:rsid w:val="00AD0F42"/>
    <w:rsid w:val="00AF0CF4"/>
    <w:rsid w:val="00AF2252"/>
    <w:rsid w:val="00AF78EF"/>
    <w:rsid w:val="00B04193"/>
    <w:rsid w:val="00B04B98"/>
    <w:rsid w:val="00B106FF"/>
    <w:rsid w:val="00B1129F"/>
    <w:rsid w:val="00B11D61"/>
    <w:rsid w:val="00B12F51"/>
    <w:rsid w:val="00B16ACF"/>
    <w:rsid w:val="00B2751E"/>
    <w:rsid w:val="00B3650C"/>
    <w:rsid w:val="00B460B8"/>
    <w:rsid w:val="00B50A2B"/>
    <w:rsid w:val="00B64BFA"/>
    <w:rsid w:val="00B65C38"/>
    <w:rsid w:val="00B66EE9"/>
    <w:rsid w:val="00B81551"/>
    <w:rsid w:val="00B8216F"/>
    <w:rsid w:val="00B853F1"/>
    <w:rsid w:val="00B85DE4"/>
    <w:rsid w:val="00B8656C"/>
    <w:rsid w:val="00B91A31"/>
    <w:rsid w:val="00B94B46"/>
    <w:rsid w:val="00BA14DC"/>
    <w:rsid w:val="00BA2F91"/>
    <w:rsid w:val="00BA6DB4"/>
    <w:rsid w:val="00BB1218"/>
    <w:rsid w:val="00BB2E75"/>
    <w:rsid w:val="00BC016A"/>
    <w:rsid w:val="00BC3F3C"/>
    <w:rsid w:val="00BC5BB2"/>
    <w:rsid w:val="00BC6896"/>
    <w:rsid w:val="00BE2C78"/>
    <w:rsid w:val="00BF3F54"/>
    <w:rsid w:val="00C00697"/>
    <w:rsid w:val="00C0376C"/>
    <w:rsid w:val="00C03A00"/>
    <w:rsid w:val="00C06D77"/>
    <w:rsid w:val="00C06E7F"/>
    <w:rsid w:val="00C14BA6"/>
    <w:rsid w:val="00C23D1A"/>
    <w:rsid w:val="00C32C85"/>
    <w:rsid w:val="00C347E7"/>
    <w:rsid w:val="00C3485C"/>
    <w:rsid w:val="00C352DE"/>
    <w:rsid w:val="00C41154"/>
    <w:rsid w:val="00C420D4"/>
    <w:rsid w:val="00C4464A"/>
    <w:rsid w:val="00C47E8D"/>
    <w:rsid w:val="00C50FCF"/>
    <w:rsid w:val="00C531E9"/>
    <w:rsid w:val="00C6141A"/>
    <w:rsid w:val="00C620BA"/>
    <w:rsid w:val="00C71C6A"/>
    <w:rsid w:val="00C84DC3"/>
    <w:rsid w:val="00CA2004"/>
    <w:rsid w:val="00CA7098"/>
    <w:rsid w:val="00CB2A75"/>
    <w:rsid w:val="00CB334D"/>
    <w:rsid w:val="00CB56D5"/>
    <w:rsid w:val="00CD0771"/>
    <w:rsid w:val="00CD08F5"/>
    <w:rsid w:val="00CD1EA8"/>
    <w:rsid w:val="00CE301C"/>
    <w:rsid w:val="00CE5665"/>
    <w:rsid w:val="00CF0CE8"/>
    <w:rsid w:val="00CF5ABD"/>
    <w:rsid w:val="00CF63CE"/>
    <w:rsid w:val="00D067C1"/>
    <w:rsid w:val="00D11F75"/>
    <w:rsid w:val="00D13B0B"/>
    <w:rsid w:val="00D13B13"/>
    <w:rsid w:val="00D15C5A"/>
    <w:rsid w:val="00D16E78"/>
    <w:rsid w:val="00D201D3"/>
    <w:rsid w:val="00D24BCF"/>
    <w:rsid w:val="00D26A32"/>
    <w:rsid w:val="00D26A64"/>
    <w:rsid w:val="00D328FA"/>
    <w:rsid w:val="00D33BF9"/>
    <w:rsid w:val="00D40DD9"/>
    <w:rsid w:val="00D4221A"/>
    <w:rsid w:val="00D52B9A"/>
    <w:rsid w:val="00D52EF5"/>
    <w:rsid w:val="00D5367E"/>
    <w:rsid w:val="00D54842"/>
    <w:rsid w:val="00D54843"/>
    <w:rsid w:val="00D57C7E"/>
    <w:rsid w:val="00D613E0"/>
    <w:rsid w:val="00D724CC"/>
    <w:rsid w:val="00D7285C"/>
    <w:rsid w:val="00D77D27"/>
    <w:rsid w:val="00D80AAF"/>
    <w:rsid w:val="00D83750"/>
    <w:rsid w:val="00D861ED"/>
    <w:rsid w:val="00D873E0"/>
    <w:rsid w:val="00D94F8B"/>
    <w:rsid w:val="00DA0338"/>
    <w:rsid w:val="00DA147A"/>
    <w:rsid w:val="00DA4C94"/>
    <w:rsid w:val="00DA4EA9"/>
    <w:rsid w:val="00DA5988"/>
    <w:rsid w:val="00DA77F1"/>
    <w:rsid w:val="00DC317C"/>
    <w:rsid w:val="00DC4FF2"/>
    <w:rsid w:val="00DC79CC"/>
    <w:rsid w:val="00DE2D45"/>
    <w:rsid w:val="00E134F4"/>
    <w:rsid w:val="00E23568"/>
    <w:rsid w:val="00E23604"/>
    <w:rsid w:val="00E240B1"/>
    <w:rsid w:val="00E245B5"/>
    <w:rsid w:val="00E24C20"/>
    <w:rsid w:val="00E27A2F"/>
    <w:rsid w:val="00E30036"/>
    <w:rsid w:val="00E32B18"/>
    <w:rsid w:val="00E33BBA"/>
    <w:rsid w:val="00E33E1B"/>
    <w:rsid w:val="00E34D3E"/>
    <w:rsid w:val="00E36D2D"/>
    <w:rsid w:val="00E40327"/>
    <w:rsid w:val="00E417D4"/>
    <w:rsid w:val="00E41CE6"/>
    <w:rsid w:val="00E42F3A"/>
    <w:rsid w:val="00E51B44"/>
    <w:rsid w:val="00E53ABB"/>
    <w:rsid w:val="00E619FD"/>
    <w:rsid w:val="00E772B0"/>
    <w:rsid w:val="00E7793A"/>
    <w:rsid w:val="00E81C5E"/>
    <w:rsid w:val="00E8383D"/>
    <w:rsid w:val="00E83B3C"/>
    <w:rsid w:val="00E83D31"/>
    <w:rsid w:val="00E8736B"/>
    <w:rsid w:val="00E90275"/>
    <w:rsid w:val="00E925D4"/>
    <w:rsid w:val="00E97226"/>
    <w:rsid w:val="00EA1CCB"/>
    <w:rsid w:val="00EB63B3"/>
    <w:rsid w:val="00EC45F0"/>
    <w:rsid w:val="00EC5EA8"/>
    <w:rsid w:val="00ED6878"/>
    <w:rsid w:val="00EE7601"/>
    <w:rsid w:val="00EF0EC8"/>
    <w:rsid w:val="00EF33CD"/>
    <w:rsid w:val="00F21A74"/>
    <w:rsid w:val="00F2267A"/>
    <w:rsid w:val="00F27049"/>
    <w:rsid w:val="00F300CB"/>
    <w:rsid w:val="00F3459B"/>
    <w:rsid w:val="00F42C3A"/>
    <w:rsid w:val="00F52BCC"/>
    <w:rsid w:val="00F5313F"/>
    <w:rsid w:val="00F57581"/>
    <w:rsid w:val="00F609BE"/>
    <w:rsid w:val="00F64B98"/>
    <w:rsid w:val="00F725B5"/>
    <w:rsid w:val="00F81A48"/>
    <w:rsid w:val="00FA1567"/>
    <w:rsid w:val="00FA55C0"/>
    <w:rsid w:val="00FB1DB3"/>
    <w:rsid w:val="00FB618C"/>
    <w:rsid w:val="00FC5B1F"/>
    <w:rsid w:val="00FD17C9"/>
    <w:rsid w:val="00FD1EF0"/>
    <w:rsid w:val="00FD2A5B"/>
    <w:rsid w:val="00FD44B7"/>
    <w:rsid w:val="00FD5040"/>
    <w:rsid w:val="00FD632C"/>
    <w:rsid w:val="00FE0E1C"/>
    <w:rsid w:val="00FE6A5C"/>
    <w:rsid w:val="00FF5C3B"/>
    <w:rsid w:val="00FF7B1A"/>
    <w:rsid w:val="336C364B"/>
    <w:rsid w:val="6A568BE0"/>
    <w:rsid w:val="6F5DC3B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33EC77"/>
  <w15:docId w15:val="{48E3A069-4175-410A-9883-53247DAD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1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aliases w:val="CH Bullets (square)"/>
    <w:basedOn w:val="Normal"/>
    <w:link w:val="ListParagraphChar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A94074"/>
    <w:pPr>
      <w:tabs>
        <w:tab w:val="right" w:leader="dot" w:pos="9350"/>
      </w:tabs>
      <w:spacing w:after="100"/>
      <w:ind w:left="0"/>
    </w:pPr>
  </w:style>
  <w:style w:type="paragraph" w:customStyle="1" w:styleId="Normal2">
    <w:name w:val="Normal2"/>
    <w:qFormat/>
    <w:rsid w:val="008A7E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641F60"/>
    <w:rPr>
      <w:rFonts w:ascii="Times New Roman" w:eastAsia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36D2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5042"/>
    <w:rPr>
      <w:color w:val="605E5C"/>
      <w:shd w:val="clear" w:color="auto" w:fill="E1DFDD"/>
    </w:rPr>
  </w:style>
  <w:style w:type="character" w:customStyle="1" w:styleId="ListParagraphChar">
    <w:name w:val="List Paragraph Char"/>
    <w:aliases w:val="CH Bullets (square) Char"/>
    <w:link w:val="ListParagraph"/>
    <w:uiPriority w:val="34"/>
    <w:locked/>
    <w:rsid w:val="007755C4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  <SharedWithUsers xmlns="12cb6dfe-256c-468f-a249-517e8848b42c">
      <UserInfo>
        <DisplayName>Elise Bui</DisplayName>
        <AccountId>18</AccountId>
        <AccountType/>
      </UserInfo>
      <UserInfo>
        <DisplayName>Stacy Birchfield-Foltz</DisplayName>
        <AccountId>69</AccountId>
        <AccountType/>
      </UserInfo>
      <UserInfo>
        <DisplayName>Ivan Sciupac</DisplayName>
        <AccountId>360</AccountId>
        <AccountType/>
      </UserInfo>
      <UserInfo>
        <DisplayName>Everett Long</DisplayName>
        <AccountId>37</AccountId>
        <AccountType/>
      </UserInfo>
      <UserInfo>
        <DisplayName>Sarah Mason</DisplayName>
        <AccountId>215</AccountId>
        <AccountType/>
      </UserInfo>
      <UserInfo>
        <DisplayName>Emily Prince</DisplayName>
        <AccountId>401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9A1B025-F1A5-4646-8B03-DBD233310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90A4F-D4B9-4933-BDE0-C820F8158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EEAE1-6487-4102-837A-9CA1FC10C7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F611F-8B98-47B4-A626-7F96E77BB1A8}">
  <ds:schemaRefs>
    <ds:schemaRef ds:uri="http://schemas.microsoft.com/office/2006/metadata/properties"/>
    <ds:schemaRef ds:uri="http://schemas.microsoft.com/office/infopath/2007/PartnerControls"/>
    <ds:schemaRef ds:uri="12cb6dfe-256c-468f-a249-517e8848b42c"/>
    <ds:schemaRef ds:uri="17273376-4701-4e40-9c6c-cca19f7dc1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1029</Words>
  <Characters>5869</Characters>
  <Application>Microsoft Office Word</Application>
  <DocSecurity>0</DocSecurity>
  <Lines>48</Lines>
  <Paragraphs>13</Paragraphs>
  <ScaleCrop>false</ScaleCrop>
  <Company>CDC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khx2</dc:creator>
  <cp:lastModifiedBy>Macaluso, Renita (CDC/PHIC/OD)</cp:lastModifiedBy>
  <cp:revision>4</cp:revision>
  <cp:lastPrinted>2011-06-07T15:53:00Z</cp:lastPrinted>
  <dcterms:created xsi:type="dcterms:W3CDTF">2024-05-24T16:13:00Z</dcterms:created>
  <dcterms:modified xsi:type="dcterms:W3CDTF">2024-05-28T20:35:00Z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bb681922-e6d3-4164-a363-1ae5e1acaec5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2024-05-24T16:19:30Z</vt:lpwstr>
  </property>
  <property fmtid="{D5CDD505-2E9C-101B-9397-08002B2CF9AE}" pid="10" name="MSIP_Label_8af03ff0-41c5-4c41-b55e-fabb8fae94be_SiteId">
    <vt:lpwstr>9ce70869-60db-44fd-abe8-d2767077fc8f</vt:lpwstr>
  </property>
</Properties>
</file>