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B2A0E" w:rsidP="00F52B55" w14:paraId="4A9BB955" w14:textId="77777777">
      <w:pPr>
        <w:rPr>
          <w:b/>
          <w:bCs/>
          <w:u w:val="single"/>
        </w:rPr>
      </w:pPr>
    </w:p>
    <w:p w:rsidR="00F52B55" w:rsidP="00F52B55" w14:paraId="0B926C51" w14:textId="22239870">
      <w:r>
        <w:rPr>
          <w:b/>
          <w:bCs/>
          <w:u w:val="single"/>
        </w:rPr>
        <w:t>PrEP Learning Module Link:</w:t>
      </w:r>
      <w:r w:rsidRPr="00F52B55">
        <w:t xml:space="preserve"> </w:t>
      </w:r>
      <w:hyperlink r:id="rId5" w:history="1">
        <w:r>
          <w:rPr>
            <w:rStyle w:val="Hyperlink"/>
          </w:rPr>
          <w:t>https://live.easygenerator.com/review/course/56aba2a1-464b-4e10-b4dd-da1b1522cf93/</w:t>
        </w:r>
      </w:hyperlink>
    </w:p>
    <w:p w:rsidR="00F52B55" w14:paraId="769286C9" w14:textId="77777777">
      <w:pPr>
        <w:rPr>
          <w:b/>
          <w:bCs/>
          <w:u w:val="single"/>
        </w:rPr>
      </w:pPr>
    </w:p>
    <w:p w:rsidR="00CA76ED" w14:paraId="6AE2A061" w14:textId="60F01CEC">
      <w:pPr>
        <w:rPr>
          <w:b/>
          <w:bCs/>
          <w:u w:val="single"/>
        </w:rPr>
      </w:pPr>
      <w:r w:rsidRPr="00D75DEC">
        <w:rPr>
          <w:b/>
          <w:bCs/>
          <w:u w:val="single"/>
        </w:rPr>
        <w:t>PrEP Learning Module Overview</w:t>
      </w:r>
    </w:p>
    <w:p w:rsidR="00D75DEC" w14:paraId="4C1AA8E7" w14:textId="36471B7A">
      <w:r>
        <w:t>Provider</w:t>
      </w:r>
      <w:r w:rsidR="003F703C">
        <w:t xml:space="preserve"> participants in the mChoice</w:t>
      </w:r>
      <w:r>
        <w:t xml:space="preserve"> will complete </w:t>
      </w:r>
      <w:r w:rsidR="003F703C">
        <w:t xml:space="preserve">the </w:t>
      </w:r>
      <w:r>
        <w:t>online</w:t>
      </w:r>
      <w:r w:rsidR="003F703C">
        <w:t xml:space="preserve"> EPICC+</w:t>
      </w:r>
      <w:r>
        <w:t xml:space="preserve"> provider training. Th</w:t>
      </w:r>
      <w:r w:rsidR="005318D7">
        <w:t>is series of  o</w:t>
      </w:r>
      <w:r>
        <w:t xml:space="preserve">nline modules will be completed through an e-learning software called Easygenerator. </w:t>
      </w:r>
      <w:r w:rsidR="008A71C7">
        <w:t xml:space="preserve">Study team members </w:t>
      </w:r>
      <w:r w:rsidR="005318D7">
        <w:t xml:space="preserve">are able to </w:t>
      </w:r>
      <w:r w:rsidR="008A71C7">
        <w:t xml:space="preserve">track providers’ progress through the modules through Easygenerator’s dashboard. </w:t>
      </w:r>
      <w:r w:rsidRPr="008B1089" w:rsidR="008B1089">
        <w:t xml:space="preserve">We highlight </w:t>
      </w:r>
      <w:r w:rsidR="008B1089">
        <w:t xml:space="preserve">uses </w:t>
      </w:r>
      <w:r w:rsidRPr="008B1089" w:rsidR="008B1089">
        <w:t xml:space="preserve">of each interactive feature </w:t>
      </w:r>
      <w:r w:rsidR="008B1089">
        <w:t xml:space="preserve">below within brief summaries of each learning module. </w:t>
      </w:r>
    </w:p>
    <w:p w:rsidR="00170EBA" w14:paraId="041CE383" w14:textId="07735766">
      <w:r>
        <w:t xml:space="preserve">Providers will log into Easygenerator using an email address and password. Once logged in, they will see the screen below. This screen </w:t>
      </w:r>
      <w:r w:rsidR="0068380A">
        <w:t xml:space="preserve">will display the different learning modules included within Easygenerator.  Providers will access the modules by clicking on the specific module and can view their progress in completing the questions within the module. </w:t>
      </w:r>
    </w:p>
    <w:p w:rsidR="00170EBA" w14:paraId="64E44DE4" w14:textId="6EECA384">
      <w:r>
        <w:rPr>
          <w:noProof/>
        </w:rPr>
        <w:drawing>
          <wp:inline distT="0" distB="0" distL="0" distR="0">
            <wp:extent cx="5943600" cy="3053080"/>
            <wp:effectExtent l="0" t="0" r="0" b="0"/>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3053080"/>
                    </a:xfrm>
                    <a:prstGeom prst="rect">
                      <a:avLst/>
                    </a:prstGeom>
                  </pic:spPr>
                </pic:pic>
              </a:graphicData>
            </a:graphic>
          </wp:inline>
        </w:drawing>
      </w:r>
    </w:p>
    <w:p w:rsidR="00E673C7" w14:paraId="6CA06AFE" w14:textId="77777777">
      <w:pPr>
        <w:rPr>
          <w:b/>
          <w:bCs/>
          <w:i/>
          <w:iCs/>
        </w:rPr>
      </w:pPr>
    </w:p>
    <w:p w:rsidR="0068380A" w14:paraId="2BFE5171" w14:textId="60F5F042">
      <w:pPr>
        <w:rPr>
          <w:b/>
          <w:bCs/>
          <w:i/>
          <w:iCs/>
        </w:rPr>
      </w:pPr>
      <w:r w:rsidRPr="0068380A">
        <w:rPr>
          <w:b/>
          <w:bCs/>
          <w:i/>
          <w:iCs/>
        </w:rPr>
        <w:t xml:space="preserve">Module 1: </w:t>
      </w:r>
      <w:r>
        <w:rPr>
          <w:b/>
          <w:bCs/>
          <w:i/>
          <w:iCs/>
        </w:rPr>
        <w:t xml:space="preserve">Why do we need PrEP? </w:t>
      </w:r>
    </w:p>
    <w:p w:rsidR="00173AEC" w14:paraId="7A26EF2C" w14:textId="0AA4120C">
      <w:r>
        <w:t>This module describes the HIV epidemic in the United Sta</w:t>
      </w:r>
      <w:r w:rsidR="00ED2355">
        <w:t xml:space="preserve">tes highlighting the Ending the HIV Epidemic (EHE) plan, reviews </w:t>
      </w:r>
      <w:r w:rsidR="006B20BE">
        <w:t>Pre-exposure Prophylaxis (</w:t>
      </w:r>
      <w:r w:rsidR="00ED2355">
        <w:t>PrEP</w:t>
      </w:r>
      <w:r w:rsidR="006B20BE">
        <w:t>)</w:t>
      </w:r>
      <w:r w:rsidR="00ED2355">
        <w:t xml:space="preserve"> uptake in the United States, and PrEP’s effectiveness. </w:t>
      </w:r>
      <w:r>
        <w:t xml:space="preserve">One of the interactive elements in this module is </w:t>
      </w:r>
      <w:r w:rsidR="00E673C7">
        <w:t xml:space="preserve">called </w:t>
      </w:r>
      <w:r w:rsidRPr="00E673C7" w:rsidR="00E673C7">
        <w:rPr>
          <w:b/>
          <w:bCs/>
          <w:i/>
          <w:iCs/>
        </w:rPr>
        <w:t>Ranking Text</w:t>
      </w:r>
      <w:r w:rsidR="00E673C7">
        <w:rPr>
          <w:b/>
          <w:bCs/>
          <w:i/>
          <w:iCs/>
        </w:rPr>
        <w:t xml:space="preserve">. </w:t>
      </w:r>
      <w:r w:rsidR="00E673C7">
        <w:t xml:space="preserve">We ask providers to rank regions of the </w:t>
      </w:r>
      <w:r w:rsidR="008A71C7">
        <w:t xml:space="preserve">United States </w:t>
      </w:r>
      <w:r w:rsidR="00E673C7">
        <w:t xml:space="preserve">based on where they think HIV is most prevalent. If the provider ranks the text correctly or incorrectly, they will see an explanation. In the screenshot below, the text was ranked incorrectly. </w:t>
      </w:r>
    </w:p>
    <w:p w:rsidR="00E673C7" w14:paraId="2CCE4B10" w14:textId="01226568"/>
    <w:p w:rsidR="00E673C7" w:rsidRPr="00E673C7" w14:paraId="1F98E9ED" w14:textId="2EFBA408">
      <w:r>
        <w:rPr>
          <w:noProof/>
        </w:rPr>
        <w:drawing>
          <wp:inline distT="0" distB="0" distL="0" distR="0">
            <wp:extent cx="5118363" cy="5664491"/>
            <wp:effectExtent l="0" t="0" r="635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5118363" cy="5664491"/>
                    </a:xfrm>
                    <a:prstGeom prst="rect">
                      <a:avLst/>
                    </a:prstGeom>
                  </pic:spPr>
                </pic:pic>
              </a:graphicData>
            </a:graphic>
          </wp:inline>
        </w:drawing>
      </w:r>
    </w:p>
    <w:p w:rsidR="00173AEC" w14:paraId="50039690" w14:textId="52A9A452">
      <w:r>
        <w:t xml:space="preserve">Another interactive element </w:t>
      </w:r>
      <w:r w:rsidR="008A71C7">
        <w:t>used</w:t>
      </w:r>
      <w:r>
        <w:t xml:space="preserve"> throughout the modules is the hot spot feature on images. Providers can hover over a hot spot to view additional </w:t>
      </w:r>
      <w:r w:rsidR="00842541">
        <w:t>relevant information</w:t>
      </w:r>
      <w:r>
        <w:t xml:space="preserve"> to that area within the image. In module 1, we used this </w:t>
      </w:r>
      <w:r w:rsidR="00842541">
        <w:t>feature to show the number of HIV diagnoses within each EHE priority county.</w:t>
      </w:r>
    </w:p>
    <w:p w:rsidR="0029218F" w14:paraId="1BDA3560" w14:textId="7EB4E651">
      <w:r>
        <w:rPr>
          <w:noProof/>
        </w:rPr>
        <w:drawing>
          <wp:inline distT="0" distB="0" distL="0" distR="0">
            <wp:extent cx="5315223" cy="4750044"/>
            <wp:effectExtent l="0" t="0" r="0" b="0"/>
            <wp:docPr id="11" name="Picture 1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10;&#10;Description automatically generated"/>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315223" cy="4750044"/>
                    </a:xfrm>
                    <a:prstGeom prst="rect">
                      <a:avLst/>
                    </a:prstGeom>
                  </pic:spPr>
                </pic:pic>
              </a:graphicData>
            </a:graphic>
          </wp:inline>
        </w:drawing>
      </w:r>
    </w:p>
    <w:p w:rsidR="00E673C7" w14:paraId="7FC0B069" w14:textId="77777777"/>
    <w:p w:rsidR="00E673C7" w:rsidRPr="00E673C7" w14:paraId="19591C52" w14:textId="2C435D09">
      <w:pPr>
        <w:rPr>
          <w:b/>
          <w:bCs/>
          <w:i/>
          <w:iCs/>
        </w:rPr>
      </w:pPr>
      <w:r w:rsidRPr="00E673C7">
        <w:rPr>
          <w:b/>
          <w:bCs/>
          <w:i/>
          <w:iCs/>
        </w:rPr>
        <w:t>Module 2: Who and Why for PrEP</w:t>
      </w:r>
    </w:p>
    <w:p w:rsidR="0068380A" w14:paraId="6309230F" w14:textId="69237536">
      <w:r>
        <w:t xml:space="preserve">This module provides an overview of the 2021 CDC PrEP Guideline changes, PrEP screening process, CDC HIV testing recommendations, and PrEP navigation needs. </w:t>
      </w:r>
      <w:r w:rsidR="00ED2355">
        <w:t xml:space="preserve">Each module contains pre-test questions to help providers understand where they may have PrEP knowledge gaps. </w:t>
      </w:r>
      <w:r w:rsidR="00173AEC">
        <w:t xml:space="preserve">We also include a brief explanation on why the answer selection was correct or incorrect. </w:t>
      </w:r>
      <w:r w:rsidR="00ED2355">
        <w:t xml:space="preserve">The </w:t>
      </w:r>
      <w:r w:rsidR="008D7FF5">
        <w:t>screenshot</w:t>
      </w:r>
      <w:r w:rsidR="00ED2355">
        <w:t xml:space="preserve"> below </w:t>
      </w:r>
      <w:r w:rsidR="00173AEC">
        <w:t>is an example of a pre-test question with an explanation of a</w:t>
      </w:r>
      <w:r w:rsidR="00F42986">
        <w:t xml:space="preserve"> correct answer.</w:t>
      </w:r>
    </w:p>
    <w:p w:rsidR="00F42986" w14:paraId="52E23CCA" w14:textId="7B2C9766">
      <w:r>
        <w:rPr>
          <w:noProof/>
        </w:rPr>
        <w:drawing>
          <wp:inline distT="0" distB="0" distL="0" distR="0">
            <wp:extent cx="5004057" cy="3473629"/>
            <wp:effectExtent l="0" t="0" r="635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5004057" cy="3473629"/>
                    </a:xfrm>
                    <a:prstGeom prst="rect">
                      <a:avLst/>
                    </a:prstGeom>
                  </pic:spPr>
                </pic:pic>
              </a:graphicData>
            </a:graphic>
          </wp:inline>
        </w:drawing>
      </w:r>
    </w:p>
    <w:p w:rsidR="00F42986" w14:paraId="78B9168B" w14:textId="025C9F0A">
      <w:r>
        <w:t xml:space="preserve">We also incorporate brief videos and hyperlinks to resources throughout the training on relevant topics. In module 2 we included a CDC </w:t>
      </w:r>
      <w:r w:rsidR="008D7FF5">
        <w:t xml:space="preserve">created </w:t>
      </w:r>
      <w:r>
        <w:t xml:space="preserve">video on how to conduct a sexual health assessment and a hyperlink to the CDC’s </w:t>
      </w:r>
      <w:r w:rsidRPr="008D7FF5">
        <w:rPr>
          <w:i/>
          <w:iCs/>
        </w:rPr>
        <w:t>A Guide to Taking a Sexual Health Assessment</w:t>
      </w:r>
      <w:r>
        <w:t xml:space="preserve">. </w:t>
      </w:r>
    </w:p>
    <w:p w:rsidR="009C431B" w14:paraId="7003E5F8" w14:textId="1A23A196">
      <w:r>
        <w:rPr>
          <w:noProof/>
        </w:rPr>
        <w:drawing>
          <wp:inline distT="0" distB="0" distL="0" distR="0">
            <wp:extent cx="5562886" cy="4908802"/>
            <wp:effectExtent l="0" t="0" r="0" b="6350"/>
            <wp:docPr id="12" name="Picture 12" descr="A person talking to another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erson talking to another person&#10;&#10;Description automatically generated with low confidence"/>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562886" cy="4908802"/>
                    </a:xfrm>
                    <a:prstGeom prst="rect">
                      <a:avLst/>
                    </a:prstGeom>
                  </pic:spPr>
                </pic:pic>
              </a:graphicData>
            </a:graphic>
          </wp:inline>
        </w:drawing>
      </w:r>
    </w:p>
    <w:p w:rsidR="00F42986" w:rsidRPr="00F42986" w14:paraId="37A0CBD1" w14:textId="6B98C0FA">
      <w:pPr>
        <w:rPr>
          <w:b/>
          <w:bCs/>
          <w:i/>
          <w:iCs/>
        </w:rPr>
      </w:pPr>
      <w:r w:rsidRPr="00F42986">
        <w:rPr>
          <w:b/>
          <w:bCs/>
          <w:i/>
          <w:iCs/>
        </w:rPr>
        <w:t xml:space="preserve">Module 3: Post-Exposure Prophylaxis </w:t>
      </w:r>
    </w:p>
    <w:p w:rsidR="00F42986" w14:paraId="5E301DC5" w14:textId="210E7C6D">
      <w:r>
        <w:t xml:space="preserve">In this module, we provide an overview of Post-Exposure </w:t>
      </w:r>
      <w:r w:rsidR="008D7FF5">
        <w:t>Prophylaxis</w:t>
      </w:r>
      <w:r w:rsidR="006B20BE">
        <w:t xml:space="preserve"> (PEP) in contrast to PrEP and how to screen and prescribe PEP. In several sections, we include post-test questions to help providers understand what they learned in that module. Below we highlight an example of a check all that apply question. </w:t>
      </w:r>
    </w:p>
    <w:p w:rsidR="00842541" w14:paraId="16653571" w14:textId="175B597F">
      <w:r>
        <w:rPr>
          <w:noProof/>
        </w:rPr>
        <w:drawing>
          <wp:inline distT="0" distB="0" distL="0" distR="0">
            <wp:extent cx="4178515" cy="5512083"/>
            <wp:effectExtent l="0" t="0" r="0" b="0"/>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4178515" cy="5512083"/>
                    </a:xfrm>
                    <a:prstGeom prst="rect">
                      <a:avLst/>
                    </a:prstGeom>
                  </pic:spPr>
                </pic:pic>
              </a:graphicData>
            </a:graphic>
          </wp:inline>
        </w:drawing>
      </w:r>
    </w:p>
    <w:p w:rsidR="009C431B" w14:paraId="26851C87" w14:textId="130AD8D5">
      <w:r>
        <w:t>We also use flip</w:t>
      </w:r>
      <w:r w:rsidR="008A71C7">
        <w:t xml:space="preserve"> </w:t>
      </w:r>
      <w:r>
        <w:t>cards throughout the modules</w:t>
      </w:r>
      <w:r w:rsidR="008A71C7">
        <w:t xml:space="preserve"> as a way for providers to actively engage with the content</w:t>
      </w:r>
      <w:r w:rsidR="008D7FF5">
        <w:t xml:space="preserve"> rather than reading text on a screen</w:t>
      </w:r>
      <w:r w:rsidR="008A71C7">
        <w:t>. Providers are encouraged to click on the card to flip it for more information</w:t>
      </w:r>
      <w:r w:rsidR="008D7FF5">
        <w:t xml:space="preserve"> on that topic</w:t>
      </w:r>
      <w:r w:rsidR="008A71C7">
        <w:t xml:space="preserve">. The screenshots below show the front and back of a set of flip cards on PEP regimens. </w:t>
      </w:r>
    </w:p>
    <w:p w:rsidR="008A71C7" w14:paraId="652ACD87" w14:textId="222D27DE">
      <w:r>
        <w:rPr>
          <w:noProof/>
        </w:rPr>
        <w:drawing>
          <wp:inline distT="0" distB="0" distL="0" distR="0">
            <wp:extent cx="4227220" cy="2083242"/>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4235572" cy="2087358"/>
                    </a:xfrm>
                    <a:prstGeom prst="rect">
                      <a:avLst/>
                    </a:prstGeom>
                  </pic:spPr>
                </pic:pic>
              </a:graphicData>
            </a:graphic>
          </wp:inline>
        </w:drawing>
      </w:r>
    </w:p>
    <w:p w:rsidR="008D7FF5" w14:paraId="395F23E0" w14:textId="6343C3BF">
      <w:r>
        <w:t>Above screenshot is the front of the cards and below screenshot is the back of the cards.</w:t>
      </w:r>
    </w:p>
    <w:p w:rsidR="008A71C7" w14:paraId="0B99D541" w14:textId="2E42D89C">
      <w:r>
        <w:rPr>
          <w:noProof/>
        </w:rPr>
        <w:drawing>
          <wp:inline distT="0" distB="0" distL="0" distR="0">
            <wp:extent cx="4235668" cy="2260716"/>
            <wp:effectExtent l="0" t="0" r="0" b="6350"/>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4235668" cy="2260716"/>
                    </a:xfrm>
                    <a:prstGeom prst="rect">
                      <a:avLst/>
                    </a:prstGeom>
                  </pic:spPr>
                </pic:pic>
              </a:graphicData>
            </a:graphic>
          </wp:inline>
        </w:drawing>
      </w:r>
    </w:p>
    <w:p w:rsidR="006B20BE" w14:paraId="39E78145" w14:textId="168A26FC">
      <w:pPr>
        <w:rPr>
          <w:b/>
          <w:bCs/>
          <w:i/>
          <w:iCs/>
        </w:rPr>
      </w:pPr>
      <w:r w:rsidRPr="006B20BE">
        <w:rPr>
          <w:b/>
          <w:bCs/>
          <w:i/>
          <w:iCs/>
        </w:rPr>
        <w:t>Module 4: Considerations in Choosing Among the Oral PrEP Options</w:t>
      </w:r>
    </w:p>
    <w:p w:rsidR="006B20BE" w14:paraId="4D065222" w14:textId="19218663">
      <w:r>
        <w:t>This module provides an overview of the different oral PrEP regimens available and considerations for providers when prescribing these different regimens.</w:t>
      </w:r>
      <w:r w:rsidR="00A44AB1">
        <w:t xml:space="preserve"> An interactive element used in this module allows providers to click on a month to generate a to-do list for providers when seeing a client for that </w:t>
      </w:r>
      <w:r w:rsidR="008D7FF5">
        <w:t>month</w:t>
      </w:r>
      <w:r w:rsidR="00A44AB1">
        <w:t>.</w:t>
      </w:r>
    </w:p>
    <w:p w:rsidR="00A44AB1" w14:paraId="016B7E16" w14:textId="565CF6F7">
      <w:r>
        <w:rPr>
          <w:noProof/>
        </w:rPr>
        <w:drawing>
          <wp:inline distT="0" distB="0" distL="0" distR="0">
            <wp:extent cx="5943600" cy="4712970"/>
            <wp:effectExtent l="0" t="0" r="0" b="0"/>
            <wp:docPr id="8" name="Picture 8"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with low confidence"/>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943600" cy="4712970"/>
                    </a:xfrm>
                    <a:prstGeom prst="rect">
                      <a:avLst/>
                    </a:prstGeom>
                  </pic:spPr>
                </pic:pic>
              </a:graphicData>
            </a:graphic>
          </wp:inline>
        </w:drawing>
      </w:r>
    </w:p>
    <w:p w:rsidR="008A1CB1" w14:paraId="477B33DA" w14:textId="0CC32999"/>
    <w:p w:rsidR="008A1CB1" w14:paraId="361F8B74" w14:textId="00EA0652">
      <w:r>
        <w:t xml:space="preserve">We also utilize the checklist interactive tool, particularly when discussing patient assessments to ensure eligibility criteria are met prior to prescribing PrEP. Providers can use these checklists as tools to ensure proper PrEP guidelines are being followed. </w:t>
      </w:r>
    </w:p>
    <w:p w:rsidR="008A1CB1" w14:paraId="2E666D1C" w14:textId="45E856F6"/>
    <w:p w:rsidR="008A1CB1" w14:paraId="7D5CF02F" w14:textId="6588AB18">
      <w:r w:rsidRPr="008A1CB1">
        <w:rPr>
          <w:noProof/>
        </w:rPr>
        <w:drawing>
          <wp:inline distT="0" distB="0" distL="0" distR="0">
            <wp:extent cx="5940589" cy="3759200"/>
            <wp:effectExtent l="0" t="0" r="317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xmlns:r="http://schemas.openxmlformats.org/officeDocument/2006/relationships" r:embed="rId15"/>
                    <a:stretch>
                      <a:fillRect/>
                    </a:stretch>
                  </pic:blipFill>
                  <pic:spPr>
                    <a:xfrm>
                      <a:off x="0" y="0"/>
                      <a:ext cx="5946037" cy="3762648"/>
                    </a:xfrm>
                    <a:prstGeom prst="rect">
                      <a:avLst/>
                    </a:prstGeom>
                  </pic:spPr>
                </pic:pic>
              </a:graphicData>
            </a:graphic>
          </wp:inline>
        </w:drawing>
      </w:r>
    </w:p>
    <w:p w:rsidR="00A44AB1" w14:paraId="5EBF826E" w14:textId="4A14DEA7">
      <w:pPr>
        <w:rPr>
          <w:b/>
          <w:bCs/>
          <w:i/>
          <w:iCs/>
        </w:rPr>
      </w:pPr>
      <w:r w:rsidRPr="00A44AB1">
        <w:rPr>
          <w:b/>
          <w:bCs/>
          <w:i/>
          <w:iCs/>
        </w:rPr>
        <w:t xml:space="preserve">Module 5: </w:t>
      </w:r>
      <w:r>
        <w:rPr>
          <w:b/>
          <w:bCs/>
          <w:i/>
          <w:iCs/>
        </w:rPr>
        <w:t xml:space="preserve">Injectable PrEP </w:t>
      </w:r>
    </w:p>
    <w:p w:rsidR="00A44AB1" w14:paraId="1DAE829D" w14:textId="0DFE56D5">
      <w:r>
        <w:t xml:space="preserve">This module provides an overview of the process for initial injectable PrEP </w:t>
      </w:r>
      <w:r w:rsidR="00074464">
        <w:t>prescription and follow-ups. In most modules we use the Show More feature. If participants want</w:t>
      </w:r>
      <w:r w:rsidR="00A62745">
        <w:t xml:space="preserve"> to</w:t>
      </w:r>
      <w:r w:rsidR="00074464">
        <w:t xml:space="preserve"> review more in-depth information on a topic, they can click on the plus sign to expand content on a particular topic as is demonstrated in the screenshot below for Dapivirine. </w:t>
      </w:r>
    </w:p>
    <w:p w:rsidR="00074464" w14:paraId="791FC798" w14:textId="280462AD">
      <w:r>
        <w:rPr>
          <w:noProof/>
        </w:rPr>
        <w:drawing>
          <wp:inline distT="0" distB="0" distL="0" distR="0">
            <wp:extent cx="5943600" cy="4681855"/>
            <wp:effectExtent l="0" t="0" r="0" b="4445"/>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5943600" cy="4681855"/>
                    </a:xfrm>
                    <a:prstGeom prst="rect">
                      <a:avLst/>
                    </a:prstGeom>
                  </pic:spPr>
                </pic:pic>
              </a:graphicData>
            </a:graphic>
          </wp:inline>
        </w:drawing>
      </w:r>
    </w:p>
    <w:p w:rsidR="00074464" w14:paraId="4B4A5F56" w14:textId="777F01D0">
      <w:pPr>
        <w:rPr>
          <w:b/>
          <w:bCs/>
          <w:i/>
          <w:iCs/>
        </w:rPr>
      </w:pPr>
      <w:r w:rsidRPr="00074464">
        <w:rPr>
          <w:b/>
          <w:bCs/>
          <w:i/>
          <w:iCs/>
        </w:rPr>
        <w:t>Module 6: Maximizing PrEP Adherence and Persistence</w:t>
      </w:r>
    </w:p>
    <w:p w:rsidR="00074464" w14:paraId="5E7585D7" w14:textId="19C3C6DA">
      <w:r>
        <w:t xml:space="preserve">This module discusses strategies for increasing PrEP adherence and persistence. In most of the modules we include 1-2 case studies to help providers apply their new PrEP knowledge to real world cases they may encounter in </w:t>
      </w:r>
      <w:r w:rsidR="00A62745">
        <w:t>clinic</w:t>
      </w:r>
      <w:r>
        <w:t>. In this module, we introduce providers to Kyle</w:t>
      </w:r>
      <w:r w:rsidR="00A62745">
        <w:t xml:space="preserve"> and ask a question based on the information provided in the case. In the screenshot below, we show an explanation for the correct answer.</w:t>
      </w:r>
    </w:p>
    <w:p w:rsidR="0029218F" w14:paraId="4C9C7065" w14:textId="364ACEBC">
      <w:pPr>
        <w:rPr>
          <w:noProof/>
        </w:rPr>
      </w:pPr>
      <w:r>
        <w:rPr>
          <w:noProof/>
        </w:rPr>
        <w:drawing>
          <wp:inline distT="0" distB="0" distL="0" distR="0">
            <wp:extent cx="4026107" cy="5270771"/>
            <wp:effectExtent l="0" t="0" r="0" b="6350"/>
            <wp:docPr id="10" name="Picture 1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10;&#10;Description automatically generated"/>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4026107" cy="5270771"/>
                    </a:xfrm>
                    <a:prstGeom prst="rect">
                      <a:avLst/>
                    </a:prstGeom>
                  </pic:spPr>
                </pic:pic>
              </a:graphicData>
            </a:graphic>
          </wp:inline>
        </w:drawing>
      </w:r>
    </w:p>
    <w:p w:rsidR="002E688F" w:rsidP="002E688F" w14:paraId="63046DFB" w14:textId="3BFC19EA"/>
    <w:p w:rsidR="002E688F" w:rsidRPr="002E688F" w:rsidP="002E688F" w14:paraId="517AF6C8" w14:textId="5229C56B">
      <w:r>
        <w:t>In addition to the EPICC+ PrEP knowledge training modules described above, mChoice provider participants will view a training video providing education in cultural competency and humility. This training is intended to improve provider communication with all clients.</w:t>
      </w:r>
    </w:p>
    <w:sectPr>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03C" w14:paraId="7DED43D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03C" w14:paraId="2A9E90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03C" w14:paraId="4C80C83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03C" w14:paraId="54AA855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F80" w14:paraId="73930D75" w14:textId="64215099">
    <w:pPr>
      <w:pStyle w:val="Header"/>
    </w:pPr>
    <w:r>
      <w:t>mChoice</w:t>
    </w:r>
  </w:p>
  <w:p w:rsidR="00A04F80" w14:paraId="0B3A9153" w14:textId="1DBEC43C">
    <w:pPr>
      <w:pStyle w:val="Header"/>
    </w:pPr>
    <w:r>
      <w:t>Training Summary</w:t>
    </w:r>
  </w:p>
  <w:p w:rsidR="00A04F80" w14:paraId="51729F2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03C" w14:paraId="1284E5F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DEC"/>
    <w:rsid w:val="00074464"/>
    <w:rsid w:val="00170EBA"/>
    <w:rsid w:val="00173AEC"/>
    <w:rsid w:val="0029218F"/>
    <w:rsid w:val="002E688F"/>
    <w:rsid w:val="00374A6F"/>
    <w:rsid w:val="003C604E"/>
    <w:rsid w:val="003F703C"/>
    <w:rsid w:val="00530553"/>
    <w:rsid w:val="005318D7"/>
    <w:rsid w:val="0068380A"/>
    <w:rsid w:val="006B20BE"/>
    <w:rsid w:val="007B2A0E"/>
    <w:rsid w:val="00842541"/>
    <w:rsid w:val="008A1CB1"/>
    <w:rsid w:val="008A71C7"/>
    <w:rsid w:val="008B1089"/>
    <w:rsid w:val="008D7FF5"/>
    <w:rsid w:val="009C431B"/>
    <w:rsid w:val="00A04F80"/>
    <w:rsid w:val="00A44AB1"/>
    <w:rsid w:val="00A62745"/>
    <w:rsid w:val="00B9511C"/>
    <w:rsid w:val="00CA76ED"/>
    <w:rsid w:val="00D16DEF"/>
    <w:rsid w:val="00D75DEC"/>
    <w:rsid w:val="00E673C7"/>
    <w:rsid w:val="00EB35D3"/>
    <w:rsid w:val="00ED2355"/>
    <w:rsid w:val="00F42986"/>
    <w:rsid w:val="00F52B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9027BD"/>
  <w15:chartTrackingRefBased/>
  <w15:docId w15:val="{BC45C898-8A4F-4D67-9743-12646E8A6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A1CB1"/>
    <w:pPr>
      <w:spacing w:after="0" w:line="240" w:lineRule="auto"/>
    </w:pPr>
  </w:style>
  <w:style w:type="character" w:styleId="Hyperlink">
    <w:name w:val="Hyperlink"/>
    <w:basedOn w:val="DefaultParagraphFont"/>
    <w:uiPriority w:val="99"/>
    <w:semiHidden/>
    <w:unhideWhenUsed/>
    <w:rsid w:val="00F52B55"/>
    <w:rPr>
      <w:color w:val="0563C1"/>
      <w:u w:val="single"/>
    </w:rPr>
  </w:style>
  <w:style w:type="paragraph" w:styleId="Header">
    <w:name w:val="header"/>
    <w:basedOn w:val="Normal"/>
    <w:link w:val="HeaderChar"/>
    <w:uiPriority w:val="99"/>
    <w:unhideWhenUsed/>
    <w:rsid w:val="00A04F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F80"/>
  </w:style>
  <w:style w:type="paragraph" w:styleId="Footer">
    <w:name w:val="footer"/>
    <w:basedOn w:val="Normal"/>
    <w:link w:val="FooterChar"/>
    <w:uiPriority w:val="99"/>
    <w:unhideWhenUsed/>
    <w:rsid w:val="00A04F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live.easygenerator.com/review/course/56aba2a1-464b-4e10-b4dd-da1b1522cf93/"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34404-4C0C-4AAC-B10F-9FE1F1F8D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Crissi Rainer</dc:creator>
  <cp:lastModifiedBy>Tanner, Mary (CDC/DDID/NCHHSTP/DHP)</cp:lastModifiedBy>
  <cp:revision>10</cp:revision>
  <dcterms:created xsi:type="dcterms:W3CDTF">2023-03-16T14:43:00Z</dcterms:created>
  <dcterms:modified xsi:type="dcterms:W3CDTF">2023-04-11T17:58:00Z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18f3530d-92b2-486a-9435-ce5d8acff277</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2023-03-24T20:52:36Z</vt:lpwstr>
  </property>
  <property fmtid="{D5CDD505-2E9C-101B-9397-08002B2CF9AE}" pid="8" name="MSIP_Label_7b94a7b8-f06c-4dfe-bdcc-9b548fd58c31_SiteId">
    <vt:lpwstr>9ce70869-60db-44fd-abe8-d2767077fc8f</vt:lpwstr>
  </property>
</Properties>
</file>