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393" w:rsidP="003347BB" w14:paraId="71677A3A" w14:textId="77777777">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P="003347BB" w14:paraId="29C8FCAE" w14:textId="77777777">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4B7889" w:rsidP="003347BB" w14:paraId="1E92718F" w14:textId="38488390">
      <w:pPr>
        <w:tabs>
          <w:tab w:val="center" w:pos="4680"/>
        </w:tabs>
        <w:jc w:val="center"/>
        <w:rPr>
          <w:rFonts w:ascii="Times New Roman" w:hAnsi="Times New Roman"/>
          <w:sz w:val="28"/>
          <w:szCs w:val="28"/>
        </w:rPr>
      </w:pPr>
      <w:r>
        <w:rPr>
          <w:rFonts w:ascii="Times New Roman" w:hAnsi="Times New Roman"/>
          <w:sz w:val="28"/>
          <w:szCs w:val="28"/>
        </w:rPr>
        <w:t>Exp</w:t>
      </w:r>
      <w:r w:rsidR="00412BFF">
        <w:rPr>
          <w:rFonts w:ascii="Times New Roman" w:hAnsi="Times New Roman"/>
          <w:sz w:val="28"/>
          <w:szCs w:val="28"/>
        </w:rPr>
        <w:t xml:space="preserve">iration Date:  </w:t>
      </w:r>
      <w:r w:rsidR="00552F3C">
        <w:rPr>
          <w:rFonts w:ascii="Times New Roman" w:hAnsi="Times New Roman"/>
          <w:sz w:val="28"/>
          <w:szCs w:val="28"/>
        </w:rPr>
        <w:t>October 31, 2024</w:t>
      </w:r>
    </w:p>
    <w:p w:rsidR="006C7F23" w:rsidP="003347BB" w14:paraId="731B4653" w14:textId="77777777">
      <w:pPr>
        <w:tabs>
          <w:tab w:val="center" w:pos="4680"/>
        </w:tabs>
        <w:jc w:val="center"/>
        <w:rPr>
          <w:rFonts w:ascii="Times New Roman" w:hAnsi="Times New Roman"/>
          <w:sz w:val="28"/>
          <w:szCs w:val="28"/>
        </w:rPr>
      </w:pPr>
    </w:p>
    <w:p w:rsidR="006C7F23" w:rsidP="003347BB" w14:paraId="7865D403" w14:textId="77777777">
      <w:pPr>
        <w:tabs>
          <w:tab w:val="center" w:pos="4680"/>
        </w:tabs>
        <w:jc w:val="center"/>
        <w:rPr>
          <w:rFonts w:ascii="Times New Roman" w:hAnsi="Times New Roman"/>
          <w:sz w:val="28"/>
          <w:szCs w:val="28"/>
        </w:rPr>
      </w:pPr>
    </w:p>
    <w:p w:rsidR="006C7F23" w:rsidP="003347BB" w14:paraId="75836CA6" w14:textId="77777777">
      <w:pPr>
        <w:tabs>
          <w:tab w:val="center" w:pos="4680"/>
        </w:tabs>
        <w:jc w:val="center"/>
        <w:rPr>
          <w:rFonts w:ascii="Times New Roman" w:hAnsi="Times New Roman"/>
          <w:sz w:val="28"/>
          <w:szCs w:val="28"/>
        </w:rPr>
      </w:pPr>
      <w:r>
        <w:rPr>
          <w:rFonts w:ascii="Times New Roman" w:hAnsi="Times New Roman"/>
          <w:sz w:val="28"/>
          <w:szCs w:val="28"/>
        </w:rPr>
        <w:t>Part B</w:t>
      </w:r>
    </w:p>
    <w:p w:rsidR="00C5338D" w:rsidP="003347BB" w14:paraId="4DEC1C5B" w14:textId="77777777">
      <w:pPr>
        <w:tabs>
          <w:tab w:val="center" w:pos="4680"/>
        </w:tabs>
        <w:jc w:val="center"/>
        <w:rPr>
          <w:rFonts w:ascii="Times New Roman" w:hAnsi="Times New Roman"/>
          <w:sz w:val="28"/>
          <w:szCs w:val="28"/>
        </w:rPr>
      </w:pPr>
    </w:p>
    <w:bookmarkEnd w:id="0"/>
    <w:bookmarkEnd w:id="1"/>
    <w:p w:rsidR="004B4393" w:rsidRPr="0011189E" w:rsidP="003347BB" w14:paraId="7608B93B" w14:textId="77777777">
      <w:pPr>
        <w:tabs>
          <w:tab w:val="center" w:pos="4680"/>
        </w:tabs>
        <w:jc w:val="center"/>
        <w:rPr>
          <w:rFonts w:ascii="Times New Roman" w:hAnsi="Times New Roman"/>
          <w:sz w:val="32"/>
        </w:rPr>
      </w:pPr>
    </w:p>
    <w:p w:rsidR="004B4393" w:rsidP="003347BB" w14:paraId="47B6F509" w14:textId="77777777">
      <w:pPr>
        <w:jc w:val="both"/>
        <w:rPr>
          <w:rFonts w:ascii="Times New Roman" w:hAnsi="Times New Roman"/>
          <w:sz w:val="32"/>
        </w:rPr>
      </w:pPr>
    </w:p>
    <w:p w:rsidR="004B4393" w:rsidP="003347BB" w14:paraId="50E323A0" w14:textId="77777777">
      <w:pPr>
        <w:tabs>
          <w:tab w:val="center" w:pos="4680"/>
        </w:tabs>
        <w:jc w:val="both"/>
        <w:rPr>
          <w:rFonts w:ascii="Times New Roman" w:hAnsi="Times New Roman"/>
          <w:sz w:val="32"/>
        </w:rPr>
      </w:pPr>
      <w:r>
        <w:rPr>
          <w:rFonts w:ascii="Times New Roman" w:hAnsi="Times New Roman"/>
          <w:sz w:val="32"/>
        </w:rPr>
        <w:tab/>
      </w:r>
    </w:p>
    <w:p w:rsidR="004B4393" w:rsidP="003347BB" w14:paraId="34DA844C" w14:textId="77777777">
      <w:pPr>
        <w:tabs>
          <w:tab w:val="center" w:pos="4680"/>
        </w:tabs>
        <w:jc w:val="both"/>
        <w:rPr>
          <w:rFonts w:ascii="Times New Roman" w:hAnsi="Times New Roman"/>
          <w:sz w:val="32"/>
        </w:rPr>
      </w:pPr>
      <w:r>
        <w:rPr>
          <w:rFonts w:ascii="Times New Roman" w:hAnsi="Times New Roman"/>
          <w:b/>
          <w:sz w:val="32"/>
        </w:rPr>
        <w:tab/>
      </w:r>
    </w:p>
    <w:p w:rsidR="004B4393" w:rsidP="003347BB" w14:paraId="3E1222EA" w14:textId="77777777">
      <w:pPr>
        <w:jc w:val="both"/>
        <w:rPr>
          <w:rFonts w:ascii="Times New Roman" w:hAnsi="Times New Roman"/>
        </w:rPr>
      </w:pPr>
    </w:p>
    <w:p w:rsidR="004B4393" w:rsidP="003347BB" w14:paraId="58D2338A" w14:textId="77777777">
      <w:pPr>
        <w:pStyle w:val="Footer"/>
        <w:tabs>
          <w:tab w:val="clear" w:pos="4320"/>
          <w:tab w:val="clear" w:pos="8640"/>
        </w:tabs>
        <w:jc w:val="both"/>
        <w:rPr>
          <w:rFonts w:ascii="Times New Roman" w:hAnsi="Times New Roman"/>
        </w:rPr>
      </w:pPr>
    </w:p>
    <w:p w:rsidR="003347BB" w:rsidP="003347BB" w14:paraId="13100862" w14:textId="77777777">
      <w:pPr>
        <w:pStyle w:val="Footer"/>
        <w:tabs>
          <w:tab w:val="clear" w:pos="4320"/>
          <w:tab w:val="clear" w:pos="8640"/>
        </w:tabs>
        <w:jc w:val="both"/>
        <w:rPr>
          <w:rFonts w:ascii="Times New Roman" w:hAnsi="Times New Roman"/>
        </w:rPr>
      </w:pPr>
    </w:p>
    <w:p w:rsidR="00C5338D" w:rsidP="003347BB" w14:paraId="691E4382" w14:textId="77777777">
      <w:pPr>
        <w:pStyle w:val="Footer"/>
        <w:tabs>
          <w:tab w:val="clear" w:pos="4320"/>
          <w:tab w:val="clear" w:pos="8640"/>
        </w:tabs>
        <w:jc w:val="both"/>
        <w:rPr>
          <w:rFonts w:ascii="Times New Roman" w:hAnsi="Times New Roman"/>
        </w:rPr>
      </w:pPr>
    </w:p>
    <w:p w:rsidR="00C5338D" w:rsidP="003347BB" w14:paraId="4910BD00" w14:textId="77777777">
      <w:pPr>
        <w:pStyle w:val="Footer"/>
        <w:tabs>
          <w:tab w:val="clear" w:pos="4320"/>
          <w:tab w:val="clear" w:pos="8640"/>
        </w:tabs>
        <w:jc w:val="both"/>
        <w:rPr>
          <w:rFonts w:ascii="Times New Roman" w:hAnsi="Times New Roman"/>
        </w:rPr>
      </w:pPr>
    </w:p>
    <w:p w:rsidR="00C5338D" w:rsidP="003347BB" w14:paraId="222F7C9F" w14:textId="77777777">
      <w:pPr>
        <w:pStyle w:val="Footer"/>
        <w:tabs>
          <w:tab w:val="clear" w:pos="4320"/>
          <w:tab w:val="clear" w:pos="8640"/>
        </w:tabs>
        <w:jc w:val="both"/>
        <w:rPr>
          <w:rFonts w:ascii="Times New Roman" w:hAnsi="Times New Roman"/>
        </w:rPr>
      </w:pPr>
    </w:p>
    <w:p w:rsidR="00850A82" w:rsidP="003347BB" w14:paraId="12CCAE84" w14:textId="77777777">
      <w:pPr>
        <w:pStyle w:val="Footer"/>
        <w:tabs>
          <w:tab w:val="clear" w:pos="4320"/>
          <w:tab w:val="clear" w:pos="8640"/>
        </w:tabs>
        <w:jc w:val="both"/>
        <w:rPr>
          <w:rFonts w:ascii="Times New Roman" w:hAnsi="Times New Roman"/>
        </w:rPr>
      </w:pPr>
    </w:p>
    <w:p w:rsidR="006C6606" w:rsidP="003347BB" w14:paraId="514FADC2" w14:textId="77777777">
      <w:pPr>
        <w:pStyle w:val="Footer"/>
        <w:tabs>
          <w:tab w:val="clear" w:pos="4320"/>
          <w:tab w:val="clear" w:pos="8640"/>
        </w:tabs>
        <w:jc w:val="both"/>
        <w:rPr>
          <w:rFonts w:ascii="Times New Roman" w:hAnsi="Times New Roman"/>
        </w:rPr>
      </w:pPr>
    </w:p>
    <w:p w:rsidR="006C6606" w:rsidP="003347BB" w14:paraId="78C9C0F7" w14:textId="77777777">
      <w:pPr>
        <w:pStyle w:val="Footer"/>
        <w:tabs>
          <w:tab w:val="clear" w:pos="4320"/>
          <w:tab w:val="clear" w:pos="8640"/>
        </w:tabs>
        <w:jc w:val="both"/>
        <w:rPr>
          <w:rFonts w:ascii="Times New Roman" w:hAnsi="Times New Roman"/>
        </w:rPr>
      </w:pPr>
    </w:p>
    <w:p w:rsidR="006C6606" w:rsidP="003347BB" w14:paraId="6EFCCD99" w14:textId="77777777">
      <w:pPr>
        <w:pStyle w:val="Footer"/>
        <w:tabs>
          <w:tab w:val="clear" w:pos="4320"/>
          <w:tab w:val="clear" w:pos="8640"/>
        </w:tabs>
        <w:jc w:val="both"/>
        <w:rPr>
          <w:rFonts w:ascii="Times New Roman" w:hAnsi="Times New Roman"/>
        </w:rPr>
      </w:pPr>
    </w:p>
    <w:p w:rsidR="00850A82" w:rsidP="003347BB" w14:paraId="736848CF" w14:textId="77777777">
      <w:pPr>
        <w:pStyle w:val="Footer"/>
        <w:tabs>
          <w:tab w:val="clear" w:pos="4320"/>
          <w:tab w:val="clear" w:pos="8640"/>
        </w:tabs>
        <w:jc w:val="both"/>
        <w:rPr>
          <w:rFonts w:ascii="Times New Roman" w:hAnsi="Times New Roman"/>
        </w:rPr>
      </w:pPr>
    </w:p>
    <w:p w:rsidR="00850A82" w:rsidP="003347BB" w14:paraId="02BE3280" w14:textId="77777777">
      <w:pPr>
        <w:pStyle w:val="Footer"/>
        <w:tabs>
          <w:tab w:val="clear" w:pos="4320"/>
          <w:tab w:val="clear" w:pos="8640"/>
        </w:tabs>
        <w:jc w:val="both"/>
        <w:rPr>
          <w:rFonts w:ascii="Times New Roman" w:hAnsi="Times New Roman"/>
        </w:rPr>
      </w:pPr>
    </w:p>
    <w:p w:rsidR="00850A82" w:rsidP="003347BB" w14:paraId="55A4115F" w14:textId="77777777">
      <w:pPr>
        <w:pStyle w:val="Footer"/>
        <w:tabs>
          <w:tab w:val="clear" w:pos="4320"/>
          <w:tab w:val="clear" w:pos="8640"/>
        </w:tabs>
        <w:jc w:val="both"/>
        <w:rPr>
          <w:rFonts w:ascii="Times New Roman" w:hAnsi="Times New Roman"/>
        </w:rPr>
      </w:pPr>
    </w:p>
    <w:p w:rsidR="003347BB" w:rsidP="003347BB" w14:paraId="123B3E30" w14:textId="77777777">
      <w:pPr>
        <w:pStyle w:val="Footer"/>
        <w:tabs>
          <w:tab w:val="clear" w:pos="4320"/>
          <w:tab w:val="clear" w:pos="8640"/>
        </w:tabs>
        <w:jc w:val="both"/>
        <w:rPr>
          <w:rFonts w:ascii="Times New Roman" w:hAnsi="Times New Roman"/>
        </w:rPr>
      </w:pPr>
    </w:p>
    <w:p w:rsidR="006C6606" w:rsidP="003347BB" w14:paraId="05CD654C" w14:textId="77777777">
      <w:pPr>
        <w:pStyle w:val="Footer"/>
        <w:tabs>
          <w:tab w:val="clear" w:pos="4320"/>
          <w:tab w:val="clear" w:pos="8640"/>
        </w:tabs>
        <w:jc w:val="both"/>
        <w:rPr>
          <w:rFonts w:ascii="Times New Roman" w:hAnsi="Times New Roman"/>
        </w:rPr>
      </w:pPr>
    </w:p>
    <w:p w:rsidR="006C6606" w:rsidP="003347BB" w14:paraId="33B3CE61" w14:textId="77777777">
      <w:pPr>
        <w:pStyle w:val="Footer"/>
        <w:tabs>
          <w:tab w:val="clear" w:pos="4320"/>
          <w:tab w:val="clear" w:pos="8640"/>
        </w:tabs>
        <w:jc w:val="both"/>
        <w:rPr>
          <w:rFonts w:ascii="Times New Roman" w:hAnsi="Times New Roman"/>
        </w:rPr>
      </w:pPr>
    </w:p>
    <w:p w:rsidR="004B4393" w:rsidP="003347BB" w14:paraId="14013ACE" w14:textId="77777777">
      <w:pPr>
        <w:pStyle w:val="Footer"/>
        <w:tabs>
          <w:tab w:val="clear" w:pos="4320"/>
          <w:tab w:val="clear" w:pos="8640"/>
        </w:tabs>
        <w:jc w:val="both"/>
        <w:rPr>
          <w:rFonts w:ascii="Times New Roman" w:hAnsi="Times New Roman"/>
        </w:rPr>
      </w:pPr>
    </w:p>
    <w:p w:rsidR="00E841F8" w:rsidRPr="00C803C5" w:rsidP="00E841F8" w14:paraId="54D20BB8" w14:textId="77777777">
      <w:pPr>
        <w:pStyle w:val="Footer"/>
        <w:tabs>
          <w:tab w:val="clear" w:pos="4320"/>
          <w:tab w:val="clear" w:pos="8640"/>
        </w:tabs>
        <w:rPr>
          <w:rFonts w:ascii="Times New Roman" w:hAnsi="Times New Roman"/>
        </w:rPr>
      </w:pPr>
      <w:r w:rsidRPr="00C803C5">
        <w:rPr>
          <w:rFonts w:ascii="Times New Roman" w:hAnsi="Times New Roman"/>
        </w:rPr>
        <w:t>Project Manager: Dawn B. Griffin</w:t>
      </w:r>
    </w:p>
    <w:p w:rsidR="00E841F8" w:rsidRPr="00C803C5" w:rsidP="00E841F8" w14:paraId="191885E9" w14:textId="77777777">
      <w:pPr>
        <w:pStyle w:val="Footer"/>
        <w:tabs>
          <w:tab w:val="clear" w:pos="4320"/>
          <w:tab w:val="clear" w:pos="8640"/>
        </w:tabs>
        <w:rPr>
          <w:rFonts w:ascii="Times New Roman" w:hAnsi="Times New Roman"/>
        </w:rPr>
      </w:pPr>
      <w:r w:rsidRPr="00C803C5">
        <w:rPr>
          <w:rFonts w:ascii="Times New Roman" w:hAnsi="Times New Roman"/>
        </w:rPr>
        <w:t>Health Communication Specialist</w:t>
      </w:r>
    </w:p>
    <w:p w:rsidR="00E841F8" w:rsidRPr="00C803C5" w:rsidP="00E841F8" w14:paraId="5CD5FCFB" w14:textId="77777777">
      <w:pPr>
        <w:pStyle w:val="Footer"/>
        <w:tabs>
          <w:tab w:val="clear" w:pos="4320"/>
          <w:tab w:val="clear" w:pos="8640"/>
        </w:tabs>
        <w:rPr>
          <w:rFonts w:ascii="Times New Roman" w:hAnsi="Times New Roman"/>
        </w:rPr>
      </w:pPr>
      <w:r w:rsidRPr="00C803C5">
        <w:rPr>
          <w:rFonts w:ascii="Times New Roman" w:hAnsi="Times New Roman"/>
        </w:rPr>
        <w:t>Office of Communication</w:t>
      </w:r>
    </w:p>
    <w:p w:rsidR="00E841F8" w:rsidRPr="00C803C5" w:rsidP="00E841F8" w14:paraId="18571203" w14:textId="77777777">
      <w:pPr>
        <w:pStyle w:val="Footer"/>
        <w:tabs>
          <w:tab w:val="clear" w:pos="4320"/>
          <w:tab w:val="clear" w:pos="8640"/>
        </w:tabs>
        <w:rPr>
          <w:rFonts w:ascii="Times New Roman" w:hAnsi="Times New Roman"/>
        </w:rPr>
      </w:pPr>
      <w:r w:rsidRPr="00C803C5">
        <w:rPr>
          <w:rFonts w:ascii="Times New Roman" w:hAnsi="Times New Roman"/>
        </w:rPr>
        <w:t>Phone: (404) 498-0129</w:t>
      </w:r>
    </w:p>
    <w:p w:rsidR="00E841F8" w:rsidRPr="00C803C5" w:rsidP="00E841F8" w14:paraId="5F5AB4FC" w14:textId="77777777">
      <w:pPr>
        <w:pStyle w:val="Footer"/>
        <w:tabs>
          <w:tab w:val="clear" w:pos="4320"/>
          <w:tab w:val="clear" w:pos="8640"/>
        </w:tabs>
        <w:rPr>
          <w:rFonts w:ascii="Times New Roman" w:hAnsi="Times New Roman"/>
        </w:rPr>
      </w:pPr>
      <w:r w:rsidRPr="00C803C5">
        <w:rPr>
          <w:rFonts w:ascii="Times New Roman" w:hAnsi="Times New Roman"/>
        </w:rPr>
        <w:t>Email address:</w:t>
      </w:r>
      <w:r w:rsidRPr="00C803C5">
        <w:rPr>
          <w:rFonts w:ascii="Times New Roman" w:hAnsi="Times New Roman"/>
        </w:rPr>
        <w:tab/>
        <w:t xml:space="preserve">   fqv3@cdc.gov</w:t>
      </w:r>
    </w:p>
    <w:p w:rsidR="00E841F8" w:rsidRPr="00C803C5" w:rsidP="00E841F8" w14:paraId="35DE14B8" w14:textId="77777777">
      <w:pPr>
        <w:rPr>
          <w:rFonts w:ascii="Times New Roman" w:hAnsi="Times New Roman"/>
        </w:rPr>
      </w:pPr>
      <w:r w:rsidRPr="00C803C5">
        <w:rPr>
          <w:rFonts w:ascii="Times New Roman" w:hAnsi="Times New Roman"/>
        </w:rPr>
        <w:t>Centers for Disease Control and Prevention</w:t>
      </w:r>
    </w:p>
    <w:p w:rsidR="00E841F8" w:rsidRPr="00C803C5" w:rsidP="00E841F8" w14:paraId="23CDA346" w14:textId="04A9AC00">
      <w:pPr>
        <w:rPr>
          <w:rFonts w:ascii="Times New Roman" w:hAnsi="Times New Roman"/>
        </w:rPr>
      </w:pPr>
      <w:r w:rsidRPr="00C803C5">
        <w:rPr>
          <w:rFonts w:ascii="Times New Roman" w:hAnsi="Times New Roman"/>
        </w:rPr>
        <w:t>1600 Clifton Road, MS</w:t>
      </w:r>
      <w:r w:rsidRPr="00C803C5" w:rsidR="004F6697">
        <w:rPr>
          <w:rFonts w:ascii="Times New Roman" w:hAnsi="Times New Roman"/>
        </w:rPr>
        <w:t xml:space="preserve"> H19-B</w:t>
      </w:r>
    </w:p>
    <w:p w:rsidR="00E841F8" w:rsidRPr="00C803C5" w:rsidP="00E841F8" w14:paraId="22FD7266" w14:textId="77777777">
      <w:pPr>
        <w:rPr>
          <w:rFonts w:ascii="Times New Roman" w:hAnsi="Times New Roman"/>
        </w:rPr>
      </w:pPr>
      <w:r w:rsidRPr="00C803C5">
        <w:rPr>
          <w:rFonts w:ascii="Times New Roman" w:hAnsi="Times New Roman"/>
        </w:rPr>
        <w:t>Atlanta GA  30345</w:t>
      </w:r>
    </w:p>
    <w:p w:rsidR="00E841F8" w:rsidRPr="00C803C5" w:rsidP="00E841F8" w14:paraId="701A6ED8" w14:textId="77777777">
      <w:pPr>
        <w:rPr>
          <w:rFonts w:ascii="Times New Roman" w:hAnsi="Times New Roman"/>
        </w:rPr>
      </w:pPr>
    </w:p>
    <w:p w:rsidR="00E841F8" w:rsidP="00E841F8" w14:paraId="411B52B9" w14:textId="77777777">
      <w:pPr>
        <w:rPr>
          <w:rFonts w:ascii="Times New Roman" w:hAnsi="Times New Roman"/>
        </w:rPr>
      </w:pPr>
      <w:r w:rsidRPr="00C803C5">
        <w:rPr>
          <w:rFonts w:ascii="Times New Roman" w:hAnsi="Times New Roman"/>
        </w:rPr>
        <w:t>September 30, 2024</w:t>
      </w:r>
    </w:p>
    <w:p w:rsidR="00564F48" w:rsidP="00564F48" w14:paraId="68E7A50C" w14:textId="77777777">
      <w:pPr>
        <w:jc w:val="both"/>
        <w:rPr>
          <w:rFonts w:ascii="Times New Roman" w:hAnsi="Times New Roman"/>
          <w:b/>
        </w:rPr>
      </w:pPr>
      <w:r>
        <w:rPr>
          <w:rFonts w:ascii="Times New Roman" w:hAnsi="Times New Roman"/>
        </w:rPr>
        <w:br w:type="page"/>
      </w:r>
      <w:r w:rsidRPr="00564F48">
        <w:rPr>
          <w:rFonts w:ascii="Times New Roman" w:hAnsi="Times New Roman"/>
          <w:b/>
        </w:rPr>
        <w:t xml:space="preserve">Section </w:t>
      </w:r>
    </w:p>
    <w:p w:rsidR="00564F48" w:rsidP="00564F48" w14:paraId="19B3B326" w14:textId="77777777">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873">
        <w:rPr>
          <w:rFonts w:ascii="Times New Roman" w:hAnsi="Times New Roman"/>
        </w:rPr>
        <w:tab/>
      </w:r>
      <w:r>
        <w:rPr>
          <w:rFonts w:ascii="Times New Roman" w:hAnsi="Times New Roman"/>
        </w:rPr>
        <w:t>Page</w:t>
      </w:r>
    </w:p>
    <w:p w:rsidR="00564F48" w:rsidP="00564F48" w14:paraId="1DEC80F7" w14:textId="77777777">
      <w:pPr>
        <w:jc w:val="both"/>
        <w:rPr>
          <w:rFonts w:ascii="Times New Roman" w:hAnsi="Times New Roman"/>
        </w:rPr>
      </w:pPr>
    </w:p>
    <w:p w:rsidR="00564F48" w:rsidP="00564F48" w14:paraId="151C3423" w14:textId="77777777">
      <w:pPr>
        <w:jc w:val="both"/>
        <w:rPr>
          <w:rFonts w:ascii="Times New Roman" w:hAnsi="Times New Roman"/>
          <w:sz w:val="22"/>
          <w:szCs w:val="22"/>
        </w:rPr>
      </w:pPr>
      <w:r>
        <w:rPr>
          <w:rFonts w:ascii="Times New Roman" w:hAnsi="Times New Roman"/>
          <w:szCs w:val="24"/>
        </w:rPr>
        <w:t xml:space="preserve">                  B.  Collection of Information Employing Statistical Methods</w:t>
      </w:r>
      <w:r w:rsidR="000A1873">
        <w:rPr>
          <w:rFonts w:ascii="Times New Roman" w:hAnsi="Times New Roman"/>
          <w:sz w:val="22"/>
          <w:szCs w:val="22"/>
        </w:rPr>
        <w:tab/>
      </w:r>
      <w:r w:rsidR="000A1873">
        <w:rPr>
          <w:rFonts w:ascii="Times New Roman" w:hAnsi="Times New Roman"/>
          <w:sz w:val="22"/>
          <w:szCs w:val="22"/>
        </w:rPr>
        <w:tab/>
      </w:r>
      <w:r w:rsidR="000A1873">
        <w:rPr>
          <w:rFonts w:ascii="Times New Roman" w:hAnsi="Times New Roman"/>
          <w:sz w:val="22"/>
          <w:szCs w:val="22"/>
        </w:rPr>
        <w:tab/>
        <w:t>3</w:t>
      </w:r>
    </w:p>
    <w:p w:rsidR="00564F48" w:rsidP="00564F48" w14:paraId="7608E33A"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P="00564F48" w14:paraId="4E0210F8"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w:t>
      </w:r>
      <w:r w:rsidR="008652A5">
        <w:rPr>
          <w:rFonts w:ascii="Times New Roman" w:hAnsi="Times New Roman"/>
          <w:sz w:val="22"/>
          <w:szCs w:val="22"/>
        </w:rPr>
        <w:t>niverse and Sampling Methods</w:t>
      </w:r>
      <w:r w:rsidR="008652A5">
        <w:rPr>
          <w:rFonts w:ascii="Times New Roman" w:hAnsi="Times New Roman"/>
          <w:sz w:val="22"/>
          <w:szCs w:val="22"/>
        </w:rPr>
        <w:tab/>
      </w:r>
      <w:r w:rsidR="008652A5">
        <w:rPr>
          <w:rFonts w:ascii="Times New Roman" w:hAnsi="Times New Roman"/>
          <w:sz w:val="22"/>
          <w:szCs w:val="22"/>
        </w:rPr>
        <w:tab/>
        <w:t>5</w:t>
      </w:r>
    </w:p>
    <w:p w:rsidR="00564F48" w:rsidP="00564F48" w14:paraId="4051DF52"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w:t>
      </w:r>
      <w:r w:rsidR="000A1873">
        <w:rPr>
          <w:rFonts w:ascii="Times New Roman" w:hAnsi="Times New Roman"/>
          <w:sz w:val="22"/>
          <w:szCs w:val="22"/>
        </w:rPr>
        <w:t>he Collection of Information</w:t>
      </w:r>
      <w:r w:rsidR="000A1873">
        <w:rPr>
          <w:rFonts w:ascii="Times New Roman" w:hAnsi="Times New Roman"/>
          <w:sz w:val="22"/>
          <w:szCs w:val="22"/>
        </w:rPr>
        <w:tab/>
      </w:r>
      <w:r w:rsidR="000A1873">
        <w:rPr>
          <w:rFonts w:ascii="Times New Roman" w:hAnsi="Times New Roman"/>
          <w:sz w:val="22"/>
          <w:szCs w:val="22"/>
        </w:rPr>
        <w:tab/>
        <w:t>6</w:t>
      </w:r>
    </w:p>
    <w:p w:rsidR="008652A5" w:rsidP="00564F48" w14:paraId="1FF135D7"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r>
      <w:r w:rsidRPr="008652A5">
        <w:rPr>
          <w:rFonts w:ascii="Times New Roman" w:hAnsi="Times New Roman"/>
          <w:sz w:val="22"/>
          <w:szCs w:val="22"/>
        </w:rPr>
        <w:t xml:space="preserve">Methods to Maximize Response Rates and Deal with No </w:t>
      </w:r>
      <w:r w:rsidRPr="008652A5">
        <w:rPr>
          <w:rFonts w:ascii="Times New Roman" w:hAnsi="Times New Roman"/>
          <w:sz w:val="22"/>
          <w:szCs w:val="22"/>
        </w:rPr>
        <w:t>Response</w:t>
      </w:r>
      <w:r w:rsidR="000A1873">
        <w:rPr>
          <w:rFonts w:ascii="Times New Roman" w:hAnsi="Times New Roman"/>
          <w:sz w:val="22"/>
          <w:szCs w:val="22"/>
        </w:rPr>
        <w:t>..</w:t>
      </w:r>
      <w:r w:rsidR="000A1873">
        <w:rPr>
          <w:rFonts w:ascii="Times New Roman" w:hAnsi="Times New Roman"/>
          <w:sz w:val="22"/>
          <w:szCs w:val="22"/>
        </w:rPr>
        <w:tab/>
      </w:r>
      <w:r w:rsidR="000A1873">
        <w:rPr>
          <w:rFonts w:ascii="Times New Roman" w:hAnsi="Times New Roman"/>
          <w:sz w:val="22"/>
          <w:szCs w:val="22"/>
        </w:rPr>
        <w:tab/>
        <w:t>6</w:t>
      </w:r>
    </w:p>
    <w:p w:rsidR="00564F48" w:rsidP="00564F48" w14:paraId="03AB45E9"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r>
      <w:r>
        <w:rPr>
          <w:rFonts w:ascii="Times New Roman" w:hAnsi="Times New Roman"/>
          <w:sz w:val="22"/>
          <w:szCs w:val="22"/>
        </w:rPr>
        <w:t>Test of Procedures or Methods to be Undertaken</w:t>
      </w:r>
      <w:r>
        <w:rPr>
          <w:rFonts w:ascii="Times New Roman" w:hAnsi="Times New Roman"/>
          <w:sz w:val="22"/>
          <w:szCs w:val="22"/>
        </w:rPr>
        <w:tab/>
      </w:r>
      <w:r>
        <w:rPr>
          <w:rFonts w:ascii="Times New Roman" w:hAnsi="Times New Roman"/>
          <w:sz w:val="22"/>
          <w:szCs w:val="22"/>
        </w:rPr>
        <w:tab/>
        <w:t>20</w:t>
      </w:r>
    </w:p>
    <w:p w:rsidR="00564F48" w:rsidP="00564F48" w14:paraId="5CA5B616"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B.5</w:t>
      </w:r>
      <w:r>
        <w:rPr>
          <w:rFonts w:ascii="Times New Roman" w:hAnsi="Times New Roman"/>
          <w:sz w:val="22"/>
          <w:szCs w:val="22"/>
        </w:rPr>
        <w:t>.</w:t>
      </w:r>
      <w:r>
        <w:rPr>
          <w:rFonts w:ascii="Times New Roman" w:hAnsi="Times New Roman"/>
          <w:sz w:val="22"/>
          <w:szCs w:val="22"/>
        </w:rPr>
        <w:tab/>
        <w:t>Statistical Consultants</w:t>
      </w:r>
      <w:r>
        <w:rPr>
          <w:rFonts w:ascii="Times New Roman" w:hAnsi="Times New Roman"/>
          <w:sz w:val="22"/>
          <w:szCs w:val="22"/>
        </w:rPr>
        <w:tab/>
      </w:r>
      <w:r>
        <w:rPr>
          <w:rFonts w:ascii="Times New Roman" w:hAnsi="Times New Roman"/>
          <w:sz w:val="22"/>
          <w:szCs w:val="22"/>
        </w:rPr>
        <w:tab/>
        <w:t>20</w:t>
      </w:r>
    </w:p>
    <w:p w:rsidR="002E3632" w:rsidRPr="00C4002F" w:rsidP="00564F48" w14:paraId="5C475DE8"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Pr="00C4002F">
        <w:rPr>
          <w:rFonts w:ascii="Times New Roman" w:hAnsi="Times New Roman"/>
          <w:b/>
          <w:sz w:val="26"/>
          <w:szCs w:val="26"/>
        </w:rPr>
        <w:t>B.            Collection of Information Employing Statistical Methods</w:t>
      </w:r>
    </w:p>
    <w:p w:rsidR="002E3632" w:rsidRPr="002D5826" w:rsidP="002E3632" w14:paraId="38EA670C"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13800211"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002E3632" w:rsidRPr="002D5826" w:rsidP="002E3632" w14:paraId="30DBFD53"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P="002E3632" w14:paraId="02922702" w14:textId="77777777">
      <w:pPr>
        <w:pStyle w:val="BodyText2"/>
        <w:tabs>
          <w:tab w:val="left" w:pos="1170"/>
        </w:tabs>
        <w:jc w:val="both"/>
        <w:rPr>
          <w:sz w:val="22"/>
          <w:szCs w:val="22"/>
        </w:rPr>
      </w:pPr>
      <w:r w:rsidRPr="002D5826">
        <w:rPr>
          <w:sz w:val="22"/>
          <w:szCs w:val="22"/>
        </w:rPr>
        <w:t xml:space="preserve">The HMTS methods are: </w:t>
      </w:r>
    </w:p>
    <w:p w:rsidR="002E3632" w:rsidP="002E3632" w14:paraId="3BEF20A3" w14:textId="77777777">
      <w:pPr>
        <w:pStyle w:val="BodyText2"/>
        <w:tabs>
          <w:tab w:val="left" w:pos="1170"/>
        </w:tabs>
        <w:jc w:val="both"/>
        <w:rPr>
          <w:sz w:val="22"/>
          <w:szCs w:val="22"/>
        </w:rPr>
      </w:pPr>
    </w:p>
    <w:p w:rsidR="002E3632" w:rsidP="002E3632" w14:paraId="5FC3EDCC" w14:textId="77777777">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002E3632" w:rsidRPr="00BB3AD2" w:rsidP="002E3632" w14:paraId="7A86A11E" w14:textId="77777777">
      <w:pPr>
        <w:pStyle w:val="BodyText2"/>
        <w:tabs>
          <w:tab w:val="left" w:pos="1170"/>
        </w:tabs>
        <w:jc w:val="both"/>
        <w:rPr>
          <w:sz w:val="18"/>
          <w:szCs w:val="18"/>
        </w:rPr>
      </w:pPr>
    </w:p>
    <w:p w:rsidR="002E3632" w:rsidP="002E3632" w14:paraId="19DFFF53" w14:textId="77777777">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P="002E3632" w14:paraId="4152DDB5" w14:textId="77777777">
      <w:pPr>
        <w:pStyle w:val="BodyText2"/>
        <w:tabs>
          <w:tab w:val="left" w:pos="1170"/>
        </w:tabs>
        <w:jc w:val="both"/>
        <w:rPr>
          <w:sz w:val="22"/>
          <w:szCs w:val="22"/>
        </w:rPr>
      </w:pPr>
    </w:p>
    <w:p w:rsidR="002E3632" w:rsidRPr="00BB3AD2" w:rsidP="002E3632" w14:paraId="23103854" w14:textId="77777777">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P="002E3632" w14:paraId="404DC49C" w14:textId="77777777">
      <w:pPr>
        <w:pStyle w:val="BodyText2"/>
        <w:tabs>
          <w:tab w:val="left" w:pos="1170"/>
        </w:tabs>
        <w:jc w:val="both"/>
        <w:rPr>
          <w:sz w:val="22"/>
          <w:szCs w:val="22"/>
        </w:rPr>
      </w:pPr>
    </w:p>
    <w:p w:rsidR="002E3632" w:rsidRPr="002D5826" w:rsidP="002E3632" w14:paraId="027C6333" w14:textId="77777777">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002E3632" w:rsidRPr="00BB3AD2" w:rsidP="002E3632" w14:paraId="78F65CC9" w14:textId="77777777">
      <w:pPr>
        <w:pStyle w:val="BodyText2"/>
        <w:tabs>
          <w:tab w:val="left" w:pos="1170"/>
        </w:tabs>
        <w:jc w:val="both"/>
        <w:rPr>
          <w:sz w:val="18"/>
          <w:szCs w:val="18"/>
        </w:rPr>
      </w:pPr>
    </w:p>
    <w:p w:rsidR="002E3632" w:rsidP="002E3632" w14:paraId="1E52933E" w14:textId="77777777">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P="002E3632" w14:paraId="60E7849E" w14:textId="77777777">
      <w:pPr>
        <w:pStyle w:val="BodyText2"/>
        <w:tabs>
          <w:tab w:val="left" w:pos="1170"/>
        </w:tabs>
        <w:jc w:val="both"/>
        <w:rPr>
          <w:sz w:val="22"/>
          <w:szCs w:val="22"/>
        </w:rPr>
      </w:pPr>
    </w:p>
    <w:p w:rsidR="002E3632" w:rsidP="002E3632" w14:paraId="2CD78C19" w14:textId="77777777">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Pr>
          <w:rStyle w:val="FootnoteReference"/>
          <w:sz w:val="22"/>
          <w:szCs w:val="22"/>
          <w:vertAlign w:val="superscript"/>
        </w:rPr>
        <w:footnoteReference w:id="2"/>
      </w:r>
      <w:r w:rsidRPr="002D5826">
        <w:rPr>
          <w:sz w:val="22"/>
          <w:szCs w:val="22"/>
          <w:vertAlign w:val="superscript"/>
        </w:rPr>
        <w:t>,</w:t>
      </w:r>
      <w:r w:rsidRPr="002D5826">
        <w:rPr>
          <w:sz w:val="22"/>
          <w:szCs w:val="22"/>
        </w:rPr>
        <w:t xml:space="preserve"> </w:t>
      </w:r>
      <w:r>
        <w:rPr>
          <w:rStyle w:val="FootnoteReference"/>
          <w:sz w:val="22"/>
          <w:szCs w:val="22"/>
          <w:vertAlign w:val="superscript"/>
        </w:rPr>
        <w:footnoteReference w:id="3"/>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P="002E3632" w14:paraId="642667BB" w14:textId="77777777">
      <w:pPr>
        <w:pStyle w:val="BodyText2"/>
        <w:tabs>
          <w:tab w:val="left" w:pos="1170"/>
        </w:tabs>
        <w:jc w:val="both"/>
        <w:rPr>
          <w:sz w:val="22"/>
          <w:szCs w:val="22"/>
        </w:rPr>
      </w:pPr>
    </w:p>
    <w:p w:rsidR="002E3632" w:rsidRPr="002D5826" w:rsidP="002E3632" w14:paraId="30666A2B" w14:textId="77777777">
      <w:pPr>
        <w:pStyle w:val="BodyText2"/>
        <w:tabs>
          <w:tab w:val="left" w:pos="1170"/>
        </w:tabs>
        <w:jc w:val="both"/>
        <w:rPr>
          <w:sz w:val="22"/>
          <w:szCs w:val="22"/>
        </w:rPr>
      </w:pPr>
      <w:r w:rsidRPr="002D5826">
        <w:rPr>
          <w:sz w:val="22"/>
          <w:szCs w:val="22"/>
        </w:rPr>
        <w:t>By incorporating qualitative and quantitative elements in various mixtures, these techniques allow the flexibility for in-depth, individualized probing, can be feasible in time-sensitive situations, and have worked well in message development for commercial advertising</w:t>
      </w:r>
      <w:r>
        <w:rPr>
          <w:sz w:val="22"/>
          <w:szCs w:val="22"/>
        </w:rPr>
        <w:t>.</w:t>
      </w:r>
      <w:r w:rsidRPr="002D5826">
        <w:rPr>
          <w:sz w:val="22"/>
          <w:szCs w:val="22"/>
        </w:rPr>
        <w:t xml:space="preserve"> </w:t>
      </w:r>
      <w:r>
        <w:rPr>
          <w:rStyle w:val="FootnoteReference"/>
          <w:sz w:val="22"/>
          <w:szCs w:val="22"/>
          <w:vertAlign w:val="superscript"/>
        </w:rPr>
        <w:footnoteReference w:id="4"/>
      </w:r>
      <w:r w:rsidRPr="002D5826">
        <w:rPr>
          <w:sz w:val="22"/>
          <w:szCs w:val="22"/>
        </w:rPr>
        <w:t xml:space="preserve">  </w:t>
      </w:r>
    </w:p>
    <w:p w:rsidR="002E3632" w:rsidRPr="002D5826" w:rsidP="002E3632" w14:paraId="6403C96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002E3632" w:rsidRPr="002D5826" w:rsidP="002E3632" w14:paraId="0052C087"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P="002E3632" w14:paraId="01B0A66E"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w:t>
      </w:r>
      <w:r w:rsidRPr="002D5826">
        <w:rPr>
          <w:rFonts w:ascii="Times New Roman" w:hAnsi="Times New Roman"/>
          <w:sz w:val="22"/>
          <w:szCs w:val="22"/>
        </w:rPr>
        <w:t>high volume</w:t>
      </w:r>
      <w:r w:rsidRPr="002D5826">
        <w:rPr>
          <w:rFonts w:ascii="Times New Roman" w:hAnsi="Times New Roman"/>
          <w:sz w:val="22"/>
          <w:szCs w:val="22"/>
        </w:rPr>
        <w:t xml:space="preserv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P="002E3632" w14:paraId="70ED83F4"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40BB8" w:rsidP="00F40BB8" w14:paraId="62EC267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w:t>
      </w:r>
      <w:r>
        <w:rPr>
          <w:rFonts w:ascii="Times New Roman" w:hAnsi="Times New Roman"/>
          <w:sz w:val="22"/>
          <w:szCs w:val="22"/>
        </w:rPr>
        <w:t xml:space="preserve"> </w:t>
      </w:r>
      <w:r w:rsidRPr="002D5826">
        <w:rPr>
          <w:rFonts w:ascii="Times New Roman" w:hAnsi="Times New Roman"/>
          <w:sz w:val="22"/>
          <w:szCs w:val="22"/>
        </w:rPr>
        <w:t xml:space="preserve"> </w:t>
      </w:r>
      <w:r>
        <w:rPr>
          <w:rFonts w:ascii="Times New Roman" w:hAnsi="Times New Roman"/>
          <w:sz w:val="22"/>
          <w:szCs w:val="22"/>
        </w:rPr>
        <w:t>However, the default for the government is not to offer incentives for interviews and surveys.</w:t>
      </w:r>
    </w:p>
    <w:p w:rsidR="002E3632" w:rsidP="002E3632" w14:paraId="188D2A9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Eligible, interested participants will be interviewed on the spot, or given instructions about how to get to a nearby location, such as a movie theater, where the survey will be administered.  Whenever possible, participants will be guided through the brief interview process by </w:t>
      </w:r>
      <w:r w:rsidRPr="002D5826">
        <w:rPr>
          <w:rFonts w:ascii="Times New Roman" w:hAnsi="Times New Roman"/>
          <w:sz w:val="22"/>
          <w:szCs w:val="22"/>
        </w:rPr>
        <w:t>touch-screens</w:t>
      </w:r>
      <w:r w:rsidRPr="002D5826">
        <w:rPr>
          <w:rFonts w:ascii="Times New Roman" w:hAnsi="Times New Roman"/>
          <w:sz w:val="22"/>
          <w:szCs w:val="22"/>
        </w:rPr>
        <w:t xml:space="preserve"> or other user-friendly strategies. </w:t>
      </w:r>
    </w:p>
    <w:p w:rsidR="002E3632" w:rsidRPr="002D5826" w:rsidP="002E3632" w14:paraId="7AA841B0"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P="002E3632" w14:paraId="23ED04C9"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P="002E3632" w14:paraId="56DD52A2"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03B7F2DD"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002E3632" w:rsidRPr="002D5826" w:rsidP="002E3632" w14:paraId="42ECABE0"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002E3632" w:rsidRPr="002D5826" w:rsidP="002E3632" w14:paraId="0C8A94EF"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P="002E3632" w14:paraId="3B803F29"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002E3632" w:rsidRPr="002D5826" w:rsidP="002E3632" w14:paraId="4203D36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27D2B3A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002E3632" w:rsidRPr="002D5826" w:rsidP="002E3632" w14:paraId="5943945E"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109FAD8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P="002E3632" w14:paraId="58D18DB4"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E85B11" w:rsidP="002E3632" w14:paraId="7A3614EB" w14:textId="77777777">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P="002E3632" w14:paraId="07CD761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P="002E3632" w14:paraId="7038B1AA"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4A04A804"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P="002E3632" w14:paraId="2FAE729A"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AC513B" w:rsidP="002E3632" w14:paraId="526F4CE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P="002E3632" w14:paraId="12E6BE72"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082BAF" w:rsidP="002E3632" w14:paraId="3924E48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the interaction inherent in cognitive interviewing can improve the interviewer’s understanding of the subject’s cognitive processes and the decision-making process behind a given response.</w:t>
      </w:r>
    </w:p>
    <w:p w:rsidR="002E3632" w:rsidP="002E3632" w14:paraId="57608D20"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2E12DC4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t>Focus Groups</w:t>
      </w:r>
    </w:p>
    <w:p w:rsidR="002E3632" w:rsidP="002E3632" w14:paraId="2499F0A8" w14:textId="77777777">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w:t>
      </w:r>
      <w:r w:rsidRPr="002D5826">
        <w:rPr>
          <w:sz w:val="22"/>
          <w:szCs w:val="22"/>
        </w:rPr>
        <w:t>discussion, but</w:t>
      </w:r>
      <w:r w:rsidRPr="002D5826">
        <w:rPr>
          <w:sz w:val="22"/>
          <w:szCs w:val="22"/>
        </w:rPr>
        <w:t xml:space="preserve">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002E3632" w:rsidRPr="002D5826" w:rsidP="002E3632" w14:paraId="40B2147A" w14:textId="77777777">
      <w:pPr>
        <w:jc w:val="both"/>
        <w:rPr>
          <w:sz w:val="22"/>
          <w:szCs w:val="22"/>
        </w:rPr>
      </w:pPr>
    </w:p>
    <w:p w:rsidR="002E3632" w:rsidRPr="002D5826" w:rsidP="002E3632" w14:paraId="0AC8760C" w14:textId="77777777">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002E3632" w:rsidRPr="002D5826" w:rsidP="002E3632" w14:paraId="47656926"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187FB8E3"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002E3632" w:rsidRPr="002D5826" w:rsidP="002E3632" w14:paraId="76E4AD62"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w:t>
      </w:r>
      <w:r w:rsidRPr="002D5826">
        <w:rPr>
          <w:rFonts w:ascii="Times New Roman" w:hAnsi="Times New Roman"/>
          <w:sz w:val="22"/>
          <w:szCs w:val="22"/>
        </w:rPr>
        <w:t>Email, or</w:t>
      </w:r>
      <w:r w:rsidRPr="002D5826">
        <w:rPr>
          <w:rFonts w:ascii="Times New Roman" w:hAnsi="Times New Roman"/>
          <w:sz w:val="22"/>
          <w:szCs w:val="22"/>
        </w:rPr>
        <w:t xml:space="preserve">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002E3632" w:rsidRPr="002D5826" w:rsidP="002E3632" w14:paraId="3DDC8F66" w14:textId="77777777">
      <w:pPr>
        <w:pStyle w:val="BodyText2"/>
        <w:tabs>
          <w:tab w:val="left" w:pos="1170"/>
        </w:tabs>
        <w:jc w:val="both"/>
        <w:rPr>
          <w:sz w:val="22"/>
          <w:szCs w:val="22"/>
        </w:rPr>
      </w:pPr>
      <w:r w:rsidRPr="002D5826">
        <w:rPr>
          <w:i/>
          <w:sz w:val="22"/>
          <w:szCs w:val="22"/>
        </w:rPr>
        <w:t xml:space="preserve">  </w:t>
      </w:r>
    </w:p>
    <w:p w:rsidR="002E3632" w:rsidRPr="002D5826" w:rsidP="002E3632" w14:paraId="51760D34" w14:textId="77777777">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002E3632" w:rsidRPr="002D5826" w:rsidP="002E3632" w14:paraId="38E552DE" w14:textId="77777777">
      <w:pPr>
        <w:pStyle w:val="BodyText2"/>
        <w:tabs>
          <w:tab w:val="left" w:pos="1170"/>
        </w:tabs>
        <w:jc w:val="both"/>
        <w:rPr>
          <w:i/>
          <w:sz w:val="22"/>
          <w:szCs w:val="22"/>
        </w:rPr>
      </w:pPr>
    </w:p>
    <w:p w:rsidR="002E3632" w:rsidRPr="002D5826" w:rsidP="002E3632" w14:paraId="50A8D35B"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002E3632" w:rsidRPr="002D5826" w:rsidP="002E3632" w14:paraId="77C1398C"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002E3632" w:rsidRPr="002D5826" w:rsidP="002E3632" w14:paraId="4AC9BADA"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002E3632" w:rsidRPr="002D5826" w:rsidP="002E3632" w14:paraId="381214F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002E3632" w:rsidRPr="002D5826" w:rsidP="002E3632" w14:paraId="28BA099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w:t>
      </w:r>
      <w:r w:rsidRPr="002D5826">
        <w:rPr>
          <w:rFonts w:ascii="Times New Roman" w:hAnsi="Times New Roman"/>
          <w:sz w:val="22"/>
          <w:szCs w:val="22"/>
        </w:rPr>
        <w:t>In particular, do</w:t>
      </w:r>
      <w:r w:rsidRPr="002D5826">
        <w:rPr>
          <w:rFonts w:ascii="Times New Roman" w:hAnsi="Times New Roman"/>
          <w:sz w:val="22"/>
          <w:szCs w:val="22"/>
        </w:rPr>
        <w:t xml:space="preserve"> parents have significant concerns about ads intended for youth audiences? </w:t>
      </w:r>
    </w:p>
    <w:p w:rsidR="002E3632" w:rsidRPr="002D5826" w:rsidP="002E3632" w14:paraId="040DB301"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w:t>
      </w:r>
      <w:r w:rsidRPr="002D5826">
        <w:rPr>
          <w:rFonts w:ascii="Times New Roman" w:hAnsi="Times New Roman"/>
          <w:sz w:val="22"/>
          <w:szCs w:val="22"/>
        </w:rPr>
        <w:t>take action</w:t>
      </w:r>
      <w:r w:rsidRPr="002D5826">
        <w:rPr>
          <w:rFonts w:ascii="Times New Roman" w:hAnsi="Times New Roman"/>
          <w:sz w:val="22"/>
          <w:szCs w:val="22"/>
        </w:rPr>
        <w:t xml:space="preserve"> as a result of seeing/hearing the message? </w:t>
      </w:r>
    </w:p>
    <w:p w:rsidR="002E3632" w:rsidRPr="002D5826" w:rsidP="002E3632" w14:paraId="1C98F11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002E3632" w:rsidRPr="002D5826" w:rsidP="002E3632" w14:paraId="32662DB7" w14:textId="77777777">
      <w:pPr>
        <w:pStyle w:val="BodyText2"/>
        <w:tabs>
          <w:tab w:val="left" w:pos="1170"/>
        </w:tabs>
        <w:jc w:val="both"/>
        <w:rPr>
          <w:sz w:val="22"/>
          <w:szCs w:val="22"/>
        </w:rPr>
      </w:pPr>
      <w:r w:rsidRPr="002D5826">
        <w:rPr>
          <w:sz w:val="22"/>
          <w:szCs w:val="22"/>
        </w:rPr>
        <w:t>Participation will be encouraged by:</w:t>
      </w:r>
    </w:p>
    <w:p w:rsidR="002E3632" w:rsidRPr="002B7389" w:rsidP="002E3632" w14:paraId="14F492F6"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002E3632" w:rsidRPr="002B7389" w:rsidP="002E3632" w14:paraId="05B693CE"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002E3632" w:rsidRPr="002B7389" w:rsidP="002E3632" w14:paraId="4850EE4C"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002E3632" w:rsidRPr="002D5826" w:rsidP="002E3632" w14:paraId="63D2B6BE"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3632" w:rsidRPr="002D5826" w:rsidP="002E3632" w14:paraId="25B98EC3" w14:textId="77777777">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002E3632" w:rsidRPr="002D5826" w:rsidP="002E3632" w14:paraId="5AA68C5B" w14:textId="77777777">
      <w:pPr>
        <w:widowControl/>
        <w:tabs>
          <w:tab w:val="left" w:pos="-720"/>
        </w:tabs>
        <w:ind w:left="720" w:hanging="720"/>
        <w:jc w:val="both"/>
        <w:rPr>
          <w:rFonts w:ascii="Times New Roman" w:hAnsi="Times New Roman"/>
          <w:b/>
          <w:sz w:val="22"/>
          <w:szCs w:val="22"/>
        </w:rPr>
      </w:pPr>
    </w:p>
    <w:p w:rsidR="002E3632" w:rsidRPr="002D5826" w:rsidP="002E3632" w14:paraId="42635DC5" w14:textId="77777777">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t xml:space="preserve"> Any adult, non-incarcerated, non-institutionalized member of a target audience for any of CDC’s numerous health messages could be a respondent in some study falling within the purview of the HMTS. </w:t>
      </w:r>
    </w:p>
    <w:p w:rsidR="002E3632" w:rsidP="002E3632" w14:paraId="791118D1" w14:textId="77777777">
      <w:pPr>
        <w:widowControl/>
        <w:tabs>
          <w:tab w:val="left" w:pos="-720"/>
        </w:tabs>
        <w:jc w:val="both"/>
        <w:rPr>
          <w:sz w:val="22"/>
          <w:szCs w:val="22"/>
        </w:rPr>
      </w:pPr>
    </w:p>
    <w:p w:rsidR="00F51A28" w:rsidRPr="002D5826" w:rsidP="002E3632" w14:paraId="1FF20A5B" w14:textId="77777777">
      <w:pPr>
        <w:widowControl/>
        <w:tabs>
          <w:tab w:val="left" w:pos="-720"/>
        </w:tabs>
        <w:jc w:val="both"/>
        <w:rPr>
          <w:sz w:val="22"/>
          <w:szCs w:val="22"/>
        </w:rPr>
      </w:pPr>
    </w:p>
    <w:p w:rsidR="002E3632" w:rsidRPr="002D5826" w:rsidP="002E3632" w14:paraId="2384056D" w14:textId="77777777">
      <w:pPr>
        <w:jc w:val="both"/>
        <w:rPr>
          <w:sz w:val="22"/>
          <w:szCs w:val="22"/>
        </w:rPr>
      </w:pPr>
      <w:r w:rsidRPr="002D5826">
        <w:rPr>
          <w:rFonts w:ascii="Times New Roman" w:hAnsi="Times New Roman"/>
          <w:b/>
          <w:sz w:val="22"/>
          <w:szCs w:val="22"/>
        </w:rPr>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002E3632" w:rsidRPr="002D5826" w:rsidP="002E3632" w14:paraId="1AD0DB33" w14:textId="77777777">
      <w:pPr>
        <w:jc w:val="both"/>
        <w:rPr>
          <w:rFonts w:ascii="Times New Roman" w:hAnsi="Times New Roman"/>
          <w:b/>
          <w:sz w:val="22"/>
          <w:szCs w:val="22"/>
        </w:rPr>
      </w:pPr>
    </w:p>
    <w:p w:rsidR="002E3632" w:rsidRPr="002D5826" w:rsidP="002E3632" w14:paraId="5975FAA2" w14:textId="77777777">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002E3632" w:rsidRPr="002D5826" w:rsidP="002E3632" w14:paraId="1E1D0127" w14:textId="77777777">
      <w:pPr>
        <w:jc w:val="both"/>
        <w:rPr>
          <w:rFonts w:ascii="Times New Roman" w:hAnsi="Times New Roman"/>
          <w:sz w:val="22"/>
          <w:szCs w:val="22"/>
        </w:rPr>
      </w:pPr>
    </w:p>
    <w:p w:rsidR="002E3632" w:rsidP="002E3632" w14:paraId="59C20903" w14:textId="77777777">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w:t>
      </w:r>
    </w:p>
    <w:p w:rsidR="002E3632" w:rsidRPr="002D5826" w:rsidP="002E3632" w14:paraId="03E09BC0" w14:textId="77777777">
      <w:pPr>
        <w:jc w:val="both"/>
        <w:rPr>
          <w:rFonts w:ascii="Times New Roman" w:hAnsi="Times New Roman"/>
          <w:sz w:val="22"/>
          <w:szCs w:val="22"/>
        </w:rPr>
      </w:pPr>
    </w:p>
    <w:p w:rsidR="002E3632" w:rsidRPr="002D5826" w:rsidP="002E3632" w14:paraId="5AC3B831" w14:textId="77777777">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point-biserial correlation between group membership and dependent variable of r = .243, or a proportion of variance accounted for of 5.9%. Such a test of means could be used on responses considered to be continuous in nature.</w:t>
      </w:r>
    </w:p>
    <w:p w:rsidR="002E3632" w:rsidRPr="002D5826" w:rsidP="002E3632" w14:paraId="217E066C" w14:textId="77777777">
      <w:pPr>
        <w:jc w:val="both"/>
        <w:rPr>
          <w:sz w:val="22"/>
          <w:szCs w:val="22"/>
        </w:rPr>
      </w:pPr>
    </w:p>
    <w:p w:rsidR="002E3632" w:rsidRPr="002D5826" w:rsidP="002E3632" w14:paraId="7AC90FCF" w14:textId="77777777">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w:t>
      </w:r>
      <w:r w:rsidRPr="002D5826">
        <w:rPr>
          <w:rFonts w:ascii="Times New Roman" w:hAnsi="Times New Roman"/>
          <w:sz w:val="22"/>
          <w:szCs w:val="22"/>
        </w:rPr>
        <w:t>two sided</w:t>
      </w:r>
      <w:r w:rsidRPr="002D5826">
        <w:rPr>
          <w:rFonts w:ascii="Times New Roman" w:hAnsi="Times New Roman"/>
          <w:sz w:val="22"/>
          <w:szCs w:val="22"/>
        </w:rPr>
        <w:t xml:space="preserve">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002E3632" w:rsidRPr="002D5826" w:rsidP="002E3632" w14:paraId="0E706958" w14:textId="77777777">
      <w:pPr>
        <w:jc w:val="both"/>
        <w:rPr>
          <w:rFonts w:ascii="Times New Roman" w:hAnsi="Times New Roman"/>
          <w:sz w:val="22"/>
          <w:szCs w:val="22"/>
        </w:rPr>
      </w:pPr>
    </w:p>
    <w:p w:rsidR="001279C1" w:rsidRPr="008652A5" w:rsidP="002E3632" w14:paraId="0986133D"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sz w:val="22"/>
          <w:szCs w:val="22"/>
        </w:rPr>
        <w:t>B.3. Methods to Maximize Response Rates and Deal with No Response</w:t>
      </w:r>
    </w:p>
    <w:p w:rsidR="008652A5" w:rsidRPr="008652A5" w:rsidP="008652A5" w14:paraId="779CBC76" w14:textId="77777777">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 the case of data collection activities that involve interviews or telephone, online, and in-person surveys, the following procedures have proven effective in previous studies and can be used to increase responses:</w:t>
      </w:r>
    </w:p>
    <w:p w:rsidR="008652A5" w:rsidRPr="008652A5" w:rsidP="008652A5" w14:paraId="52F6E8A3"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8652A5" w:rsidRPr="008652A5" w:rsidP="008652A5" w14:paraId="65479319"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Experienced, </w:t>
      </w:r>
      <w:r w:rsidRPr="008652A5">
        <w:rPr>
          <w:b w:val="0"/>
          <w:sz w:val="22"/>
          <w:szCs w:val="22"/>
        </w:rPr>
        <w:t>highly-trained</w:t>
      </w:r>
      <w:r w:rsidRPr="008652A5">
        <w:rPr>
          <w:b w:val="0"/>
          <w:sz w:val="22"/>
          <w:szCs w:val="22"/>
        </w:rPr>
        <w:t xml:space="preserve"> staff will moderate all focus groups or bulletin board sessions in-person or online. </w:t>
      </w:r>
    </w:p>
    <w:p w:rsidR="008652A5" w:rsidRPr="008652A5" w:rsidP="008652A5" w14:paraId="05E316C7"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For telephone interviews, outgoing calls that result in a disposition of no answer, a busy signal, or an answering machine will be automatically rescheduled.  </w:t>
      </w:r>
    </w:p>
    <w:p w:rsidR="008652A5" w:rsidRPr="008652A5" w:rsidP="008652A5" w14:paraId="73ED8AF5"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Respondents may be allowed several options for completing data collections (telephone, online or </w:t>
      </w:r>
      <w:r w:rsidRPr="008652A5">
        <w:rPr>
          <w:b w:val="0"/>
          <w:sz w:val="22"/>
          <w:szCs w:val="22"/>
        </w:rPr>
        <w:t xml:space="preserve">in-person, etc.). Follow-up e-mail, mail or phone contacts will be made to encourage participation. </w:t>
      </w:r>
    </w:p>
    <w:p w:rsidR="001279C1" w:rsidRPr="008652A5" w:rsidP="002E3632" w14:paraId="7AF8E1D2"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To minimize non-response rates, a phone or in-person interview may be arranged in case of non-response to initial web-based distribution of questionnaires.</w:t>
      </w:r>
    </w:p>
    <w:p w:rsidR="008652A5" w:rsidP="002E3632" w14:paraId="38FC2934"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p>
    <w:p w:rsidR="002E3632" w:rsidRPr="002D5826" w:rsidP="002E3632" w14:paraId="3CC589BB"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1279C1">
        <w:rPr>
          <w:sz w:val="22"/>
          <w:szCs w:val="22"/>
        </w:rPr>
        <w:t>B.4</w:t>
      </w:r>
      <w:r w:rsidRPr="001279C1">
        <w:rPr>
          <w:sz w:val="22"/>
          <w:szCs w:val="22"/>
        </w:rPr>
        <w:t>.</w:t>
      </w:r>
      <w:r w:rsidRPr="001279C1">
        <w:rPr>
          <w:sz w:val="22"/>
          <w:szCs w:val="22"/>
        </w:rPr>
        <w:tab/>
        <w:t>Tests of Procedures or Methods to be Undertaken</w:t>
      </w:r>
    </w:p>
    <w:p w:rsidR="002E3632" w:rsidRPr="002D5826" w:rsidP="002E3632" w14:paraId="01419C9C" w14:textId="77777777">
      <w:pPr>
        <w:jc w:val="both"/>
        <w:rPr>
          <w:rFonts w:ascii="Times New Roman" w:hAnsi="Times New Roman"/>
          <w:sz w:val="22"/>
          <w:szCs w:val="22"/>
        </w:rPr>
      </w:pPr>
      <w:r w:rsidRPr="002D5826">
        <w:rPr>
          <w:rFonts w:ascii="Times New Roman" w:hAnsi="Times New Roman"/>
          <w:sz w:val="22"/>
          <w:szCs w:val="22"/>
        </w:rPr>
        <w:t>The majority of</w:t>
      </w:r>
      <w:r w:rsidRPr="002D5826">
        <w:rPr>
          <w:rFonts w:ascii="Times New Roman" w:hAnsi="Times New Roman"/>
          <w:sz w:val="22"/>
          <w:szCs w:val="22"/>
        </w:rPr>
        <w:t xml:space="preserve"> the procedures to be used by HMTS are already well-established, and the online panel approach has been used with increasingly frequency.  Studies using this method have passed scientific peer review,</w:t>
      </w:r>
      <w:r>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and this method of data collection is now used by major commercial research firms such as Harris Interactive (</w:t>
      </w:r>
      <w:hyperlink r:id="rId6" w:history="1">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r:id="rId7" w:history="1">
        <w:r w:rsidRPr="002D5826">
          <w:rPr>
            <w:rStyle w:val="Hyperlink"/>
            <w:rFonts w:ascii="Times New Roman" w:hAnsi="Times New Roman"/>
            <w:sz w:val="22"/>
            <w:szCs w:val="22"/>
          </w:rPr>
          <w:t>www.intersurvey.com/ganp/</w:t>
        </w:r>
      </w:hyperlink>
      <w:r w:rsidRPr="002D5826">
        <w:rPr>
          <w:rFonts w:ascii="Times New Roman" w:hAnsi="Times New Roman"/>
          <w:sz w:val="22"/>
          <w:szCs w:val="22"/>
        </w:rPr>
        <w:t xml:space="preserve">), and </w:t>
      </w:r>
      <w:r w:rsidRPr="002D5826">
        <w:rPr>
          <w:rFonts w:ascii="Times New Roman" w:hAnsi="Times New Roman"/>
          <w:sz w:val="22"/>
          <w:szCs w:val="22"/>
        </w:rPr>
        <w:t>MSInteractive</w:t>
      </w:r>
      <w:r w:rsidRPr="002D5826">
        <w:rPr>
          <w:rFonts w:ascii="Times New Roman" w:hAnsi="Times New Roman"/>
          <w:sz w:val="22"/>
          <w:szCs w:val="22"/>
        </w:rPr>
        <w:t xml:space="preserve"> (</w:t>
      </w:r>
      <w:hyperlink r:id="rId8" w:history="1">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002E3632" w:rsidRPr="002D5826" w:rsidP="002E3632" w14:paraId="4D21BFB3" w14:textId="77777777">
      <w:pPr>
        <w:jc w:val="both"/>
        <w:rPr>
          <w:rFonts w:ascii="Times New Roman" w:hAnsi="Times New Roman"/>
          <w:sz w:val="22"/>
          <w:szCs w:val="22"/>
        </w:rPr>
      </w:pPr>
    </w:p>
    <w:p w:rsidR="002E3632" w:rsidRPr="002D5826" w:rsidP="002E3632" w14:paraId="22C40441" w14:textId="77777777">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P="002E3632" w14:paraId="54E408D4" w14:textId="77777777">
      <w:pPr>
        <w:jc w:val="both"/>
        <w:rPr>
          <w:rFonts w:ascii="Times New Roman" w:hAnsi="Times New Roman"/>
          <w:sz w:val="22"/>
          <w:szCs w:val="22"/>
        </w:rPr>
      </w:pPr>
    </w:p>
    <w:p w:rsidR="008652A5" w:rsidP="002E3632" w14:paraId="4B339757" w14:textId="77777777">
      <w:pPr>
        <w:jc w:val="both"/>
        <w:rPr>
          <w:rFonts w:ascii="Times New Roman" w:hAnsi="Times New Roman"/>
          <w:sz w:val="22"/>
          <w:szCs w:val="22"/>
        </w:rPr>
      </w:pPr>
    </w:p>
    <w:p w:rsidR="002E3632" w:rsidRPr="002D5826" w:rsidP="002E3632" w14:paraId="1541B4C8" w14:textId="77777777">
      <w:pPr>
        <w:jc w:val="both"/>
        <w:rPr>
          <w:rFonts w:ascii="Times New Roman" w:hAnsi="Times New Roman"/>
          <w:b/>
          <w:sz w:val="22"/>
          <w:szCs w:val="22"/>
        </w:rPr>
      </w:pPr>
      <w:r w:rsidRPr="002D5826">
        <w:rPr>
          <w:rFonts w:ascii="Times New Roman" w:hAnsi="Times New Roman"/>
          <w:sz w:val="22"/>
          <w:szCs w:val="22"/>
        </w:rPr>
        <w:t xml:space="preserve">      </w:t>
      </w:r>
    </w:p>
    <w:p w:rsidR="002E3632" w:rsidRPr="001B3A27" w:rsidP="002E3632" w14:paraId="14C11DC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1B3A27">
        <w:rPr>
          <w:rFonts w:ascii="Times New Roman" w:hAnsi="Times New Roman"/>
          <w:b/>
          <w:sz w:val="22"/>
          <w:szCs w:val="22"/>
        </w:rPr>
        <w:t>B.5</w:t>
      </w:r>
      <w:r w:rsidRPr="001B3A27">
        <w:rPr>
          <w:rFonts w:ascii="Times New Roman" w:hAnsi="Times New Roman"/>
          <w:b/>
          <w:sz w:val="22"/>
          <w:szCs w:val="22"/>
        </w:rPr>
        <w:t>.</w:t>
      </w:r>
      <w:r w:rsidRPr="001B3A27">
        <w:rPr>
          <w:rFonts w:ascii="Times New Roman" w:hAnsi="Times New Roman"/>
          <w:b/>
          <w:sz w:val="22"/>
          <w:szCs w:val="22"/>
        </w:rPr>
        <w:tab/>
        <w:t>Individual(s) Consulted on Statistical Aspects and Individual(s) Collecting and/or Analyzing Data</w:t>
      </w:r>
    </w:p>
    <w:p w:rsidR="002E3632" w:rsidRPr="001B3A27" w:rsidP="002E3632" w14:paraId="4F9FE27C" w14:textId="77777777">
      <w:pPr>
        <w:tabs>
          <w:tab w:val="left" w:pos="0"/>
          <w:tab w:val="left" w:pos="720"/>
        </w:tabs>
        <w:ind w:left="720"/>
        <w:jc w:val="both"/>
        <w:outlineLvl w:val="1"/>
        <w:rPr>
          <w:rFonts w:ascii="Times New Roman" w:hAnsi="Times New Roman"/>
          <w:b/>
          <w:sz w:val="22"/>
          <w:szCs w:val="22"/>
        </w:rPr>
      </w:pPr>
    </w:p>
    <w:p w:rsidR="002E3632" w:rsidRPr="001B3A27" w:rsidP="002E3632" w14:paraId="43C099AC" w14:textId="5BD5FCBB">
      <w:pPr>
        <w:tabs>
          <w:tab w:val="left" w:pos="0"/>
        </w:tabs>
        <w:jc w:val="both"/>
        <w:outlineLvl w:val="1"/>
        <w:rPr>
          <w:sz w:val="22"/>
          <w:szCs w:val="22"/>
        </w:rPr>
      </w:pPr>
      <w:r w:rsidRPr="001B3A27">
        <w:rPr>
          <w:sz w:val="22"/>
          <w:szCs w:val="22"/>
        </w:rPr>
        <w:t>Elizabeth (Betsy) Mitchell, Asso</w:t>
      </w:r>
      <w:r w:rsidRPr="001B3A27" w:rsidR="00B83DC8">
        <w:rPr>
          <w:sz w:val="22"/>
          <w:szCs w:val="22"/>
        </w:rPr>
        <w:t xml:space="preserve">ciate Director for Communication Science, </w:t>
      </w:r>
      <w:r w:rsidRPr="001B3A27" w:rsidR="004E7C02">
        <w:rPr>
          <w:sz w:val="22"/>
          <w:szCs w:val="22"/>
        </w:rPr>
        <w:t>404.498.0251</w:t>
      </w:r>
      <w:r w:rsidRPr="001B3A27" w:rsidR="00B83DC8">
        <w:rPr>
          <w:sz w:val="22"/>
          <w:szCs w:val="22"/>
        </w:rPr>
        <w:t xml:space="preserve">, </w:t>
      </w:r>
      <w:r w:rsidRPr="001B3A27" w:rsidR="001B3A27">
        <w:rPr>
          <w:sz w:val="22"/>
          <w:szCs w:val="22"/>
        </w:rPr>
        <w:t>bhm0@cdc.gov, from</w:t>
      </w:r>
      <w:r w:rsidRPr="001B3A27">
        <w:rPr>
          <w:sz w:val="22"/>
          <w:szCs w:val="22"/>
        </w:rPr>
        <w:t xml:space="preserve"> the </w:t>
      </w:r>
      <w:r w:rsidRPr="001B3A27" w:rsidR="00EE5434">
        <w:rPr>
          <w:sz w:val="22"/>
          <w:szCs w:val="22"/>
        </w:rPr>
        <w:t>Office of the Associate Director for Communication</w:t>
      </w:r>
      <w:r w:rsidRPr="001B3A27" w:rsidR="00B83DC8">
        <w:rPr>
          <w:sz w:val="22"/>
          <w:szCs w:val="22"/>
        </w:rPr>
        <w:t>s assi</w:t>
      </w:r>
      <w:r w:rsidRPr="001B3A27">
        <w:rPr>
          <w:sz w:val="22"/>
          <w:szCs w:val="22"/>
        </w:rPr>
        <w:t xml:space="preserve">sted by statisticians in the CDC units conducting the data collections and contract personnel, will consult on statistical issues when inferential statistics are used.  </w:t>
      </w:r>
    </w:p>
    <w:p w:rsidR="002E3632" w:rsidRPr="001B3A27" w:rsidP="002E3632" w14:paraId="4ED4212B" w14:textId="77777777">
      <w:pPr>
        <w:tabs>
          <w:tab w:val="left" w:pos="0"/>
        </w:tabs>
        <w:jc w:val="both"/>
        <w:outlineLvl w:val="1"/>
        <w:rPr>
          <w:sz w:val="22"/>
          <w:szCs w:val="22"/>
        </w:rPr>
      </w:pPr>
    </w:p>
    <w:p w:rsidR="002E3632" w:rsidRPr="002D5826" w:rsidP="002E3632" w14:paraId="3B09459D" w14:textId="77777777">
      <w:pPr>
        <w:tabs>
          <w:tab w:val="left" w:pos="0"/>
        </w:tabs>
        <w:jc w:val="both"/>
        <w:outlineLvl w:val="1"/>
        <w:rPr>
          <w:rFonts w:ascii="Times New Roman" w:hAnsi="Times New Roman"/>
          <w:i/>
          <w:sz w:val="22"/>
          <w:szCs w:val="22"/>
        </w:rPr>
      </w:pPr>
      <w:r w:rsidRPr="001B3A27">
        <w:rPr>
          <w:sz w:val="22"/>
          <w:szCs w:val="22"/>
        </w:rPr>
        <w:t>Most HMTS studies will not employ complicated inferential statistics.</w:t>
      </w:r>
      <w:r w:rsidRPr="002D5826">
        <w:rPr>
          <w:sz w:val="22"/>
          <w:szCs w:val="22"/>
        </w:rPr>
        <w:t xml:space="preserve">  </w:t>
      </w:r>
    </w:p>
    <w:p w:rsidR="002E3632" w:rsidP="00F06D80" w14:paraId="6DC06D73" w14:textId="77777777">
      <w:pPr>
        <w:jc w:val="both"/>
        <w:rPr>
          <w:szCs w:val="24"/>
        </w:rPr>
      </w:pPr>
      <w:r>
        <w:rPr>
          <w:szCs w:val="24"/>
        </w:rPr>
        <w:t xml:space="preserve"> </w:t>
      </w:r>
    </w:p>
    <w:p w:rsidR="004B4393" w:rsidP="003347BB" w14:paraId="0A33D7AE" w14:textId="77777777">
      <w:pPr>
        <w:jc w:val="both"/>
      </w:pPr>
    </w:p>
    <w:sectPr w:rsidSect="00F72B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870" w:rsidP="004B4393" w14:paraId="2BD33E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7870" w14:paraId="620EA6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870" w:rsidRPr="004B4393" w:rsidP="004B4393" w14:paraId="2C887306" w14:textId="77777777">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0A1873">
      <w:rPr>
        <w:rStyle w:val="PageNumber"/>
        <w:noProof/>
        <w:sz w:val="18"/>
        <w:szCs w:val="18"/>
      </w:rPr>
      <w:t>7</w:t>
    </w:r>
    <w:r w:rsidRPr="004B4393">
      <w:rPr>
        <w:rStyle w:val="PageNumber"/>
        <w:sz w:val="18"/>
        <w:szCs w:val="18"/>
      </w:rPr>
      <w:fldChar w:fldCharType="end"/>
    </w:r>
  </w:p>
  <w:p w:rsidR="00377870" w14:paraId="09B17F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682759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893" w14:paraId="69A6026C" w14:textId="77777777">
      <w:r>
        <w:separator/>
      </w:r>
    </w:p>
  </w:footnote>
  <w:footnote w:type="continuationSeparator" w:id="1">
    <w:p w:rsidR="00851893" w14:paraId="4821DAC7" w14:textId="77777777">
      <w:r>
        <w:continuationSeparator/>
      </w:r>
    </w:p>
  </w:footnote>
  <w:footnote w:id="2">
    <w:p w:rsidR="002E3632" w:rsidP="002E3632" w14:paraId="70242237"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3">
    <w:p w:rsidR="002E3632" w:rsidP="002E3632" w14:paraId="35419483" w14:textId="77777777">
      <w:pPr>
        <w:pStyle w:val="FootnoteText"/>
        <w:rPr>
          <w:rFonts w:ascii="Times New Roman" w:hAnsi="Times New Roman"/>
        </w:rPr>
      </w:pPr>
    </w:p>
    <w:p w:rsidR="002E3632" w:rsidP="002E3632" w14:paraId="2FEB3B3C"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Aldine Press.</w:t>
      </w:r>
    </w:p>
    <w:p w:rsidR="002E3632" w:rsidP="002E3632" w14:paraId="6E4C37DF" w14:textId="77777777">
      <w:pPr>
        <w:pStyle w:val="FootnoteText"/>
        <w:rPr>
          <w:rFonts w:ascii="Times New Roman" w:hAnsi="Times New Roman"/>
        </w:rPr>
      </w:pPr>
      <w:r>
        <w:rPr>
          <w:rFonts w:ascii="Times New Roman" w:hAnsi="Times New Roman"/>
        </w:rPr>
        <w:t xml:space="preserve"> </w:t>
      </w:r>
    </w:p>
  </w:footnote>
  <w:footnote w:id="4">
    <w:p w:rsidR="002E3632" w:rsidP="002E3632" w14:paraId="7D08665C"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5">
    <w:p w:rsidR="002E3632" w:rsidP="002E3632" w14:paraId="464BDD78"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w:t>
      </w:r>
      <w:r>
        <w:rPr>
          <w:rFonts w:ascii="Times New Roman" w:hAnsi="Times New Roman"/>
        </w:rPr>
        <w:t xml:space="preserve">)  </w:t>
      </w:r>
      <w:r>
        <w:rPr>
          <w:rFonts w:ascii="Times New Roman" w:hAnsi="Times New Roman"/>
          <w:u w:val="single"/>
        </w:rPr>
        <w:t>Statistical</w:t>
      </w:r>
      <w:r>
        <w:rPr>
          <w:rFonts w:ascii="Times New Roman" w:hAnsi="Times New Roman"/>
          <w:u w:val="single"/>
        </w:rPr>
        <w:t xml:space="preserve">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Lawrence</w:t>
          </w:r>
        </w:smartTag>
      </w:smartTag>
      <w:r>
        <w:rPr>
          <w:rFonts w:ascii="Times New Roman" w:hAnsi="Times New Roman"/>
        </w:rPr>
        <w:t xml:space="preserve"> Erlbaum Associates</w:t>
      </w:r>
    </w:p>
  </w:footnote>
  <w:footnote w:id="6">
    <w:p w:rsidR="002E3632" w:rsidP="002E3632" w14:paraId="677C1CC8" w14:textId="77777777">
      <w:pPr>
        <w:pStyle w:val="FootnoteText"/>
        <w:ind w:firstLine="720"/>
      </w:pPr>
      <w:r w:rsidRPr="000B537C">
        <w:rPr>
          <w:rStyle w:val="FootnoteReference"/>
          <w:vertAlign w:val="superscript"/>
        </w:rPr>
        <w:footnoteRef/>
      </w:r>
      <w:r>
        <w:t xml:space="preserve"> </w:t>
      </w:r>
      <w:r>
        <w:t>Schlenger</w:t>
      </w:r>
      <w:r>
        <w:t xml:space="preserve">, W.E., Caddell, J.M., Ebert, L., Jordan, K., Rourke, K.M., Wilson, D., </w:t>
      </w:r>
      <w:r>
        <w:t>Thalji</w:t>
      </w:r>
      <w:r>
        <w:t xml:space="preserve">, L., Dennis, M., Fairbank, J.A., &amp; </w:t>
      </w:r>
      <w:r>
        <w:t>Kulka</w:t>
      </w:r>
      <w:r>
        <w:t xml:space="preserve">, R.A. (2002) Psychological reactions to terrorist attacks: Findings from the National Study of Americans’ reactions to September 11, </w:t>
      </w:r>
      <w:r w:rsidRPr="00BA2532">
        <w:rPr>
          <w:i/>
        </w:rPr>
        <w:t>JAMA, 288(5)</w:t>
      </w:r>
      <w:r>
        <w:t xml:space="preserve">, 581-588,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1F4E07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3A6304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45BF72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A862AC"/>
    <w:multiLevelType w:val="hybridMultilevel"/>
    <w:tmpl w:val="3E70A40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start w:val="1"/>
      <w:numFmt w:val="bullet"/>
      <w:lvlText w:val=""/>
      <w:lvlJc w:val="left"/>
      <w:pPr>
        <w:tabs>
          <w:tab w:val="num" w:pos="1080"/>
        </w:tabs>
        <w:ind w:left="1080" w:hanging="288"/>
      </w:pPr>
      <w:rPr>
        <w:rFonts w:ascii="Wingdings" w:hAnsi="Wingdings"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628"/>
        </w:tabs>
        <w:ind w:left="2628" w:hanging="288"/>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start w:val="1"/>
      <w:numFmt w:val="bullet"/>
      <w:lvlText w:val=""/>
      <w:lvlJc w:val="left"/>
      <w:pPr>
        <w:tabs>
          <w:tab w:val="num" w:pos="648"/>
        </w:tabs>
        <w:ind w:left="648" w:hanging="360"/>
      </w:pPr>
      <w:rPr>
        <w:rFonts w:ascii="Symbol" w:hAnsi="Symbol" w:hint="default"/>
        <w:sz w:val="18"/>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tentative="1">
      <w:start w:val="1"/>
      <w:numFmt w:val="bullet"/>
      <w:lvlText w:val=""/>
      <w:lvlJc w:val="left"/>
      <w:pPr>
        <w:tabs>
          <w:tab w:val="num" w:pos="2088"/>
        </w:tabs>
        <w:ind w:left="2088" w:hanging="360"/>
      </w:pPr>
      <w:rPr>
        <w:rFonts w:ascii="Symbol" w:hAnsi="Symbol" w:hint="default"/>
      </w:rPr>
    </w:lvl>
    <w:lvl w:ilvl="4" w:tentative="1">
      <w:start w:val="1"/>
      <w:numFmt w:val="bullet"/>
      <w:lvlText w:val="o"/>
      <w:lvlJc w:val="left"/>
      <w:pPr>
        <w:tabs>
          <w:tab w:val="num" w:pos="2808"/>
        </w:tabs>
        <w:ind w:left="2808" w:hanging="360"/>
      </w:pPr>
      <w:rPr>
        <w:rFonts w:ascii="Courier New" w:hAnsi="Courier New" w:cs="Courier New" w:hint="default"/>
      </w:rPr>
    </w:lvl>
    <w:lvl w:ilvl="5" w:tentative="1">
      <w:start w:val="1"/>
      <w:numFmt w:val="bullet"/>
      <w:lvlText w:val=""/>
      <w:lvlJc w:val="left"/>
      <w:pPr>
        <w:tabs>
          <w:tab w:val="num" w:pos="3528"/>
        </w:tabs>
        <w:ind w:left="3528" w:hanging="360"/>
      </w:pPr>
      <w:rPr>
        <w:rFonts w:ascii="Wingdings" w:hAnsi="Wingdings" w:hint="default"/>
      </w:rPr>
    </w:lvl>
    <w:lvl w:ilvl="6" w:tentative="1">
      <w:start w:val="1"/>
      <w:numFmt w:val="bullet"/>
      <w:lvlText w:val=""/>
      <w:lvlJc w:val="left"/>
      <w:pPr>
        <w:tabs>
          <w:tab w:val="num" w:pos="4248"/>
        </w:tabs>
        <w:ind w:left="4248" w:hanging="360"/>
      </w:pPr>
      <w:rPr>
        <w:rFonts w:ascii="Symbol" w:hAnsi="Symbol" w:hint="default"/>
      </w:rPr>
    </w:lvl>
    <w:lvl w:ilvl="7" w:tentative="1">
      <w:start w:val="1"/>
      <w:numFmt w:val="bullet"/>
      <w:lvlText w:val="o"/>
      <w:lvlJc w:val="left"/>
      <w:pPr>
        <w:tabs>
          <w:tab w:val="num" w:pos="4968"/>
        </w:tabs>
        <w:ind w:left="4968" w:hanging="360"/>
      </w:pPr>
      <w:rPr>
        <w:rFonts w:ascii="Courier New" w:hAnsi="Courier New" w:cs="Courier New" w:hint="default"/>
      </w:rPr>
    </w:lvl>
    <w:lvl w:ilvl="8"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start w:val="1"/>
      <w:numFmt w:val="bullet"/>
      <w:lvlText w:val=""/>
      <w:lvlJc w:val="left"/>
      <w:pPr>
        <w:tabs>
          <w:tab w:val="num" w:pos="720"/>
        </w:tabs>
        <w:ind w:left="720" w:hanging="360"/>
      </w:pPr>
      <w:rPr>
        <w:rFonts w:ascii="Symbol" w:hAnsi="Symbol" w:hint="default"/>
        <w:b w:val="0"/>
        <w:i w:val="0"/>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288"/>
      </w:pPr>
      <w:rPr>
        <w:rFonts w:ascii="Courier New" w:hAnsi="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3961E5A"/>
    <w:multiLevelType w:val="hybridMultilevel"/>
    <w:tmpl w:val="28EEAF7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03C5880"/>
    <w:multiLevelType w:val="hybridMultilevel"/>
    <w:tmpl w:val="01F0B4DA"/>
    <w:lvl w:ilvl="0">
      <w:start w:val="1"/>
      <w:numFmt w:val="decimal"/>
      <w:lvlText w:val="%1."/>
      <w:lvlJc w:val="left"/>
      <w:pPr>
        <w:tabs>
          <w:tab w:val="num" w:pos="288"/>
        </w:tabs>
        <w:ind w:left="288" w:hanging="288"/>
      </w:pPr>
      <w:rPr>
        <w:rFonts w:hint="default"/>
      </w:rPr>
    </w:lvl>
    <w:lvl w:ilvl="1">
      <w:start w:val="1"/>
      <w:numFmt w:val="upperLetter"/>
      <w:lvlText w:val="%2."/>
      <w:lvlJc w:val="left"/>
      <w:pPr>
        <w:tabs>
          <w:tab w:val="num" w:pos="864"/>
        </w:tabs>
        <w:ind w:left="864" w:hanging="360"/>
      </w:pPr>
      <w:rPr>
        <w:rFonts w:hint="default"/>
      </w:rPr>
    </w:lvl>
    <w:lvl w:ilvl="2" w:tentative="1">
      <w:start w:val="1"/>
      <w:numFmt w:val="lowerRoman"/>
      <w:lvlText w:val="%3."/>
      <w:lvlJc w:val="right"/>
      <w:pPr>
        <w:tabs>
          <w:tab w:val="num" w:pos="1584"/>
        </w:tabs>
        <w:ind w:left="1584" w:hanging="180"/>
      </w:pPr>
    </w:lvl>
    <w:lvl w:ilvl="3" w:tentative="1">
      <w:start w:val="1"/>
      <w:numFmt w:val="decimal"/>
      <w:lvlText w:val="%4."/>
      <w:lvlJc w:val="left"/>
      <w:pPr>
        <w:tabs>
          <w:tab w:val="num" w:pos="2304"/>
        </w:tabs>
        <w:ind w:left="2304" w:hanging="360"/>
      </w:pPr>
    </w:lvl>
    <w:lvl w:ilvl="4" w:tentative="1">
      <w:start w:val="1"/>
      <w:numFmt w:val="lowerLetter"/>
      <w:lvlText w:val="%5."/>
      <w:lvlJc w:val="left"/>
      <w:pPr>
        <w:tabs>
          <w:tab w:val="num" w:pos="3024"/>
        </w:tabs>
        <w:ind w:left="3024" w:hanging="360"/>
      </w:pPr>
    </w:lvl>
    <w:lvl w:ilvl="5" w:tentative="1">
      <w:start w:val="1"/>
      <w:numFmt w:val="lowerRoman"/>
      <w:lvlText w:val="%6."/>
      <w:lvlJc w:val="right"/>
      <w:pPr>
        <w:tabs>
          <w:tab w:val="num" w:pos="3744"/>
        </w:tabs>
        <w:ind w:left="3744" w:hanging="180"/>
      </w:pPr>
    </w:lvl>
    <w:lvl w:ilvl="6" w:tentative="1">
      <w:start w:val="1"/>
      <w:numFmt w:val="decimal"/>
      <w:lvlText w:val="%7."/>
      <w:lvlJc w:val="left"/>
      <w:pPr>
        <w:tabs>
          <w:tab w:val="num" w:pos="4464"/>
        </w:tabs>
        <w:ind w:left="4464" w:hanging="360"/>
      </w:pPr>
    </w:lvl>
    <w:lvl w:ilvl="7" w:tentative="1">
      <w:start w:val="1"/>
      <w:numFmt w:val="lowerLetter"/>
      <w:lvlText w:val="%8."/>
      <w:lvlJc w:val="left"/>
      <w:pPr>
        <w:tabs>
          <w:tab w:val="num" w:pos="5184"/>
        </w:tabs>
        <w:ind w:left="5184" w:hanging="360"/>
      </w:pPr>
    </w:lvl>
    <w:lvl w:ilvl="8" w:tentative="1">
      <w:start w:val="1"/>
      <w:numFmt w:val="lowerRoman"/>
      <w:lvlText w:val="%9."/>
      <w:lvlJc w:val="right"/>
      <w:pPr>
        <w:tabs>
          <w:tab w:val="num" w:pos="5904"/>
        </w:tabs>
        <w:ind w:left="5904" w:hanging="180"/>
      </w:pPr>
    </w:lvl>
  </w:abstractNum>
  <w:abstractNum w:abstractNumId="31">
    <w:nsid w:val="50EC27B7"/>
    <w:multiLevelType w:val="hybridMultilevel"/>
    <w:tmpl w:val="BE58CFAE"/>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9195866"/>
    <w:multiLevelType w:val="hybridMultilevel"/>
    <w:tmpl w:val="F620E0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C1673F4"/>
    <w:multiLevelType w:val="hybridMultilevel"/>
    <w:tmpl w:val="7D582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1902DA7"/>
    <w:multiLevelType w:val="hybridMultilevel"/>
    <w:tmpl w:val="3ADC5DF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E474E7"/>
    <w:multiLevelType w:val="hybridMultilevel"/>
    <w:tmpl w:val="20F23E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4379267">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57259263">
    <w:abstractNumId w:val="6"/>
  </w:num>
  <w:num w:numId="3" w16cid:durableId="157306812">
    <w:abstractNumId w:val="20"/>
  </w:num>
  <w:num w:numId="4" w16cid:durableId="138621584">
    <w:abstractNumId w:val="2"/>
  </w:num>
  <w:num w:numId="5" w16cid:durableId="2094203423">
    <w:abstractNumId w:val="30"/>
  </w:num>
  <w:num w:numId="6" w16cid:durableId="218368562">
    <w:abstractNumId w:val="15"/>
  </w:num>
  <w:num w:numId="7" w16cid:durableId="373696479">
    <w:abstractNumId w:val="39"/>
  </w:num>
  <w:num w:numId="8" w16cid:durableId="1987274491">
    <w:abstractNumId w:val="26"/>
  </w:num>
  <w:num w:numId="9" w16cid:durableId="1366176320">
    <w:abstractNumId w:val="10"/>
  </w:num>
  <w:num w:numId="10" w16cid:durableId="1350175840">
    <w:abstractNumId w:val="3"/>
  </w:num>
  <w:num w:numId="11" w16cid:durableId="1290939371">
    <w:abstractNumId w:val="19"/>
  </w:num>
  <w:num w:numId="12" w16cid:durableId="538247690">
    <w:abstractNumId w:val="17"/>
  </w:num>
  <w:num w:numId="13" w16cid:durableId="596446880">
    <w:abstractNumId w:val="43"/>
  </w:num>
  <w:num w:numId="14" w16cid:durableId="360783568">
    <w:abstractNumId w:val="18"/>
  </w:num>
  <w:num w:numId="15" w16cid:durableId="1788424964">
    <w:abstractNumId w:val="7"/>
  </w:num>
  <w:num w:numId="16" w16cid:durableId="388650942">
    <w:abstractNumId w:val="33"/>
  </w:num>
  <w:num w:numId="17" w16cid:durableId="756945771">
    <w:abstractNumId w:val="36"/>
  </w:num>
  <w:num w:numId="18" w16cid:durableId="413354326">
    <w:abstractNumId w:val="5"/>
  </w:num>
  <w:num w:numId="19" w16cid:durableId="374694308">
    <w:abstractNumId w:val="4"/>
  </w:num>
  <w:num w:numId="20" w16cid:durableId="968701526">
    <w:abstractNumId w:val="35"/>
  </w:num>
  <w:num w:numId="21" w16cid:durableId="1942182011">
    <w:abstractNumId w:val="25"/>
  </w:num>
  <w:num w:numId="22" w16cid:durableId="1094475301">
    <w:abstractNumId w:val="8"/>
  </w:num>
  <w:num w:numId="23" w16cid:durableId="723135610">
    <w:abstractNumId w:val="14"/>
  </w:num>
  <w:num w:numId="24" w16cid:durableId="135417561">
    <w:abstractNumId w:val="37"/>
  </w:num>
  <w:num w:numId="25" w16cid:durableId="1487437762">
    <w:abstractNumId w:val="1"/>
  </w:num>
  <w:num w:numId="26" w16cid:durableId="2021656872">
    <w:abstractNumId w:val="28"/>
  </w:num>
  <w:num w:numId="27" w16cid:durableId="92668517">
    <w:abstractNumId w:val="13"/>
  </w:num>
  <w:num w:numId="28" w16cid:durableId="1059984898">
    <w:abstractNumId w:val="22"/>
  </w:num>
  <w:num w:numId="29" w16cid:durableId="2079358158">
    <w:abstractNumId w:val="34"/>
  </w:num>
  <w:num w:numId="30" w16cid:durableId="86728574">
    <w:abstractNumId w:val="41"/>
  </w:num>
  <w:num w:numId="31" w16cid:durableId="1510683574">
    <w:abstractNumId w:val="24"/>
  </w:num>
  <w:num w:numId="32" w16cid:durableId="1463573108">
    <w:abstractNumId w:val="12"/>
  </w:num>
  <w:num w:numId="33" w16cid:durableId="186410639">
    <w:abstractNumId w:val="23"/>
  </w:num>
  <w:num w:numId="34" w16cid:durableId="294529951">
    <w:abstractNumId w:val="32"/>
  </w:num>
  <w:num w:numId="35" w16cid:durableId="1098984206">
    <w:abstractNumId w:val="38"/>
  </w:num>
  <w:num w:numId="36" w16cid:durableId="1510559858">
    <w:abstractNumId w:val="9"/>
  </w:num>
  <w:num w:numId="37" w16cid:durableId="193856678">
    <w:abstractNumId w:val="21"/>
  </w:num>
  <w:num w:numId="38" w16cid:durableId="1439711671">
    <w:abstractNumId w:val="11"/>
  </w:num>
  <w:num w:numId="39" w16cid:durableId="691760739">
    <w:abstractNumId w:val="40"/>
  </w:num>
  <w:num w:numId="40" w16cid:durableId="1683235780">
    <w:abstractNumId w:val="42"/>
  </w:num>
  <w:num w:numId="41" w16cid:durableId="920211210">
    <w:abstractNumId w:val="16"/>
  </w:num>
  <w:num w:numId="42" w16cid:durableId="205487741">
    <w:abstractNumId w:val="31"/>
  </w:num>
  <w:num w:numId="43" w16cid:durableId="1912959408">
    <w:abstractNumId w:val="29"/>
  </w:num>
  <w:num w:numId="44" w16cid:durableId="260651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23154"/>
    <w:rsid w:val="00063E45"/>
    <w:rsid w:val="00082BAF"/>
    <w:rsid w:val="00093F1B"/>
    <w:rsid w:val="000A1873"/>
    <w:rsid w:val="000C10A6"/>
    <w:rsid w:val="000C48BA"/>
    <w:rsid w:val="000D0CCE"/>
    <w:rsid w:val="000D64E6"/>
    <w:rsid w:val="000E38CC"/>
    <w:rsid w:val="000E7C7D"/>
    <w:rsid w:val="000F01B9"/>
    <w:rsid w:val="000F48FA"/>
    <w:rsid w:val="000F748C"/>
    <w:rsid w:val="0011189E"/>
    <w:rsid w:val="00121B5A"/>
    <w:rsid w:val="001279C1"/>
    <w:rsid w:val="00147837"/>
    <w:rsid w:val="00147E4C"/>
    <w:rsid w:val="001A1CB5"/>
    <w:rsid w:val="001A691B"/>
    <w:rsid w:val="001B3A27"/>
    <w:rsid w:val="001C394F"/>
    <w:rsid w:val="001D4656"/>
    <w:rsid w:val="001F521C"/>
    <w:rsid w:val="00202526"/>
    <w:rsid w:val="00210D32"/>
    <w:rsid w:val="00281AA1"/>
    <w:rsid w:val="002A5536"/>
    <w:rsid w:val="002B7389"/>
    <w:rsid w:val="002D5826"/>
    <w:rsid w:val="002D7574"/>
    <w:rsid w:val="002E2EF5"/>
    <w:rsid w:val="002E3632"/>
    <w:rsid w:val="003347BB"/>
    <w:rsid w:val="00334C6B"/>
    <w:rsid w:val="00377870"/>
    <w:rsid w:val="00383A88"/>
    <w:rsid w:val="003B241E"/>
    <w:rsid w:val="003B6395"/>
    <w:rsid w:val="003E245A"/>
    <w:rsid w:val="003F4049"/>
    <w:rsid w:val="00412BFF"/>
    <w:rsid w:val="00426173"/>
    <w:rsid w:val="00460B7F"/>
    <w:rsid w:val="0046683B"/>
    <w:rsid w:val="004858BA"/>
    <w:rsid w:val="004923AD"/>
    <w:rsid w:val="00495F5E"/>
    <w:rsid w:val="004B4393"/>
    <w:rsid w:val="004B7889"/>
    <w:rsid w:val="004C18D0"/>
    <w:rsid w:val="004E40D9"/>
    <w:rsid w:val="004E7C02"/>
    <w:rsid w:val="004F6697"/>
    <w:rsid w:val="00516943"/>
    <w:rsid w:val="00520677"/>
    <w:rsid w:val="00525B3F"/>
    <w:rsid w:val="00552F3C"/>
    <w:rsid w:val="00564F48"/>
    <w:rsid w:val="005A37CB"/>
    <w:rsid w:val="005A457B"/>
    <w:rsid w:val="005B04F9"/>
    <w:rsid w:val="005B0588"/>
    <w:rsid w:val="005B3890"/>
    <w:rsid w:val="005E0482"/>
    <w:rsid w:val="005E2253"/>
    <w:rsid w:val="005F54ED"/>
    <w:rsid w:val="0062072B"/>
    <w:rsid w:val="00645414"/>
    <w:rsid w:val="0065453C"/>
    <w:rsid w:val="00673A24"/>
    <w:rsid w:val="0067588F"/>
    <w:rsid w:val="00677134"/>
    <w:rsid w:val="00686FBD"/>
    <w:rsid w:val="006C6606"/>
    <w:rsid w:val="006C7F23"/>
    <w:rsid w:val="006D6B61"/>
    <w:rsid w:val="006E722D"/>
    <w:rsid w:val="00712974"/>
    <w:rsid w:val="00750AD2"/>
    <w:rsid w:val="007C7BC2"/>
    <w:rsid w:val="007F6783"/>
    <w:rsid w:val="00800CBF"/>
    <w:rsid w:val="00815FE9"/>
    <w:rsid w:val="008303E2"/>
    <w:rsid w:val="00850A82"/>
    <w:rsid w:val="00851330"/>
    <w:rsid w:val="00851893"/>
    <w:rsid w:val="00856934"/>
    <w:rsid w:val="008617BC"/>
    <w:rsid w:val="00863EDB"/>
    <w:rsid w:val="008652A5"/>
    <w:rsid w:val="0086551F"/>
    <w:rsid w:val="00867C37"/>
    <w:rsid w:val="008854D6"/>
    <w:rsid w:val="008B6D07"/>
    <w:rsid w:val="0090270A"/>
    <w:rsid w:val="0090330A"/>
    <w:rsid w:val="00937787"/>
    <w:rsid w:val="00955C3B"/>
    <w:rsid w:val="00957046"/>
    <w:rsid w:val="00964E2C"/>
    <w:rsid w:val="00994AC9"/>
    <w:rsid w:val="009A41A2"/>
    <w:rsid w:val="009A5235"/>
    <w:rsid w:val="009D59B1"/>
    <w:rsid w:val="00A14095"/>
    <w:rsid w:val="00A21798"/>
    <w:rsid w:val="00A221DC"/>
    <w:rsid w:val="00A66D8D"/>
    <w:rsid w:val="00A778A6"/>
    <w:rsid w:val="00AB60DD"/>
    <w:rsid w:val="00AC513B"/>
    <w:rsid w:val="00AE15A8"/>
    <w:rsid w:val="00AE35B5"/>
    <w:rsid w:val="00AE7849"/>
    <w:rsid w:val="00B0024C"/>
    <w:rsid w:val="00B23597"/>
    <w:rsid w:val="00B51EF1"/>
    <w:rsid w:val="00B6088F"/>
    <w:rsid w:val="00B64151"/>
    <w:rsid w:val="00B704E4"/>
    <w:rsid w:val="00B83DC8"/>
    <w:rsid w:val="00BA2532"/>
    <w:rsid w:val="00BA477D"/>
    <w:rsid w:val="00BB3AD2"/>
    <w:rsid w:val="00BD66DB"/>
    <w:rsid w:val="00BF5842"/>
    <w:rsid w:val="00C04F41"/>
    <w:rsid w:val="00C14EBE"/>
    <w:rsid w:val="00C22847"/>
    <w:rsid w:val="00C4002F"/>
    <w:rsid w:val="00C5338D"/>
    <w:rsid w:val="00C7028B"/>
    <w:rsid w:val="00C803C5"/>
    <w:rsid w:val="00C91A82"/>
    <w:rsid w:val="00CA2048"/>
    <w:rsid w:val="00CC6BEE"/>
    <w:rsid w:val="00CD4AF3"/>
    <w:rsid w:val="00D047B6"/>
    <w:rsid w:val="00D10144"/>
    <w:rsid w:val="00D11995"/>
    <w:rsid w:val="00D13C10"/>
    <w:rsid w:val="00D5180A"/>
    <w:rsid w:val="00D54291"/>
    <w:rsid w:val="00D649A7"/>
    <w:rsid w:val="00D97422"/>
    <w:rsid w:val="00DB23FC"/>
    <w:rsid w:val="00DC310F"/>
    <w:rsid w:val="00DD333C"/>
    <w:rsid w:val="00DD6DD4"/>
    <w:rsid w:val="00DE501F"/>
    <w:rsid w:val="00E015C2"/>
    <w:rsid w:val="00E01F6C"/>
    <w:rsid w:val="00E27663"/>
    <w:rsid w:val="00E30FAA"/>
    <w:rsid w:val="00E64620"/>
    <w:rsid w:val="00E762E2"/>
    <w:rsid w:val="00E83198"/>
    <w:rsid w:val="00E841F8"/>
    <w:rsid w:val="00E85B11"/>
    <w:rsid w:val="00E95928"/>
    <w:rsid w:val="00E95B8A"/>
    <w:rsid w:val="00EB6A55"/>
    <w:rsid w:val="00EC4D4E"/>
    <w:rsid w:val="00EC6C83"/>
    <w:rsid w:val="00ED77F2"/>
    <w:rsid w:val="00EE5434"/>
    <w:rsid w:val="00EF3BBA"/>
    <w:rsid w:val="00F06D80"/>
    <w:rsid w:val="00F07C5A"/>
    <w:rsid w:val="00F243F9"/>
    <w:rsid w:val="00F27E22"/>
    <w:rsid w:val="00F40BB8"/>
    <w:rsid w:val="00F41752"/>
    <w:rsid w:val="00F4185B"/>
    <w:rsid w:val="00F51A28"/>
    <w:rsid w:val="00F53145"/>
    <w:rsid w:val="00F72B6D"/>
    <w:rsid w:val="00F82070"/>
    <w:rsid w:val="00FA17D8"/>
    <w:rsid w:val="00FB5668"/>
    <w:rsid w:val="00FC0DAB"/>
    <w:rsid w:val="00FC263D"/>
    <w:rsid w:val="00FC3DAA"/>
    <w:rsid w:val="00FF04E6"/>
    <w:rsid w:val="00FF5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4EA74E"/>
  <w15:docId w15:val="{99DBF841-2D58-4C34-BBC8-6873A4C6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harrisinteractive.com" TargetMode="External" /><Relationship Id="rId7" Type="http://schemas.openxmlformats.org/officeDocument/2006/relationships/hyperlink" Target="http://www.intersurvey.com/ganp/" TargetMode="External" /><Relationship Id="rId8" Type="http://schemas.openxmlformats.org/officeDocument/2006/relationships/hyperlink" Target="http://www.cinfo.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1610-16F9-44DB-96B1-A963E160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Griffin, Dawn (CDC/IOD/OC)</cp:lastModifiedBy>
  <cp:revision>2</cp:revision>
  <cp:lastPrinted>2014-10-28T18:38:00Z</cp:lastPrinted>
  <dcterms:created xsi:type="dcterms:W3CDTF">2024-10-02T21:30:00Z</dcterms:created>
  <dcterms:modified xsi:type="dcterms:W3CDTF">2024-10-02T21:30:00Z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cdc78968-dfdf-4e70-baf6-56c8e3529e14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2021-07-30T16:21:09Z</vt:lpwstr>
  </property>
  <property fmtid="{D5CDD505-2E9C-101B-9397-08002B2CF9AE}" pid="8" name="MSIP_Label_8af03ff0-41c5-4c41-b55e-fabb8fae94be_SiteId">
    <vt:lpwstr>9ce70869-60db-44fd-abe8-d2767077fc8f</vt:lpwstr>
  </property>
</Properties>
</file>