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00D5" w:rsidRPr="009B00D5" w:rsidP="009B00D5" w14:paraId="0E9D603E" w14:textId="77777777">
      <w:pPr>
        <w:jc w:val="center"/>
        <w:rPr>
          <w:rStyle w:val="C2CtrSglS"/>
          <w:b/>
        </w:rPr>
      </w:pPr>
      <w:r w:rsidRPr="009B00D5">
        <w:rPr>
          <w:rStyle w:val="C2CtrSglS"/>
          <w:b/>
        </w:rPr>
        <w:t>SUPPORTING STATEMENT FOR THE</w:t>
      </w:r>
    </w:p>
    <w:p w:rsidR="009B00D5" w:rsidP="009B00D5" w14:paraId="4681D861" w14:textId="2B072701">
      <w:pPr>
        <w:jc w:val="center"/>
        <w:rPr>
          <w:b/>
          <w:szCs w:val="24"/>
        </w:rPr>
      </w:pPr>
      <w:r w:rsidRPr="009B00D5">
        <w:rPr>
          <w:b/>
          <w:szCs w:val="24"/>
        </w:rPr>
        <w:t>STATE OPIOID RESPONSE (SOR) AND TRIBAL OPIOID RESPONSE (TOR) PROGRAM DATA COLLECTION AND PERFORMANCE MEASUREMENT</w:t>
      </w:r>
    </w:p>
    <w:p w:rsidR="00CF4072" w:rsidP="009B00D5" w14:paraId="4C702655" w14:textId="057B63F9">
      <w:pPr>
        <w:jc w:val="center"/>
        <w:rPr>
          <w:b/>
          <w:szCs w:val="24"/>
        </w:rPr>
      </w:pPr>
    </w:p>
    <w:p w:rsidR="00CF4072" w:rsidRPr="00215394" w:rsidP="00CF4072" w14:paraId="1FE55C47" w14:textId="77777777">
      <w:pPr>
        <w:rPr>
          <w:rFonts w:eastAsia="Cambria"/>
          <w:b/>
        </w:rPr>
      </w:pPr>
      <w:r w:rsidRPr="00215394">
        <w:rPr>
          <w:rFonts w:eastAsia="Cambria"/>
          <w:b/>
        </w:rPr>
        <w:t>Check off which applies:</w:t>
      </w:r>
    </w:p>
    <w:p w:rsidR="00CF4072" w:rsidRPr="00215394" w:rsidP="00CF4072" w14:paraId="3D11DCE5" w14:textId="77777777">
      <w:pPr>
        <w:rPr>
          <w:rFonts w:eastAsia="Cambria"/>
        </w:rPr>
      </w:pPr>
      <w:r>
        <w:rPr>
          <w:rFonts w:ascii="MS Gothic" w:eastAsia="MS Gothic" w:hAnsi="MS Gothic" w:hint="eastAsia"/>
        </w:rPr>
        <w:t>☐</w:t>
      </w:r>
      <w:r w:rsidRPr="00215394">
        <w:rPr>
          <w:rFonts w:eastAsia="Cambria"/>
        </w:rPr>
        <w:t xml:space="preserve"> New </w:t>
      </w:r>
    </w:p>
    <w:p w:rsidR="00CF4072" w:rsidRPr="00215394" w:rsidP="00CF4072" w14:paraId="71541382" w14:textId="77777777">
      <w:pPr>
        <w:rPr>
          <w:rFonts w:eastAsia="Cambria"/>
        </w:rPr>
      </w:pPr>
      <w:r>
        <w:rPr>
          <w:rFonts w:ascii="MS Gothic" w:eastAsia="MS Gothic" w:hAnsi="MS Gothic" w:hint="eastAsia"/>
        </w:rPr>
        <w:t>☒</w:t>
      </w:r>
      <w:r w:rsidRPr="00215394">
        <w:rPr>
          <w:rFonts w:eastAsia="Cambria"/>
        </w:rPr>
        <w:t xml:space="preserve"> Revision </w:t>
      </w:r>
      <w:r w:rsidRPr="00215394">
        <w:rPr>
          <w:rFonts w:eastAsia="Cambria"/>
        </w:rPr>
        <w:tab/>
        <w:t xml:space="preserve"> </w:t>
      </w:r>
      <w:r w:rsidRPr="00215394">
        <w:rPr>
          <w:rFonts w:eastAsia="Cambria"/>
        </w:rPr>
        <w:tab/>
      </w:r>
      <w:r w:rsidRPr="00215394">
        <w:rPr>
          <w:rFonts w:eastAsia="Cambria"/>
        </w:rPr>
        <w:tab/>
      </w:r>
    </w:p>
    <w:p w:rsidR="00CF4072" w:rsidRPr="00215394" w:rsidP="00CF4072" w14:paraId="417D45A8" w14:textId="77777777">
      <w:pPr>
        <w:rPr>
          <w:rFonts w:eastAsia="Cambria"/>
        </w:rPr>
      </w:pPr>
      <w:r>
        <w:rPr>
          <w:rFonts w:ascii="MS Gothic" w:eastAsia="MS Gothic" w:hAnsi="MS Gothic" w:cs="MS Gothic" w:hint="eastAsia"/>
        </w:rPr>
        <w:t>☐</w:t>
      </w:r>
      <w:r w:rsidRPr="00215394">
        <w:rPr>
          <w:rFonts w:eastAsia="Cambria"/>
        </w:rPr>
        <w:t xml:space="preserve"> Reinstatement with Change </w:t>
      </w:r>
    </w:p>
    <w:p w:rsidR="00CF4072" w:rsidRPr="00215394" w:rsidP="00CF4072" w14:paraId="7DE6195E" w14:textId="77777777">
      <w:pPr>
        <w:rPr>
          <w:rFonts w:eastAsia="Cambria"/>
        </w:rPr>
      </w:pPr>
      <w:r w:rsidRPr="00215394">
        <w:rPr>
          <w:rFonts w:ascii="MS Gothic" w:eastAsia="MS Gothic" w:hAnsi="MS Gothic" w:cs="MS Gothic"/>
        </w:rPr>
        <w:t>☐</w:t>
      </w:r>
      <w:r w:rsidRPr="00215394">
        <w:rPr>
          <w:rFonts w:eastAsia="Cambria"/>
        </w:rPr>
        <w:t xml:space="preserve"> Reinstatement without Change </w:t>
      </w:r>
    </w:p>
    <w:p w:rsidR="00CF4072" w:rsidRPr="00215394" w:rsidP="00CF4072" w14:paraId="7F681518" w14:textId="77777777">
      <w:pPr>
        <w:rPr>
          <w:rFonts w:eastAsia="Cambria"/>
        </w:rPr>
      </w:pPr>
      <w:r w:rsidRPr="00215394">
        <w:rPr>
          <w:rFonts w:ascii="MS Gothic" w:eastAsia="MS Gothic" w:hAnsi="MS Gothic" w:cs="MS Gothic"/>
        </w:rPr>
        <w:t>☐</w:t>
      </w:r>
      <w:r w:rsidRPr="00215394">
        <w:rPr>
          <w:rFonts w:eastAsia="Cambria"/>
        </w:rPr>
        <w:t xml:space="preserve"> Extension</w:t>
      </w:r>
    </w:p>
    <w:p w:rsidR="00CF4072" w:rsidRPr="00215394" w:rsidP="00CF4072" w14:paraId="56FE33ED" w14:textId="77777777">
      <w:pPr>
        <w:rPr>
          <w:rFonts w:eastAsia="Cambria"/>
        </w:rPr>
      </w:pPr>
      <w:r w:rsidRPr="00215394">
        <w:rPr>
          <w:rFonts w:ascii="MS Gothic" w:eastAsia="MS Gothic" w:hAnsi="MS Gothic" w:cs="MS Gothic"/>
        </w:rPr>
        <w:t>☐</w:t>
      </w:r>
      <w:r w:rsidRPr="00215394">
        <w:rPr>
          <w:rFonts w:eastAsia="Cambria"/>
        </w:rPr>
        <w:t xml:space="preserve"> Emergency</w:t>
      </w:r>
    </w:p>
    <w:p w:rsidR="00CF4072" w:rsidRPr="00215394" w:rsidP="00CF4072" w14:paraId="711AEED3" w14:textId="77777777">
      <w:pPr>
        <w:rPr>
          <w:rFonts w:eastAsia="Cambria"/>
        </w:rPr>
      </w:pPr>
      <w:r w:rsidRPr="00215394">
        <w:rPr>
          <w:rFonts w:ascii="MS Gothic" w:eastAsia="MS Gothic" w:hAnsi="MS Gothic" w:cs="MS Gothic"/>
        </w:rPr>
        <w:t>☐</w:t>
      </w:r>
      <w:r w:rsidRPr="00215394">
        <w:rPr>
          <w:rFonts w:eastAsia="Cambria"/>
        </w:rPr>
        <w:t xml:space="preserve"> Existing</w:t>
      </w:r>
    </w:p>
    <w:p w:rsidR="005A4A00" w:rsidP="005A4A00" w14:paraId="7E56E15E" w14:textId="77777777">
      <w:pPr>
        <w:widowControl w:val="0"/>
        <w:rPr>
          <w:rStyle w:val="SLFlLftSg"/>
        </w:rPr>
      </w:pP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r>
        <w:rPr>
          <w:rStyle w:val="SLFlLftSg"/>
        </w:rPr>
        <w:tab/>
      </w:r>
    </w:p>
    <w:p w:rsidR="005A4A00" w:rsidP="005A4A00" w14:paraId="6610D512" w14:textId="77777777">
      <w:pPr>
        <w:rPr>
          <w:b/>
        </w:rPr>
      </w:pPr>
      <w:r>
        <w:rPr>
          <w:b/>
        </w:rPr>
        <w:t xml:space="preserve">JUSTIFICATION </w:t>
      </w:r>
    </w:p>
    <w:p w:rsidR="005A4A00" w:rsidP="005A4A00" w14:paraId="2ECB128B" w14:textId="77777777">
      <w:pPr>
        <w:rPr>
          <w:b/>
        </w:rPr>
      </w:pPr>
    </w:p>
    <w:p w:rsidR="005A4A00" w:rsidP="005A4A00" w14:paraId="3F9333C4" w14:textId="77777777">
      <w:pPr>
        <w:rPr>
          <w:b/>
        </w:rPr>
      </w:pPr>
      <w:r>
        <w:rPr>
          <w:b/>
        </w:rPr>
        <w:t>A</w:t>
      </w:r>
      <w:r w:rsidRPr="00446BA6">
        <w:rPr>
          <w:b/>
        </w:rPr>
        <w:t xml:space="preserve">1.     Circumstances </w:t>
      </w:r>
      <w:r w:rsidR="00656DD3">
        <w:rPr>
          <w:b/>
        </w:rPr>
        <w:t>of Information</w:t>
      </w:r>
      <w:r w:rsidRPr="00446BA6">
        <w:rPr>
          <w:b/>
        </w:rPr>
        <w:t xml:space="preserve"> Collection </w:t>
      </w:r>
    </w:p>
    <w:p w:rsidR="005A4A00" w:rsidP="005A4A00" w14:paraId="0D35B4CE" w14:textId="77777777"/>
    <w:p w:rsidR="006B0920" w:rsidP="0E2F1544" w14:paraId="6FB0BCD5" w14:textId="738FE6D5">
      <w:r>
        <w:t xml:space="preserve">The Substance Abuse and Mental Health Services Administration (SAMHSA), </w:t>
      </w:r>
      <w:r w:rsidR="00647340">
        <w:t xml:space="preserve">Center for </w:t>
      </w:r>
      <w:r w:rsidR="009B00D5">
        <w:t>Substance Abuse Treatment (CSAT</w:t>
      </w:r>
      <w:r w:rsidR="00647340">
        <w:t>)</w:t>
      </w:r>
      <w:r>
        <w:t xml:space="preserve"> is requesting </w:t>
      </w:r>
      <w:r w:rsidR="00510DE2">
        <w:t xml:space="preserve">approval </w:t>
      </w:r>
      <w:r>
        <w:t>from the Office of Management an</w:t>
      </w:r>
      <w:r w:rsidR="00920965">
        <w:t>d Budget (OMB)</w:t>
      </w:r>
      <w:r w:rsidR="00FC17E7">
        <w:t xml:space="preserve"> </w:t>
      </w:r>
      <w:r w:rsidR="00920965">
        <w:t xml:space="preserve">for </w:t>
      </w:r>
      <w:r w:rsidR="00E646D7">
        <w:t xml:space="preserve">revisions to the previously approved </w:t>
      </w:r>
      <w:r w:rsidR="000744A0">
        <w:t>progra</w:t>
      </w:r>
      <w:r w:rsidR="5E9E8B3B">
        <w:t>m</w:t>
      </w:r>
      <w:r w:rsidR="000744A0">
        <w:t xml:space="preserve"> </w:t>
      </w:r>
      <w:r w:rsidR="00E646D7">
        <w:t xml:space="preserve">instrument and </w:t>
      </w:r>
      <w:r w:rsidR="009B00D5">
        <w:t>data collection activities associated with the State Opioid Response (SOR) and Tribal Opioid Response (TOR) grant programs</w:t>
      </w:r>
      <w:r w:rsidR="00DE4C7F">
        <w:t xml:space="preserve"> (OMB No. 0930–0384)</w:t>
      </w:r>
      <w:r w:rsidR="009B00D5">
        <w:t xml:space="preserve">. </w:t>
      </w:r>
      <w:r w:rsidR="491BE1A8">
        <w:t xml:space="preserve">SAMHSA is requesting approval to modify its existing CSAT SOR/TOR Program Instrument by </w:t>
      </w:r>
      <w:r w:rsidR="4CFCB0EA">
        <w:t>(1)</w:t>
      </w:r>
      <w:r w:rsidR="00DD1159">
        <w:t xml:space="preserve"> </w:t>
      </w:r>
      <w:r>
        <w:t>broadening language from ‘naloxone’ to ‘naloxone and other opioid overdose reversal medications’</w:t>
      </w:r>
      <w:r w:rsidR="00894C86">
        <w:t xml:space="preserve"> due to the availability of new FDA-approved non-naloxone </w:t>
      </w:r>
      <w:r w:rsidR="00FE4D04">
        <w:t xml:space="preserve">opioid </w:t>
      </w:r>
      <w:r w:rsidR="00894C86">
        <w:t xml:space="preserve">overdose reversal medications; (2) broadening </w:t>
      </w:r>
      <w:r w:rsidR="00A02104">
        <w:t>language from ‘fentanyl test strips’ to ‘drug checking technologies as directed</w:t>
      </w:r>
      <w:r w:rsidR="00FE4D04">
        <w:t xml:space="preserve"> </w:t>
      </w:r>
      <w:r w:rsidR="00A02104">
        <w:t>by SAMHSA</w:t>
      </w:r>
      <w:r>
        <w:t>’</w:t>
      </w:r>
      <w:r w:rsidR="00A02104">
        <w:t xml:space="preserve"> due to the availability of new drug checking technology, including test strips for other emerging substances; </w:t>
      </w:r>
      <w:r w:rsidR="007753E4">
        <w:t>(3)</w:t>
      </w:r>
      <w:r w:rsidR="00D670FA">
        <w:t xml:space="preserve"> adding five questions </w:t>
      </w:r>
      <w:r w:rsidR="00655844">
        <w:t xml:space="preserve">to collect </w:t>
      </w:r>
      <w:r w:rsidR="00AB0F0D">
        <w:t xml:space="preserve">treatment and recovery support </w:t>
      </w:r>
      <w:r w:rsidR="00451B89">
        <w:t xml:space="preserve">data </w:t>
      </w:r>
      <w:r w:rsidR="00427C7D">
        <w:t>that w</w:t>
      </w:r>
      <w:r w:rsidR="00FE4D04">
        <w:t>ere</w:t>
      </w:r>
      <w:r w:rsidR="00427C7D">
        <w:t xml:space="preserve"> previously </w:t>
      </w:r>
      <w:r w:rsidR="003F6F18">
        <w:t>reported biannually in the performance progress reports</w:t>
      </w:r>
      <w:r w:rsidR="00BC1FD3">
        <w:t xml:space="preserve">; (4) </w:t>
      </w:r>
      <w:r w:rsidR="00A4275E">
        <w:t xml:space="preserve">adding </w:t>
      </w:r>
      <w:r w:rsidR="00F171A9">
        <w:t xml:space="preserve">one question to collect </w:t>
      </w:r>
      <w:r w:rsidR="00B8592D">
        <w:t xml:space="preserve">data on </w:t>
      </w:r>
      <w:r w:rsidR="00BC38F4">
        <w:t xml:space="preserve">clients who </w:t>
      </w:r>
      <w:r w:rsidR="00A738C1">
        <w:t xml:space="preserve">received </w:t>
      </w:r>
      <w:r w:rsidR="00D472AA">
        <w:t>contingency management</w:t>
      </w:r>
      <w:r w:rsidR="00A738C1">
        <w:t xml:space="preserve"> for </w:t>
      </w:r>
      <w:r w:rsidR="004A1E67">
        <w:t xml:space="preserve">the treatment of </w:t>
      </w:r>
      <w:r w:rsidR="00A738C1">
        <w:t>stimulant use disorder</w:t>
      </w:r>
      <w:r w:rsidR="00D472AA">
        <w:t>;</w:t>
      </w:r>
      <w:r w:rsidR="00C11EDA">
        <w:t xml:space="preserve"> (5)</w:t>
      </w:r>
      <w:r w:rsidR="00770909">
        <w:t xml:space="preserve"> </w:t>
      </w:r>
      <w:r w:rsidR="00D92F24">
        <w:t xml:space="preserve">adding a </w:t>
      </w:r>
      <w:r w:rsidR="00FC01EC">
        <w:t xml:space="preserve">sub-recipient </w:t>
      </w:r>
      <w:r w:rsidR="00D92F24">
        <w:t>entity inventory table</w:t>
      </w:r>
      <w:r w:rsidR="001053C2">
        <w:t xml:space="preserve"> to </w:t>
      </w:r>
      <w:r w:rsidRPr="2A42784C" w:rsidR="001053C2">
        <w:rPr>
          <w:color w:val="000000" w:themeColor="text1"/>
        </w:rPr>
        <w:t xml:space="preserve">collect </w:t>
      </w:r>
      <w:r w:rsidRPr="2A42784C" w:rsidR="00FF55EB">
        <w:rPr>
          <w:color w:val="000000" w:themeColor="text1"/>
        </w:rPr>
        <w:t>expenditure data</w:t>
      </w:r>
      <w:r w:rsidRPr="2A42784C" w:rsidR="001053C2">
        <w:rPr>
          <w:color w:val="000000" w:themeColor="text1"/>
        </w:rPr>
        <w:t xml:space="preserve"> for each</w:t>
      </w:r>
      <w:r w:rsidRPr="2A42784C" w:rsidR="000F2915">
        <w:rPr>
          <w:color w:val="000000" w:themeColor="text1"/>
        </w:rPr>
        <w:t xml:space="preserve"> grant</w:t>
      </w:r>
      <w:r w:rsidRPr="2A42784C" w:rsidR="001053C2">
        <w:rPr>
          <w:color w:val="000000" w:themeColor="text1"/>
        </w:rPr>
        <w:t xml:space="preserve"> sub-recipient</w:t>
      </w:r>
      <w:r w:rsidR="00D92F24">
        <w:t xml:space="preserve"> </w:t>
      </w:r>
      <w:r w:rsidR="002F1588">
        <w:t xml:space="preserve">in response to the </w:t>
      </w:r>
      <w:r w:rsidR="00C87412">
        <w:t>Consolidated Appropriations Act, 2023 (42 U.S.C. § 300x–52(a))</w:t>
      </w:r>
      <w:r w:rsidR="00E23CA1">
        <w:t xml:space="preserve">; </w:t>
      </w:r>
      <w:r w:rsidR="00D92F24">
        <w:t>(</w:t>
      </w:r>
      <w:r w:rsidR="00A738C1">
        <w:t>6</w:t>
      </w:r>
      <w:r w:rsidR="00D92F24">
        <w:t xml:space="preserve">) </w:t>
      </w:r>
      <w:r w:rsidR="00BC1FD3">
        <w:t>combining four questions with similar themes into two questions for clarity; (</w:t>
      </w:r>
      <w:r w:rsidR="00A738C1">
        <w:t>7</w:t>
      </w:r>
      <w:r w:rsidR="00E23CA1">
        <w:t>)</w:t>
      </w:r>
      <w:r w:rsidR="00CA76B4">
        <w:t xml:space="preserve"> </w:t>
      </w:r>
      <w:r w:rsidRPr="2A42784C" w:rsidR="00063D2B">
        <w:rPr>
          <w:color w:val="000000" w:themeColor="text1"/>
        </w:rPr>
        <w:t>removing question 12 because it is comprised o</w:t>
      </w:r>
      <w:r w:rsidRPr="2A42784C" w:rsidR="002801DE">
        <w:rPr>
          <w:color w:val="000000" w:themeColor="text1"/>
        </w:rPr>
        <w:t xml:space="preserve">f more than one question with several </w:t>
      </w:r>
      <w:r w:rsidRPr="2A42784C" w:rsidR="00303F56">
        <w:rPr>
          <w:color w:val="000000" w:themeColor="text1"/>
        </w:rPr>
        <w:t>different ideas, making it unsuited for this instrument; and (</w:t>
      </w:r>
      <w:r w:rsidR="00A738C1">
        <w:rPr>
          <w:color w:val="000000" w:themeColor="text1"/>
        </w:rPr>
        <w:t>8</w:t>
      </w:r>
      <w:r w:rsidRPr="2A42784C" w:rsidR="00303F56">
        <w:rPr>
          <w:color w:val="000000" w:themeColor="text1"/>
        </w:rPr>
        <w:t xml:space="preserve">) adding one question at the request of </w:t>
      </w:r>
      <w:r w:rsidRPr="2A42784C" w:rsidR="00FE4D04">
        <w:rPr>
          <w:color w:val="000000" w:themeColor="text1"/>
        </w:rPr>
        <w:t xml:space="preserve">the </w:t>
      </w:r>
      <w:r w:rsidRPr="2A42784C" w:rsidR="006E0F8D">
        <w:rPr>
          <w:color w:val="000000" w:themeColor="text1"/>
        </w:rPr>
        <w:t>Office of National Drug Control Policy (</w:t>
      </w:r>
      <w:r w:rsidRPr="2A42784C" w:rsidR="00303F56">
        <w:rPr>
          <w:color w:val="000000" w:themeColor="text1"/>
        </w:rPr>
        <w:t>ONDCP</w:t>
      </w:r>
      <w:r w:rsidRPr="2A42784C" w:rsidR="006E0F8D">
        <w:rPr>
          <w:color w:val="000000" w:themeColor="text1"/>
        </w:rPr>
        <w:t>)</w:t>
      </w:r>
      <w:r w:rsidRPr="2A42784C" w:rsidR="00D56069">
        <w:rPr>
          <w:color w:val="000000" w:themeColor="text1"/>
        </w:rPr>
        <w:t xml:space="preserve"> to collect information on Congressionally mandated and programmatic activities and comply with reporting requirements</w:t>
      </w:r>
      <w:r w:rsidRPr="2A42784C" w:rsidR="00303F56">
        <w:rPr>
          <w:color w:val="000000" w:themeColor="text1"/>
        </w:rPr>
        <w:t xml:space="preserve">. </w:t>
      </w:r>
    </w:p>
    <w:p w:rsidR="00321E02" w:rsidRPr="00321E02" w:rsidP="006E0F8D" w14:paraId="3BB21EC7" w14:textId="77777777">
      <w:pPr>
        <w:rPr>
          <w:szCs w:val="24"/>
        </w:rPr>
      </w:pPr>
    </w:p>
    <w:p w:rsidR="009B00D5" w:rsidP="3B45EF7E" w14:paraId="0C7D5EBC" w14:textId="43DD1CBB">
      <w:pPr>
        <w:rPr>
          <w:color w:val="D13438"/>
          <w:u w:val="single"/>
        </w:rPr>
      </w:pPr>
      <w:r w:rsidRPr="00BA799C">
        <w:rPr>
          <w:szCs w:val="24"/>
        </w:rPr>
        <w:t xml:space="preserve">The SOR/TOR programs </w:t>
      </w:r>
      <w:r w:rsidRPr="3B45EF7E" w:rsidR="005077E6">
        <w:rPr>
          <w:szCs w:val="24"/>
        </w:rPr>
        <w:t xml:space="preserve">are authorized under the </w:t>
      </w:r>
      <w:r w:rsidRPr="3B45EF7E">
        <w:rPr>
          <w:szCs w:val="24"/>
        </w:rPr>
        <w:t xml:space="preserve">Further </w:t>
      </w:r>
      <w:r w:rsidRPr="3B45EF7E" w:rsidR="005077E6">
        <w:rPr>
          <w:szCs w:val="24"/>
        </w:rPr>
        <w:t xml:space="preserve">Consolidated Appropriations Act, </w:t>
      </w:r>
      <w:r w:rsidRPr="3B45EF7E">
        <w:rPr>
          <w:szCs w:val="24"/>
        </w:rPr>
        <w:t>2024</w:t>
      </w:r>
      <w:r w:rsidRPr="3B45EF7E" w:rsidR="005077E6">
        <w:rPr>
          <w:szCs w:val="24"/>
        </w:rPr>
        <w:t xml:space="preserve">, Division </w:t>
      </w:r>
      <w:r w:rsidRPr="3B45EF7E">
        <w:rPr>
          <w:szCs w:val="24"/>
        </w:rPr>
        <w:t>D</w:t>
      </w:r>
      <w:r w:rsidRPr="3B45EF7E" w:rsidR="005077E6">
        <w:rPr>
          <w:szCs w:val="24"/>
        </w:rPr>
        <w:t>, Title II</w:t>
      </w:r>
      <w:r w:rsidRPr="3B45EF7E">
        <w:rPr>
          <w:szCs w:val="24"/>
        </w:rPr>
        <w:t>,</w:t>
      </w:r>
      <w:r w:rsidRPr="3B45EF7E" w:rsidR="005077E6">
        <w:rPr>
          <w:szCs w:val="24"/>
        </w:rPr>
        <w:t xml:space="preserve"> and section 1003 of the 21st Century Cures Act [Public Law 114-255] (42 USC 290ee–</w:t>
      </w:r>
      <w:r w:rsidRPr="3B45EF7E">
        <w:rPr>
          <w:szCs w:val="24"/>
        </w:rPr>
        <w:t>3a</w:t>
      </w:r>
      <w:r w:rsidRPr="3B45EF7E" w:rsidR="005077E6">
        <w:rPr>
          <w:szCs w:val="24"/>
        </w:rPr>
        <w:t>), as amended.</w:t>
      </w:r>
    </w:p>
    <w:p w:rsidR="005A4A00" w:rsidRPr="00CB3B8E" w:rsidP="009B00D5" w14:paraId="45C368E9" w14:textId="1256D329"/>
    <w:p w:rsidR="002B1490" w:rsidP="009B00D5" w14:paraId="749C9566" w14:textId="729779F4">
      <w:pPr>
        <w:tabs>
          <w:tab w:val="left" w:pos="3370"/>
        </w:tabs>
        <w:autoSpaceDE w:val="0"/>
        <w:autoSpaceDN w:val="0"/>
        <w:adjustRightInd w:val="0"/>
        <w:ind w:right="-900"/>
        <w:outlineLvl w:val="0"/>
      </w:pPr>
      <w:r>
        <w:t>This information is c</w:t>
      </w:r>
      <w:r w:rsidRPr="00CB3B8E">
        <w:t xml:space="preserve">ollected using a </w:t>
      </w:r>
      <w:r>
        <w:t xml:space="preserve">grantee-level (state/territory or tribal entity) tool </w:t>
      </w:r>
      <w:r w:rsidRPr="00CB3B8E">
        <w:t>th</w:t>
      </w:r>
      <w:r>
        <w:t>at</w:t>
      </w:r>
      <w:r w:rsidRPr="00CB3B8E">
        <w:t xml:space="preserve"> provides CSAT </w:t>
      </w:r>
      <w:r>
        <w:t xml:space="preserve">with </w:t>
      </w:r>
      <w:r w:rsidR="00A87535">
        <w:t>prevention</w:t>
      </w:r>
      <w:r w:rsidR="007D03D3">
        <w:t xml:space="preserve">, </w:t>
      </w:r>
      <w:r w:rsidR="00235487">
        <w:t>education</w:t>
      </w:r>
      <w:r w:rsidR="002919FC">
        <w:t>, harm reduction</w:t>
      </w:r>
      <w:r w:rsidR="007C691D">
        <w:t>, treatment, and recovery support</w:t>
      </w:r>
      <w:r w:rsidR="00A87535">
        <w:t xml:space="preserve"> </w:t>
      </w:r>
      <w:r>
        <w:t>information about</w:t>
      </w:r>
      <w:r w:rsidRPr="00CB3B8E">
        <w:t xml:space="preserve"> all </w:t>
      </w:r>
      <w:r>
        <w:t>SOR/TOR grantees, including</w:t>
      </w:r>
      <w:r w:rsidR="00A87535">
        <w:t xml:space="preserve"> data on</w:t>
      </w:r>
      <w:r>
        <w:t>:</w:t>
      </w:r>
    </w:p>
    <w:p w:rsidR="00476770" w:rsidP="009B00D5" w14:paraId="361C5354" w14:textId="77777777">
      <w:pPr>
        <w:tabs>
          <w:tab w:val="left" w:pos="3370"/>
        </w:tabs>
        <w:autoSpaceDE w:val="0"/>
        <w:autoSpaceDN w:val="0"/>
        <w:adjustRightInd w:val="0"/>
        <w:ind w:right="-900"/>
        <w:outlineLvl w:val="0"/>
        <w:rPr>
          <w:szCs w:val="24"/>
        </w:rPr>
      </w:pPr>
    </w:p>
    <w:p w:rsidR="001A6955" w:rsidRPr="001A6955" w14:paraId="77B59F4B" w14:textId="77777777">
      <w:pPr>
        <w:pStyle w:val="ListParagraph"/>
        <w:numPr>
          <w:ilvl w:val="0"/>
          <w:numId w:val="31"/>
        </w:numPr>
        <w:tabs>
          <w:tab w:val="left" w:pos="3370"/>
        </w:tabs>
        <w:autoSpaceDE w:val="0"/>
        <w:autoSpaceDN w:val="0"/>
        <w:adjustRightInd w:val="0"/>
        <w:ind w:right="-900"/>
        <w:outlineLvl w:val="0"/>
        <w:rPr>
          <w:szCs w:val="24"/>
        </w:rPr>
      </w:pPr>
      <w:r>
        <w:t xml:space="preserve">Reported overdose </w:t>
      </w:r>
      <w:r>
        <w:t>reversals;</w:t>
      </w:r>
    </w:p>
    <w:p w:rsidR="002B1490" w:rsidRPr="00284377" w:rsidP="004A33A7" w14:paraId="0DAD0206" w14:textId="27EF7FD2">
      <w:pPr>
        <w:pStyle w:val="ListParagraph"/>
        <w:numPr>
          <w:ilvl w:val="0"/>
          <w:numId w:val="31"/>
        </w:numPr>
        <w:tabs>
          <w:tab w:val="left" w:pos="3370"/>
        </w:tabs>
        <w:autoSpaceDE w:val="0"/>
        <w:autoSpaceDN w:val="0"/>
        <w:adjustRightInd w:val="0"/>
        <w:ind w:right="-900"/>
        <w:outlineLvl w:val="0"/>
        <w:rPr>
          <w:szCs w:val="24"/>
        </w:rPr>
      </w:pPr>
      <w:r w:rsidRPr="002B1490">
        <w:rPr>
          <w:szCs w:val="24"/>
        </w:rPr>
        <w:t>T</w:t>
      </w:r>
      <w:r w:rsidRPr="002B1490" w:rsidR="00A87535">
        <w:rPr>
          <w:szCs w:val="24"/>
        </w:rPr>
        <w:t>he purchase and</w:t>
      </w:r>
      <w:r w:rsidRPr="00284377" w:rsidR="00A87535">
        <w:rPr>
          <w:szCs w:val="24"/>
        </w:rPr>
        <w:t xml:space="preserve"> distribution of </w:t>
      </w:r>
      <w:r w:rsidR="008D6BE7">
        <w:rPr>
          <w:szCs w:val="24"/>
        </w:rPr>
        <w:t xml:space="preserve">naloxone and other opioid overdose reversal </w:t>
      </w:r>
      <w:r w:rsidR="008D6BE7">
        <w:rPr>
          <w:szCs w:val="24"/>
        </w:rPr>
        <w:t>medications;</w:t>
      </w:r>
    </w:p>
    <w:p w:rsidR="002B1490" w:rsidRPr="001C426C" w:rsidP="00BA799C" w14:paraId="41336ABC" w14:textId="3C73D1AC">
      <w:pPr>
        <w:pStyle w:val="ListParagraph"/>
        <w:numPr>
          <w:ilvl w:val="0"/>
          <w:numId w:val="31"/>
        </w:numPr>
        <w:rPr>
          <w:szCs w:val="24"/>
        </w:rPr>
      </w:pPr>
      <w:r w:rsidRPr="00806516">
        <w:rPr>
          <w:szCs w:val="24"/>
        </w:rPr>
        <w:t>T</w:t>
      </w:r>
      <w:r w:rsidRPr="00806516" w:rsidR="00A87535">
        <w:rPr>
          <w:szCs w:val="24"/>
        </w:rPr>
        <w:t xml:space="preserve">raining on the administration </w:t>
      </w:r>
      <w:r w:rsidR="00B910D9">
        <w:rPr>
          <w:szCs w:val="24"/>
        </w:rPr>
        <w:t xml:space="preserve">of naloxone and other opioid overdose reversal </w:t>
      </w:r>
      <w:r w:rsidR="00B910D9">
        <w:rPr>
          <w:szCs w:val="24"/>
        </w:rPr>
        <w:t>medications;</w:t>
      </w:r>
      <w:r w:rsidR="00B910D9">
        <w:rPr>
          <w:szCs w:val="24"/>
        </w:rPr>
        <w:t xml:space="preserve"> </w:t>
      </w:r>
    </w:p>
    <w:p w:rsidR="002B1490" w:rsidRPr="00DE4C7F" w:rsidP="004A33A7" w14:paraId="6C927DDE" w14:textId="382E7A28">
      <w:pPr>
        <w:pStyle w:val="ListParagraph"/>
        <w:numPr>
          <w:ilvl w:val="0"/>
          <w:numId w:val="31"/>
        </w:numPr>
        <w:tabs>
          <w:tab w:val="left" w:pos="3370"/>
        </w:tabs>
        <w:autoSpaceDE w:val="0"/>
        <w:autoSpaceDN w:val="0"/>
        <w:adjustRightInd w:val="0"/>
        <w:ind w:right="-900"/>
        <w:outlineLvl w:val="0"/>
        <w:rPr>
          <w:szCs w:val="24"/>
        </w:rPr>
      </w:pPr>
      <w:r w:rsidRPr="00DE4C7F">
        <w:rPr>
          <w:szCs w:val="24"/>
        </w:rPr>
        <w:t>I</w:t>
      </w:r>
      <w:r w:rsidRPr="00DE4C7F" w:rsidR="00A87535">
        <w:rPr>
          <w:szCs w:val="24"/>
        </w:rPr>
        <w:t xml:space="preserve">mplementation of prevention and education </w:t>
      </w:r>
      <w:r w:rsidRPr="00DE4C7F" w:rsidR="00A87535">
        <w:rPr>
          <w:szCs w:val="24"/>
        </w:rPr>
        <w:t>activities;</w:t>
      </w:r>
      <w:r w:rsidRPr="00DE4C7F" w:rsidR="00A87535">
        <w:rPr>
          <w:szCs w:val="24"/>
        </w:rPr>
        <w:t xml:space="preserve"> </w:t>
      </w:r>
    </w:p>
    <w:p w:rsidR="007C691D" w:rsidP="004A33A7" w14:paraId="512DDE8D" w14:textId="77777777">
      <w:pPr>
        <w:pStyle w:val="ListParagraph"/>
        <w:numPr>
          <w:ilvl w:val="0"/>
          <w:numId w:val="31"/>
        </w:numPr>
        <w:tabs>
          <w:tab w:val="left" w:pos="3370"/>
        </w:tabs>
        <w:autoSpaceDE w:val="0"/>
        <w:autoSpaceDN w:val="0"/>
        <w:adjustRightInd w:val="0"/>
        <w:ind w:right="-900"/>
        <w:outlineLvl w:val="0"/>
        <w:rPr>
          <w:szCs w:val="24"/>
        </w:rPr>
      </w:pPr>
      <w:r w:rsidRPr="00E87D0E">
        <w:rPr>
          <w:szCs w:val="24"/>
        </w:rPr>
        <w:t>T</w:t>
      </w:r>
      <w:r w:rsidRPr="00E87D0E" w:rsidR="00A87535">
        <w:rPr>
          <w:szCs w:val="24"/>
        </w:rPr>
        <w:t xml:space="preserve">he purchase and distribution of </w:t>
      </w:r>
      <w:r w:rsidR="00806516">
        <w:rPr>
          <w:szCs w:val="24"/>
        </w:rPr>
        <w:t>drug checking technologies</w:t>
      </w:r>
      <w:r w:rsidR="001B3F32">
        <w:rPr>
          <w:szCs w:val="24"/>
        </w:rPr>
        <w:t xml:space="preserve"> as directed by </w:t>
      </w:r>
      <w:r w:rsidR="001B3F32">
        <w:rPr>
          <w:szCs w:val="24"/>
        </w:rPr>
        <w:t>SAMHSA</w:t>
      </w:r>
      <w:r>
        <w:rPr>
          <w:szCs w:val="24"/>
        </w:rPr>
        <w:t>;</w:t>
      </w:r>
    </w:p>
    <w:p w:rsidR="00F76113" w:rsidP="004A33A7" w14:paraId="190A2F0D" w14:textId="6A111563">
      <w:pPr>
        <w:pStyle w:val="ListParagraph"/>
        <w:numPr>
          <w:ilvl w:val="0"/>
          <w:numId w:val="31"/>
        </w:numPr>
        <w:tabs>
          <w:tab w:val="left" w:pos="3370"/>
        </w:tabs>
        <w:autoSpaceDE w:val="0"/>
        <w:autoSpaceDN w:val="0"/>
        <w:adjustRightInd w:val="0"/>
        <w:ind w:right="-900"/>
        <w:outlineLvl w:val="0"/>
        <w:rPr>
          <w:szCs w:val="24"/>
        </w:rPr>
      </w:pPr>
      <w:r>
        <w:rPr>
          <w:szCs w:val="24"/>
        </w:rPr>
        <w:t xml:space="preserve">Treatment services </w:t>
      </w:r>
      <w:r>
        <w:rPr>
          <w:szCs w:val="24"/>
        </w:rPr>
        <w:t xml:space="preserve">for opioid use disorder (OUD), and stimulant use </w:t>
      </w:r>
      <w:r>
        <w:rPr>
          <w:szCs w:val="24"/>
        </w:rPr>
        <w:t>disorder;</w:t>
      </w:r>
      <w:r>
        <w:rPr>
          <w:szCs w:val="24"/>
        </w:rPr>
        <w:t xml:space="preserve"> </w:t>
      </w:r>
    </w:p>
    <w:p w:rsidR="009B5FB5" w:rsidRPr="00C05E56" w:rsidP="00C05E56" w14:paraId="6B548FDF" w14:textId="16728EAF">
      <w:pPr>
        <w:pStyle w:val="ListParagraph"/>
        <w:numPr>
          <w:ilvl w:val="0"/>
          <w:numId w:val="31"/>
        </w:numPr>
        <w:tabs>
          <w:tab w:val="left" w:pos="3370"/>
        </w:tabs>
        <w:autoSpaceDE w:val="0"/>
        <w:autoSpaceDN w:val="0"/>
        <w:adjustRightInd w:val="0"/>
        <w:ind w:right="-900"/>
        <w:outlineLvl w:val="0"/>
        <w:rPr>
          <w:szCs w:val="24"/>
        </w:rPr>
      </w:pPr>
      <w:r>
        <w:rPr>
          <w:szCs w:val="24"/>
        </w:rPr>
        <w:t xml:space="preserve">The types of recovery support services; and </w:t>
      </w:r>
    </w:p>
    <w:p w:rsidR="00042BAB" w:rsidRPr="00E87D0E" w:rsidP="004A33A7" w14:paraId="5AD236FC" w14:textId="43D88FF0">
      <w:pPr>
        <w:pStyle w:val="ListParagraph"/>
        <w:numPr>
          <w:ilvl w:val="0"/>
          <w:numId w:val="31"/>
        </w:numPr>
        <w:tabs>
          <w:tab w:val="left" w:pos="3370"/>
        </w:tabs>
        <w:autoSpaceDE w:val="0"/>
        <w:autoSpaceDN w:val="0"/>
        <w:adjustRightInd w:val="0"/>
        <w:ind w:right="-900"/>
        <w:outlineLvl w:val="0"/>
        <w:rPr>
          <w:szCs w:val="24"/>
        </w:rPr>
      </w:pPr>
      <w:r>
        <w:rPr>
          <w:szCs w:val="24"/>
        </w:rPr>
        <w:t>Expenditure</w:t>
      </w:r>
      <w:r w:rsidR="00C71DBA">
        <w:rPr>
          <w:szCs w:val="24"/>
        </w:rPr>
        <w:t xml:space="preserve"> </w:t>
      </w:r>
      <w:r w:rsidR="00766C24">
        <w:rPr>
          <w:szCs w:val="24"/>
        </w:rPr>
        <w:t xml:space="preserve">amounts </w:t>
      </w:r>
      <w:r w:rsidR="00C71DBA">
        <w:rPr>
          <w:szCs w:val="24"/>
        </w:rPr>
        <w:t>for each</w:t>
      </w:r>
      <w:r w:rsidR="00745929">
        <w:rPr>
          <w:szCs w:val="24"/>
        </w:rPr>
        <w:t xml:space="preserve"> SOR and TOR</w:t>
      </w:r>
      <w:r w:rsidR="00C71DBA">
        <w:rPr>
          <w:szCs w:val="24"/>
        </w:rPr>
        <w:t xml:space="preserve"> </w:t>
      </w:r>
      <w:r w:rsidR="000F2915">
        <w:rPr>
          <w:szCs w:val="24"/>
        </w:rPr>
        <w:t xml:space="preserve">grant </w:t>
      </w:r>
      <w:r w:rsidR="00C71DBA">
        <w:rPr>
          <w:szCs w:val="24"/>
        </w:rPr>
        <w:t>sub-recipient.</w:t>
      </w:r>
    </w:p>
    <w:p w:rsidR="002B1490" w:rsidP="009B00D5" w14:paraId="046A3061" w14:textId="77777777">
      <w:pPr>
        <w:tabs>
          <w:tab w:val="left" w:pos="3370"/>
        </w:tabs>
        <w:autoSpaceDE w:val="0"/>
        <w:autoSpaceDN w:val="0"/>
        <w:adjustRightInd w:val="0"/>
        <w:ind w:right="-900"/>
        <w:outlineLvl w:val="0"/>
        <w:rPr>
          <w:szCs w:val="24"/>
        </w:rPr>
      </w:pPr>
    </w:p>
    <w:p w:rsidR="009B00D5" w:rsidRPr="00480B30" w:rsidP="009B00D5" w14:paraId="78CEB09C" w14:textId="35023AC8">
      <w:pPr>
        <w:tabs>
          <w:tab w:val="left" w:pos="3370"/>
        </w:tabs>
        <w:autoSpaceDE w:val="0"/>
        <w:autoSpaceDN w:val="0"/>
        <w:adjustRightInd w:val="0"/>
        <w:ind w:right="-900"/>
        <w:outlineLvl w:val="0"/>
        <w:rPr>
          <w:szCs w:val="18"/>
        </w:rPr>
      </w:pPr>
      <w:r>
        <w:rPr>
          <w:szCs w:val="18"/>
        </w:rPr>
        <w:t xml:space="preserve">This </w:t>
      </w:r>
      <w:r w:rsidR="00B84B3A">
        <w:rPr>
          <w:szCs w:val="18"/>
        </w:rPr>
        <w:t xml:space="preserve">program </w:t>
      </w:r>
      <w:r>
        <w:rPr>
          <w:szCs w:val="18"/>
        </w:rPr>
        <w:t xml:space="preserve">level information </w:t>
      </w:r>
      <w:r w:rsidR="00B84B3A">
        <w:rPr>
          <w:szCs w:val="18"/>
        </w:rPr>
        <w:t>is</w:t>
      </w:r>
      <w:r>
        <w:rPr>
          <w:szCs w:val="18"/>
        </w:rPr>
        <w:t xml:space="preserve"> collected quarterly</w:t>
      </w:r>
      <w:r w:rsidR="009C5998">
        <w:rPr>
          <w:szCs w:val="18"/>
        </w:rPr>
        <w:t xml:space="preserve"> for </w:t>
      </w:r>
      <w:r w:rsidR="0026690A">
        <w:rPr>
          <w:szCs w:val="18"/>
        </w:rPr>
        <w:t>questions</w:t>
      </w:r>
      <w:r w:rsidR="00770909">
        <w:rPr>
          <w:szCs w:val="18"/>
        </w:rPr>
        <w:t xml:space="preserve"> </w:t>
      </w:r>
      <w:r w:rsidR="0077743E">
        <w:rPr>
          <w:szCs w:val="18"/>
        </w:rPr>
        <w:t>1 to 13b</w:t>
      </w:r>
      <w:r w:rsidR="00BD4EDD">
        <w:rPr>
          <w:szCs w:val="18"/>
        </w:rPr>
        <w:t>,</w:t>
      </w:r>
      <w:r w:rsidR="006629D3">
        <w:rPr>
          <w:szCs w:val="18"/>
        </w:rPr>
        <w:t xml:space="preserve"> and annually</w:t>
      </w:r>
      <w:r w:rsidR="0026690A">
        <w:rPr>
          <w:szCs w:val="18"/>
        </w:rPr>
        <w:t xml:space="preserve"> for the</w:t>
      </w:r>
      <w:r w:rsidR="00B44A43">
        <w:rPr>
          <w:szCs w:val="18"/>
        </w:rPr>
        <w:t xml:space="preserve"> </w:t>
      </w:r>
      <w:r w:rsidR="00FC01EC">
        <w:rPr>
          <w:szCs w:val="18"/>
        </w:rPr>
        <w:t xml:space="preserve">sub-recipient </w:t>
      </w:r>
      <w:r w:rsidR="00B44A43">
        <w:rPr>
          <w:szCs w:val="18"/>
        </w:rPr>
        <w:t>entity inventory table</w:t>
      </w:r>
      <w:r>
        <w:rPr>
          <w:szCs w:val="18"/>
        </w:rPr>
        <w:t xml:space="preserve">. </w:t>
      </w:r>
      <w:r w:rsidR="00C221CA">
        <w:t>T</w:t>
      </w:r>
      <w:r w:rsidRPr="00CB3B8E">
        <w:t xml:space="preserve">o be fully accountable for the spending of federal funds, SAMHSA/CSAT requires all </w:t>
      </w:r>
      <w:r>
        <w:t>SOR/TOR grantees</w:t>
      </w:r>
      <w:r w:rsidRPr="00CB3B8E">
        <w:t xml:space="preserve"> to collect and report data </w:t>
      </w:r>
      <w:r>
        <w:t>to ensure</w:t>
      </w:r>
      <w:r w:rsidRPr="00CB3B8E">
        <w:t xml:space="preserve"> </w:t>
      </w:r>
      <w:r w:rsidR="001E0BF5">
        <w:t xml:space="preserve">that </w:t>
      </w:r>
      <w:r w:rsidRPr="00CB3B8E">
        <w:t>program goals and objectives are met.  Data collected as part of this package are used a</w:t>
      </w:r>
      <w:r>
        <w:t>s a</w:t>
      </w:r>
      <w:r w:rsidRPr="00CB3B8E">
        <w:t xml:space="preserve"> tool to monitor performance through the grant period.  </w:t>
      </w:r>
      <w:r>
        <w:t xml:space="preserve">All data under this request will be collected electronically in SAMHSA’s Performance and Accountability Reporting System (SPARS). </w:t>
      </w:r>
    </w:p>
    <w:p w:rsidR="009B00D5" w:rsidP="008B7F2C" w14:paraId="2C5A3EED" w14:textId="77777777"/>
    <w:p w:rsidR="005A4A00" w:rsidRPr="00CB3B8E" w:rsidP="005A4A00" w14:paraId="1D2CD40E" w14:textId="5B3A9D66">
      <w:r w:rsidRPr="008D641B">
        <w:t xml:space="preserve">Approval of this information collection will allow SAMHSA to continue to meet </w:t>
      </w:r>
      <w:r w:rsidRPr="008D641B" w:rsidR="00576A97">
        <w:rPr>
          <w:szCs w:val="24"/>
        </w:rPr>
        <w:t>the Government Performance and Results Modernization Act</w:t>
      </w:r>
      <w:r w:rsidR="00483B31">
        <w:rPr>
          <w:szCs w:val="24"/>
        </w:rPr>
        <w:t xml:space="preserve"> (GPRA)</w:t>
      </w:r>
      <w:r w:rsidRPr="008D641B" w:rsidR="00576A97">
        <w:rPr>
          <w:szCs w:val="24"/>
        </w:rPr>
        <w:t xml:space="preserve"> of 2010 </w:t>
      </w:r>
      <w:r w:rsidRPr="008D641B">
        <w:t>reporting</w:t>
      </w:r>
      <w:r w:rsidRPr="00CB3B8E">
        <w:t xml:space="preserve"> requirements that quantify the effects and accomplishments of its discretionary grant programs</w:t>
      </w:r>
      <w:r w:rsidR="001E0BF5">
        <w:t>,</w:t>
      </w:r>
      <w:r w:rsidRPr="00CB3B8E">
        <w:t xml:space="preserve"> which are consistent with OMB guidance</w:t>
      </w:r>
      <w:r w:rsidR="0008539A">
        <w:t>, as well as legislative mandates</w:t>
      </w:r>
      <w:r w:rsidRPr="00CB3B8E">
        <w:t xml:space="preserve">.  </w:t>
      </w:r>
    </w:p>
    <w:p w:rsidR="005A4A00" w:rsidRPr="00CB3B8E" w:rsidP="005A4A00" w14:paraId="5BCFDB46" w14:textId="77777777"/>
    <w:p w:rsidR="005A4A00" w:rsidRPr="00CB3B8E" w:rsidP="004A33A7" w14:paraId="18436C7C" w14:textId="079818B3">
      <w:r>
        <w:t>T</w:t>
      </w:r>
      <w:r>
        <w:t xml:space="preserve">o carry out section 1105(a) (29) of the GPRA, SAMHSA is required to prepare a performance plan for its major </w:t>
      </w:r>
      <w:r w:rsidR="00C74897">
        <w:t>program activities</w:t>
      </w:r>
      <w:r>
        <w:t xml:space="preserve">.  </w:t>
      </w:r>
    </w:p>
    <w:p w:rsidR="005A4A00" w:rsidRPr="00CB3B8E" w:rsidP="005A4A00" w14:paraId="6DA591B5" w14:textId="77777777"/>
    <w:p w:rsidR="00610C34" w:rsidP="005A4A00" w14:paraId="6E0354FD" w14:textId="3195C7F3">
      <w:r>
        <w:t>SAMHSA’s legislative mandate</w:t>
      </w:r>
      <w:r w:rsidR="5D8D2DA0">
        <w:t xml:space="preserve"> includes</w:t>
      </w:r>
      <w:r>
        <w:t xml:space="preserve"> increas</w:t>
      </w:r>
      <w:r w:rsidR="640C3364">
        <w:t>ing</w:t>
      </w:r>
      <w:r>
        <w:t xml:space="preserve"> access to high quality services and to improve outcomes.  Its mission is to reduce the impact of substance use and mental illness on our communities.  </w:t>
      </w:r>
    </w:p>
    <w:p w:rsidR="00966C28" w:rsidRPr="00CB3B8E" w:rsidP="005A4A00" w14:paraId="6AECD6E6" w14:textId="77777777"/>
    <w:p w:rsidR="005A4A00" w:rsidRPr="00705E94" w:rsidP="005A4A00" w14:paraId="52EA6CBD" w14:textId="77777777">
      <w:pPr>
        <w:rPr>
          <w:b/>
        </w:rPr>
      </w:pPr>
      <w:r>
        <w:rPr>
          <w:b/>
        </w:rPr>
        <w:t>A</w:t>
      </w:r>
      <w:r w:rsidRPr="00705E94">
        <w:rPr>
          <w:b/>
        </w:rPr>
        <w:t xml:space="preserve">2. </w:t>
      </w:r>
      <w:r>
        <w:rPr>
          <w:b/>
        </w:rPr>
        <w:t xml:space="preserve"> </w:t>
      </w:r>
      <w:r w:rsidRPr="00705E94">
        <w:rPr>
          <w:b/>
        </w:rPr>
        <w:t xml:space="preserve"> </w:t>
      </w:r>
      <w:r w:rsidRPr="00446BA6">
        <w:rPr>
          <w:b/>
          <w:bCs/>
        </w:rPr>
        <w:t xml:space="preserve">  Purposes and Use of Information </w:t>
      </w:r>
    </w:p>
    <w:p w:rsidR="00E6628B" w:rsidRPr="006F61E0" w:rsidP="00E6628B" w14:paraId="065A770A" w14:textId="77777777"/>
    <w:p w:rsidR="005A4A00" w:rsidP="005A4A00" w14:paraId="57956F15" w14:textId="25A97B4A">
      <w:r>
        <w:t xml:space="preserve">SAMHSA uses </w:t>
      </w:r>
      <w:r w:rsidR="001E2850">
        <w:t xml:space="preserve">this </w:t>
      </w:r>
      <w:r w:rsidR="00E952A9">
        <w:t xml:space="preserve">information </w:t>
      </w:r>
      <w:r>
        <w:t>to report on the performance</w:t>
      </w:r>
      <w:r w:rsidR="001E2850">
        <w:t xml:space="preserve"> and outcomes</w:t>
      </w:r>
      <w:r>
        <w:t xml:space="preserve"> of its </w:t>
      </w:r>
      <w:r w:rsidR="009B00D5">
        <w:t xml:space="preserve">SOR/TOR </w:t>
      </w:r>
      <w:r>
        <w:t>programs</w:t>
      </w:r>
      <w:r w:rsidR="0083301F">
        <w:t xml:space="preserve">.  </w:t>
      </w:r>
      <w:r>
        <w:t>The information is used by individuals at different levels:</w:t>
      </w:r>
      <w:r w:rsidR="0083301F">
        <w:t xml:space="preserve"> </w:t>
      </w:r>
      <w:r>
        <w:t xml:space="preserve">the </w:t>
      </w:r>
      <w:r w:rsidR="00CF35DF">
        <w:t xml:space="preserve">Assistant Secretary </w:t>
      </w:r>
      <w:r>
        <w:t xml:space="preserve">and </w:t>
      </w:r>
      <w:r w:rsidR="00CF35DF">
        <w:t xml:space="preserve">SAMHSA </w:t>
      </w:r>
      <w:r>
        <w:t xml:space="preserve">staff, the Center </w:t>
      </w:r>
      <w:r w:rsidR="00451D27">
        <w:t>administrators,</w:t>
      </w:r>
      <w:r>
        <w:t xml:space="preserve"> </w:t>
      </w:r>
      <w:r w:rsidR="00A016C6">
        <w:t>Government Project Officers</w:t>
      </w:r>
      <w:r w:rsidR="00FD6723">
        <w:t xml:space="preserve"> (GPOs)</w:t>
      </w:r>
      <w:r>
        <w:t xml:space="preserve">, and grantees:  </w:t>
      </w:r>
    </w:p>
    <w:p w:rsidR="005A4A00" w:rsidP="005A4A00" w14:paraId="1AD3582A" w14:textId="77777777"/>
    <w:p w:rsidR="005A4A00" w:rsidP="005A4A00" w14:paraId="38EA0D70" w14:textId="77777777">
      <w:pPr>
        <w:ind w:left="720"/>
      </w:pPr>
      <w:r w:rsidRPr="5355D8B4">
        <w:rPr>
          <w:b/>
          <w:bCs/>
        </w:rPr>
        <w:t>Assistant Secretary</w:t>
      </w:r>
      <w:r w:rsidRPr="5355D8B4" w:rsidR="009C2CB6">
        <w:rPr>
          <w:b/>
          <w:bCs/>
        </w:rPr>
        <w:t xml:space="preserve"> </w:t>
      </w:r>
      <w:r w:rsidRPr="5355D8B4">
        <w:rPr>
          <w:b/>
          <w:bCs/>
        </w:rPr>
        <w:t>Level</w:t>
      </w:r>
      <w:r>
        <w:t xml:space="preserve"> – </w:t>
      </w:r>
      <w:r w:rsidR="009B00D5">
        <w:t>The information is used to inform the administration of the performance of the SOR/TOR programs.</w:t>
      </w:r>
      <w:r w:rsidR="0A4D4A23">
        <w:t xml:space="preserve"> </w:t>
      </w:r>
    </w:p>
    <w:p w:rsidR="0067073A" w:rsidP="005A4A00" w14:paraId="061254C9" w14:textId="77777777">
      <w:pPr>
        <w:ind w:firstLine="720"/>
      </w:pPr>
    </w:p>
    <w:p w:rsidR="005A4A00" w:rsidP="005A4A00" w14:paraId="084B675C" w14:textId="6418835A">
      <w:pPr>
        <w:ind w:left="720"/>
      </w:pPr>
      <w:r w:rsidRPr="00C42FF7">
        <w:rPr>
          <w:b/>
        </w:rPr>
        <w:t>C</w:t>
      </w:r>
      <w:r>
        <w:rPr>
          <w:b/>
        </w:rPr>
        <w:t xml:space="preserve">enter </w:t>
      </w:r>
      <w:r w:rsidRPr="00C42FF7">
        <w:rPr>
          <w:b/>
        </w:rPr>
        <w:t>Level</w:t>
      </w:r>
      <w:r w:rsidR="00354744">
        <w:t xml:space="preserve"> – </w:t>
      </w:r>
      <w:r>
        <w:t xml:space="preserve">In addition to </w:t>
      </w:r>
      <w:r w:rsidR="004754BA">
        <w:t xml:space="preserve">providing information about </w:t>
      </w:r>
      <w:r>
        <w:t xml:space="preserve">the performance of the </w:t>
      </w:r>
      <w:r w:rsidR="009B00D5">
        <w:t xml:space="preserve">SOR/TOR </w:t>
      </w:r>
      <w:r>
        <w:t xml:space="preserve">programs, the information </w:t>
      </w:r>
      <w:r w:rsidR="00262CB0">
        <w:t>is</w:t>
      </w:r>
      <w:r w:rsidR="004754BA">
        <w:t xml:space="preserve"> </w:t>
      </w:r>
      <w:r>
        <w:t>used to monitor and manage individual grant projects within each program</w:t>
      </w:r>
      <w:r w:rsidR="0083301F">
        <w:t xml:space="preserve">.  </w:t>
      </w:r>
      <w:r>
        <w:t xml:space="preserve">The information </w:t>
      </w:r>
      <w:r w:rsidR="00262CB0">
        <w:t>is</w:t>
      </w:r>
      <w:r w:rsidR="004754BA">
        <w:t xml:space="preserve"> used by</w:t>
      </w:r>
      <w:r>
        <w:t xml:space="preserve"> </w:t>
      </w:r>
      <w:r w:rsidR="004754BA">
        <w:t>GPOs</w:t>
      </w:r>
      <w:r>
        <w:t xml:space="preserve"> </w:t>
      </w:r>
      <w:r w:rsidR="004754BA">
        <w:t>to identify program strengths and weaknesses, to provide an informed basis for providing technical assistance and other support to grantees, to inform funding decisions, and to identify potential issues for additional evaluation</w:t>
      </w:r>
      <w:r w:rsidR="0008539A">
        <w:t>.</w:t>
      </w:r>
      <w:r>
        <w:t xml:space="preserve"> </w:t>
      </w:r>
    </w:p>
    <w:p w:rsidR="005A4A00" w:rsidP="005A4A00" w14:paraId="4FC8DAB6" w14:textId="77777777">
      <w:pPr>
        <w:ind w:firstLine="720"/>
      </w:pPr>
    </w:p>
    <w:p w:rsidR="005A4A00" w:rsidP="005A4A00" w14:paraId="677B4AFC" w14:textId="5A247F15">
      <w:pPr>
        <w:ind w:left="720"/>
      </w:pPr>
      <w:r w:rsidRPr="5355D8B4">
        <w:rPr>
          <w:b/>
          <w:bCs/>
        </w:rPr>
        <w:t>Grantee Level</w:t>
      </w:r>
      <w:r w:rsidR="00354744">
        <w:t xml:space="preserve"> – </w:t>
      </w:r>
      <w:r>
        <w:t xml:space="preserve">In addition to monitoring performance </w:t>
      </w:r>
      <w:r w:rsidR="00656DD3">
        <w:t xml:space="preserve">and </w:t>
      </w:r>
      <w:r>
        <w:t xml:space="preserve">outcomes, the grantee staff uses the information to improve the quality of </w:t>
      </w:r>
      <w:r w:rsidR="610CFDC5">
        <w:t>prevention</w:t>
      </w:r>
      <w:r w:rsidR="00577D68">
        <w:t>, education, harm reduction</w:t>
      </w:r>
      <w:r w:rsidR="00716574">
        <w:t>, treatment, and recovery support</w:t>
      </w:r>
      <w:r w:rsidR="00A60A4E">
        <w:t xml:space="preserve"> </w:t>
      </w:r>
      <w:r>
        <w:t xml:space="preserve">services provided to clients within their projects.  </w:t>
      </w:r>
    </w:p>
    <w:p w:rsidR="005A4A00" w:rsidP="005A4A00" w14:paraId="7FF8A1B3" w14:textId="77777777"/>
    <w:p w:rsidR="00280770" w:rsidP="005A4A00" w14:paraId="00604F69" w14:textId="452C1F3F">
      <w:bookmarkStart w:id="0" w:name="_Hlk71035741"/>
      <w:r>
        <w:t>SAMHSA and CSAT will use the</w:t>
      </w:r>
      <w:r w:rsidR="00FE4D04">
        <w:t>se</w:t>
      </w:r>
      <w:r>
        <w:t xml:space="preserve"> data to better assess grantee accountability and performance on the required </w:t>
      </w:r>
      <w:r w:rsidR="00717906">
        <w:t xml:space="preserve">prevention, </w:t>
      </w:r>
      <w:r w:rsidR="0001092A">
        <w:t>education,</w:t>
      </w:r>
      <w:r>
        <w:t xml:space="preserve"> </w:t>
      </w:r>
      <w:r w:rsidR="00717906">
        <w:t>harm reduction</w:t>
      </w:r>
      <w:r w:rsidR="00716574">
        <w:t>, treatment</w:t>
      </w:r>
      <w:r w:rsidR="0008539A">
        <w:t>,</w:t>
      </w:r>
      <w:r w:rsidR="00716574">
        <w:t xml:space="preserve"> and recovery support</w:t>
      </w:r>
      <w:r w:rsidR="00717906">
        <w:t xml:space="preserve"> </w:t>
      </w:r>
      <w:r>
        <w:t xml:space="preserve">activities for the SOR/TOR programs.  </w:t>
      </w:r>
      <w:r w:rsidR="00A712C3">
        <w:t>The</w:t>
      </w:r>
      <w:r w:rsidR="00DA61E6">
        <w:t xml:space="preserve"> revisions will assist SAMHSA in </w:t>
      </w:r>
      <w:bookmarkStart w:id="1" w:name="_Hlk71793456"/>
      <w:r w:rsidR="00DA61E6">
        <w:t>providing comprehensive data on the full range of required activities to inform Congressionally</w:t>
      </w:r>
      <w:r w:rsidR="00F57D8E">
        <w:t xml:space="preserve"> </w:t>
      </w:r>
      <w:r w:rsidR="00DA61E6">
        <w:t>mandated reports for the SOR program.</w:t>
      </w:r>
      <w:bookmarkStart w:id="2" w:name="_Hlk71036054"/>
      <w:bookmarkStart w:id="3" w:name="_Hlk71036231"/>
      <w:bookmarkEnd w:id="0"/>
      <w:bookmarkEnd w:id="2"/>
      <w:bookmarkEnd w:id="3"/>
    </w:p>
    <w:bookmarkEnd w:id="1"/>
    <w:p w:rsidR="00DA61E6" w:rsidP="00262CB0" w14:paraId="09D31A88" w14:textId="77777777">
      <w:pPr>
        <w:rPr>
          <w:b/>
          <w:u w:val="single"/>
        </w:rPr>
      </w:pPr>
    </w:p>
    <w:p w:rsidR="00262CB0" w:rsidRPr="00CD0B63" w:rsidP="00262CB0" w14:paraId="02AD8D68" w14:textId="77777777">
      <w:pPr>
        <w:rPr>
          <w:b/>
          <w:u w:val="single"/>
        </w:rPr>
      </w:pPr>
      <w:r w:rsidRPr="001063A0">
        <w:rPr>
          <w:b/>
          <w:u w:val="single"/>
        </w:rPr>
        <w:t>Proposed Changes to Data Collection Tool</w:t>
      </w:r>
    </w:p>
    <w:p w:rsidR="00262CB0" w:rsidP="00262CB0" w14:paraId="571680E6" w14:textId="77777777"/>
    <w:p w:rsidR="0076577C" w:rsidP="001B6C43" w14:paraId="7F2D646F" w14:textId="33070F54">
      <w:pPr>
        <w:widowControl w:val="0"/>
      </w:pPr>
      <w:r w:rsidRPr="003C3C94">
        <w:rPr>
          <w:color w:val="000000" w:themeColor="text1"/>
        </w:rPr>
        <w:t xml:space="preserve">SAMHSA is proposing </w:t>
      </w:r>
      <w:r w:rsidRPr="00EC6225">
        <w:rPr>
          <w:color w:val="000000" w:themeColor="text1"/>
        </w:rPr>
        <w:t>to</w:t>
      </w:r>
      <w:r w:rsidRPr="003C3C94">
        <w:rPr>
          <w:color w:val="000000" w:themeColor="text1"/>
        </w:rPr>
        <w:t xml:space="preserve"> revis</w:t>
      </w:r>
      <w:r w:rsidRPr="00EC6225">
        <w:rPr>
          <w:color w:val="000000" w:themeColor="text1"/>
        </w:rPr>
        <w:t xml:space="preserve">e the SOR/TOR Program Instrument </w:t>
      </w:r>
      <w:r w:rsidRPr="003C3C94">
        <w:rPr>
          <w:color w:val="000000" w:themeColor="text1"/>
        </w:rPr>
        <w:t>data collection instrument (OMB No. 0930-0384)</w:t>
      </w:r>
      <w:r w:rsidR="00F57D8E">
        <w:rPr>
          <w:color w:val="000000" w:themeColor="text1"/>
        </w:rPr>
        <w:t>,</w:t>
      </w:r>
      <w:r w:rsidRPr="003C3C94">
        <w:rPr>
          <w:color w:val="000000" w:themeColor="text1"/>
        </w:rPr>
        <w:t xml:space="preserve"> </w:t>
      </w:r>
      <w:r w:rsidRPr="00EC6225">
        <w:rPr>
          <w:color w:val="000000" w:themeColor="text1"/>
        </w:rPr>
        <w:t xml:space="preserve">to collect information on </w:t>
      </w:r>
      <w:r w:rsidRPr="00EC6225" w:rsidR="00451D27">
        <w:rPr>
          <w:color w:val="000000" w:themeColor="text1"/>
        </w:rPr>
        <w:t>Congressionally</w:t>
      </w:r>
      <w:r w:rsidR="00451D27">
        <w:t xml:space="preserve"> mandated</w:t>
      </w:r>
      <w:r w:rsidRPr="00007AA6">
        <w:t xml:space="preserve"> </w:t>
      </w:r>
      <w:r>
        <w:t xml:space="preserve">and programmatic </w:t>
      </w:r>
      <w:r w:rsidRPr="00007AA6" w:rsidR="007F5033">
        <w:t>activities</w:t>
      </w:r>
      <w:r w:rsidR="007F5033">
        <w:t xml:space="preserve"> and</w:t>
      </w:r>
      <w:r w:rsidRPr="00007AA6">
        <w:t xml:space="preserve"> </w:t>
      </w:r>
      <w:r>
        <w:t xml:space="preserve">comply with </w:t>
      </w:r>
      <w:r w:rsidRPr="00007AA6">
        <w:t>reporting requirements.</w:t>
      </w:r>
      <w:r w:rsidRPr="00C74897">
        <w:t xml:space="preserve"> </w:t>
      </w:r>
    </w:p>
    <w:p w:rsidR="00E42717" w:rsidP="001B6C43" w14:paraId="0B72FD80" w14:textId="77777777">
      <w:pPr>
        <w:widowControl w:val="0"/>
        <w:rPr>
          <w:szCs w:val="24"/>
        </w:rPr>
      </w:pPr>
    </w:p>
    <w:p w:rsidR="00A81DF2" w:rsidP="001B6C43" w14:paraId="4820B436" w14:textId="1C2935B0">
      <w:pPr>
        <w:widowControl w:val="0"/>
      </w:pPr>
      <w:r>
        <w:t xml:space="preserve">SOR/TOR grantees are required to engage in the following prevention </w:t>
      </w:r>
      <w:r w:rsidR="003501DB">
        <w:t xml:space="preserve">and education </w:t>
      </w:r>
      <w:r>
        <w:t xml:space="preserve">activities: </w:t>
      </w:r>
      <w:r w:rsidR="000B6374">
        <w:t xml:space="preserve">(1) </w:t>
      </w:r>
      <w:r w:rsidR="003C1A03">
        <w:t>t</w:t>
      </w:r>
      <w:r w:rsidR="002500F9">
        <w:t xml:space="preserve">rain peers, first responders, and other key community sectors on </w:t>
      </w:r>
      <w:r w:rsidR="00716574">
        <w:t xml:space="preserve">the </w:t>
      </w:r>
      <w:r w:rsidR="002500F9">
        <w:t>re</w:t>
      </w:r>
      <w:r w:rsidR="00BE0EBC">
        <w:t xml:space="preserve">cognition of opioid overdose and appropriate use of </w:t>
      </w:r>
      <w:r w:rsidR="00716574">
        <w:t xml:space="preserve">naloxone and other </w:t>
      </w:r>
      <w:r w:rsidR="00BE0EBC">
        <w:t>opioid overdose</w:t>
      </w:r>
      <w:r w:rsidR="00716574">
        <w:t xml:space="preserve"> reversal medications</w:t>
      </w:r>
      <w:r w:rsidR="00BE3F25">
        <w:t xml:space="preserve">; (2) </w:t>
      </w:r>
      <w:r w:rsidR="003C1A03">
        <w:t>d</w:t>
      </w:r>
      <w:r w:rsidR="00BE3F25">
        <w:t>evelop evidence-based community prevention efforts such as strategic messaging on the consequences of opioid and stimulant misuse;</w:t>
      </w:r>
      <w:r w:rsidR="00BF4651">
        <w:t xml:space="preserve"> (3)</w:t>
      </w:r>
      <w:r>
        <w:t xml:space="preserve"> </w:t>
      </w:r>
      <w:r w:rsidR="00716574">
        <w:t>implement evidence-based prevention interventions, involving schools, parents, and community programs</w:t>
      </w:r>
      <w:r w:rsidR="00BF4651">
        <w:t xml:space="preserve">; and (4) </w:t>
      </w:r>
      <w:r w:rsidR="003C1A03">
        <w:t>p</w:t>
      </w:r>
      <w:r w:rsidR="00BF4651">
        <w:t>urchase and distribute</w:t>
      </w:r>
      <w:r w:rsidR="00716574">
        <w:t xml:space="preserve"> naloxone and other opioid overdose reversal medications</w:t>
      </w:r>
      <w:r w:rsidR="00BF4651">
        <w:t xml:space="preserve"> based on the naloxone distribution </w:t>
      </w:r>
      <w:r w:rsidR="00CE38E8">
        <w:t>and saturation plan.</w:t>
      </w:r>
      <w:r w:rsidR="000A5BEF">
        <w:t xml:space="preserve"> </w:t>
      </w:r>
      <w:r w:rsidR="00FB2EB3">
        <w:t xml:space="preserve">Additionally, grantees are required to implement service delivery models that enable the full spectrum of treatment and recovery support services that facilitate positive treatment outcomes and long-term recovery from opioid and stimulant use disorders. </w:t>
      </w:r>
    </w:p>
    <w:p w:rsidR="00A81DF2" w:rsidP="001B6C43" w14:paraId="066770E2" w14:textId="77777777">
      <w:pPr>
        <w:widowControl w:val="0"/>
      </w:pPr>
    </w:p>
    <w:p w:rsidR="00F00D0A" w:rsidP="001B6C43" w14:paraId="4A35B5A9" w14:textId="1EE6BAB8">
      <w:pPr>
        <w:widowControl w:val="0"/>
      </w:pPr>
      <w:r>
        <w:t xml:space="preserve">The revised tool will </w:t>
      </w:r>
      <w:r w:rsidR="007F7CBD">
        <w:t xml:space="preserve">continue to </w:t>
      </w:r>
      <w:r>
        <w:t>allow SAMHSA to collect data on</w:t>
      </w:r>
      <w:r w:rsidR="00CD60E1">
        <w:t xml:space="preserve"> </w:t>
      </w:r>
      <w:r>
        <w:t>the required prevention</w:t>
      </w:r>
      <w:r w:rsidR="004B46B4">
        <w:t xml:space="preserve"> education</w:t>
      </w:r>
      <w:r w:rsidR="00D574E9">
        <w:t>, and harm reduction</w:t>
      </w:r>
      <w:r w:rsidR="00B83864">
        <w:t>, treatment, and recovery support</w:t>
      </w:r>
      <w:r>
        <w:t xml:space="preserve"> activities, and better assess grantee performance on these activities. </w:t>
      </w:r>
      <w:r w:rsidR="00CF729E">
        <w:t xml:space="preserve">Modifications were made to the program instrument </w:t>
      </w:r>
      <w:r w:rsidR="00526A6B">
        <w:t xml:space="preserve">to address the mandates included in Consolidated Appropriations Act, 2023 (42 U.S.C. § 300x–52(a)). </w:t>
      </w:r>
      <w:r w:rsidRPr="008C7855" w:rsidR="008A3AB2">
        <w:rPr>
          <w:szCs w:val="24"/>
        </w:rPr>
        <w:t xml:space="preserve">Grantees must provide a description of the sub-recipients of SOR and TOR grant funds and expenditure data, as mandated by the statute. </w:t>
      </w:r>
      <w:r w:rsidR="00FA474F">
        <w:t>The revise</w:t>
      </w:r>
      <w:r w:rsidR="002C42BA">
        <w:t>d</w:t>
      </w:r>
      <w:r w:rsidR="00FA474F">
        <w:t xml:space="preserve"> tool </w:t>
      </w:r>
      <w:r w:rsidR="002F45C9">
        <w:t xml:space="preserve">will include the </w:t>
      </w:r>
      <w:r w:rsidR="007F06EB">
        <w:t>sub-recipient</w:t>
      </w:r>
      <w:r w:rsidR="00FC6E6C">
        <w:t xml:space="preserve"> </w:t>
      </w:r>
      <w:r w:rsidR="00645115">
        <w:t xml:space="preserve">entity inventory table that will collect </w:t>
      </w:r>
      <w:r w:rsidR="006629D3">
        <w:t>information annually on the list of SOR</w:t>
      </w:r>
      <w:r w:rsidR="00CE0E84">
        <w:t xml:space="preserve">/TOR </w:t>
      </w:r>
      <w:r w:rsidR="006629D3">
        <w:t xml:space="preserve">grant sub-recipients, </w:t>
      </w:r>
      <w:r w:rsidR="00F826AE">
        <w:t xml:space="preserve">expenditure </w:t>
      </w:r>
      <w:r w:rsidR="56F4DF3E">
        <w:t>amounts</w:t>
      </w:r>
      <w:r w:rsidR="00F826AE">
        <w:t xml:space="preserve"> for</w:t>
      </w:r>
      <w:r w:rsidR="006629D3">
        <w:t xml:space="preserve"> each sub-recipient, and the types of services provided by each</w:t>
      </w:r>
      <w:r w:rsidR="00CE0E84">
        <w:t xml:space="preserve"> </w:t>
      </w:r>
      <w:r w:rsidR="006629D3">
        <w:t>sub-recipient.</w:t>
      </w:r>
      <w:r w:rsidR="00DD6FAC">
        <w:t xml:space="preserve"> </w:t>
      </w:r>
      <w:r>
        <w:t xml:space="preserve">Treatment and recovery services questions were previously </w:t>
      </w:r>
      <w:r w:rsidR="00605E39">
        <w:t xml:space="preserve">reported by the grantees biannually in the performance progress reports. Adding these questions to the instrument will enable SAMHSA to provide comprehensive data on </w:t>
      </w:r>
      <w:r w:rsidR="000A5AFB">
        <w:t>the full range of required activities to inform Congressionally mandated reports for the SOR and TOR programs</w:t>
      </w:r>
      <w:r w:rsidR="001D210F">
        <w:t xml:space="preserve"> quarterly in a structured format.</w:t>
      </w:r>
    </w:p>
    <w:p w:rsidR="00F00D0A" w:rsidP="001B6C43" w14:paraId="02F9DE75" w14:textId="77777777">
      <w:pPr>
        <w:widowControl w:val="0"/>
        <w:rPr>
          <w:szCs w:val="24"/>
        </w:rPr>
      </w:pPr>
    </w:p>
    <w:p w:rsidR="00E42717" w:rsidRPr="00280770" w:rsidP="0E2F1544" w14:paraId="09083287" w14:textId="77777777">
      <w:pPr>
        <w:widowControl w:val="0"/>
        <w:rPr>
          <w:color w:val="000000" w:themeColor="text1"/>
        </w:rPr>
      </w:pPr>
      <w:r w:rsidRPr="0E2F1544">
        <w:rPr>
          <w:color w:val="000000" w:themeColor="text1"/>
        </w:rPr>
        <w:t>Summary of Proposed Changes:</w:t>
      </w:r>
    </w:p>
    <w:p w:rsidR="0E2F1544" w:rsidP="0E2F1544" w14:paraId="1A8724CF" w14:textId="77777777">
      <w:pPr>
        <w:rPr>
          <w:color w:val="000000" w:themeColor="text1"/>
          <w:szCs w:val="24"/>
        </w:rPr>
      </w:pPr>
    </w:p>
    <w:p w:rsidR="00A6741A" w:rsidP="004A6E78" w14:paraId="4D6E1397" w14:textId="1B7D7AFA">
      <w:pPr>
        <w:rPr>
          <w:color w:val="000000" w:themeColor="text1"/>
        </w:rPr>
      </w:pPr>
      <w:r w:rsidRPr="0E2F1544">
        <w:rPr>
          <w:color w:val="000000" w:themeColor="text1"/>
        </w:rPr>
        <w:t xml:space="preserve">The </w:t>
      </w:r>
      <w:r>
        <w:rPr>
          <w:color w:val="000000" w:themeColor="text1"/>
        </w:rPr>
        <w:t>current</w:t>
      </w:r>
      <w:r w:rsidRPr="0E2F1544">
        <w:rPr>
          <w:color w:val="000000" w:themeColor="text1"/>
        </w:rPr>
        <w:t xml:space="preserve"> </w:t>
      </w:r>
      <w:r w:rsidRPr="0E2F1544" w:rsidR="268D5631">
        <w:rPr>
          <w:color w:val="000000" w:themeColor="text1"/>
        </w:rPr>
        <w:t xml:space="preserve">SOR/TOR program instrument </w:t>
      </w:r>
      <w:r>
        <w:rPr>
          <w:color w:val="000000" w:themeColor="text1"/>
        </w:rPr>
        <w:t>has 12</w:t>
      </w:r>
      <w:r w:rsidRPr="0E2F1544">
        <w:rPr>
          <w:color w:val="000000" w:themeColor="text1"/>
        </w:rPr>
        <w:t xml:space="preserve"> questions</w:t>
      </w:r>
      <w:r w:rsidRPr="0E2F1544" w:rsidR="17E66785">
        <w:rPr>
          <w:color w:val="000000" w:themeColor="text1"/>
        </w:rPr>
        <w:t>. SAMHSA</w:t>
      </w:r>
      <w:r w:rsidRPr="0E2F1544" w:rsidR="0DDAC9F5">
        <w:rPr>
          <w:color w:val="000000" w:themeColor="text1"/>
        </w:rPr>
        <w:t xml:space="preserve"> is proposing to</w:t>
      </w:r>
      <w:r w:rsidRPr="0E2F1544" w:rsidR="17E66785">
        <w:rPr>
          <w:color w:val="000000" w:themeColor="text1"/>
        </w:rPr>
        <w:t xml:space="preserve"> </w:t>
      </w:r>
      <w:r>
        <w:rPr>
          <w:color w:val="000000" w:themeColor="text1"/>
        </w:rPr>
        <w:t xml:space="preserve">(1) </w:t>
      </w:r>
      <w:r w:rsidR="0077038B">
        <w:rPr>
          <w:color w:val="000000" w:themeColor="text1"/>
        </w:rPr>
        <w:t xml:space="preserve">broaden language </w:t>
      </w:r>
      <w:r w:rsidR="00205123">
        <w:rPr>
          <w:color w:val="000000" w:themeColor="text1"/>
        </w:rPr>
        <w:t xml:space="preserve">from ‘naloxone’ to ‘naloxone and other opioid overdose reversal medications’ </w:t>
      </w:r>
      <w:r w:rsidR="00205123">
        <w:rPr>
          <w:color w:val="000000" w:themeColor="text1"/>
        </w:rPr>
        <w:t xml:space="preserve">due to availability of new FDA-approved non-naloxone </w:t>
      </w:r>
      <w:r w:rsidR="00FE4D04">
        <w:rPr>
          <w:color w:val="000000" w:themeColor="text1"/>
        </w:rPr>
        <w:t xml:space="preserve">opioid </w:t>
      </w:r>
      <w:r w:rsidR="00205123">
        <w:rPr>
          <w:color w:val="000000" w:themeColor="text1"/>
        </w:rPr>
        <w:t>overdose reversal medications</w:t>
      </w:r>
      <w:r w:rsidR="00885AD5">
        <w:rPr>
          <w:color w:val="000000" w:themeColor="text1"/>
        </w:rPr>
        <w:t>; (2) broaden language from ‘fentanyl test strips’ to ‘drug checking technologies as directed by SAMHSA</w:t>
      </w:r>
      <w:r w:rsidR="00151283">
        <w:rPr>
          <w:color w:val="000000" w:themeColor="text1"/>
        </w:rPr>
        <w:t xml:space="preserve"> due to the availability of new </w:t>
      </w:r>
      <w:r w:rsidRPr="00151283" w:rsidR="00151283">
        <w:rPr>
          <w:color w:val="000000" w:themeColor="text1"/>
        </w:rPr>
        <w:t>drug checking technology, including test strips for other emerging substances</w:t>
      </w:r>
      <w:r w:rsidR="00151283">
        <w:rPr>
          <w:color w:val="000000" w:themeColor="text1"/>
        </w:rPr>
        <w:t>; (3)</w:t>
      </w:r>
      <w:r w:rsidR="00D57029">
        <w:rPr>
          <w:color w:val="000000" w:themeColor="text1"/>
        </w:rPr>
        <w:t xml:space="preserve"> add</w:t>
      </w:r>
      <w:r w:rsidR="000505A3">
        <w:rPr>
          <w:color w:val="000000" w:themeColor="text1"/>
        </w:rPr>
        <w:t xml:space="preserve"> five questions to collect treatment and recovery support data that was previously reported biannually in the performance progress reports;</w:t>
      </w:r>
      <w:r w:rsidR="00697C9E">
        <w:rPr>
          <w:color w:val="000000" w:themeColor="text1"/>
        </w:rPr>
        <w:t xml:space="preserve"> </w:t>
      </w:r>
      <w:r w:rsidR="007E16EC">
        <w:rPr>
          <w:color w:val="000000" w:themeColor="text1"/>
        </w:rPr>
        <w:t xml:space="preserve">(4) </w:t>
      </w:r>
      <w:r w:rsidR="007E16EC">
        <w:t>add one question to collect data on clients who received contingency management for</w:t>
      </w:r>
      <w:r w:rsidR="00144E10">
        <w:t xml:space="preserve"> the treatment of</w:t>
      </w:r>
      <w:r w:rsidR="007E16EC">
        <w:t xml:space="preserve"> stimulant use disorder; </w:t>
      </w:r>
      <w:r w:rsidR="00697C9E">
        <w:rPr>
          <w:color w:val="000000" w:themeColor="text1"/>
        </w:rPr>
        <w:t>(</w:t>
      </w:r>
      <w:r w:rsidR="007E16EC">
        <w:rPr>
          <w:color w:val="000000" w:themeColor="text1"/>
        </w:rPr>
        <w:t>5</w:t>
      </w:r>
      <w:r w:rsidR="00697C9E">
        <w:rPr>
          <w:color w:val="000000" w:themeColor="text1"/>
        </w:rPr>
        <w:t xml:space="preserve">) add a </w:t>
      </w:r>
      <w:r w:rsidR="006112A0">
        <w:rPr>
          <w:color w:val="000000" w:themeColor="text1"/>
        </w:rPr>
        <w:t>sub-recipient</w:t>
      </w:r>
      <w:r w:rsidR="00697C9E">
        <w:rPr>
          <w:color w:val="000000" w:themeColor="text1"/>
        </w:rPr>
        <w:t xml:space="preserve"> entity inventory table to collect </w:t>
      </w:r>
      <w:r w:rsidR="000B5295">
        <w:rPr>
          <w:color w:val="000000" w:themeColor="text1"/>
        </w:rPr>
        <w:t>expenditure data</w:t>
      </w:r>
      <w:r w:rsidR="00BE00E9">
        <w:rPr>
          <w:color w:val="000000" w:themeColor="text1"/>
        </w:rPr>
        <w:t xml:space="preserve"> for each</w:t>
      </w:r>
      <w:r w:rsidR="0030615C">
        <w:rPr>
          <w:color w:val="000000" w:themeColor="text1"/>
        </w:rPr>
        <w:t xml:space="preserve"> </w:t>
      </w:r>
      <w:r w:rsidR="003F6366">
        <w:rPr>
          <w:color w:val="000000" w:themeColor="text1"/>
        </w:rPr>
        <w:t xml:space="preserve">sub-recipient </w:t>
      </w:r>
      <w:r w:rsidR="00B0667B">
        <w:rPr>
          <w:color w:val="000000" w:themeColor="text1"/>
        </w:rPr>
        <w:t xml:space="preserve">in response to the </w:t>
      </w:r>
      <w:r w:rsidRPr="00C87412" w:rsidR="001053C2">
        <w:rPr>
          <w:szCs w:val="24"/>
        </w:rPr>
        <w:t>Consolidated Appropriations Act, 2023 (42 U.S.C. § 300x–52(a))</w:t>
      </w:r>
      <w:r w:rsidR="001053C2">
        <w:rPr>
          <w:szCs w:val="24"/>
        </w:rPr>
        <w:t xml:space="preserve">; </w:t>
      </w:r>
      <w:r w:rsidR="00151283">
        <w:rPr>
          <w:color w:val="000000" w:themeColor="text1"/>
        </w:rPr>
        <w:t xml:space="preserve"> </w:t>
      </w:r>
      <w:r w:rsidR="00D57029">
        <w:rPr>
          <w:color w:val="000000" w:themeColor="text1"/>
        </w:rPr>
        <w:t>(</w:t>
      </w:r>
      <w:r w:rsidR="007E16EC">
        <w:rPr>
          <w:color w:val="000000" w:themeColor="text1"/>
        </w:rPr>
        <w:t>6</w:t>
      </w:r>
      <w:r w:rsidR="00D57029">
        <w:rPr>
          <w:color w:val="000000" w:themeColor="text1"/>
        </w:rPr>
        <w:t xml:space="preserve">) </w:t>
      </w:r>
      <w:r w:rsidR="00700631">
        <w:rPr>
          <w:color w:val="000000" w:themeColor="text1"/>
        </w:rPr>
        <w:t xml:space="preserve">combine </w:t>
      </w:r>
      <w:r w:rsidR="00182A6F">
        <w:rPr>
          <w:color w:val="000000" w:themeColor="text1"/>
        </w:rPr>
        <w:t>four questions with similar themes into two questions for clarity</w:t>
      </w:r>
      <w:r w:rsidR="001F7589">
        <w:rPr>
          <w:color w:val="000000" w:themeColor="text1"/>
        </w:rPr>
        <w:t>; (</w:t>
      </w:r>
      <w:r w:rsidR="007E16EC">
        <w:rPr>
          <w:color w:val="000000" w:themeColor="text1"/>
        </w:rPr>
        <w:t>7</w:t>
      </w:r>
      <w:r w:rsidR="001F7589">
        <w:rPr>
          <w:color w:val="000000" w:themeColor="text1"/>
        </w:rPr>
        <w:t xml:space="preserve">) remove question 12 because it is </w:t>
      </w:r>
      <w:r w:rsidR="00C9061F">
        <w:rPr>
          <w:color w:val="000000" w:themeColor="text1"/>
        </w:rPr>
        <w:t xml:space="preserve">comprised of more than one question that has </w:t>
      </w:r>
      <w:r w:rsidR="006D2CB3">
        <w:rPr>
          <w:color w:val="000000" w:themeColor="text1"/>
        </w:rPr>
        <w:t>several</w:t>
      </w:r>
      <w:r w:rsidR="00C9061F">
        <w:rPr>
          <w:color w:val="000000" w:themeColor="text1"/>
        </w:rPr>
        <w:t xml:space="preserve"> different ideas</w:t>
      </w:r>
      <w:r w:rsidR="0006157C">
        <w:rPr>
          <w:color w:val="000000" w:themeColor="text1"/>
        </w:rPr>
        <w:t xml:space="preserve">, making </w:t>
      </w:r>
      <w:r w:rsidR="00AD7933">
        <w:rPr>
          <w:color w:val="000000" w:themeColor="text1"/>
        </w:rPr>
        <w:t>it unsuited for this instrument; and (</w:t>
      </w:r>
      <w:r w:rsidR="007E16EC">
        <w:rPr>
          <w:color w:val="000000" w:themeColor="text1"/>
        </w:rPr>
        <w:t>8</w:t>
      </w:r>
      <w:r w:rsidR="00AD7933">
        <w:rPr>
          <w:color w:val="000000" w:themeColor="text1"/>
        </w:rPr>
        <w:t xml:space="preserve">) add one question </w:t>
      </w:r>
      <w:r w:rsidR="00192A06">
        <w:rPr>
          <w:color w:val="000000" w:themeColor="text1"/>
        </w:rPr>
        <w:t>at the request of ONDCP</w:t>
      </w:r>
      <w:r w:rsidRPr="004078BF" w:rsidR="004078BF">
        <w:rPr>
          <w:color w:val="000000" w:themeColor="text1"/>
        </w:rPr>
        <w:t xml:space="preserve"> to collect information on Congressionally mandated and programmatic activities and comply with reporting requirements</w:t>
      </w:r>
      <w:r w:rsidR="00192A06">
        <w:rPr>
          <w:color w:val="000000" w:themeColor="text1"/>
        </w:rPr>
        <w:t>.</w:t>
      </w:r>
      <w:r w:rsidR="00832F16">
        <w:rPr>
          <w:color w:val="000000" w:themeColor="text1"/>
        </w:rPr>
        <w:t xml:space="preserve"> The revised instrument </w:t>
      </w:r>
      <w:r w:rsidR="00AB2570">
        <w:rPr>
          <w:color w:val="000000" w:themeColor="text1"/>
        </w:rPr>
        <w:t xml:space="preserve">will </w:t>
      </w:r>
      <w:r w:rsidR="00E36906">
        <w:rPr>
          <w:color w:val="000000" w:themeColor="text1"/>
        </w:rPr>
        <w:t xml:space="preserve">collect </w:t>
      </w:r>
      <w:r w:rsidR="005978EF">
        <w:rPr>
          <w:color w:val="000000" w:themeColor="text1"/>
        </w:rPr>
        <w:t xml:space="preserve">data on new medications and technologies, and </w:t>
      </w:r>
      <w:r w:rsidR="00E36906">
        <w:rPr>
          <w:color w:val="000000" w:themeColor="text1"/>
        </w:rPr>
        <w:t xml:space="preserve">provide </w:t>
      </w:r>
      <w:r w:rsidR="005978EF">
        <w:rPr>
          <w:color w:val="000000" w:themeColor="text1"/>
        </w:rPr>
        <w:t>clarification on prevention</w:t>
      </w:r>
      <w:r w:rsidR="006E1CC5">
        <w:rPr>
          <w:color w:val="000000" w:themeColor="text1"/>
        </w:rPr>
        <w:t xml:space="preserve">, </w:t>
      </w:r>
      <w:r w:rsidR="005978EF">
        <w:rPr>
          <w:color w:val="000000" w:themeColor="text1"/>
        </w:rPr>
        <w:t>education</w:t>
      </w:r>
      <w:r w:rsidR="006E1CC5">
        <w:rPr>
          <w:color w:val="000000" w:themeColor="text1"/>
        </w:rPr>
        <w:t>, harm reduction</w:t>
      </w:r>
      <w:r w:rsidR="00DD3883">
        <w:rPr>
          <w:color w:val="000000" w:themeColor="text1"/>
        </w:rPr>
        <w:t>, treatment, and recovery support</w:t>
      </w:r>
      <w:r w:rsidR="005978EF">
        <w:rPr>
          <w:color w:val="000000" w:themeColor="text1"/>
        </w:rPr>
        <w:t xml:space="preserve"> activities</w:t>
      </w:r>
      <w:r w:rsidR="00DC1143">
        <w:rPr>
          <w:color w:val="000000" w:themeColor="text1"/>
        </w:rPr>
        <w:t xml:space="preserve">. Additionally, the revised instrument will </w:t>
      </w:r>
      <w:r w:rsidR="003C4A42">
        <w:rPr>
          <w:color w:val="000000" w:themeColor="text1"/>
        </w:rPr>
        <w:t xml:space="preserve">continue to </w:t>
      </w:r>
      <w:r w:rsidR="00C4676F">
        <w:rPr>
          <w:color w:val="000000" w:themeColor="text1"/>
        </w:rPr>
        <w:t xml:space="preserve">improve </w:t>
      </w:r>
      <w:r w:rsidR="00EA3E33">
        <w:rPr>
          <w:color w:val="000000" w:themeColor="text1"/>
        </w:rPr>
        <w:t xml:space="preserve">SAMHSA’s ability to assess </w:t>
      </w:r>
      <w:r w:rsidR="00DC1143">
        <w:rPr>
          <w:color w:val="000000" w:themeColor="text1"/>
        </w:rPr>
        <w:t xml:space="preserve">grantee accountability and performance on the required </w:t>
      </w:r>
      <w:r w:rsidR="003441B6">
        <w:rPr>
          <w:color w:val="000000" w:themeColor="text1"/>
        </w:rPr>
        <w:t>prevention</w:t>
      </w:r>
      <w:r w:rsidR="00C23FF0">
        <w:rPr>
          <w:color w:val="000000" w:themeColor="text1"/>
        </w:rPr>
        <w:t xml:space="preserve">, </w:t>
      </w:r>
      <w:r w:rsidR="004B46B4">
        <w:rPr>
          <w:color w:val="000000" w:themeColor="text1"/>
        </w:rPr>
        <w:t>education</w:t>
      </w:r>
      <w:r w:rsidR="00C23FF0">
        <w:rPr>
          <w:color w:val="000000" w:themeColor="text1"/>
        </w:rPr>
        <w:t>, harm reduction</w:t>
      </w:r>
      <w:r w:rsidR="004B5681">
        <w:rPr>
          <w:color w:val="000000" w:themeColor="text1"/>
        </w:rPr>
        <w:t>, treatment</w:t>
      </w:r>
      <w:r w:rsidR="00C550BF">
        <w:rPr>
          <w:color w:val="000000" w:themeColor="text1"/>
        </w:rPr>
        <w:t>,</w:t>
      </w:r>
      <w:r w:rsidR="004B5681">
        <w:rPr>
          <w:color w:val="000000" w:themeColor="text1"/>
        </w:rPr>
        <w:t xml:space="preserve"> and recovery support</w:t>
      </w:r>
      <w:r w:rsidR="003441B6">
        <w:rPr>
          <w:color w:val="000000" w:themeColor="text1"/>
        </w:rPr>
        <w:t xml:space="preserve"> activities for the SOR/TOR programs</w:t>
      </w:r>
      <w:r w:rsidR="00A74F20">
        <w:rPr>
          <w:color w:val="000000" w:themeColor="text1"/>
        </w:rPr>
        <w:t>; and provide comprehensive data on the full range of required activities, to inform Congressionally</w:t>
      </w:r>
      <w:r w:rsidR="00B16FC3">
        <w:rPr>
          <w:color w:val="000000" w:themeColor="text1"/>
        </w:rPr>
        <w:t xml:space="preserve"> </w:t>
      </w:r>
      <w:r w:rsidR="00A74F20">
        <w:rPr>
          <w:color w:val="000000" w:themeColor="text1"/>
        </w:rPr>
        <w:t>mandated reports for the SOR program</w:t>
      </w:r>
      <w:r w:rsidR="005978EF">
        <w:rPr>
          <w:color w:val="000000" w:themeColor="text1"/>
        </w:rPr>
        <w:t xml:space="preserve">. </w:t>
      </w:r>
    </w:p>
    <w:p w:rsidR="004A6E78" w:rsidP="004A6E78" w14:paraId="7B0C747F" w14:textId="77777777"/>
    <w:p w:rsidR="005978EF" w:rsidP="0E2F1544" w14:paraId="56F4D8D8" w14:textId="59D64788">
      <w:pPr>
        <w:rPr>
          <w:color w:val="000000" w:themeColor="text1"/>
          <w:szCs w:val="24"/>
        </w:rPr>
      </w:pPr>
      <w:r>
        <w:rPr>
          <w:color w:val="000000" w:themeColor="text1"/>
          <w:szCs w:val="24"/>
        </w:rPr>
        <w:t xml:space="preserve">As a result of </w:t>
      </w:r>
      <w:r w:rsidR="00D51863">
        <w:rPr>
          <w:color w:val="000000" w:themeColor="text1"/>
          <w:szCs w:val="24"/>
        </w:rPr>
        <w:t xml:space="preserve">the </w:t>
      </w:r>
      <w:r w:rsidR="00381CE3">
        <w:rPr>
          <w:color w:val="000000" w:themeColor="text1"/>
          <w:szCs w:val="24"/>
        </w:rPr>
        <w:t xml:space="preserve">revisions, SOR/TOR grantees will submit data on the following outcome measures: </w:t>
      </w:r>
    </w:p>
    <w:p w:rsidR="0E2F1544" w:rsidRPr="006803C1" w:rsidP="0E2F1544" w14:paraId="79F30190" w14:textId="77777777">
      <w:pPr>
        <w:rPr>
          <w:color w:val="000000" w:themeColor="text1"/>
          <w:szCs w:val="24"/>
        </w:rPr>
      </w:pPr>
    </w:p>
    <w:p w:rsidR="00DB5838" w:rsidP="004A33A7" w14:paraId="29C5AD5E" w14:textId="0A92C4DC">
      <w:pPr>
        <w:pStyle w:val="ListParagraph"/>
        <w:numPr>
          <w:ilvl w:val="0"/>
          <w:numId w:val="31"/>
        </w:numPr>
        <w:tabs>
          <w:tab w:val="left" w:pos="3370"/>
        </w:tabs>
        <w:spacing w:after="120"/>
        <w:ind w:right="-907"/>
        <w:outlineLvl w:val="0"/>
        <w:rPr>
          <w:szCs w:val="24"/>
        </w:rPr>
      </w:pPr>
      <w:bookmarkStart w:id="4" w:name="_Hlk156375688"/>
      <w:r>
        <w:rPr>
          <w:szCs w:val="24"/>
        </w:rPr>
        <w:t xml:space="preserve">Purchase </w:t>
      </w:r>
      <w:r>
        <w:rPr>
          <w:szCs w:val="24"/>
        </w:rPr>
        <w:t xml:space="preserve">and distribution of naloxone and other opioid overdose reversal </w:t>
      </w:r>
      <w:r>
        <w:rPr>
          <w:szCs w:val="24"/>
        </w:rPr>
        <w:t>m</w:t>
      </w:r>
      <w:r w:rsidR="00524A85">
        <w:rPr>
          <w:szCs w:val="24"/>
        </w:rPr>
        <w:t>edications</w:t>
      </w:r>
      <w:r w:rsidR="00E32C4D">
        <w:rPr>
          <w:szCs w:val="24"/>
        </w:rPr>
        <w:t>;</w:t>
      </w:r>
    </w:p>
    <w:p w:rsidR="00C74897" w:rsidP="004A33A7" w14:paraId="74658D1C" w14:textId="50C6291D">
      <w:pPr>
        <w:pStyle w:val="ListParagraph"/>
        <w:numPr>
          <w:ilvl w:val="0"/>
          <w:numId w:val="31"/>
        </w:numPr>
        <w:tabs>
          <w:tab w:val="left" w:pos="3370"/>
        </w:tabs>
        <w:spacing w:after="120"/>
        <w:ind w:right="-907"/>
        <w:outlineLvl w:val="0"/>
        <w:rPr>
          <w:szCs w:val="24"/>
        </w:rPr>
      </w:pPr>
      <w:r>
        <w:rPr>
          <w:szCs w:val="24"/>
        </w:rPr>
        <w:t xml:space="preserve">Types of entities </w:t>
      </w:r>
      <w:r w:rsidR="005B65D1">
        <w:rPr>
          <w:szCs w:val="24"/>
        </w:rPr>
        <w:t xml:space="preserve">that distribute </w:t>
      </w:r>
      <w:r w:rsidR="00524A85">
        <w:rPr>
          <w:szCs w:val="24"/>
        </w:rPr>
        <w:t xml:space="preserve">naloxone and other </w:t>
      </w:r>
      <w:r w:rsidR="002E5739">
        <w:rPr>
          <w:szCs w:val="24"/>
        </w:rPr>
        <w:t xml:space="preserve">opioid </w:t>
      </w:r>
      <w:r w:rsidRPr="005B65D1" w:rsidR="005B65D1">
        <w:rPr>
          <w:szCs w:val="24"/>
        </w:rPr>
        <w:t xml:space="preserve">overdose reversal </w:t>
      </w:r>
      <w:r w:rsidRPr="005B65D1" w:rsidR="005B65D1">
        <w:rPr>
          <w:szCs w:val="24"/>
        </w:rPr>
        <w:t>medications</w:t>
      </w:r>
      <w:r w:rsidR="00E32C4D">
        <w:rPr>
          <w:szCs w:val="24"/>
        </w:rPr>
        <w:t>;</w:t>
      </w:r>
    </w:p>
    <w:p w:rsidR="00524A85" w:rsidP="004A33A7" w14:paraId="74240B44" w14:textId="3F877B9B">
      <w:pPr>
        <w:pStyle w:val="ListParagraph"/>
        <w:numPr>
          <w:ilvl w:val="0"/>
          <w:numId w:val="31"/>
        </w:numPr>
        <w:tabs>
          <w:tab w:val="left" w:pos="3370"/>
        </w:tabs>
        <w:spacing w:after="120"/>
        <w:ind w:right="-907"/>
        <w:outlineLvl w:val="0"/>
        <w:rPr>
          <w:szCs w:val="24"/>
        </w:rPr>
      </w:pPr>
      <w:r>
        <w:rPr>
          <w:szCs w:val="24"/>
        </w:rPr>
        <w:t xml:space="preserve">Purchase and distribution of drug checking technologies as directed by </w:t>
      </w:r>
      <w:r>
        <w:rPr>
          <w:szCs w:val="24"/>
        </w:rPr>
        <w:t>SAMHSA</w:t>
      </w:r>
      <w:r w:rsidR="00E32C4D">
        <w:rPr>
          <w:szCs w:val="24"/>
        </w:rPr>
        <w:t>;</w:t>
      </w:r>
    </w:p>
    <w:p w:rsidR="000E3820" w:rsidP="004A33A7" w14:paraId="2B3F0D71" w14:textId="0A41D9A4">
      <w:pPr>
        <w:pStyle w:val="ListParagraph"/>
        <w:numPr>
          <w:ilvl w:val="0"/>
          <w:numId w:val="31"/>
        </w:numPr>
        <w:tabs>
          <w:tab w:val="left" w:pos="3370"/>
        </w:tabs>
        <w:spacing w:after="120"/>
        <w:ind w:right="-907"/>
        <w:outlineLvl w:val="0"/>
        <w:rPr>
          <w:szCs w:val="24"/>
        </w:rPr>
      </w:pPr>
      <w:r>
        <w:rPr>
          <w:szCs w:val="24"/>
        </w:rPr>
        <w:t xml:space="preserve">Train </w:t>
      </w:r>
      <w:r w:rsidR="00317484">
        <w:rPr>
          <w:szCs w:val="24"/>
        </w:rPr>
        <w:t xml:space="preserve">first responders and individuals in key community sectors on recognizing </w:t>
      </w:r>
      <w:r w:rsidR="005F2A15">
        <w:rPr>
          <w:szCs w:val="24"/>
        </w:rPr>
        <w:t xml:space="preserve">an opioid overdose </w:t>
      </w:r>
      <w:r w:rsidR="00E32C4D">
        <w:rPr>
          <w:szCs w:val="24"/>
        </w:rPr>
        <w:t xml:space="preserve">and appropriate use of naloxone and other opioid overdose reversal </w:t>
      </w:r>
      <w:r w:rsidR="00E32C4D">
        <w:rPr>
          <w:szCs w:val="24"/>
        </w:rPr>
        <w:t>medication</w:t>
      </w:r>
      <w:r w:rsidR="000013AA">
        <w:rPr>
          <w:szCs w:val="24"/>
        </w:rPr>
        <w:t>s</w:t>
      </w:r>
      <w:r w:rsidR="00E32C4D">
        <w:rPr>
          <w:szCs w:val="24"/>
        </w:rPr>
        <w:t>;</w:t>
      </w:r>
    </w:p>
    <w:p w:rsidR="00115609" w:rsidP="004A33A7" w14:paraId="58ABEFD2" w14:textId="3C38BC6D">
      <w:pPr>
        <w:pStyle w:val="ListParagraph"/>
        <w:numPr>
          <w:ilvl w:val="0"/>
          <w:numId w:val="31"/>
        </w:numPr>
        <w:tabs>
          <w:tab w:val="left" w:pos="3370"/>
        </w:tabs>
        <w:spacing w:after="120"/>
        <w:ind w:right="-907"/>
        <w:outlineLvl w:val="0"/>
        <w:rPr>
          <w:szCs w:val="24"/>
        </w:rPr>
      </w:pPr>
      <w:r>
        <w:rPr>
          <w:szCs w:val="24"/>
        </w:rPr>
        <w:t>Educate individuals</w:t>
      </w:r>
      <w:r w:rsidR="00C60F77">
        <w:rPr>
          <w:szCs w:val="24"/>
        </w:rPr>
        <w:t xml:space="preserve"> on the consequences of opioid and/or stimulant mi</w:t>
      </w:r>
      <w:r w:rsidR="00D37A5A">
        <w:rPr>
          <w:szCs w:val="24"/>
        </w:rPr>
        <w:t>s</w:t>
      </w:r>
      <w:r w:rsidR="00DE411C">
        <w:rPr>
          <w:szCs w:val="24"/>
        </w:rPr>
        <w:t>use</w:t>
      </w:r>
      <w:r w:rsidR="000E6ADA">
        <w:rPr>
          <w:szCs w:val="24"/>
        </w:rPr>
        <w:t>, using strategic messaging</w:t>
      </w:r>
      <w:r w:rsidR="00E649DB">
        <w:rPr>
          <w:szCs w:val="24"/>
        </w:rPr>
        <w:t>,</w:t>
      </w:r>
      <w:r w:rsidR="00D5135C">
        <w:rPr>
          <w:szCs w:val="24"/>
        </w:rPr>
        <w:t xml:space="preserve"> and prevention </w:t>
      </w:r>
      <w:r w:rsidR="00EA64DB">
        <w:rPr>
          <w:szCs w:val="24"/>
        </w:rPr>
        <w:t xml:space="preserve">and education </w:t>
      </w:r>
      <w:r w:rsidR="00D5135C">
        <w:rPr>
          <w:szCs w:val="24"/>
        </w:rPr>
        <w:t>activities;</w:t>
      </w:r>
      <w:r w:rsidR="00D5135C">
        <w:rPr>
          <w:szCs w:val="24"/>
        </w:rPr>
        <w:t xml:space="preserve"> </w:t>
      </w:r>
    </w:p>
    <w:p w:rsidR="00DD3883" w:rsidP="004A33A7" w14:paraId="1479FD06" w14:textId="77777777">
      <w:pPr>
        <w:pStyle w:val="ListParagraph"/>
        <w:numPr>
          <w:ilvl w:val="0"/>
          <w:numId w:val="31"/>
        </w:numPr>
        <w:tabs>
          <w:tab w:val="left" w:pos="3370"/>
        </w:tabs>
        <w:spacing w:after="120"/>
        <w:ind w:right="-907"/>
        <w:outlineLvl w:val="0"/>
        <w:rPr>
          <w:szCs w:val="24"/>
        </w:rPr>
      </w:pPr>
      <w:r>
        <w:rPr>
          <w:szCs w:val="24"/>
        </w:rPr>
        <w:t>Educate school-aged children on the consequences of opioid and/or stimulant misuse</w:t>
      </w:r>
      <w:r w:rsidR="009637E8">
        <w:rPr>
          <w:szCs w:val="24"/>
        </w:rPr>
        <w:t xml:space="preserve">, </w:t>
      </w:r>
      <w:r w:rsidR="00BE174B">
        <w:rPr>
          <w:szCs w:val="24"/>
        </w:rPr>
        <w:t xml:space="preserve">using school-based </w:t>
      </w:r>
      <w:r w:rsidR="00324D7D">
        <w:rPr>
          <w:szCs w:val="24"/>
        </w:rPr>
        <w:t xml:space="preserve">prevention and education </w:t>
      </w:r>
      <w:r w:rsidR="00324D7D">
        <w:rPr>
          <w:szCs w:val="24"/>
        </w:rPr>
        <w:t>activities</w:t>
      </w:r>
      <w:r>
        <w:rPr>
          <w:szCs w:val="24"/>
        </w:rPr>
        <w:t>;</w:t>
      </w:r>
    </w:p>
    <w:p w:rsidR="00175940" w:rsidP="004A33A7" w14:paraId="03942171" w14:textId="720045D9">
      <w:pPr>
        <w:pStyle w:val="ListParagraph"/>
        <w:numPr>
          <w:ilvl w:val="0"/>
          <w:numId w:val="31"/>
        </w:numPr>
        <w:tabs>
          <w:tab w:val="left" w:pos="3370"/>
        </w:tabs>
        <w:spacing w:after="120"/>
        <w:ind w:right="-907"/>
        <w:outlineLvl w:val="0"/>
        <w:rPr>
          <w:szCs w:val="24"/>
        </w:rPr>
      </w:pPr>
      <w:r>
        <w:rPr>
          <w:szCs w:val="24"/>
        </w:rPr>
        <w:t>Treatment services</w:t>
      </w:r>
      <w:r w:rsidR="004000EC">
        <w:rPr>
          <w:szCs w:val="24"/>
        </w:rPr>
        <w:t xml:space="preserve"> provided</w:t>
      </w:r>
      <w:r w:rsidR="00E554DA">
        <w:rPr>
          <w:szCs w:val="24"/>
        </w:rPr>
        <w:t xml:space="preserve"> for OUD</w:t>
      </w:r>
      <w:r>
        <w:rPr>
          <w:szCs w:val="24"/>
        </w:rPr>
        <w:t>, and the types of medications</w:t>
      </w:r>
      <w:r w:rsidR="00FE4D04">
        <w:rPr>
          <w:szCs w:val="24"/>
        </w:rPr>
        <w:t xml:space="preserve"> </w:t>
      </w:r>
      <w:r w:rsidR="00FE4D04">
        <w:rPr>
          <w:szCs w:val="24"/>
        </w:rPr>
        <w:t>provided</w:t>
      </w:r>
      <w:r>
        <w:rPr>
          <w:szCs w:val="24"/>
        </w:rPr>
        <w:t>;</w:t>
      </w:r>
      <w:r>
        <w:rPr>
          <w:szCs w:val="24"/>
        </w:rPr>
        <w:t xml:space="preserve"> </w:t>
      </w:r>
    </w:p>
    <w:p w:rsidR="003C4817" w:rsidP="004A33A7" w14:paraId="0FA5841F" w14:textId="034E3E48">
      <w:pPr>
        <w:pStyle w:val="ListParagraph"/>
        <w:numPr>
          <w:ilvl w:val="0"/>
          <w:numId w:val="31"/>
        </w:numPr>
        <w:tabs>
          <w:tab w:val="left" w:pos="3370"/>
        </w:tabs>
        <w:spacing w:after="120"/>
        <w:ind w:right="-907"/>
        <w:outlineLvl w:val="0"/>
        <w:rPr>
          <w:szCs w:val="24"/>
        </w:rPr>
      </w:pPr>
      <w:r>
        <w:rPr>
          <w:szCs w:val="24"/>
        </w:rPr>
        <w:t xml:space="preserve">Contingency management provided </w:t>
      </w:r>
      <w:r w:rsidR="0001176D">
        <w:rPr>
          <w:szCs w:val="24"/>
        </w:rPr>
        <w:t xml:space="preserve">for the treatment of </w:t>
      </w:r>
      <w:r>
        <w:rPr>
          <w:szCs w:val="24"/>
        </w:rPr>
        <w:t xml:space="preserve">stimulant use </w:t>
      </w:r>
      <w:r>
        <w:rPr>
          <w:szCs w:val="24"/>
        </w:rPr>
        <w:t>disorder</w:t>
      </w:r>
      <w:r w:rsidR="0001176D">
        <w:rPr>
          <w:szCs w:val="24"/>
        </w:rPr>
        <w:t>;</w:t>
      </w:r>
    </w:p>
    <w:p w:rsidR="00BC260F" w:rsidP="004A33A7" w14:paraId="7541E4CE" w14:textId="77777777">
      <w:pPr>
        <w:pStyle w:val="ListParagraph"/>
        <w:numPr>
          <w:ilvl w:val="0"/>
          <w:numId w:val="31"/>
        </w:numPr>
        <w:tabs>
          <w:tab w:val="left" w:pos="3370"/>
        </w:tabs>
        <w:spacing w:after="120"/>
        <w:ind w:right="-907"/>
        <w:outlineLvl w:val="0"/>
        <w:rPr>
          <w:szCs w:val="24"/>
        </w:rPr>
      </w:pPr>
      <w:r>
        <w:rPr>
          <w:szCs w:val="24"/>
        </w:rPr>
        <w:t>Types of recovery support services provided</w:t>
      </w:r>
      <w:r>
        <w:rPr>
          <w:szCs w:val="24"/>
        </w:rPr>
        <w:t>; and</w:t>
      </w:r>
    </w:p>
    <w:p w:rsidR="00D5135C" w:rsidRPr="006803C1" w:rsidP="004A33A7" w14:paraId="313B62B9" w14:textId="0B895E6B">
      <w:pPr>
        <w:pStyle w:val="ListParagraph"/>
        <w:numPr>
          <w:ilvl w:val="0"/>
          <w:numId w:val="31"/>
        </w:numPr>
        <w:tabs>
          <w:tab w:val="left" w:pos="3370"/>
        </w:tabs>
        <w:spacing w:after="120"/>
        <w:ind w:right="-907"/>
        <w:outlineLvl w:val="0"/>
        <w:rPr>
          <w:szCs w:val="24"/>
        </w:rPr>
      </w:pPr>
      <w:r>
        <w:rPr>
          <w:szCs w:val="24"/>
        </w:rPr>
        <w:t xml:space="preserve">Expenditure </w:t>
      </w:r>
      <w:r w:rsidR="00B73E80">
        <w:rPr>
          <w:szCs w:val="24"/>
        </w:rPr>
        <w:t xml:space="preserve">amounts for each SOR and TOR </w:t>
      </w:r>
      <w:r w:rsidR="00EF2733">
        <w:rPr>
          <w:szCs w:val="24"/>
        </w:rPr>
        <w:t xml:space="preserve">grant </w:t>
      </w:r>
      <w:r w:rsidR="00B73E80">
        <w:rPr>
          <w:szCs w:val="24"/>
        </w:rPr>
        <w:t>sub-recipient</w:t>
      </w:r>
      <w:r w:rsidR="00324D7D">
        <w:rPr>
          <w:szCs w:val="24"/>
        </w:rPr>
        <w:t>.</w:t>
      </w:r>
    </w:p>
    <w:bookmarkEnd w:id="4"/>
    <w:p w:rsidR="00822B08" w14:paraId="34DE6A78" w14:textId="77777777"/>
    <w:p w:rsidR="00375A4F" w14:paraId="1E11D56B" w14:textId="6D69F830">
      <w:pPr>
        <w:rPr>
          <w:b/>
          <w:bCs/>
        </w:rPr>
      </w:pPr>
      <w:r>
        <w:t xml:space="preserve">All </w:t>
      </w:r>
      <w:r w:rsidR="008F045F">
        <w:t>SOR/TOR</w:t>
      </w:r>
      <w:r>
        <w:t xml:space="preserve"> data collection activities</w:t>
      </w:r>
      <w:r>
        <w:t xml:space="preserve"> are intended to promote the use of consistent measures </w:t>
      </w:r>
      <w:r w:rsidR="00C07ABE">
        <w:t>among SOR/TOR</w:t>
      </w:r>
      <w:r>
        <w:t xml:space="preserve"> grantees</w:t>
      </w:r>
      <w:r w:rsidR="0083301F">
        <w:t xml:space="preserve">.  </w:t>
      </w:r>
      <w:r>
        <w:t>These measures are a result of extensive examination and recommendations, using consistent criteria, by panels of staff</w:t>
      </w:r>
      <w:r w:rsidR="001B6C43">
        <w:t xml:space="preserve"> who have knowledge of and experience with the SOR/TOR programs</w:t>
      </w:r>
      <w:r w:rsidR="0083301F">
        <w:t xml:space="preserve">.  </w:t>
      </w:r>
      <w:r>
        <w:t>Wherever feasible, the measures are consistent with or build upon previous data development efforts within CSAT</w:t>
      </w:r>
      <w:r w:rsidR="0083301F">
        <w:t xml:space="preserve">.  </w:t>
      </w:r>
      <w:r>
        <w:t xml:space="preserve">These data collection activities are organized to </w:t>
      </w:r>
      <w:r w:rsidR="00280770">
        <w:t>reflect</w:t>
      </w:r>
      <w:r w:rsidR="007A5753">
        <w:t>,</w:t>
      </w:r>
      <w:r>
        <w:t xml:space="preserve"> and support </w:t>
      </w:r>
      <w:r w:rsidR="007E3ABB">
        <w:t>required SOR/TOR p</w:t>
      </w:r>
      <w:r w:rsidR="008F045F">
        <w:t>revention</w:t>
      </w:r>
      <w:r w:rsidR="00746A66">
        <w:t xml:space="preserve">, </w:t>
      </w:r>
      <w:r w:rsidR="008F045F">
        <w:t>education</w:t>
      </w:r>
      <w:r w:rsidR="00746A66">
        <w:t xml:space="preserve">, harm </w:t>
      </w:r>
      <w:r w:rsidR="007D660A">
        <w:t>reduction</w:t>
      </w:r>
      <w:r w:rsidR="000F2915">
        <w:t xml:space="preserve">, treatment, </w:t>
      </w:r>
      <w:r w:rsidR="003C4BC9">
        <w:t xml:space="preserve">and </w:t>
      </w:r>
      <w:r w:rsidR="000F2915">
        <w:t>recovery support</w:t>
      </w:r>
      <w:r w:rsidR="007D660A">
        <w:t xml:space="preserve"> services</w:t>
      </w:r>
      <w:r w:rsidR="00C87911">
        <w:t>.</w:t>
      </w:r>
    </w:p>
    <w:p w:rsidR="00375A4F" w:rsidP="005A4A00" w14:paraId="2D351E8C" w14:textId="3CD665D3">
      <w:pPr>
        <w:rPr>
          <w:b/>
        </w:rPr>
      </w:pPr>
    </w:p>
    <w:p w:rsidR="005A4A00" w:rsidRPr="00446BA6" w:rsidP="005A4A00" w14:paraId="69E1AEEF" w14:textId="77777777">
      <w:pPr>
        <w:rPr>
          <w:b/>
        </w:rPr>
      </w:pPr>
      <w:r>
        <w:rPr>
          <w:b/>
        </w:rPr>
        <w:t>A</w:t>
      </w:r>
      <w:r w:rsidRPr="00446BA6">
        <w:rPr>
          <w:b/>
        </w:rPr>
        <w:t xml:space="preserve">3.     Use of Improved Information Technology </w:t>
      </w:r>
    </w:p>
    <w:p w:rsidR="005A4A00" w:rsidP="005A4A00" w14:paraId="1200EB02" w14:textId="77777777"/>
    <w:p w:rsidR="005A4A00" w:rsidP="005A4A00" w14:paraId="48445995" w14:textId="38062EFB">
      <w:r>
        <w:t xml:space="preserve">Grantees collect program-level </w:t>
      </w:r>
      <w:r>
        <w:t>information using a variety of methods</w:t>
      </w:r>
      <w:r w:rsidR="006E32DE">
        <w:t xml:space="preserve">, including </w:t>
      </w:r>
      <w:r>
        <w:t>paper</w:t>
      </w:r>
      <w:r w:rsidR="006E32DE">
        <w:t>-</w:t>
      </w:r>
      <w:r>
        <w:t>and</w:t>
      </w:r>
      <w:r w:rsidR="006E32DE">
        <w:t>-</w:t>
      </w:r>
      <w:r>
        <w:t xml:space="preserve">pencil </w:t>
      </w:r>
      <w:r w:rsidR="006E32DE">
        <w:t xml:space="preserve">and </w:t>
      </w:r>
      <w:r>
        <w:t>electronic methods</w:t>
      </w:r>
      <w:r w:rsidR="0083301F">
        <w:t xml:space="preserve">.  </w:t>
      </w:r>
      <w:r>
        <w:t xml:space="preserve">This project will not interfere with ongoing program collection operations that facilitate information collection at each site.  </w:t>
      </w:r>
    </w:p>
    <w:p w:rsidR="005A4A00" w:rsidP="005A4A00" w14:paraId="012D8944" w14:textId="77777777"/>
    <w:p w:rsidR="005A4A00" w:rsidP="005A4A00" w14:paraId="4AF7AAE7" w14:textId="7B157373">
      <w:r>
        <w:t>A web-based data collection and entry system</w:t>
      </w:r>
      <w:r w:rsidR="00470ED6">
        <w:t>, SAMHS</w:t>
      </w:r>
      <w:r w:rsidR="006E32DE">
        <w:t xml:space="preserve">A’s Performance Accountability and Reporting System (SPARS), </w:t>
      </w:r>
      <w:r>
        <w:t>has been developed</w:t>
      </w:r>
      <w:r w:rsidR="006B6C3F">
        <w:t>,</w:t>
      </w:r>
      <w:r>
        <w:t xml:space="preserve"> </w:t>
      </w:r>
      <w:r w:rsidR="006E32DE">
        <w:t>and is currently used and</w:t>
      </w:r>
      <w:r>
        <w:t xml:space="preserve"> available to all programs for data </w:t>
      </w:r>
      <w:r w:rsidR="006B6C3F">
        <w:t>submi</w:t>
      </w:r>
      <w:r w:rsidR="00F80B03">
        <w:t>s</w:t>
      </w:r>
      <w:r w:rsidR="006B6C3F">
        <w:t>sion</w:t>
      </w:r>
      <w:r>
        <w:t xml:space="preserve">.  This web-based system allows for easy data entry, submission, and reporting to all those who have access to the system. </w:t>
      </w:r>
      <w:r w:rsidR="0083301F">
        <w:t xml:space="preserve"> </w:t>
      </w:r>
      <w:r>
        <w:t xml:space="preserve">Levels of access have been defined for users based on their authority and responsibilities regarding the data and reports. </w:t>
      </w:r>
      <w:r w:rsidR="0083301F">
        <w:t xml:space="preserve"> </w:t>
      </w:r>
      <w:r>
        <w:t>Access to the data and reports is limited to those individuals</w:t>
      </w:r>
      <w:r w:rsidR="00A01715">
        <w:t xml:space="preserve"> with a username and password. </w:t>
      </w:r>
      <w:r w:rsidR="0083301F">
        <w:t xml:space="preserve"> </w:t>
      </w:r>
      <w:r>
        <w:t xml:space="preserve">A </w:t>
      </w:r>
      <w:r w:rsidR="00A01715">
        <w:t xml:space="preserve">screenshot of the </w:t>
      </w:r>
      <w:r>
        <w:t xml:space="preserve">data entry screen </w:t>
      </w:r>
      <w:r w:rsidR="00A01715">
        <w:t xml:space="preserve">on SPARS </w:t>
      </w:r>
      <w:r>
        <w:t xml:space="preserve">is below: </w:t>
      </w:r>
    </w:p>
    <w:p w:rsidR="00A01715" w:rsidP="005A4A00" w14:paraId="1A643869" w14:textId="77777777">
      <w:pPr>
        <w:rPr>
          <w:noProof/>
        </w:rPr>
      </w:pPr>
    </w:p>
    <w:p w:rsidR="005A4A00" w:rsidP="005A4A00" w14:paraId="11D4E6F2" w14:textId="77777777">
      <w:r>
        <w:rPr>
          <w:noProof/>
        </w:rPr>
        <w:drawing>
          <wp:inline distT="0" distB="0" distL="0" distR="0">
            <wp:extent cx="5943600" cy="3170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9"/>
                    <a:srcRect b="5107"/>
                    <a:stretch>
                      <a:fillRect/>
                    </a:stretch>
                  </pic:blipFill>
                  <pic:spPr bwMode="auto">
                    <a:xfrm>
                      <a:off x="0" y="0"/>
                      <a:ext cx="5943600" cy="317071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5A4A00" w:rsidP="005A4A00" w14:paraId="2FAC7A60" w14:textId="77777777"/>
    <w:p w:rsidR="005A4A00" w:rsidP="005A4A00" w14:paraId="06DF9204" w14:textId="77777777"/>
    <w:p w:rsidR="00B13A0E" w:rsidP="005A4A00" w14:paraId="495BE8BF" w14:textId="4E94A48F">
      <w:pPr>
        <w:rPr>
          <w:b/>
        </w:rPr>
      </w:pPr>
      <w:r>
        <w:t>Electronic submission of the data promotes enhanced data quality</w:t>
      </w:r>
      <w:r w:rsidR="0083301F">
        <w:t xml:space="preserve">.  </w:t>
      </w:r>
      <w:r>
        <w:t>With built-in data quality checks</w:t>
      </w:r>
      <w:r w:rsidR="00885FBA">
        <w:t xml:space="preserve"> and </w:t>
      </w:r>
      <w:r>
        <w:t>easy access to data outputs and reports, users of the data can feel confident about the quality of the output</w:t>
      </w:r>
      <w:r w:rsidR="0083301F">
        <w:t xml:space="preserve">.  </w:t>
      </w:r>
      <w:r>
        <w:t xml:space="preserve">The electronic submission also promotes immediate access to the dataset.  Once data are </w:t>
      </w:r>
      <w:r w:rsidR="006B6C3F">
        <w:t>entered in</w:t>
      </w:r>
      <w:r>
        <w:t xml:space="preserve"> the web-based system, </w:t>
      </w:r>
      <w:r w:rsidR="006B6C3F">
        <w:t xml:space="preserve">they </w:t>
      </w:r>
      <w:r w:rsidR="00F80B03">
        <w:t>are</w:t>
      </w:r>
      <w:r>
        <w:t xml:space="preserve"> available for access, review, and reporting by all those with access to the system</w:t>
      </w:r>
      <w:r w:rsidR="006B6C3F">
        <w:t>,</w:t>
      </w:r>
      <w:r>
        <w:t xml:space="preserve"> </w:t>
      </w:r>
      <w:r w:rsidR="006B6C3F">
        <w:t xml:space="preserve">both </w:t>
      </w:r>
      <w:r>
        <w:t xml:space="preserve">Center </w:t>
      </w:r>
      <w:r w:rsidR="006B6C3F">
        <w:t xml:space="preserve">and </w:t>
      </w:r>
      <w:r>
        <w:t xml:space="preserve">grantee staff.  </w:t>
      </w:r>
    </w:p>
    <w:p w:rsidR="006803C1" w:rsidP="005A4A00" w14:paraId="2D487756" w14:textId="77777777"/>
    <w:p w:rsidR="005A4A00" w:rsidRPr="00705E94" w:rsidP="005A4A00" w14:paraId="1C40AEEA" w14:textId="77777777">
      <w:pPr>
        <w:rPr>
          <w:b/>
        </w:rPr>
      </w:pPr>
      <w:r>
        <w:rPr>
          <w:b/>
        </w:rPr>
        <w:t>A</w:t>
      </w:r>
      <w:r w:rsidRPr="00705E94">
        <w:rPr>
          <w:b/>
        </w:rPr>
        <w:t xml:space="preserve">4.  </w:t>
      </w:r>
      <w:r>
        <w:rPr>
          <w:b/>
        </w:rPr>
        <w:t xml:space="preserve">   </w:t>
      </w:r>
      <w:r w:rsidRPr="00446BA6">
        <w:rPr>
          <w:b/>
          <w:bCs/>
        </w:rPr>
        <w:t xml:space="preserve">Efforts to Identify Duplication </w:t>
      </w:r>
    </w:p>
    <w:p w:rsidR="005A4A00" w:rsidP="005A4A00" w14:paraId="78831408" w14:textId="77777777"/>
    <w:p w:rsidR="0021604E" w:rsidP="005A4A00" w14:paraId="57A46C9E" w14:textId="77777777">
      <w:pPr>
        <w:rPr>
          <w:szCs w:val="24"/>
        </w:rPr>
      </w:pPr>
      <w:r>
        <w:rPr>
          <w:szCs w:val="24"/>
        </w:rPr>
        <w:t xml:space="preserve">The items collected are necessary </w:t>
      </w:r>
      <w:r>
        <w:rPr>
          <w:szCs w:val="24"/>
        </w:rPr>
        <w:t>in order to</w:t>
      </w:r>
      <w:r>
        <w:rPr>
          <w:szCs w:val="24"/>
        </w:rPr>
        <w:t xml:space="preserve"> assess grantee performance</w:t>
      </w:r>
      <w:r w:rsidR="0083301F">
        <w:rPr>
          <w:szCs w:val="24"/>
        </w:rPr>
        <w:t xml:space="preserve">.  </w:t>
      </w:r>
      <w:r w:rsidRPr="00143684">
        <w:rPr>
          <w:szCs w:val="24"/>
        </w:rPr>
        <w:t xml:space="preserve">SAMHSA is promoting the </w:t>
      </w:r>
      <w:r>
        <w:rPr>
          <w:szCs w:val="24"/>
        </w:rPr>
        <w:t xml:space="preserve">use of </w:t>
      </w:r>
      <w:r>
        <w:rPr>
          <w:szCs w:val="24"/>
        </w:rPr>
        <w:t xml:space="preserve">consistent </w:t>
      </w:r>
      <w:r>
        <w:rPr>
          <w:szCs w:val="24"/>
        </w:rPr>
        <w:t>performance</w:t>
      </w:r>
      <w:r w:rsidR="006F5AEF">
        <w:rPr>
          <w:szCs w:val="24"/>
        </w:rPr>
        <w:t xml:space="preserve"> and outcomes</w:t>
      </w:r>
      <w:r>
        <w:rPr>
          <w:szCs w:val="24"/>
        </w:rPr>
        <w:t xml:space="preserve"> measures across </w:t>
      </w:r>
      <w:r w:rsidR="00885FBA">
        <w:rPr>
          <w:szCs w:val="24"/>
        </w:rPr>
        <w:t>SOR and TOR</w:t>
      </w:r>
      <w:r>
        <w:rPr>
          <w:szCs w:val="24"/>
        </w:rPr>
        <w:t xml:space="preserve"> programs;</w:t>
      </w:r>
      <w:r w:rsidRPr="00143684">
        <w:rPr>
          <w:szCs w:val="24"/>
        </w:rPr>
        <w:t xml:space="preserve"> this effort will result in less overlap and </w:t>
      </w:r>
      <w:r w:rsidRPr="00143684" w:rsidR="00280770">
        <w:rPr>
          <w:szCs w:val="24"/>
        </w:rPr>
        <w:t>duplication and</w:t>
      </w:r>
      <w:r w:rsidRPr="00143684">
        <w:rPr>
          <w:szCs w:val="24"/>
        </w:rPr>
        <w:t xml:space="preserve"> </w:t>
      </w:r>
      <w:r w:rsidR="00A93688">
        <w:rPr>
          <w:szCs w:val="24"/>
        </w:rPr>
        <w:t xml:space="preserve">will </w:t>
      </w:r>
      <w:r w:rsidRPr="00143684">
        <w:rPr>
          <w:szCs w:val="24"/>
        </w:rPr>
        <w:t>substantially reduce the burden on grantees that results from data demands associated with individual programs.</w:t>
      </w:r>
      <w:r>
        <w:rPr>
          <w:szCs w:val="24"/>
        </w:rPr>
        <w:t xml:space="preserve"> </w:t>
      </w:r>
    </w:p>
    <w:p w:rsidR="0021604E" w:rsidP="005A4A00" w14:paraId="59E7D106" w14:textId="77777777">
      <w:pPr>
        <w:rPr>
          <w:szCs w:val="24"/>
        </w:rPr>
      </w:pPr>
    </w:p>
    <w:p w:rsidR="00247734" w:rsidP="005A4A00" w14:paraId="2D4AB50A" w14:textId="77777777">
      <w:pPr>
        <w:rPr>
          <w:szCs w:val="24"/>
        </w:rPr>
      </w:pPr>
      <w:r w:rsidRPr="00D107E2">
        <w:rPr>
          <w:szCs w:val="24"/>
        </w:rPr>
        <w:t xml:space="preserve">A program-level review of current measures and methods of </w:t>
      </w:r>
      <w:r>
        <w:rPr>
          <w:szCs w:val="24"/>
        </w:rPr>
        <w:t xml:space="preserve">data </w:t>
      </w:r>
      <w:r w:rsidRPr="00D107E2">
        <w:rPr>
          <w:szCs w:val="24"/>
        </w:rPr>
        <w:t xml:space="preserve">collection was conducted </w:t>
      </w:r>
      <w:r w:rsidR="00885FBA">
        <w:rPr>
          <w:szCs w:val="24"/>
        </w:rPr>
        <w:t>w</w:t>
      </w:r>
      <w:r w:rsidRPr="00D107E2">
        <w:rPr>
          <w:szCs w:val="24"/>
        </w:rPr>
        <w:t>ith th</w:t>
      </w:r>
      <w:r w:rsidR="00F7795A">
        <w:rPr>
          <w:szCs w:val="24"/>
        </w:rPr>
        <w:t xml:space="preserve">e goal of creating questions </w:t>
      </w:r>
      <w:r w:rsidRPr="00D107E2">
        <w:rPr>
          <w:szCs w:val="24"/>
        </w:rPr>
        <w:t>for</w:t>
      </w:r>
      <w:r w:rsidR="00F7795A">
        <w:rPr>
          <w:szCs w:val="24"/>
        </w:rPr>
        <w:t xml:space="preserve"> more precise monitoring of g</w:t>
      </w:r>
      <w:r w:rsidRPr="00D107E2">
        <w:rPr>
          <w:szCs w:val="24"/>
        </w:rPr>
        <w:t>rantee performance</w:t>
      </w:r>
      <w:r w:rsidR="00885FBA">
        <w:rPr>
          <w:szCs w:val="24"/>
        </w:rPr>
        <w:t xml:space="preserve">. </w:t>
      </w:r>
      <w:r w:rsidRPr="002A54C9">
        <w:rPr>
          <w:szCs w:val="24"/>
        </w:rPr>
        <w:t xml:space="preserve">Each </w:t>
      </w:r>
      <w:r w:rsidR="00885FBA">
        <w:rPr>
          <w:szCs w:val="24"/>
        </w:rPr>
        <w:t>p</w:t>
      </w:r>
      <w:r w:rsidRPr="002A54C9">
        <w:rPr>
          <w:szCs w:val="24"/>
        </w:rPr>
        <w:t xml:space="preserve">roposed </w:t>
      </w:r>
      <w:r w:rsidRPr="002A54C9" w:rsidR="00F7795A">
        <w:rPr>
          <w:szCs w:val="24"/>
        </w:rPr>
        <w:t xml:space="preserve">question </w:t>
      </w:r>
      <w:r w:rsidRPr="002A54C9">
        <w:rPr>
          <w:szCs w:val="24"/>
        </w:rPr>
        <w:t>was reviewed and approved by CSAT senior leadership as meeting the performance monitoring and management needs of</w:t>
      </w:r>
      <w:r w:rsidR="00885FBA">
        <w:rPr>
          <w:szCs w:val="24"/>
        </w:rPr>
        <w:t xml:space="preserve"> the SOR/TOR program</w:t>
      </w:r>
      <w:r w:rsidRPr="002A54C9">
        <w:rPr>
          <w:szCs w:val="24"/>
        </w:rPr>
        <w:t>.</w:t>
      </w:r>
      <w:r w:rsidRPr="00D107E2">
        <w:rPr>
          <w:szCs w:val="24"/>
        </w:rPr>
        <w:t xml:space="preserve"> </w:t>
      </w:r>
    </w:p>
    <w:p w:rsidR="00BF0412" w:rsidP="005A4A00" w14:paraId="260FFCA7" w14:textId="77777777">
      <w:pPr>
        <w:rPr>
          <w:szCs w:val="24"/>
        </w:rPr>
      </w:pPr>
    </w:p>
    <w:p w:rsidR="005A4A00" w:rsidRPr="00446BA6" w:rsidP="45AA5890" w14:paraId="06429744" w14:textId="77777777">
      <w:pPr>
        <w:rPr>
          <w:b/>
          <w:bCs/>
        </w:rPr>
      </w:pPr>
      <w:r w:rsidRPr="45AA5890">
        <w:rPr>
          <w:b/>
          <w:bCs/>
        </w:rPr>
        <w:t xml:space="preserve">A5.     Involvement of Small Entities </w:t>
      </w:r>
    </w:p>
    <w:p w:rsidR="005A4A00" w:rsidP="005A4A00" w14:paraId="43B1C59F" w14:textId="77777777"/>
    <w:p w:rsidR="005A4A00" w:rsidP="005A4A00" w14:paraId="15F74E43" w14:textId="78C4C565">
      <w:r>
        <w:t xml:space="preserve">Individual grantees vary from </w:t>
      </w:r>
      <w:r w:rsidR="5C7A6DD4">
        <w:t>tribal</w:t>
      </w:r>
      <w:r>
        <w:t xml:space="preserve"> entities </w:t>
      </w:r>
      <w:r w:rsidR="006011E6">
        <w:t>to</w:t>
      </w:r>
      <w:r w:rsidR="32BE4D86">
        <w:t xml:space="preserve"> tribes and states</w:t>
      </w:r>
      <w:r w:rsidR="0083301F">
        <w:t xml:space="preserve">. </w:t>
      </w:r>
      <w:r>
        <w:t xml:space="preserve">Every effort has been made to minimize the number of data items collected from </w:t>
      </w:r>
      <w:r w:rsidR="6966A0A1">
        <w:t>grantees</w:t>
      </w:r>
      <w:r w:rsidR="00A70B33">
        <w:t>, requiring responses to</w:t>
      </w:r>
      <w:r>
        <w:t xml:space="preserve"> </w:t>
      </w:r>
      <w:r w:rsidR="00A70B33">
        <w:t xml:space="preserve">only </w:t>
      </w:r>
      <w:r>
        <w:t xml:space="preserve">the </w:t>
      </w:r>
      <w:r w:rsidR="006011E6">
        <w:t xml:space="preserve">items necessary </w:t>
      </w:r>
      <w:r>
        <w:t xml:space="preserve">to accomplish </w:t>
      </w:r>
      <w:r w:rsidR="006011E6">
        <w:t xml:space="preserve">the </w:t>
      </w:r>
      <w:r>
        <w:t xml:space="preserve">objectives </w:t>
      </w:r>
      <w:r w:rsidR="006011E6">
        <w:t>described</w:t>
      </w:r>
      <w:r w:rsidR="00A44B3A">
        <w:softHyphen/>
      </w:r>
      <w:r w:rsidR="00A44B3A">
        <w:softHyphen/>
      </w:r>
      <w:r w:rsidR="006011E6">
        <w:t xml:space="preserve"> in </w:t>
      </w:r>
      <w:r w:rsidR="00A70B33">
        <w:t>the</w:t>
      </w:r>
      <w:r>
        <w:t xml:space="preserve"> GPRA reporting requirements</w:t>
      </w:r>
      <w:r w:rsidR="0083301F">
        <w:t xml:space="preserve">.  </w:t>
      </w:r>
      <w:r w:rsidR="006011E6">
        <w:t>T</w:t>
      </w:r>
      <w:r>
        <w:t xml:space="preserve">herefore, there is no significant impact </w:t>
      </w:r>
      <w:r w:rsidR="006011E6">
        <w:t>to</w:t>
      </w:r>
      <w:r>
        <w:t xml:space="preserve"> small entities.  </w:t>
      </w:r>
    </w:p>
    <w:p w:rsidR="005A4A00" w:rsidP="005A4A00" w14:paraId="4B823096" w14:textId="77777777"/>
    <w:p w:rsidR="005A4A00" w:rsidP="5CEF4FBF" w14:paraId="5C8ED8EF" w14:textId="21E38D52">
      <w:pPr>
        <w:rPr>
          <w:b/>
          <w:bCs/>
          <w:u w:val="single"/>
        </w:rPr>
      </w:pPr>
      <w:r w:rsidRPr="5CEF4FBF">
        <w:rPr>
          <w:b/>
          <w:bCs/>
        </w:rPr>
        <w:t xml:space="preserve">A6.     Consequences </w:t>
      </w:r>
      <w:r w:rsidRPr="5CEF4FBF" w:rsidR="006F5AEF">
        <w:rPr>
          <w:b/>
          <w:bCs/>
        </w:rPr>
        <w:t>i</w:t>
      </w:r>
      <w:r w:rsidRPr="5CEF4FBF">
        <w:rPr>
          <w:b/>
          <w:bCs/>
        </w:rPr>
        <w:t xml:space="preserve">f </w:t>
      </w:r>
      <w:r w:rsidRPr="5CEF4FBF" w:rsidR="006F5AEF">
        <w:rPr>
          <w:b/>
          <w:bCs/>
        </w:rPr>
        <w:t xml:space="preserve">Information Collected </w:t>
      </w:r>
      <w:r w:rsidRPr="5CEF4FBF">
        <w:rPr>
          <w:b/>
          <w:bCs/>
        </w:rPr>
        <w:t>Less Frequently</w:t>
      </w:r>
    </w:p>
    <w:p w:rsidR="005A4A00" w:rsidP="005A4A00" w14:paraId="6F253EFC" w14:textId="77777777">
      <w:pPr>
        <w:rPr>
          <w:rFonts w:ascii="Times" w:hAnsi="Times"/>
        </w:rPr>
      </w:pPr>
    </w:p>
    <w:p w:rsidR="00885FBA" w:rsidRPr="009A09BA" w:rsidP="00885FBA" w14:paraId="02EE348C" w14:textId="2E28AF86">
      <w:r>
        <w:t>SOR/TOR grant programs</w:t>
      </w:r>
      <w:r w:rsidRPr="009A09BA">
        <w:t xml:space="preserve"> </w:t>
      </w:r>
      <w:r>
        <w:t>report program level data to SAMHSA quarterly</w:t>
      </w:r>
      <w:r w:rsidR="00A41AFD">
        <w:t xml:space="preserve"> </w:t>
      </w:r>
      <w:r w:rsidR="00A41AFD">
        <w:rPr>
          <w:szCs w:val="18"/>
        </w:rPr>
        <w:t>for questions 1 to 13b, and annually for the sub-recipient entity inventory table</w:t>
      </w:r>
      <w:r>
        <w:t xml:space="preserve">. These </w:t>
      </w:r>
      <w:r w:rsidR="00E774BC">
        <w:t xml:space="preserve">points in </w:t>
      </w:r>
      <w:r>
        <w:t xml:space="preserve">time </w:t>
      </w:r>
      <w:r w:rsidRPr="009A09BA">
        <w:t xml:space="preserve">are part of regular program </w:t>
      </w:r>
      <w:r w:rsidR="00E774BC">
        <w:t>monitoring</w:t>
      </w:r>
      <w:r w:rsidRPr="009A09BA">
        <w:t>.</w:t>
      </w:r>
      <w:r>
        <w:t xml:space="preserve">  If the</w:t>
      </w:r>
      <w:r w:rsidR="00EB5036">
        <w:t>se</w:t>
      </w:r>
      <w:r>
        <w:t xml:space="preserve"> data </w:t>
      </w:r>
      <w:r w:rsidR="00EB5036">
        <w:t xml:space="preserve">are </w:t>
      </w:r>
      <w:r>
        <w:t xml:space="preserve">collected less frequently, changes in program services will be difficult to </w:t>
      </w:r>
      <w:r w:rsidR="00EB5036">
        <w:t>measure</w:t>
      </w:r>
      <w:r>
        <w:t xml:space="preserve">. </w:t>
      </w:r>
      <w:r w:rsidRPr="009A09BA">
        <w:t xml:space="preserve"> </w:t>
      </w:r>
    </w:p>
    <w:p w:rsidR="00885FBA" w:rsidP="00885FBA" w14:paraId="0762A106" w14:textId="77777777"/>
    <w:p w:rsidR="00885FBA" w:rsidP="005A4A00" w14:paraId="6DC82591" w14:textId="6DF326A2">
      <w:r>
        <w:t>The</w:t>
      </w:r>
      <w:r w:rsidR="00EB5036">
        <w:t>se</w:t>
      </w:r>
      <w:r>
        <w:t xml:space="preserve"> data will be reported by SAMHSA</w:t>
      </w:r>
      <w:r w:rsidR="298E127D">
        <w:t xml:space="preserve"> in </w:t>
      </w:r>
      <w:r w:rsidR="00451D27">
        <w:t>Congressionally mandated</w:t>
      </w:r>
      <w:r w:rsidR="0093465D">
        <w:t xml:space="preserve"> SOR</w:t>
      </w:r>
      <w:r w:rsidR="003005B4">
        <w:t xml:space="preserve"> r</w:t>
      </w:r>
      <w:r w:rsidR="298E127D">
        <w:t xml:space="preserve">eports. </w:t>
      </w:r>
    </w:p>
    <w:p w:rsidR="005A4A00" w:rsidRPr="00E04321" w:rsidP="005A4A00" w14:paraId="325619F6" w14:textId="77777777">
      <w:pPr>
        <w:pStyle w:val="Heading2"/>
      </w:pPr>
      <w:r>
        <w:rPr>
          <w:bCs w:val="0"/>
        </w:rPr>
        <w:t>A</w:t>
      </w:r>
      <w:r w:rsidRPr="00446BA6">
        <w:rPr>
          <w:bCs w:val="0"/>
        </w:rPr>
        <w:t>7.</w:t>
      </w:r>
      <w:r w:rsidRPr="00CA4651">
        <w:rPr>
          <w:b w:val="0"/>
        </w:rPr>
        <w:t xml:space="preserve">  </w:t>
      </w:r>
      <w:r>
        <w:rPr>
          <w:b w:val="0"/>
        </w:rPr>
        <w:t xml:space="preserve">    </w:t>
      </w:r>
      <w:r>
        <w:t>Consistency with the Guidelines in</w:t>
      </w:r>
      <w:r w:rsidRPr="00E04321">
        <w:t xml:space="preserve"> 5 CFR1320.5</w:t>
      </w:r>
      <w:r>
        <w:t>(d)(2)</w:t>
      </w:r>
    </w:p>
    <w:p w:rsidR="005A4A00" w:rsidP="005A4A00" w14:paraId="2C2ECB75" w14:textId="77777777">
      <w:r>
        <w:t>This information collection fully complies with 5 CFR 1320.5(d) (2).</w:t>
      </w:r>
    </w:p>
    <w:p w:rsidR="005A4A00" w:rsidP="005A4A00" w14:paraId="1A402039" w14:textId="77777777"/>
    <w:p w:rsidR="005A4A00" w:rsidRPr="00CA4651" w:rsidP="004A33A7" w14:paraId="6D547E9B" w14:textId="77777777">
      <w:pPr>
        <w:rPr>
          <w:b/>
        </w:rPr>
      </w:pPr>
      <w:r>
        <w:rPr>
          <w:b/>
        </w:rPr>
        <w:t>A</w:t>
      </w:r>
      <w:r w:rsidRPr="00CA4651">
        <w:rPr>
          <w:b/>
        </w:rPr>
        <w:t xml:space="preserve">8.  </w:t>
      </w:r>
      <w:r>
        <w:rPr>
          <w:b/>
        </w:rPr>
        <w:t xml:space="preserve">    </w:t>
      </w:r>
      <w:r>
        <w:rPr>
          <w:b/>
          <w:bCs/>
        </w:rPr>
        <w:t xml:space="preserve">Consultation Outside the Agency </w:t>
      </w:r>
    </w:p>
    <w:p w:rsidR="005A4A00" w:rsidP="005A4A00" w14:paraId="5D89EF47" w14:textId="77777777"/>
    <w:p w:rsidR="005A4A00" w:rsidP="005A4A00" w14:paraId="0FAD5116" w14:textId="15F16C98">
      <w:r>
        <w:t xml:space="preserve">The notice required by 5 CFR 1320.8(d) was published in the </w:t>
      </w:r>
      <w:r w:rsidRPr="5CEF4FBF">
        <w:rPr>
          <w:i/>
          <w:iCs/>
        </w:rPr>
        <w:t xml:space="preserve">Federal Register </w:t>
      </w:r>
      <w:r>
        <w:t xml:space="preserve">on </w:t>
      </w:r>
      <w:r w:rsidR="00D41E42">
        <w:t>June 24</w:t>
      </w:r>
      <w:r w:rsidRPr="001D78F1" w:rsidR="00E42550">
        <w:t xml:space="preserve">, </w:t>
      </w:r>
      <w:r w:rsidRPr="001D78F1" w:rsidR="00920965">
        <w:t>20</w:t>
      </w:r>
      <w:r w:rsidRPr="001D78F1" w:rsidR="009C01E2">
        <w:t>2</w:t>
      </w:r>
      <w:r w:rsidR="00D41E42">
        <w:t>4</w:t>
      </w:r>
      <w:r w:rsidRPr="001D78F1">
        <w:t xml:space="preserve"> (</w:t>
      </w:r>
      <w:r w:rsidRPr="001D78F1" w:rsidR="002A54C9">
        <w:t>8</w:t>
      </w:r>
      <w:r w:rsidR="00D41E42">
        <w:t>9</w:t>
      </w:r>
      <w:r w:rsidRPr="001D78F1" w:rsidR="002A54C9">
        <w:t xml:space="preserve"> </w:t>
      </w:r>
      <w:r w:rsidRPr="001D78F1">
        <w:t xml:space="preserve">FR </w:t>
      </w:r>
      <w:r w:rsidRPr="00D41E42" w:rsidR="00D41E42">
        <w:t>52483</w:t>
      </w:r>
      <w:r w:rsidRPr="001D78F1" w:rsidR="00236FCA">
        <w:t>)</w:t>
      </w:r>
      <w:r w:rsidRPr="001D78F1" w:rsidR="00E42550">
        <w:t>.</w:t>
      </w:r>
      <w:r w:rsidR="00581D8D">
        <w:t xml:space="preserve"> </w:t>
      </w:r>
      <w:r w:rsidR="00D41E42">
        <w:t>Comments were received from the public and are available on the attached Public Comment Matrix.</w:t>
      </w:r>
    </w:p>
    <w:p w:rsidR="000C5B23" w:rsidP="005A4A00" w14:paraId="070C67C0" w14:textId="77777777"/>
    <w:p w:rsidR="5355D8B4" w14:paraId="2CDE3FFB" w14:textId="77777777">
      <w:r w:rsidRPr="5355D8B4">
        <w:rPr>
          <w:b/>
          <w:bCs/>
        </w:rPr>
        <w:t>A9.     Payment to Respondents</w:t>
      </w:r>
      <w:r w:rsidRPr="5355D8B4">
        <w:rPr>
          <w:b/>
          <w:bCs/>
          <w:u w:val="single"/>
        </w:rPr>
        <w:t xml:space="preserve"> </w:t>
      </w:r>
    </w:p>
    <w:p w:rsidR="00280770" w:rsidP="005A4A00" w14:paraId="65495D2C" w14:textId="77777777"/>
    <w:p w:rsidR="005A4A00" w:rsidP="005A4A00" w14:paraId="4A883B6C" w14:textId="241DF3DD">
      <w:r>
        <w:t>The respondents do not receive payments.</w:t>
      </w:r>
    </w:p>
    <w:p w:rsidR="00EB5036" w:rsidP="005A4A00" w14:paraId="2C21250D" w14:textId="77777777"/>
    <w:p w:rsidR="005A4A00" w:rsidRPr="00446BA6" w:rsidP="00E333F4" w14:paraId="3316BB58" w14:textId="23CCAE73">
      <w:pPr>
        <w:keepLines/>
        <w:rPr>
          <w:b/>
          <w:bCs/>
        </w:rPr>
      </w:pPr>
      <w:r>
        <w:rPr>
          <w:b/>
        </w:rPr>
        <w:t>A</w:t>
      </w:r>
      <w:r w:rsidRPr="00CA4651">
        <w:rPr>
          <w:b/>
        </w:rPr>
        <w:t xml:space="preserve">10.  </w:t>
      </w:r>
      <w:r>
        <w:rPr>
          <w:b/>
        </w:rPr>
        <w:t xml:space="preserve">   </w:t>
      </w:r>
      <w:r w:rsidRPr="00446BA6">
        <w:rPr>
          <w:b/>
          <w:bCs/>
        </w:rPr>
        <w:t>Assurance of Confidentiality</w:t>
      </w:r>
    </w:p>
    <w:p w:rsidR="005A4A00" w:rsidP="005A4A00" w14:paraId="0A1DF4EA" w14:textId="77777777"/>
    <w:p w:rsidR="005A4A00" w:rsidP="005A4A00" w14:paraId="0E41851A" w14:textId="4794D6F4">
      <w:r w:rsidRPr="0004438F">
        <w:rPr>
          <w:szCs w:val="24"/>
        </w:rPr>
        <w:t>Data will be kept private to the extent allowed by law</w:t>
      </w:r>
      <w:r>
        <w:rPr>
          <w:szCs w:val="24"/>
        </w:rPr>
        <w:t xml:space="preserve">. </w:t>
      </w:r>
      <w:r>
        <w:rPr>
          <w:szCs w:val="24"/>
        </w:rPr>
        <w:t xml:space="preserve">The information from </w:t>
      </w:r>
      <w:r w:rsidR="006525A1">
        <w:rPr>
          <w:szCs w:val="24"/>
        </w:rPr>
        <w:t>g</w:t>
      </w:r>
      <w:r>
        <w:rPr>
          <w:szCs w:val="24"/>
        </w:rPr>
        <w:t xml:space="preserve">rantees and all other potential respondents will be kept private through all </w:t>
      </w:r>
      <w:r w:rsidR="00EB5036">
        <w:rPr>
          <w:szCs w:val="24"/>
        </w:rPr>
        <w:t xml:space="preserve">steps </w:t>
      </w:r>
      <w:r>
        <w:rPr>
          <w:szCs w:val="24"/>
        </w:rPr>
        <w:t>in the data collection and reporting processes</w:t>
      </w:r>
      <w:r w:rsidR="0083301F">
        <w:rPr>
          <w:szCs w:val="24"/>
        </w:rPr>
        <w:t xml:space="preserve">.  </w:t>
      </w:r>
      <w:r>
        <w:rPr>
          <w:szCs w:val="24"/>
        </w:rPr>
        <w:t xml:space="preserve">However, SAMHSA cannot ensure complete confidentiality of </w:t>
      </w:r>
      <w:r w:rsidR="00581D8D">
        <w:rPr>
          <w:szCs w:val="24"/>
        </w:rPr>
        <w:t xml:space="preserve">the program level </w:t>
      </w:r>
      <w:r>
        <w:rPr>
          <w:szCs w:val="24"/>
        </w:rPr>
        <w:t>data</w:t>
      </w:r>
      <w:r w:rsidR="0083301F">
        <w:rPr>
          <w:szCs w:val="24"/>
        </w:rPr>
        <w:t xml:space="preserve">.  </w:t>
      </w:r>
      <w:r>
        <w:rPr>
          <w:szCs w:val="24"/>
        </w:rPr>
        <w:t xml:space="preserve">Only aggregated data will be reported. </w:t>
      </w:r>
      <w:r w:rsidR="001118EF">
        <w:rPr>
          <w:szCs w:val="24"/>
        </w:rPr>
        <w:t xml:space="preserve"> </w:t>
      </w:r>
      <w:r>
        <w:t xml:space="preserve">SAMHSA has statutory authority to collect data under the </w:t>
      </w:r>
      <w:r w:rsidR="000B2D48">
        <w:t>GPRA</w:t>
      </w:r>
      <w:r>
        <w:t xml:space="preserve"> (Public Law 1103(a), Title 31)</w:t>
      </w:r>
      <w:r w:rsidR="00EB5036">
        <w:t>,</w:t>
      </w:r>
      <w:r>
        <w:t xml:space="preserve"> and is subject to the Privacy Act for the protection of data.  Federally assisted substance </w:t>
      </w:r>
      <w:r w:rsidR="00FB6DA3">
        <w:t>use disorder</w:t>
      </w:r>
      <w:r>
        <w:t xml:space="preserve"> treatment providers are subject to the federal regulations for </w:t>
      </w:r>
      <w:r w:rsidRPr="00C23A34">
        <w:t>alcohol and substance abuse patient records (42 CFR Part 2)</w:t>
      </w:r>
      <w:r w:rsidRPr="00C23A34">
        <w:rPr>
          <w:szCs w:val="24"/>
        </w:rPr>
        <w:t xml:space="preserve"> (OMB No. 0930-0092)</w:t>
      </w:r>
      <w:r w:rsidR="00EB5036">
        <w:rPr>
          <w:szCs w:val="24"/>
        </w:rPr>
        <w:t>,</w:t>
      </w:r>
      <w:r w:rsidRPr="00C23A34">
        <w:t xml:space="preserve"> which</w:t>
      </w:r>
      <w:r>
        <w:t xml:space="preserve"> govern the protection of patient identifying data</w:t>
      </w:r>
      <w:r w:rsidR="0083301F">
        <w:t xml:space="preserve">.  </w:t>
      </w:r>
      <w:r>
        <w:t xml:space="preserve">In some cases, these </w:t>
      </w:r>
      <w:r>
        <w:t xml:space="preserve">same providers meet the definition of a </w:t>
      </w:r>
      <w:r w:rsidRPr="000B2D48" w:rsidR="000B2D48">
        <w:t>Health Insurance Portability and Accountability Act</w:t>
      </w:r>
      <w:r>
        <w:t xml:space="preserve"> covered entity and are additionally subject to the Privacy Rule (45 CFR Parts 160 and 164) for the protection of individually identifiable data.  </w:t>
      </w:r>
    </w:p>
    <w:p w:rsidR="005A4A00" w:rsidP="005A4A00" w14:paraId="029BF983" w14:textId="77777777">
      <w:pPr>
        <w:rPr>
          <w:b/>
        </w:rPr>
      </w:pPr>
    </w:p>
    <w:p w:rsidR="005A4A00" w:rsidRPr="00CA4651" w:rsidP="005A4A00" w14:paraId="34BFB982" w14:textId="77777777">
      <w:pPr>
        <w:rPr>
          <w:b/>
        </w:rPr>
      </w:pPr>
      <w:r>
        <w:rPr>
          <w:b/>
        </w:rPr>
        <w:t>A</w:t>
      </w:r>
      <w:r w:rsidRPr="00CA4651">
        <w:rPr>
          <w:b/>
        </w:rPr>
        <w:t xml:space="preserve">11.  </w:t>
      </w:r>
      <w:r>
        <w:rPr>
          <w:b/>
        </w:rPr>
        <w:t xml:space="preserve">  </w:t>
      </w:r>
      <w:r>
        <w:rPr>
          <w:b/>
          <w:bCs/>
        </w:rPr>
        <w:t xml:space="preserve">Questions of a Sensitive Nature </w:t>
      </w:r>
    </w:p>
    <w:p w:rsidR="005A4A00" w:rsidP="005A4A00" w14:paraId="3A3C7C6F" w14:textId="77777777"/>
    <w:p w:rsidR="005A4A00" w:rsidP="00280770" w14:paraId="3D7E6E63" w14:textId="3EADB683">
      <w:r w:rsidRPr="00857D93">
        <w:t>SAMHSA’s mission is to lead public health and service delivery efforts that promote mental health, prevent substance misuse, and provide treatments and supports to foster recovery while ensuring equitable access and better outcomes.</w:t>
      </w:r>
      <w:r w:rsidR="0083301F">
        <w:t xml:space="preserve"> </w:t>
      </w:r>
      <w:r>
        <w:t xml:space="preserve">The data submitted by each grantee </w:t>
      </w:r>
      <w:r w:rsidR="00B13794">
        <w:t>primar</w:t>
      </w:r>
      <w:r>
        <w:t xml:space="preserve">ily include </w:t>
      </w:r>
      <w:r w:rsidR="0004329A">
        <w:t xml:space="preserve">aggregate </w:t>
      </w:r>
      <w:r>
        <w:t xml:space="preserve">data on </w:t>
      </w:r>
      <w:r w:rsidR="001A6955">
        <w:t xml:space="preserve">reported overdose reversals; </w:t>
      </w:r>
      <w:r w:rsidR="00B13794">
        <w:t>the purchase</w:t>
      </w:r>
      <w:r w:rsidR="00724C0F">
        <w:t xml:space="preserve"> and </w:t>
      </w:r>
      <w:r w:rsidR="00B13794">
        <w:t>distribution</w:t>
      </w:r>
      <w:r w:rsidR="00724C0F">
        <w:t xml:space="preserve"> of</w:t>
      </w:r>
      <w:r w:rsidR="003A0760">
        <w:t xml:space="preserve"> </w:t>
      </w:r>
      <w:r w:rsidR="00CD2149">
        <w:t xml:space="preserve">naloxone and </w:t>
      </w:r>
      <w:r w:rsidR="003A0760">
        <w:t>opioid</w:t>
      </w:r>
      <w:r w:rsidR="000F66D6">
        <w:t xml:space="preserve"> overdose reversal medications</w:t>
      </w:r>
      <w:r w:rsidR="00EB5036">
        <w:t>;</w:t>
      </w:r>
      <w:r w:rsidR="00FF5347">
        <w:t xml:space="preserve"> t</w:t>
      </w:r>
      <w:r w:rsidRPr="006A11C8" w:rsidR="00FF5347">
        <w:t xml:space="preserve">ypes of entities that distribute </w:t>
      </w:r>
      <w:r w:rsidR="00FF5347">
        <w:t xml:space="preserve">naloxone and </w:t>
      </w:r>
      <w:r w:rsidRPr="006A11C8" w:rsidR="00FF5347">
        <w:t>opioid overdose reversal medications</w:t>
      </w:r>
      <w:r w:rsidR="00FF5347">
        <w:t>;</w:t>
      </w:r>
      <w:r w:rsidR="00B13794">
        <w:t xml:space="preserve"> training o</w:t>
      </w:r>
      <w:r w:rsidR="00724C0F">
        <w:t xml:space="preserve">n </w:t>
      </w:r>
      <w:r w:rsidR="00CD2149">
        <w:t xml:space="preserve">naloxone and </w:t>
      </w:r>
      <w:r w:rsidR="000F66D6">
        <w:t xml:space="preserve">opioid overdose reversal medications </w:t>
      </w:r>
      <w:r w:rsidR="00724C0F">
        <w:t>administration</w:t>
      </w:r>
      <w:r w:rsidR="00B13794">
        <w:t>; implementation of prevention and education activities; the purchase</w:t>
      </w:r>
      <w:r w:rsidR="0004329A">
        <w:t xml:space="preserve"> and distribution</w:t>
      </w:r>
      <w:r w:rsidR="00B13794">
        <w:t xml:space="preserve"> of</w:t>
      </w:r>
      <w:r w:rsidR="00191597">
        <w:t xml:space="preserve"> drug checking technologies</w:t>
      </w:r>
      <w:r w:rsidR="00CD2149">
        <w:t xml:space="preserve"> as directed by SAMHSA</w:t>
      </w:r>
      <w:r w:rsidR="00920DE9">
        <w:t xml:space="preserve">; treatment services for OUD, and stimulant use disorder; types of recovery support services; and expenditure amounts for each SOR and TOR </w:t>
      </w:r>
      <w:r w:rsidR="00EF2733">
        <w:t xml:space="preserve">grant </w:t>
      </w:r>
      <w:r w:rsidR="00920DE9">
        <w:t>sub-recipient</w:t>
      </w:r>
      <w:r w:rsidR="00130E8A">
        <w:t>.</w:t>
      </w:r>
      <w:r w:rsidR="0083301F">
        <w:t xml:space="preserve">  </w:t>
      </w:r>
    </w:p>
    <w:p w:rsidR="00372AF8" w:rsidP="00372AF8" w14:paraId="365DB16B" w14:textId="77777777">
      <w:pPr>
        <w:pStyle w:val="ListParagraph"/>
      </w:pPr>
    </w:p>
    <w:p w:rsidR="005A4A00" w:rsidRPr="00CA4651" w:rsidP="005A4A00" w14:paraId="436C2D76" w14:textId="77777777">
      <w:pPr>
        <w:rPr>
          <w:b/>
        </w:rPr>
      </w:pPr>
      <w:r>
        <w:rPr>
          <w:b/>
        </w:rPr>
        <w:t>A</w:t>
      </w:r>
      <w:r w:rsidRPr="00933758">
        <w:rPr>
          <w:b/>
        </w:rPr>
        <w:t xml:space="preserve">12.     </w:t>
      </w:r>
      <w:r w:rsidRPr="00203445">
        <w:rPr>
          <w:b/>
        </w:rPr>
        <w:t>Estimates of Annualized Hour Burden</w:t>
      </w:r>
      <w:r>
        <w:rPr>
          <w:b/>
          <w:u w:val="single"/>
        </w:rPr>
        <w:t xml:space="preserve"> </w:t>
      </w:r>
    </w:p>
    <w:p w:rsidR="005A4A00" w:rsidP="005A4A00" w14:paraId="2818EEAC" w14:textId="77777777"/>
    <w:p w:rsidR="00372AF8" w:rsidP="5355D8B4" w14:paraId="5F88F80D" w14:textId="5627D5E1">
      <w:pPr>
        <w:rPr>
          <w:b/>
          <w:bCs/>
        </w:rPr>
      </w:pPr>
      <w:r>
        <w:t xml:space="preserve">The </w:t>
      </w:r>
      <w:r w:rsidR="00354648">
        <w:t xml:space="preserve">estimated </w:t>
      </w:r>
      <w:r>
        <w:t xml:space="preserve">time to complete the instruments is </w:t>
      </w:r>
      <w:r w:rsidR="00354648">
        <w:t>given</w:t>
      </w:r>
      <w:r>
        <w:t xml:space="preserve"> in Table 1</w:t>
      </w:r>
      <w:r w:rsidR="0083301F">
        <w:t xml:space="preserve">.  </w:t>
      </w:r>
      <w:r>
        <w:t xml:space="preserve">These estimates are based on current funding and planned </w:t>
      </w:r>
      <w:r w:rsidR="000B2D48">
        <w:t xml:space="preserve">funding </w:t>
      </w:r>
      <w:r>
        <w:t>and the number of con</w:t>
      </w:r>
      <w:r w:rsidR="000C5B23">
        <w:t xml:space="preserve">sumers served </w:t>
      </w:r>
      <w:r w:rsidR="00860CB0">
        <w:t>in recent years</w:t>
      </w:r>
      <w:r w:rsidR="00B13794">
        <w:t>. The</w:t>
      </w:r>
      <w:r>
        <w:t xml:space="preserve"> amount of time required to complete the new questions is based on an informal pilot and prior SAMHSA/CSAT experience in collecting similar data.</w:t>
      </w:r>
    </w:p>
    <w:p w:rsidR="00BF0412" w:rsidP="00C84489" w14:paraId="24A0F413" w14:textId="076FA629">
      <w:pPr>
        <w:rPr>
          <w:b/>
        </w:rPr>
      </w:pPr>
    </w:p>
    <w:p w:rsidR="00C84489" w:rsidP="00C84489" w14:paraId="4DC03F37" w14:textId="3779E1A2">
      <w:pPr>
        <w:rPr>
          <w:b/>
          <w:sz w:val="20"/>
          <w:vertAlign w:val="superscript"/>
        </w:rPr>
      </w:pPr>
      <w:r w:rsidRPr="00553392">
        <w:rPr>
          <w:b/>
        </w:rPr>
        <w:t xml:space="preserve">Table 1: </w:t>
      </w:r>
      <w:r w:rsidRPr="00553392">
        <w:rPr>
          <w:b/>
        </w:rPr>
        <w:t xml:space="preserve">Estimates of Annualized Hour Burden </w:t>
      </w:r>
      <w:r w:rsidRPr="00553392" w:rsidR="00B13794">
        <w:rPr>
          <w:b/>
        </w:rPr>
        <w:t>for SOR/TOR Grantees</w:t>
      </w:r>
      <w:r>
        <w:rPr>
          <w:b/>
          <w:sz w:val="20"/>
          <w:vertAlign w:val="superscript"/>
        </w:rPr>
        <w:t xml:space="preserve">  </w:t>
      </w:r>
    </w:p>
    <w:p w:rsidR="00C84489" w:rsidP="00C84489" w14:paraId="6345F14D" w14:textId="45DD2302">
      <w:pPr>
        <w:rPr>
          <w:b/>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6"/>
        <w:gridCol w:w="1438"/>
        <w:gridCol w:w="1347"/>
        <w:gridCol w:w="1257"/>
        <w:gridCol w:w="1168"/>
        <w:gridCol w:w="988"/>
        <w:gridCol w:w="898"/>
        <w:gridCol w:w="1168"/>
        <w:gridCol w:w="20"/>
      </w:tblGrid>
      <w:tr w14:paraId="3FF2DEE6" w14:textId="77777777" w:rsidTr="5CEF4FBF">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20" w:type="dxa"/>
          <w:trHeight w:val="98"/>
        </w:trPr>
        <w:tc>
          <w:tcPr>
            <w:tcW w:w="1619" w:type="dxa"/>
            <w:shd w:val="clear" w:color="auto" w:fill="DDD9C4" w:themeFill="background2" w:themeFillShade="E6"/>
            <w:noWrap/>
            <w:vAlign w:val="center"/>
            <w:hideMark/>
          </w:tcPr>
          <w:p w:rsidR="000869E3" w:rsidRPr="00341B6C" w:rsidP="00F80B03" w14:paraId="163A75AE" w14:textId="77777777">
            <w:pPr>
              <w:spacing w:after="160" w:line="259" w:lineRule="auto"/>
              <w:jc w:val="center"/>
              <w:rPr>
                <w:b/>
                <w:sz w:val="22"/>
                <w:szCs w:val="22"/>
              </w:rPr>
            </w:pPr>
            <w:bookmarkStart w:id="5" w:name="_Hlk71894833"/>
            <w:r w:rsidRPr="00341B6C">
              <w:rPr>
                <w:b/>
                <w:sz w:val="22"/>
                <w:szCs w:val="22"/>
              </w:rPr>
              <w:t>SAMHSA Data Collection</w:t>
            </w:r>
          </w:p>
        </w:tc>
        <w:tc>
          <w:tcPr>
            <w:tcW w:w="1441" w:type="dxa"/>
            <w:shd w:val="clear" w:color="auto" w:fill="DDD9C4" w:themeFill="background2" w:themeFillShade="E6"/>
            <w:vAlign w:val="center"/>
            <w:hideMark/>
          </w:tcPr>
          <w:p w:rsidR="000869E3" w:rsidRPr="00341B6C" w:rsidP="00F80B03" w14:paraId="5BC164C2" w14:textId="77777777">
            <w:pPr>
              <w:spacing w:after="160" w:line="259" w:lineRule="auto"/>
              <w:jc w:val="center"/>
              <w:rPr>
                <w:b/>
                <w:sz w:val="22"/>
                <w:szCs w:val="22"/>
              </w:rPr>
            </w:pPr>
            <w:r w:rsidRPr="00341B6C">
              <w:rPr>
                <w:b/>
                <w:sz w:val="22"/>
                <w:szCs w:val="22"/>
              </w:rPr>
              <w:t>Number of Respondents</w:t>
            </w:r>
          </w:p>
        </w:tc>
        <w:tc>
          <w:tcPr>
            <w:tcW w:w="1350" w:type="dxa"/>
            <w:shd w:val="clear" w:color="auto" w:fill="DDD9C4" w:themeFill="background2" w:themeFillShade="E6"/>
            <w:vAlign w:val="center"/>
            <w:hideMark/>
          </w:tcPr>
          <w:p w:rsidR="000869E3" w:rsidRPr="00341B6C" w:rsidP="00F80B03" w14:paraId="25434A6F" w14:textId="77777777">
            <w:pPr>
              <w:spacing w:after="160" w:line="259" w:lineRule="auto"/>
              <w:jc w:val="center"/>
              <w:rPr>
                <w:b/>
                <w:sz w:val="22"/>
                <w:szCs w:val="22"/>
              </w:rPr>
            </w:pPr>
            <w:r w:rsidRPr="00341B6C">
              <w:rPr>
                <w:b/>
                <w:sz w:val="22"/>
                <w:szCs w:val="22"/>
              </w:rPr>
              <w:t>Responses per Respondent</w:t>
            </w:r>
          </w:p>
        </w:tc>
        <w:tc>
          <w:tcPr>
            <w:tcW w:w="1260" w:type="dxa"/>
            <w:shd w:val="clear" w:color="auto" w:fill="DDD9C4" w:themeFill="background2" w:themeFillShade="E6"/>
            <w:vAlign w:val="center"/>
            <w:hideMark/>
          </w:tcPr>
          <w:p w:rsidR="000869E3" w:rsidRPr="00341B6C" w:rsidP="00F80B03" w14:paraId="218B43A4" w14:textId="77777777">
            <w:pPr>
              <w:spacing w:after="160" w:line="259" w:lineRule="auto"/>
              <w:jc w:val="center"/>
              <w:rPr>
                <w:b/>
                <w:sz w:val="22"/>
                <w:szCs w:val="22"/>
              </w:rPr>
            </w:pPr>
            <w:r w:rsidRPr="00341B6C">
              <w:rPr>
                <w:b/>
                <w:sz w:val="22"/>
                <w:szCs w:val="22"/>
              </w:rPr>
              <w:t>Total Number of Responses</w:t>
            </w:r>
          </w:p>
        </w:tc>
        <w:tc>
          <w:tcPr>
            <w:tcW w:w="1170" w:type="dxa"/>
            <w:shd w:val="clear" w:color="auto" w:fill="DDD9C4" w:themeFill="background2" w:themeFillShade="E6"/>
            <w:vAlign w:val="center"/>
            <w:hideMark/>
          </w:tcPr>
          <w:p w:rsidR="000869E3" w:rsidRPr="00341B6C" w:rsidP="00F80B03" w14:paraId="76AEB0B5" w14:textId="77777777">
            <w:pPr>
              <w:spacing w:after="160" w:line="259" w:lineRule="auto"/>
              <w:jc w:val="center"/>
              <w:rPr>
                <w:b/>
                <w:sz w:val="22"/>
                <w:szCs w:val="22"/>
              </w:rPr>
            </w:pPr>
            <w:r w:rsidRPr="00341B6C">
              <w:rPr>
                <w:b/>
                <w:sz w:val="22"/>
                <w:szCs w:val="22"/>
              </w:rPr>
              <w:t>Burden Hours per Response</w:t>
            </w:r>
          </w:p>
        </w:tc>
        <w:tc>
          <w:tcPr>
            <w:tcW w:w="990" w:type="dxa"/>
            <w:shd w:val="clear" w:color="auto" w:fill="DDD9C4" w:themeFill="background2" w:themeFillShade="E6"/>
            <w:vAlign w:val="center"/>
            <w:hideMark/>
          </w:tcPr>
          <w:p w:rsidR="000869E3" w:rsidRPr="00341B6C" w:rsidP="00F80B03" w14:paraId="26BE108F" w14:textId="77777777">
            <w:pPr>
              <w:spacing w:after="160" w:line="259" w:lineRule="auto"/>
              <w:jc w:val="center"/>
              <w:rPr>
                <w:b/>
                <w:sz w:val="22"/>
                <w:szCs w:val="22"/>
              </w:rPr>
            </w:pPr>
            <w:r w:rsidRPr="00341B6C">
              <w:rPr>
                <w:b/>
                <w:sz w:val="22"/>
                <w:szCs w:val="22"/>
              </w:rPr>
              <w:t>Total Burden Hours</w:t>
            </w:r>
          </w:p>
        </w:tc>
        <w:tc>
          <w:tcPr>
            <w:tcW w:w="900" w:type="dxa"/>
            <w:shd w:val="clear" w:color="auto" w:fill="DDD9C4" w:themeFill="background2" w:themeFillShade="E6"/>
            <w:vAlign w:val="center"/>
            <w:hideMark/>
          </w:tcPr>
          <w:p w:rsidR="000869E3" w:rsidRPr="00341B6C" w:rsidP="5CEF4FBF" w14:paraId="648DFAB7" w14:textId="77777777">
            <w:pPr>
              <w:spacing w:after="160" w:line="259" w:lineRule="auto"/>
              <w:jc w:val="center"/>
              <w:rPr>
                <w:b/>
                <w:bCs/>
                <w:sz w:val="22"/>
                <w:szCs w:val="22"/>
              </w:rPr>
            </w:pPr>
            <w:r w:rsidRPr="5CEF4FBF">
              <w:rPr>
                <w:b/>
                <w:bCs/>
                <w:sz w:val="22"/>
                <w:szCs w:val="22"/>
              </w:rPr>
              <w:t>Hourly Wage</w:t>
            </w:r>
            <w:r>
              <w:rPr>
                <w:b/>
                <w:bCs/>
                <w:sz w:val="22"/>
                <w:szCs w:val="22"/>
                <w:vertAlign w:val="superscript"/>
              </w:rPr>
              <w:footnoteReference w:id="3"/>
            </w:r>
          </w:p>
        </w:tc>
        <w:tc>
          <w:tcPr>
            <w:tcW w:w="1170" w:type="dxa"/>
            <w:shd w:val="clear" w:color="auto" w:fill="DDD9C4" w:themeFill="background2" w:themeFillShade="E6"/>
            <w:vAlign w:val="center"/>
            <w:hideMark/>
          </w:tcPr>
          <w:p w:rsidR="000869E3" w:rsidRPr="00341B6C" w:rsidP="00F80B03" w14:paraId="35D8243C" w14:textId="77777777">
            <w:pPr>
              <w:spacing w:after="160" w:line="259" w:lineRule="auto"/>
              <w:jc w:val="center"/>
              <w:rPr>
                <w:b/>
                <w:sz w:val="22"/>
                <w:szCs w:val="22"/>
              </w:rPr>
            </w:pPr>
            <w:r w:rsidRPr="00341B6C">
              <w:rPr>
                <w:b/>
                <w:sz w:val="22"/>
                <w:szCs w:val="22"/>
              </w:rPr>
              <w:t>Total Wage Cost</w:t>
            </w:r>
          </w:p>
        </w:tc>
      </w:tr>
      <w:tr w14:paraId="6735CC56" w14:textId="77777777" w:rsidTr="5CEF4FBF">
        <w:tblPrEx>
          <w:tblW w:w="9900" w:type="dxa"/>
          <w:tblInd w:w="-5" w:type="dxa"/>
          <w:tblLayout w:type="fixed"/>
          <w:tblLook w:val="04A0"/>
        </w:tblPrEx>
        <w:trPr>
          <w:gridAfter w:val="1"/>
          <w:wAfter w:w="20" w:type="dxa"/>
          <w:trHeight w:val="98"/>
        </w:trPr>
        <w:tc>
          <w:tcPr>
            <w:tcW w:w="1619" w:type="dxa"/>
            <w:tcBorders>
              <w:top w:val="single" w:sz="4" w:space="0" w:color="auto"/>
              <w:left w:val="single" w:sz="4" w:space="0" w:color="auto"/>
              <w:bottom w:val="single" w:sz="4" w:space="0" w:color="auto"/>
              <w:right w:val="single" w:sz="4" w:space="0" w:color="auto"/>
            </w:tcBorders>
            <w:noWrap/>
            <w:vAlign w:val="center"/>
            <w:hideMark/>
          </w:tcPr>
          <w:p w:rsidR="000869E3" w:rsidRPr="00341B6C" w:rsidP="0078689B" w14:paraId="635DF3DF" w14:textId="3C89C731">
            <w:pPr>
              <w:spacing w:after="160" w:line="259" w:lineRule="auto"/>
              <w:rPr>
                <w:sz w:val="22"/>
                <w:szCs w:val="22"/>
              </w:rPr>
            </w:pPr>
            <w:r w:rsidRPr="00341B6C">
              <w:rPr>
                <w:sz w:val="22"/>
                <w:szCs w:val="22"/>
              </w:rPr>
              <w:t>Grantee-Level Instrument</w:t>
            </w:r>
          </w:p>
        </w:tc>
        <w:tc>
          <w:tcPr>
            <w:tcW w:w="1441" w:type="dxa"/>
            <w:tcBorders>
              <w:top w:val="single" w:sz="4" w:space="0" w:color="auto"/>
              <w:left w:val="single" w:sz="4" w:space="0" w:color="auto"/>
              <w:bottom w:val="single" w:sz="4" w:space="0" w:color="auto"/>
              <w:right w:val="single" w:sz="4" w:space="0" w:color="auto"/>
            </w:tcBorders>
            <w:vAlign w:val="center"/>
            <w:hideMark/>
          </w:tcPr>
          <w:p w:rsidR="000869E3" w:rsidRPr="00341B6C" w:rsidP="00F80B03" w14:paraId="26619572" w14:textId="46FCF9FD">
            <w:pPr>
              <w:spacing w:after="160" w:line="259" w:lineRule="auto"/>
              <w:jc w:val="center"/>
              <w:rPr>
                <w:sz w:val="22"/>
                <w:szCs w:val="22"/>
              </w:rPr>
            </w:pPr>
            <w:r w:rsidRPr="00341B6C">
              <w:rPr>
                <w:sz w:val="22"/>
                <w:szCs w:val="22"/>
              </w:rPr>
              <w:t>1</w:t>
            </w:r>
            <w:r w:rsidR="00A13D90">
              <w:rPr>
                <w:sz w:val="22"/>
                <w:szCs w:val="22"/>
              </w:rPr>
              <w:t>8</w:t>
            </w:r>
            <w:r w:rsidRPr="00341B6C">
              <w:rPr>
                <w:sz w:val="22"/>
                <w:szCs w:val="22"/>
              </w:rPr>
              <w:t>9</w:t>
            </w:r>
          </w:p>
        </w:tc>
        <w:tc>
          <w:tcPr>
            <w:tcW w:w="1350" w:type="dxa"/>
            <w:tcBorders>
              <w:top w:val="single" w:sz="4" w:space="0" w:color="auto"/>
              <w:left w:val="single" w:sz="4" w:space="0" w:color="auto"/>
              <w:bottom w:val="single" w:sz="4" w:space="0" w:color="auto"/>
              <w:right w:val="single" w:sz="4" w:space="0" w:color="auto"/>
            </w:tcBorders>
            <w:vAlign w:val="center"/>
            <w:hideMark/>
          </w:tcPr>
          <w:p w:rsidR="000869E3" w:rsidRPr="00341B6C" w:rsidP="00F80B03" w14:paraId="08AEEB51" w14:textId="77777777">
            <w:pPr>
              <w:spacing w:after="160" w:line="259" w:lineRule="auto"/>
              <w:jc w:val="center"/>
              <w:rPr>
                <w:sz w:val="22"/>
                <w:szCs w:val="22"/>
              </w:rPr>
            </w:pPr>
            <w:r w:rsidRPr="00341B6C">
              <w:rPr>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0869E3" w:rsidRPr="00341B6C" w:rsidP="00F80B03" w14:paraId="39863F0B" w14:textId="720F3AC5">
            <w:pPr>
              <w:spacing w:after="160" w:line="259" w:lineRule="auto"/>
              <w:jc w:val="center"/>
              <w:rPr>
                <w:sz w:val="22"/>
                <w:szCs w:val="22"/>
              </w:rPr>
            </w:pPr>
            <w:r>
              <w:rPr>
                <w:sz w:val="22"/>
                <w:szCs w:val="22"/>
              </w:rPr>
              <w:t>756</w:t>
            </w:r>
          </w:p>
        </w:tc>
        <w:tc>
          <w:tcPr>
            <w:tcW w:w="1170" w:type="dxa"/>
            <w:tcBorders>
              <w:top w:val="single" w:sz="4" w:space="0" w:color="auto"/>
              <w:left w:val="single" w:sz="4" w:space="0" w:color="auto"/>
              <w:bottom w:val="single" w:sz="4" w:space="0" w:color="auto"/>
              <w:right w:val="single" w:sz="4" w:space="0" w:color="auto"/>
            </w:tcBorders>
            <w:vAlign w:val="center"/>
            <w:hideMark/>
          </w:tcPr>
          <w:p w:rsidR="000869E3" w:rsidRPr="00341B6C" w:rsidP="00F80B03" w14:paraId="6E2D60CF" w14:textId="263354FC">
            <w:pPr>
              <w:spacing w:after="160" w:line="259" w:lineRule="auto"/>
              <w:jc w:val="center"/>
              <w:rPr>
                <w:sz w:val="22"/>
                <w:szCs w:val="22"/>
              </w:rPr>
            </w:pPr>
            <w:r w:rsidRPr="00341B6C">
              <w:rPr>
                <w:sz w:val="22"/>
                <w:szCs w:val="22"/>
              </w:rPr>
              <w:t>.</w:t>
            </w:r>
            <w:r w:rsidR="00393F85">
              <w:rPr>
                <w:sz w:val="22"/>
                <w:szCs w:val="22"/>
              </w:rPr>
              <w:t>30</w:t>
            </w:r>
          </w:p>
        </w:tc>
        <w:tc>
          <w:tcPr>
            <w:tcW w:w="990" w:type="dxa"/>
            <w:tcBorders>
              <w:top w:val="single" w:sz="4" w:space="0" w:color="auto"/>
              <w:left w:val="single" w:sz="4" w:space="0" w:color="auto"/>
              <w:bottom w:val="single" w:sz="4" w:space="0" w:color="auto"/>
              <w:right w:val="single" w:sz="4" w:space="0" w:color="auto"/>
            </w:tcBorders>
            <w:vAlign w:val="center"/>
            <w:hideMark/>
          </w:tcPr>
          <w:p w:rsidR="000869E3" w:rsidRPr="00341B6C" w:rsidP="00F80B03" w14:paraId="5DE7E0E8" w14:textId="4D4E8BEE">
            <w:pPr>
              <w:spacing w:after="160" w:line="259" w:lineRule="auto"/>
              <w:jc w:val="center"/>
              <w:rPr>
                <w:sz w:val="22"/>
                <w:szCs w:val="22"/>
              </w:rPr>
            </w:pPr>
            <w:r>
              <w:rPr>
                <w:sz w:val="22"/>
                <w:szCs w:val="22"/>
              </w:rPr>
              <w:t>226.80</w:t>
            </w:r>
          </w:p>
        </w:tc>
        <w:tc>
          <w:tcPr>
            <w:tcW w:w="900" w:type="dxa"/>
            <w:tcBorders>
              <w:top w:val="single" w:sz="4" w:space="0" w:color="auto"/>
              <w:left w:val="single" w:sz="4" w:space="0" w:color="auto"/>
              <w:bottom w:val="single" w:sz="4" w:space="0" w:color="auto"/>
              <w:right w:val="single" w:sz="4" w:space="0" w:color="auto"/>
            </w:tcBorders>
            <w:vAlign w:val="center"/>
            <w:hideMark/>
          </w:tcPr>
          <w:p w:rsidR="000869E3" w:rsidRPr="00341B6C" w:rsidP="00F80B03" w14:paraId="23ABF9ED" w14:textId="77D4044C">
            <w:pPr>
              <w:spacing w:after="160" w:line="259" w:lineRule="auto"/>
              <w:jc w:val="center"/>
              <w:rPr>
                <w:sz w:val="22"/>
                <w:szCs w:val="22"/>
              </w:rPr>
            </w:pPr>
            <w:r w:rsidRPr="00341B6C">
              <w:rPr>
                <w:sz w:val="22"/>
                <w:szCs w:val="22"/>
              </w:rPr>
              <w:t>$</w:t>
            </w:r>
            <w:r w:rsidR="005C402B">
              <w:rPr>
                <w:sz w:val="22"/>
                <w:szCs w:val="22"/>
              </w:rPr>
              <w:t>28.89</w:t>
            </w:r>
          </w:p>
        </w:tc>
        <w:tc>
          <w:tcPr>
            <w:tcW w:w="1170" w:type="dxa"/>
            <w:tcBorders>
              <w:top w:val="single" w:sz="4" w:space="0" w:color="auto"/>
              <w:left w:val="single" w:sz="4" w:space="0" w:color="auto"/>
              <w:bottom w:val="single" w:sz="4" w:space="0" w:color="auto"/>
              <w:right w:val="single" w:sz="4" w:space="0" w:color="auto"/>
            </w:tcBorders>
            <w:vAlign w:val="center"/>
            <w:hideMark/>
          </w:tcPr>
          <w:p w:rsidR="000869E3" w:rsidRPr="00553392" w:rsidP="00F80B03" w14:paraId="179FC42E" w14:textId="3AC654BA">
            <w:pPr>
              <w:spacing w:after="160" w:line="259" w:lineRule="auto"/>
              <w:jc w:val="center"/>
              <w:rPr>
                <w:sz w:val="22"/>
                <w:szCs w:val="22"/>
              </w:rPr>
            </w:pPr>
            <w:r w:rsidRPr="00553392">
              <w:rPr>
                <w:sz w:val="22"/>
                <w:szCs w:val="22"/>
              </w:rPr>
              <w:t>$</w:t>
            </w:r>
            <w:r w:rsidRPr="00553392" w:rsidR="00977E3E">
              <w:rPr>
                <w:sz w:val="22"/>
                <w:szCs w:val="22"/>
              </w:rPr>
              <w:t>6,552.25</w:t>
            </w:r>
          </w:p>
        </w:tc>
      </w:tr>
      <w:tr w14:paraId="3F47EB78" w14:textId="77777777" w:rsidTr="5CEF4FBF">
        <w:tblPrEx>
          <w:tblW w:w="9900" w:type="dxa"/>
          <w:tblInd w:w="-5" w:type="dxa"/>
          <w:tblLayout w:type="fixed"/>
          <w:tblLook w:val="04A0"/>
        </w:tblPrEx>
        <w:trPr>
          <w:gridAfter w:val="1"/>
          <w:wAfter w:w="20" w:type="dxa"/>
          <w:trHeight w:val="98"/>
        </w:trPr>
        <w:tc>
          <w:tcPr>
            <w:tcW w:w="1619" w:type="dxa"/>
            <w:tcBorders>
              <w:top w:val="single" w:sz="4" w:space="0" w:color="auto"/>
              <w:left w:val="single" w:sz="4" w:space="0" w:color="auto"/>
              <w:bottom w:val="single" w:sz="4" w:space="0" w:color="auto"/>
              <w:right w:val="single" w:sz="4" w:space="0" w:color="auto"/>
            </w:tcBorders>
            <w:noWrap/>
            <w:vAlign w:val="center"/>
          </w:tcPr>
          <w:p w:rsidR="009D7880" w:rsidRPr="00341B6C" w:rsidP="0078689B" w14:paraId="7E12D8C9" w14:textId="72C842B2">
            <w:pPr>
              <w:spacing w:after="160" w:line="259" w:lineRule="auto"/>
              <w:rPr>
                <w:sz w:val="22"/>
                <w:szCs w:val="22"/>
              </w:rPr>
            </w:pPr>
            <w:r>
              <w:rPr>
                <w:sz w:val="22"/>
                <w:szCs w:val="22"/>
              </w:rPr>
              <w:t>Grantee-Level Instrument</w:t>
            </w:r>
          </w:p>
        </w:tc>
        <w:tc>
          <w:tcPr>
            <w:tcW w:w="1441" w:type="dxa"/>
            <w:tcBorders>
              <w:top w:val="single" w:sz="4" w:space="0" w:color="auto"/>
              <w:left w:val="single" w:sz="4" w:space="0" w:color="auto"/>
              <w:bottom w:val="single" w:sz="4" w:space="0" w:color="auto"/>
              <w:right w:val="single" w:sz="4" w:space="0" w:color="auto"/>
            </w:tcBorders>
            <w:vAlign w:val="center"/>
          </w:tcPr>
          <w:p w:rsidR="009D7880" w:rsidRPr="00341B6C" w:rsidP="00F80B03" w14:paraId="34139414" w14:textId="1E2F479B">
            <w:pPr>
              <w:spacing w:after="160" w:line="259" w:lineRule="auto"/>
              <w:jc w:val="center"/>
              <w:rPr>
                <w:sz w:val="22"/>
                <w:szCs w:val="22"/>
              </w:rPr>
            </w:pPr>
            <w:r>
              <w:rPr>
                <w:sz w:val="22"/>
                <w:szCs w:val="22"/>
              </w:rPr>
              <w:t>189</w:t>
            </w:r>
          </w:p>
        </w:tc>
        <w:tc>
          <w:tcPr>
            <w:tcW w:w="1350" w:type="dxa"/>
            <w:tcBorders>
              <w:top w:val="single" w:sz="4" w:space="0" w:color="auto"/>
              <w:left w:val="single" w:sz="4" w:space="0" w:color="auto"/>
              <w:bottom w:val="single" w:sz="4" w:space="0" w:color="auto"/>
              <w:right w:val="single" w:sz="4" w:space="0" w:color="auto"/>
            </w:tcBorders>
            <w:vAlign w:val="center"/>
          </w:tcPr>
          <w:p w:rsidR="009D7880" w:rsidRPr="00341B6C" w:rsidP="00F80B03" w14:paraId="6E2493D0" w14:textId="78C76BD8">
            <w:pPr>
              <w:spacing w:after="160" w:line="259" w:lineRule="auto"/>
              <w:jc w:val="center"/>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9D7880" w:rsidP="00F80B03" w14:paraId="0C477685" w14:textId="705D2289">
            <w:pPr>
              <w:spacing w:after="160" w:line="259" w:lineRule="auto"/>
              <w:jc w:val="center"/>
              <w:rPr>
                <w:sz w:val="22"/>
                <w:szCs w:val="22"/>
              </w:rPr>
            </w:pPr>
            <w:r>
              <w:rPr>
                <w:sz w:val="22"/>
                <w:szCs w:val="22"/>
              </w:rPr>
              <w:t>189</w:t>
            </w:r>
          </w:p>
        </w:tc>
        <w:tc>
          <w:tcPr>
            <w:tcW w:w="1170" w:type="dxa"/>
            <w:tcBorders>
              <w:top w:val="single" w:sz="4" w:space="0" w:color="auto"/>
              <w:left w:val="single" w:sz="4" w:space="0" w:color="auto"/>
              <w:bottom w:val="single" w:sz="4" w:space="0" w:color="auto"/>
              <w:right w:val="single" w:sz="4" w:space="0" w:color="auto"/>
            </w:tcBorders>
            <w:vAlign w:val="center"/>
          </w:tcPr>
          <w:p w:rsidR="009D7880" w:rsidRPr="00341B6C" w:rsidP="00F80B03" w14:paraId="2C9A8BC8" w14:textId="67A8430F">
            <w:pPr>
              <w:spacing w:after="160" w:line="259" w:lineRule="auto"/>
              <w:jc w:val="center"/>
              <w:rPr>
                <w:sz w:val="22"/>
                <w:szCs w:val="22"/>
              </w:rPr>
            </w:pPr>
            <w:r>
              <w:rPr>
                <w:sz w:val="22"/>
                <w:szCs w:val="22"/>
              </w:rPr>
              <w:t>.25</w:t>
            </w:r>
          </w:p>
        </w:tc>
        <w:tc>
          <w:tcPr>
            <w:tcW w:w="990" w:type="dxa"/>
            <w:tcBorders>
              <w:top w:val="single" w:sz="4" w:space="0" w:color="auto"/>
              <w:left w:val="single" w:sz="4" w:space="0" w:color="auto"/>
              <w:bottom w:val="single" w:sz="4" w:space="0" w:color="auto"/>
              <w:right w:val="single" w:sz="4" w:space="0" w:color="auto"/>
            </w:tcBorders>
            <w:vAlign w:val="center"/>
          </w:tcPr>
          <w:p w:rsidR="009D7880" w:rsidP="00F80B03" w14:paraId="3FF14BBA" w14:textId="14FA2E12">
            <w:pPr>
              <w:spacing w:after="160" w:line="259" w:lineRule="auto"/>
              <w:jc w:val="center"/>
              <w:rPr>
                <w:sz w:val="22"/>
                <w:szCs w:val="22"/>
              </w:rPr>
            </w:pPr>
            <w:r>
              <w:rPr>
                <w:sz w:val="22"/>
                <w:szCs w:val="22"/>
              </w:rPr>
              <w:t>47.25</w:t>
            </w:r>
          </w:p>
        </w:tc>
        <w:tc>
          <w:tcPr>
            <w:tcW w:w="900" w:type="dxa"/>
            <w:tcBorders>
              <w:top w:val="single" w:sz="4" w:space="0" w:color="auto"/>
              <w:left w:val="single" w:sz="4" w:space="0" w:color="auto"/>
              <w:bottom w:val="single" w:sz="4" w:space="0" w:color="auto"/>
              <w:right w:val="single" w:sz="4" w:space="0" w:color="auto"/>
            </w:tcBorders>
            <w:vAlign w:val="center"/>
          </w:tcPr>
          <w:p w:rsidR="009D7880" w:rsidRPr="00341B6C" w:rsidP="00F80B03" w14:paraId="26F2F0C5" w14:textId="56D3011E">
            <w:pPr>
              <w:spacing w:after="160" w:line="259" w:lineRule="auto"/>
              <w:jc w:val="center"/>
              <w:rPr>
                <w:sz w:val="22"/>
                <w:szCs w:val="22"/>
              </w:rPr>
            </w:pPr>
            <w:r>
              <w:rPr>
                <w:sz w:val="22"/>
                <w:szCs w:val="22"/>
              </w:rPr>
              <w:t>$28.89</w:t>
            </w:r>
          </w:p>
        </w:tc>
        <w:tc>
          <w:tcPr>
            <w:tcW w:w="1170" w:type="dxa"/>
            <w:tcBorders>
              <w:top w:val="single" w:sz="4" w:space="0" w:color="auto"/>
              <w:left w:val="single" w:sz="4" w:space="0" w:color="auto"/>
              <w:bottom w:val="single" w:sz="4" w:space="0" w:color="auto"/>
              <w:right w:val="single" w:sz="4" w:space="0" w:color="auto"/>
            </w:tcBorders>
            <w:vAlign w:val="center"/>
          </w:tcPr>
          <w:p w:rsidR="009D7880" w:rsidRPr="00553392" w:rsidP="00F80B03" w14:paraId="510B7302" w14:textId="581C6528">
            <w:pPr>
              <w:spacing w:after="160" w:line="259" w:lineRule="auto"/>
              <w:jc w:val="center"/>
              <w:rPr>
                <w:sz w:val="22"/>
                <w:szCs w:val="22"/>
              </w:rPr>
            </w:pPr>
            <w:r>
              <w:rPr>
                <w:sz w:val="22"/>
                <w:szCs w:val="22"/>
              </w:rPr>
              <w:t>$1,365.05</w:t>
            </w:r>
            <w:r w:rsidR="00EF552B">
              <w:rPr>
                <w:sz w:val="22"/>
                <w:szCs w:val="22"/>
              </w:rPr>
              <w:t xml:space="preserve"> </w:t>
            </w:r>
          </w:p>
        </w:tc>
      </w:tr>
      <w:tr w14:paraId="6D07F86E" w14:textId="77777777" w:rsidTr="00297701">
        <w:tblPrEx>
          <w:tblW w:w="9900" w:type="dxa"/>
          <w:tblInd w:w="-5" w:type="dxa"/>
          <w:tblLayout w:type="fixed"/>
          <w:tblLook w:val="04A0"/>
        </w:tblPrEx>
        <w:trPr>
          <w:trHeight w:val="98"/>
        </w:trPr>
        <w:tc>
          <w:tcPr>
            <w:tcW w:w="1619" w:type="dxa"/>
            <w:tcBorders>
              <w:top w:val="single" w:sz="4" w:space="0" w:color="auto"/>
              <w:left w:val="single" w:sz="4" w:space="0" w:color="auto"/>
              <w:bottom w:val="single" w:sz="4" w:space="0" w:color="auto"/>
              <w:right w:val="single" w:sz="4" w:space="0" w:color="auto"/>
            </w:tcBorders>
            <w:noWrap/>
            <w:vAlign w:val="center"/>
            <w:hideMark/>
          </w:tcPr>
          <w:p w:rsidR="000869E3" w:rsidRPr="00341B6C" w:rsidP="0078689B" w14:paraId="15ECDEDB" w14:textId="7C0F4EE9">
            <w:pPr>
              <w:spacing w:after="160" w:line="259" w:lineRule="auto"/>
              <w:rPr>
                <w:b/>
                <w:sz w:val="22"/>
                <w:szCs w:val="22"/>
              </w:rPr>
            </w:pPr>
            <w:r w:rsidRPr="00341B6C">
              <w:rPr>
                <w:b/>
                <w:sz w:val="22"/>
                <w:szCs w:val="22"/>
              </w:rPr>
              <w:t>Total</w:t>
            </w:r>
          </w:p>
        </w:tc>
        <w:tc>
          <w:tcPr>
            <w:tcW w:w="1441" w:type="dxa"/>
            <w:tcBorders>
              <w:top w:val="single" w:sz="4" w:space="0" w:color="auto"/>
              <w:left w:val="single" w:sz="4" w:space="0" w:color="auto"/>
              <w:bottom w:val="single" w:sz="4" w:space="0" w:color="auto"/>
              <w:right w:val="single" w:sz="4" w:space="0" w:color="auto"/>
            </w:tcBorders>
            <w:vAlign w:val="center"/>
          </w:tcPr>
          <w:p w:rsidR="000869E3" w:rsidRPr="00341B6C" w:rsidP="00D72959" w14:paraId="3B2E2258" w14:textId="7B6EEED5">
            <w:pPr>
              <w:spacing w:after="160" w:line="259" w:lineRule="auto"/>
              <w:jc w:val="center"/>
              <w:rPr>
                <w:sz w:val="22"/>
                <w:szCs w:val="22"/>
              </w:rPr>
            </w:pPr>
            <w:r w:rsidRPr="00467FB2">
              <w:rPr>
                <w:sz w:val="22"/>
                <w:szCs w:val="22"/>
              </w:rPr>
              <w:t>378</w:t>
            </w:r>
          </w:p>
        </w:tc>
        <w:tc>
          <w:tcPr>
            <w:tcW w:w="1350" w:type="dxa"/>
            <w:tcBorders>
              <w:top w:val="single" w:sz="4" w:space="0" w:color="auto"/>
              <w:left w:val="single" w:sz="4" w:space="0" w:color="auto"/>
              <w:bottom w:val="single" w:sz="4" w:space="0" w:color="auto"/>
              <w:right w:val="single" w:sz="4" w:space="0" w:color="auto"/>
            </w:tcBorders>
            <w:vAlign w:val="center"/>
          </w:tcPr>
          <w:p w:rsidR="000869E3" w:rsidRPr="00341B6C" w:rsidP="00623F2B" w14:paraId="73E858F1" w14:textId="57977E82">
            <w:pPr>
              <w:spacing w:after="160" w:line="259" w:lineRule="auto"/>
              <w:jc w:val="center"/>
              <w:rPr>
                <w:sz w:val="22"/>
                <w:szCs w:val="22"/>
              </w:rP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0869E3" w:rsidRPr="00341B6C" w:rsidP="00D72959" w14:paraId="33A900A0" w14:textId="49A85FF3">
            <w:pPr>
              <w:spacing w:after="160" w:line="259" w:lineRule="auto"/>
              <w:jc w:val="center"/>
              <w:rPr>
                <w:sz w:val="22"/>
                <w:szCs w:val="22"/>
              </w:rPr>
            </w:pPr>
            <w:r w:rsidRPr="00467FB2">
              <w:rPr>
                <w:color w:val="FF0000"/>
                <w:sz w:val="22"/>
                <w:szCs w:val="22"/>
              </w:rPr>
              <w:t>945</w:t>
            </w:r>
          </w:p>
        </w:tc>
        <w:tc>
          <w:tcPr>
            <w:tcW w:w="1170" w:type="dxa"/>
            <w:tcBorders>
              <w:top w:val="single" w:sz="4" w:space="0" w:color="auto"/>
              <w:left w:val="single" w:sz="4" w:space="0" w:color="auto"/>
              <w:bottom w:val="single" w:sz="4" w:space="0" w:color="auto"/>
              <w:right w:val="single" w:sz="4" w:space="0" w:color="auto"/>
            </w:tcBorders>
            <w:vAlign w:val="center"/>
          </w:tcPr>
          <w:p w:rsidR="000869E3" w:rsidRPr="00341B6C" w:rsidP="00623F2B" w14:paraId="7589C354" w14:textId="69F0D840">
            <w:pPr>
              <w:spacing w:after="160" w:line="259" w:lineRule="auto"/>
              <w:jc w:val="center"/>
              <w:rPr>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0869E3" w:rsidRPr="00341B6C" w:rsidP="00D72959" w14:paraId="4117591D" w14:textId="0DF14DC7">
            <w:pPr>
              <w:spacing w:after="160" w:line="259" w:lineRule="auto"/>
              <w:jc w:val="center"/>
              <w:rPr>
                <w:sz w:val="22"/>
                <w:szCs w:val="22"/>
              </w:rPr>
            </w:pPr>
            <w:r w:rsidRPr="00BA4723">
              <w:rPr>
                <w:color w:val="FF0000"/>
                <w:sz w:val="22"/>
                <w:szCs w:val="22"/>
              </w:rPr>
              <w:t>274.05</w:t>
            </w:r>
          </w:p>
        </w:tc>
        <w:tc>
          <w:tcPr>
            <w:tcW w:w="900" w:type="dxa"/>
            <w:tcBorders>
              <w:top w:val="single" w:sz="4" w:space="0" w:color="auto"/>
              <w:left w:val="single" w:sz="4" w:space="0" w:color="auto"/>
              <w:bottom w:val="single" w:sz="4" w:space="0" w:color="auto"/>
              <w:right w:val="single" w:sz="4" w:space="0" w:color="auto"/>
            </w:tcBorders>
            <w:vAlign w:val="center"/>
          </w:tcPr>
          <w:p w:rsidR="000869E3" w:rsidRPr="00341B6C" w:rsidP="00623F2B" w14:paraId="37C28115" w14:textId="434F6E26">
            <w:pPr>
              <w:spacing w:after="160" w:line="259" w:lineRule="auto"/>
              <w:jc w:val="center"/>
              <w:rPr>
                <w:sz w:val="22"/>
                <w:szCs w:val="22"/>
              </w:rPr>
            </w:pPr>
            <w:r>
              <w:rPr>
                <w:sz w:val="22"/>
                <w:szCs w:val="22"/>
              </w:rPr>
              <w:t>$</w:t>
            </w:r>
            <w:r w:rsidR="00C637C2">
              <w:rPr>
                <w:sz w:val="22"/>
                <w:szCs w:val="22"/>
              </w:rPr>
              <w:t>28.89</w:t>
            </w: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0869E3" w:rsidRPr="00553392" w:rsidP="00623F2B" w14:paraId="3BDECA69" w14:textId="3E62A7C8">
            <w:pPr>
              <w:spacing w:after="160" w:line="259" w:lineRule="auto"/>
              <w:jc w:val="center"/>
              <w:rPr>
                <w:sz w:val="22"/>
                <w:szCs w:val="22"/>
              </w:rPr>
            </w:pPr>
            <w:r>
              <w:rPr>
                <w:sz w:val="22"/>
                <w:szCs w:val="22"/>
              </w:rPr>
              <w:t>$7,917.30</w:t>
            </w:r>
          </w:p>
        </w:tc>
      </w:tr>
      <w:tr w14:paraId="0674B039" w14:textId="77777777" w:rsidTr="5CEF4FBF">
        <w:tblPrEx>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20" w:type="dxa"/>
          <w:trHeight w:val="233"/>
        </w:trPr>
        <w:tc>
          <w:tcPr>
            <w:tcW w:w="9900" w:type="dxa"/>
            <w:gridSpan w:val="8"/>
            <w:tcBorders>
              <w:top w:val="nil"/>
              <w:left w:val="nil"/>
              <w:bottom w:val="nil"/>
              <w:right w:val="nil"/>
            </w:tcBorders>
            <w:shd w:val="clear" w:color="auto" w:fill="auto"/>
            <w:noWrap/>
            <w:vAlign w:val="center"/>
            <w:hideMark/>
          </w:tcPr>
          <w:p w:rsidR="00CB7C8D" w:rsidRPr="00CB7C8D" w:rsidP="5355D8B4" w14:paraId="292B8AB3" w14:textId="3DE52AF5">
            <w:pPr>
              <w:rPr>
                <w:color w:val="000000"/>
                <w:sz w:val="20"/>
              </w:rPr>
            </w:pPr>
            <w:r w:rsidRPr="5355D8B4">
              <w:rPr>
                <w:color w:val="000000"/>
                <w:sz w:val="20"/>
                <w:vertAlign w:val="superscript"/>
              </w:rPr>
              <w:t xml:space="preserve"> </w:t>
            </w:r>
            <w:r w:rsidRPr="5355D8B4">
              <w:rPr>
                <w:color w:val="000000"/>
                <w:sz w:val="20"/>
                <w:vertAlign w:val="superscript"/>
              </w:rPr>
              <w:t>[</w:t>
            </w:r>
            <w:r>
              <w:rPr>
                <w:color w:val="000000"/>
                <w:sz w:val="20"/>
                <w:vertAlign w:val="superscript"/>
              </w:rPr>
              <w:t>2</w:t>
            </w:r>
            <w:r w:rsidRPr="5355D8B4">
              <w:rPr>
                <w:color w:val="000000"/>
                <w:sz w:val="20"/>
                <w:vertAlign w:val="superscript"/>
              </w:rPr>
              <w:t>]</w:t>
            </w:r>
            <w:r w:rsidRPr="5355D8B4">
              <w:rPr>
                <w:color w:val="000000"/>
                <w:sz w:val="20"/>
              </w:rPr>
              <w:t xml:space="preserve"> The hourly wage estimate is $</w:t>
            </w:r>
            <w:r w:rsidR="000D2BC0">
              <w:rPr>
                <w:color w:val="000000"/>
                <w:sz w:val="20"/>
              </w:rPr>
              <w:t>28.89</w:t>
            </w:r>
            <w:r w:rsidRPr="5355D8B4">
              <w:rPr>
                <w:color w:val="000000"/>
                <w:sz w:val="20"/>
              </w:rPr>
              <w:t xml:space="preserve"> based on the Occupational Employment and Wages, Mean Hourly Wage Rate for 21-10</w:t>
            </w:r>
            <w:r w:rsidRPr="5355D8B4" w:rsidR="54EBF70C">
              <w:rPr>
                <w:color w:val="000000"/>
                <w:sz w:val="20"/>
              </w:rPr>
              <w:t>18</w:t>
            </w:r>
            <w:r w:rsidRPr="5355D8B4" w:rsidR="0B92D81E">
              <w:rPr>
                <w:color w:val="000000"/>
                <w:sz w:val="20"/>
              </w:rPr>
              <w:t xml:space="preserve"> </w:t>
            </w:r>
            <w:r w:rsidRPr="5355D8B4" w:rsidR="0B92D81E">
              <w:rPr>
                <w:sz w:val="20"/>
              </w:rPr>
              <w:t>Substance Abuse, Behavioral Disorder, and Mental Health Counselors</w:t>
            </w:r>
            <w:r w:rsidRPr="5355D8B4">
              <w:rPr>
                <w:color w:val="000000"/>
                <w:sz w:val="20"/>
              </w:rPr>
              <w:t>= $</w:t>
            </w:r>
            <w:r w:rsidR="000D2BC0">
              <w:rPr>
                <w:color w:val="000000"/>
                <w:sz w:val="20"/>
              </w:rPr>
              <w:t>28.89</w:t>
            </w:r>
            <w:r w:rsidRPr="5355D8B4" w:rsidR="684316DE">
              <w:rPr>
                <w:color w:val="000000"/>
                <w:sz w:val="20"/>
              </w:rPr>
              <w:t xml:space="preserve"> </w:t>
            </w:r>
            <w:r w:rsidRPr="5355D8B4">
              <w:rPr>
                <w:color w:val="000000"/>
                <w:sz w:val="20"/>
              </w:rPr>
              <w:t xml:space="preserve">/hr. as of </w:t>
            </w:r>
            <w:r w:rsidRPr="5355D8B4" w:rsidR="0D2A45DA">
              <w:rPr>
                <w:color w:val="000000"/>
                <w:sz w:val="20"/>
              </w:rPr>
              <w:t>May</w:t>
            </w:r>
            <w:r>
              <w:rPr>
                <w:color w:val="000000"/>
                <w:sz w:val="20"/>
              </w:rPr>
              <w:t xml:space="preserve"> </w:t>
            </w:r>
            <w:r w:rsidRPr="5355D8B4" w:rsidR="0D2A45DA">
              <w:rPr>
                <w:color w:val="000000"/>
                <w:sz w:val="20"/>
              </w:rPr>
              <w:t>202</w:t>
            </w:r>
            <w:r w:rsidR="000D2BC0">
              <w:rPr>
                <w:color w:val="000000"/>
                <w:sz w:val="20"/>
              </w:rPr>
              <w:t>3</w:t>
            </w:r>
            <w:r w:rsidRPr="5355D8B4" w:rsidR="0D2A45DA">
              <w:rPr>
                <w:color w:val="000000"/>
                <w:sz w:val="20"/>
              </w:rPr>
              <w:t xml:space="preserve"> </w:t>
            </w:r>
            <w:r w:rsidRPr="5355D8B4">
              <w:rPr>
                <w:color w:val="000000"/>
                <w:sz w:val="20"/>
              </w:rPr>
              <w:t>(</w:t>
            </w:r>
            <w:r w:rsidRPr="00F80B03" w:rsidR="51A1C90D">
              <w:rPr>
                <w:sz w:val="20"/>
              </w:rPr>
              <w:t>https://www.bls.gov</w:t>
            </w:r>
            <w:r w:rsidRPr="5355D8B4" w:rsidR="51A1C90D">
              <w:rPr>
                <w:color w:val="000000" w:themeColor="text1"/>
                <w:sz w:val="20"/>
              </w:rPr>
              <w:t>/oes/current/oes211018.htm</w:t>
            </w:r>
            <w:r w:rsidRPr="5355D8B4" w:rsidR="51A1C90D">
              <w:rPr>
                <w:color w:val="000000"/>
                <w:sz w:val="20"/>
              </w:rPr>
              <w:t xml:space="preserve"> </w:t>
            </w:r>
            <w:r w:rsidRPr="5355D8B4">
              <w:rPr>
                <w:color w:val="000000" w:themeColor="text1"/>
                <w:sz w:val="20"/>
              </w:rPr>
              <w:t xml:space="preserve">Accessed on </w:t>
            </w:r>
            <w:r w:rsidR="00EC3118">
              <w:rPr>
                <w:color w:val="000000" w:themeColor="text1"/>
                <w:sz w:val="20"/>
              </w:rPr>
              <w:t>September 23</w:t>
            </w:r>
            <w:r w:rsidR="00B02E56">
              <w:rPr>
                <w:color w:val="000000" w:themeColor="text1"/>
                <w:sz w:val="20"/>
              </w:rPr>
              <w:t>, 2024</w:t>
            </w:r>
            <w:r w:rsidRPr="5355D8B4">
              <w:rPr>
                <w:color w:val="000000" w:themeColor="text1"/>
                <w:sz w:val="20"/>
              </w:rPr>
              <w:t>.)</w:t>
            </w:r>
          </w:p>
        </w:tc>
      </w:tr>
      <w:tr w14:paraId="7E506210" w14:textId="77777777" w:rsidTr="5CEF4FBF">
        <w:tblPrEx>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20" w:type="dxa"/>
          <w:trHeight w:val="218"/>
        </w:trPr>
        <w:tc>
          <w:tcPr>
            <w:tcW w:w="9900" w:type="dxa"/>
            <w:gridSpan w:val="8"/>
            <w:tcBorders>
              <w:top w:val="nil"/>
              <w:left w:val="nil"/>
              <w:bottom w:val="nil"/>
              <w:right w:val="nil"/>
            </w:tcBorders>
            <w:shd w:val="clear" w:color="auto" w:fill="auto"/>
            <w:noWrap/>
            <w:vAlign w:val="center"/>
            <w:hideMark/>
          </w:tcPr>
          <w:p w:rsidR="00CB7C8D" w:rsidRPr="00CB7C8D" w:rsidP="00CB7C8D" w14:paraId="727E9CC0" w14:textId="77777777">
            <w:pPr>
              <w:rPr>
                <w:color w:val="000000"/>
                <w:sz w:val="20"/>
              </w:rPr>
            </w:pPr>
          </w:p>
        </w:tc>
      </w:tr>
      <w:bookmarkEnd w:id="5"/>
    </w:tbl>
    <w:p w:rsidR="00EF5845" w:rsidP="00C84489" w14:paraId="3BECA2A1" w14:textId="77777777"/>
    <w:p w:rsidR="00C84489" w:rsidP="00C84489" w14:paraId="6CCF0ACD" w14:textId="172D323A">
      <w:pPr>
        <w:rPr>
          <w:highlight w:val="yellow"/>
        </w:rPr>
      </w:pPr>
      <w:r>
        <w:t xml:space="preserve">The estimates in this table reflect the maximum annual burden for currently funded </w:t>
      </w:r>
      <w:r w:rsidR="1F522064">
        <w:t xml:space="preserve">SOR/TOR </w:t>
      </w:r>
      <w:r>
        <w:t xml:space="preserve">  programs</w:t>
      </w:r>
      <w:r w:rsidR="00E279F8">
        <w:t xml:space="preserve">.  </w:t>
      </w:r>
      <w:r w:rsidRPr="001D78F1">
        <w:t xml:space="preserve">The number of clients served in </w:t>
      </w:r>
      <w:r w:rsidRPr="001D78F1" w:rsidR="007E6539">
        <w:t xml:space="preserve">future </w:t>
      </w:r>
      <w:r w:rsidRPr="001D78F1">
        <w:t>years is estimated to be the same</w:t>
      </w:r>
      <w:r w:rsidRPr="001D78F1" w:rsidR="007E6539">
        <w:t>,</w:t>
      </w:r>
      <w:r w:rsidRPr="001D78F1">
        <w:t xml:space="preserve"> assuming </w:t>
      </w:r>
      <w:r w:rsidRPr="001D78F1" w:rsidR="007E6539">
        <w:t xml:space="preserve">unchanged </w:t>
      </w:r>
      <w:r w:rsidRPr="001D78F1">
        <w:t xml:space="preserve">funding of the </w:t>
      </w:r>
      <w:r w:rsidRPr="001D78F1" w:rsidR="55573B58">
        <w:t>SOR/TOR</w:t>
      </w:r>
      <w:r w:rsidRPr="001D78F1">
        <w:t xml:space="preserve"> program, resulting in the same annual burden estimate for those years.</w:t>
      </w:r>
    </w:p>
    <w:p w:rsidR="005A4A00" w:rsidP="005A4A00" w14:paraId="5DDE5893" w14:textId="77777777"/>
    <w:p w:rsidR="005A4A00" w:rsidRPr="00446BA6" w:rsidP="005A4A00" w14:paraId="35F8F437" w14:textId="77777777">
      <w:pPr>
        <w:rPr>
          <w:b/>
          <w:bCs/>
        </w:rPr>
      </w:pPr>
      <w:r>
        <w:rPr>
          <w:b/>
        </w:rPr>
        <w:t>A</w:t>
      </w:r>
      <w:r w:rsidRPr="006A4B05">
        <w:rPr>
          <w:b/>
        </w:rPr>
        <w:t xml:space="preserve">13.  </w:t>
      </w:r>
      <w:r>
        <w:rPr>
          <w:b/>
        </w:rPr>
        <w:t xml:space="preserve">   </w:t>
      </w:r>
      <w:r>
        <w:rPr>
          <w:b/>
          <w:bCs/>
        </w:rPr>
        <w:t xml:space="preserve">Estimates of </w:t>
      </w:r>
      <w:r w:rsidR="00AC3E29">
        <w:rPr>
          <w:b/>
          <w:bCs/>
        </w:rPr>
        <w:t xml:space="preserve">Annualized </w:t>
      </w:r>
      <w:r w:rsidRPr="00446BA6">
        <w:rPr>
          <w:b/>
          <w:bCs/>
        </w:rPr>
        <w:t xml:space="preserve">Cost Burden to Respondents </w:t>
      </w:r>
    </w:p>
    <w:p w:rsidR="005A4A00" w:rsidP="005A4A00" w14:paraId="2ABDC2A4" w14:textId="77777777"/>
    <w:p w:rsidR="005A4A00" w:rsidP="005A4A00" w14:paraId="4CE0CD31" w14:textId="77777777">
      <w:r>
        <w:t xml:space="preserve">There are </w:t>
      </w:r>
      <w:r w:rsidR="00A93688">
        <w:t xml:space="preserve">no </w:t>
      </w:r>
      <w:r>
        <w:t>capital or startup costs</w:t>
      </w:r>
      <w:r w:rsidR="00A93688">
        <w:t>,</w:t>
      </w:r>
      <w:r>
        <w:t xml:space="preserve"> nor are there any operation and maintenance costs.</w:t>
      </w:r>
    </w:p>
    <w:p w:rsidR="005A4A00" w:rsidP="005A4A00" w14:paraId="672CB2CE" w14:textId="77777777"/>
    <w:p w:rsidR="005A4A00" w:rsidRPr="00203445" w:rsidP="5355D8B4" w14:paraId="38D47927" w14:textId="77777777">
      <w:pPr>
        <w:rPr>
          <w:b/>
          <w:bCs/>
        </w:rPr>
      </w:pPr>
      <w:r w:rsidRPr="5355D8B4">
        <w:rPr>
          <w:b/>
          <w:bCs/>
        </w:rPr>
        <w:t>A14.     Estimates of Annualized Cost to the Government</w:t>
      </w:r>
    </w:p>
    <w:p w:rsidR="005A4A00" w:rsidP="005A4A00" w14:paraId="4A38B1B9" w14:textId="77777777"/>
    <w:p w:rsidR="005A4A00" w:rsidP="005A4A00" w14:paraId="7C06D6E7" w14:textId="6639479D">
      <w:r>
        <w:t>The principal additional cost to the government for this project is a contract to collect data from the various programs and conduct analyses</w:t>
      </w:r>
      <w:r w:rsidR="007E6539">
        <w:t xml:space="preserve"> for</w:t>
      </w:r>
      <w:r>
        <w:t xml:space="preserve"> routine reports</w:t>
      </w:r>
      <w:r w:rsidR="00871014">
        <w:t xml:space="preserve">. </w:t>
      </w:r>
      <w:r>
        <w:t xml:space="preserve">The reports </w:t>
      </w:r>
      <w:r w:rsidR="007E6539">
        <w:t xml:space="preserve">will </w:t>
      </w:r>
      <w:r>
        <w:t xml:space="preserve">examine </w:t>
      </w:r>
      <w:r w:rsidR="00EA0553">
        <w:t>program level</w:t>
      </w:r>
      <w:r w:rsidR="009369B1">
        <w:t xml:space="preserve"> data quarterly</w:t>
      </w:r>
      <w:r w:rsidR="00B4235D">
        <w:t xml:space="preserve">.  </w:t>
      </w:r>
      <w:r>
        <w:t xml:space="preserve">It </w:t>
      </w:r>
      <w:r w:rsidR="007E6539">
        <w:t xml:space="preserve">will be </w:t>
      </w:r>
      <w:r>
        <w:t xml:space="preserve">the responsibility of the contractor to work with </w:t>
      </w:r>
      <w:r w:rsidR="000B2D48">
        <w:t>the GPO</w:t>
      </w:r>
      <w:r>
        <w:t xml:space="preserve"> when preparing reports that combine </w:t>
      </w:r>
      <w:r w:rsidR="00450950">
        <w:t xml:space="preserve">program level </w:t>
      </w:r>
      <w:r>
        <w:t xml:space="preserve">data with the </w:t>
      </w:r>
      <w:r w:rsidR="007E6539">
        <w:t xml:space="preserve">project </w:t>
      </w:r>
      <w:r>
        <w:t xml:space="preserve">annual reports.  </w:t>
      </w:r>
    </w:p>
    <w:p w:rsidR="005A4A00" w:rsidP="005A4A00" w14:paraId="2D6F4DCF" w14:textId="77777777"/>
    <w:p w:rsidR="005A4A00" w:rsidRPr="00717048" w:rsidP="005A4A00" w14:paraId="2208DBA3" w14:textId="29ABEF45">
      <w:r w:rsidRPr="00717048">
        <w:t>T</w:t>
      </w:r>
      <w:r w:rsidRPr="00717048" w:rsidR="000B2D48">
        <w:t>he cost of one full-time equivalent</w:t>
      </w:r>
      <w:r w:rsidRPr="00717048">
        <w:t xml:space="preserve"> staff (25% for one GS-14</w:t>
      </w:r>
      <w:r w:rsidRPr="00717048">
        <w:t xml:space="preserve"> Step 5</w:t>
      </w:r>
      <w:r w:rsidRPr="00717048" w:rsidR="007E6539">
        <w:t>,</w:t>
      </w:r>
      <w:r w:rsidRPr="00717048">
        <w:t xml:space="preserve"> $</w:t>
      </w:r>
      <w:r w:rsidRPr="00717048">
        <w:t>3</w:t>
      </w:r>
      <w:r w:rsidRPr="00717048" w:rsidR="001D45B0">
        <w:t xml:space="preserve">9,495.50 </w:t>
      </w:r>
      <w:r w:rsidRPr="00717048">
        <w:t>and 75% for one GS-12</w:t>
      </w:r>
      <w:r w:rsidRPr="00717048">
        <w:t xml:space="preserve"> Step 5</w:t>
      </w:r>
      <w:r w:rsidRPr="00717048" w:rsidR="007E6539">
        <w:t>,</w:t>
      </w:r>
      <w:r w:rsidRPr="00717048">
        <w:t xml:space="preserve"> $</w:t>
      </w:r>
      <w:r w:rsidRPr="00717048" w:rsidR="00DD00FB">
        <w:t>84</w:t>
      </w:r>
      <w:r w:rsidRPr="00717048" w:rsidR="00F92C22">
        <w:t>,318,75</w:t>
      </w:r>
      <w:r w:rsidRPr="00717048">
        <w:t>) responsible for the CSAT data collection effort is approximately $</w:t>
      </w:r>
      <w:r w:rsidRPr="00717048" w:rsidR="006D215D">
        <w:t>371,442.75</w:t>
      </w:r>
      <w:r w:rsidRPr="00717048">
        <w:t xml:space="preserve"> over </w:t>
      </w:r>
      <w:r w:rsidRPr="00717048" w:rsidR="0080204F">
        <w:t>3</w:t>
      </w:r>
      <w:r w:rsidRPr="00717048">
        <w:t xml:space="preserve"> </w:t>
      </w:r>
      <w:r w:rsidRPr="00717048">
        <w:t>year</w:t>
      </w:r>
      <w:r w:rsidRPr="00717048">
        <w:t>s</w:t>
      </w:r>
      <w:r w:rsidRPr="00717048">
        <w:t>.</w:t>
      </w:r>
    </w:p>
    <w:p w:rsidR="00117615" w:rsidRPr="00717048" w:rsidP="005A4A00" w14:paraId="73471A24" w14:textId="7F03C320"/>
    <w:p w:rsidR="00117615" w:rsidP="005A4A00" w14:paraId="4E61B1F6" w14:textId="59424E94">
      <w:r w:rsidRPr="00717048">
        <w:t>The annualized cost to the government is $</w:t>
      </w:r>
      <w:r w:rsidRPr="00717048" w:rsidR="006D215D">
        <w:t>123,814</w:t>
      </w:r>
      <w:r w:rsidRPr="00717048" w:rsidR="00DC565D">
        <w:t>.</w:t>
      </w:r>
      <w:r w:rsidRPr="00717048" w:rsidR="00C47158">
        <w:t>25</w:t>
      </w:r>
      <w:r w:rsidRPr="00717048" w:rsidR="00485DDE">
        <w:t>.</w:t>
      </w:r>
    </w:p>
    <w:p w:rsidR="005A4A00" w:rsidP="005A4A00" w14:paraId="48DEC319" w14:textId="77777777">
      <w:pPr>
        <w:pStyle w:val="Heading2"/>
      </w:pPr>
      <w:bookmarkStart w:id="6" w:name="_Toc88033481"/>
      <w:bookmarkStart w:id="7" w:name="_Toc88277964"/>
      <w:r>
        <w:t>A15.</w:t>
      </w:r>
      <w:r>
        <w:tab/>
      </w:r>
      <w:r w:rsidRPr="00376798">
        <w:t>Changes in Burden</w:t>
      </w:r>
      <w:r>
        <w:t xml:space="preserve"> </w:t>
      </w:r>
      <w:bookmarkEnd w:id="6"/>
      <w:bookmarkEnd w:id="7"/>
    </w:p>
    <w:p w:rsidR="00CB5A62" w:rsidP="00372B42" w14:paraId="3955DEDF" w14:textId="78D2372B">
      <w:r>
        <w:t xml:space="preserve">The number of questions were </w:t>
      </w:r>
      <w:r>
        <w:t xml:space="preserve">increased </w:t>
      </w:r>
      <w:r w:rsidR="004B3498">
        <w:t>from 12 to 1</w:t>
      </w:r>
      <w:r w:rsidR="00516885">
        <w:t>7</w:t>
      </w:r>
      <w:r w:rsidR="00EF2733">
        <w:t xml:space="preserve">. </w:t>
      </w:r>
      <w:r w:rsidR="008B6FA7">
        <w:rPr>
          <w:color w:val="000000" w:themeColor="text1"/>
        </w:rPr>
        <w:t xml:space="preserve">Four questions with similar themes were combined into two questions for clarity; one question </w:t>
      </w:r>
      <w:r w:rsidR="0093347A">
        <w:rPr>
          <w:color w:val="000000" w:themeColor="text1"/>
        </w:rPr>
        <w:t xml:space="preserve">was removed </w:t>
      </w:r>
      <w:r w:rsidR="008B6FA7">
        <w:rPr>
          <w:color w:val="000000" w:themeColor="text1"/>
        </w:rPr>
        <w:t>because it is comprised of more than one question that has several different ideas, making it unsuited for this instrument; one question was added at the request of ONDCP</w:t>
      </w:r>
      <w:r w:rsidR="003D7BDA">
        <w:rPr>
          <w:color w:val="000000" w:themeColor="text1"/>
        </w:rPr>
        <w:t xml:space="preserve">; </w:t>
      </w:r>
      <w:r w:rsidR="00516885">
        <w:rPr>
          <w:color w:val="000000" w:themeColor="text1"/>
        </w:rPr>
        <w:t>six</w:t>
      </w:r>
      <w:r w:rsidR="003D7BDA">
        <w:rPr>
          <w:color w:val="000000" w:themeColor="text1"/>
        </w:rPr>
        <w:t xml:space="preserve"> </w:t>
      </w:r>
      <w:r w:rsidR="007306A7">
        <w:t xml:space="preserve">questions were added to collect data on treatment and recovery support activities, and an expenditure table </w:t>
      </w:r>
      <w:r w:rsidR="00BD56D1">
        <w:t xml:space="preserve">was added </w:t>
      </w:r>
      <w:r w:rsidR="007306A7">
        <w:t>to collect data on each grant sub-recipient</w:t>
      </w:r>
      <w:r w:rsidR="003D7BDA">
        <w:t xml:space="preserve"> to collect</w:t>
      </w:r>
      <w:r w:rsidRPr="004078BF" w:rsidR="003D7BDA">
        <w:rPr>
          <w:color w:val="000000" w:themeColor="text1"/>
        </w:rPr>
        <w:t xml:space="preserve"> information on Congressionally mandated and programmatic activities and comply with reporting requirements</w:t>
      </w:r>
      <w:r w:rsidR="007306A7">
        <w:t xml:space="preserve">. </w:t>
      </w:r>
      <w:r w:rsidR="00016EAF">
        <w:t xml:space="preserve">Therefore, the </w:t>
      </w:r>
      <w:r w:rsidR="000F5D71">
        <w:t>burden hours per response inc</w:t>
      </w:r>
      <w:r w:rsidR="0030070F">
        <w:t>reased</w:t>
      </w:r>
      <w:r w:rsidR="00F70B7B">
        <w:t xml:space="preserve"> </w:t>
      </w:r>
      <w:r w:rsidR="00941A01">
        <w:t xml:space="preserve">from </w:t>
      </w:r>
      <w:r w:rsidR="00F23F96">
        <w:t>0</w:t>
      </w:r>
      <w:r w:rsidR="00941A01">
        <w:t xml:space="preserve">.30 to </w:t>
      </w:r>
      <w:r w:rsidR="00F23F96">
        <w:t>0</w:t>
      </w:r>
      <w:r w:rsidR="00E77402">
        <w:t>.55</w:t>
      </w:r>
      <w:r w:rsidR="00941A01">
        <w:t xml:space="preserve"> hours</w:t>
      </w:r>
      <w:r w:rsidR="00712251">
        <w:t>,</w:t>
      </w:r>
      <w:r w:rsidR="00E6507D">
        <w:t xml:space="preserve"> </w:t>
      </w:r>
      <w:r w:rsidR="00712251">
        <w:t xml:space="preserve">which increased the total burden hours </w:t>
      </w:r>
      <w:r w:rsidR="00D11A0A">
        <w:t xml:space="preserve">from 226.80 </w:t>
      </w:r>
      <w:r w:rsidR="00712251">
        <w:t xml:space="preserve">to </w:t>
      </w:r>
      <w:r w:rsidR="00941A01">
        <w:t>274.05</w:t>
      </w:r>
      <w:r w:rsidR="00D11A0A">
        <w:t xml:space="preserve"> hours</w:t>
      </w:r>
      <w:r w:rsidR="00AE58F4">
        <w:t xml:space="preserve">. </w:t>
      </w:r>
    </w:p>
    <w:p w:rsidR="00372B42" w:rsidRPr="00B22AA3" w:rsidP="00E333F4" w14:paraId="2B951A2D" w14:textId="77777777"/>
    <w:p w:rsidR="005A4A00" w:rsidRPr="00E04321" w:rsidP="005A4A00" w14:paraId="0FAE4D88" w14:textId="77777777">
      <w:pPr>
        <w:pStyle w:val="Heading2"/>
      </w:pPr>
      <w:bookmarkStart w:id="8" w:name="_Hlk71807054"/>
      <w:r w:rsidRPr="00B22AA3">
        <w:rPr>
          <w:bCs w:val="0"/>
        </w:rPr>
        <w:t>A16</w:t>
      </w:r>
      <w:r w:rsidRPr="00B22AA3">
        <w:rPr>
          <w:b w:val="0"/>
        </w:rPr>
        <w:t xml:space="preserve">.  </w:t>
      </w:r>
      <w:r w:rsidRPr="00B22AA3">
        <w:rPr>
          <w:b w:val="0"/>
        </w:rPr>
        <w:tab/>
      </w:r>
      <w:r w:rsidRPr="00B22AA3">
        <w:t>Time Schedule</w:t>
      </w:r>
      <w:r>
        <w:t xml:space="preserve">, Publication and Analysis Plans </w:t>
      </w:r>
    </w:p>
    <w:bookmarkEnd w:id="8"/>
    <w:p w:rsidR="00D86BC3" w:rsidP="00D86BC3" w14:paraId="7493D73E" w14:textId="4B545C4F">
      <w:r>
        <w:t xml:space="preserve">Data for the SOR/TOR programs are needed by SAMHSA to prepare </w:t>
      </w:r>
      <w:r w:rsidR="00451D27">
        <w:t>Congressionally mandated</w:t>
      </w:r>
      <w:r>
        <w:t xml:space="preserve"> reports.  The SOR/TOR program data are readily available through the web-based system.  </w:t>
      </w:r>
      <w:r w:rsidR="006E2AFA">
        <w:t>Depending on the question, d</w:t>
      </w:r>
      <w:r>
        <w:t xml:space="preserve">ata are provided quarterly </w:t>
      </w:r>
      <w:r w:rsidR="006E2AFA">
        <w:t xml:space="preserve">and annually </w:t>
      </w:r>
      <w:r>
        <w:t>to SAMHSA</w:t>
      </w:r>
      <w:r w:rsidR="001E2950">
        <w:t>,</w:t>
      </w:r>
      <w:r>
        <w:t xml:space="preserve"> to assure </w:t>
      </w:r>
      <w:r w:rsidR="001E2950">
        <w:t xml:space="preserve">timely </w:t>
      </w:r>
      <w:r>
        <w:t>analysis</w:t>
      </w:r>
      <w:r w:rsidR="001E2950">
        <w:t>,</w:t>
      </w:r>
      <w:r>
        <w:t xml:space="preserve"> </w:t>
      </w:r>
      <w:r w:rsidR="00800CC1">
        <w:t xml:space="preserve">and </w:t>
      </w:r>
      <w:r>
        <w:t xml:space="preserve">to submit the required Congressional reports.  </w:t>
      </w:r>
    </w:p>
    <w:p w:rsidR="00D86BC3" w:rsidP="00D86BC3" w14:paraId="66B553D1" w14:textId="77777777"/>
    <w:p w:rsidR="005A4A00" w:rsidP="00D86BC3" w14:paraId="555D6126" w14:textId="2E2C6299">
      <w:r>
        <w:t>There will also be program-specific analys</w:t>
      </w:r>
      <w:r w:rsidR="001E2950">
        <w:t>e</w:t>
      </w:r>
      <w:r>
        <w:t>s of these data because each program has unique programmatic and performance goals.  The data items collected will be analyzed and presented in GPRA reports using basic descriptive statistics. Key outcomes</w:t>
      </w:r>
      <w:r w:rsidRPr="001E2950" w:rsidR="001E2950">
        <w:t xml:space="preserve"> </w:t>
      </w:r>
      <w:r w:rsidR="001E2950">
        <w:t>that will be calculated and aggregated at the program level</w:t>
      </w:r>
      <w:r>
        <w:t xml:space="preserve"> includ</w:t>
      </w:r>
      <w:r w:rsidR="001E2950">
        <w:t>e:</w:t>
      </w:r>
      <w:r>
        <w:t xml:space="preserve"> reported overdose reversals; the purchase and distribution of </w:t>
      </w:r>
      <w:r w:rsidR="00334920">
        <w:t xml:space="preserve"> naloxone and </w:t>
      </w:r>
      <w:r w:rsidR="00EE41E3">
        <w:t>opioid overdose reversal medications</w:t>
      </w:r>
      <w:r w:rsidR="001E2950">
        <w:t>;</w:t>
      </w:r>
      <w:r>
        <w:t xml:space="preserve"> </w:t>
      </w:r>
      <w:r w:rsidR="005370AE">
        <w:t>t</w:t>
      </w:r>
      <w:r w:rsidRPr="006A11C8" w:rsidR="005370AE">
        <w:t xml:space="preserve">ypes of entities that distribute </w:t>
      </w:r>
      <w:r w:rsidR="005370AE">
        <w:t xml:space="preserve">naloxone and </w:t>
      </w:r>
      <w:r w:rsidRPr="006A11C8" w:rsidR="005370AE">
        <w:t>opioid overdose reversal medications</w:t>
      </w:r>
      <w:r w:rsidR="00F83BA0">
        <w:t xml:space="preserve">; </w:t>
      </w:r>
      <w:r>
        <w:t>training on the administration of naloxone</w:t>
      </w:r>
      <w:r w:rsidR="00334920">
        <w:t xml:space="preserve"> and </w:t>
      </w:r>
      <w:r w:rsidR="00EE41E3">
        <w:t>opioid overdose reversal medicat</w:t>
      </w:r>
      <w:r w:rsidR="006A11C8">
        <w:t>i</w:t>
      </w:r>
      <w:r w:rsidR="00EE41E3">
        <w:t>ons</w:t>
      </w:r>
      <w:r>
        <w:t xml:space="preserve">; implementation of prevention and education </w:t>
      </w:r>
      <w:r>
        <w:t xml:space="preserve">activities; purchase and distribution of </w:t>
      </w:r>
      <w:r w:rsidR="00EE41E3">
        <w:t>drug checking technologies</w:t>
      </w:r>
      <w:r w:rsidR="002D0FF0">
        <w:t xml:space="preserve"> as directed by SAMHSA</w:t>
      </w:r>
      <w:r w:rsidR="00C84D3F">
        <w:t>; treatment services for OUD</w:t>
      </w:r>
      <w:r w:rsidR="002D40AF">
        <w:t>, and stimulant use disorder; types of recovery support services; and expenditure amounts for each SOR and TOR sub-recipient</w:t>
      </w:r>
      <w:r>
        <w:t xml:space="preserve">.  If deemed necessary for CSAT specific issues, the data will be examined at the individual activity level.  </w:t>
      </w:r>
    </w:p>
    <w:p w:rsidR="00D86BC3" w:rsidRPr="001063A0" w:rsidP="00D86BC3" w14:paraId="7A64E20B" w14:textId="77777777"/>
    <w:p w:rsidR="005A4A00" w:rsidRPr="00446BA6" w:rsidP="005A4A00" w14:paraId="0B40A7C6" w14:textId="77777777">
      <w:pPr>
        <w:rPr>
          <w:b/>
        </w:rPr>
      </w:pPr>
      <w:r>
        <w:rPr>
          <w:b/>
        </w:rPr>
        <w:t>A</w:t>
      </w:r>
      <w:r w:rsidRPr="00446BA6">
        <w:rPr>
          <w:b/>
        </w:rPr>
        <w:t xml:space="preserve">17.     </w:t>
      </w:r>
      <w:r>
        <w:rPr>
          <w:b/>
        </w:rPr>
        <w:t xml:space="preserve">Display of Expiration Date </w:t>
      </w:r>
    </w:p>
    <w:p w:rsidR="005A4A00" w:rsidP="005A4A00" w14:paraId="4A71206F" w14:textId="77777777"/>
    <w:p w:rsidR="005A4A00" w:rsidP="005A4A00" w14:paraId="70F6236E" w14:textId="77777777">
      <w:r>
        <w:t>The expiration date for OMB approval will be displayed on all data collection instruments.</w:t>
      </w:r>
    </w:p>
    <w:p w:rsidR="00D8523D" w:rsidP="005A4A00" w14:paraId="2DBA1C63" w14:textId="77777777"/>
    <w:p w:rsidR="005A4A00" w:rsidRPr="00446BA6" w:rsidP="005A4A00" w14:paraId="57DFCB52" w14:textId="77777777">
      <w:pPr>
        <w:rPr>
          <w:b/>
        </w:rPr>
      </w:pPr>
      <w:r>
        <w:rPr>
          <w:b/>
        </w:rPr>
        <w:t>A</w:t>
      </w:r>
      <w:r w:rsidRPr="00446BA6">
        <w:rPr>
          <w:b/>
        </w:rPr>
        <w:t xml:space="preserve">18.     Exceptions to Certification </w:t>
      </w:r>
      <w:r>
        <w:rPr>
          <w:b/>
        </w:rPr>
        <w:t xml:space="preserve">Statement </w:t>
      </w:r>
    </w:p>
    <w:p w:rsidR="005A4A00" w:rsidP="005A4A00" w14:paraId="3F87DBF6" w14:textId="77777777"/>
    <w:p w:rsidR="005A4A00" w:rsidRPr="000467FD" w:rsidP="005A4A00" w14:paraId="5A0E37AB" w14:textId="77777777">
      <w:pPr>
        <w:rPr>
          <w:strike/>
          <w:szCs w:val="24"/>
        </w:rPr>
      </w:pPr>
      <w:r>
        <w:t>This collection of information involves no exceptions to the Certification for Paperwork Reduction Act Submissions</w:t>
      </w:r>
      <w:r w:rsidR="00E279F8">
        <w:t xml:space="preserve">.  </w:t>
      </w:r>
      <w:r w:rsidRPr="00E333F4" w:rsidR="00CC0FCD">
        <w:t>The certifications are included in this submission.</w:t>
      </w:r>
    </w:p>
    <w:p w:rsidR="005A4A00" w:rsidP="005A4A00" w14:paraId="6E7A8A03" w14:textId="77777777">
      <w:pPr>
        <w:rPr>
          <w:b/>
        </w:rPr>
      </w:pPr>
    </w:p>
    <w:p w:rsidR="005A4A00" w:rsidP="005A4A00" w14:paraId="6E0D8EB2" w14:textId="77777777">
      <w:pPr>
        <w:rPr>
          <w:b/>
        </w:rPr>
      </w:pPr>
    </w:p>
    <w:p w:rsidR="00A63615" w14:paraId="19283B60" w14:textId="77777777"/>
    <w:sectPr w:rsidSect="001D0E5E">
      <w:headerReference w:type="even" r:id="rId10"/>
      <w:headerReference w:type="default" r:id="rId11"/>
      <w:footerReference w:type="even" r:id="rId12"/>
      <w:footerReference w:type="default" r:id="rId13"/>
      <w:endnotePr>
        <w:numFmt w:val="lowerLetter"/>
      </w:endnotePr>
      <w:pgSz w:w="12240" w:h="15840"/>
      <w:pgMar w:top="990" w:right="1440" w:bottom="1260" w:left="1440" w:header="1440" w:footer="8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rsidP="001D0E5E" w14:paraId="0223FCB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7535" w14:paraId="39A3D5DF"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rsidP="001D0E5E" w14:paraId="79E92583" w14:textId="491C6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6B4">
      <w:rPr>
        <w:rStyle w:val="PageNumber"/>
        <w:noProof/>
      </w:rPr>
      <w:t>4</w:t>
    </w:r>
    <w:r>
      <w:rPr>
        <w:rStyle w:val="PageNumber"/>
      </w:rPr>
      <w:fldChar w:fldCharType="end"/>
    </w:r>
  </w:p>
  <w:p w:rsidR="00A87535" w:rsidP="001D0E5E" w14:paraId="00511DE3"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32D8" w:rsidP="005525FC" w14:paraId="45F156F3" w14:textId="77777777">
      <w:r>
        <w:separator/>
      </w:r>
    </w:p>
  </w:footnote>
  <w:footnote w:type="continuationSeparator" w:id="1">
    <w:p w:rsidR="007C32D8" w:rsidP="005525FC" w14:paraId="0EDE157E" w14:textId="77777777">
      <w:r>
        <w:continuationSeparator/>
      </w:r>
    </w:p>
  </w:footnote>
  <w:footnote w:type="continuationNotice" w:id="2">
    <w:p w:rsidR="007C32D8" w14:paraId="754D473C" w14:textId="77777777"/>
  </w:footnote>
  <w:footnote w:id="3">
    <w:p w:rsidR="000869E3" w:rsidP="000869E3" w14:paraId="65D28F71" w14:textId="77777777">
      <w:pPr>
        <w:keepLines/>
        <w:rPr>
          <w:sz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14:paraId="3792B399"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7535" w14:paraId="400DC42C" w14:textId="77777777">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F1465"/>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C56B11"/>
    <w:multiLevelType w:val="hybridMultilevel"/>
    <w:tmpl w:val="9A902B4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2D42D5D"/>
    <w:multiLevelType w:val="hybridMultilevel"/>
    <w:tmpl w:val="2F9CD9F6"/>
    <w:lvl w:ilvl="0">
      <w:start w:val="1"/>
      <w:numFmt w:val="bullet"/>
      <w:lvlText w:val=""/>
      <w:lvlJc w:val="left"/>
      <w:pPr>
        <w:ind w:left="1800" w:hanging="360"/>
      </w:pPr>
      <w:rPr>
        <w:rFonts w:ascii="Wingdings 2" w:eastAsia="Wingdings 2" w:hAnsi="Wingdings 2" w:hint="default"/>
        <w:sz w:val="22"/>
        <w:szCs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BE27F58"/>
    <w:multiLevelType w:val="hybridMultilevel"/>
    <w:tmpl w:val="3D7C2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D1543A"/>
    <w:multiLevelType w:val="hybridMultilevel"/>
    <w:tmpl w:val="EC38B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050A3C"/>
    <w:multiLevelType w:val="hybridMultilevel"/>
    <w:tmpl w:val="DA964A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7D12B1"/>
    <w:multiLevelType w:val="hybridMultilevel"/>
    <w:tmpl w:val="A71A3AD6"/>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9A2577"/>
    <w:multiLevelType w:val="hybridMultilevel"/>
    <w:tmpl w:val="F4F289D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E6D7F07"/>
    <w:multiLevelType w:val="hybridMultilevel"/>
    <w:tmpl w:val="B7A25E04"/>
    <w:lvl w:ilvl="0">
      <w:start w:val="1"/>
      <w:numFmt w:val="decimal"/>
      <w:lvlText w:val="%1."/>
      <w:lvlJc w:val="left"/>
      <w:pPr>
        <w:ind w:left="720" w:hanging="360"/>
      </w:pPr>
      <w:rPr>
        <w:rFonts w:eastAsia="Calibr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820C34"/>
    <w:multiLevelType w:val="hybridMultilevel"/>
    <w:tmpl w:val="ACAE16CC"/>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0">
    <w:nsid w:val="235D530D"/>
    <w:multiLevelType w:val="hybridMultilevel"/>
    <w:tmpl w:val="DAA6C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E16289"/>
    <w:multiLevelType w:val="hybridMultilevel"/>
    <w:tmpl w:val="96D02034"/>
    <w:lvl w:ilvl="0">
      <w:start w:val="1"/>
      <w:numFmt w:val="decimal"/>
      <w:pStyle w:val="QuestionNumbered"/>
      <w:lvlText w:val="%1."/>
      <w:lvlJc w:val="left"/>
      <w:pPr>
        <w:ind w:left="2340" w:hanging="21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4557008"/>
    <w:multiLevelType w:val="hybridMultilevel"/>
    <w:tmpl w:val="547CA57A"/>
    <w:lvl w:ilvl="0">
      <w:start w:val="1"/>
      <w:numFmt w:val="decimal"/>
      <w:lvlText w:val="%1."/>
      <w:lvlJc w:val="left"/>
      <w:pPr>
        <w:ind w:left="720" w:hanging="360"/>
      </w:pPr>
      <w:rPr>
        <w:rFonts w:hint="default"/>
      </w:rPr>
    </w:lvl>
    <w:lvl w:ilvl="1">
      <w:start w:val="1"/>
      <w:numFmt w:val="lowerRoman"/>
      <w:lvlText w:val="%2."/>
      <w:lvlJc w:val="righ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695319"/>
    <w:multiLevelType w:val="hybridMultilevel"/>
    <w:tmpl w:val="05C6F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DC5AE3"/>
    <w:multiLevelType w:val="hybridMultilevel"/>
    <w:tmpl w:val="F8020156"/>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DC5E6D"/>
    <w:multiLevelType w:val="hybridMultilevel"/>
    <w:tmpl w:val="8702C0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D0656E2"/>
    <w:multiLevelType w:val="hybridMultilevel"/>
    <w:tmpl w:val="E432F0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5C732BA"/>
    <w:multiLevelType w:val="hybridMultilevel"/>
    <w:tmpl w:val="8A96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7C1698D"/>
    <w:multiLevelType w:val="hybridMultilevel"/>
    <w:tmpl w:val="111A99FE"/>
    <w:lvl w:ilvl="0">
      <w:start w:val="1"/>
      <w:numFmt w:val="bullet"/>
      <w:lvlText w:val=""/>
      <w:lvlJc w:val="left"/>
      <w:pPr>
        <w:tabs>
          <w:tab w:val="num" w:pos="1560"/>
        </w:tabs>
        <w:ind w:left="1560" w:hanging="360"/>
      </w:pPr>
      <w:rPr>
        <w:rFonts w:ascii="Symbol" w:hAnsi="Symbol" w:hint="default"/>
      </w:rPr>
    </w:lvl>
    <w:lvl w:ilvl="1" w:tentative="1">
      <w:start w:val="1"/>
      <w:numFmt w:val="bullet"/>
      <w:lvlText w:val="o"/>
      <w:lvlJc w:val="left"/>
      <w:pPr>
        <w:tabs>
          <w:tab w:val="num" w:pos="2280"/>
        </w:tabs>
        <w:ind w:left="2280" w:hanging="360"/>
      </w:pPr>
      <w:rPr>
        <w:rFonts w:ascii="Courier New" w:hAnsi="Courier New" w:cs="Courier New" w:hint="default"/>
      </w:rPr>
    </w:lvl>
    <w:lvl w:ilvl="2" w:tentative="1">
      <w:start w:val="1"/>
      <w:numFmt w:val="bullet"/>
      <w:lvlText w:val=""/>
      <w:lvlJc w:val="left"/>
      <w:pPr>
        <w:tabs>
          <w:tab w:val="num" w:pos="3000"/>
        </w:tabs>
        <w:ind w:left="3000" w:hanging="360"/>
      </w:pPr>
      <w:rPr>
        <w:rFonts w:ascii="Wingdings" w:hAnsi="Wingdings" w:hint="default"/>
      </w:rPr>
    </w:lvl>
    <w:lvl w:ilvl="3" w:tentative="1">
      <w:start w:val="1"/>
      <w:numFmt w:val="bullet"/>
      <w:lvlText w:val=""/>
      <w:lvlJc w:val="left"/>
      <w:pPr>
        <w:tabs>
          <w:tab w:val="num" w:pos="3720"/>
        </w:tabs>
        <w:ind w:left="3720" w:hanging="360"/>
      </w:pPr>
      <w:rPr>
        <w:rFonts w:ascii="Symbol" w:hAnsi="Symbol" w:hint="default"/>
      </w:rPr>
    </w:lvl>
    <w:lvl w:ilvl="4" w:tentative="1">
      <w:start w:val="1"/>
      <w:numFmt w:val="bullet"/>
      <w:lvlText w:val="o"/>
      <w:lvlJc w:val="left"/>
      <w:pPr>
        <w:tabs>
          <w:tab w:val="num" w:pos="4440"/>
        </w:tabs>
        <w:ind w:left="4440" w:hanging="360"/>
      </w:pPr>
      <w:rPr>
        <w:rFonts w:ascii="Courier New" w:hAnsi="Courier New" w:cs="Courier New" w:hint="default"/>
      </w:rPr>
    </w:lvl>
    <w:lvl w:ilvl="5" w:tentative="1">
      <w:start w:val="1"/>
      <w:numFmt w:val="bullet"/>
      <w:lvlText w:val=""/>
      <w:lvlJc w:val="left"/>
      <w:pPr>
        <w:tabs>
          <w:tab w:val="num" w:pos="5160"/>
        </w:tabs>
        <w:ind w:left="5160" w:hanging="360"/>
      </w:pPr>
      <w:rPr>
        <w:rFonts w:ascii="Wingdings" w:hAnsi="Wingdings" w:hint="default"/>
      </w:rPr>
    </w:lvl>
    <w:lvl w:ilvl="6" w:tentative="1">
      <w:start w:val="1"/>
      <w:numFmt w:val="bullet"/>
      <w:lvlText w:val=""/>
      <w:lvlJc w:val="left"/>
      <w:pPr>
        <w:tabs>
          <w:tab w:val="num" w:pos="5880"/>
        </w:tabs>
        <w:ind w:left="5880" w:hanging="360"/>
      </w:pPr>
      <w:rPr>
        <w:rFonts w:ascii="Symbol" w:hAnsi="Symbol" w:hint="default"/>
      </w:rPr>
    </w:lvl>
    <w:lvl w:ilvl="7" w:tentative="1">
      <w:start w:val="1"/>
      <w:numFmt w:val="bullet"/>
      <w:lvlText w:val="o"/>
      <w:lvlJc w:val="left"/>
      <w:pPr>
        <w:tabs>
          <w:tab w:val="num" w:pos="6600"/>
        </w:tabs>
        <w:ind w:left="6600" w:hanging="360"/>
      </w:pPr>
      <w:rPr>
        <w:rFonts w:ascii="Courier New" w:hAnsi="Courier New" w:cs="Courier New" w:hint="default"/>
      </w:rPr>
    </w:lvl>
    <w:lvl w:ilvl="8" w:tentative="1">
      <w:start w:val="1"/>
      <w:numFmt w:val="bullet"/>
      <w:lvlText w:val=""/>
      <w:lvlJc w:val="left"/>
      <w:pPr>
        <w:tabs>
          <w:tab w:val="num" w:pos="7320"/>
        </w:tabs>
        <w:ind w:left="7320" w:hanging="360"/>
      </w:pPr>
      <w:rPr>
        <w:rFonts w:ascii="Wingdings" w:hAnsi="Wingdings" w:hint="default"/>
      </w:rPr>
    </w:lvl>
  </w:abstractNum>
  <w:abstractNum w:abstractNumId="19">
    <w:nsid w:val="51CC4DA8"/>
    <w:multiLevelType w:val="hybridMultilevel"/>
    <w:tmpl w:val="B906ADE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86764C"/>
    <w:multiLevelType w:val="hybridMultilevel"/>
    <w:tmpl w:val="9CECA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C26E11"/>
    <w:multiLevelType w:val="hybridMultilevel"/>
    <w:tmpl w:val="C1E86F7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9E32776"/>
    <w:multiLevelType w:val="hybridMultilevel"/>
    <w:tmpl w:val="146851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1E84DEB"/>
    <w:multiLevelType w:val="hybridMultilevel"/>
    <w:tmpl w:val="EAB246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5792CC6"/>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4B7B0B"/>
    <w:multiLevelType w:val="hybridMultilevel"/>
    <w:tmpl w:val="225A4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C46076D"/>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F747C57"/>
    <w:multiLevelType w:val="hybridMultilevel"/>
    <w:tmpl w:val="DFC423E2"/>
    <w:lvl w:ilvl="0">
      <w:start w:val="2"/>
      <w:numFmt w:val="lowerLetter"/>
      <w:lvlText w:val="%1."/>
      <w:lvlJc w:val="left"/>
      <w:pPr>
        <w:ind w:left="108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72FF5E39"/>
    <w:multiLevelType w:val="hybridMultilevel"/>
    <w:tmpl w:val="058294B2"/>
    <w:lvl w:ilvl="0">
      <w:start w:val="1"/>
      <w:numFmt w:val="decimal"/>
      <w:lvlText w:val="%1."/>
      <w:lvlJc w:val="left"/>
      <w:pPr>
        <w:ind w:left="25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45A6B5B"/>
    <w:multiLevelType w:val="hybridMultilevel"/>
    <w:tmpl w:val="06706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9F3EF3"/>
    <w:multiLevelType w:val="hybridMultilevel"/>
    <w:tmpl w:val="69183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C03CE1"/>
    <w:multiLevelType w:val="hybridMultilevel"/>
    <w:tmpl w:val="A426D4D8"/>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9D82668"/>
    <w:multiLevelType w:val="hybridMultilevel"/>
    <w:tmpl w:val="3238FD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165387">
    <w:abstractNumId w:val="4"/>
  </w:num>
  <w:num w:numId="2" w16cid:durableId="1947079421">
    <w:abstractNumId w:val="17"/>
  </w:num>
  <w:num w:numId="3" w16cid:durableId="1241672286">
    <w:abstractNumId w:val="18"/>
  </w:num>
  <w:num w:numId="4" w16cid:durableId="4867054">
    <w:abstractNumId w:val="9"/>
  </w:num>
  <w:num w:numId="5" w16cid:durableId="1924144147">
    <w:abstractNumId w:val="23"/>
  </w:num>
  <w:num w:numId="6" w16cid:durableId="667098057">
    <w:abstractNumId w:val="29"/>
  </w:num>
  <w:num w:numId="7" w16cid:durableId="1908226132">
    <w:abstractNumId w:val="12"/>
  </w:num>
  <w:num w:numId="8" w16cid:durableId="583076045">
    <w:abstractNumId w:val="14"/>
  </w:num>
  <w:num w:numId="9" w16cid:durableId="234323827">
    <w:abstractNumId w:val="0"/>
  </w:num>
  <w:num w:numId="10" w16cid:durableId="1793742424">
    <w:abstractNumId w:val="26"/>
  </w:num>
  <w:num w:numId="11" w16cid:durableId="1905095109">
    <w:abstractNumId w:val="10"/>
  </w:num>
  <w:num w:numId="12" w16cid:durableId="1612545415">
    <w:abstractNumId w:val="30"/>
  </w:num>
  <w:num w:numId="13" w16cid:durableId="1687444039">
    <w:abstractNumId w:val="21"/>
  </w:num>
  <w:num w:numId="14" w16cid:durableId="1168210732">
    <w:abstractNumId w:val="24"/>
  </w:num>
  <w:num w:numId="15" w16cid:durableId="1563564403">
    <w:abstractNumId w:val="8"/>
  </w:num>
  <w:num w:numId="16" w16cid:durableId="1029181461">
    <w:abstractNumId w:val="20"/>
  </w:num>
  <w:num w:numId="17" w16cid:durableId="21369424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91939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40532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630318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3480450">
    <w:abstractNumId w:val="12"/>
  </w:num>
  <w:num w:numId="22" w16cid:durableId="605697712">
    <w:abstractNumId w:val="31"/>
  </w:num>
  <w:num w:numId="23" w16cid:durableId="1804233718">
    <w:abstractNumId w:val="19"/>
  </w:num>
  <w:num w:numId="24" w16cid:durableId="993071860">
    <w:abstractNumId w:val="22"/>
  </w:num>
  <w:num w:numId="25" w16cid:durableId="1284964432">
    <w:abstractNumId w:val="32"/>
  </w:num>
  <w:num w:numId="26" w16cid:durableId="33963395">
    <w:abstractNumId w:val="6"/>
  </w:num>
  <w:num w:numId="27" w16cid:durableId="1502156821">
    <w:abstractNumId w:val="16"/>
  </w:num>
  <w:num w:numId="28" w16cid:durableId="52311245">
    <w:abstractNumId w:val="11"/>
  </w:num>
  <w:num w:numId="29" w16cid:durableId="983850290">
    <w:abstractNumId w:val="2"/>
  </w:num>
  <w:num w:numId="30" w16cid:durableId="1115952353">
    <w:abstractNumId w:val="1"/>
  </w:num>
  <w:num w:numId="31" w16cid:durableId="232592893">
    <w:abstractNumId w:val="3"/>
  </w:num>
  <w:num w:numId="32" w16cid:durableId="1247616303">
    <w:abstractNumId w:val="15"/>
  </w:num>
  <w:num w:numId="33" w16cid:durableId="1127503144">
    <w:abstractNumId w:val="25"/>
  </w:num>
  <w:num w:numId="34" w16cid:durableId="206032537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00"/>
    <w:rsid w:val="000013AA"/>
    <w:rsid w:val="000050DC"/>
    <w:rsid w:val="00005F45"/>
    <w:rsid w:val="00007A6C"/>
    <w:rsid w:val="00007AA6"/>
    <w:rsid w:val="0001092A"/>
    <w:rsid w:val="0001176D"/>
    <w:rsid w:val="00011794"/>
    <w:rsid w:val="000117DC"/>
    <w:rsid w:val="00012442"/>
    <w:rsid w:val="000157AD"/>
    <w:rsid w:val="000161FA"/>
    <w:rsid w:val="00016EAF"/>
    <w:rsid w:val="00024173"/>
    <w:rsid w:val="0002491C"/>
    <w:rsid w:val="000258EB"/>
    <w:rsid w:val="00032906"/>
    <w:rsid w:val="00033A76"/>
    <w:rsid w:val="0003506C"/>
    <w:rsid w:val="00037573"/>
    <w:rsid w:val="0004153D"/>
    <w:rsid w:val="000415B9"/>
    <w:rsid w:val="00042BAB"/>
    <w:rsid w:val="0004329A"/>
    <w:rsid w:val="0004438F"/>
    <w:rsid w:val="000467FD"/>
    <w:rsid w:val="000505A3"/>
    <w:rsid w:val="00051CF2"/>
    <w:rsid w:val="00053253"/>
    <w:rsid w:val="00053719"/>
    <w:rsid w:val="00054FD0"/>
    <w:rsid w:val="000562C5"/>
    <w:rsid w:val="0005635B"/>
    <w:rsid w:val="00057843"/>
    <w:rsid w:val="00060280"/>
    <w:rsid w:val="0006157C"/>
    <w:rsid w:val="00061B2C"/>
    <w:rsid w:val="00063D2B"/>
    <w:rsid w:val="00064732"/>
    <w:rsid w:val="00065DF6"/>
    <w:rsid w:val="0006635F"/>
    <w:rsid w:val="00070223"/>
    <w:rsid w:val="000744A0"/>
    <w:rsid w:val="000749E1"/>
    <w:rsid w:val="00077171"/>
    <w:rsid w:val="0008539A"/>
    <w:rsid w:val="000859CE"/>
    <w:rsid w:val="000869E3"/>
    <w:rsid w:val="00086E00"/>
    <w:rsid w:val="0009061A"/>
    <w:rsid w:val="000955CD"/>
    <w:rsid w:val="000970D5"/>
    <w:rsid w:val="000A507F"/>
    <w:rsid w:val="000A5AFB"/>
    <w:rsid w:val="000A5BEF"/>
    <w:rsid w:val="000A703E"/>
    <w:rsid w:val="000A7770"/>
    <w:rsid w:val="000A799F"/>
    <w:rsid w:val="000B00D8"/>
    <w:rsid w:val="000B069B"/>
    <w:rsid w:val="000B1418"/>
    <w:rsid w:val="000B1EA0"/>
    <w:rsid w:val="000B2D48"/>
    <w:rsid w:val="000B3E71"/>
    <w:rsid w:val="000B4D1E"/>
    <w:rsid w:val="000B5295"/>
    <w:rsid w:val="000B6374"/>
    <w:rsid w:val="000B658E"/>
    <w:rsid w:val="000C4187"/>
    <w:rsid w:val="000C58FE"/>
    <w:rsid w:val="000C5B23"/>
    <w:rsid w:val="000D2BC0"/>
    <w:rsid w:val="000D3659"/>
    <w:rsid w:val="000D7035"/>
    <w:rsid w:val="000E0556"/>
    <w:rsid w:val="000E085C"/>
    <w:rsid w:val="000E0F3C"/>
    <w:rsid w:val="000E3820"/>
    <w:rsid w:val="000E440A"/>
    <w:rsid w:val="000E5A09"/>
    <w:rsid w:val="000E610F"/>
    <w:rsid w:val="000E66A9"/>
    <w:rsid w:val="000E6ADA"/>
    <w:rsid w:val="000F1D14"/>
    <w:rsid w:val="000F2915"/>
    <w:rsid w:val="000F343E"/>
    <w:rsid w:val="000F40CC"/>
    <w:rsid w:val="000F4BFA"/>
    <w:rsid w:val="000F59BB"/>
    <w:rsid w:val="000F5D71"/>
    <w:rsid w:val="000F66D6"/>
    <w:rsid w:val="0010283C"/>
    <w:rsid w:val="0010430B"/>
    <w:rsid w:val="001053C2"/>
    <w:rsid w:val="001063A0"/>
    <w:rsid w:val="001109C3"/>
    <w:rsid w:val="001118EF"/>
    <w:rsid w:val="00114134"/>
    <w:rsid w:val="0011497A"/>
    <w:rsid w:val="00114E32"/>
    <w:rsid w:val="00115609"/>
    <w:rsid w:val="00116B35"/>
    <w:rsid w:val="00117615"/>
    <w:rsid w:val="001215C6"/>
    <w:rsid w:val="001216C5"/>
    <w:rsid w:val="00124F1A"/>
    <w:rsid w:val="0012652E"/>
    <w:rsid w:val="00130E8A"/>
    <w:rsid w:val="00135732"/>
    <w:rsid w:val="00142F2B"/>
    <w:rsid w:val="00143684"/>
    <w:rsid w:val="001449DE"/>
    <w:rsid w:val="00144E10"/>
    <w:rsid w:val="00146196"/>
    <w:rsid w:val="00150123"/>
    <w:rsid w:val="00151283"/>
    <w:rsid w:val="001515FB"/>
    <w:rsid w:val="00153F04"/>
    <w:rsid w:val="00156508"/>
    <w:rsid w:val="00156C4C"/>
    <w:rsid w:val="00160E6E"/>
    <w:rsid w:val="00162DE8"/>
    <w:rsid w:val="00166D31"/>
    <w:rsid w:val="0017469B"/>
    <w:rsid w:val="00175940"/>
    <w:rsid w:val="00180BD9"/>
    <w:rsid w:val="00182A6F"/>
    <w:rsid w:val="00182CB8"/>
    <w:rsid w:val="00184C2E"/>
    <w:rsid w:val="00185534"/>
    <w:rsid w:val="001872EC"/>
    <w:rsid w:val="00191597"/>
    <w:rsid w:val="00192A06"/>
    <w:rsid w:val="001A2372"/>
    <w:rsid w:val="001A355C"/>
    <w:rsid w:val="001A5ACC"/>
    <w:rsid w:val="001A6955"/>
    <w:rsid w:val="001A7855"/>
    <w:rsid w:val="001A7DF5"/>
    <w:rsid w:val="001B3F32"/>
    <w:rsid w:val="001B6C43"/>
    <w:rsid w:val="001B7BB8"/>
    <w:rsid w:val="001C0BEE"/>
    <w:rsid w:val="001C1695"/>
    <w:rsid w:val="001C426C"/>
    <w:rsid w:val="001C4F65"/>
    <w:rsid w:val="001C6648"/>
    <w:rsid w:val="001D0E5E"/>
    <w:rsid w:val="001D17B5"/>
    <w:rsid w:val="001D210F"/>
    <w:rsid w:val="001D45B0"/>
    <w:rsid w:val="001D5CEF"/>
    <w:rsid w:val="001D78F1"/>
    <w:rsid w:val="001E0541"/>
    <w:rsid w:val="001E0BF5"/>
    <w:rsid w:val="001E2850"/>
    <w:rsid w:val="001E2950"/>
    <w:rsid w:val="001E2F55"/>
    <w:rsid w:val="001E68B1"/>
    <w:rsid w:val="001F3A20"/>
    <w:rsid w:val="001F5049"/>
    <w:rsid w:val="001F5BA8"/>
    <w:rsid w:val="001F5D76"/>
    <w:rsid w:val="001F7589"/>
    <w:rsid w:val="00203445"/>
    <w:rsid w:val="002037F6"/>
    <w:rsid w:val="00205123"/>
    <w:rsid w:val="00207701"/>
    <w:rsid w:val="0020782B"/>
    <w:rsid w:val="0021102C"/>
    <w:rsid w:val="00211EF4"/>
    <w:rsid w:val="00215394"/>
    <w:rsid w:val="0021604E"/>
    <w:rsid w:val="002204E2"/>
    <w:rsid w:val="00221D4E"/>
    <w:rsid w:val="002229CC"/>
    <w:rsid w:val="002233E5"/>
    <w:rsid w:val="00232D92"/>
    <w:rsid w:val="00235487"/>
    <w:rsid w:val="00236FCA"/>
    <w:rsid w:val="00237728"/>
    <w:rsid w:val="00240CF8"/>
    <w:rsid w:val="002430E7"/>
    <w:rsid w:val="002452E2"/>
    <w:rsid w:val="00247734"/>
    <w:rsid w:val="002500F9"/>
    <w:rsid w:val="0025179E"/>
    <w:rsid w:val="0025788C"/>
    <w:rsid w:val="00257B30"/>
    <w:rsid w:val="00260CDC"/>
    <w:rsid w:val="00262CB0"/>
    <w:rsid w:val="0026496F"/>
    <w:rsid w:val="0026690A"/>
    <w:rsid w:val="00267119"/>
    <w:rsid w:val="00267C84"/>
    <w:rsid w:val="0027008C"/>
    <w:rsid w:val="00270844"/>
    <w:rsid w:val="00272493"/>
    <w:rsid w:val="002801DE"/>
    <w:rsid w:val="00280770"/>
    <w:rsid w:val="002819FA"/>
    <w:rsid w:val="00284377"/>
    <w:rsid w:val="00286248"/>
    <w:rsid w:val="00287295"/>
    <w:rsid w:val="002919FC"/>
    <w:rsid w:val="002968F0"/>
    <w:rsid w:val="00297701"/>
    <w:rsid w:val="002A00DE"/>
    <w:rsid w:val="002A54C9"/>
    <w:rsid w:val="002B1490"/>
    <w:rsid w:val="002B206A"/>
    <w:rsid w:val="002B72A5"/>
    <w:rsid w:val="002C106B"/>
    <w:rsid w:val="002C377D"/>
    <w:rsid w:val="002C42BA"/>
    <w:rsid w:val="002C614F"/>
    <w:rsid w:val="002C7CBF"/>
    <w:rsid w:val="002D0FF0"/>
    <w:rsid w:val="002D14EF"/>
    <w:rsid w:val="002D2963"/>
    <w:rsid w:val="002D40AF"/>
    <w:rsid w:val="002D4AD5"/>
    <w:rsid w:val="002D741B"/>
    <w:rsid w:val="002D75DC"/>
    <w:rsid w:val="002E2E81"/>
    <w:rsid w:val="002E450A"/>
    <w:rsid w:val="002E5739"/>
    <w:rsid w:val="002E6A61"/>
    <w:rsid w:val="002F1588"/>
    <w:rsid w:val="002F45C9"/>
    <w:rsid w:val="002F65B9"/>
    <w:rsid w:val="003003EC"/>
    <w:rsid w:val="003005B4"/>
    <w:rsid w:val="0030070F"/>
    <w:rsid w:val="00302B06"/>
    <w:rsid w:val="00303F56"/>
    <w:rsid w:val="0030615C"/>
    <w:rsid w:val="003153F7"/>
    <w:rsid w:val="00316D6E"/>
    <w:rsid w:val="00317484"/>
    <w:rsid w:val="00320646"/>
    <w:rsid w:val="00321E02"/>
    <w:rsid w:val="00324D18"/>
    <w:rsid w:val="00324D7D"/>
    <w:rsid w:val="00325D74"/>
    <w:rsid w:val="00325E5C"/>
    <w:rsid w:val="0032799B"/>
    <w:rsid w:val="00330B96"/>
    <w:rsid w:val="00334920"/>
    <w:rsid w:val="00336183"/>
    <w:rsid w:val="003361D1"/>
    <w:rsid w:val="003362BE"/>
    <w:rsid w:val="00336A50"/>
    <w:rsid w:val="003410D9"/>
    <w:rsid w:val="00341B6C"/>
    <w:rsid w:val="0034286A"/>
    <w:rsid w:val="003441B6"/>
    <w:rsid w:val="003501DB"/>
    <w:rsid w:val="00353023"/>
    <w:rsid w:val="00354648"/>
    <w:rsid w:val="00354744"/>
    <w:rsid w:val="00354A02"/>
    <w:rsid w:val="00356F10"/>
    <w:rsid w:val="00360F12"/>
    <w:rsid w:val="00361339"/>
    <w:rsid w:val="0036171A"/>
    <w:rsid w:val="00361DE3"/>
    <w:rsid w:val="00362E78"/>
    <w:rsid w:val="003640BA"/>
    <w:rsid w:val="00365878"/>
    <w:rsid w:val="00372AF8"/>
    <w:rsid w:val="00372B42"/>
    <w:rsid w:val="0037579E"/>
    <w:rsid w:val="00375A4F"/>
    <w:rsid w:val="003766A5"/>
    <w:rsid w:val="00376798"/>
    <w:rsid w:val="00376884"/>
    <w:rsid w:val="003802EC"/>
    <w:rsid w:val="0038168D"/>
    <w:rsid w:val="00381CE3"/>
    <w:rsid w:val="00393F85"/>
    <w:rsid w:val="00394C54"/>
    <w:rsid w:val="003A0760"/>
    <w:rsid w:val="003A704A"/>
    <w:rsid w:val="003B4B9F"/>
    <w:rsid w:val="003B74AF"/>
    <w:rsid w:val="003C05A0"/>
    <w:rsid w:val="003C1A03"/>
    <w:rsid w:val="003C3C94"/>
    <w:rsid w:val="003C4817"/>
    <w:rsid w:val="003C4A42"/>
    <w:rsid w:val="003C4BC9"/>
    <w:rsid w:val="003D0119"/>
    <w:rsid w:val="003D15C8"/>
    <w:rsid w:val="003D1ABB"/>
    <w:rsid w:val="003D2A49"/>
    <w:rsid w:val="003D2E9F"/>
    <w:rsid w:val="003D30D1"/>
    <w:rsid w:val="003D74AE"/>
    <w:rsid w:val="003D7BDA"/>
    <w:rsid w:val="003E22A3"/>
    <w:rsid w:val="003E22F0"/>
    <w:rsid w:val="003E2B02"/>
    <w:rsid w:val="003E45D8"/>
    <w:rsid w:val="003E5F1C"/>
    <w:rsid w:val="003E6066"/>
    <w:rsid w:val="003F0C70"/>
    <w:rsid w:val="003F5BDC"/>
    <w:rsid w:val="003F6366"/>
    <w:rsid w:val="003F6F18"/>
    <w:rsid w:val="004000D7"/>
    <w:rsid w:val="004000EC"/>
    <w:rsid w:val="00400F02"/>
    <w:rsid w:val="004078BF"/>
    <w:rsid w:val="004078E9"/>
    <w:rsid w:val="004100E8"/>
    <w:rsid w:val="00410801"/>
    <w:rsid w:val="0041531D"/>
    <w:rsid w:val="004175E1"/>
    <w:rsid w:val="00425F5B"/>
    <w:rsid w:val="00426636"/>
    <w:rsid w:val="00427C7D"/>
    <w:rsid w:val="00430EC0"/>
    <w:rsid w:val="00435DF1"/>
    <w:rsid w:val="00435EA3"/>
    <w:rsid w:val="00440E6F"/>
    <w:rsid w:val="00441F3E"/>
    <w:rsid w:val="004421BB"/>
    <w:rsid w:val="00443213"/>
    <w:rsid w:val="00443DCB"/>
    <w:rsid w:val="00444135"/>
    <w:rsid w:val="00446BA6"/>
    <w:rsid w:val="004501F8"/>
    <w:rsid w:val="00450950"/>
    <w:rsid w:val="00451B89"/>
    <w:rsid w:val="00451D27"/>
    <w:rsid w:val="00457A9D"/>
    <w:rsid w:val="00463468"/>
    <w:rsid w:val="004656EB"/>
    <w:rsid w:val="004667B4"/>
    <w:rsid w:val="00467FB2"/>
    <w:rsid w:val="00470ED6"/>
    <w:rsid w:val="00471F46"/>
    <w:rsid w:val="00472F29"/>
    <w:rsid w:val="004739CB"/>
    <w:rsid w:val="004754BA"/>
    <w:rsid w:val="0047667C"/>
    <w:rsid w:val="00476770"/>
    <w:rsid w:val="00477BCC"/>
    <w:rsid w:val="00480B30"/>
    <w:rsid w:val="004820B7"/>
    <w:rsid w:val="00483B31"/>
    <w:rsid w:val="00484F16"/>
    <w:rsid w:val="00485B53"/>
    <w:rsid w:val="00485DDE"/>
    <w:rsid w:val="00496988"/>
    <w:rsid w:val="004A1DB0"/>
    <w:rsid w:val="004A1E67"/>
    <w:rsid w:val="004A33A7"/>
    <w:rsid w:val="004A4369"/>
    <w:rsid w:val="004A6E78"/>
    <w:rsid w:val="004B3498"/>
    <w:rsid w:val="004B46B4"/>
    <w:rsid w:val="004B53A0"/>
    <w:rsid w:val="004B5681"/>
    <w:rsid w:val="004B64E9"/>
    <w:rsid w:val="004B708A"/>
    <w:rsid w:val="004C1ED3"/>
    <w:rsid w:val="004C446D"/>
    <w:rsid w:val="004C4FFF"/>
    <w:rsid w:val="004C6359"/>
    <w:rsid w:val="004D123C"/>
    <w:rsid w:val="004D1483"/>
    <w:rsid w:val="004D709E"/>
    <w:rsid w:val="004D71AC"/>
    <w:rsid w:val="004E1B0E"/>
    <w:rsid w:val="004E21C4"/>
    <w:rsid w:val="004E4D29"/>
    <w:rsid w:val="004E62D0"/>
    <w:rsid w:val="004F0205"/>
    <w:rsid w:val="004F06EE"/>
    <w:rsid w:val="004F2205"/>
    <w:rsid w:val="005077E6"/>
    <w:rsid w:val="00510DE2"/>
    <w:rsid w:val="00514F96"/>
    <w:rsid w:val="00515213"/>
    <w:rsid w:val="00515F94"/>
    <w:rsid w:val="00516885"/>
    <w:rsid w:val="00516A07"/>
    <w:rsid w:val="0051712C"/>
    <w:rsid w:val="0052011A"/>
    <w:rsid w:val="005204AF"/>
    <w:rsid w:val="00520935"/>
    <w:rsid w:val="00524A85"/>
    <w:rsid w:val="00525EF0"/>
    <w:rsid w:val="00526818"/>
    <w:rsid w:val="00526A6B"/>
    <w:rsid w:val="005304B1"/>
    <w:rsid w:val="00531090"/>
    <w:rsid w:val="005326B6"/>
    <w:rsid w:val="00536DA3"/>
    <w:rsid w:val="005370AE"/>
    <w:rsid w:val="0053744D"/>
    <w:rsid w:val="005400F3"/>
    <w:rsid w:val="0054463D"/>
    <w:rsid w:val="00544D33"/>
    <w:rsid w:val="005469C1"/>
    <w:rsid w:val="00550669"/>
    <w:rsid w:val="005509EF"/>
    <w:rsid w:val="005525FC"/>
    <w:rsid w:val="00552697"/>
    <w:rsid w:val="00553392"/>
    <w:rsid w:val="005573C8"/>
    <w:rsid w:val="00564974"/>
    <w:rsid w:val="005677E4"/>
    <w:rsid w:val="00571F79"/>
    <w:rsid w:val="005747D8"/>
    <w:rsid w:val="00576A97"/>
    <w:rsid w:val="00577D68"/>
    <w:rsid w:val="00580606"/>
    <w:rsid w:val="00581D8D"/>
    <w:rsid w:val="00581EA9"/>
    <w:rsid w:val="005846B4"/>
    <w:rsid w:val="00585A26"/>
    <w:rsid w:val="0059165D"/>
    <w:rsid w:val="00591B23"/>
    <w:rsid w:val="00593D8D"/>
    <w:rsid w:val="00593FFF"/>
    <w:rsid w:val="00595985"/>
    <w:rsid w:val="00596A73"/>
    <w:rsid w:val="005978EF"/>
    <w:rsid w:val="005A30BB"/>
    <w:rsid w:val="005A3862"/>
    <w:rsid w:val="005A4A00"/>
    <w:rsid w:val="005B04A2"/>
    <w:rsid w:val="005B22E0"/>
    <w:rsid w:val="005B4F5B"/>
    <w:rsid w:val="005B6398"/>
    <w:rsid w:val="005B65D1"/>
    <w:rsid w:val="005C0A02"/>
    <w:rsid w:val="005C1B8E"/>
    <w:rsid w:val="005C2170"/>
    <w:rsid w:val="005C402B"/>
    <w:rsid w:val="005C6B39"/>
    <w:rsid w:val="005D07C6"/>
    <w:rsid w:val="005D1131"/>
    <w:rsid w:val="005E0B4D"/>
    <w:rsid w:val="005E0CC9"/>
    <w:rsid w:val="005E31D8"/>
    <w:rsid w:val="005E32D3"/>
    <w:rsid w:val="005E69A7"/>
    <w:rsid w:val="005F0A7E"/>
    <w:rsid w:val="005F25D1"/>
    <w:rsid w:val="005F2A15"/>
    <w:rsid w:val="005F36D8"/>
    <w:rsid w:val="005F59B7"/>
    <w:rsid w:val="005F6387"/>
    <w:rsid w:val="006011E6"/>
    <w:rsid w:val="00604424"/>
    <w:rsid w:val="006047CB"/>
    <w:rsid w:val="00605E39"/>
    <w:rsid w:val="00610C34"/>
    <w:rsid w:val="006112A0"/>
    <w:rsid w:val="0061553D"/>
    <w:rsid w:val="006164FA"/>
    <w:rsid w:val="00623F2B"/>
    <w:rsid w:val="00624704"/>
    <w:rsid w:val="0062FFDF"/>
    <w:rsid w:val="00645115"/>
    <w:rsid w:val="00647236"/>
    <w:rsid w:val="00647340"/>
    <w:rsid w:val="006525A1"/>
    <w:rsid w:val="006537E0"/>
    <w:rsid w:val="00654A00"/>
    <w:rsid w:val="00655844"/>
    <w:rsid w:val="00655E48"/>
    <w:rsid w:val="00656DD3"/>
    <w:rsid w:val="00660681"/>
    <w:rsid w:val="006606CD"/>
    <w:rsid w:val="006629D3"/>
    <w:rsid w:val="0067073A"/>
    <w:rsid w:val="006735F7"/>
    <w:rsid w:val="006755CA"/>
    <w:rsid w:val="00677E31"/>
    <w:rsid w:val="006803C1"/>
    <w:rsid w:val="006814E8"/>
    <w:rsid w:val="00681531"/>
    <w:rsid w:val="0068210F"/>
    <w:rsid w:val="00682516"/>
    <w:rsid w:val="0068379B"/>
    <w:rsid w:val="00686794"/>
    <w:rsid w:val="00691286"/>
    <w:rsid w:val="0069194F"/>
    <w:rsid w:val="0069494E"/>
    <w:rsid w:val="00697C9E"/>
    <w:rsid w:val="006A0F6F"/>
    <w:rsid w:val="006A11C8"/>
    <w:rsid w:val="006A1A9A"/>
    <w:rsid w:val="006A454F"/>
    <w:rsid w:val="006A4B05"/>
    <w:rsid w:val="006A4F24"/>
    <w:rsid w:val="006A520A"/>
    <w:rsid w:val="006B0920"/>
    <w:rsid w:val="006B41C6"/>
    <w:rsid w:val="006B46D8"/>
    <w:rsid w:val="006B6C3F"/>
    <w:rsid w:val="006C02EE"/>
    <w:rsid w:val="006C23D5"/>
    <w:rsid w:val="006C6104"/>
    <w:rsid w:val="006D215D"/>
    <w:rsid w:val="006D2CB3"/>
    <w:rsid w:val="006E0F8D"/>
    <w:rsid w:val="006E18E5"/>
    <w:rsid w:val="006E1CC5"/>
    <w:rsid w:val="006E2AFA"/>
    <w:rsid w:val="006E32DE"/>
    <w:rsid w:val="006E396C"/>
    <w:rsid w:val="006E4388"/>
    <w:rsid w:val="006E5B79"/>
    <w:rsid w:val="006F5AEF"/>
    <w:rsid w:val="006F61E0"/>
    <w:rsid w:val="00700631"/>
    <w:rsid w:val="00705E94"/>
    <w:rsid w:val="00712251"/>
    <w:rsid w:val="00716574"/>
    <w:rsid w:val="00717048"/>
    <w:rsid w:val="0071723D"/>
    <w:rsid w:val="00717775"/>
    <w:rsid w:val="00717906"/>
    <w:rsid w:val="00720D7B"/>
    <w:rsid w:val="00724C0F"/>
    <w:rsid w:val="0072600E"/>
    <w:rsid w:val="00730336"/>
    <w:rsid w:val="007306A7"/>
    <w:rsid w:val="00731BEF"/>
    <w:rsid w:val="00733E48"/>
    <w:rsid w:val="00735276"/>
    <w:rsid w:val="00742D83"/>
    <w:rsid w:val="00743998"/>
    <w:rsid w:val="00743D19"/>
    <w:rsid w:val="00745929"/>
    <w:rsid w:val="00746A66"/>
    <w:rsid w:val="00750CB2"/>
    <w:rsid w:val="00750E10"/>
    <w:rsid w:val="00752C22"/>
    <w:rsid w:val="007555F0"/>
    <w:rsid w:val="00756565"/>
    <w:rsid w:val="00756EC8"/>
    <w:rsid w:val="007603A0"/>
    <w:rsid w:val="00763FC7"/>
    <w:rsid w:val="0076577C"/>
    <w:rsid w:val="00766C24"/>
    <w:rsid w:val="0077038B"/>
    <w:rsid w:val="00770909"/>
    <w:rsid w:val="00774007"/>
    <w:rsid w:val="007753E4"/>
    <w:rsid w:val="007756B4"/>
    <w:rsid w:val="0077743E"/>
    <w:rsid w:val="00785EA0"/>
    <w:rsid w:val="00786111"/>
    <w:rsid w:val="00786831"/>
    <w:rsid w:val="0078689B"/>
    <w:rsid w:val="00787FB7"/>
    <w:rsid w:val="007933F0"/>
    <w:rsid w:val="00793591"/>
    <w:rsid w:val="00795621"/>
    <w:rsid w:val="0079580C"/>
    <w:rsid w:val="007958A1"/>
    <w:rsid w:val="00795FF6"/>
    <w:rsid w:val="00797F92"/>
    <w:rsid w:val="007A0CFD"/>
    <w:rsid w:val="007A5753"/>
    <w:rsid w:val="007B01AC"/>
    <w:rsid w:val="007B092A"/>
    <w:rsid w:val="007B0C1F"/>
    <w:rsid w:val="007B1298"/>
    <w:rsid w:val="007B371D"/>
    <w:rsid w:val="007C32D8"/>
    <w:rsid w:val="007C53F1"/>
    <w:rsid w:val="007C5A2F"/>
    <w:rsid w:val="007C691D"/>
    <w:rsid w:val="007D03D3"/>
    <w:rsid w:val="007D0E7C"/>
    <w:rsid w:val="007D2213"/>
    <w:rsid w:val="007D3AFF"/>
    <w:rsid w:val="007D660A"/>
    <w:rsid w:val="007E16EC"/>
    <w:rsid w:val="007E3ABB"/>
    <w:rsid w:val="007E46CC"/>
    <w:rsid w:val="007E4776"/>
    <w:rsid w:val="007E5D1F"/>
    <w:rsid w:val="007E6539"/>
    <w:rsid w:val="007F06EB"/>
    <w:rsid w:val="007F5033"/>
    <w:rsid w:val="007F7CBD"/>
    <w:rsid w:val="00800BBF"/>
    <w:rsid w:val="00800C7B"/>
    <w:rsid w:val="00800CC1"/>
    <w:rsid w:val="008018D3"/>
    <w:rsid w:val="008019DD"/>
    <w:rsid w:val="0080204F"/>
    <w:rsid w:val="00806516"/>
    <w:rsid w:val="0080672F"/>
    <w:rsid w:val="0080738B"/>
    <w:rsid w:val="00810E88"/>
    <w:rsid w:val="00822A67"/>
    <w:rsid w:val="00822B08"/>
    <w:rsid w:val="00831AD1"/>
    <w:rsid w:val="00832F16"/>
    <w:rsid w:val="0083301F"/>
    <w:rsid w:val="00841190"/>
    <w:rsid w:val="00841367"/>
    <w:rsid w:val="00845B2D"/>
    <w:rsid w:val="00845DD6"/>
    <w:rsid w:val="00847FBD"/>
    <w:rsid w:val="00856E58"/>
    <w:rsid w:val="00857D93"/>
    <w:rsid w:val="00860CB0"/>
    <w:rsid w:val="00863439"/>
    <w:rsid w:val="00864AF5"/>
    <w:rsid w:val="00866D50"/>
    <w:rsid w:val="0086713B"/>
    <w:rsid w:val="00871014"/>
    <w:rsid w:val="00872008"/>
    <w:rsid w:val="00876838"/>
    <w:rsid w:val="00876890"/>
    <w:rsid w:val="00881A15"/>
    <w:rsid w:val="00885AD5"/>
    <w:rsid w:val="00885FBA"/>
    <w:rsid w:val="00890160"/>
    <w:rsid w:val="008909F8"/>
    <w:rsid w:val="00891279"/>
    <w:rsid w:val="0089175E"/>
    <w:rsid w:val="00894C86"/>
    <w:rsid w:val="008952D6"/>
    <w:rsid w:val="00895356"/>
    <w:rsid w:val="008960BA"/>
    <w:rsid w:val="008964C9"/>
    <w:rsid w:val="008A222D"/>
    <w:rsid w:val="008A3AB2"/>
    <w:rsid w:val="008A4424"/>
    <w:rsid w:val="008A4D15"/>
    <w:rsid w:val="008A640C"/>
    <w:rsid w:val="008A6E97"/>
    <w:rsid w:val="008B0962"/>
    <w:rsid w:val="008B2DF1"/>
    <w:rsid w:val="008B5DF4"/>
    <w:rsid w:val="008B6FA7"/>
    <w:rsid w:val="008B7F2C"/>
    <w:rsid w:val="008C0214"/>
    <w:rsid w:val="008C071A"/>
    <w:rsid w:val="008C20AD"/>
    <w:rsid w:val="008C20B9"/>
    <w:rsid w:val="008C2E71"/>
    <w:rsid w:val="008C480E"/>
    <w:rsid w:val="008C6C60"/>
    <w:rsid w:val="008C72A9"/>
    <w:rsid w:val="008C7855"/>
    <w:rsid w:val="008D480E"/>
    <w:rsid w:val="008D641B"/>
    <w:rsid w:val="008D6BE7"/>
    <w:rsid w:val="008D7D11"/>
    <w:rsid w:val="008E2618"/>
    <w:rsid w:val="008E3C01"/>
    <w:rsid w:val="008F045F"/>
    <w:rsid w:val="008F0B10"/>
    <w:rsid w:val="008F528D"/>
    <w:rsid w:val="008F5664"/>
    <w:rsid w:val="008F57EC"/>
    <w:rsid w:val="008F6C6A"/>
    <w:rsid w:val="008F7B2D"/>
    <w:rsid w:val="00900A08"/>
    <w:rsid w:val="00902E9D"/>
    <w:rsid w:val="00911B2D"/>
    <w:rsid w:val="0091326A"/>
    <w:rsid w:val="00916672"/>
    <w:rsid w:val="00917ED6"/>
    <w:rsid w:val="00920965"/>
    <w:rsid w:val="00920C51"/>
    <w:rsid w:val="00920DE9"/>
    <w:rsid w:val="009328DF"/>
    <w:rsid w:val="00932B55"/>
    <w:rsid w:val="0093347A"/>
    <w:rsid w:val="00933758"/>
    <w:rsid w:val="0093465D"/>
    <w:rsid w:val="00936828"/>
    <w:rsid w:val="0093695C"/>
    <w:rsid w:val="009369B1"/>
    <w:rsid w:val="00937C82"/>
    <w:rsid w:val="00941A01"/>
    <w:rsid w:val="009427E7"/>
    <w:rsid w:val="00944A49"/>
    <w:rsid w:val="00945B50"/>
    <w:rsid w:val="00950D6A"/>
    <w:rsid w:val="009526AF"/>
    <w:rsid w:val="00954DB7"/>
    <w:rsid w:val="00954E61"/>
    <w:rsid w:val="00957655"/>
    <w:rsid w:val="009637E8"/>
    <w:rsid w:val="0096618D"/>
    <w:rsid w:val="00966C28"/>
    <w:rsid w:val="00970318"/>
    <w:rsid w:val="0097394B"/>
    <w:rsid w:val="00973EF6"/>
    <w:rsid w:val="0097557E"/>
    <w:rsid w:val="009758EC"/>
    <w:rsid w:val="00975CE0"/>
    <w:rsid w:val="00976492"/>
    <w:rsid w:val="00977315"/>
    <w:rsid w:val="00977E3E"/>
    <w:rsid w:val="00982E9C"/>
    <w:rsid w:val="00983152"/>
    <w:rsid w:val="00987177"/>
    <w:rsid w:val="0099189F"/>
    <w:rsid w:val="00994C04"/>
    <w:rsid w:val="009955D7"/>
    <w:rsid w:val="00997334"/>
    <w:rsid w:val="0099795D"/>
    <w:rsid w:val="009A09BA"/>
    <w:rsid w:val="009A4DE5"/>
    <w:rsid w:val="009B00D5"/>
    <w:rsid w:val="009B32DC"/>
    <w:rsid w:val="009B344E"/>
    <w:rsid w:val="009B3CCB"/>
    <w:rsid w:val="009B5FB5"/>
    <w:rsid w:val="009B6BD0"/>
    <w:rsid w:val="009B7A9C"/>
    <w:rsid w:val="009C01E2"/>
    <w:rsid w:val="009C2CB6"/>
    <w:rsid w:val="009C5981"/>
    <w:rsid w:val="009C5998"/>
    <w:rsid w:val="009D2B7E"/>
    <w:rsid w:val="009D4469"/>
    <w:rsid w:val="009D5E0C"/>
    <w:rsid w:val="009D7880"/>
    <w:rsid w:val="009D7934"/>
    <w:rsid w:val="009D7A9F"/>
    <w:rsid w:val="009E3332"/>
    <w:rsid w:val="009E5A3A"/>
    <w:rsid w:val="009E5E3E"/>
    <w:rsid w:val="009F5E27"/>
    <w:rsid w:val="009F6BE1"/>
    <w:rsid w:val="00A00BF1"/>
    <w:rsid w:val="00A016C6"/>
    <w:rsid w:val="00A01715"/>
    <w:rsid w:val="00A01B73"/>
    <w:rsid w:val="00A01F03"/>
    <w:rsid w:val="00A02104"/>
    <w:rsid w:val="00A103DD"/>
    <w:rsid w:val="00A13D90"/>
    <w:rsid w:val="00A226D2"/>
    <w:rsid w:val="00A30B8F"/>
    <w:rsid w:val="00A314C1"/>
    <w:rsid w:val="00A33383"/>
    <w:rsid w:val="00A33997"/>
    <w:rsid w:val="00A33A3A"/>
    <w:rsid w:val="00A40368"/>
    <w:rsid w:val="00A41AFD"/>
    <w:rsid w:val="00A4275E"/>
    <w:rsid w:val="00A44B3A"/>
    <w:rsid w:val="00A47D38"/>
    <w:rsid w:val="00A501F1"/>
    <w:rsid w:val="00A511B0"/>
    <w:rsid w:val="00A5134A"/>
    <w:rsid w:val="00A51896"/>
    <w:rsid w:val="00A60A4E"/>
    <w:rsid w:val="00A619E3"/>
    <w:rsid w:val="00A61A15"/>
    <w:rsid w:val="00A6258C"/>
    <w:rsid w:val="00A63351"/>
    <w:rsid w:val="00A63615"/>
    <w:rsid w:val="00A63CFF"/>
    <w:rsid w:val="00A6741A"/>
    <w:rsid w:val="00A674D9"/>
    <w:rsid w:val="00A67D03"/>
    <w:rsid w:val="00A7063B"/>
    <w:rsid w:val="00A70B33"/>
    <w:rsid w:val="00A712C3"/>
    <w:rsid w:val="00A71460"/>
    <w:rsid w:val="00A738C1"/>
    <w:rsid w:val="00A74641"/>
    <w:rsid w:val="00A74F20"/>
    <w:rsid w:val="00A75D70"/>
    <w:rsid w:val="00A81DF2"/>
    <w:rsid w:val="00A87535"/>
    <w:rsid w:val="00A90181"/>
    <w:rsid w:val="00A93688"/>
    <w:rsid w:val="00AA3AA9"/>
    <w:rsid w:val="00AA4921"/>
    <w:rsid w:val="00AA7B34"/>
    <w:rsid w:val="00AB0F0D"/>
    <w:rsid w:val="00AB2570"/>
    <w:rsid w:val="00AB5556"/>
    <w:rsid w:val="00AB5730"/>
    <w:rsid w:val="00AC1AE0"/>
    <w:rsid w:val="00AC2632"/>
    <w:rsid w:val="00AC3E29"/>
    <w:rsid w:val="00AC3E51"/>
    <w:rsid w:val="00AC5C84"/>
    <w:rsid w:val="00AC6E6B"/>
    <w:rsid w:val="00AD09DB"/>
    <w:rsid w:val="00AD0D99"/>
    <w:rsid w:val="00AD1CE7"/>
    <w:rsid w:val="00AD1D00"/>
    <w:rsid w:val="00AD48CE"/>
    <w:rsid w:val="00AD7933"/>
    <w:rsid w:val="00AD7A0B"/>
    <w:rsid w:val="00AE0DC1"/>
    <w:rsid w:val="00AE1B71"/>
    <w:rsid w:val="00AE58F4"/>
    <w:rsid w:val="00AE7B99"/>
    <w:rsid w:val="00AF4D38"/>
    <w:rsid w:val="00AF50D5"/>
    <w:rsid w:val="00AF5490"/>
    <w:rsid w:val="00AF74B6"/>
    <w:rsid w:val="00B00D63"/>
    <w:rsid w:val="00B01A81"/>
    <w:rsid w:val="00B02E56"/>
    <w:rsid w:val="00B0459B"/>
    <w:rsid w:val="00B048F0"/>
    <w:rsid w:val="00B05D83"/>
    <w:rsid w:val="00B0667B"/>
    <w:rsid w:val="00B06FBE"/>
    <w:rsid w:val="00B07410"/>
    <w:rsid w:val="00B13794"/>
    <w:rsid w:val="00B13A0E"/>
    <w:rsid w:val="00B14A8A"/>
    <w:rsid w:val="00B16C58"/>
    <w:rsid w:val="00B16D43"/>
    <w:rsid w:val="00B16FC3"/>
    <w:rsid w:val="00B227F1"/>
    <w:rsid w:val="00B22AA3"/>
    <w:rsid w:val="00B25401"/>
    <w:rsid w:val="00B27069"/>
    <w:rsid w:val="00B3293F"/>
    <w:rsid w:val="00B329E7"/>
    <w:rsid w:val="00B34241"/>
    <w:rsid w:val="00B37CD1"/>
    <w:rsid w:val="00B41228"/>
    <w:rsid w:val="00B4235D"/>
    <w:rsid w:val="00B42CB7"/>
    <w:rsid w:val="00B44A43"/>
    <w:rsid w:val="00B47740"/>
    <w:rsid w:val="00B47DC7"/>
    <w:rsid w:val="00B55F17"/>
    <w:rsid w:val="00B56601"/>
    <w:rsid w:val="00B61134"/>
    <w:rsid w:val="00B635B0"/>
    <w:rsid w:val="00B73E80"/>
    <w:rsid w:val="00B747CA"/>
    <w:rsid w:val="00B74B6F"/>
    <w:rsid w:val="00B7594B"/>
    <w:rsid w:val="00B809A0"/>
    <w:rsid w:val="00B810A7"/>
    <w:rsid w:val="00B81B95"/>
    <w:rsid w:val="00B83864"/>
    <w:rsid w:val="00B84B3A"/>
    <w:rsid w:val="00B8592D"/>
    <w:rsid w:val="00B86387"/>
    <w:rsid w:val="00B910D9"/>
    <w:rsid w:val="00B91833"/>
    <w:rsid w:val="00B9448F"/>
    <w:rsid w:val="00B94D60"/>
    <w:rsid w:val="00B95221"/>
    <w:rsid w:val="00B9537C"/>
    <w:rsid w:val="00B95951"/>
    <w:rsid w:val="00B96572"/>
    <w:rsid w:val="00B96EB2"/>
    <w:rsid w:val="00B9777C"/>
    <w:rsid w:val="00BA1897"/>
    <w:rsid w:val="00BA3340"/>
    <w:rsid w:val="00BA4723"/>
    <w:rsid w:val="00BA5E86"/>
    <w:rsid w:val="00BA799C"/>
    <w:rsid w:val="00BA7FD3"/>
    <w:rsid w:val="00BB6C07"/>
    <w:rsid w:val="00BB742C"/>
    <w:rsid w:val="00BB7437"/>
    <w:rsid w:val="00BC0DEA"/>
    <w:rsid w:val="00BC1FD3"/>
    <w:rsid w:val="00BC260F"/>
    <w:rsid w:val="00BC38F4"/>
    <w:rsid w:val="00BC41EA"/>
    <w:rsid w:val="00BD14A7"/>
    <w:rsid w:val="00BD31D7"/>
    <w:rsid w:val="00BD4EDD"/>
    <w:rsid w:val="00BD56D1"/>
    <w:rsid w:val="00BE00E9"/>
    <w:rsid w:val="00BE0EBC"/>
    <w:rsid w:val="00BE174B"/>
    <w:rsid w:val="00BE3F25"/>
    <w:rsid w:val="00BF0412"/>
    <w:rsid w:val="00BF0C69"/>
    <w:rsid w:val="00BF0DFE"/>
    <w:rsid w:val="00BF0F31"/>
    <w:rsid w:val="00BF2D6B"/>
    <w:rsid w:val="00BF3CDD"/>
    <w:rsid w:val="00BF4651"/>
    <w:rsid w:val="00BF4A9E"/>
    <w:rsid w:val="00C010E0"/>
    <w:rsid w:val="00C026B8"/>
    <w:rsid w:val="00C0475A"/>
    <w:rsid w:val="00C05E56"/>
    <w:rsid w:val="00C05E7E"/>
    <w:rsid w:val="00C078CB"/>
    <w:rsid w:val="00C07ABE"/>
    <w:rsid w:val="00C1087C"/>
    <w:rsid w:val="00C11EDA"/>
    <w:rsid w:val="00C13467"/>
    <w:rsid w:val="00C14411"/>
    <w:rsid w:val="00C17382"/>
    <w:rsid w:val="00C221CA"/>
    <w:rsid w:val="00C23A34"/>
    <w:rsid w:val="00C23FF0"/>
    <w:rsid w:val="00C26FE3"/>
    <w:rsid w:val="00C276E5"/>
    <w:rsid w:val="00C302A3"/>
    <w:rsid w:val="00C323CA"/>
    <w:rsid w:val="00C33042"/>
    <w:rsid w:val="00C35539"/>
    <w:rsid w:val="00C36EA8"/>
    <w:rsid w:val="00C4017D"/>
    <w:rsid w:val="00C4055F"/>
    <w:rsid w:val="00C40889"/>
    <w:rsid w:val="00C42094"/>
    <w:rsid w:val="00C42FF7"/>
    <w:rsid w:val="00C45143"/>
    <w:rsid w:val="00C4676F"/>
    <w:rsid w:val="00C47158"/>
    <w:rsid w:val="00C5036D"/>
    <w:rsid w:val="00C53A52"/>
    <w:rsid w:val="00C550BF"/>
    <w:rsid w:val="00C553F0"/>
    <w:rsid w:val="00C57A2D"/>
    <w:rsid w:val="00C57C3D"/>
    <w:rsid w:val="00C604A8"/>
    <w:rsid w:val="00C606E0"/>
    <w:rsid w:val="00C60F77"/>
    <w:rsid w:val="00C6127D"/>
    <w:rsid w:val="00C625A1"/>
    <w:rsid w:val="00C637C2"/>
    <w:rsid w:val="00C63B60"/>
    <w:rsid w:val="00C70B0B"/>
    <w:rsid w:val="00C71DBA"/>
    <w:rsid w:val="00C7485D"/>
    <w:rsid w:val="00C74897"/>
    <w:rsid w:val="00C84489"/>
    <w:rsid w:val="00C84D3F"/>
    <w:rsid w:val="00C8597F"/>
    <w:rsid w:val="00C87412"/>
    <w:rsid w:val="00C87911"/>
    <w:rsid w:val="00C9061F"/>
    <w:rsid w:val="00C95D22"/>
    <w:rsid w:val="00C972CF"/>
    <w:rsid w:val="00C976DF"/>
    <w:rsid w:val="00C97B96"/>
    <w:rsid w:val="00CA074D"/>
    <w:rsid w:val="00CA192F"/>
    <w:rsid w:val="00CA2C48"/>
    <w:rsid w:val="00CA4651"/>
    <w:rsid w:val="00CA48A2"/>
    <w:rsid w:val="00CA76B4"/>
    <w:rsid w:val="00CB3B8E"/>
    <w:rsid w:val="00CB5A62"/>
    <w:rsid w:val="00CB6BE5"/>
    <w:rsid w:val="00CB7653"/>
    <w:rsid w:val="00CB7C8D"/>
    <w:rsid w:val="00CC01D2"/>
    <w:rsid w:val="00CC0FCD"/>
    <w:rsid w:val="00CC2D7D"/>
    <w:rsid w:val="00CC6840"/>
    <w:rsid w:val="00CD0B63"/>
    <w:rsid w:val="00CD2149"/>
    <w:rsid w:val="00CD47D0"/>
    <w:rsid w:val="00CD553B"/>
    <w:rsid w:val="00CD59DA"/>
    <w:rsid w:val="00CD60E1"/>
    <w:rsid w:val="00CE0E84"/>
    <w:rsid w:val="00CE2F19"/>
    <w:rsid w:val="00CE38E8"/>
    <w:rsid w:val="00CE651B"/>
    <w:rsid w:val="00CE70B4"/>
    <w:rsid w:val="00CF2E80"/>
    <w:rsid w:val="00CF35DF"/>
    <w:rsid w:val="00CF4072"/>
    <w:rsid w:val="00CF56A8"/>
    <w:rsid w:val="00CF729E"/>
    <w:rsid w:val="00D03597"/>
    <w:rsid w:val="00D04DA8"/>
    <w:rsid w:val="00D104BF"/>
    <w:rsid w:val="00D107E2"/>
    <w:rsid w:val="00D108FE"/>
    <w:rsid w:val="00D11015"/>
    <w:rsid w:val="00D11862"/>
    <w:rsid w:val="00D11A0A"/>
    <w:rsid w:val="00D164BA"/>
    <w:rsid w:val="00D1686A"/>
    <w:rsid w:val="00D226D3"/>
    <w:rsid w:val="00D2305E"/>
    <w:rsid w:val="00D23F63"/>
    <w:rsid w:val="00D241ED"/>
    <w:rsid w:val="00D345DF"/>
    <w:rsid w:val="00D34A39"/>
    <w:rsid w:val="00D37A5A"/>
    <w:rsid w:val="00D406A6"/>
    <w:rsid w:val="00D4139E"/>
    <w:rsid w:val="00D4192C"/>
    <w:rsid w:val="00D41E42"/>
    <w:rsid w:val="00D4265F"/>
    <w:rsid w:val="00D42D04"/>
    <w:rsid w:val="00D4343B"/>
    <w:rsid w:val="00D4580A"/>
    <w:rsid w:val="00D46A68"/>
    <w:rsid w:val="00D472AA"/>
    <w:rsid w:val="00D47AA4"/>
    <w:rsid w:val="00D50A46"/>
    <w:rsid w:val="00D5135C"/>
    <w:rsid w:val="00D51767"/>
    <w:rsid w:val="00D51863"/>
    <w:rsid w:val="00D54610"/>
    <w:rsid w:val="00D548D9"/>
    <w:rsid w:val="00D56069"/>
    <w:rsid w:val="00D57029"/>
    <w:rsid w:val="00D574E9"/>
    <w:rsid w:val="00D575F2"/>
    <w:rsid w:val="00D57AD1"/>
    <w:rsid w:val="00D6076D"/>
    <w:rsid w:val="00D624DB"/>
    <w:rsid w:val="00D65945"/>
    <w:rsid w:val="00D66BC0"/>
    <w:rsid w:val="00D670FA"/>
    <w:rsid w:val="00D6752F"/>
    <w:rsid w:val="00D72959"/>
    <w:rsid w:val="00D74AF0"/>
    <w:rsid w:val="00D74B56"/>
    <w:rsid w:val="00D776A9"/>
    <w:rsid w:val="00D8094C"/>
    <w:rsid w:val="00D8523D"/>
    <w:rsid w:val="00D86BC3"/>
    <w:rsid w:val="00D9284C"/>
    <w:rsid w:val="00D92F24"/>
    <w:rsid w:val="00D9751F"/>
    <w:rsid w:val="00DA07FD"/>
    <w:rsid w:val="00DA103F"/>
    <w:rsid w:val="00DA38EF"/>
    <w:rsid w:val="00DA61E6"/>
    <w:rsid w:val="00DB38AC"/>
    <w:rsid w:val="00DB5321"/>
    <w:rsid w:val="00DB5838"/>
    <w:rsid w:val="00DC0AAE"/>
    <w:rsid w:val="00DC0E10"/>
    <w:rsid w:val="00DC1143"/>
    <w:rsid w:val="00DC1C24"/>
    <w:rsid w:val="00DC5338"/>
    <w:rsid w:val="00DC5626"/>
    <w:rsid w:val="00DC565D"/>
    <w:rsid w:val="00DC7078"/>
    <w:rsid w:val="00DD00FB"/>
    <w:rsid w:val="00DD1159"/>
    <w:rsid w:val="00DD1DBB"/>
    <w:rsid w:val="00DD3883"/>
    <w:rsid w:val="00DD6FAC"/>
    <w:rsid w:val="00DE35EC"/>
    <w:rsid w:val="00DE411C"/>
    <w:rsid w:val="00DE4C7F"/>
    <w:rsid w:val="00DE66CD"/>
    <w:rsid w:val="00DF2580"/>
    <w:rsid w:val="00DF3430"/>
    <w:rsid w:val="00DF4761"/>
    <w:rsid w:val="00DF6842"/>
    <w:rsid w:val="00DF6B1D"/>
    <w:rsid w:val="00DF762E"/>
    <w:rsid w:val="00E028A6"/>
    <w:rsid w:val="00E04321"/>
    <w:rsid w:val="00E065CF"/>
    <w:rsid w:val="00E108E5"/>
    <w:rsid w:val="00E110C5"/>
    <w:rsid w:val="00E13AFC"/>
    <w:rsid w:val="00E1737E"/>
    <w:rsid w:val="00E21E7D"/>
    <w:rsid w:val="00E21F2A"/>
    <w:rsid w:val="00E23CA1"/>
    <w:rsid w:val="00E24C44"/>
    <w:rsid w:val="00E279F8"/>
    <w:rsid w:val="00E27B27"/>
    <w:rsid w:val="00E30E3D"/>
    <w:rsid w:val="00E31AA8"/>
    <w:rsid w:val="00E324E3"/>
    <w:rsid w:val="00E32C4D"/>
    <w:rsid w:val="00E333F4"/>
    <w:rsid w:val="00E34363"/>
    <w:rsid w:val="00E36906"/>
    <w:rsid w:val="00E37F33"/>
    <w:rsid w:val="00E41597"/>
    <w:rsid w:val="00E42550"/>
    <w:rsid w:val="00E42717"/>
    <w:rsid w:val="00E46DD6"/>
    <w:rsid w:val="00E52334"/>
    <w:rsid w:val="00E5429D"/>
    <w:rsid w:val="00E54886"/>
    <w:rsid w:val="00E54975"/>
    <w:rsid w:val="00E554DA"/>
    <w:rsid w:val="00E55E79"/>
    <w:rsid w:val="00E607C1"/>
    <w:rsid w:val="00E61EC2"/>
    <w:rsid w:val="00E62613"/>
    <w:rsid w:val="00E62AA5"/>
    <w:rsid w:val="00E646D7"/>
    <w:rsid w:val="00E649DB"/>
    <w:rsid w:val="00E6507D"/>
    <w:rsid w:val="00E6628B"/>
    <w:rsid w:val="00E72423"/>
    <w:rsid w:val="00E7452B"/>
    <w:rsid w:val="00E75D2F"/>
    <w:rsid w:val="00E77402"/>
    <w:rsid w:val="00E774BC"/>
    <w:rsid w:val="00E80977"/>
    <w:rsid w:val="00E81A6B"/>
    <w:rsid w:val="00E855E9"/>
    <w:rsid w:val="00E86EAD"/>
    <w:rsid w:val="00E87D0E"/>
    <w:rsid w:val="00E9007A"/>
    <w:rsid w:val="00E91BAB"/>
    <w:rsid w:val="00E952A9"/>
    <w:rsid w:val="00EA00DB"/>
    <w:rsid w:val="00EA0553"/>
    <w:rsid w:val="00EA07C0"/>
    <w:rsid w:val="00EA0BBD"/>
    <w:rsid w:val="00EA3E33"/>
    <w:rsid w:val="00EA4566"/>
    <w:rsid w:val="00EA64DB"/>
    <w:rsid w:val="00EB1E81"/>
    <w:rsid w:val="00EB32F5"/>
    <w:rsid w:val="00EB3392"/>
    <w:rsid w:val="00EB5036"/>
    <w:rsid w:val="00EB7371"/>
    <w:rsid w:val="00EC2469"/>
    <w:rsid w:val="00EC2A7D"/>
    <w:rsid w:val="00EC3118"/>
    <w:rsid w:val="00EC3934"/>
    <w:rsid w:val="00EC4691"/>
    <w:rsid w:val="00EC512B"/>
    <w:rsid w:val="00EC6225"/>
    <w:rsid w:val="00EC6A13"/>
    <w:rsid w:val="00ED3AD2"/>
    <w:rsid w:val="00EE24C3"/>
    <w:rsid w:val="00EE41E3"/>
    <w:rsid w:val="00EE6D20"/>
    <w:rsid w:val="00EE6DAA"/>
    <w:rsid w:val="00EE7C2E"/>
    <w:rsid w:val="00EF2733"/>
    <w:rsid w:val="00EF552B"/>
    <w:rsid w:val="00EF5845"/>
    <w:rsid w:val="00EF7865"/>
    <w:rsid w:val="00EF790E"/>
    <w:rsid w:val="00F00D0A"/>
    <w:rsid w:val="00F03BDA"/>
    <w:rsid w:val="00F04D3B"/>
    <w:rsid w:val="00F056A6"/>
    <w:rsid w:val="00F05EFE"/>
    <w:rsid w:val="00F077E5"/>
    <w:rsid w:val="00F1278B"/>
    <w:rsid w:val="00F12900"/>
    <w:rsid w:val="00F171A9"/>
    <w:rsid w:val="00F23F96"/>
    <w:rsid w:val="00F252D4"/>
    <w:rsid w:val="00F30563"/>
    <w:rsid w:val="00F32B58"/>
    <w:rsid w:val="00F32E94"/>
    <w:rsid w:val="00F338CA"/>
    <w:rsid w:val="00F345EB"/>
    <w:rsid w:val="00F4024A"/>
    <w:rsid w:val="00F40D0E"/>
    <w:rsid w:val="00F40F20"/>
    <w:rsid w:val="00F46E9B"/>
    <w:rsid w:val="00F50381"/>
    <w:rsid w:val="00F52ADD"/>
    <w:rsid w:val="00F54D68"/>
    <w:rsid w:val="00F55979"/>
    <w:rsid w:val="00F55B81"/>
    <w:rsid w:val="00F57D8E"/>
    <w:rsid w:val="00F64A40"/>
    <w:rsid w:val="00F64F82"/>
    <w:rsid w:val="00F654D8"/>
    <w:rsid w:val="00F70B7B"/>
    <w:rsid w:val="00F7209D"/>
    <w:rsid w:val="00F7238A"/>
    <w:rsid w:val="00F72899"/>
    <w:rsid w:val="00F737BB"/>
    <w:rsid w:val="00F76113"/>
    <w:rsid w:val="00F7795A"/>
    <w:rsid w:val="00F80B03"/>
    <w:rsid w:val="00F8102D"/>
    <w:rsid w:val="00F826AE"/>
    <w:rsid w:val="00F8388A"/>
    <w:rsid w:val="00F83BA0"/>
    <w:rsid w:val="00F8787E"/>
    <w:rsid w:val="00F90EDE"/>
    <w:rsid w:val="00F91D6C"/>
    <w:rsid w:val="00F92C22"/>
    <w:rsid w:val="00F93629"/>
    <w:rsid w:val="00F946D5"/>
    <w:rsid w:val="00F963BA"/>
    <w:rsid w:val="00FA0149"/>
    <w:rsid w:val="00FA28AE"/>
    <w:rsid w:val="00FA474F"/>
    <w:rsid w:val="00FA5397"/>
    <w:rsid w:val="00FA570D"/>
    <w:rsid w:val="00FA7A32"/>
    <w:rsid w:val="00FB2EB3"/>
    <w:rsid w:val="00FB372D"/>
    <w:rsid w:val="00FB3F7C"/>
    <w:rsid w:val="00FB4E5D"/>
    <w:rsid w:val="00FB6DA3"/>
    <w:rsid w:val="00FB6ECB"/>
    <w:rsid w:val="00FC01EC"/>
    <w:rsid w:val="00FC17E7"/>
    <w:rsid w:val="00FC2000"/>
    <w:rsid w:val="00FC48D8"/>
    <w:rsid w:val="00FC6E6C"/>
    <w:rsid w:val="00FD3A14"/>
    <w:rsid w:val="00FD400B"/>
    <w:rsid w:val="00FD6723"/>
    <w:rsid w:val="00FD7601"/>
    <w:rsid w:val="00FE0402"/>
    <w:rsid w:val="00FE1D87"/>
    <w:rsid w:val="00FE3266"/>
    <w:rsid w:val="00FE3941"/>
    <w:rsid w:val="00FE4D04"/>
    <w:rsid w:val="00FE4DF3"/>
    <w:rsid w:val="00FE6343"/>
    <w:rsid w:val="00FE6831"/>
    <w:rsid w:val="00FF5347"/>
    <w:rsid w:val="00FF55EB"/>
    <w:rsid w:val="00FF6520"/>
    <w:rsid w:val="02DB0986"/>
    <w:rsid w:val="02E426CD"/>
    <w:rsid w:val="02E815F7"/>
    <w:rsid w:val="03449F7A"/>
    <w:rsid w:val="0351028E"/>
    <w:rsid w:val="038EF6C2"/>
    <w:rsid w:val="039AA0A1"/>
    <w:rsid w:val="03EA5647"/>
    <w:rsid w:val="04022F9A"/>
    <w:rsid w:val="0450CE9D"/>
    <w:rsid w:val="0533E14C"/>
    <w:rsid w:val="056C27EC"/>
    <w:rsid w:val="05913F23"/>
    <w:rsid w:val="05F1125C"/>
    <w:rsid w:val="0622466F"/>
    <w:rsid w:val="0637BC10"/>
    <w:rsid w:val="06C69784"/>
    <w:rsid w:val="06D2C396"/>
    <w:rsid w:val="07CC375E"/>
    <w:rsid w:val="0800BE57"/>
    <w:rsid w:val="0823BB38"/>
    <w:rsid w:val="084F2DE0"/>
    <w:rsid w:val="098F58DB"/>
    <w:rsid w:val="09DAB4B7"/>
    <w:rsid w:val="09FFDA06"/>
    <w:rsid w:val="0A06950B"/>
    <w:rsid w:val="0A0D2B55"/>
    <w:rsid w:val="0A2B01A5"/>
    <w:rsid w:val="0A364E40"/>
    <w:rsid w:val="0A4D4A23"/>
    <w:rsid w:val="0AAAD32F"/>
    <w:rsid w:val="0B92D81E"/>
    <w:rsid w:val="0BF962A3"/>
    <w:rsid w:val="0C02A2E2"/>
    <w:rsid w:val="0C75127C"/>
    <w:rsid w:val="0D2A45DA"/>
    <w:rsid w:val="0D2C08AB"/>
    <w:rsid w:val="0DDAC9F5"/>
    <w:rsid w:val="0DE29697"/>
    <w:rsid w:val="0E2F1544"/>
    <w:rsid w:val="0F3F739D"/>
    <w:rsid w:val="0F5A98DE"/>
    <w:rsid w:val="0FC5A391"/>
    <w:rsid w:val="10442D36"/>
    <w:rsid w:val="104FC979"/>
    <w:rsid w:val="108CCC0E"/>
    <w:rsid w:val="109E12B4"/>
    <w:rsid w:val="10BCEBA8"/>
    <w:rsid w:val="10DB875C"/>
    <w:rsid w:val="114F2D3D"/>
    <w:rsid w:val="1153BE3F"/>
    <w:rsid w:val="119B68D3"/>
    <w:rsid w:val="1203B933"/>
    <w:rsid w:val="12A50EFB"/>
    <w:rsid w:val="12EF8EA0"/>
    <w:rsid w:val="12F934C7"/>
    <w:rsid w:val="130FF807"/>
    <w:rsid w:val="13F3061C"/>
    <w:rsid w:val="147E6035"/>
    <w:rsid w:val="148B5F01"/>
    <w:rsid w:val="15001745"/>
    <w:rsid w:val="15217A5D"/>
    <w:rsid w:val="15873BCE"/>
    <w:rsid w:val="15A98528"/>
    <w:rsid w:val="15CCB37D"/>
    <w:rsid w:val="16182A32"/>
    <w:rsid w:val="16603914"/>
    <w:rsid w:val="1726D042"/>
    <w:rsid w:val="17E66785"/>
    <w:rsid w:val="18450C67"/>
    <w:rsid w:val="1915E8B9"/>
    <w:rsid w:val="19532645"/>
    <w:rsid w:val="19651F8E"/>
    <w:rsid w:val="197FD8DC"/>
    <w:rsid w:val="1A09ABAC"/>
    <w:rsid w:val="1A5294A5"/>
    <w:rsid w:val="1AF58119"/>
    <w:rsid w:val="1B472B42"/>
    <w:rsid w:val="1BA6ECB1"/>
    <w:rsid w:val="1C605CFF"/>
    <w:rsid w:val="1C760EE1"/>
    <w:rsid w:val="1C9C4A66"/>
    <w:rsid w:val="1CCAD060"/>
    <w:rsid w:val="1DACF098"/>
    <w:rsid w:val="1E3A2ECD"/>
    <w:rsid w:val="1EA4FB61"/>
    <w:rsid w:val="1EAD89F9"/>
    <w:rsid w:val="1EC95054"/>
    <w:rsid w:val="1F522064"/>
    <w:rsid w:val="20027122"/>
    <w:rsid w:val="218B0189"/>
    <w:rsid w:val="21B4631C"/>
    <w:rsid w:val="225424DA"/>
    <w:rsid w:val="22ABB5BB"/>
    <w:rsid w:val="22B12025"/>
    <w:rsid w:val="22F527F1"/>
    <w:rsid w:val="23863666"/>
    <w:rsid w:val="23976595"/>
    <w:rsid w:val="249EF315"/>
    <w:rsid w:val="24F1A96B"/>
    <w:rsid w:val="25BA9A68"/>
    <w:rsid w:val="25E330EA"/>
    <w:rsid w:val="268D5631"/>
    <w:rsid w:val="26BB6308"/>
    <w:rsid w:val="271E36EF"/>
    <w:rsid w:val="28C0B117"/>
    <w:rsid w:val="2903716D"/>
    <w:rsid w:val="298E127D"/>
    <w:rsid w:val="2A42784C"/>
    <w:rsid w:val="2A9A7962"/>
    <w:rsid w:val="2AE29DEE"/>
    <w:rsid w:val="2AF11D12"/>
    <w:rsid w:val="2B12813F"/>
    <w:rsid w:val="2C5111FF"/>
    <w:rsid w:val="2CD470DB"/>
    <w:rsid w:val="2D91946F"/>
    <w:rsid w:val="2DAD6495"/>
    <w:rsid w:val="2DE22521"/>
    <w:rsid w:val="2E1A3EB0"/>
    <w:rsid w:val="2E717217"/>
    <w:rsid w:val="2E8C2D10"/>
    <w:rsid w:val="2F1600DB"/>
    <w:rsid w:val="2F2D206E"/>
    <w:rsid w:val="303711D8"/>
    <w:rsid w:val="3065CCFB"/>
    <w:rsid w:val="30C50310"/>
    <w:rsid w:val="311BD38A"/>
    <w:rsid w:val="31558FDE"/>
    <w:rsid w:val="3162295C"/>
    <w:rsid w:val="317EBF37"/>
    <w:rsid w:val="321020C4"/>
    <w:rsid w:val="32BE4D86"/>
    <w:rsid w:val="32C682BC"/>
    <w:rsid w:val="33678BB9"/>
    <w:rsid w:val="342F7A7C"/>
    <w:rsid w:val="3461ABEA"/>
    <w:rsid w:val="34AC9EC6"/>
    <w:rsid w:val="34E0B39B"/>
    <w:rsid w:val="34EAD12A"/>
    <w:rsid w:val="3582D754"/>
    <w:rsid w:val="359A2EB1"/>
    <w:rsid w:val="36369240"/>
    <w:rsid w:val="365B647C"/>
    <w:rsid w:val="36E634F1"/>
    <w:rsid w:val="370C70E6"/>
    <w:rsid w:val="3774EA2A"/>
    <w:rsid w:val="37CF0750"/>
    <w:rsid w:val="37D262A1"/>
    <w:rsid w:val="38D1EB60"/>
    <w:rsid w:val="38E0247A"/>
    <w:rsid w:val="3A632298"/>
    <w:rsid w:val="3A6400A6"/>
    <w:rsid w:val="3B45EF7E"/>
    <w:rsid w:val="3B5EC511"/>
    <w:rsid w:val="3D3257F0"/>
    <w:rsid w:val="3D4330CE"/>
    <w:rsid w:val="3D45C477"/>
    <w:rsid w:val="3D9D5310"/>
    <w:rsid w:val="3E2AA608"/>
    <w:rsid w:val="3E53C012"/>
    <w:rsid w:val="3E64EEB4"/>
    <w:rsid w:val="3F257260"/>
    <w:rsid w:val="3FAC5C77"/>
    <w:rsid w:val="4000BF15"/>
    <w:rsid w:val="40A470FD"/>
    <w:rsid w:val="4117CC97"/>
    <w:rsid w:val="415FC27B"/>
    <w:rsid w:val="419E1723"/>
    <w:rsid w:val="41B4389C"/>
    <w:rsid w:val="432FA22F"/>
    <w:rsid w:val="439ECF03"/>
    <w:rsid w:val="45005787"/>
    <w:rsid w:val="45AA5890"/>
    <w:rsid w:val="45BA2674"/>
    <w:rsid w:val="45E04CF7"/>
    <w:rsid w:val="4659034B"/>
    <w:rsid w:val="46F79339"/>
    <w:rsid w:val="471A4CA8"/>
    <w:rsid w:val="474CFD19"/>
    <w:rsid w:val="478ACE2C"/>
    <w:rsid w:val="47F2A89D"/>
    <w:rsid w:val="48340547"/>
    <w:rsid w:val="484A462A"/>
    <w:rsid w:val="486DC9C1"/>
    <w:rsid w:val="48CECAE0"/>
    <w:rsid w:val="4903B0F6"/>
    <w:rsid w:val="491BE1A8"/>
    <w:rsid w:val="49258DCA"/>
    <w:rsid w:val="49A04912"/>
    <w:rsid w:val="4A0A4F7C"/>
    <w:rsid w:val="4A1CCCBA"/>
    <w:rsid w:val="4A499E10"/>
    <w:rsid w:val="4A944FB0"/>
    <w:rsid w:val="4AE41401"/>
    <w:rsid w:val="4B75C611"/>
    <w:rsid w:val="4C473CF7"/>
    <w:rsid w:val="4C4A8C11"/>
    <w:rsid w:val="4C53F379"/>
    <w:rsid w:val="4CFCB0EA"/>
    <w:rsid w:val="4D1989FA"/>
    <w:rsid w:val="4D6F12C0"/>
    <w:rsid w:val="4D9336D3"/>
    <w:rsid w:val="4DCC87D5"/>
    <w:rsid w:val="4DCE4397"/>
    <w:rsid w:val="4EE19EDD"/>
    <w:rsid w:val="4FD11BCE"/>
    <w:rsid w:val="5090F55A"/>
    <w:rsid w:val="50C04FC4"/>
    <w:rsid w:val="50F17D75"/>
    <w:rsid w:val="51A1C90D"/>
    <w:rsid w:val="51C437DD"/>
    <w:rsid w:val="522A3647"/>
    <w:rsid w:val="528E112F"/>
    <w:rsid w:val="53504EA0"/>
    <w:rsid w:val="5355D8B4"/>
    <w:rsid w:val="53697019"/>
    <w:rsid w:val="536A0D86"/>
    <w:rsid w:val="53EED198"/>
    <w:rsid w:val="54291E37"/>
    <w:rsid w:val="547F968E"/>
    <w:rsid w:val="54EBF70C"/>
    <w:rsid w:val="55573B58"/>
    <w:rsid w:val="555F31B4"/>
    <w:rsid w:val="56885A0A"/>
    <w:rsid w:val="569BF16F"/>
    <w:rsid w:val="56B0C405"/>
    <w:rsid w:val="56B73D41"/>
    <w:rsid w:val="56BDB398"/>
    <w:rsid w:val="56F4DF3E"/>
    <w:rsid w:val="573DA5E9"/>
    <w:rsid w:val="5742CB4A"/>
    <w:rsid w:val="57C12EAB"/>
    <w:rsid w:val="57CB60DF"/>
    <w:rsid w:val="57F38F8C"/>
    <w:rsid w:val="584E1C13"/>
    <w:rsid w:val="589A8F73"/>
    <w:rsid w:val="58A29456"/>
    <w:rsid w:val="58FE1707"/>
    <w:rsid w:val="59AC8A4E"/>
    <w:rsid w:val="5A7A402B"/>
    <w:rsid w:val="5A985FBB"/>
    <w:rsid w:val="5AD01E1F"/>
    <w:rsid w:val="5B49E3F6"/>
    <w:rsid w:val="5BAB516C"/>
    <w:rsid w:val="5BB9959F"/>
    <w:rsid w:val="5BF056FA"/>
    <w:rsid w:val="5C35B7C9"/>
    <w:rsid w:val="5C7A6DD4"/>
    <w:rsid w:val="5CC76AF4"/>
    <w:rsid w:val="5CC93D46"/>
    <w:rsid w:val="5CEF4FBF"/>
    <w:rsid w:val="5D3A83DC"/>
    <w:rsid w:val="5D8D2DA0"/>
    <w:rsid w:val="5DF1DD64"/>
    <w:rsid w:val="5E760ED9"/>
    <w:rsid w:val="5E9E8B3B"/>
    <w:rsid w:val="5F5BCFE0"/>
    <w:rsid w:val="5F9654E5"/>
    <w:rsid w:val="6000DE08"/>
    <w:rsid w:val="6042D3B5"/>
    <w:rsid w:val="60B18A5F"/>
    <w:rsid w:val="610CFDC5"/>
    <w:rsid w:val="61E18A2F"/>
    <w:rsid w:val="61E7C384"/>
    <w:rsid w:val="63169F99"/>
    <w:rsid w:val="637EC6D1"/>
    <w:rsid w:val="63A11A40"/>
    <w:rsid w:val="63BDD231"/>
    <w:rsid w:val="63BF3895"/>
    <w:rsid w:val="640C3364"/>
    <w:rsid w:val="64DEA256"/>
    <w:rsid w:val="6564BC61"/>
    <w:rsid w:val="65EC7EB8"/>
    <w:rsid w:val="66098342"/>
    <w:rsid w:val="66496F14"/>
    <w:rsid w:val="6713D196"/>
    <w:rsid w:val="67543A44"/>
    <w:rsid w:val="6763EEB8"/>
    <w:rsid w:val="67909426"/>
    <w:rsid w:val="6834BD3D"/>
    <w:rsid w:val="684316DE"/>
    <w:rsid w:val="689D577D"/>
    <w:rsid w:val="68C63E0C"/>
    <w:rsid w:val="6966A0A1"/>
    <w:rsid w:val="6A0EB6BC"/>
    <w:rsid w:val="6AE2985A"/>
    <w:rsid w:val="6B30A919"/>
    <w:rsid w:val="6C077007"/>
    <w:rsid w:val="6C12732F"/>
    <w:rsid w:val="6C240236"/>
    <w:rsid w:val="6C888F72"/>
    <w:rsid w:val="6CA9085D"/>
    <w:rsid w:val="6D5BE414"/>
    <w:rsid w:val="6DD3E167"/>
    <w:rsid w:val="6E3A2F9F"/>
    <w:rsid w:val="6E4C9D18"/>
    <w:rsid w:val="6E5480F9"/>
    <w:rsid w:val="6FB6097D"/>
    <w:rsid w:val="6FD728FD"/>
    <w:rsid w:val="705FD3DB"/>
    <w:rsid w:val="7178BA44"/>
    <w:rsid w:val="7187D787"/>
    <w:rsid w:val="71E27E2F"/>
    <w:rsid w:val="7256D7A8"/>
    <w:rsid w:val="73201746"/>
    <w:rsid w:val="73B4AD70"/>
    <w:rsid w:val="73B6D72D"/>
    <w:rsid w:val="74027F83"/>
    <w:rsid w:val="744322EB"/>
    <w:rsid w:val="744DDBC4"/>
    <w:rsid w:val="746DDCA9"/>
    <w:rsid w:val="74BE5B4B"/>
    <w:rsid w:val="74D765CC"/>
    <w:rsid w:val="751B2DCB"/>
    <w:rsid w:val="755AFED1"/>
    <w:rsid w:val="759D2C38"/>
    <w:rsid w:val="75A61CCF"/>
    <w:rsid w:val="75D91581"/>
    <w:rsid w:val="75DBA537"/>
    <w:rsid w:val="773D035A"/>
    <w:rsid w:val="77588127"/>
    <w:rsid w:val="7760DDEC"/>
    <w:rsid w:val="776CDD86"/>
    <w:rsid w:val="7775A055"/>
    <w:rsid w:val="779E72E3"/>
    <w:rsid w:val="77C59C0D"/>
    <w:rsid w:val="77CC296C"/>
    <w:rsid w:val="77EA89F0"/>
    <w:rsid w:val="780F068E"/>
    <w:rsid w:val="7833E82B"/>
    <w:rsid w:val="78D24B74"/>
    <w:rsid w:val="78D5FDD5"/>
    <w:rsid w:val="79070178"/>
    <w:rsid w:val="794BB0EC"/>
    <w:rsid w:val="7A13CFE7"/>
    <w:rsid w:val="7A2E0637"/>
    <w:rsid w:val="7AB6B115"/>
    <w:rsid w:val="7ADE6AE8"/>
    <w:rsid w:val="7C3F89AF"/>
    <w:rsid w:val="7C9B9296"/>
    <w:rsid w:val="7CA419B2"/>
    <w:rsid w:val="7D472EEA"/>
    <w:rsid w:val="7D550EA5"/>
    <w:rsid w:val="7DBA848C"/>
    <w:rsid w:val="7DE18D18"/>
    <w:rsid w:val="7E65F729"/>
    <w:rsid w:val="7EDC70FB"/>
    <w:rsid w:val="7EEB4A19"/>
    <w:rsid w:val="7F02E938"/>
    <w:rsid w:val="7F0B94E9"/>
    <w:rsid w:val="7FB304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E1B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4A00"/>
    <w:rPr>
      <w:sz w:val="24"/>
    </w:rPr>
  </w:style>
  <w:style w:type="paragraph" w:styleId="Heading2">
    <w:name w:val="heading 2"/>
    <w:basedOn w:val="Normal"/>
    <w:next w:val="Normal"/>
    <w:link w:val="Heading2Char"/>
    <w:uiPriority w:val="99"/>
    <w:qFormat/>
    <w:rsid w:val="005A4A00"/>
    <w:pPr>
      <w:keepNext/>
      <w:spacing w:before="240" w:after="240"/>
      <w:ind w:left="720" w:hanging="72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4A00"/>
    <w:rPr>
      <w:rFonts w:cs="Arial"/>
      <w:b/>
      <w:bCs/>
      <w:iCs/>
      <w:sz w:val="24"/>
      <w:szCs w:val="28"/>
    </w:rPr>
  </w:style>
  <w:style w:type="paragraph" w:styleId="Footer">
    <w:name w:val="footer"/>
    <w:basedOn w:val="Normal"/>
    <w:link w:val="FooterChar"/>
    <w:rsid w:val="005A4A00"/>
    <w:pPr>
      <w:tabs>
        <w:tab w:val="center" w:pos="4320"/>
        <w:tab w:val="right" w:pos="8640"/>
      </w:tabs>
    </w:pPr>
  </w:style>
  <w:style w:type="character" w:customStyle="1" w:styleId="FooterChar">
    <w:name w:val="Footer Char"/>
    <w:basedOn w:val="DefaultParagraphFont"/>
    <w:link w:val="Footer"/>
    <w:rsid w:val="005A4A00"/>
    <w:rPr>
      <w:sz w:val="24"/>
    </w:rPr>
  </w:style>
  <w:style w:type="paragraph" w:customStyle="1" w:styleId="Level1">
    <w:name w:val="Level 1"/>
    <w:basedOn w:val="Normal"/>
    <w:rsid w:val="005A4A00"/>
    <w:pPr>
      <w:widowControl w:val="0"/>
    </w:pPr>
  </w:style>
  <w:style w:type="character" w:customStyle="1" w:styleId="DefaultPara">
    <w:name w:val="Default Para"/>
    <w:rsid w:val="005A4A00"/>
  </w:style>
  <w:style w:type="character" w:customStyle="1" w:styleId="footnoteref">
    <w:name w:val="footnote ref"/>
    <w:rsid w:val="005A4A00"/>
  </w:style>
  <w:style w:type="paragraph" w:customStyle="1" w:styleId="Footer1">
    <w:name w:val="Footer1"/>
    <w:basedOn w:val="Normal"/>
    <w:rsid w:val="005A4A00"/>
    <w:pPr>
      <w:widowControl w:val="0"/>
      <w:tabs>
        <w:tab w:val="left" w:pos="0"/>
        <w:tab w:val="center" w:pos="4320"/>
        <w:tab w:val="right" w:pos="8640"/>
        <w:tab w:val="left" w:pos="9360"/>
      </w:tabs>
    </w:pPr>
  </w:style>
  <w:style w:type="character" w:customStyle="1" w:styleId="PageNumber1">
    <w:name w:val="Page Number1"/>
    <w:rsid w:val="005A4A00"/>
    <w:rPr>
      <w:sz w:val="24"/>
    </w:rPr>
  </w:style>
  <w:style w:type="character" w:customStyle="1" w:styleId="C2CtrSglS">
    <w:name w:val="C2Ctr Sgl S"/>
    <w:rsid w:val="005A4A00"/>
  </w:style>
  <w:style w:type="character" w:customStyle="1" w:styleId="SLFlLftSg">
    <w:name w:val="SLFl Lft Sg"/>
    <w:rsid w:val="005A4A00"/>
  </w:style>
  <w:style w:type="paragraph" w:customStyle="1" w:styleId="a">
    <w:name w:val="_"/>
    <w:basedOn w:val="Normal"/>
    <w:rsid w:val="005A4A0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Quick1">
    <w:name w:val="Quick 1."/>
    <w:basedOn w:val="Normal"/>
    <w:rsid w:val="005A4A00"/>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1">
    <w:name w:val="1"/>
    <w:rsid w:val="005A4A00"/>
    <w:rPr>
      <w:sz w:val="24"/>
    </w:rPr>
  </w:style>
  <w:style w:type="paragraph" w:customStyle="1" w:styleId="Header1">
    <w:name w:val="Header1"/>
    <w:basedOn w:val="Normal"/>
    <w:rsid w:val="005A4A00"/>
    <w:pPr>
      <w:widowControl w:val="0"/>
      <w:tabs>
        <w:tab w:val="left" w:pos="0"/>
        <w:tab w:val="center" w:pos="4320"/>
        <w:tab w:val="right" w:pos="8640"/>
        <w:tab w:val="left" w:pos="9360"/>
      </w:tabs>
    </w:pPr>
  </w:style>
  <w:style w:type="paragraph" w:customStyle="1" w:styleId="1AutoList40">
    <w:name w:val="1AutoList40"/>
    <w:basedOn w:val="Normal"/>
    <w:rsid w:val="005A4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styleId="PageNumber">
    <w:name w:val="page number"/>
    <w:basedOn w:val="DefaultParagraphFont"/>
    <w:rsid w:val="005A4A00"/>
  </w:style>
  <w:style w:type="paragraph" w:styleId="NormalWeb">
    <w:name w:val="Normal (Web)"/>
    <w:basedOn w:val="Normal"/>
    <w:rsid w:val="005A4A00"/>
    <w:pPr>
      <w:spacing w:before="100" w:beforeAutospacing="1" w:after="100" w:afterAutospacing="1"/>
    </w:pPr>
    <w:rPr>
      <w:szCs w:val="24"/>
    </w:rPr>
  </w:style>
  <w:style w:type="paragraph" w:styleId="BodyTextIndent3">
    <w:name w:val="Body Text Indent 3"/>
    <w:basedOn w:val="Normal"/>
    <w:link w:val="BodyTextIndent3Char"/>
    <w:rsid w:val="005A4A00"/>
    <w:pPr>
      <w:spacing w:after="120"/>
      <w:ind w:left="360"/>
    </w:pPr>
    <w:rPr>
      <w:sz w:val="16"/>
      <w:szCs w:val="16"/>
    </w:rPr>
  </w:style>
  <w:style w:type="character" w:customStyle="1" w:styleId="BodyTextIndent3Char">
    <w:name w:val="Body Text Indent 3 Char"/>
    <w:basedOn w:val="DefaultParagraphFont"/>
    <w:link w:val="BodyTextIndent3"/>
    <w:rsid w:val="005A4A00"/>
    <w:rPr>
      <w:sz w:val="16"/>
      <w:szCs w:val="16"/>
    </w:rPr>
  </w:style>
  <w:style w:type="paragraph" w:styleId="FootnoteText">
    <w:name w:val="footnote text"/>
    <w:basedOn w:val="Normal"/>
    <w:link w:val="FootnoteTextChar"/>
    <w:rsid w:val="005A4A00"/>
    <w:rPr>
      <w:sz w:val="20"/>
    </w:rPr>
  </w:style>
  <w:style w:type="character" w:customStyle="1" w:styleId="FootnoteTextChar">
    <w:name w:val="Footnote Text Char"/>
    <w:basedOn w:val="DefaultParagraphFont"/>
    <w:link w:val="FootnoteText"/>
    <w:rsid w:val="005A4A00"/>
  </w:style>
  <w:style w:type="table" w:styleId="TableGrid">
    <w:name w:val="Table Grid"/>
    <w:basedOn w:val="TableNormal"/>
    <w:uiPriority w:val="39"/>
    <w:rsid w:val="005A4A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4A00"/>
    <w:pPr>
      <w:tabs>
        <w:tab w:val="center" w:pos="4320"/>
        <w:tab w:val="right" w:pos="8640"/>
      </w:tabs>
    </w:pPr>
  </w:style>
  <w:style w:type="character" w:customStyle="1" w:styleId="HeaderChar">
    <w:name w:val="Header Char"/>
    <w:basedOn w:val="DefaultParagraphFont"/>
    <w:link w:val="Header"/>
    <w:rsid w:val="005A4A00"/>
    <w:rPr>
      <w:sz w:val="24"/>
    </w:rPr>
  </w:style>
  <w:style w:type="paragraph" w:styleId="BodyText">
    <w:name w:val="Body Text"/>
    <w:basedOn w:val="Normal"/>
    <w:link w:val="BodyTextChar"/>
    <w:rsid w:val="005A4A00"/>
    <w:pPr>
      <w:spacing w:after="120"/>
    </w:pPr>
  </w:style>
  <w:style w:type="character" w:customStyle="1" w:styleId="BodyTextChar">
    <w:name w:val="Body Text Char"/>
    <w:basedOn w:val="DefaultParagraphFont"/>
    <w:link w:val="BodyText"/>
    <w:rsid w:val="005A4A00"/>
    <w:rPr>
      <w:sz w:val="24"/>
    </w:rPr>
  </w:style>
  <w:style w:type="paragraph" w:styleId="BalloonText">
    <w:name w:val="Balloon Text"/>
    <w:basedOn w:val="Normal"/>
    <w:link w:val="BalloonTextChar"/>
    <w:rsid w:val="005A4A00"/>
    <w:rPr>
      <w:rFonts w:ascii="Tahoma" w:hAnsi="Tahoma" w:cs="Tahoma"/>
      <w:sz w:val="16"/>
      <w:szCs w:val="16"/>
    </w:rPr>
  </w:style>
  <w:style w:type="character" w:customStyle="1" w:styleId="BalloonTextChar">
    <w:name w:val="Balloon Text Char"/>
    <w:basedOn w:val="DefaultParagraphFont"/>
    <w:link w:val="BalloonText"/>
    <w:rsid w:val="005A4A00"/>
    <w:rPr>
      <w:rFonts w:ascii="Tahoma" w:hAnsi="Tahoma" w:cs="Tahoma"/>
      <w:sz w:val="16"/>
      <w:szCs w:val="16"/>
    </w:rPr>
  </w:style>
  <w:style w:type="character" w:styleId="CommentReference">
    <w:name w:val="annotation reference"/>
    <w:basedOn w:val="DefaultParagraphFont"/>
    <w:uiPriority w:val="99"/>
    <w:rsid w:val="005A4A00"/>
    <w:rPr>
      <w:sz w:val="16"/>
      <w:szCs w:val="16"/>
    </w:rPr>
  </w:style>
  <w:style w:type="paragraph" w:styleId="CommentText">
    <w:name w:val="annotation text"/>
    <w:basedOn w:val="Normal"/>
    <w:link w:val="CommentTextChar"/>
    <w:uiPriority w:val="99"/>
    <w:rsid w:val="005A4A00"/>
    <w:rPr>
      <w:sz w:val="20"/>
    </w:rPr>
  </w:style>
  <w:style w:type="character" w:customStyle="1" w:styleId="CommentTextChar">
    <w:name w:val="Comment Text Char"/>
    <w:basedOn w:val="DefaultParagraphFont"/>
    <w:link w:val="CommentText"/>
    <w:uiPriority w:val="99"/>
    <w:rsid w:val="005A4A00"/>
  </w:style>
  <w:style w:type="paragraph" w:styleId="CommentSubject">
    <w:name w:val="annotation subject"/>
    <w:basedOn w:val="CommentText"/>
    <w:next w:val="CommentText"/>
    <w:link w:val="CommentSubjectChar"/>
    <w:rsid w:val="005A4A00"/>
    <w:rPr>
      <w:b/>
      <w:bCs/>
    </w:rPr>
  </w:style>
  <w:style w:type="character" w:customStyle="1" w:styleId="CommentSubjectChar">
    <w:name w:val="Comment Subject Char"/>
    <w:basedOn w:val="CommentTextChar"/>
    <w:link w:val="CommentSubject"/>
    <w:rsid w:val="005A4A00"/>
    <w:rPr>
      <w:b/>
      <w:bCs/>
    </w:rPr>
  </w:style>
  <w:style w:type="paragraph" w:styleId="ListParagraph">
    <w:name w:val="List Paragraph"/>
    <w:basedOn w:val="Normal"/>
    <w:uiPriority w:val="34"/>
    <w:qFormat/>
    <w:rsid w:val="005A4A00"/>
    <w:pPr>
      <w:ind w:left="720"/>
      <w:contextualSpacing/>
    </w:pPr>
  </w:style>
  <w:style w:type="character" w:styleId="Hyperlink">
    <w:name w:val="Hyperlink"/>
    <w:basedOn w:val="DefaultParagraphFont"/>
    <w:uiPriority w:val="99"/>
    <w:unhideWhenUsed/>
    <w:rsid w:val="00937C82"/>
    <w:rPr>
      <w:color w:val="0000FF"/>
      <w:u w:val="single"/>
    </w:rPr>
  </w:style>
  <w:style w:type="paragraph" w:styleId="Revision">
    <w:name w:val="Revision"/>
    <w:hidden/>
    <w:uiPriority w:val="99"/>
    <w:semiHidden/>
    <w:rsid w:val="009F5E27"/>
    <w:rPr>
      <w:sz w:val="24"/>
    </w:rPr>
  </w:style>
  <w:style w:type="paragraph" w:styleId="NoSpacing">
    <w:name w:val="No Spacing"/>
    <w:uiPriority w:val="1"/>
    <w:qFormat/>
    <w:rsid w:val="002C7CBF"/>
    <w:rPr>
      <w:rFonts w:asciiTheme="minorHAnsi" w:eastAsiaTheme="minorHAnsi" w:hAnsiTheme="minorHAnsi" w:cstheme="minorBidi"/>
      <w:sz w:val="22"/>
      <w:szCs w:val="22"/>
    </w:rPr>
  </w:style>
  <w:style w:type="character" w:styleId="FootnoteReference">
    <w:name w:val="footnote reference"/>
    <w:basedOn w:val="DefaultParagraphFont"/>
    <w:semiHidden/>
    <w:unhideWhenUsed/>
    <w:rsid w:val="002E450A"/>
    <w:rPr>
      <w:vertAlign w:val="superscript"/>
    </w:rPr>
  </w:style>
  <w:style w:type="paragraph" w:customStyle="1" w:styleId="QuestionNumbered">
    <w:name w:val="Question Numbered"/>
    <w:basedOn w:val="Normal"/>
    <w:qFormat/>
    <w:rsid w:val="005B4F5B"/>
    <w:pPr>
      <w:keepNext/>
      <w:keepLines/>
      <w:numPr>
        <w:numId w:val="28"/>
      </w:numPr>
      <w:spacing w:before="240" w:after="240"/>
    </w:pPr>
    <w:rPr>
      <w:b/>
      <w:sz w:val="22"/>
      <w:szCs w:val="22"/>
    </w:rPr>
  </w:style>
  <w:style w:type="paragraph" w:customStyle="1" w:styleId="Response">
    <w:name w:val="Response"/>
    <w:basedOn w:val="Normal"/>
    <w:qFormat/>
    <w:rsid w:val="005B4F5B"/>
    <w:pPr>
      <w:tabs>
        <w:tab w:val="left" w:pos="1080"/>
        <w:tab w:val="left" w:pos="2160"/>
        <w:tab w:val="right" w:leader="underscore" w:pos="10800"/>
      </w:tabs>
      <w:ind w:left="1080" w:hanging="360"/>
    </w:pPr>
    <w:rPr>
      <w:sz w:val="22"/>
      <w:szCs w:val="22"/>
    </w:rPr>
  </w:style>
  <w:style w:type="paragraph" w:customStyle="1" w:styleId="QuestionIndent">
    <w:name w:val="QuestionIndent"/>
    <w:basedOn w:val="QuestionNumbered"/>
    <w:qFormat/>
    <w:rsid w:val="005B4F5B"/>
    <w:pPr>
      <w:numPr>
        <w:numId w:val="0"/>
      </w:numPr>
      <w:spacing w:before="480"/>
      <w:ind w:left="1440" w:hanging="720"/>
    </w:pPr>
  </w:style>
  <w:style w:type="table" w:customStyle="1" w:styleId="TableGrid1">
    <w:name w:val="Table Grid1"/>
    <w:basedOn w:val="TableNormal"/>
    <w:next w:val="TableGrid"/>
    <w:uiPriority w:val="39"/>
    <w:rsid w:val="004432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15213"/>
    <w:rPr>
      <w:color w:val="605E5C"/>
      <w:shd w:val="clear" w:color="auto" w:fill="E1DFDD"/>
    </w:rPr>
  </w:style>
  <w:style w:type="character" w:styleId="FollowedHyperlink">
    <w:name w:val="FollowedHyperlink"/>
    <w:basedOn w:val="DefaultParagraphFont"/>
    <w:semiHidden/>
    <w:unhideWhenUsed/>
    <w:rsid w:val="00F57D8E"/>
    <w:rPr>
      <w:color w:val="800080" w:themeColor="followedHyperlink"/>
      <w:u w:val="single"/>
    </w:rPr>
  </w:style>
  <w:style w:type="character" w:customStyle="1" w:styleId="StyleBold">
    <w:name w:val="Style Bold"/>
    <w:rsid w:val="005077E6"/>
    <w:rPr>
      <w:rFonts w:ascii="Arial" w:hAnsi="Arial"/>
      <w:b/>
      <w:bCs/>
      <w:sz w:val="24"/>
    </w:rPr>
  </w:style>
  <w:style w:type="character" w:styleId="UnresolvedMention">
    <w:name w:val="Unresolved Mention"/>
    <w:basedOn w:val="DefaultParagraphFont"/>
    <w:uiPriority w:val="99"/>
    <w:unhideWhenUsed/>
    <w:rsid w:val="00F50381"/>
    <w:rPr>
      <w:color w:val="605E5C"/>
      <w:shd w:val="clear" w:color="auto" w:fill="E1DFDD"/>
    </w:rPr>
  </w:style>
  <w:style w:type="character" w:styleId="Mention">
    <w:name w:val="Mention"/>
    <w:basedOn w:val="DefaultParagraphFont"/>
    <w:uiPriority w:val="99"/>
    <w:unhideWhenUsed/>
    <w:rsid w:val="00F50381"/>
    <w:rPr>
      <w:color w:val="2B579A"/>
      <w:shd w:val="clear" w:color="auto" w:fill="E1DFDD"/>
    </w:rPr>
  </w:style>
  <w:style w:type="paragraph" w:customStyle="1" w:styleId="Default">
    <w:name w:val="Default"/>
    <w:rsid w:val="00B37CD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2" ma:contentTypeDescription="Create a new document." ma:contentTypeScope="" ma:versionID="a69eb095ea4859bdba96999640019da3">
  <xsd:schema xmlns:xsd="http://www.w3.org/2001/XMLSchema" xmlns:xs="http://www.w3.org/2001/XMLSchema" xmlns:p="http://schemas.microsoft.com/office/2006/metadata/properties" xmlns:ns3="6c1120ae-f417-42ee-a32f-49200a3dd12a" targetNamespace="http://schemas.microsoft.com/office/2006/metadata/properties" ma:root="true" ma:fieldsID="08d0a058accb7eecd950bb1a08a5cc22" ns3:_="">
    <xsd:import namespace="6c1120ae-f417-42ee-a32f-49200a3dd1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67DCB-2591-4C52-835B-E0C2AE29A6A9}">
  <ds:schemaRefs>
    <ds:schemaRef ds:uri="http://schemas.openxmlformats.org/officeDocument/2006/bibliography"/>
  </ds:schemaRefs>
</ds:datastoreItem>
</file>

<file path=customXml/itemProps2.xml><?xml version="1.0" encoding="utf-8"?>
<ds:datastoreItem xmlns:ds="http://schemas.openxmlformats.org/officeDocument/2006/customXml" ds:itemID="{F219BA8B-FB45-4D53-9A95-50A68CFB1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120ae-f417-42ee-a32f-49200a3d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118BE-1882-4089-9E79-7BABF9B174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954CC0-EF4B-4A6D-B6A7-EA8ADA8BE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3163</Words>
  <Characters>18879</Characters>
  <Application>Microsoft Office Word</Application>
  <DocSecurity>0</DocSecurity>
  <Lines>157</Lines>
  <Paragraphs>43</Paragraphs>
  <ScaleCrop>false</ScaleCrop>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2024-10-07T13:43:00Z</dcterms:created>
  <dcterms:modified xsi:type="dcterms:W3CDTF">2024-10-23T17:05:00Z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