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A64203" w:rsidP="0005680D" w14:paraId="7B098020" w14:textId="511C3712">
      <w:pPr>
        <w:tabs>
          <w:tab w:val="left" w:pos="1080"/>
        </w:tabs>
        <w:ind w:left="1080" w:hanging="1080"/>
      </w:pPr>
      <w:r w:rsidRPr="00A64203">
        <w:rPr>
          <w:b/>
          <w:bCs/>
        </w:rPr>
        <w:t>To:</w:t>
      </w:r>
      <w:r w:rsidRPr="00A64203">
        <w:tab/>
      </w:r>
      <w:r w:rsidR="00D967AE">
        <w:t>Kelsi Feltz</w:t>
      </w:r>
    </w:p>
    <w:p w:rsidR="0005680D" w:rsidRPr="00A64203" w:rsidP="0005680D" w14:paraId="36853E0B" w14:textId="77777777">
      <w:pPr>
        <w:tabs>
          <w:tab w:val="left" w:pos="1080"/>
        </w:tabs>
        <w:ind w:left="1080" w:hanging="1080"/>
      </w:pPr>
      <w:r w:rsidRPr="00A64203">
        <w:rPr>
          <w:b/>
          <w:bCs/>
        </w:rPr>
        <w:tab/>
      </w:r>
      <w:r w:rsidRPr="00A64203">
        <w:t>Office of Information and Regulatory Affairs (OIRA)</w:t>
      </w:r>
    </w:p>
    <w:p w:rsidR="0005680D" w:rsidRPr="00A64203" w:rsidP="0005680D" w14:paraId="30A9ED8F" w14:textId="77777777">
      <w:pPr>
        <w:tabs>
          <w:tab w:val="left" w:pos="1080"/>
        </w:tabs>
        <w:ind w:left="1080" w:hanging="1080"/>
      </w:pPr>
      <w:r w:rsidRPr="00A64203">
        <w:tab/>
        <w:t>Office of Management and Budget (OMB)</w:t>
      </w:r>
    </w:p>
    <w:p w:rsidR="0005680D" w:rsidRPr="00A64203" w:rsidP="0005680D" w14:paraId="020B5E52" w14:textId="77777777">
      <w:pPr>
        <w:tabs>
          <w:tab w:val="left" w:pos="1080"/>
        </w:tabs>
        <w:ind w:left="1080" w:hanging="1080"/>
      </w:pPr>
    </w:p>
    <w:p w:rsidR="0005680D" w:rsidP="0005680D" w14:paraId="092E1B53" w14:textId="7764BDF6">
      <w:pPr>
        <w:tabs>
          <w:tab w:val="left" w:pos="1080"/>
        </w:tabs>
        <w:ind w:left="1080" w:hanging="1080"/>
      </w:pPr>
      <w:r w:rsidRPr="00A64203">
        <w:rPr>
          <w:b/>
          <w:bCs/>
        </w:rPr>
        <w:t>From:</w:t>
      </w:r>
      <w:r w:rsidRPr="00A64203">
        <w:tab/>
      </w:r>
      <w:bookmarkStart w:id="0" w:name="_Hlk122335576"/>
      <w:r w:rsidR="00D269ED">
        <w:t>William Parham</w:t>
      </w:r>
      <w:r w:rsidR="001779F1">
        <w:t xml:space="preserve"> </w:t>
      </w:r>
    </w:p>
    <w:p w:rsidR="003840CE" w:rsidRPr="003840CE" w:rsidP="0005680D" w14:paraId="23BDA49C" w14:textId="3D1AC68A">
      <w:pPr>
        <w:tabs>
          <w:tab w:val="left" w:pos="1080"/>
        </w:tabs>
        <w:ind w:left="1080" w:hanging="1080"/>
      </w:pPr>
      <w:r>
        <w:rPr>
          <w:b/>
          <w:bCs/>
        </w:rPr>
        <w:tab/>
      </w:r>
      <w:r w:rsidRPr="003840CE">
        <w:t>Division of Information Collections and Regulatory Impacts</w:t>
      </w:r>
    </w:p>
    <w:p w:rsidR="00731214" w:rsidP="0005680D" w14:paraId="5D4FFFEF" w14:textId="5BA084B8">
      <w:pPr>
        <w:tabs>
          <w:tab w:val="left" w:pos="1080"/>
        </w:tabs>
        <w:ind w:left="1080" w:hanging="1080"/>
        <w:rPr>
          <w:bCs/>
        </w:rPr>
      </w:pPr>
      <w:r>
        <w:rPr>
          <w:bCs/>
        </w:rPr>
        <w:tab/>
      </w:r>
      <w:r w:rsidR="002C3567">
        <w:rPr>
          <w:bCs/>
        </w:rPr>
        <w:t>Office of Strategic and Regulatory Affairs</w:t>
      </w:r>
    </w:p>
    <w:p w:rsidR="0005680D" w:rsidRPr="00A64203" w:rsidP="0005680D" w14:paraId="7685F2B8" w14:textId="473F5DEB">
      <w:pPr>
        <w:tabs>
          <w:tab w:val="left" w:pos="1080"/>
        </w:tabs>
        <w:ind w:left="1080" w:hanging="1080"/>
      </w:pPr>
      <w:r>
        <w:tab/>
      </w:r>
      <w:bookmarkEnd w:id="0"/>
      <w:r w:rsidRPr="00A64203" w:rsidR="00BC6DE8">
        <w:tab/>
      </w:r>
    </w:p>
    <w:p w:rsidR="0005680D" w:rsidRPr="00A64203" w:rsidP="0005680D" w14:paraId="0BBD6359" w14:textId="0358E155">
      <w:pPr>
        <w:tabs>
          <w:tab w:val="left" w:pos="1080"/>
        </w:tabs>
      </w:pPr>
      <w:r w:rsidRPr="00A64203">
        <w:rPr>
          <w:b/>
          <w:bCs/>
        </w:rPr>
        <w:t>Date:</w:t>
      </w:r>
      <w:r w:rsidRPr="00A64203">
        <w:tab/>
      </w:r>
      <w:r w:rsidR="00CC171A">
        <w:t>October 3, 2024</w:t>
      </w:r>
    </w:p>
    <w:p w:rsidR="0005680D" w:rsidRPr="00A64203" w:rsidP="0005680D" w14:paraId="7B991363" w14:textId="77777777">
      <w:pPr>
        <w:tabs>
          <w:tab w:val="left" w:pos="1080"/>
        </w:tabs>
      </w:pPr>
    </w:p>
    <w:p w:rsidR="0005680D" w:rsidRPr="00A64203" w:rsidP="001779F1" w14:paraId="3A89B6CD" w14:textId="0F857BA7">
      <w:pPr>
        <w:pBdr>
          <w:bottom w:val="single" w:sz="12" w:space="1" w:color="auto"/>
        </w:pBdr>
        <w:tabs>
          <w:tab w:val="left" w:pos="1080"/>
        </w:tabs>
        <w:ind w:left="1080" w:hanging="1080"/>
      </w:pPr>
      <w:r w:rsidRPr="00A64203">
        <w:rPr>
          <w:b/>
          <w:bCs/>
        </w:rPr>
        <w:t>Subject:</w:t>
      </w:r>
      <w:r w:rsidRPr="00A64203">
        <w:tab/>
      </w:r>
      <w:r w:rsidR="00CC171A">
        <w:t xml:space="preserve">Supplementary Note to File </w:t>
      </w:r>
      <w:r w:rsidR="009670A3">
        <w:t>(</w:t>
      </w:r>
      <w:r w:rsidRPr="009670A3" w:rsidR="009670A3">
        <w:t>OMB</w:t>
      </w:r>
      <w:r w:rsidR="009670A3">
        <w:t xml:space="preserve"># </w:t>
      </w:r>
      <w:r w:rsidRPr="009670A3" w:rsidR="009670A3">
        <w:t>0938-</w:t>
      </w:r>
      <w:r w:rsidR="00CC171A">
        <w:t>1429</w:t>
      </w:r>
      <w:r w:rsidR="003840CE">
        <w:t>; CMS-10</w:t>
      </w:r>
      <w:r w:rsidR="00CC171A">
        <w:t>715</w:t>
      </w:r>
      <w:r w:rsidR="003840CE">
        <w:t>)</w:t>
      </w:r>
    </w:p>
    <w:p w:rsidR="0005680D" w:rsidRPr="00A64203" w:rsidP="0005680D" w14:paraId="5036976F" w14:textId="77777777">
      <w:pPr>
        <w:pBdr>
          <w:bottom w:val="single" w:sz="12" w:space="1" w:color="auto"/>
        </w:pBdr>
        <w:tabs>
          <w:tab w:val="left" w:pos="1080"/>
        </w:tabs>
        <w:ind w:left="1080" w:hanging="1080"/>
      </w:pPr>
    </w:p>
    <w:p w:rsidR="0005680D" w:rsidRPr="00A64203" w:rsidP="0005680D" w14:paraId="595C69AB" w14:textId="77777777">
      <w:pPr>
        <w:tabs>
          <w:tab w:val="left" w:pos="1080"/>
        </w:tabs>
        <w:ind w:left="1080" w:hanging="1080"/>
      </w:pPr>
    </w:p>
    <w:p w:rsidR="001779F1" w:rsidP="001779F1" w14:paraId="4BFE277C" w14:textId="0730EDB1">
      <w:r w:rsidRPr="00A64203">
        <w:t xml:space="preserve">This memo </w:t>
      </w:r>
      <w:r w:rsidR="00CC171A">
        <w:t xml:space="preserve">serves to clarify the </w:t>
      </w:r>
      <w:r w:rsidR="00D967AE">
        <w:t xml:space="preserve">designation of the information collection request (ICR) currently approved under </w:t>
      </w:r>
      <w:r w:rsidR="00CC171A">
        <w:t>0938-1429</w:t>
      </w:r>
      <w:r w:rsidR="00D967AE">
        <w:t xml:space="preserve"> as a Sponsoring Common Form.</w:t>
      </w:r>
    </w:p>
    <w:p w:rsidR="00CC171A" w:rsidRPr="004A36CF" w:rsidP="001779F1" w14:paraId="42468427" w14:textId="77777777">
      <w:pPr>
        <w:rPr>
          <w:i/>
        </w:rPr>
      </w:pPr>
    </w:p>
    <w:p w:rsidR="0005680D" w:rsidP="0005680D" w14:paraId="37532181" w14:textId="73224719">
      <w:pPr>
        <w:spacing w:after="120"/>
        <w:rPr>
          <w:b/>
          <w:i/>
          <w:caps/>
          <w:kern w:val="24"/>
        </w:rPr>
      </w:pPr>
      <w:r>
        <w:rPr>
          <w:b/>
          <w:i/>
          <w:caps/>
          <w:kern w:val="24"/>
        </w:rPr>
        <w:t>Background</w:t>
      </w:r>
    </w:p>
    <w:p w:rsidR="00D967AE" w:rsidP="00D967AE" w14:paraId="2F39AEB3" w14:textId="77777777">
      <w:pPr>
        <w:pStyle w:val="BodyText"/>
        <w:spacing w:before="240"/>
        <w:ind w:right="1211"/>
        <w:jc w:val="both"/>
      </w:pPr>
      <w:r>
        <w:t xml:space="preserve">The Patient Protection and Affordable Care Act, Pub. L. 111-148, was enacted on March 23, </w:t>
      </w:r>
      <w:r>
        <w:t>2010</w:t>
      </w:r>
      <w:r>
        <w:t xml:space="preserve"> and the Health Care and Education Reconciliation Act of 2010, Pub. L. 111-152, was enacted on March 30, 2010 (collectively, PPACA). PPACA reorganizes, amends, and adds to the provisions of part A of title XXVII</w:t>
      </w:r>
      <w:r>
        <w:rPr>
          <w:spacing w:val="-1"/>
        </w:rPr>
        <w:t xml:space="preserve"> </w:t>
      </w:r>
      <w:r>
        <w:t>of the Public Health Service Act (PHS Act) relating to group health plans and health insurance issuers in the group and individual markets. The term group health plan includes both insured and self-insured group health plans. PPACA amends the</w:t>
      </w:r>
      <w:r>
        <w:rPr>
          <w:spacing w:val="-15"/>
        </w:rPr>
        <w:t xml:space="preserve"> </w:t>
      </w:r>
      <w:r>
        <w:t>PHS</w:t>
      </w:r>
      <w:r>
        <w:rPr>
          <w:spacing w:val="-13"/>
        </w:rPr>
        <w:t xml:space="preserve"> </w:t>
      </w:r>
      <w:r>
        <w:t>Act</w:t>
      </w:r>
      <w:r>
        <w:rPr>
          <w:spacing w:val="-14"/>
        </w:rPr>
        <w:t xml:space="preserve"> </w:t>
      </w:r>
      <w:r>
        <w:t>by</w:t>
      </w:r>
      <w:r>
        <w:rPr>
          <w:spacing w:val="-15"/>
        </w:rPr>
        <w:t xml:space="preserve"> </w:t>
      </w:r>
      <w:r>
        <w:t>adding</w:t>
      </w:r>
      <w:r>
        <w:rPr>
          <w:spacing w:val="-14"/>
        </w:rPr>
        <w:t xml:space="preserve"> </w:t>
      </w:r>
      <w:r>
        <w:t>section</w:t>
      </w:r>
      <w:r>
        <w:rPr>
          <w:spacing w:val="-14"/>
        </w:rPr>
        <w:t xml:space="preserve"> </w:t>
      </w:r>
      <w:r>
        <w:t>2715A,</w:t>
      </w:r>
      <w:r>
        <w:rPr>
          <w:spacing w:val="-14"/>
        </w:rPr>
        <w:t xml:space="preserve"> </w:t>
      </w:r>
      <w:r>
        <w:t>providing</w:t>
      </w:r>
      <w:r>
        <w:rPr>
          <w:spacing w:val="-15"/>
        </w:rPr>
        <w:t xml:space="preserve"> </w:t>
      </w:r>
      <w:r>
        <w:t>that</w:t>
      </w:r>
      <w:r>
        <w:rPr>
          <w:spacing w:val="-14"/>
        </w:rPr>
        <w:t xml:space="preserve"> </w:t>
      </w:r>
      <w:r>
        <w:t>non-grandfathered</w:t>
      </w:r>
      <w:r>
        <w:rPr>
          <w:spacing w:val="-14"/>
        </w:rPr>
        <w:t xml:space="preserve"> </w:t>
      </w:r>
      <w:r>
        <w:t>group</w:t>
      </w:r>
      <w:r>
        <w:rPr>
          <w:spacing w:val="-14"/>
        </w:rPr>
        <w:t xml:space="preserve"> </w:t>
      </w:r>
      <w:r>
        <w:t>health</w:t>
      </w:r>
      <w:r>
        <w:rPr>
          <w:spacing w:val="-14"/>
        </w:rPr>
        <w:t xml:space="preserve"> </w:t>
      </w:r>
      <w:r>
        <w:t>plans</w:t>
      </w:r>
      <w:r>
        <w:rPr>
          <w:spacing w:val="-14"/>
        </w:rPr>
        <w:t xml:space="preserve"> </w:t>
      </w:r>
      <w:r>
        <w:t>and issuers</w:t>
      </w:r>
      <w:r>
        <w:rPr>
          <w:spacing w:val="-4"/>
        </w:rPr>
        <w:t xml:space="preserve"> </w:t>
      </w:r>
      <w:r>
        <w:t>offering</w:t>
      </w:r>
      <w:r>
        <w:rPr>
          <w:spacing w:val="-4"/>
        </w:rPr>
        <w:t xml:space="preserve"> </w:t>
      </w:r>
      <w:r>
        <w:t>group</w:t>
      </w:r>
      <w:r>
        <w:rPr>
          <w:spacing w:val="-4"/>
        </w:rPr>
        <w:t xml:space="preserve"> </w:t>
      </w:r>
      <w:r>
        <w:t>or</w:t>
      </w:r>
      <w:r>
        <w:rPr>
          <w:spacing w:val="-5"/>
        </w:rPr>
        <w:t xml:space="preserve"> </w:t>
      </w:r>
      <w:r>
        <w:t>individual</w:t>
      </w:r>
      <w:r>
        <w:rPr>
          <w:spacing w:val="-4"/>
        </w:rPr>
        <w:t xml:space="preserve"> </w:t>
      </w:r>
      <w:r>
        <w:t>coverage</w:t>
      </w:r>
      <w:r>
        <w:rPr>
          <w:spacing w:val="-5"/>
        </w:rPr>
        <w:t xml:space="preserve"> </w:t>
      </w:r>
      <w:r>
        <w:t>shall</w:t>
      </w:r>
      <w:r>
        <w:rPr>
          <w:spacing w:val="-4"/>
        </w:rPr>
        <w:t xml:space="preserve"> </w:t>
      </w:r>
      <w:r>
        <w:t>comply</w:t>
      </w:r>
      <w:r>
        <w:rPr>
          <w:spacing w:val="-4"/>
        </w:rPr>
        <w:t xml:space="preserve"> </w:t>
      </w:r>
      <w:r>
        <w:t>with</w:t>
      </w:r>
      <w:r>
        <w:rPr>
          <w:spacing w:val="-7"/>
        </w:rPr>
        <w:t xml:space="preserve"> </w:t>
      </w:r>
      <w:r>
        <w:t>section</w:t>
      </w:r>
      <w:r>
        <w:rPr>
          <w:spacing w:val="-4"/>
        </w:rPr>
        <w:t xml:space="preserve"> </w:t>
      </w:r>
      <w:r>
        <w:t>1311(e)(3)</w:t>
      </w:r>
      <w:r>
        <w:rPr>
          <w:spacing w:val="-5"/>
        </w:rPr>
        <w:t xml:space="preserve"> </w:t>
      </w:r>
      <w:r>
        <w:t>of</w:t>
      </w:r>
      <w:r>
        <w:rPr>
          <w:spacing w:val="-5"/>
        </w:rPr>
        <w:t xml:space="preserve"> </w:t>
      </w:r>
      <w:r>
        <w:t>PPACA, which addresses transparency in health coverage and imposes certain reporting and disclosure requirements</w:t>
      </w:r>
      <w:r>
        <w:rPr>
          <w:spacing w:val="-4"/>
        </w:rPr>
        <w:t xml:space="preserve"> </w:t>
      </w:r>
      <w:r>
        <w:t>for</w:t>
      </w:r>
      <w:r>
        <w:rPr>
          <w:spacing w:val="-5"/>
        </w:rPr>
        <w:t xml:space="preserve"> </w:t>
      </w:r>
      <w:r>
        <w:t>health</w:t>
      </w:r>
      <w:r>
        <w:rPr>
          <w:spacing w:val="-4"/>
        </w:rPr>
        <w:t xml:space="preserve"> </w:t>
      </w:r>
      <w:r>
        <w:t>plans</w:t>
      </w:r>
      <w:r>
        <w:rPr>
          <w:spacing w:val="-4"/>
        </w:rPr>
        <w:t xml:space="preserve"> </w:t>
      </w:r>
      <w:r>
        <w:t>seeking</w:t>
      </w:r>
      <w:r>
        <w:rPr>
          <w:spacing w:val="-4"/>
        </w:rPr>
        <w:t xml:space="preserve"> </w:t>
      </w:r>
      <w:r>
        <w:t>certification</w:t>
      </w:r>
      <w:r>
        <w:rPr>
          <w:spacing w:val="-2"/>
        </w:rPr>
        <w:t xml:space="preserve"> </w:t>
      </w:r>
      <w:r>
        <w:t>as</w:t>
      </w:r>
      <w:r>
        <w:rPr>
          <w:spacing w:val="-4"/>
        </w:rPr>
        <w:t xml:space="preserve"> </w:t>
      </w:r>
      <w:r>
        <w:t>qualified</w:t>
      </w:r>
      <w:r>
        <w:rPr>
          <w:spacing w:val="-4"/>
        </w:rPr>
        <w:t xml:space="preserve"> </w:t>
      </w:r>
      <w:r>
        <w:t>health</w:t>
      </w:r>
      <w:r>
        <w:rPr>
          <w:spacing w:val="-4"/>
        </w:rPr>
        <w:t xml:space="preserve"> </w:t>
      </w:r>
      <w:r>
        <w:t>plans</w:t>
      </w:r>
      <w:r>
        <w:rPr>
          <w:spacing w:val="-7"/>
        </w:rPr>
        <w:t xml:space="preserve"> </w:t>
      </w:r>
      <w:r>
        <w:t>(QHP)</w:t>
      </w:r>
      <w:r>
        <w:rPr>
          <w:spacing w:val="-5"/>
        </w:rPr>
        <w:t xml:space="preserve"> </w:t>
      </w:r>
      <w:r>
        <w:t>that</w:t>
      </w:r>
      <w:r>
        <w:rPr>
          <w:spacing w:val="-4"/>
        </w:rPr>
        <w:t xml:space="preserve"> </w:t>
      </w:r>
      <w:r>
        <w:t>may</w:t>
      </w:r>
      <w:r>
        <w:rPr>
          <w:spacing w:val="-4"/>
        </w:rPr>
        <w:t xml:space="preserve"> </w:t>
      </w:r>
      <w:r>
        <w:t>be offered through the exchanges. Specifically, paragraph (A) of section 1311(e)(3) of PPACA requires</w:t>
      </w:r>
      <w:r>
        <w:rPr>
          <w:spacing w:val="-8"/>
        </w:rPr>
        <w:t xml:space="preserve"> </w:t>
      </w:r>
      <w:r>
        <w:t>a</w:t>
      </w:r>
      <w:r>
        <w:rPr>
          <w:spacing w:val="-9"/>
        </w:rPr>
        <w:t xml:space="preserve"> </w:t>
      </w:r>
      <w:r>
        <w:t>plan</w:t>
      </w:r>
      <w:r>
        <w:rPr>
          <w:spacing w:val="-8"/>
        </w:rPr>
        <w:t xml:space="preserve"> </w:t>
      </w:r>
      <w:r>
        <w:t>seeking</w:t>
      </w:r>
      <w:r>
        <w:rPr>
          <w:spacing w:val="-8"/>
        </w:rPr>
        <w:t xml:space="preserve"> </w:t>
      </w:r>
      <w:r>
        <w:t>certification</w:t>
      </w:r>
      <w:r>
        <w:rPr>
          <w:spacing w:val="-8"/>
        </w:rPr>
        <w:t xml:space="preserve"> </w:t>
      </w:r>
      <w:r>
        <w:t>as</w:t>
      </w:r>
      <w:r>
        <w:rPr>
          <w:spacing w:val="-8"/>
        </w:rPr>
        <w:t xml:space="preserve"> </w:t>
      </w:r>
      <w:r>
        <w:t>a</w:t>
      </w:r>
      <w:r>
        <w:rPr>
          <w:spacing w:val="-9"/>
        </w:rPr>
        <w:t xml:space="preserve"> </w:t>
      </w:r>
      <w:r>
        <w:t>QHP</w:t>
      </w:r>
      <w:r>
        <w:rPr>
          <w:spacing w:val="-7"/>
        </w:rPr>
        <w:t xml:space="preserve"> </w:t>
      </w:r>
      <w:r>
        <w:t>to</w:t>
      </w:r>
      <w:r>
        <w:rPr>
          <w:spacing w:val="-8"/>
        </w:rPr>
        <w:t xml:space="preserve"> </w:t>
      </w:r>
      <w:r>
        <w:t>make</w:t>
      </w:r>
      <w:r>
        <w:rPr>
          <w:spacing w:val="-9"/>
        </w:rPr>
        <w:t xml:space="preserve"> </w:t>
      </w:r>
      <w:r>
        <w:t>public</w:t>
      </w:r>
      <w:r>
        <w:rPr>
          <w:spacing w:val="-9"/>
        </w:rPr>
        <w:t xml:space="preserve"> </w:t>
      </w:r>
      <w:r>
        <w:t>nine</w:t>
      </w:r>
      <w:r>
        <w:rPr>
          <w:spacing w:val="-9"/>
        </w:rPr>
        <w:t xml:space="preserve"> </w:t>
      </w:r>
      <w:r>
        <w:t>data</w:t>
      </w:r>
      <w:r>
        <w:rPr>
          <w:spacing w:val="-9"/>
        </w:rPr>
        <w:t xml:space="preserve"> </w:t>
      </w:r>
      <w:r>
        <w:t>elements,</w:t>
      </w:r>
      <w:r>
        <w:rPr>
          <w:spacing w:val="-8"/>
        </w:rPr>
        <w:t xml:space="preserve"> </w:t>
      </w:r>
      <w:r>
        <w:t>including</w:t>
      </w:r>
      <w:r>
        <w:rPr>
          <w:spacing w:val="-8"/>
        </w:rPr>
        <w:t xml:space="preserve"> </w:t>
      </w:r>
      <w:r>
        <w:t>any “other</w:t>
      </w:r>
      <w:r>
        <w:rPr>
          <w:spacing w:val="-9"/>
        </w:rPr>
        <w:t xml:space="preserve"> </w:t>
      </w:r>
      <w:r>
        <w:t>information</w:t>
      </w:r>
      <w:r>
        <w:rPr>
          <w:spacing w:val="-8"/>
        </w:rPr>
        <w:t xml:space="preserve"> </w:t>
      </w:r>
      <w:r>
        <w:t>as</w:t>
      </w:r>
      <w:r>
        <w:rPr>
          <w:spacing w:val="-8"/>
        </w:rPr>
        <w:t xml:space="preserve"> </w:t>
      </w:r>
      <w:r>
        <w:t>determined</w:t>
      </w:r>
      <w:r>
        <w:rPr>
          <w:spacing w:val="-8"/>
        </w:rPr>
        <w:t xml:space="preserve"> </w:t>
      </w:r>
      <w:r>
        <w:t>appropriate</w:t>
      </w:r>
      <w:r>
        <w:rPr>
          <w:spacing w:val="-9"/>
        </w:rPr>
        <w:t xml:space="preserve"> </w:t>
      </w:r>
      <w:r>
        <w:t>by</w:t>
      </w:r>
      <w:r>
        <w:rPr>
          <w:spacing w:val="-8"/>
        </w:rPr>
        <w:t xml:space="preserve"> </w:t>
      </w:r>
      <w:r>
        <w:t>the</w:t>
      </w:r>
      <w:r>
        <w:rPr>
          <w:spacing w:val="-9"/>
        </w:rPr>
        <w:t xml:space="preserve"> </w:t>
      </w:r>
      <w:r>
        <w:t>Secretary</w:t>
      </w:r>
      <w:r>
        <w:rPr>
          <w:spacing w:val="-8"/>
        </w:rPr>
        <w:t xml:space="preserve"> </w:t>
      </w:r>
      <w:r>
        <w:t>of</w:t>
      </w:r>
      <w:r>
        <w:rPr>
          <w:spacing w:val="-9"/>
        </w:rPr>
        <w:t xml:space="preserve"> </w:t>
      </w:r>
      <w:r>
        <w:t>the</w:t>
      </w:r>
      <w:r>
        <w:rPr>
          <w:spacing w:val="-9"/>
        </w:rPr>
        <w:t xml:space="preserve"> </w:t>
      </w:r>
      <w:r>
        <w:t>Department</w:t>
      </w:r>
      <w:r>
        <w:rPr>
          <w:spacing w:val="-8"/>
        </w:rPr>
        <w:t xml:space="preserve"> </w:t>
      </w:r>
      <w:r>
        <w:t>of</w:t>
      </w:r>
      <w:r>
        <w:rPr>
          <w:spacing w:val="-9"/>
        </w:rPr>
        <w:t xml:space="preserve"> </w:t>
      </w:r>
      <w:r>
        <w:t>Health</w:t>
      </w:r>
      <w:r>
        <w:rPr>
          <w:spacing w:val="-8"/>
        </w:rPr>
        <w:t xml:space="preserve"> </w:t>
      </w:r>
      <w:r>
        <w:t>and Human Services (HHS).”</w:t>
      </w:r>
      <w:hyperlink w:anchor="_bookmark0" w:history="1">
        <w:r>
          <w:rPr>
            <w:vertAlign w:val="superscript"/>
          </w:rPr>
          <w:t>1</w:t>
        </w:r>
      </w:hyperlink>
      <w:r>
        <w:t xml:space="preserve"> A plan or coverage that is not offered through an Exchange is required to submit the information required to the Secretary of HHS and the relevant state’s insurance commissioner and make such information available to the public. Paragraph (C) of section 1311(e)(3) of PPACA requires plans to permit individuals to learn the amount of cost sharing (including deductibles, copayments, and coinsurance) under the individual’s coverage that</w:t>
      </w:r>
      <w:r>
        <w:rPr>
          <w:spacing w:val="-2"/>
        </w:rPr>
        <w:t xml:space="preserve"> </w:t>
      </w:r>
      <w:r>
        <w:t>the</w:t>
      </w:r>
      <w:r>
        <w:rPr>
          <w:spacing w:val="-3"/>
        </w:rPr>
        <w:t xml:space="preserve"> </w:t>
      </w:r>
      <w:r>
        <w:t>individual</w:t>
      </w:r>
      <w:r>
        <w:rPr>
          <w:spacing w:val="-2"/>
        </w:rPr>
        <w:t xml:space="preserve"> </w:t>
      </w:r>
      <w:r>
        <w:t>would</w:t>
      </w:r>
      <w:r>
        <w:rPr>
          <w:spacing w:val="-2"/>
        </w:rPr>
        <w:t xml:space="preserve"> </w:t>
      </w:r>
      <w:r>
        <w:t>be</w:t>
      </w:r>
      <w:r>
        <w:rPr>
          <w:spacing w:val="-3"/>
        </w:rPr>
        <w:t xml:space="preserve"> </w:t>
      </w:r>
      <w:r>
        <w:t>responsible</w:t>
      </w:r>
      <w:r>
        <w:rPr>
          <w:spacing w:val="-3"/>
        </w:rPr>
        <w:t xml:space="preserve"> </w:t>
      </w:r>
      <w:r>
        <w:t>for</w:t>
      </w:r>
      <w:r>
        <w:rPr>
          <w:spacing w:val="-3"/>
        </w:rPr>
        <w:t xml:space="preserve"> </w:t>
      </w:r>
      <w:r>
        <w:t>paying,</w:t>
      </w:r>
      <w:r>
        <w:rPr>
          <w:spacing w:val="-2"/>
        </w:rPr>
        <w:t xml:space="preserve"> </w:t>
      </w:r>
      <w:r>
        <w:t>with</w:t>
      </w:r>
      <w:r>
        <w:rPr>
          <w:spacing w:val="-2"/>
        </w:rPr>
        <w:t xml:space="preserve"> </w:t>
      </w:r>
      <w:r>
        <w:t>respect</w:t>
      </w:r>
      <w:r>
        <w:rPr>
          <w:spacing w:val="-2"/>
        </w:rPr>
        <w:t xml:space="preserve"> </w:t>
      </w:r>
      <w:r>
        <w:t>to</w:t>
      </w:r>
      <w:r>
        <w:rPr>
          <w:spacing w:val="-2"/>
        </w:rPr>
        <w:t xml:space="preserve"> </w:t>
      </w:r>
      <w:r>
        <w:t>the</w:t>
      </w:r>
      <w:r>
        <w:rPr>
          <w:spacing w:val="-3"/>
        </w:rPr>
        <w:t xml:space="preserve"> </w:t>
      </w:r>
      <w:r>
        <w:t>furnishing</w:t>
      </w:r>
      <w:r>
        <w:rPr>
          <w:spacing w:val="-2"/>
        </w:rPr>
        <w:t xml:space="preserve"> </w:t>
      </w:r>
      <w:r>
        <w:t>of</w:t>
      </w:r>
      <w:r>
        <w:rPr>
          <w:spacing w:val="-3"/>
        </w:rPr>
        <w:t xml:space="preserve"> </w:t>
      </w:r>
      <w:r>
        <w:t>a</w:t>
      </w:r>
      <w:r>
        <w:rPr>
          <w:spacing w:val="-3"/>
        </w:rPr>
        <w:t xml:space="preserve"> </w:t>
      </w:r>
      <w:r>
        <w:t>specific item</w:t>
      </w:r>
      <w:r>
        <w:rPr>
          <w:spacing w:val="-15"/>
        </w:rPr>
        <w:t xml:space="preserve"> </w:t>
      </w:r>
      <w:r>
        <w:t>or</w:t>
      </w:r>
      <w:r>
        <w:rPr>
          <w:spacing w:val="-15"/>
        </w:rPr>
        <w:t xml:space="preserve"> </w:t>
      </w:r>
      <w:r>
        <w:t>service</w:t>
      </w:r>
      <w:r>
        <w:rPr>
          <w:spacing w:val="-15"/>
        </w:rPr>
        <w:t xml:space="preserve"> </w:t>
      </w:r>
      <w:r>
        <w:t>by</w:t>
      </w:r>
      <w:r>
        <w:rPr>
          <w:spacing w:val="-15"/>
        </w:rPr>
        <w:t xml:space="preserve"> </w:t>
      </w:r>
      <w:r>
        <w:t>an</w:t>
      </w:r>
      <w:r>
        <w:rPr>
          <w:spacing w:val="-15"/>
        </w:rPr>
        <w:t xml:space="preserve"> </w:t>
      </w:r>
      <w:r>
        <w:t>in-network</w:t>
      </w:r>
      <w:r>
        <w:rPr>
          <w:spacing w:val="-15"/>
        </w:rPr>
        <w:t xml:space="preserve"> </w:t>
      </w:r>
      <w:r>
        <w:t>provider,</w:t>
      </w:r>
      <w:r>
        <w:rPr>
          <w:spacing w:val="-15"/>
        </w:rPr>
        <w:t xml:space="preserve"> </w:t>
      </w:r>
      <w:r>
        <w:t>in</w:t>
      </w:r>
      <w:r>
        <w:rPr>
          <w:spacing w:val="-15"/>
        </w:rPr>
        <w:t xml:space="preserve"> </w:t>
      </w:r>
      <w:r>
        <w:t>a</w:t>
      </w:r>
      <w:r>
        <w:rPr>
          <w:spacing w:val="-15"/>
        </w:rPr>
        <w:t xml:space="preserve"> </w:t>
      </w:r>
      <w:r>
        <w:t>timely</w:t>
      </w:r>
      <w:r>
        <w:rPr>
          <w:spacing w:val="-15"/>
        </w:rPr>
        <w:t xml:space="preserve"> </w:t>
      </w:r>
      <w:r>
        <w:t>manner</w:t>
      </w:r>
      <w:r>
        <w:rPr>
          <w:spacing w:val="-15"/>
        </w:rPr>
        <w:t xml:space="preserve"> </w:t>
      </w:r>
      <w:r>
        <w:t>upon</w:t>
      </w:r>
      <w:r>
        <w:rPr>
          <w:spacing w:val="-15"/>
        </w:rPr>
        <w:t xml:space="preserve"> </w:t>
      </w:r>
      <w:r>
        <w:t>the</w:t>
      </w:r>
      <w:r>
        <w:rPr>
          <w:spacing w:val="-15"/>
        </w:rPr>
        <w:t xml:space="preserve"> </w:t>
      </w:r>
      <w:r>
        <w:t>request</w:t>
      </w:r>
      <w:r>
        <w:rPr>
          <w:spacing w:val="-15"/>
        </w:rPr>
        <w:t xml:space="preserve"> </w:t>
      </w:r>
      <w:r>
        <w:t>of</w:t>
      </w:r>
      <w:r>
        <w:rPr>
          <w:spacing w:val="-15"/>
        </w:rPr>
        <w:t xml:space="preserve"> </w:t>
      </w:r>
      <w:r>
        <w:t>the</w:t>
      </w:r>
      <w:r>
        <w:rPr>
          <w:spacing w:val="-15"/>
        </w:rPr>
        <w:t xml:space="preserve"> </w:t>
      </w:r>
      <w:r>
        <w:t>individual. Paragraph (C) specifies that, at a minimum, such information must be made available to the individual through an internet website</w:t>
      </w:r>
      <w:r>
        <w:rPr>
          <w:spacing w:val="-1"/>
        </w:rPr>
        <w:t xml:space="preserve"> </w:t>
      </w:r>
      <w:r>
        <w:t>and through other means for individuals without access to the internet.</w:t>
      </w:r>
    </w:p>
    <w:p w:rsidR="00D967AE" w:rsidP="00D967AE" w14:paraId="4696AA5E" w14:textId="77777777">
      <w:pPr>
        <w:pStyle w:val="BodyText"/>
        <w:spacing w:before="99"/>
        <w:ind w:right="1211"/>
        <w:jc w:val="both"/>
      </w:pPr>
      <w:r>
        <w:t>On March 27, 2012, HHS issued a final rule that implemented sections 1311(e)(3)(</w:t>
      </w:r>
      <w:r>
        <w:t>A)-(</w:t>
      </w:r>
      <w:r>
        <w:t xml:space="preserve">C) of PPACA at 45 CFR 155.1040(a)-(c) and §156.220 and created standards for QHP issuers to submit specific information related to transparency in coverage. In the </w:t>
      </w:r>
      <w:r>
        <w:t>preamble to the 2012 final rule, HHS noted that the standards set forth in that rule are, generally, strictly related to QHPs</w:t>
      </w:r>
      <w:r>
        <w:rPr>
          <w:spacing w:val="-10"/>
        </w:rPr>
        <w:t xml:space="preserve"> </w:t>
      </w:r>
      <w:r>
        <w:t>certified</w:t>
      </w:r>
      <w:r>
        <w:rPr>
          <w:spacing w:val="-11"/>
        </w:rPr>
        <w:t xml:space="preserve"> </w:t>
      </w:r>
      <w:r>
        <w:t>to</w:t>
      </w:r>
      <w:r>
        <w:rPr>
          <w:spacing w:val="-11"/>
        </w:rPr>
        <w:t xml:space="preserve"> </w:t>
      </w:r>
      <w:r>
        <w:t>be</w:t>
      </w:r>
      <w:r>
        <w:rPr>
          <w:spacing w:val="-12"/>
        </w:rPr>
        <w:t xml:space="preserve"> </w:t>
      </w:r>
      <w:r>
        <w:t>offered</w:t>
      </w:r>
      <w:r>
        <w:rPr>
          <w:spacing w:val="-11"/>
        </w:rPr>
        <w:t xml:space="preserve"> </w:t>
      </w:r>
      <w:r>
        <w:t>through</w:t>
      </w:r>
      <w:r>
        <w:rPr>
          <w:spacing w:val="-11"/>
        </w:rPr>
        <w:t xml:space="preserve"> </w:t>
      </w:r>
      <w:r>
        <w:t>an</w:t>
      </w:r>
      <w:r>
        <w:rPr>
          <w:spacing w:val="-11"/>
        </w:rPr>
        <w:t xml:space="preserve"> </w:t>
      </w:r>
      <w:r>
        <w:t>Exchange</w:t>
      </w:r>
      <w:r>
        <w:rPr>
          <w:spacing w:val="-12"/>
        </w:rPr>
        <w:t xml:space="preserve"> </w:t>
      </w:r>
      <w:r>
        <w:t>and</w:t>
      </w:r>
      <w:r>
        <w:rPr>
          <w:spacing w:val="-11"/>
        </w:rPr>
        <w:t xml:space="preserve"> </w:t>
      </w:r>
      <w:r>
        <w:t>not</w:t>
      </w:r>
      <w:r>
        <w:rPr>
          <w:spacing w:val="-10"/>
        </w:rPr>
        <w:t xml:space="preserve"> </w:t>
      </w:r>
      <w:r>
        <w:t>the</w:t>
      </w:r>
      <w:r>
        <w:rPr>
          <w:spacing w:val="-12"/>
        </w:rPr>
        <w:t xml:space="preserve"> </w:t>
      </w:r>
      <w:r>
        <w:t>entire</w:t>
      </w:r>
      <w:r>
        <w:rPr>
          <w:spacing w:val="-12"/>
        </w:rPr>
        <w:t xml:space="preserve"> </w:t>
      </w:r>
      <w:r>
        <w:t>individual</w:t>
      </w:r>
      <w:r>
        <w:rPr>
          <w:spacing w:val="-10"/>
        </w:rPr>
        <w:t xml:space="preserve"> </w:t>
      </w:r>
      <w:r>
        <w:t>and</w:t>
      </w:r>
      <w:r>
        <w:rPr>
          <w:spacing w:val="-11"/>
        </w:rPr>
        <w:t xml:space="preserve"> </w:t>
      </w:r>
      <w:r>
        <w:t>small</w:t>
      </w:r>
      <w:r>
        <w:rPr>
          <w:spacing w:val="-10"/>
        </w:rPr>
        <w:t xml:space="preserve"> </w:t>
      </w:r>
      <w:r>
        <w:t>group market. It was further noted that policies for the entire individual and small and large group markets would continue to be addressed in separate rulemaking issued by HHS, and the Departments of Labor and the Treasury (collectively referred to as “the Departments”). In the</w:t>
      </w:r>
      <w:r>
        <w:t xml:space="preserve"> </w:t>
      </w:r>
      <w:r>
        <w:t>HHS 2020 Notice of Benefit and Payment Parameters (NBPP) proposed rule,</w:t>
      </w:r>
      <w:hyperlink w:anchor="_bookmark1" w:history="1">
        <w:r>
          <w:rPr>
            <w:vertAlign w:val="superscript"/>
          </w:rPr>
          <w:t>2</w:t>
        </w:r>
      </w:hyperlink>
      <w:r>
        <w:t xml:space="preserve"> HHS sought input on ways to provide consumers with greater transparency with regard to their own health care</w:t>
      </w:r>
      <w:r>
        <w:rPr>
          <w:spacing w:val="-14"/>
        </w:rPr>
        <w:t xml:space="preserve"> </w:t>
      </w:r>
      <w:r>
        <w:t>data,</w:t>
      </w:r>
      <w:r>
        <w:rPr>
          <w:spacing w:val="-13"/>
        </w:rPr>
        <w:t xml:space="preserve"> </w:t>
      </w:r>
      <w:r>
        <w:t>QHPs</w:t>
      </w:r>
      <w:r>
        <w:rPr>
          <w:spacing w:val="-13"/>
        </w:rPr>
        <w:t xml:space="preserve"> </w:t>
      </w:r>
      <w:r>
        <w:t>offered</w:t>
      </w:r>
      <w:r>
        <w:rPr>
          <w:spacing w:val="-13"/>
        </w:rPr>
        <w:t xml:space="preserve"> </w:t>
      </w:r>
      <w:r>
        <w:t>through</w:t>
      </w:r>
      <w:r>
        <w:rPr>
          <w:spacing w:val="-13"/>
        </w:rPr>
        <w:t xml:space="preserve"> </w:t>
      </w:r>
      <w:r>
        <w:t>the</w:t>
      </w:r>
      <w:r>
        <w:rPr>
          <w:spacing w:val="-14"/>
        </w:rPr>
        <w:t xml:space="preserve"> </w:t>
      </w:r>
      <w:r>
        <w:t>Federally-facilitated</w:t>
      </w:r>
      <w:r>
        <w:rPr>
          <w:spacing w:val="-13"/>
        </w:rPr>
        <w:t xml:space="preserve"> </w:t>
      </w:r>
      <w:r>
        <w:t>Exchanges,</w:t>
      </w:r>
      <w:r>
        <w:rPr>
          <w:spacing w:val="-13"/>
        </w:rPr>
        <w:t xml:space="preserve"> </w:t>
      </w:r>
      <w:r>
        <w:t>and</w:t>
      </w:r>
      <w:r>
        <w:rPr>
          <w:spacing w:val="-13"/>
        </w:rPr>
        <w:t xml:space="preserve"> </w:t>
      </w:r>
      <w:r>
        <w:t>the</w:t>
      </w:r>
      <w:r>
        <w:rPr>
          <w:spacing w:val="-14"/>
        </w:rPr>
        <w:t xml:space="preserve"> </w:t>
      </w:r>
      <w:r>
        <w:t>cost</w:t>
      </w:r>
      <w:r>
        <w:rPr>
          <w:spacing w:val="-13"/>
        </w:rPr>
        <w:t xml:space="preserve"> </w:t>
      </w:r>
      <w:r>
        <w:t>of</w:t>
      </w:r>
      <w:r>
        <w:rPr>
          <w:spacing w:val="-14"/>
        </w:rPr>
        <w:t xml:space="preserve"> </w:t>
      </w:r>
      <w:r>
        <w:t>health</w:t>
      </w:r>
      <w:r>
        <w:rPr>
          <w:spacing w:val="-13"/>
        </w:rPr>
        <w:t xml:space="preserve"> </w:t>
      </w:r>
      <w:r>
        <w:t>care services.</w:t>
      </w:r>
      <w:r>
        <w:rPr>
          <w:spacing w:val="-1"/>
        </w:rPr>
        <w:t xml:space="preserve"> </w:t>
      </w:r>
      <w:r>
        <w:t>HHS</w:t>
      </w:r>
      <w:r>
        <w:rPr>
          <w:spacing w:val="-1"/>
        </w:rPr>
        <w:t xml:space="preserve"> </w:t>
      </w:r>
      <w:r>
        <w:t>additionally</w:t>
      </w:r>
      <w:r>
        <w:rPr>
          <w:spacing w:val="-1"/>
        </w:rPr>
        <w:t xml:space="preserve"> </w:t>
      </w:r>
      <w:r>
        <w:t>sought</w:t>
      </w:r>
      <w:r>
        <w:rPr>
          <w:spacing w:val="-1"/>
        </w:rPr>
        <w:t xml:space="preserve"> </w:t>
      </w:r>
      <w:r>
        <w:t>comments</w:t>
      </w:r>
      <w:r>
        <w:rPr>
          <w:spacing w:val="-1"/>
        </w:rPr>
        <w:t xml:space="preserve"> </w:t>
      </w:r>
      <w:r>
        <w:t>on</w:t>
      </w:r>
      <w:r>
        <w:rPr>
          <w:spacing w:val="-4"/>
        </w:rPr>
        <w:t xml:space="preserve"> </w:t>
      </w:r>
      <w:r>
        <w:t>ways</w:t>
      </w:r>
      <w:r>
        <w:rPr>
          <w:spacing w:val="-1"/>
        </w:rPr>
        <w:t xml:space="preserve"> </w:t>
      </w:r>
      <w:r>
        <w:t>to</w:t>
      </w:r>
      <w:r>
        <w:rPr>
          <w:spacing w:val="-1"/>
        </w:rPr>
        <w:t xml:space="preserve"> </w:t>
      </w:r>
      <w:r>
        <w:t>further</w:t>
      </w:r>
      <w:r>
        <w:rPr>
          <w:spacing w:val="-2"/>
        </w:rPr>
        <w:t xml:space="preserve"> </w:t>
      </w:r>
      <w:r>
        <w:t>implement</w:t>
      </w:r>
      <w:r>
        <w:rPr>
          <w:spacing w:val="-1"/>
        </w:rPr>
        <w:t xml:space="preserve"> </w:t>
      </w:r>
      <w:r>
        <w:t>section</w:t>
      </w:r>
      <w:r>
        <w:rPr>
          <w:spacing w:val="-1"/>
        </w:rPr>
        <w:t xml:space="preserve"> </w:t>
      </w:r>
      <w:r>
        <w:t>1311(e)(3) of PPACA.</w:t>
      </w:r>
    </w:p>
    <w:p w:rsidR="00D967AE" w:rsidP="00D967AE" w14:paraId="1D12B417" w14:textId="77777777">
      <w:pPr>
        <w:pStyle w:val="BodyText"/>
        <w:spacing w:before="240"/>
        <w:ind w:right="1211"/>
        <w:jc w:val="both"/>
      </w:pPr>
      <w:r>
        <w:t>On June 24, 2019, President Trump issued Executive Order 13877, “Executive Order on Improving Price and Quality Transparency in American Healthcare to Put Patients First.”</w:t>
      </w:r>
      <w:hyperlink w:anchor="_bookmark2" w:history="1">
        <w:r>
          <w:rPr>
            <w:vertAlign w:val="superscript"/>
          </w:rPr>
          <w:t>3</w:t>
        </w:r>
      </w:hyperlink>
      <w:r>
        <w:t xml:space="preserve"> Section 3(b) of Executive Order 13877 directs the Secretaries of the Departments to issue an advance notice of proposed rulemaking (ANPRM), consistent with applicable law, soliciting comment on a proposal to require health care providers, health insurance issuers, and self- insured</w:t>
      </w:r>
      <w:r>
        <w:rPr>
          <w:spacing w:val="-4"/>
        </w:rPr>
        <w:t xml:space="preserve"> </w:t>
      </w:r>
      <w:r>
        <w:t>group</w:t>
      </w:r>
      <w:r>
        <w:rPr>
          <w:spacing w:val="-4"/>
        </w:rPr>
        <w:t xml:space="preserve"> </w:t>
      </w:r>
      <w:r>
        <w:t>health</w:t>
      </w:r>
      <w:r>
        <w:rPr>
          <w:spacing w:val="-4"/>
        </w:rPr>
        <w:t xml:space="preserve"> </w:t>
      </w:r>
      <w:r>
        <w:t>plans</w:t>
      </w:r>
      <w:r>
        <w:rPr>
          <w:spacing w:val="-4"/>
        </w:rPr>
        <w:t xml:space="preserve"> </w:t>
      </w:r>
      <w:r>
        <w:t>to</w:t>
      </w:r>
      <w:r>
        <w:rPr>
          <w:spacing w:val="-4"/>
        </w:rPr>
        <w:t xml:space="preserve"> </w:t>
      </w:r>
      <w:r>
        <w:t>provide</w:t>
      </w:r>
      <w:r>
        <w:rPr>
          <w:spacing w:val="-5"/>
        </w:rPr>
        <w:t xml:space="preserve"> </w:t>
      </w:r>
      <w:r>
        <w:t>or</w:t>
      </w:r>
      <w:r>
        <w:rPr>
          <w:spacing w:val="-5"/>
        </w:rPr>
        <w:t xml:space="preserve"> </w:t>
      </w:r>
      <w:r>
        <w:t>facilitate</w:t>
      </w:r>
      <w:r>
        <w:rPr>
          <w:spacing w:val="-5"/>
        </w:rPr>
        <w:t xml:space="preserve"> </w:t>
      </w:r>
      <w:r>
        <w:t>access</w:t>
      </w:r>
      <w:r>
        <w:rPr>
          <w:spacing w:val="-4"/>
        </w:rPr>
        <w:t xml:space="preserve"> </w:t>
      </w:r>
      <w:r>
        <w:t>to</w:t>
      </w:r>
      <w:r>
        <w:rPr>
          <w:spacing w:val="-4"/>
        </w:rPr>
        <w:t xml:space="preserve"> </w:t>
      </w:r>
      <w:r>
        <w:t>information</w:t>
      </w:r>
      <w:r>
        <w:rPr>
          <w:spacing w:val="-4"/>
        </w:rPr>
        <w:t xml:space="preserve"> </w:t>
      </w:r>
      <w:r>
        <w:t>about</w:t>
      </w:r>
      <w:r>
        <w:rPr>
          <w:spacing w:val="-4"/>
        </w:rPr>
        <w:t xml:space="preserve"> </w:t>
      </w:r>
      <w:r>
        <w:t>expected</w:t>
      </w:r>
      <w:r>
        <w:rPr>
          <w:spacing w:val="-4"/>
        </w:rPr>
        <w:t xml:space="preserve"> </w:t>
      </w:r>
      <w:r>
        <w:t>out-of- pocket costs for items or services to patients before they receive care.</w:t>
      </w:r>
    </w:p>
    <w:p w:rsidR="00D967AE" w:rsidP="00D967AE" w14:paraId="7193906C" w14:textId="77777777">
      <w:pPr>
        <w:pStyle w:val="BodyText"/>
        <w:spacing w:before="240"/>
        <w:ind w:right="1213"/>
        <w:jc w:val="both"/>
      </w:pPr>
      <w:r>
        <w:t>To fulfill the Departments’ responsibilities under Executive Order 13877, as well as to implement legislative</w:t>
      </w:r>
      <w:r>
        <w:rPr>
          <w:spacing w:val="-1"/>
        </w:rPr>
        <w:t xml:space="preserve"> </w:t>
      </w:r>
      <w:r>
        <w:t>mandates under section 1311(e)(3)</w:t>
      </w:r>
      <w:r>
        <w:rPr>
          <w:spacing w:val="-1"/>
        </w:rPr>
        <w:t xml:space="preserve"> </w:t>
      </w:r>
      <w:r>
        <w:t>of</w:t>
      </w:r>
      <w:r>
        <w:rPr>
          <w:spacing w:val="-1"/>
        </w:rPr>
        <w:t xml:space="preserve"> </w:t>
      </w:r>
      <w:r>
        <w:t>PPACA</w:t>
      </w:r>
      <w:r>
        <w:rPr>
          <w:spacing w:val="-1"/>
        </w:rPr>
        <w:t xml:space="preserve"> </w:t>
      </w:r>
      <w:r>
        <w:t>and section 2715A</w:t>
      </w:r>
      <w:r>
        <w:rPr>
          <w:spacing w:val="-1"/>
        </w:rPr>
        <w:t xml:space="preserve"> </w:t>
      </w:r>
      <w:r>
        <w:t>of</w:t>
      </w:r>
      <w:r>
        <w:rPr>
          <w:spacing w:val="-1"/>
        </w:rPr>
        <w:t xml:space="preserve"> </w:t>
      </w:r>
      <w:r>
        <w:t>the PHS</w:t>
      </w:r>
      <w:r>
        <w:rPr>
          <w:spacing w:val="-11"/>
        </w:rPr>
        <w:t xml:space="preserve"> </w:t>
      </w:r>
      <w:r>
        <w:t>Act,</w:t>
      </w:r>
      <w:r>
        <w:rPr>
          <w:spacing w:val="-12"/>
        </w:rPr>
        <w:t xml:space="preserve"> </w:t>
      </w:r>
      <w:r>
        <w:t>on</w:t>
      </w:r>
      <w:r>
        <w:rPr>
          <w:spacing w:val="-12"/>
        </w:rPr>
        <w:t xml:space="preserve"> </w:t>
      </w:r>
      <w:r>
        <w:t>November</w:t>
      </w:r>
      <w:r>
        <w:rPr>
          <w:spacing w:val="-13"/>
        </w:rPr>
        <w:t xml:space="preserve"> </w:t>
      </w:r>
      <w:r>
        <w:t>27,</w:t>
      </w:r>
      <w:r>
        <w:rPr>
          <w:spacing w:val="-12"/>
        </w:rPr>
        <w:t xml:space="preserve"> </w:t>
      </w:r>
      <w:r>
        <w:t>2019,</w:t>
      </w:r>
      <w:r>
        <w:rPr>
          <w:spacing w:val="-12"/>
        </w:rPr>
        <w:t xml:space="preserve"> </w:t>
      </w:r>
      <w:r>
        <w:t>the</w:t>
      </w:r>
      <w:r>
        <w:rPr>
          <w:spacing w:val="-11"/>
        </w:rPr>
        <w:t xml:space="preserve"> </w:t>
      </w:r>
      <w:r>
        <w:t>Departments</w:t>
      </w:r>
      <w:r>
        <w:rPr>
          <w:spacing w:val="-10"/>
        </w:rPr>
        <w:t xml:space="preserve"> </w:t>
      </w:r>
      <w:r>
        <w:t>published</w:t>
      </w:r>
      <w:r>
        <w:rPr>
          <w:spacing w:val="-12"/>
        </w:rPr>
        <w:t xml:space="preserve"> </w:t>
      </w:r>
      <w:r>
        <w:t>a</w:t>
      </w:r>
      <w:r>
        <w:rPr>
          <w:spacing w:val="-13"/>
        </w:rPr>
        <w:t xml:space="preserve"> </w:t>
      </w:r>
      <w:r>
        <w:t>Notice</w:t>
      </w:r>
      <w:r>
        <w:rPr>
          <w:spacing w:val="-13"/>
        </w:rPr>
        <w:t xml:space="preserve"> </w:t>
      </w:r>
      <w:r>
        <w:t>of</w:t>
      </w:r>
      <w:r>
        <w:rPr>
          <w:spacing w:val="-10"/>
        </w:rPr>
        <w:t xml:space="preserve"> </w:t>
      </w:r>
      <w:r>
        <w:t>Proposed</w:t>
      </w:r>
      <w:r>
        <w:rPr>
          <w:spacing w:val="-12"/>
        </w:rPr>
        <w:t xml:space="preserve"> </w:t>
      </w:r>
      <w:r>
        <w:t>Rulemaking (NPRM) entitled “Transparency in Coverage” (84 FR 65464) in the Federal Register.</w:t>
      </w:r>
    </w:p>
    <w:p w:rsidR="00D967AE" w:rsidP="00D967AE" w14:paraId="451876AC" w14:textId="77777777">
      <w:pPr>
        <w:pStyle w:val="BodyText"/>
        <w:spacing w:before="240"/>
        <w:ind w:right="1217"/>
        <w:jc w:val="both"/>
      </w:pPr>
      <w:r>
        <w:t>On</w:t>
      </w:r>
      <w:r>
        <w:rPr>
          <w:spacing w:val="-10"/>
        </w:rPr>
        <w:t xml:space="preserve"> </w:t>
      </w:r>
      <w:r>
        <w:t>November</w:t>
      </w:r>
      <w:r>
        <w:rPr>
          <w:spacing w:val="-11"/>
        </w:rPr>
        <w:t xml:space="preserve"> </w:t>
      </w:r>
      <w:r>
        <w:t>12,</w:t>
      </w:r>
      <w:r>
        <w:rPr>
          <w:spacing w:val="-10"/>
        </w:rPr>
        <w:t xml:space="preserve"> </w:t>
      </w:r>
      <w:r>
        <w:t>2020,</w:t>
      </w:r>
      <w:r>
        <w:rPr>
          <w:spacing w:val="-10"/>
        </w:rPr>
        <w:t xml:space="preserve"> </w:t>
      </w:r>
      <w:r>
        <w:t>the</w:t>
      </w:r>
      <w:r>
        <w:rPr>
          <w:spacing w:val="-11"/>
        </w:rPr>
        <w:t xml:space="preserve"> </w:t>
      </w:r>
      <w:r>
        <w:t>Departments</w:t>
      </w:r>
      <w:r>
        <w:rPr>
          <w:spacing w:val="-10"/>
        </w:rPr>
        <w:t xml:space="preserve"> </w:t>
      </w:r>
      <w:r>
        <w:t>published</w:t>
      </w:r>
      <w:r>
        <w:rPr>
          <w:spacing w:val="-10"/>
        </w:rPr>
        <w:t xml:space="preserve"> </w:t>
      </w:r>
      <w:r>
        <w:t>the</w:t>
      </w:r>
      <w:r>
        <w:rPr>
          <w:spacing w:val="-11"/>
        </w:rPr>
        <w:t xml:space="preserve"> </w:t>
      </w:r>
      <w:r>
        <w:t>“Transparency</w:t>
      </w:r>
      <w:r>
        <w:rPr>
          <w:spacing w:val="-10"/>
        </w:rPr>
        <w:t xml:space="preserve"> </w:t>
      </w:r>
      <w:r>
        <w:t>in</w:t>
      </w:r>
      <w:r>
        <w:rPr>
          <w:spacing w:val="-10"/>
        </w:rPr>
        <w:t xml:space="preserve"> </w:t>
      </w:r>
      <w:r>
        <w:t>Coverage”</w:t>
      </w:r>
      <w:r>
        <w:rPr>
          <w:spacing w:val="-11"/>
        </w:rPr>
        <w:t xml:space="preserve"> </w:t>
      </w:r>
      <w:r>
        <w:t>final</w:t>
      </w:r>
      <w:r>
        <w:rPr>
          <w:spacing w:val="-10"/>
        </w:rPr>
        <w:t xml:space="preserve"> </w:t>
      </w:r>
      <w:r>
        <w:t>rules (85 FR 72158) in the Federal Register.</w:t>
      </w:r>
    </w:p>
    <w:p w:rsidR="003840CE" w:rsidP="003840CE" w14:paraId="63D78F81" w14:textId="15A16DA0">
      <w:r>
        <w:t xml:space="preserve">This </w:t>
      </w:r>
      <w:r w:rsidR="00D967AE">
        <w:t xml:space="preserve">ICR </w:t>
      </w:r>
      <w:r>
        <w:t>was last approved by OMB on A</w:t>
      </w:r>
      <w:r w:rsidR="00D967AE">
        <w:t>ugust 19, 2022</w:t>
      </w:r>
      <w:r w:rsidR="00CF67C4">
        <w:t>,</w:t>
      </w:r>
      <w:r w:rsidR="00D967AE">
        <w:t xml:space="preserve"> </w:t>
      </w:r>
      <w:r>
        <w:t xml:space="preserve">and expires </w:t>
      </w:r>
      <w:r w:rsidR="00CC171A">
        <w:t>August 31</w:t>
      </w:r>
      <w:r>
        <w:t>, 202</w:t>
      </w:r>
      <w:r w:rsidR="00CC171A">
        <w:t>5</w:t>
      </w:r>
      <w:r>
        <w:t xml:space="preserve">. </w:t>
      </w:r>
    </w:p>
    <w:p w:rsidR="00EE1702" w:rsidP="0005680D" w14:paraId="1672A249" w14:textId="77777777">
      <w:pPr>
        <w:rPr>
          <w:i/>
        </w:rPr>
      </w:pPr>
    </w:p>
    <w:p w:rsidR="003840CE" w:rsidRPr="00EE1702" w:rsidP="00EE1702" w14:paraId="6C246985" w14:textId="3958CBFE">
      <w:pPr>
        <w:spacing w:after="120"/>
        <w:rPr>
          <w:b/>
          <w:i/>
          <w:caps/>
          <w:kern w:val="24"/>
        </w:rPr>
      </w:pPr>
      <w:r>
        <w:rPr>
          <w:b/>
          <w:i/>
          <w:caps/>
          <w:kern w:val="24"/>
        </w:rPr>
        <w:t>NOte to File</w:t>
      </w:r>
    </w:p>
    <w:p w:rsidR="003840CE" w:rsidP="00CC171A" w14:paraId="489844A2" w14:textId="0AF8C9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purpose of this submission is to establish the information collection request currently approved under 0938-1429 as a </w:t>
      </w:r>
      <w:r w:rsidR="00D967AE">
        <w:t>S</w:t>
      </w:r>
      <w:r>
        <w:t xml:space="preserve">ponsoring </w:t>
      </w:r>
      <w:r w:rsidR="00D967AE">
        <w:t>C</w:t>
      </w:r>
      <w:r>
        <w:t xml:space="preserve">ommon </w:t>
      </w:r>
      <w:r w:rsidR="00D967AE">
        <w:t>F</w:t>
      </w:r>
      <w:r>
        <w:t>orm.  During the associated rulemaking (</w:t>
      </w:r>
      <w:r w:rsidR="00D967AE">
        <w:t>85 FR 72158)</w:t>
      </w:r>
      <w:r>
        <w:t xml:space="preserve"> as well as in the subsequent submission to OMB, the ICR explicitly stated that it would be using the Request for Common Form (RCF) process. Once approved, the Department</w:t>
      </w:r>
      <w:r w:rsidR="00A472FE">
        <w:t>s</w:t>
      </w:r>
      <w:r w:rsidR="000625AD">
        <w:t xml:space="preserve"> would </w:t>
      </w:r>
      <w:r>
        <w:t>submit RCFs for their respective Departments. Due to an administrative oversight, CMS did not submit 0938-1429 as an ICR sponsoring a common form.  With this submission we are correcting the oversight.</w:t>
      </w:r>
      <w:r w:rsidR="00D967AE">
        <w:t xml:space="preserve">  We note that no changes have been made to the ICR, that is, no new requirements, no removed requirements, no additions or deletions to the respondent populations and no changes to time or cost burden.  Two formatting changes were made</w:t>
      </w:r>
      <w:r w:rsidR="00645EB4">
        <w:t xml:space="preserve"> to the supporting statement document</w:t>
      </w:r>
      <w:r w:rsidR="00D967AE">
        <w:t xml:space="preserve">. The </w:t>
      </w:r>
      <w:r w:rsidR="00645EB4">
        <w:t xml:space="preserve">supporting statement </w:t>
      </w:r>
      <w:r w:rsidR="00D967AE">
        <w:t xml:space="preserve">has been retitled to contain the correct OMB control number and the file was converted from a PDF file to a Word file. </w:t>
      </w:r>
      <w:r>
        <w:t xml:space="preserve"> </w:t>
      </w:r>
    </w:p>
    <w:p w:rsidR="00CC171A" w:rsidP="00CC171A" w14:paraId="58490D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C171A" w:rsidP="00CC171A" w14:paraId="6082A0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Sect="008F74B9">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B23226"/>
    <w:multiLevelType w:val="hybridMultilevel"/>
    <w:tmpl w:val="99C22E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16cid:durableId="2018653512">
    <w:abstractNumId w:val="3"/>
  </w:num>
  <w:num w:numId="2" w16cid:durableId="2212164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1433074">
    <w:abstractNumId w:val="5"/>
  </w:num>
  <w:num w:numId="4" w16cid:durableId="450704944">
    <w:abstractNumId w:val="2"/>
  </w:num>
  <w:num w:numId="5" w16cid:durableId="2116558388">
    <w:abstractNumId w:val="0"/>
  </w:num>
  <w:num w:numId="6" w16cid:durableId="561328672">
    <w:abstractNumId w:val="4"/>
  </w:num>
  <w:num w:numId="7" w16cid:durableId="1754203202">
    <w:abstractNumId w:val="1"/>
  </w:num>
  <w:num w:numId="8" w16cid:durableId="2095854708">
    <w:abstractNumId w:val="6"/>
  </w:num>
  <w:num w:numId="9" w16cid:durableId="271597013">
    <w:abstractNumId w:val="7"/>
  </w:num>
  <w:num w:numId="10" w16cid:durableId="109403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47392"/>
    <w:rsid w:val="00053E66"/>
    <w:rsid w:val="000544B6"/>
    <w:rsid w:val="0005680D"/>
    <w:rsid w:val="000625AD"/>
    <w:rsid w:val="00075057"/>
    <w:rsid w:val="000B17F6"/>
    <w:rsid w:val="000D079A"/>
    <w:rsid w:val="000D4E1A"/>
    <w:rsid w:val="000E540A"/>
    <w:rsid w:val="000F1B98"/>
    <w:rsid w:val="00110FDD"/>
    <w:rsid w:val="00116024"/>
    <w:rsid w:val="001779F1"/>
    <w:rsid w:val="0018117E"/>
    <w:rsid w:val="001B1A0D"/>
    <w:rsid w:val="00201D4A"/>
    <w:rsid w:val="00237869"/>
    <w:rsid w:val="002A5C6B"/>
    <w:rsid w:val="002C3567"/>
    <w:rsid w:val="002E4435"/>
    <w:rsid w:val="003840CE"/>
    <w:rsid w:val="003A3BB8"/>
    <w:rsid w:val="003B4A30"/>
    <w:rsid w:val="003D66DB"/>
    <w:rsid w:val="003F44A4"/>
    <w:rsid w:val="003F6D98"/>
    <w:rsid w:val="00400F25"/>
    <w:rsid w:val="00416667"/>
    <w:rsid w:val="00416E1B"/>
    <w:rsid w:val="004235C1"/>
    <w:rsid w:val="00444A42"/>
    <w:rsid w:val="00445459"/>
    <w:rsid w:val="00462BAB"/>
    <w:rsid w:val="00466A80"/>
    <w:rsid w:val="00476FDE"/>
    <w:rsid w:val="00483101"/>
    <w:rsid w:val="004874ED"/>
    <w:rsid w:val="004A36CF"/>
    <w:rsid w:val="004C14EF"/>
    <w:rsid w:val="004C6ADE"/>
    <w:rsid w:val="004F2D1B"/>
    <w:rsid w:val="004F636A"/>
    <w:rsid w:val="0053229D"/>
    <w:rsid w:val="00556035"/>
    <w:rsid w:val="005608FF"/>
    <w:rsid w:val="005678F7"/>
    <w:rsid w:val="00594597"/>
    <w:rsid w:val="005B6D16"/>
    <w:rsid w:val="005C60C2"/>
    <w:rsid w:val="005E07FA"/>
    <w:rsid w:val="005E246C"/>
    <w:rsid w:val="00610A56"/>
    <w:rsid w:val="00620609"/>
    <w:rsid w:val="00623986"/>
    <w:rsid w:val="00636ECD"/>
    <w:rsid w:val="00644844"/>
    <w:rsid w:val="00645EB4"/>
    <w:rsid w:val="00651482"/>
    <w:rsid w:val="006558C9"/>
    <w:rsid w:val="00696C0E"/>
    <w:rsid w:val="006A2A23"/>
    <w:rsid w:val="006A755C"/>
    <w:rsid w:val="006B6AF3"/>
    <w:rsid w:val="00730683"/>
    <w:rsid w:val="00731214"/>
    <w:rsid w:val="00775B45"/>
    <w:rsid w:val="00784D4A"/>
    <w:rsid w:val="007D30CE"/>
    <w:rsid w:val="00831674"/>
    <w:rsid w:val="00871771"/>
    <w:rsid w:val="008928D3"/>
    <w:rsid w:val="008A0B31"/>
    <w:rsid w:val="008A2AEC"/>
    <w:rsid w:val="008E25BE"/>
    <w:rsid w:val="008E2CDA"/>
    <w:rsid w:val="008F74B9"/>
    <w:rsid w:val="00901FB1"/>
    <w:rsid w:val="00912B16"/>
    <w:rsid w:val="009270AC"/>
    <w:rsid w:val="00951F29"/>
    <w:rsid w:val="009670A3"/>
    <w:rsid w:val="009759BB"/>
    <w:rsid w:val="00995018"/>
    <w:rsid w:val="009A34BC"/>
    <w:rsid w:val="009C500E"/>
    <w:rsid w:val="009D1EC0"/>
    <w:rsid w:val="009E5C41"/>
    <w:rsid w:val="00A23BC5"/>
    <w:rsid w:val="00A31206"/>
    <w:rsid w:val="00A31FEE"/>
    <w:rsid w:val="00A3295D"/>
    <w:rsid w:val="00A44387"/>
    <w:rsid w:val="00A472FE"/>
    <w:rsid w:val="00A53017"/>
    <w:rsid w:val="00A64203"/>
    <w:rsid w:val="00A700E7"/>
    <w:rsid w:val="00A90B63"/>
    <w:rsid w:val="00AA3A3C"/>
    <w:rsid w:val="00AB179D"/>
    <w:rsid w:val="00AB4D59"/>
    <w:rsid w:val="00AC04FB"/>
    <w:rsid w:val="00AC72BB"/>
    <w:rsid w:val="00B54B5B"/>
    <w:rsid w:val="00B70695"/>
    <w:rsid w:val="00BA4433"/>
    <w:rsid w:val="00BB6348"/>
    <w:rsid w:val="00BC6DE8"/>
    <w:rsid w:val="00BC7DE9"/>
    <w:rsid w:val="00BF0AA7"/>
    <w:rsid w:val="00BF5D57"/>
    <w:rsid w:val="00C02C8F"/>
    <w:rsid w:val="00C13A48"/>
    <w:rsid w:val="00C23F07"/>
    <w:rsid w:val="00C47D10"/>
    <w:rsid w:val="00C91B1D"/>
    <w:rsid w:val="00CA376A"/>
    <w:rsid w:val="00CC171A"/>
    <w:rsid w:val="00CD08DE"/>
    <w:rsid w:val="00CD2E09"/>
    <w:rsid w:val="00CF67C4"/>
    <w:rsid w:val="00D04473"/>
    <w:rsid w:val="00D269ED"/>
    <w:rsid w:val="00D33EC9"/>
    <w:rsid w:val="00D6798D"/>
    <w:rsid w:val="00D83AF7"/>
    <w:rsid w:val="00D967AE"/>
    <w:rsid w:val="00DA40B6"/>
    <w:rsid w:val="00DB554E"/>
    <w:rsid w:val="00DD5306"/>
    <w:rsid w:val="00DE3201"/>
    <w:rsid w:val="00DF7525"/>
    <w:rsid w:val="00E1128A"/>
    <w:rsid w:val="00E5216A"/>
    <w:rsid w:val="00E525D4"/>
    <w:rsid w:val="00E570FE"/>
    <w:rsid w:val="00E60251"/>
    <w:rsid w:val="00E674F3"/>
    <w:rsid w:val="00E76482"/>
    <w:rsid w:val="00E83275"/>
    <w:rsid w:val="00EC19EC"/>
    <w:rsid w:val="00ED7EDE"/>
    <w:rsid w:val="00EE1702"/>
    <w:rsid w:val="00FA095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styleId="BodyText">
    <w:name w:val="Body Text"/>
    <w:basedOn w:val="Normal"/>
    <w:link w:val="BodyTextChar1"/>
    <w:unhideWhenUsed/>
    <w:rsid w:val="00C91B1D"/>
    <w:pPr>
      <w:widowControl/>
      <w:suppressAutoHyphens w:val="0"/>
      <w:spacing w:after="240"/>
    </w:pPr>
    <w:rPr>
      <w:rFonts w:eastAsia="Times New Roman"/>
      <w:kern w:val="0"/>
      <w:szCs w:val="20"/>
    </w:rPr>
  </w:style>
  <w:style w:type="character" w:customStyle="1" w:styleId="BodyTextChar">
    <w:name w:val="Body Text Char"/>
    <w:basedOn w:val="DefaultParagraphFont"/>
    <w:uiPriority w:val="99"/>
    <w:semiHidden/>
    <w:rsid w:val="00C91B1D"/>
    <w:rPr>
      <w:rFonts w:ascii="Times New Roman" w:eastAsia="Tahoma" w:hAnsi="Times New Roman" w:cs="Times New Roman"/>
      <w:kern w:val="1"/>
      <w:sz w:val="24"/>
      <w:szCs w:val="24"/>
    </w:rPr>
  </w:style>
  <w:style w:type="character" w:customStyle="1" w:styleId="BodyTextChar1">
    <w:name w:val="Body Text Char1"/>
    <w:basedOn w:val="DefaultParagraphFont"/>
    <w:link w:val="BodyText"/>
    <w:locked/>
    <w:rsid w:val="00C91B1D"/>
    <w:rPr>
      <w:rFonts w:ascii="Times New Roman" w:eastAsia="Times New Roman" w:hAnsi="Times New Roman" w:cs="Times New Roman"/>
      <w:sz w:val="24"/>
      <w:szCs w:val="20"/>
    </w:rPr>
  </w:style>
  <w:style w:type="character" w:customStyle="1" w:styleId="markedcontent">
    <w:name w:val="markedcontent"/>
    <w:basedOn w:val="DefaultParagraphFont"/>
    <w:rsid w:val="00967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Parham, William (CMS/OSORA)</cp:lastModifiedBy>
  <cp:revision>2</cp:revision>
  <cp:lastPrinted>2023-03-13T20:36:00Z</cp:lastPrinted>
  <dcterms:created xsi:type="dcterms:W3CDTF">2024-10-03T20:33:00Z</dcterms:created>
  <dcterms:modified xsi:type="dcterms:W3CDTF">2024-10-03T20:33:00Z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