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961953" w:rsidRPr="007A6DD8" w:rsidP="00961953" w14:paraId="3145E3A1" w14:textId="4DCF4A2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 xml:space="preserve">  </w:t>
      </w:r>
      <w:r w:rsidRPr="007A6DD8" w:rsidR="00D45FAE">
        <w:rPr>
          <w:b/>
          <w:color w:val="000000"/>
        </w:rPr>
        <w:t xml:space="preserve">Supporting Statement </w:t>
      </w:r>
    </w:p>
    <w:p w:rsidR="00961953" w:rsidRPr="007A6DD8" w:rsidP="00961953" w14:paraId="613A66B0" w14:textId="539EA3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bookmarkStart w:id="0" w:name="_Hlk172675725"/>
      <w:r w:rsidRPr="007A6DD8">
        <w:rPr>
          <w:b/>
          <w:color w:val="000000"/>
        </w:rPr>
        <w:t xml:space="preserve">Critical Access </w:t>
      </w:r>
      <w:r w:rsidRPr="007A6DD8">
        <w:rPr>
          <w:b/>
          <w:color w:val="000000"/>
        </w:rPr>
        <w:t>Hospital (CAH)</w:t>
      </w:r>
      <w:bookmarkEnd w:id="0"/>
      <w:r w:rsidRPr="007A6DD8">
        <w:rPr>
          <w:b/>
          <w:color w:val="000000"/>
        </w:rPr>
        <w:t xml:space="preserve"> </w:t>
      </w:r>
      <w:r w:rsidRPr="007A6DD8" w:rsidR="00D45FAE">
        <w:rPr>
          <w:b/>
          <w:color w:val="000000"/>
        </w:rPr>
        <w:t xml:space="preserve">Conditions of Participation </w:t>
      </w:r>
      <w:r w:rsidR="00607404">
        <w:rPr>
          <w:b/>
          <w:color w:val="000000"/>
        </w:rPr>
        <w:t>(CoPs)</w:t>
      </w:r>
    </w:p>
    <w:p w:rsidR="00607404" w:rsidP="00961953" w14:paraId="65E111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7A6DD8">
        <w:rPr>
          <w:b/>
          <w:color w:val="000000"/>
        </w:rPr>
        <w:t xml:space="preserve">and Supporting Regulations </w:t>
      </w:r>
    </w:p>
    <w:p w:rsidR="00D45FAE" w:rsidRPr="007A6DD8" w:rsidP="00961953" w14:paraId="1882478E" w14:textId="4ADFA5E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OMB No. 0938-1043/</w:t>
      </w:r>
      <w:r w:rsidR="002B17F9">
        <w:rPr>
          <w:b/>
          <w:color w:val="000000"/>
        </w:rPr>
        <w:t>(</w:t>
      </w:r>
      <w:r w:rsidR="00710F80">
        <w:rPr>
          <w:b/>
          <w:color w:val="000000"/>
        </w:rPr>
        <w:t>CMS-10239)</w:t>
      </w:r>
    </w:p>
    <w:p w:rsidR="00D45FAE" w:rsidRPr="007A6DD8" w14:paraId="58FFCF5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46CE6" w:rsidRPr="007A6DD8" w:rsidP="00506B54" w14:paraId="68C29572" w14:textId="77777777">
      <w:pPr>
        <w:pStyle w:val="Style0"/>
        <w:numPr>
          <w:ilvl w:val="0"/>
          <w:numId w:val="2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color w:val="000000"/>
          <w:u w:val="single"/>
        </w:rPr>
      </w:pPr>
      <w:bookmarkStart w:id="1" w:name="_Hlk173832124"/>
      <w:r w:rsidRPr="007A6DD8">
        <w:rPr>
          <w:color w:val="000000"/>
          <w:u w:val="single"/>
        </w:rPr>
        <w:t>Background</w:t>
      </w:r>
      <w:bookmarkEnd w:id="1"/>
    </w:p>
    <w:p w:rsidR="00446CE6" w:rsidRPr="007A6DD8" w:rsidP="00840CC0" w14:paraId="0BEC29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07404" w:rsidP="00607404" w14:paraId="22F745C4" w14:textId="0FFD45B9">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bookmarkStart w:id="2" w:name="_Hlk173832089"/>
      <w:r w:rsidRPr="00607404">
        <w:rPr>
          <w:color w:val="000000"/>
        </w:rPr>
        <w:t xml:space="preserve">The purpose of this package is to request from the Office of Management and Budget (OMB) the approval to reinstate, with changes, the </w:t>
      </w:r>
      <w:r w:rsidR="00815951">
        <w:rPr>
          <w:color w:val="000000"/>
        </w:rPr>
        <w:t>information collection request</w:t>
      </w:r>
      <w:r w:rsidRPr="00607404">
        <w:rPr>
          <w:color w:val="000000"/>
        </w:rPr>
        <w:t>, associated with OMB No. 0938-</w:t>
      </w:r>
      <w:r>
        <w:rPr>
          <w:color w:val="000000"/>
        </w:rPr>
        <w:t>1043</w:t>
      </w:r>
      <w:r w:rsidRPr="00607404">
        <w:rPr>
          <w:color w:val="000000"/>
        </w:rPr>
        <w:t>, titled “Critical Access Hospital (CAH) Conditions of Participation (CoPs) and Supporting Regulatio</w:t>
      </w:r>
      <w:r>
        <w:rPr>
          <w:color w:val="000000"/>
        </w:rPr>
        <w:t>ns.”</w:t>
      </w:r>
    </w:p>
    <w:bookmarkEnd w:id="2"/>
    <w:p w:rsidR="00BA5942" w:rsidP="00607404" w14:paraId="40041D66"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BA5942" w:rsidP="00BA5942" w14:paraId="0F3A1756" w14:textId="11B3CA73">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BA5942">
        <w:rPr>
          <w:color w:val="000000"/>
        </w:rPr>
        <w:t xml:space="preserve">Sections 1820 and 1861(mm) of the Social Security Act provide that CAHs participating Medicare meet certain specified requirements. </w:t>
      </w:r>
      <w:bookmarkStart w:id="3" w:name="_Hlk173832168"/>
      <w:r w:rsidRPr="00BA5942">
        <w:rPr>
          <w:color w:val="000000"/>
        </w:rPr>
        <w:t xml:space="preserve">The regulations containing the information collection requirements are located at 42 CFR 485, Subpart </w:t>
      </w:r>
      <w:r w:rsidRPr="00BA5942" w:rsidR="0060007F">
        <w:rPr>
          <w:color w:val="000000"/>
        </w:rPr>
        <w:t xml:space="preserve">F. </w:t>
      </w:r>
      <w:bookmarkEnd w:id="3"/>
      <w:r w:rsidRPr="00BA5942">
        <w:rPr>
          <w:color w:val="000000"/>
        </w:rPr>
        <w:t>These regulations implement sections 1102, 1138, 1814(a)(8), 1820(a-f), 1861(mm), 1864, and 1871 of the Act</w:t>
      </w:r>
      <w:r w:rsidRPr="00BA5942" w:rsidR="0060007F">
        <w:rPr>
          <w:color w:val="000000"/>
        </w:rPr>
        <w:t xml:space="preserve">. </w:t>
      </w:r>
    </w:p>
    <w:p w:rsidR="00BA5942" w:rsidP="00607404" w14:paraId="5AA17700"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607404" w:rsidP="00263536" w14:paraId="66F30317" w14:textId="522F57DC">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bookmarkStart w:id="4" w:name="_Hlk173832105"/>
      <w:r w:rsidRPr="00607404">
        <w:rPr>
          <w:color w:val="000000"/>
        </w:rPr>
        <w:t xml:space="preserve">This is a reinstatement </w:t>
      </w:r>
      <w:r w:rsidR="00815951">
        <w:rPr>
          <w:color w:val="000000"/>
        </w:rPr>
        <w:t xml:space="preserve">of the </w:t>
      </w:r>
      <w:r w:rsidRPr="00607404">
        <w:rPr>
          <w:color w:val="000000"/>
        </w:rPr>
        <w:t>information collection</w:t>
      </w:r>
      <w:r w:rsidR="00815951">
        <w:rPr>
          <w:color w:val="000000"/>
        </w:rPr>
        <w:t xml:space="preserve"> request that</w:t>
      </w:r>
      <w:r w:rsidRPr="00607404">
        <w:rPr>
          <w:color w:val="000000"/>
        </w:rPr>
        <w:t xml:space="preserve"> expired on </w:t>
      </w:r>
      <w:r>
        <w:rPr>
          <w:color w:val="000000"/>
        </w:rPr>
        <w:t>March 31, 2024</w:t>
      </w:r>
      <w:r w:rsidRPr="00607404">
        <w:rPr>
          <w:color w:val="000000"/>
        </w:rPr>
        <w:t>. The previous iteration of this OMB No. 0938-</w:t>
      </w:r>
      <w:r>
        <w:rPr>
          <w:color w:val="000000"/>
        </w:rPr>
        <w:t>1043</w:t>
      </w:r>
      <w:r w:rsidRPr="00607404">
        <w:rPr>
          <w:color w:val="000000"/>
        </w:rPr>
        <w:t xml:space="preserve"> (approved </w:t>
      </w:r>
      <w:r>
        <w:rPr>
          <w:color w:val="000000"/>
        </w:rPr>
        <w:t>March 25, 2021)</w:t>
      </w:r>
      <w:r w:rsidRPr="00607404">
        <w:rPr>
          <w:color w:val="000000"/>
        </w:rPr>
        <w:t xml:space="preserve"> had a burden of </w:t>
      </w:r>
      <w:r>
        <w:rPr>
          <w:color w:val="000000"/>
        </w:rPr>
        <w:t>33,905</w:t>
      </w:r>
      <w:r w:rsidRPr="00607404">
        <w:rPr>
          <w:color w:val="000000"/>
        </w:rPr>
        <w:t xml:space="preserve"> annual hours</w:t>
      </w:r>
      <w:r>
        <w:rPr>
          <w:color w:val="000000"/>
        </w:rPr>
        <w:t>.</w:t>
      </w:r>
      <w:r w:rsidRPr="00607404">
        <w:rPr>
          <w:color w:val="000000"/>
        </w:rPr>
        <w:t xml:space="preserve"> </w:t>
      </w:r>
      <w:r w:rsidRPr="00263536" w:rsidR="00263536">
        <w:rPr>
          <w:color w:val="000000"/>
        </w:rPr>
        <w:t xml:space="preserve">For this requested reinstatement, with changes, the </w:t>
      </w:r>
      <w:r w:rsidR="001C7F3F">
        <w:rPr>
          <w:color w:val="000000"/>
        </w:rPr>
        <w:t>total</w:t>
      </w:r>
      <w:r w:rsidRPr="00263536" w:rsidR="00263536">
        <w:rPr>
          <w:color w:val="000000"/>
        </w:rPr>
        <w:t xml:space="preserve"> </w:t>
      </w:r>
      <w:r w:rsidRPr="00263536" w:rsidR="00992734">
        <w:rPr>
          <w:color w:val="000000"/>
        </w:rPr>
        <w:t>annual burden</w:t>
      </w:r>
      <w:r w:rsidRPr="00263536" w:rsidR="00263536">
        <w:rPr>
          <w:color w:val="000000"/>
        </w:rPr>
        <w:t xml:space="preserve"> </w:t>
      </w:r>
      <w:r w:rsidR="001C7F3F">
        <w:rPr>
          <w:color w:val="000000"/>
        </w:rPr>
        <w:t xml:space="preserve">hours </w:t>
      </w:r>
      <w:r w:rsidRPr="00263536" w:rsidR="00263536">
        <w:rPr>
          <w:color w:val="000000"/>
        </w:rPr>
        <w:t xml:space="preserve">for industry </w:t>
      </w:r>
      <w:r w:rsidRPr="00263536" w:rsidR="00263536">
        <w:rPr>
          <w:color w:val="000000"/>
        </w:rPr>
        <w:t>is</w:t>
      </w:r>
      <w:r w:rsidRPr="00263536" w:rsidR="00263536">
        <w:rPr>
          <w:color w:val="000000"/>
        </w:rPr>
        <w:t xml:space="preserve"> </w:t>
      </w:r>
      <w:r w:rsidRPr="00E744E5" w:rsidR="00263536">
        <w:rPr>
          <w:b/>
          <w:bCs/>
          <w:color w:val="000000"/>
          <w:szCs w:val="24"/>
        </w:rPr>
        <w:t>89</w:t>
      </w:r>
      <w:r w:rsidRPr="00E744E5" w:rsidR="00B017FD">
        <w:rPr>
          <w:b/>
          <w:bCs/>
          <w:color w:val="000000"/>
          <w:szCs w:val="24"/>
        </w:rPr>
        <w:t>4,922</w:t>
      </w:r>
      <w:r w:rsidRPr="00263536" w:rsidR="00263536">
        <w:rPr>
          <w:color w:val="000000"/>
        </w:rPr>
        <w:t xml:space="preserve"> hours </w:t>
      </w:r>
      <w:r w:rsidR="001C7F3F">
        <w:rPr>
          <w:color w:val="000000"/>
        </w:rPr>
        <w:t xml:space="preserve">and the </w:t>
      </w:r>
      <w:r w:rsidRPr="00263536" w:rsidR="00263536">
        <w:rPr>
          <w:color w:val="000000"/>
        </w:rPr>
        <w:t xml:space="preserve">annual </w:t>
      </w:r>
      <w:r w:rsidR="001C7F3F">
        <w:rPr>
          <w:color w:val="000000"/>
        </w:rPr>
        <w:t xml:space="preserve">burden </w:t>
      </w:r>
      <w:r w:rsidRPr="00263536" w:rsidR="00263536">
        <w:rPr>
          <w:color w:val="000000"/>
        </w:rPr>
        <w:t>cost</w:t>
      </w:r>
      <w:r w:rsidR="001C7F3F">
        <w:rPr>
          <w:color w:val="000000"/>
        </w:rPr>
        <w:t>s</w:t>
      </w:r>
      <w:r w:rsidRPr="00263536" w:rsidR="00263536">
        <w:rPr>
          <w:color w:val="000000"/>
        </w:rPr>
        <w:t xml:space="preserve"> </w:t>
      </w:r>
      <w:r w:rsidR="001C7F3F">
        <w:rPr>
          <w:color w:val="000000"/>
        </w:rPr>
        <w:t xml:space="preserve">are </w:t>
      </w:r>
      <w:r w:rsidRPr="00263536" w:rsidR="00263536">
        <w:rPr>
          <w:b/>
          <w:bCs/>
          <w:color w:val="000000"/>
        </w:rPr>
        <w:t>$</w:t>
      </w:r>
      <w:r w:rsidRPr="00992734" w:rsidR="00263536">
        <w:rPr>
          <w:b/>
          <w:bCs/>
          <w:color w:val="000000"/>
        </w:rPr>
        <w:t>7</w:t>
      </w:r>
      <w:r w:rsidRPr="00992734" w:rsidR="00E744E5">
        <w:rPr>
          <w:b/>
          <w:bCs/>
          <w:color w:val="000000"/>
        </w:rPr>
        <w:t>3</w:t>
      </w:r>
      <w:r w:rsidRPr="00992734" w:rsidR="00263536">
        <w:rPr>
          <w:b/>
          <w:bCs/>
          <w:color w:val="000000"/>
        </w:rPr>
        <w:t>,</w:t>
      </w:r>
      <w:r w:rsidRPr="00992734" w:rsidR="00E744E5">
        <w:rPr>
          <w:b/>
          <w:bCs/>
          <w:color w:val="000000"/>
        </w:rPr>
        <w:t>650</w:t>
      </w:r>
      <w:r w:rsidRPr="00992734" w:rsidR="00263536">
        <w:rPr>
          <w:b/>
          <w:bCs/>
          <w:color w:val="000000"/>
        </w:rPr>
        <w:t>,</w:t>
      </w:r>
      <w:r w:rsidRPr="00992734" w:rsidR="00E744E5">
        <w:rPr>
          <w:b/>
          <w:bCs/>
          <w:color w:val="000000"/>
        </w:rPr>
        <w:t>118</w:t>
      </w:r>
      <w:r w:rsidRPr="00263536" w:rsidR="00263536">
        <w:rPr>
          <w:color w:val="000000"/>
        </w:rPr>
        <w:t>.</w:t>
      </w:r>
    </w:p>
    <w:p w:rsidR="00263536" w:rsidP="0098249E" w14:paraId="7A5E99C0" w14:textId="2AFF79DD">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263536" w:rsidP="00263536" w14:paraId="0D126E61" w14:textId="57A2623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Pr>
          <w:color w:val="000000"/>
        </w:rPr>
        <w:t xml:space="preserve">The </w:t>
      </w:r>
      <w:r w:rsidR="001C7F3F">
        <w:rPr>
          <w:color w:val="000000"/>
        </w:rPr>
        <w:t xml:space="preserve">increase </w:t>
      </w:r>
      <w:r>
        <w:rPr>
          <w:color w:val="000000"/>
        </w:rPr>
        <w:t xml:space="preserve">in burden hours </w:t>
      </w:r>
      <w:r w:rsidR="001C7F3F">
        <w:rPr>
          <w:color w:val="000000"/>
        </w:rPr>
        <w:t xml:space="preserve">from the prior package </w:t>
      </w:r>
      <w:r>
        <w:rPr>
          <w:color w:val="000000"/>
        </w:rPr>
        <w:t xml:space="preserve">is primarily due </w:t>
      </w:r>
      <w:r>
        <w:rPr>
          <w:color w:val="000000"/>
        </w:rPr>
        <w:t xml:space="preserve">to </w:t>
      </w:r>
      <w:r>
        <w:t xml:space="preserve">new information collections </w:t>
      </w:r>
      <w:r w:rsidR="0068781E">
        <w:t xml:space="preserve">associated </w:t>
      </w:r>
      <w:bookmarkEnd w:id="4"/>
      <w:r w:rsidR="0068781E">
        <w:t>with new CoPs for CAHs outlined in</w:t>
      </w:r>
      <w:r w:rsidR="006D7AD2">
        <w:t xml:space="preserve"> the</w:t>
      </w:r>
      <w:r w:rsidR="0068781E">
        <w:t xml:space="preserve"> </w:t>
      </w:r>
      <w:r w:rsidR="006D7AD2">
        <w:t>two</w:t>
      </w:r>
      <w:r w:rsidR="0068781E">
        <w:t xml:space="preserve"> </w:t>
      </w:r>
      <w:r w:rsidR="006D7AD2">
        <w:t xml:space="preserve">CMS </w:t>
      </w:r>
      <w:r w:rsidR="0068781E">
        <w:t xml:space="preserve">rules </w:t>
      </w:r>
      <w:r w:rsidR="006D7AD2">
        <w:t xml:space="preserve">referenced </w:t>
      </w:r>
      <w:r w:rsidR="0068781E">
        <w:t>below</w:t>
      </w:r>
      <w:r w:rsidR="001C7F3F">
        <w:t>. The new CoPs</w:t>
      </w:r>
      <w:r w:rsidR="0068781E">
        <w:t xml:space="preserve"> </w:t>
      </w:r>
      <w:r>
        <w:t xml:space="preserve">include </w:t>
      </w:r>
      <w:r w:rsidR="001C7F3F">
        <w:t xml:space="preserve">multiple </w:t>
      </w:r>
      <w:r w:rsidR="0068781E">
        <w:t xml:space="preserve">information collection requirements </w:t>
      </w:r>
      <w:r w:rsidR="001C7F3F">
        <w:t>that are one-time burdens for</w:t>
      </w:r>
      <w:r w:rsidR="0068781E">
        <w:t xml:space="preserve"> </w:t>
      </w:r>
      <w:r>
        <w:t>developing new policies and protocols and ongoing reporting requirements</w:t>
      </w:r>
      <w:r w:rsidR="001C7F3F">
        <w:t>, such as</w:t>
      </w:r>
      <w:r w:rsidR="0068781E">
        <w:t xml:space="preserve"> daily or biweekly </w:t>
      </w:r>
      <w:r w:rsidR="001C7F3F">
        <w:t>reporting</w:t>
      </w:r>
      <w:r w:rsidR="0068781E">
        <w:t xml:space="preserve"> of respiratory illnesses as well as maternal deaths. </w:t>
      </w:r>
      <w:bookmarkStart w:id="5" w:name="_Hlk173832138"/>
      <w:r w:rsidR="001C7F3F">
        <w:t>The reasons for the increased information collections are discussed in more detail</w:t>
      </w:r>
      <w:r w:rsidR="00CB798D">
        <w:t xml:space="preserve"> in the rules and are summarized later in this package.</w:t>
      </w:r>
    </w:p>
    <w:bookmarkEnd w:id="5"/>
    <w:p w:rsidR="00263536" w:rsidP="0098249E" w14:paraId="70A87703" w14:textId="1721356A">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98249E" w:rsidRPr="006D041A" w:rsidP="0060333D" w14:paraId="7D25CE63" w14:textId="3F57B370">
      <w:pPr>
        <w:pStyle w:val="ListParagraph"/>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rPr>
          <w:color w:val="000000"/>
          <w:szCs w:val="20"/>
        </w:rPr>
      </w:pPr>
      <w:r>
        <w:t xml:space="preserve">Obstetrical services included in the proposed rule, </w:t>
      </w:r>
      <w:hyperlink r:id="rId9" w:history="1">
        <w:r w:rsidRPr="006D041A">
          <w:rPr>
            <w:rStyle w:val="Hyperlink"/>
          </w:rPr>
          <w:t>Medicare and Medicaid Programs: Hospital Outpatient Prospective Payment and Ambulatory Surgical Center Payment Systems; Quality Reporting Programs, Including the Hospital Inpatient Quality Reporting Program; Health and Safety Standards for Obstetrical Services in Hospitals and Critical Access Hospitals; Prior Authorization; Requests for Information; Medicaid and CHIP Continuous Eligibility; Medicaid Clinic Services Four Walls Exceptions; Individuals Currently or Formerly in Custody of Penal Authorities; Revision to Medicare Special Enrollment Period for Formerly Incarcerated Individuals; and All-Inclusive Rate Add-On Payment for High-Cost Drugs Provided by Indian Health Service and Tribal Facilities</w:t>
        </w:r>
      </w:hyperlink>
      <w:r w:rsidRPr="006D041A">
        <w:t>, 89 FR 59186 (July 22, 2024)</w:t>
      </w:r>
      <w:r w:rsidR="00E744E5">
        <w:t xml:space="preserve"> </w:t>
      </w:r>
      <w:r w:rsidR="006D041A">
        <w:t>(hereinafter referred to as the</w:t>
      </w:r>
      <w:r w:rsidRPr="006D041A" w:rsidR="006D041A">
        <w:t xml:space="preserve"> </w:t>
      </w:r>
      <w:r w:rsidR="006D041A">
        <w:t>“</w:t>
      </w:r>
      <w:hyperlink r:id="rId9" w:history="1">
        <w:r w:rsidRPr="006D041A" w:rsidR="006D041A">
          <w:rPr>
            <w:rStyle w:val="Hyperlink"/>
          </w:rPr>
          <w:t>July 2024 Proposed Rule</w:t>
        </w:r>
      </w:hyperlink>
      <w:r w:rsidR="006D041A">
        <w:rPr>
          <w:rStyle w:val="Hyperlink"/>
        </w:rPr>
        <w:t>”).</w:t>
      </w:r>
    </w:p>
    <w:p w:rsidR="006D041A" w:rsidRPr="006D041A" w:rsidP="006D041A" w14:paraId="51F4E9C1"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006D041A" w:rsidP="006D041A" w14:paraId="0A630FD0" w14:textId="352955D3">
      <w:pPr>
        <w:pStyle w:val="ListParagraph"/>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r>
        <w:t xml:space="preserve">Reporting of acute respiratory illnesses in the interest of public health and ensuring resiliency in the U.S. health care system included in the </w:t>
      </w:r>
      <w:r w:rsidR="00E744E5">
        <w:t>f</w:t>
      </w:r>
      <w:r>
        <w:t xml:space="preserve">inal rule: </w:t>
      </w:r>
      <w:hyperlink r:id="rId10" w:history="1">
        <w:r w:rsidRPr="00FE1DA7">
          <w:rPr>
            <w:rStyle w:val="Hyperlink"/>
          </w:rPr>
          <w:t xml:space="preserve">Medicare and Medicaid Programs and the Children’s Health Insurance Program; Hospital Inpatient Prospective Payment Systems for Acute Care Hospitals and the Long‑Term Care Hospital Prospective Payment System and Policy Changes and Fiscal Year 2025 Rates; </w:t>
        </w:r>
        <w:r w:rsidRPr="00FE1DA7">
          <w:rPr>
            <w:rStyle w:val="Hyperlink"/>
          </w:rPr>
          <w:t>Quality Programs Requirements; and Other Policy Changes</w:t>
        </w:r>
      </w:hyperlink>
      <w:r w:rsidR="00E744E5">
        <w:t>, 89 FR 68986 (August 28, 2024)</w:t>
      </w:r>
      <w:bookmarkStart w:id="6" w:name="_Hlk173832511"/>
      <w:r w:rsidR="00E744E5">
        <w:t xml:space="preserve"> </w:t>
      </w:r>
      <w:r>
        <w:t>(hereinafter referred to as the “</w:t>
      </w:r>
      <w:hyperlink r:id="rId10" w:history="1">
        <w:r w:rsidRPr="006D041A">
          <w:rPr>
            <w:rStyle w:val="Hyperlink"/>
          </w:rPr>
          <w:t>August 2</w:t>
        </w:r>
        <w:r w:rsidRPr="006D041A">
          <w:rPr>
            <w:rStyle w:val="Hyperlink"/>
          </w:rPr>
          <w:t>0</w:t>
        </w:r>
        <w:r w:rsidRPr="006D041A">
          <w:rPr>
            <w:rStyle w:val="Hyperlink"/>
          </w:rPr>
          <w:t xml:space="preserve">24 </w:t>
        </w:r>
        <w:r>
          <w:rPr>
            <w:rStyle w:val="Hyperlink"/>
          </w:rPr>
          <w:t>F</w:t>
        </w:r>
        <w:r w:rsidRPr="006D041A">
          <w:rPr>
            <w:rStyle w:val="Hyperlink"/>
          </w:rPr>
          <w:t xml:space="preserve">inal </w:t>
        </w:r>
        <w:r>
          <w:rPr>
            <w:rStyle w:val="Hyperlink"/>
          </w:rPr>
          <w:t>R</w:t>
        </w:r>
        <w:r w:rsidRPr="006D041A">
          <w:rPr>
            <w:rStyle w:val="Hyperlink"/>
          </w:rPr>
          <w:t>ule</w:t>
        </w:r>
      </w:hyperlink>
      <w:r>
        <w:t>”).</w:t>
      </w:r>
    </w:p>
    <w:bookmarkEnd w:id="6"/>
    <w:p w:rsidR="0068781E" w:rsidP="0068781E" w14:paraId="19047061" w14:textId="77777777">
      <w:pPr>
        <w:pStyle w:val="ListParagraph"/>
        <w:ind w:left="0" w:hanging="2"/>
        <w:rPr>
          <w:color w:val="000000"/>
        </w:rPr>
      </w:pPr>
    </w:p>
    <w:p w:rsidR="00263536" w:rsidP="0068781E" w14:paraId="04AF9B07" w14:textId="7279A5D3">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The change in total burden hours is also due to prior information collection requests are exempt from the PRA because the requirements are </w:t>
      </w:r>
      <w:r w:rsidRPr="0068781E">
        <w:rPr>
          <w:color w:val="000000"/>
        </w:rPr>
        <w:t xml:space="preserve">customary and usual industry practice and would take place in the absence of the Medicare and Medicaid programs. </w:t>
      </w:r>
    </w:p>
    <w:p w:rsidR="0068781E" w:rsidP="0068781E" w14:paraId="18900FF8"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68781E" w:rsidP="0068781E" w14:paraId="3AEBC3CD" w14:textId="4EDC2F13">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rPr>
      </w:pPr>
      <w:r>
        <w:t xml:space="preserve">For a summary of the annual burden hours and costs for specific CoPs in this reinstatement see </w:t>
      </w:r>
      <w:r w:rsidRPr="0068781E">
        <w:rPr>
          <w:b/>
          <w:bCs/>
        </w:rPr>
        <w:t xml:space="preserve">Table </w:t>
      </w:r>
      <w:r>
        <w:rPr>
          <w:b/>
          <w:bCs/>
        </w:rPr>
        <w:t>14</w:t>
      </w:r>
      <w:r w:rsidRPr="0068781E">
        <w:rPr>
          <w:b/>
          <w:bCs/>
        </w:rPr>
        <w:t>.</w:t>
      </w:r>
    </w:p>
    <w:p w:rsidR="0068781E" w:rsidP="0068781E" w14:paraId="5118E1F5"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895001" w:rsidRPr="007A6DD8" w14:paraId="10CDC1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bookmarkStart w:id="7" w:name="RREF-JCO40098-2"/>
      <w:bookmarkEnd w:id="7"/>
    </w:p>
    <w:p w:rsidR="00D45FAE" w:rsidRPr="007A6DD8" w:rsidP="00506B54" w14:paraId="408FE36F" w14:textId="77777777">
      <w:pPr>
        <w:pStyle w:val="Style0"/>
        <w:numPr>
          <w:ilvl w:val="0"/>
          <w:numId w:val="2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color w:val="000000"/>
        </w:rPr>
      </w:pPr>
      <w:r w:rsidRPr="007A6DD8">
        <w:rPr>
          <w:b/>
          <w:color w:val="000000"/>
          <w:u w:val="single"/>
        </w:rPr>
        <w:t>JUSTIFICATION</w:t>
      </w:r>
      <w:r w:rsidRPr="007A6DD8">
        <w:rPr>
          <w:b/>
          <w:color w:val="000000"/>
        </w:rPr>
        <w:t xml:space="preserve"> </w:t>
      </w:r>
    </w:p>
    <w:p w:rsidR="00D45FAE" w:rsidRPr="007A6DD8" w14:paraId="6B14E1A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p>
    <w:p w:rsidR="00D45FAE" w:rsidRPr="007A6DD8" w:rsidP="000D7A4E" w14:paraId="1B20C232" w14:textId="77777777">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Need and Legal Basis </w:t>
      </w:r>
    </w:p>
    <w:p w:rsidR="004A7EFA" w:rsidRPr="007A6DD8" w:rsidP="004A7EFA" w14:paraId="52C6B06F" w14:textId="77777777">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00924CD4" w:rsidRPr="00601769" w:rsidP="006D041A" w14:paraId="4537510B" w14:textId="7681AC58">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Section 1820 of the</w:t>
      </w:r>
      <w:r>
        <w:rPr>
          <w:color w:val="000000"/>
        </w:rPr>
        <w:t xml:space="preserve"> Social Security</w:t>
      </w:r>
      <w:r w:rsidRPr="007A6DD8">
        <w:rPr>
          <w:color w:val="000000"/>
        </w:rPr>
        <w:t xml:space="preserve"> Act, as amended by section 4201 of the Balanced Budget Act of 1997 (Pub. L.105-33), provides for the establishment of Medicare Rural Hospital Flexibility Programs (MRHFP), under which individual States may designate certain facilities as </w:t>
      </w:r>
      <w:r w:rsidRPr="00607404">
        <w:rPr>
          <w:color w:val="000000"/>
        </w:rPr>
        <w:t xml:space="preserve">Critical Access Hospital </w:t>
      </w:r>
      <w:r>
        <w:rPr>
          <w:color w:val="000000"/>
        </w:rPr>
        <w:t>(</w:t>
      </w:r>
      <w:r w:rsidRPr="007A6DD8">
        <w:rPr>
          <w:color w:val="000000"/>
        </w:rPr>
        <w:t>CAHs</w:t>
      </w:r>
      <w:r>
        <w:rPr>
          <w:color w:val="000000"/>
        </w:rPr>
        <w:t>)</w:t>
      </w:r>
      <w:r w:rsidRPr="007A6DD8">
        <w:rPr>
          <w:color w:val="000000"/>
        </w:rPr>
        <w:t>. Unlike traditional hospitals that are paid based on a prospective payment system, CAHs are currently paid 101 percent of their reasonable costs</w:t>
      </w:r>
      <w:r w:rsidRPr="007A6DD8" w:rsidR="0060007F">
        <w:rPr>
          <w:color w:val="000000"/>
        </w:rPr>
        <w:t xml:space="preserve">. </w:t>
      </w:r>
      <w:r>
        <w:rPr>
          <w:color w:val="000000"/>
        </w:rPr>
        <w:t xml:space="preserve">In addition, CAHs have </w:t>
      </w:r>
      <w:r w:rsidRPr="007A6DD8">
        <w:rPr>
          <w:color w:val="000000"/>
        </w:rPr>
        <w:t>their own Medicare Conditions of Participation (CoPs)</w:t>
      </w:r>
      <w:r>
        <w:rPr>
          <w:color w:val="000000"/>
        </w:rPr>
        <w:t xml:space="preserve">, which are </w:t>
      </w:r>
      <w:r>
        <w:t xml:space="preserve">codified in the implementing regulations at 42 CFR part 485, subpart F. These regulatory requirements implement sections 1102, 1138, 1814(a)(6), 1861(e), (f), (k), (r), (v), and (z), 1864, 1871, 1883, 1902(a)(30), 1905(a) and 1913 of the Social Security Act (the Act). </w:t>
      </w:r>
    </w:p>
    <w:p w:rsidR="00924CD4" w:rsidP="00924CD4" w14:paraId="762CDD8C"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924CD4" w:rsidRPr="007A6DD8" w:rsidP="00924CD4" w14:paraId="323C39CC"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Per </w:t>
      </w:r>
      <w:r w:rsidRPr="000A5ED5">
        <w:rPr>
          <w:color w:val="000000"/>
        </w:rPr>
        <w:t>Section 1820(c)(2)(B)</w:t>
      </w:r>
      <w:r>
        <w:rPr>
          <w:color w:val="000000"/>
        </w:rPr>
        <w:t>, CAHs must</w:t>
      </w:r>
      <w:r w:rsidRPr="007A6DD8">
        <w:rPr>
          <w:color w:val="000000"/>
        </w:rPr>
        <w:t xml:space="preserve"> meet the following criteria in order be certified as</w:t>
      </w:r>
      <w:r w:rsidRPr="00924CD4">
        <w:rPr>
          <w:color w:val="000000"/>
        </w:rPr>
        <w:t xml:space="preserve"> </w:t>
      </w:r>
      <w:r w:rsidRPr="007A6DD8">
        <w:rPr>
          <w:color w:val="000000"/>
        </w:rPr>
        <w:t>a Medicare participating hospital</w:t>
      </w:r>
      <w:r>
        <w:rPr>
          <w:color w:val="000000"/>
        </w:rPr>
        <w:t>:</w:t>
      </w:r>
    </w:p>
    <w:p w:rsidR="00924CD4" w:rsidRPr="007A6DD8" w:rsidP="00924CD4" w14:paraId="4B821D5A" w14:textId="77777777">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B</w:t>
      </w:r>
      <w:r w:rsidRPr="007A6DD8">
        <w:rPr>
          <w:color w:val="000000"/>
        </w:rPr>
        <w:t>e located in a State that has established a State rural health plan for the State Flex Program;</w:t>
      </w:r>
    </w:p>
    <w:p w:rsidR="00924CD4" w:rsidRPr="007A6DD8" w:rsidP="00924CD4" w14:paraId="59ACE228" w14:textId="77777777">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Be located in a rural area or be treated as rural pursuant to Section 1886(d)(8)(E);</w:t>
      </w:r>
    </w:p>
    <w:p w:rsidR="00924CD4" w:rsidRPr="007A6DD8" w:rsidP="00924CD4" w14:paraId="586CF7EA" w14:textId="77777777">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Makes available 24-hour emergency care services 7 days a week;</w:t>
      </w:r>
    </w:p>
    <w:p w:rsidR="00924CD4" w:rsidRPr="007A6DD8" w:rsidP="00924CD4" w14:paraId="676FAE9D" w14:textId="77777777">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Provide no more than 25 inpatient beds that can be used for either inpatient or swing bed services;</w:t>
      </w:r>
    </w:p>
    <w:p w:rsidR="00924CD4" w:rsidRPr="007A6DD8" w:rsidP="00924CD4" w14:paraId="428A985F" w14:textId="77777777">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Have an average annual length of stay of 96 hours or less per patient for acute care; and</w:t>
      </w:r>
    </w:p>
    <w:p w:rsidR="00924CD4" w:rsidRPr="007A6DD8" w:rsidP="00924CD4" w14:paraId="5A045E76" w14:textId="77777777">
      <w:pPr>
        <w:pStyle w:val="Style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Be located either more than a 35-mile drive from any hospital or CAH or more than a 15-mile drive in areas with mountainous terrain or only secondary roads OR certified as a CAH prior to January 1, 2006, based on State designation as a “necessary provider” of health care services to residents in the area.</w:t>
      </w:r>
    </w:p>
    <w:p w:rsidR="00924CD4" w:rsidP="00506B54" w14:paraId="17AF9016"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color w:val="000000"/>
        </w:rPr>
      </w:pPr>
    </w:p>
    <w:p w:rsidR="00BA5942" w:rsidP="00506B54" w14:paraId="7E45C34A" w14:textId="4C93E0EF">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color w:val="000000"/>
        </w:rPr>
      </w:pPr>
      <w:r w:rsidRPr="00BA5942">
        <w:rPr>
          <w:bCs/>
          <w:color w:val="000000"/>
        </w:rPr>
        <w:t>Section 1861(e) of the Act authorizes promulgation of regulations in the interest of the health and safety of individuals who are furnished services by a hospital or CAH</w:t>
      </w:r>
      <w:r w:rsidRPr="00BA5942" w:rsidR="0060007F">
        <w:rPr>
          <w:bCs/>
          <w:color w:val="000000"/>
        </w:rPr>
        <w:t xml:space="preserve">. </w:t>
      </w:r>
      <w:r w:rsidRPr="00BA5942">
        <w:rPr>
          <w:bCs/>
          <w:color w:val="000000"/>
        </w:rPr>
        <w:t>The Secretary may impose additional requirements if they are necessary in the interest of the health and safety of the individuals who are furnished services in the hospital or CAH.</w:t>
      </w:r>
    </w:p>
    <w:p w:rsidR="00BA5942" w:rsidRPr="007A6DD8" w:rsidP="00506B54" w14:paraId="2B0B5BBE"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color w:val="000000"/>
        </w:rPr>
      </w:pPr>
    </w:p>
    <w:p w:rsidR="00BA5942" w:rsidP="00BA5942" w14:paraId="67B3A753" w14:textId="7FB388F9">
      <w:pPr>
        <w:suppressAutoHyphens/>
        <w:ind w:left="360"/>
      </w:pPr>
      <w:r>
        <w:t xml:space="preserve">Section 1820(c)(2)(E)(i) of the Act provides that a CAH may establish and operate a psychiatric or rehabilitation distinct part units (DPU). Each DPU may maintain up to 10 beds </w:t>
      </w:r>
      <w:r>
        <w:t>and must comply with the hospital requirements specified in 42 CFR Subparts A, B, C, and D of part 482. Presently, there are 119 CAHs with psychiatric DPUs and 19 CAHs with rehabilitation DPUs, for a total of 138</w:t>
      </w:r>
      <w:r w:rsidR="0060007F">
        <w:t xml:space="preserve">. </w:t>
      </w:r>
      <w:r>
        <w:t>The ICR burdens associated with the 138 CAHs that have DPUs is included in the Hospital CoPs package at OMB No. 0938-0328/CMS-R48, along with the burden for all accredited and non-accredited hospitals</w:t>
      </w:r>
      <w:r w:rsidR="0060007F">
        <w:t xml:space="preserve">. </w:t>
      </w:r>
    </w:p>
    <w:p w:rsidR="000A5ED5" w:rsidP="00506B54" w14:paraId="24DD1895"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Cs/>
        </w:rPr>
      </w:pPr>
    </w:p>
    <w:p w:rsidR="00997F8A" w:rsidRPr="007A6DD8" w:rsidP="00506B54" w14:paraId="19995D69" w14:textId="3D36CCD8">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7A6DD8">
        <w:rPr>
          <w:iCs/>
        </w:rPr>
        <w:t>As explained above, this information collection request addresses those CAHs which do not have DPUs</w:t>
      </w:r>
      <w:r w:rsidRPr="007A6DD8" w:rsidR="0060007F">
        <w:rPr>
          <w:iCs/>
        </w:rPr>
        <w:t xml:space="preserve">. </w:t>
      </w:r>
      <w:r w:rsidRPr="007A6DD8">
        <w:rPr>
          <w:iCs/>
        </w:rPr>
        <w:t xml:space="preserve">Therefore, this information collection request uses the figure </w:t>
      </w:r>
      <w:r w:rsidR="00990969">
        <w:rPr>
          <w:iCs/>
        </w:rPr>
        <w:t>1,21</w:t>
      </w:r>
      <w:r w:rsidR="00E3516C">
        <w:rPr>
          <w:iCs/>
        </w:rPr>
        <w:t>5</w:t>
      </w:r>
      <w:r w:rsidR="00990969">
        <w:rPr>
          <w:iCs/>
        </w:rPr>
        <w:t xml:space="preserve"> </w:t>
      </w:r>
      <w:r w:rsidRPr="007A6DD8">
        <w:rPr>
          <w:iCs/>
        </w:rPr>
        <w:t>(</w:t>
      </w:r>
      <w:r w:rsidR="00AC6B11">
        <w:rPr>
          <w:iCs/>
        </w:rPr>
        <w:t>1,343</w:t>
      </w:r>
      <w:r w:rsidRPr="007A6DD8" w:rsidR="00990969">
        <w:rPr>
          <w:iCs/>
        </w:rPr>
        <w:t xml:space="preserve"> </w:t>
      </w:r>
      <w:r w:rsidRPr="007A6DD8">
        <w:rPr>
          <w:iCs/>
        </w:rPr>
        <w:t xml:space="preserve">CAHs minus the </w:t>
      </w:r>
      <w:r w:rsidRPr="00C60C5C" w:rsidR="00990969">
        <w:rPr>
          <w:iCs/>
        </w:rPr>
        <w:t>1</w:t>
      </w:r>
      <w:r w:rsidR="00C60C5C">
        <w:rPr>
          <w:iCs/>
        </w:rPr>
        <w:t>3</w:t>
      </w:r>
      <w:r w:rsidRPr="00C60C5C" w:rsidR="00990969">
        <w:rPr>
          <w:iCs/>
        </w:rPr>
        <w:t>8</w:t>
      </w:r>
      <w:r w:rsidRPr="007A6DD8" w:rsidR="00990969">
        <w:rPr>
          <w:iCs/>
        </w:rPr>
        <w:t xml:space="preserve"> </w:t>
      </w:r>
      <w:r w:rsidRPr="007A6DD8">
        <w:rPr>
          <w:iCs/>
        </w:rPr>
        <w:t xml:space="preserve">CAHs that have DPUs.) </w:t>
      </w:r>
    </w:p>
    <w:p w:rsidR="00DB4FCB" w:rsidRPr="007A6DD8" w14:paraId="2BA142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506B54" w14:paraId="64844C3B" w14:textId="4468CEC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sidRPr="007A6DD8">
        <w:rPr>
          <w:color w:val="000000"/>
        </w:rPr>
        <w:t xml:space="preserve">Statutory requirements and our responsibility to assure an adequate level of patient health and safety in participating CAHs require the inclusion of these requirements in </w:t>
      </w:r>
      <w:r w:rsidRPr="007A6DD8" w:rsidR="00706A3A">
        <w:rPr>
          <w:color w:val="000000"/>
        </w:rPr>
        <w:t xml:space="preserve">the </w:t>
      </w:r>
      <w:r w:rsidRPr="007A6DD8" w:rsidR="007C59C0">
        <w:rPr>
          <w:color w:val="000000"/>
        </w:rPr>
        <w:t>CoPs</w:t>
      </w:r>
      <w:r w:rsidRPr="007A6DD8" w:rsidR="00706A3A">
        <w:rPr>
          <w:color w:val="000000"/>
        </w:rPr>
        <w:t xml:space="preserve"> for</w:t>
      </w:r>
      <w:r w:rsidRPr="007A6DD8">
        <w:rPr>
          <w:color w:val="000000"/>
        </w:rPr>
        <w:t xml:space="preserve"> CAHs</w:t>
      </w:r>
      <w:r w:rsidRPr="007A6DD8" w:rsidR="0060007F">
        <w:rPr>
          <w:color w:val="000000"/>
        </w:rPr>
        <w:t xml:space="preserve">. </w:t>
      </w:r>
      <w:r w:rsidRPr="007A6DD8">
        <w:rPr>
          <w:color w:val="000000"/>
        </w:rPr>
        <w:t xml:space="preserve">We note that the </w:t>
      </w:r>
      <w:r w:rsidRPr="007A6DD8" w:rsidR="007C59C0">
        <w:rPr>
          <w:color w:val="000000"/>
        </w:rPr>
        <w:t>ICRs</w:t>
      </w:r>
      <w:r w:rsidRPr="007A6DD8">
        <w:rPr>
          <w:color w:val="000000"/>
        </w:rPr>
        <w:t xml:space="preserve"> contained within the regulations are comparable to those of the various </w:t>
      </w:r>
      <w:r w:rsidRPr="007A6DD8" w:rsidR="007C59C0">
        <w:rPr>
          <w:color w:val="000000"/>
        </w:rPr>
        <w:t>AOs a</w:t>
      </w:r>
      <w:r w:rsidRPr="007A6DD8">
        <w:rPr>
          <w:color w:val="000000"/>
        </w:rPr>
        <w:t>nd are necessary safeguards against potential overpayments, excessive utilization, and poor health care that may occur in the absence of such requirements. Therefore, we believe many of the requirements applied to CAHs will impose no burden since a prudent institution would self-impose them in the</w:t>
      </w:r>
      <w:r w:rsidRPr="007A6DD8" w:rsidR="00143314">
        <w:rPr>
          <w:color w:val="000000"/>
        </w:rPr>
        <w:t xml:space="preserve"> ordinary</w:t>
      </w:r>
      <w:r w:rsidRPr="007A6DD8">
        <w:rPr>
          <w:color w:val="000000"/>
        </w:rPr>
        <w:t xml:space="preserve"> </w:t>
      </w:r>
      <w:r w:rsidRPr="007A6DD8" w:rsidR="00143314">
        <w:rPr>
          <w:color w:val="000000"/>
        </w:rPr>
        <w:t>course of</w:t>
      </w:r>
      <w:r w:rsidRPr="007A6DD8">
        <w:rPr>
          <w:color w:val="000000"/>
        </w:rPr>
        <w:t xml:space="preserve"> business. Nonetheless, </w:t>
      </w:r>
      <w:r w:rsidRPr="007A6DD8">
        <w:rPr>
          <w:color w:val="000000"/>
        </w:rPr>
        <w:t>we have made a</w:t>
      </w:r>
      <w:r w:rsidRPr="007A6DD8" w:rsidR="000F299F">
        <w:rPr>
          <w:color w:val="000000"/>
        </w:rPr>
        <w:t>n</w:t>
      </w:r>
      <w:r w:rsidRPr="007A6DD8">
        <w:rPr>
          <w:color w:val="000000"/>
        </w:rPr>
        <w:t xml:space="preserve"> attempt to estimate the associated burden for a </w:t>
      </w:r>
      <w:r w:rsidRPr="007A6DD8" w:rsidR="00941535">
        <w:rPr>
          <w:color w:val="000000"/>
        </w:rPr>
        <w:t xml:space="preserve">CAH </w:t>
      </w:r>
      <w:r w:rsidRPr="007A6DD8">
        <w:rPr>
          <w:color w:val="000000"/>
        </w:rPr>
        <w:t>to engage in these standard industry practices</w:t>
      </w:r>
      <w:r w:rsidRPr="007A6DD8" w:rsidR="0060007F">
        <w:rPr>
          <w:color w:val="000000"/>
        </w:rPr>
        <w:t xml:space="preserve">. </w:t>
      </w:r>
    </w:p>
    <w:p w:rsidR="00840CC0" w:rsidRPr="007A6DD8" w:rsidP="00840CC0" w14:paraId="426D682C" w14:textId="77777777">
      <w:pPr>
        <w:pStyle w:val="BodyText"/>
        <w:rPr>
          <w:b w:val="0"/>
          <w:bCs w:val="0"/>
          <w:color w:val="000000"/>
        </w:rPr>
      </w:pPr>
    </w:p>
    <w:p w:rsidR="00D45FAE" w:rsidRPr="007A6DD8" w:rsidP="000D7A4E" w14:paraId="7A4239AC" w14:textId="77777777">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bookmarkStart w:id="8" w:name="_Hlk173832070"/>
      <w:r w:rsidRPr="007A6DD8">
        <w:rPr>
          <w:color w:val="000000"/>
          <w:u w:val="single"/>
        </w:rPr>
        <w:t>Information User</w:t>
      </w:r>
      <w:r w:rsidRPr="007A6DD8" w:rsidR="00506B54">
        <w:rPr>
          <w:color w:val="000000"/>
          <w:u w:val="single"/>
        </w:rPr>
        <w:t>s</w:t>
      </w:r>
    </w:p>
    <w:p w:rsidR="00D45FAE" w:rsidRPr="007A6DD8" w14:paraId="59AB659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60248" w:rsidRPr="00696110" w:rsidP="006D041A" w14:paraId="551E9942" w14:textId="220F4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bookmarkStart w:id="9" w:name="_Hlk173832049"/>
      <w:r w:rsidRPr="007A6DD8">
        <w:rPr>
          <w:color w:val="000000"/>
        </w:rPr>
        <w:t xml:space="preserve">The </w:t>
      </w:r>
      <w:r w:rsidRPr="007A6DD8" w:rsidR="007C59C0">
        <w:rPr>
          <w:color w:val="000000"/>
        </w:rPr>
        <w:t xml:space="preserve">CAH </w:t>
      </w:r>
      <w:r w:rsidRPr="007A6DD8">
        <w:rPr>
          <w:color w:val="000000"/>
        </w:rPr>
        <w:t xml:space="preserve">CoPs and accompanying </w:t>
      </w:r>
      <w:r w:rsidRPr="007A6DD8" w:rsidR="007C59C0">
        <w:rPr>
          <w:color w:val="000000"/>
        </w:rPr>
        <w:t xml:space="preserve">ICRs </w:t>
      </w:r>
      <w:r w:rsidRPr="007A6DD8">
        <w:rPr>
          <w:color w:val="000000"/>
        </w:rPr>
        <w:t xml:space="preserve">specified in </w:t>
      </w:r>
      <w:r w:rsidRPr="007A6DD8" w:rsidR="007C59C0">
        <w:rPr>
          <w:color w:val="000000"/>
        </w:rPr>
        <w:t xml:space="preserve">the regulations are </w:t>
      </w:r>
      <w:r>
        <w:t xml:space="preserve">designed to assure that CAHs have written policies and procedures regarding the requirements finalized. The requirements are </w:t>
      </w:r>
      <w:r w:rsidRPr="007A6DD8" w:rsidR="007C59C0">
        <w:rPr>
          <w:color w:val="000000"/>
        </w:rPr>
        <w:t xml:space="preserve">used by </w:t>
      </w:r>
      <w:r w:rsidRPr="007A6DD8">
        <w:rPr>
          <w:color w:val="000000"/>
        </w:rPr>
        <w:t xml:space="preserve">surveyors as a basis for determining whether a </w:t>
      </w:r>
      <w:r w:rsidRPr="007A6DD8" w:rsidR="007262C2">
        <w:rPr>
          <w:color w:val="000000"/>
        </w:rPr>
        <w:t>CAH</w:t>
      </w:r>
      <w:r w:rsidRPr="007A6DD8" w:rsidR="00941535">
        <w:rPr>
          <w:color w:val="000000"/>
        </w:rPr>
        <w:t xml:space="preserve"> </w:t>
      </w:r>
      <w:r w:rsidR="00954359">
        <w:rPr>
          <w:color w:val="000000"/>
        </w:rPr>
        <w:t xml:space="preserve">is meeting </w:t>
      </w:r>
      <w:r w:rsidRPr="007A6DD8" w:rsidR="007C59C0">
        <w:rPr>
          <w:color w:val="000000"/>
        </w:rPr>
        <w:t>the requirements to participate in the Medicare program</w:t>
      </w:r>
      <w:r w:rsidRPr="007A6DD8" w:rsidR="0060007F">
        <w:rPr>
          <w:color w:val="000000"/>
        </w:rPr>
        <w:t xml:space="preserve">. </w:t>
      </w:r>
      <w:r w:rsidRPr="00460248">
        <w:t xml:space="preserve"> </w:t>
      </w:r>
      <w:r>
        <w:t xml:space="preserve">The ICRs contained in this regulation CMS </w:t>
      </w:r>
      <w:bookmarkEnd w:id="8"/>
      <w:r>
        <w:t>and the health care industry believe that the availability to the facility of the type of records and general content of records, which this regulation specifies, is standard medical practice and is necessary in order to ensure the well-being and safety of patients and professional treatment accountability</w:t>
      </w:r>
      <w:r w:rsidRPr="00696110">
        <w:t xml:space="preserve">. </w:t>
      </w:r>
    </w:p>
    <w:bookmarkEnd w:id="9"/>
    <w:p w:rsidR="00D45FAE" w:rsidRPr="007A6DD8" w:rsidP="00506B54" w14:paraId="1F64E6C3" w14:textId="11EA5B6F">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D45FAE" w:rsidRPr="007A6DD8" w14:paraId="7CF5945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0D7A4E" w14:paraId="7447BA38" w14:textId="51376B0D">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u w:val="single"/>
        </w:rPr>
        <w:t>Improved</w:t>
      </w:r>
      <w:r w:rsidRPr="007A6DD8" w:rsidR="00E069B6">
        <w:rPr>
          <w:color w:val="000000"/>
          <w:u w:val="single"/>
        </w:rPr>
        <w:t xml:space="preserve"> </w:t>
      </w:r>
      <w:r w:rsidRPr="007A6DD8">
        <w:rPr>
          <w:color w:val="000000"/>
          <w:u w:val="single"/>
        </w:rPr>
        <w:t>Information Technology</w:t>
      </w:r>
      <w:r w:rsidRPr="007A6DD8">
        <w:rPr>
          <w:color w:val="000000"/>
        </w:rPr>
        <w:t xml:space="preserve"> </w:t>
      </w:r>
    </w:p>
    <w:p w:rsidR="00D45FAE" w:rsidRPr="007A6DD8" w14:paraId="7EBFEB9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506B54" w14:paraId="23BE7D7D" w14:textId="4D64F16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CAHs </w:t>
      </w:r>
      <w:r w:rsidRPr="007A6DD8">
        <w:rPr>
          <w:color w:val="000000"/>
        </w:rPr>
        <w:t xml:space="preserve">may use various information technologies to store and </w:t>
      </w:r>
      <w:r w:rsidRPr="007A6DD8" w:rsidR="00AA6641">
        <w:rPr>
          <w:color w:val="000000"/>
        </w:rPr>
        <w:t xml:space="preserve">manage </w:t>
      </w:r>
      <w:r w:rsidRPr="007A6DD8">
        <w:rPr>
          <w:color w:val="000000"/>
        </w:rPr>
        <w:t xml:space="preserve">patient medical records </w:t>
      </w:r>
      <w:r w:rsidRPr="007A6DD8" w:rsidR="003940BC">
        <w:rPr>
          <w:color w:val="000000"/>
        </w:rPr>
        <w:t xml:space="preserve">as long as they are </w:t>
      </w:r>
      <w:r w:rsidRPr="007A6DD8">
        <w:rPr>
          <w:color w:val="000000"/>
        </w:rPr>
        <w:t xml:space="preserve">consistent with </w:t>
      </w:r>
      <w:r w:rsidRPr="007A6DD8" w:rsidR="003940BC">
        <w:rPr>
          <w:color w:val="000000"/>
        </w:rPr>
        <w:t xml:space="preserve">the </w:t>
      </w:r>
      <w:r w:rsidRPr="007A6DD8">
        <w:rPr>
          <w:color w:val="000000"/>
        </w:rPr>
        <w:t>existing confidentiality in record-keeping regulations at 42 CFR</w:t>
      </w:r>
      <w:r w:rsidR="00E744E5">
        <w:rPr>
          <w:color w:val="000000"/>
        </w:rPr>
        <w:t xml:space="preserve"> §</w:t>
      </w:r>
      <w:r w:rsidR="00196655">
        <w:rPr>
          <w:color w:val="000000"/>
        </w:rPr>
        <w:t xml:space="preserve"> </w:t>
      </w:r>
      <w:r w:rsidRPr="007A6DD8">
        <w:rPr>
          <w:color w:val="000000"/>
        </w:rPr>
        <w:t>485.638</w:t>
      </w:r>
      <w:r w:rsidRPr="007A6DD8">
        <w:rPr>
          <w:color w:val="000000"/>
        </w:rPr>
        <w:t>. This regulation</w:t>
      </w:r>
      <w:r w:rsidRPr="007A6DD8" w:rsidR="00706A3A">
        <w:rPr>
          <w:color w:val="000000"/>
        </w:rPr>
        <w:t xml:space="preserve"> does not specify </w:t>
      </w:r>
      <w:r w:rsidRPr="007A6DD8">
        <w:rPr>
          <w:color w:val="000000"/>
        </w:rPr>
        <w:t xml:space="preserve">how the facility should prepare or maintain these records. Facilities are free to take advantage of any technological advances that they find appropriate </w:t>
      </w:r>
      <w:r w:rsidRPr="007A6DD8" w:rsidR="00706A3A">
        <w:rPr>
          <w:color w:val="000000"/>
        </w:rPr>
        <w:t xml:space="preserve">to </w:t>
      </w:r>
      <w:r w:rsidRPr="007A6DD8" w:rsidR="007C59C0">
        <w:rPr>
          <w:color w:val="000000"/>
        </w:rPr>
        <w:t xml:space="preserve">meet </w:t>
      </w:r>
      <w:r w:rsidRPr="007A6DD8">
        <w:rPr>
          <w:color w:val="000000"/>
        </w:rPr>
        <w:t>their needs.</w:t>
      </w:r>
    </w:p>
    <w:p w:rsidR="00D45FAE" w:rsidRPr="007A6DD8" w14:paraId="5DE0F8B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069B6" w:rsidRPr="007A6DD8" w:rsidP="000D7A4E" w14:paraId="1AB1F87F" w14:textId="71AC7FA6">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 xml:space="preserve">Duplication </w:t>
      </w:r>
      <w:r w:rsidRPr="007A6DD8" w:rsidR="003940BC">
        <w:rPr>
          <w:color w:val="000000"/>
          <w:u w:val="single"/>
        </w:rPr>
        <w:t xml:space="preserve">of </w:t>
      </w:r>
      <w:r w:rsidR="006D28A0">
        <w:rPr>
          <w:color w:val="000000"/>
          <w:u w:val="single"/>
        </w:rPr>
        <w:t>Similar Information</w:t>
      </w:r>
    </w:p>
    <w:p w:rsidR="00D45FAE" w:rsidRPr="007A6DD8" w14:paraId="3896D13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506B54" w14:paraId="0CE503D9" w14:textId="588CD1DB">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color w:val="000000"/>
        </w:rPr>
      </w:pPr>
      <w:r w:rsidRPr="007A6DD8">
        <w:rPr>
          <w:color w:val="000000"/>
        </w:rPr>
        <w:tab/>
      </w:r>
      <w:r w:rsidRPr="007A6DD8">
        <w:rPr>
          <w:color w:val="000000"/>
        </w:rPr>
        <w:t xml:space="preserve">These requirements are specified in a way </w:t>
      </w:r>
      <w:r w:rsidRPr="007A6DD8" w:rsidR="00482986">
        <w:rPr>
          <w:color w:val="000000"/>
        </w:rPr>
        <w:t>that does not require a CAH to duplicate its efforts.</w:t>
      </w:r>
      <w:r w:rsidRPr="007A6DD8">
        <w:rPr>
          <w:color w:val="000000"/>
        </w:rPr>
        <w:t xml:space="preserve"> If a facility already maintains these general records, regardless of format</w:t>
      </w:r>
      <w:r w:rsidRPr="007A6DD8" w:rsidR="003940BC">
        <w:rPr>
          <w:color w:val="000000"/>
        </w:rPr>
        <w:t>,</w:t>
      </w:r>
      <w:r w:rsidRPr="007A6DD8">
        <w:rPr>
          <w:color w:val="000000"/>
        </w:rPr>
        <w:t xml:space="preserve"> they are in compliance with this requirement. The general nature of these requirements makes variations in the substance and format of these records</w:t>
      </w:r>
      <w:r w:rsidRPr="007A6DD8" w:rsidR="006955EA">
        <w:rPr>
          <w:color w:val="000000"/>
        </w:rPr>
        <w:t>,</w:t>
      </w:r>
      <w:r w:rsidRPr="007A6DD8">
        <w:rPr>
          <w:color w:val="000000"/>
        </w:rPr>
        <w:t xml:space="preserve"> from one facility to another</w:t>
      </w:r>
      <w:r w:rsidRPr="007A6DD8" w:rsidR="006955EA">
        <w:rPr>
          <w:color w:val="000000"/>
        </w:rPr>
        <w:t>,</w:t>
      </w:r>
      <w:r w:rsidRPr="007A6DD8">
        <w:rPr>
          <w:color w:val="000000"/>
        </w:rPr>
        <w:t xml:space="preserve"> acceptable</w:t>
      </w:r>
      <w:r w:rsidRPr="007A6DD8" w:rsidR="0060007F">
        <w:rPr>
          <w:color w:val="000000"/>
        </w:rPr>
        <w:t xml:space="preserve">. </w:t>
      </w:r>
    </w:p>
    <w:p w:rsidR="00D45FAE" w:rsidRPr="007A6DD8" w:rsidP="000D7A4E" w14:paraId="234EFF2E" w14:textId="77777777">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Small Business</w:t>
      </w:r>
      <w:r w:rsidRPr="007A6DD8" w:rsidR="00E069B6">
        <w:rPr>
          <w:color w:val="000000"/>
          <w:u w:val="single"/>
        </w:rPr>
        <w:t>es</w:t>
      </w:r>
      <w:r w:rsidRPr="007A6DD8">
        <w:rPr>
          <w:color w:val="000000"/>
        </w:rPr>
        <w:t xml:space="preserve"> </w:t>
      </w:r>
    </w:p>
    <w:p w:rsidR="00D45FAE" w:rsidRPr="007A6DD8" w14:paraId="28A051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506B54" w14:paraId="2952CC59" w14:textId="2F6AE1C9">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These requirements do affect small businesses. However, the general nature of the requirements allows facilities </w:t>
      </w:r>
      <w:r w:rsidRPr="007A6DD8" w:rsidR="00482986">
        <w:rPr>
          <w:color w:val="000000"/>
        </w:rPr>
        <w:t xml:space="preserve">the flexibility </w:t>
      </w:r>
      <w:r w:rsidRPr="007A6DD8">
        <w:rPr>
          <w:color w:val="000000"/>
        </w:rPr>
        <w:t>to meet the requirement</w:t>
      </w:r>
      <w:r w:rsidRPr="007A6DD8" w:rsidR="00482986">
        <w:rPr>
          <w:color w:val="000000"/>
        </w:rPr>
        <w:t>s</w:t>
      </w:r>
      <w:r w:rsidRPr="007A6DD8">
        <w:rPr>
          <w:color w:val="000000"/>
        </w:rPr>
        <w:t xml:space="preserve"> in way</w:t>
      </w:r>
      <w:r w:rsidRPr="007A6DD8" w:rsidR="00482986">
        <w:rPr>
          <w:color w:val="000000"/>
        </w:rPr>
        <w:t xml:space="preserve">s that </w:t>
      </w:r>
      <w:r w:rsidRPr="007A6DD8" w:rsidR="0047791C">
        <w:rPr>
          <w:color w:val="000000"/>
        </w:rPr>
        <w:t>are consistent</w:t>
      </w:r>
      <w:r w:rsidRPr="007A6DD8">
        <w:rPr>
          <w:color w:val="000000"/>
        </w:rPr>
        <w:t xml:space="preserve"> with their existing operations</w:t>
      </w:r>
      <w:r w:rsidRPr="007A6DD8" w:rsidR="0060007F">
        <w:rPr>
          <w:color w:val="000000"/>
        </w:rPr>
        <w:t xml:space="preserve">. </w:t>
      </w:r>
    </w:p>
    <w:p w:rsidR="00D45FAE" w:rsidRPr="007A6DD8" w14:paraId="68763D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0D7A4E" w14:paraId="1B275EBF" w14:textId="77777777">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Less Frequent Collection</w:t>
      </w:r>
      <w:r w:rsidRPr="007A6DD8">
        <w:rPr>
          <w:color w:val="000000"/>
        </w:rPr>
        <w:t xml:space="preserve"> </w:t>
      </w:r>
    </w:p>
    <w:p w:rsidR="00D45FAE" w:rsidRPr="007A6DD8" w14:paraId="506A98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044C6" w:rsidRPr="007A6DD8" w:rsidP="00A044C6" w14:paraId="3A8D238A" w14:textId="5D3B2EA4">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A044C6">
        <w:rPr>
          <w:color w:val="000000"/>
        </w:rPr>
        <w:t xml:space="preserve">CMS does not collect information directly from </w:t>
      </w:r>
      <w:r>
        <w:rPr>
          <w:color w:val="000000"/>
        </w:rPr>
        <w:t>CAHs</w:t>
      </w:r>
      <w:r w:rsidRPr="00A044C6">
        <w:rPr>
          <w:color w:val="000000"/>
        </w:rPr>
        <w:t xml:space="preserve"> and instead relies on State surveyors (employed by State survey agencies) to review the collection of information at the time of their certification and at the time of their facility visit. </w:t>
      </w:r>
      <w:r>
        <w:rPr>
          <w:color w:val="000000"/>
        </w:rPr>
        <w:t xml:space="preserve">Nor does the rule </w:t>
      </w:r>
      <w:r w:rsidRPr="00A044C6">
        <w:rPr>
          <w:color w:val="000000"/>
        </w:rPr>
        <w:t xml:space="preserve">prescribe the manner, timing, or frequency of the records or information that must be available. </w:t>
      </w:r>
      <w:r>
        <w:rPr>
          <w:color w:val="000000"/>
        </w:rPr>
        <w:t>CAH</w:t>
      </w:r>
      <w:r w:rsidRPr="00A044C6">
        <w:rPr>
          <w:color w:val="000000"/>
        </w:rPr>
        <w:t xml:space="preserve"> records, policies, and procedures are reviewed at the time of a survey for initial or continued participation in the Medicare program. Less frequent information collection would impede efforts to establish compliance with the Medicare Conditions for Participation (CoPs), which in turn, would jeopardize the health and safety of </w:t>
      </w:r>
      <w:r>
        <w:rPr>
          <w:color w:val="000000"/>
        </w:rPr>
        <w:t>CAH</w:t>
      </w:r>
      <w:r w:rsidRPr="00A044C6">
        <w:rPr>
          <w:color w:val="000000"/>
        </w:rPr>
        <w:t xml:space="preserve"> patients and provision of quality healthcare.</w:t>
      </w:r>
    </w:p>
    <w:p w:rsidR="00D45FAE" w:rsidRPr="007A6DD8" w14:paraId="372AFD0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0D7A4E" w14:paraId="073A15E5" w14:textId="77777777">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Special Circumstances</w:t>
      </w:r>
      <w:r w:rsidRPr="007A6DD8">
        <w:rPr>
          <w:color w:val="000000"/>
        </w:rPr>
        <w:t xml:space="preserve"> </w:t>
      </w:r>
    </w:p>
    <w:p w:rsidR="00D45FAE" w:rsidRPr="007A6DD8" w14:paraId="5A669A9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E079E" w:rsidRPr="007A6DD8" w:rsidP="00A01CA9" w14:paraId="2D44F5EF" w14:textId="77777777">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r w:rsidRPr="007A6DD8">
        <w:rPr>
          <w:color w:val="000000"/>
        </w:rPr>
        <w:t xml:space="preserve">There are no special circumstances. </w:t>
      </w:r>
    </w:p>
    <w:p w:rsidR="00D45FAE" w:rsidRPr="007A6DD8" w14:paraId="499BA7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0D7A4E" w14:paraId="736EB1EE" w14:textId="77777777">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Federal Register Notice/Outside Consultation</w:t>
      </w:r>
    </w:p>
    <w:p w:rsidR="00D45FAE" w14:paraId="78ACD9B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044C6" w:rsidP="005579DE" w14:paraId="5946321B" w14:textId="6C0B8B5B">
      <w:pPr>
        <w:widowControl w:val="0"/>
        <w:autoSpaceDE w:val="0"/>
        <w:autoSpaceDN w:val="0"/>
        <w:adjustRightInd w:val="0"/>
        <w:ind w:left="432"/>
        <w:rPr>
          <w:szCs w:val="24"/>
        </w:rPr>
      </w:pPr>
      <w:r w:rsidRPr="00A044C6">
        <w:rPr>
          <w:szCs w:val="24"/>
        </w:rPr>
        <w:t xml:space="preserve">The </w:t>
      </w:r>
      <w:r w:rsidR="0014745B">
        <w:rPr>
          <w:szCs w:val="24"/>
        </w:rPr>
        <w:t>60-day</w:t>
      </w:r>
      <w:r w:rsidRPr="00A044C6">
        <w:rPr>
          <w:szCs w:val="24"/>
        </w:rPr>
        <w:t xml:space="preserve"> Federal Register package published </w:t>
      </w:r>
      <w:r w:rsidR="00ED6273">
        <w:rPr>
          <w:szCs w:val="24"/>
        </w:rPr>
        <w:t>on August 13, 2024 (</w:t>
      </w:r>
      <w:hyperlink r:id="rId11" w:history="1">
        <w:r w:rsidRPr="000C580A" w:rsidR="00ED6273">
          <w:rPr>
            <w:rStyle w:val="Hyperlink"/>
            <w:szCs w:val="24"/>
          </w:rPr>
          <w:t>89 FR 65914</w:t>
        </w:r>
      </w:hyperlink>
      <w:r w:rsidR="00ED6273">
        <w:rPr>
          <w:szCs w:val="24"/>
        </w:rPr>
        <w:t>).  There were no public comments.</w:t>
      </w:r>
    </w:p>
    <w:p w:rsidR="00ED6273" w:rsidP="005579DE" w14:paraId="1CD9A126" w14:textId="77777777">
      <w:pPr>
        <w:widowControl w:val="0"/>
        <w:autoSpaceDE w:val="0"/>
        <w:autoSpaceDN w:val="0"/>
        <w:adjustRightInd w:val="0"/>
        <w:ind w:left="432"/>
        <w:rPr>
          <w:szCs w:val="24"/>
        </w:rPr>
      </w:pPr>
    </w:p>
    <w:p w:rsidR="00ED6273" w:rsidRPr="00A044C6" w:rsidP="005579DE" w14:paraId="223ADF62" w14:textId="442BCE17">
      <w:pPr>
        <w:widowControl w:val="0"/>
        <w:autoSpaceDE w:val="0"/>
        <w:autoSpaceDN w:val="0"/>
        <w:adjustRightInd w:val="0"/>
        <w:ind w:left="432"/>
        <w:rPr>
          <w:szCs w:val="24"/>
        </w:rPr>
      </w:pPr>
      <w:r>
        <w:rPr>
          <w:szCs w:val="24"/>
        </w:rPr>
        <w:t xml:space="preserve">The 30-day Federal Register notice published on October 15, 2024 (89 FR </w:t>
      </w:r>
      <w:r w:rsidR="00142BEC">
        <w:rPr>
          <w:szCs w:val="24"/>
        </w:rPr>
        <w:t>83015</w:t>
      </w:r>
      <w:r>
        <w:rPr>
          <w:szCs w:val="24"/>
        </w:rPr>
        <w:t>).</w:t>
      </w:r>
    </w:p>
    <w:p w:rsidR="002F41FE" w:rsidRPr="007A6DD8" w14:paraId="582E5B8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0D7A4E" w14:paraId="3334DA94" w14:textId="5BC6C07C">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 xml:space="preserve">Payment/Gift </w:t>
      </w:r>
      <w:r w:rsidRPr="007A6DD8" w:rsidR="0060007F">
        <w:rPr>
          <w:color w:val="000000"/>
          <w:u w:val="single"/>
        </w:rPr>
        <w:t>to</w:t>
      </w:r>
      <w:r w:rsidRPr="007A6DD8">
        <w:rPr>
          <w:color w:val="000000"/>
          <w:u w:val="single"/>
        </w:rPr>
        <w:t xml:space="preserve"> Respondent</w:t>
      </w:r>
      <w:r w:rsidRPr="007A6DD8" w:rsidR="00A01CA9">
        <w:rPr>
          <w:color w:val="000000"/>
          <w:u w:val="single"/>
        </w:rPr>
        <w:t>s</w:t>
      </w:r>
      <w:r w:rsidRPr="007A6DD8">
        <w:rPr>
          <w:color w:val="000000"/>
        </w:rPr>
        <w:t xml:space="preserve"> </w:t>
      </w:r>
    </w:p>
    <w:p w:rsidR="00D45FAE" w:rsidRPr="007A6DD8" w14:paraId="0DB21CF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A01CA9" w14:paraId="050EB263" w14:textId="77777777">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r w:rsidRPr="007A6DD8">
        <w:rPr>
          <w:color w:val="000000"/>
        </w:rPr>
        <w:t>We do not plan to provide any payment or gifts to respondents for the collection of this information.</w:t>
      </w:r>
    </w:p>
    <w:p w:rsidR="00D45FAE" w:rsidRPr="007A6DD8" w14:paraId="1FDE345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0D7A4E" w14:paraId="2A8AC62C" w14:textId="77777777">
      <w:pPr>
        <w:pStyle w:val="Style0"/>
        <w:numPr>
          <w:ilvl w:val="0"/>
          <w:numId w:val="2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Confidentiality</w:t>
      </w:r>
      <w:r w:rsidRPr="007A6DD8">
        <w:rPr>
          <w:color w:val="000000"/>
        </w:rPr>
        <w:t xml:space="preserve"> </w:t>
      </w:r>
    </w:p>
    <w:p w:rsidR="00D45FAE" w:rsidRPr="007A6DD8" w14:paraId="28E1544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044C6" w:rsidP="00A01CA9" w14:paraId="5E7E0E4D" w14:textId="7ABD28B6">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pPr>
      <w:r>
        <w:t xml:space="preserve">Confidentiality will be maintained to the extent provided by law. We pledge confidentiality of patient-specific data in accordance with the Privacy Act of 1974 (5 U.S.C. </w:t>
      </w:r>
      <w:r w:rsidR="00E744E5">
        <w:t xml:space="preserve">§ </w:t>
      </w:r>
      <w:r>
        <w:t>552a) and the Health Insurance Portability and Accountability Act of 1996 (HIPAA). Requirements of HIPAA’s Privacy Rules (at 45 CFR</w:t>
      </w:r>
      <w:r w:rsidR="00E744E5">
        <w:t xml:space="preserve"> §§</w:t>
      </w:r>
      <w:r>
        <w:t>160 and 164) protect the privacy and security of an individual’s protected health information</w:t>
      </w:r>
    </w:p>
    <w:p w:rsidR="00840CC0" w:rsidRPr="007A6DD8" w14:paraId="1998DD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RPr="007A6DD8" w:rsidP="000D7A4E" w14:paraId="1871B37F" w14:textId="77777777">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Sensitive Questions</w:t>
      </w:r>
      <w:r w:rsidRPr="007A6DD8">
        <w:rPr>
          <w:color w:val="000000"/>
        </w:rPr>
        <w:t xml:space="preserve"> </w:t>
      </w:r>
    </w:p>
    <w:p w:rsidR="00D45FAE" w:rsidRPr="007A6DD8" w14:paraId="5CFFE0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45FAE" w:rsidP="00A01CA9" w14:paraId="5F465FC0" w14:textId="77777777">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r w:rsidRPr="007A6DD8">
        <w:rPr>
          <w:color w:val="000000"/>
        </w:rPr>
        <w:t>There are no questions of a sensitive nature associated with this information collection.</w:t>
      </w:r>
    </w:p>
    <w:p w:rsidR="0068781E" w:rsidP="00A01CA9" w14:paraId="490A5840" w14:textId="77777777">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p>
    <w:p w:rsidR="00D45FAE" w:rsidP="00077919" w14:paraId="4E11208E" w14:textId="77777777">
      <w:pPr>
        <w:pStyle w:val="Style0"/>
        <w:numPr>
          <w:ilvl w:val="0"/>
          <w:numId w:val="2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u w:val="single"/>
        </w:rPr>
        <w:t>B</w:t>
      </w:r>
      <w:r w:rsidRPr="007A6DD8">
        <w:rPr>
          <w:color w:val="000000"/>
          <w:u w:val="single"/>
        </w:rPr>
        <w:t>urden Estimates</w:t>
      </w:r>
      <w:r w:rsidRPr="007A6DD8" w:rsidR="00EC450C">
        <w:rPr>
          <w:color w:val="000000"/>
          <w:u w:val="single"/>
        </w:rPr>
        <w:t xml:space="preserve"> (Hours &amp; Wages)</w:t>
      </w:r>
    </w:p>
    <w:p w:rsidR="006D28A0" w:rsidP="006D28A0" w14:paraId="4778BEB7"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6D28A0" w:rsidRPr="00263536" w:rsidP="00263536" w14:paraId="211015F2" w14:textId="410223B2">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u w:val="single"/>
        </w:rPr>
      </w:pPr>
      <w:r w:rsidRPr="00263536">
        <w:rPr>
          <w:b/>
          <w:bCs/>
          <w:color w:val="000000"/>
          <w:u w:val="single"/>
        </w:rPr>
        <w:t>Assumptions</w:t>
      </w:r>
    </w:p>
    <w:p w:rsidR="006D28A0" w:rsidP="006D28A0" w14:paraId="13BE9A33"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6D28A0" w:rsidRPr="00263536" w:rsidP="006D28A0" w14:paraId="165DE894" w14:textId="21B9E98C">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263536">
        <w:rPr>
          <w:b/>
          <w:bCs/>
          <w:color w:val="000000"/>
          <w:u w:val="single"/>
        </w:rPr>
        <w:t>Facilities Impacted</w:t>
      </w:r>
    </w:p>
    <w:p w:rsidR="006353FA" w:rsidP="00FF1DC0" w14:paraId="66D52A9A" w14:textId="367AF9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sdt>
        <w:sdtPr>
          <w:rPr>
            <w:szCs w:val="24"/>
          </w:rPr>
          <w:tag w:val="goog_rdk_24"/>
          <w:id w:val="1673056428"/>
          <w:richText/>
        </w:sdtPr>
        <w:sdtContent>
          <w:r w:rsidRPr="003C5BE7" w:rsidR="00E518D4">
            <w:rPr>
              <w:szCs w:val="24"/>
            </w:rPr>
            <w:t>F</w:t>
          </w:r>
        </w:sdtContent>
      </w:sdt>
      <w:r w:rsidRPr="003C5BE7" w:rsidR="00E518D4">
        <w:rPr>
          <w:szCs w:val="24"/>
        </w:rPr>
        <w:t xml:space="preserve">or the Calendar Year 2023, </w:t>
      </w:r>
      <w:r w:rsidRPr="003C5BE7" w:rsidR="00A97726">
        <w:rPr>
          <w:color w:val="000000"/>
          <w:szCs w:val="24"/>
        </w:rPr>
        <w:t xml:space="preserve">1,245 </w:t>
      </w:r>
      <w:r w:rsidRPr="003C5BE7" w:rsidR="00E518D4">
        <w:rPr>
          <w:color w:val="000000"/>
          <w:szCs w:val="24"/>
        </w:rPr>
        <w:t xml:space="preserve">of the total number of CAHs (1,383) </w:t>
      </w:r>
      <w:r w:rsidRPr="003C5BE7" w:rsidR="00A97726">
        <w:rPr>
          <w:color w:val="000000"/>
          <w:szCs w:val="24"/>
        </w:rPr>
        <w:t>are subject to the CoPs listed in this reinstatement.</w:t>
      </w:r>
      <w:r w:rsidRPr="003C5BE7" w:rsidR="00A97726">
        <w:rPr>
          <w:iCs/>
          <w:szCs w:val="24"/>
        </w:rPr>
        <w:t xml:space="preserve"> </w:t>
      </w:r>
      <w:r w:rsidRPr="003C5BE7" w:rsidR="00E518D4">
        <w:rPr>
          <w:iCs/>
          <w:szCs w:val="24"/>
        </w:rPr>
        <w:t xml:space="preserve">The ICRs for the 138 </w:t>
      </w:r>
      <w:r w:rsidRPr="003C5BE7" w:rsidR="00D77981">
        <w:rPr>
          <w:szCs w:val="24"/>
        </w:rPr>
        <w:t xml:space="preserve">CAHs that have </w:t>
      </w:r>
      <w:r w:rsidRPr="003C5BE7" w:rsidR="00E518D4">
        <w:rPr>
          <w:szCs w:val="24"/>
        </w:rPr>
        <w:t xml:space="preserve">Distinct Part Units (DPUs)(119 with </w:t>
      </w:r>
      <w:r w:rsidRPr="003C5BE7" w:rsidR="00E518D4">
        <w:rPr>
          <w:color w:val="000000"/>
          <w:szCs w:val="24"/>
        </w:rPr>
        <w:t xml:space="preserve">psychiatric DPUs and 19 with rehabilitation DPUs) </w:t>
      </w:r>
      <w:r w:rsidRPr="003C5BE7" w:rsidR="00E518D4">
        <w:rPr>
          <w:szCs w:val="24"/>
        </w:rPr>
        <w:t xml:space="preserve">are included in Hospital package at </w:t>
      </w:r>
      <w:r w:rsidRPr="003C5BE7" w:rsidR="00D77981">
        <w:rPr>
          <w:color w:val="000000"/>
          <w:szCs w:val="24"/>
        </w:rPr>
        <w:t>OMB No. 0938-0328</w:t>
      </w:r>
      <w:r w:rsidRPr="003C5BE7" w:rsidR="00E518D4">
        <w:rPr>
          <w:color w:val="000000"/>
          <w:szCs w:val="24"/>
        </w:rPr>
        <w:t xml:space="preserve"> because these CAHs must comply with the Hospital CoPs</w:t>
      </w:r>
      <w:r w:rsidRPr="003C5BE7" w:rsidR="0060007F">
        <w:rPr>
          <w:color w:val="000000"/>
          <w:szCs w:val="24"/>
        </w:rPr>
        <w:t>.</w:t>
      </w:r>
      <w:r w:rsidR="0060007F">
        <w:rPr>
          <w:color w:val="000000"/>
          <w:szCs w:val="24"/>
        </w:rPr>
        <w:t xml:space="preserve"> </w:t>
      </w:r>
      <w:r w:rsidR="00FF1DC0">
        <w:rPr>
          <w:color w:val="000000"/>
          <w:szCs w:val="24"/>
        </w:rPr>
        <w:t>Furthermore,</w:t>
      </w:r>
    </w:p>
    <w:p w:rsidR="006353FA" w:rsidRPr="00FF1DC0" w:rsidP="006353FA" w14:paraId="5F9746B0" w14:textId="576F77D0">
      <w:pPr>
        <w:rPr>
          <w:szCs w:val="24"/>
        </w:rPr>
      </w:pPr>
      <w:r>
        <w:rPr>
          <w:szCs w:val="24"/>
        </w:rPr>
        <w:t>a</w:t>
      </w:r>
      <w:r w:rsidRPr="00FF1DC0">
        <w:rPr>
          <w:szCs w:val="24"/>
        </w:rPr>
        <w:t xml:space="preserve">s it relates to specific CoPs discussed in detail below, there are 513 CAHs that provide </w:t>
      </w:r>
      <w:r w:rsidRPr="00FF1DC0">
        <w:rPr>
          <w:color w:val="000000"/>
          <w:szCs w:val="24"/>
        </w:rPr>
        <w:t>obstetric services and 2</w:t>
      </w:r>
      <w:r>
        <w:rPr>
          <w:color w:val="000000"/>
          <w:szCs w:val="24"/>
        </w:rPr>
        <w:t>5</w:t>
      </w:r>
      <w:r w:rsidRPr="00FF1DC0">
        <w:rPr>
          <w:color w:val="000000"/>
          <w:szCs w:val="24"/>
        </w:rPr>
        <w:t>% of CAHs are accredited by The Joint Commission.</w:t>
      </w:r>
      <w:r>
        <w:rPr>
          <w:rStyle w:val="FootnoteReference"/>
          <w:color w:val="000000"/>
          <w:sz w:val="24"/>
          <w:szCs w:val="24"/>
        </w:rPr>
        <w:footnoteReference w:id="2"/>
      </w:r>
    </w:p>
    <w:p w:rsidR="006353FA" w:rsidRPr="006353FA" w:rsidP="00B00CEB" w14:paraId="05EFE7A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E518D4" w:rsidP="00B00CEB" w14:paraId="3803D13D" w14:textId="782ADD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p>
    <w:p w:rsidR="006353FA" w:rsidRPr="006353FA" w:rsidP="0068781E" w14:paraId="4F5CEA41" w14:textId="4BB9C3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b/>
          <w:bCs/>
          <w:color w:val="000000"/>
          <w:sz w:val="22"/>
          <w:szCs w:val="22"/>
        </w:rPr>
      </w:pPr>
      <w:r w:rsidRPr="006353FA">
        <w:rPr>
          <w:b/>
          <w:bCs/>
          <w:color w:val="000000"/>
          <w:sz w:val="28"/>
          <w:szCs w:val="28"/>
        </w:rPr>
        <w:t>Table 1: Facility Summary</w:t>
      </w:r>
    </w:p>
    <w:tbl>
      <w:tblPr>
        <w:tblW w:w="5768" w:type="dxa"/>
        <w:tblInd w:w="1327" w:type="dxa"/>
        <w:tblLook w:val="04A0"/>
      </w:tblPr>
      <w:tblGrid>
        <w:gridCol w:w="4500"/>
        <w:gridCol w:w="1260"/>
        <w:gridCol w:w="8"/>
      </w:tblGrid>
      <w:tr w14:paraId="43BC84CC" w14:textId="77777777" w:rsidTr="0068781E">
        <w:tblPrEx>
          <w:tblW w:w="5768" w:type="dxa"/>
          <w:tblInd w:w="1327" w:type="dxa"/>
          <w:tblLook w:val="04A0"/>
        </w:tblPrEx>
        <w:trPr>
          <w:trHeight w:val="263"/>
        </w:trPr>
        <w:tc>
          <w:tcPr>
            <w:tcW w:w="5768" w:type="dxa"/>
            <w:gridSpan w:val="3"/>
            <w:tcBorders>
              <w:top w:val="single" w:sz="4" w:space="0" w:color="auto"/>
              <w:left w:val="single" w:sz="4" w:space="0" w:color="auto"/>
              <w:bottom w:val="single" w:sz="4" w:space="0" w:color="auto"/>
              <w:right w:val="single" w:sz="4" w:space="0" w:color="000000"/>
            </w:tcBorders>
            <w:shd w:val="clear" w:color="auto" w:fill="D6DCE4" w:themeFill="text2" w:themeFillTint="33"/>
            <w:hideMark/>
          </w:tcPr>
          <w:p w:rsidR="00D77981" w:rsidRPr="00BF3C84" w:rsidP="00CE6147" w14:paraId="567E3B79" w14:textId="76E505BB">
            <w:pPr>
              <w:jc w:val="center"/>
              <w:rPr>
                <w:b/>
                <w:bCs/>
                <w:sz w:val="20"/>
              </w:rPr>
            </w:pPr>
            <w:r w:rsidRPr="00C81CFA">
              <w:rPr>
                <w:b/>
                <w:bCs/>
              </w:rPr>
              <w:t>CAHs</w:t>
            </w:r>
          </w:p>
        </w:tc>
      </w:tr>
      <w:tr w14:paraId="174A0E63" w14:textId="77777777" w:rsidTr="0068781E">
        <w:tblPrEx>
          <w:tblW w:w="5768" w:type="dxa"/>
          <w:tblInd w:w="1327" w:type="dxa"/>
          <w:tblLook w:val="04A0"/>
        </w:tblPrEx>
        <w:trPr>
          <w:gridAfter w:val="1"/>
          <w:wAfter w:w="8" w:type="dxa"/>
          <w:trHeight w:val="263"/>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rsidR="00D77981" w:rsidRPr="00CE6147" w:rsidP="00702172" w14:paraId="756987DB" w14:textId="77777777">
            <w:pPr>
              <w:rPr>
                <w:szCs w:val="24"/>
              </w:rPr>
            </w:pPr>
            <w:r w:rsidRPr="00CE6147">
              <w:rPr>
                <w:szCs w:val="24"/>
              </w:rPr>
              <w:t>Total # of CAHs</w:t>
            </w:r>
          </w:p>
        </w:tc>
        <w:tc>
          <w:tcPr>
            <w:tcW w:w="1260" w:type="dxa"/>
            <w:tcBorders>
              <w:top w:val="nil"/>
              <w:left w:val="nil"/>
              <w:bottom w:val="single" w:sz="4" w:space="0" w:color="auto"/>
              <w:right w:val="single" w:sz="4" w:space="0" w:color="auto"/>
            </w:tcBorders>
            <w:shd w:val="clear" w:color="auto" w:fill="auto"/>
            <w:noWrap/>
            <w:vAlign w:val="bottom"/>
            <w:hideMark/>
          </w:tcPr>
          <w:p w:rsidR="00D77981" w:rsidRPr="00CE6147" w:rsidP="00702172" w14:paraId="6C8DCEF9" w14:textId="77777777">
            <w:pPr>
              <w:jc w:val="right"/>
              <w:rPr>
                <w:szCs w:val="24"/>
              </w:rPr>
            </w:pPr>
            <w:r w:rsidRPr="00CE6147">
              <w:rPr>
                <w:szCs w:val="24"/>
              </w:rPr>
              <w:t>1,383</w:t>
            </w:r>
          </w:p>
        </w:tc>
      </w:tr>
      <w:tr w14:paraId="43CFED18" w14:textId="77777777" w:rsidTr="0068781E">
        <w:tblPrEx>
          <w:tblW w:w="5768" w:type="dxa"/>
          <w:tblInd w:w="1327" w:type="dxa"/>
          <w:tblLook w:val="04A0"/>
        </w:tblPrEx>
        <w:trPr>
          <w:gridAfter w:val="1"/>
          <w:wAfter w:w="8" w:type="dxa"/>
          <w:trHeight w:val="263"/>
        </w:trPr>
        <w:tc>
          <w:tcPr>
            <w:tcW w:w="4500" w:type="dxa"/>
            <w:tcBorders>
              <w:top w:val="nil"/>
              <w:left w:val="single" w:sz="4" w:space="0" w:color="auto"/>
              <w:bottom w:val="single" w:sz="4" w:space="0" w:color="auto"/>
              <w:right w:val="single" w:sz="4" w:space="0" w:color="auto"/>
            </w:tcBorders>
            <w:shd w:val="clear" w:color="auto" w:fill="auto"/>
            <w:vAlign w:val="bottom"/>
            <w:hideMark/>
          </w:tcPr>
          <w:p w:rsidR="00D77981" w:rsidRPr="00CE6147" w:rsidP="00702172" w14:paraId="0F169D0C" w14:textId="77777777">
            <w:pPr>
              <w:rPr>
                <w:szCs w:val="24"/>
              </w:rPr>
            </w:pPr>
            <w:r w:rsidRPr="00CE6147">
              <w:rPr>
                <w:szCs w:val="24"/>
              </w:rPr>
              <w:t># of CAHs covered in 0938-1043</w:t>
            </w:r>
          </w:p>
        </w:tc>
        <w:tc>
          <w:tcPr>
            <w:tcW w:w="1260" w:type="dxa"/>
            <w:tcBorders>
              <w:top w:val="nil"/>
              <w:left w:val="nil"/>
              <w:bottom w:val="single" w:sz="4" w:space="0" w:color="auto"/>
              <w:right w:val="single" w:sz="4" w:space="0" w:color="auto"/>
            </w:tcBorders>
            <w:shd w:val="clear" w:color="auto" w:fill="auto"/>
            <w:noWrap/>
            <w:vAlign w:val="bottom"/>
            <w:hideMark/>
          </w:tcPr>
          <w:p w:rsidR="00D77981" w:rsidRPr="00CE6147" w:rsidP="00702172" w14:paraId="719387DC" w14:textId="77777777">
            <w:pPr>
              <w:jc w:val="right"/>
              <w:rPr>
                <w:szCs w:val="24"/>
              </w:rPr>
            </w:pPr>
            <w:r w:rsidRPr="00CE6147">
              <w:rPr>
                <w:szCs w:val="24"/>
              </w:rPr>
              <w:t>1,245</w:t>
            </w:r>
          </w:p>
        </w:tc>
      </w:tr>
      <w:tr w14:paraId="2342B7D3" w14:textId="77777777" w:rsidTr="0068781E">
        <w:tblPrEx>
          <w:tblW w:w="5768" w:type="dxa"/>
          <w:tblInd w:w="1327" w:type="dxa"/>
          <w:tblLook w:val="04A0"/>
        </w:tblPrEx>
        <w:trPr>
          <w:gridAfter w:val="1"/>
          <w:wAfter w:w="8" w:type="dxa"/>
          <w:trHeight w:val="263"/>
        </w:trPr>
        <w:tc>
          <w:tcPr>
            <w:tcW w:w="4500" w:type="dxa"/>
            <w:tcBorders>
              <w:top w:val="nil"/>
              <w:left w:val="single" w:sz="4" w:space="0" w:color="auto"/>
              <w:bottom w:val="single" w:sz="4" w:space="0" w:color="auto"/>
              <w:right w:val="single" w:sz="4" w:space="0" w:color="auto"/>
            </w:tcBorders>
            <w:shd w:val="clear" w:color="auto" w:fill="auto"/>
          </w:tcPr>
          <w:p w:rsidR="00601769" w:rsidRPr="00CE6147" w:rsidP="00601769" w14:paraId="6B83CC10" w14:textId="08D857B3">
            <w:pPr>
              <w:rPr>
                <w:szCs w:val="24"/>
              </w:rPr>
            </w:pPr>
            <w:r w:rsidRPr="00CE6147">
              <w:rPr>
                <w:szCs w:val="24"/>
              </w:rPr>
              <w:t># of CAHs covered in 0938-0328</w:t>
            </w:r>
          </w:p>
        </w:tc>
        <w:tc>
          <w:tcPr>
            <w:tcW w:w="1260" w:type="dxa"/>
            <w:tcBorders>
              <w:top w:val="nil"/>
              <w:left w:val="nil"/>
              <w:bottom w:val="single" w:sz="4" w:space="0" w:color="auto"/>
              <w:right w:val="single" w:sz="4" w:space="0" w:color="auto"/>
            </w:tcBorders>
            <w:shd w:val="clear" w:color="auto" w:fill="auto"/>
            <w:noWrap/>
            <w:vAlign w:val="bottom"/>
          </w:tcPr>
          <w:p w:rsidR="00601769" w:rsidRPr="00CE6147" w:rsidP="00601769" w14:paraId="3A38773A" w14:textId="6EA92AA4">
            <w:pPr>
              <w:jc w:val="right"/>
              <w:rPr>
                <w:szCs w:val="24"/>
              </w:rPr>
            </w:pPr>
            <w:r w:rsidRPr="00CE6147">
              <w:rPr>
                <w:szCs w:val="24"/>
              </w:rPr>
              <w:t>138</w:t>
            </w:r>
          </w:p>
        </w:tc>
      </w:tr>
      <w:tr w14:paraId="143426F7" w14:textId="77777777" w:rsidTr="0068781E">
        <w:tblPrEx>
          <w:tblW w:w="5768" w:type="dxa"/>
          <w:tblInd w:w="1327" w:type="dxa"/>
          <w:tblLook w:val="04A0"/>
        </w:tblPrEx>
        <w:trPr>
          <w:gridAfter w:val="1"/>
          <w:wAfter w:w="8" w:type="dxa"/>
          <w:trHeight w:val="263"/>
        </w:trPr>
        <w:tc>
          <w:tcPr>
            <w:tcW w:w="4500" w:type="dxa"/>
            <w:tcBorders>
              <w:top w:val="nil"/>
              <w:left w:val="single" w:sz="4" w:space="0" w:color="auto"/>
              <w:bottom w:val="single" w:sz="4" w:space="0" w:color="auto"/>
              <w:right w:val="single" w:sz="4" w:space="0" w:color="auto"/>
            </w:tcBorders>
            <w:shd w:val="clear" w:color="auto" w:fill="auto"/>
          </w:tcPr>
          <w:p w:rsidR="00601769" w:rsidRPr="00CE6147" w:rsidP="00601769" w14:paraId="45945F08" w14:textId="6AD5D3C1">
            <w:pPr>
              <w:jc w:val="right"/>
              <w:rPr>
                <w:b/>
                <w:bCs/>
                <w:szCs w:val="24"/>
              </w:rPr>
            </w:pPr>
            <w:r w:rsidRPr="00CE6147">
              <w:rPr>
                <w:szCs w:val="24"/>
              </w:rPr>
              <w:t># of CAHs w/rehab DPUs</w:t>
            </w:r>
          </w:p>
        </w:tc>
        <w:tc>
          <w:tcPr>
            <w:tcW w:w="1260" w:type="dxa"/>
            <w:tcBorders>
              <w:top w:val="nil"/>
              <w:left w:val="nil"/>
              <w:bottom w:val="single" w:sz="4" w:space="0" w:color="auto"/>
              <w:right w:val="single" w:sz="4" w:space="0" w:color="auto"/>
            </w:tcBorders>
            <w:shd w:val="clear" w:color="auto" w:fill="auto"/>
            <w:noWrap/>
            <w:vAlign w:val="bottom"/>
          </w:tcPr>
          <w:p w:rsidR="00601769" w:rsidRPr="00CE6147" w:rsidP="00601769" w14:paraId="680EA09A" w14:textId="28298ED2">
            <w:pPr>
              <w:jc w:val="right"/>
              <w:rPr>
                <w:b/>
                <w:bCs/>
                <w:szCs w:val="24"/>
              </w:rPr>
            </w:pPr>
            <w:r w:rsidRPr="00CE6147">
              <w:rPr>
                <w:szCs w:val="24"/>
              </w:rPr>
              <w:t>19</w:t>
            </w:r>
          </w:p>
        </w:tc>
      </w:tr>
      <w:tr w14:paraId="40268766" w14:textId="77777777" w:rsidTr="0068781E">
        <w:tblPrEx>
          <w:tblW w:w="5768" w:type="dxa"/>
          <w:tblInd w:w="1327" w:type="dxa"/>
          <w:tblLook w:val="04A0"/>
        </w:tblPrEx>
        <w:trPr>
          <w:gridAfter w:val="1"/>
          <w:wAfter w:w="8" w:type="dxa"/>
          <w:trHeight w:val="263"/>
        </w:trPr>
        <w:tc>
          <w:tcPr>
            <w:tcW w:w="4500" w:type="dxa"/>
            <w:tcBorders>
              <w:top w:val="nil"/>
              <w:left w:val="single" w:sz="4" w:space="0" w:color="auto"/>
              <w:bottom w:val="single" w:sz="4" w:space="0" w:color="auto"/>
              <w:right w:val="single" w:sz="4" w:space="0" w:color="auto"/>
            </w:tcBorders>
            <w:shd w:val="clear" w:color="auto" w:fill="auto"/>
          </w:tcPr>
          <w:p w:rsidR="00601769" w:rsidRPr="00CE6147" w:rsidP="00601769" w14:paraId="16A33E11" w14:textId="5D58E3EE">
            <w:pPr>
              <w:jc w:val="right"/>
              <w:rPr>
                <w:b/>
                <w:bCs/>
                <w:szCs w:val="24"/>
              </w:rPr>
            </w:pPr>
            <w:r w:rsidRPr="00CE6147">
              <w:rPr>
                <w:szCs w:val="24"/>
              </w:rPr>
              <w:t># of CAHs w/psych DPUs</w:t>
            </w:r>
          </w:p>
        </w:tc>
        <w:tc>
          <w:tcPr>
            <w:tcW w:w="1260" w:type="dxa"/>
            <w:tcBorders>
              <w:top w:val="nil"/>
              <w:left w:val="nil"/>
              <w:bottom w:val="single" w:sz="4" w:space="0" w:color="auto"/>
              <w:right w:val="single" w:sz="4" w:space="0" w:color="auto"/>
            </w:tcBorders>
            <w:shd w:val="clear" w:color="auto" w:fill="auto"/>
            <w:noWrap/>
            <w:vAlign w:val="bottom"/>
          </w:tcPr>
          <w:p w:rsidR="00601769" w:rsidRPr="00CE6147" w:rsidP="00601769" w14:paraId="0F90C6C7" w14:textId="362D12E7">
            <w:pPr>
              <w:jc w:val="right"/>
              <w:rPr>
                <w:b/>
                <w:bCs/>
                <w:szCs w:val="24"/>
              </w:rPr>
            </w:pPr>
            <w:r w:rsidRPr="00CE6147">
              <w:rPr>
                <w:szCs w:val="24"/>
              </w:rPr>
              <w:t>119</w:t>
            </w:r>
          </w:p>
        </w:tc>
      </w:tr>
      <w:tr w14:paraId="20D41510" w14:textId="77777777" w:rsidTr="0068781E">
        <w:tblPrEx>
          <w:tblW w:w="5768" w:type="dxa"/>
          <w:tblInd w:w="1327" w:type="dxa"/>
          <w:tblLook w:val="04A0"/>
        </w:tblPrEx>
        <w:trPr>
          <w:gridAfter w:val="1"/>
          <w:wAfter w:w="8" w:type="dxa"/>
          <w:trHeight w:val="263"/>
        </w:trPr>
        <w:tc>
          <w:tcPr>
            <w:tcW w:w="4500" w:type="dxa"/>
            <w:tcBorders>
              <w:top w:val="nil"/>
              <w:left w:val="single" w:sz="4" w:space="0" w:color="auto"/>
              <w:bottom w:val="single" w:sz="4" w:space="0" w:color="auto"/>
              <w:right w:val="single" w:sz="4" w:space="0" w:color="auto"/>
            </w:tcBorders>
            <w:shd w:val="clear" w:color="auto" w:fill="auto"/>
            <w:vAlign w:val="bottom"/>
          </w:tcPr>
          <w:p w:rsidR="00FF1DC0" w:rsidRPr="006353FA" w:rsidP="00FF1DC0" w14:paraId="695129CC" w14:textId="13291BB5">
            <w:pPr>
              <w:jc w:val="right"/>
              <w:rPr>
                <w:szCs w:val="24"/>
              </w:rPr>
            </w:pPr>
            <w:r w:rsidRPr="006353FA">
              <w:rPr>
                <w:szCs w:val="24"/>
              </w:rPr>
              <w:t># of CAHs providing obstetric services</w:t>
            </w:r>
          </w:p>
        </w:tc>
        <w:tc>
          <w:tcPr>
            <w:tcW w:w="1260" w:type="dxa"/>
            <w:tcBorders>
              <w:top w:val="nil"/>
              <w:left w:val="nil"/>
              <w:bottom w:val="single" w:sz="4" w:space="0" w:color="auto"/>
              <w:right w:val="single" w:sz="4" w:space="0" w:color="auto"/>
            </w:tcBorders>
            <w:shd w:val="clear" w:color="auto" w:fill="auto"/>
            <w:noWrap/>
            <w:vAlign w:val="bottom"/>
          </w:tcPr>
          <w:p w:rsidR="00FF1DC0" w:rsidRPr="006353FA" w:rsidP="00FF1DC0" w14:paraId="69BD5E35" w14:textId="2B18A83A">
            <w:pPr>
              <w:jc w:val="right"/>
              <w:rPr>
                <w:szCs w:val="24"/>
              </w:rPr>
            </w:pPr>
            <w:r w:rsidRPr="006353FA">
              <w:rPr>
                <w:szCs w:val="24"/>
              </w:rPr>
              <w:t>513</w:t>
            </w:r>
          </w:p>
        </w:tc>
      </w:tr>
      <w:tr w14:paraId="1EE100D1" w14:textId="77777777" w:rsidTr="0068781E">
        <w:tblPrEx>
          <w:tblW w:w="5768" w:type="dxa"/>
          <w:tblInd w:w="1327" w:type="dxa"/>
          <w:tblLook w:val="04A0"/>
        </w:tblPrEx>
        <w:trPr>
          <w:gridAfter w:val="1"/>
          <w:wAfter w:w="8" w:type="dxa"/>
          <w:trHeight w:val="263"/>
        </w:trPr>
        <w:tc>
          <w:tcPr>
            <w:tcW w:w="4500" w:type="dxa"/>
            <w:tcBorders>
              <w:top w:val="nil"/>
              <w:left w:val="single" w:sz="4" w:space="0" w:color="auto"/>
              <w:bottom w:val="single" w:sz="4" w:space="0" w:color="auto"/>
              <w:right w:val="single" w:sz="4" w:space="0" w:color="auto"/>
            </w:tcBorders>
            <w:shd w:val="clear" w:color="auto" w:fill="auto"/>
            <w:vAlign w:val="bottom"/>
          </w:tcPr>
          <w:p w:rsidR="00FF1DC0" w:rsidRPr="006353FA" w:rsidP="00FF1DC0" w14:paraId="4EDBD8F0" w14:textId="30E7BDD8">
            <w:pPr>
              <w:jc w:val="right"/>
              <w:rPr>
                <w:szCs w:val="24"/>
              </w:rPr>
            </w:pPr>
            <w:r>
              <w:rPr>
                <w:szCs w:val="24"/>
              </w:rPr>
              <w:t>% Accredited by The Joint Commission</w:t>
            </w:r>
          </w:p>
        </w:tc>
        <w:tc>
          <w:tcPr>
            <w:tcW w:w="1260" w:type="dxa"/>
            <w:tcBorders>
              <w:top w:val="nil"/>
              <w:left w:val="nil"/>
              <w:bottom w:val="single" w:sz="4" w:space="0" w:color="auto"/>
              <w:right w:val="single" w:sz="4" w:space="0" w:color="auto"/>
            </w:tcBorders>
            <w:shd w:val="clear" w:color="auto" w:fill="auto"/>
            <w:noWrap/>
            <w:vAlign w:val="bottom"/>
          </w:tcPr>
          <w:p w:rsidR="00FF1DC0" w:rsidRPr="006353FA" w:rsidP="00FF1DC0" w14:paraId="631E5CF5" w14:textId="52431E29">
            <w:pPr>
              <w:jc w:val="right"/>
              <w:rPr>
                <w:szCs w:val="24"/>
              </w:rPr>
            </w:pPr>
            <w:r>
              <w:rPr>
                <w:szCs w:val="24"/>
              </w:rPr>
              <w:t>25%</w:t>
            </w:r>
          </w:p>
        </w:tc>
      </w:tr>
      <w:tr w14:paraId="63B09980" w14:textId="77777777" w:rsidTr="0068781E">
        <w:tblPrEx>
          <w:tblW w:w="5768" w:type="dxa"/>
          <w:tblInd w:w="1327" w:type="dxa"/>
          <w:tblLook w:val="04A0"/>
        </w:tblPrEx>
        <w:trPr>
          <w:gridAfter w:val="1"/>
          <w:wAfter w:w="8" w:type="dxa"/>
          <w:trHeight w:val="263"/>
        </w:trPr>
        <w:tc>
          <w:tcPr>
            <w:tcW w:w="4500"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FF1DC0" w:rsidRPr="00CE6147" w:rsidP="00FF1DC0" w14:paraId="1AC79A65" w14:textId="77777777">
            <w:pPr>
              <w:rPr>
                <w:b/>
                <w:bCs/>
                <w:szCs w:val="24"/>
              </w:rPr>
            </w:pPr>
            <w:r w:rsidRPr="00CE6147">
              <w:rPr>
                <w:b/>
                <w:bCs/>
                <w:szCs w:val="24"/>
              </w:rPr>
              <w:t>Total facilities impacted by this ICR</w:t>
            </w:r>
          </w:p>
        </w:tc>
        <w:tc>
          <w:tcPr>
            <w:tcW w:w="1260" w:type="dxa"/>
            <w:tcBorders>
              <w:top w:val="nil"/>
              <w:left w:val="nil"/>
              <w:bottom w:val="single" w:sz="4" w:space="0" w:color="auto"/>
              <w:right w:val="single" w:sz="4" w:space="0" w:color="auto"/>
            </w:tcBorders>
            <w:shd w:val="clear" w:color="auto" w:fill="BFBFBF" w:themeFill="background1" w:themeFillShade="BF"/>
            <w:noWrap/>
            <w:vAlign w:val="bottom"/>
            <w:hideMark/>
          </w:tcPr>
          <w:p w:rsidR="00FF1DC0" w:rsidRPr="00CE6147" w:rsidP="00FF1DC0" w14:paraId="767AE503" w14:textId="5C2C6405">
            <w:pPr>
              <w:jc w:val="right"/>
              <w:rPr>
                <w:b/>
                <w:bCs/>
                <w:szCs w:val="24"/>
              </w:rPr>
            </w:pPr>
            <w:r w:rsidRPr="00CE6147">
              <w:rPr>
                <w:b/>
                <w:bCs/>
                <w:szCs w:val="24"/>
              </w:rPr>
              <w:t>1,245</w:t>
            </w:r>
          </w:p>
        </w:tc>
      </w:tr>
    </w:tbl>
    <w:p w:rsidR="006D28A0" w:rsidP="006D28A0" w14:paraId="0CBEB289"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DF2D09" w:rsidP="006D28A0" w14:paraId="032699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6D28A0" w:rsidRPr="007A6DD8" w:rsidP="006D28A0" w14:paraId="057D46B0" w14:textId="772C8CE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 xml:space="preserve">Salary Data </w:t>
      </w:r>
    </w:p>
    <w:p w:rsidR="008936D1" w:rsidP="006D28A0" w14:paraId="58EDDC1A" w14:textId="2CC88A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 xml:space="preserve">Salary data is based on the U.S. Department of Labor Bureau of Labor Statistics (BLS) </w:t>
      </w:r>
      <w:r>
        <w:rPr>
          <w:color w:val="000000"/>
        </w:rPr>
        <w:t>May 20</w:t>
      </w:r>
      <w:r>
        <w:rPr>
          <w:color w:val="000000"/>
        </w:rPr>
        <w:t>23</w:t>
      </w:r>
      <w:r w:rsidRPr="007A6DD8">
        <w:rPr>
          <w:color w:val="000000"/>
        </w:rPr>
        <w:t xml:space="preserve"> </w:t>
      </w:r>
      <w:r w:rsidR="00A35520">
        <w:rPr>
          <w:color w:val="000000"/>
        </w:rPr>
        <w:t xml:space="preserve">National </w:t>
      </w:r>
      <w:r w:rsidRPr="007A6DD8">
        <w:rPr>
          <w:color w:val="000000"/>
        </w:rPr>
        <w:t>Occupational Employment and Wage Estimates</w:t>
      </w:r>
      <w:r w:rsidR="00A35520">
        <w:rPr>
          <w:color w:val="000000"/>
        </w:rPr>
        <w:t xml:space="preserve"> (Cross-Industry)</w:t>
      </w:r>
      <w:r w:rsidRPr="007A6DD8">
        <w:rPr>
          <w:color w:val="000000"/>
        </w:rPr>
        <w:t xml:space="preserve"> found at </w:t>
      </w:r>
    </w:p>
    <w:p w:rsidR="00A35520" w:rsidP="006D28A0" w14:paraId="5C19AD12" w14:textId="5E5242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hyperlink r:id="rId12" w:anchor="00-0000" w:history="1">
        <w:r w:rsidRPr="00B9325C">
          <w:rPr>
            <w:rStyle w:val="Hyperlink"/>
          </w:rPr>
          <w:t>https://www.bls.gov/oes/current/oes_nat.htm#00-0000</w:t>
        </w:r>
      </w:hyperlink>
    </w:p>
    <w:p w:rsidR="008936D1" w:rsidP="006D28A0" w14:paraId="1D62F1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D28A0" w:rsidRPr="007A6DD8" w:rsidP="00F01C3B" w14:paraId="1E63D512" w14:textId="61856B4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A6DD8">
        <w:rPr>
          <w:szCs w:val="24"/>
        </w:rPr>
        <w:t>Where we were able to identify positions linked to specific positions, we used that compensation information. However, in some instances, we have used a general position description or information for comparable positions</w:t>
      </w:r>
      <w:r w:rsidR="00F01C3B">
        <w:rPr>
          <w:szCs w:val="24"/>
        </w:rPr>
        <w:t xml:space="preserve">. </w:t>
      </w:r>
      <w:r w:rsidRPr="007A6DD8">
        <w:rPr>
          <w:szCs w:val="24"/>
        </w:rPr>
        <w:t xml:space="preserve">We calculated the estimated hourly rates based upon the national </w:t>
      </w:r>
      <w:r w:rsidR="00F01C3B">
        <w:rPr>
          <w:szCs w:val="24"/>
        </w:rPr>
        <w:t>me</w:t>
      </w:r>
      <w:r w:rsidR="003D53FF">
        <w:rPr>
          <w:szCs w:val="24"/>
        </w:rPr>
        <w:t>dian</w:t>
      </w:r>
      <w:r w:rsidR="00121A60">
        <w:rPr>
          <w:szCs w:val="24"/>
        </w:rPr>
        <w:t xml:space="preserve"> </w:t>
      </w:r>
      <w:r w:rsidRPr="007A6DD8">
        <w:rPr>
          <w:szCs w:val="24"/>
        </w:rPr>
        <w:t>salary for that particular position, including fringe benefits and overhead</w:t>
      </w:r>
      <w:r w:rsidRPr="007A6DD8">
        <w:t xml:space="preserve"> estimated at</w:t>
      </w:r>
      <w:r w:rsidRPr="007A6DD8">
        <w:rPr>
          <w:szCs w:val="24"/>
        </w:rPr>
        <w:t xml:space="preserve"> </w:t>
      </w:r>
      <w:r>
        <w:rPr>
          <w:szCs w:val="24"/>
        </w:rPr>
        <w:t>100</w:t>
      </w:r>
      <w:r w:rsidRPr="007A6DD8">
        <w:rPr>
          <w:szCs w:val="24"/>
        </w:rPr>
        <w:t xml:space="preserve"> percent of the base salary</w:t>
      </w:r>
      <w:r w:rsidR="00357F3E">
        <w:rPr>
          <w:szCs w:val="24"/>
        </w:rPr>
        <w:t>, and rounded the numbers up to the next dollar amount where appropriate.</w:t>
      </w:r>
      <w:r>
        <w:rPr>
          <w:rStyle w:val="FootnoteReference"/>
          <w:szCs w:val="24"/>
        </w:rPr>
        <w:footnoteReference w:id="3"/>
      </w:r>
      <w:r w:rsidR="00357F3E">
        <w:rPr>
          <w:szCs w:val="24"/>
        </w:rPr>
        <w:t xml:space="preserve"> </w:t>
      </w:r>
      <w:r w:rsidRPr="007A6DD8">
        <w:rPr>
          <w:color w:val="000000"/>
        </w:rPr>
        <w:t xml:space="preserve">The salary estimates (including estimated fringe benefits and overhead at </w:t>
      </w:r>
      <w:r>
        <w:rPr>
          <w:color w:val="000000"/>
        </w:rPr>
        <w:t>100</w:t>
      </w:r>
      <w:r w:rsidRPr="007A6DD8">
        <w:rPr>
          <w:color w:val="000000"/>
        </w:rPr>
        <w:t>%) contained in this package are based on the following healthcare personnel:</w:t>
      </w:r>
    </w:p>
    <w:p w:rsidR="00643B3D" w:rsidRPr="007A6DD8" w:rsidP="00E753AE" w14:paraId="5E1A0924" w14:textId="41AD1A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7A6DD8">
        <w:rPr>
          <w:color w:val="000000"/>
        </w:rPr>
        <w:t>“Coordinator” refers to the BLS national estimates for Medical and Health Service Managers (11-9111)</w:t>
      </w:r>
      <w:r w:rsidRPr="007A6DD8" w:rsidR="0060007F">
        <w:rPr>
          <w:color w:val="000000"/>
        </w:rPr>
        <w:t xml:space="preserve">. </w:t>
      </w:r>
      <w:r w:rsidRPr="007A6DD8">
        <w:rPr>
          <w:color w:val="000000"/>
        </w:rPr>
        <w:t xml:space="preserve">The </w:t>
      </w:r>
      <w:r w:rsidR="003D53FF">
        <w:rPr>
          <w:color w:val="000000"/>
        </w:rPr>
        <w:t>median</w:t>
      </w:r>
      <w:r w:rsidRPr="007A6DD8">
        <w:rPr>
          <w:color w:val="000000"/>
        </w:rPr>
        <w:t xml:space="preserve"> wage is $</w:t>
      </w:r>
      <w:r w:rsidR="003D53FF">
        <w:rPr>
          <w:color w:val="000000"/>
        </w:rPr>
        <w:t>53.21</w:t>
      </w:r>
      <w:r w:rsidRPr="007A6DD8">
        <w:rPr>
          <w:color w:val="000000"/>
        </w:rPr>
        <w:t xml:space="preserve"> per hour</w:t>
      </w:r>
      <w:r w:rsidRPr="007A6DD8" w:rsidR="0060007F">
        <w:rPr>
          <w:color w:val="000000"/>
        </w:rPr>
        <w:t xml:space="preserve">. </w:t>
      </w:r>
      <w:r w:rsidRPr="007A6DD8">
        <w:rPr>
          <w:color w:val="000000"/>
        </w:rPr>
        <w:t>For purposes of this ICR, we use the figure $</w:t>
      </w:r>
      <w:r>
        <w:rPr>
          <w:color w:val="000000"/>
        </w:rPr>
        <w:t>1</w:t>
      </w:r>
      <w:r w:rsidR="003D53FF">
        <w:rPr>
          <w:color w:val="000000"/>
        </w:rPr>
        <w:t>06</w:t>
      </w:r>
      <w:r w:rsidRPr="007A6DD8">
        <w:rPr>
          <w:color w:val="000000"/>
        </w:rPr>
        <w:t xml:space="preserve"> per hour, representing the </w:t>
      </w:r>
      <w:r w:rsidR="003D53FF">
        <w:rPr>
          <w:color w:val="000000"/>
        </w:rPr>
        <w:t>median</w:t>
      </w:r>
      <w:r w:rsidRPr="007A6DD8">
        <w:rPr>
          <w:color w:val="000000"/>
        </w:rPr>
        <w:t xml:space="preserve"> wage plus fringe benefits and overhead</w:t>
      </w:r>
      <w:r w:rsidRPr="007A6DD8" w:rsidR="0060007F">
        <w:rPr>
          <w:color w:val="000000"/>
        </w:rPr>
        <w:t xml:space="preserve">. </w:t>
      </w:r>
    </w:p>
    <w:p w:rsidR="00643B3D" w:rsidRPr="007A6DD8" w:rsidP="00E753AE" w14:paraId="0F3CAC32" w14:textId="5D82BA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7A6DD8">
        <w:rPr>
          <w:color w:val="000000"/>
        </w:rPr>
        <w:t xml:space="preserve">The “Physician” salary refers to the BLS national estimates for </w:t>
      </w:r>
      <w:r w:rsidR="00357F3E">
        <w:rPr>
          <w:color w:val="000000"/>
        </w:rPr>
        <w:t>Physicians</w:t>
      </w:r>
      <w:r w:rsidR="003D53FF">
        <w:rPr>
          <w:color w:val="000000"/>
        </w:rPr>
        <w:t xml:space="preserve">, Other (29-1229) </w:t>
      </w:r>
      <w:r w:rsidR="00357F3E">
        <w:rPr>
          <w:color w:val="000000"/>
        </w:rPr>
        <w:t xml:space="preserve">as the medical staff at CAHs include physicians that are general Internists, surgeons, and other specialists. </w:t>
      </w:r>
      <w:r w:rsidRPr="007A6DD8">
        <w:rPr>
          <w:color w:val="000000"/>
        </w:rPr>
        <w:t xml:space="preserve">The </w:t>
      </w:r>
      <w:r w:rsidR="003D53FF">
        <w:rPr>
          <w:color w:val="000000"/>
        </w:rPr>
        <w:t>median</w:t>
      </w:r>
      <w:r w:rsidRPr="007A6DD8">
        <w:rPr>
          <w:color w:val="000000"/>
        </w:rPr>
        <w:t xml:space="preserve"> wage is equal to or greater than $</w:t>
      </w:r>
      <w:r w:rsidR="003D53FF">
        <w:rPr>
          <w:color w:val="000000"/>
        </w:rPr>
        <w:t>113.46</w:t>
      </w:r>
      <w:r w:rsidRPr="007A6DD8">
        <w:rPr>
          <w:color w:val="000000"/>
        </w:rPr>
        <w:t xml:space="preserve"> per hour</w:t>
      </w:r>
      <w:r w:rsidR="0060007F">
        <w:rPr>
          <w:color w:val="000000"/>
        </w:rPr>
        <w:t>.</w:t>
      </w:r>
      <w:r w:rsidRPr="007A6DD8" w:rsidR="0060007F">
        <w:rPr>
          <w:color w:val="000000"/>
        </w:rPr>
        <w:t xml:space="preserve"> </w:t>
      </w:r>
      <w:r w:rsidRPr="007A6DD8">
        <w:rPr>
          <w:color w:val="000000"/>
        </w:rPr>
        <w:t>For purposes of this ICR, we use the figure $</w:t>
      </w:r>
      <w:r w:rsidR="003D53FF">
        <w:rPr>
          <w:color w:val="000000"/>
        </w:rPr>
        <w:t>227</w:t>
      </w:r>
      <w:r w:rsidRPr="007A6DD8">
        <w:rPr>
          <w:color w:val="000000"/>
        </w:rPr>
        <w:t xml:space="preserve"> per hour, representing the </w:t>
      </w:r>
      <w:r w:rsidR="003D53FF">
        <w:rPr>
          <w:color w:val="000000"/>
        </w:rPr>
        <w:t>median</w:t>
      </w:r>
      <w:r w:rsidRPr="007A6DD8">
        <w:rPr>
          <w:color w:val="000000"/>
        </w:rPr>
        <w:t xml:space="preserve"> wage plus fringe benefits and overhead</w:t>
      </w:r>
      <w:r w:rsidRPr="007A6DD8" w:rsidR="0060007F">
        <w:rPr>
          <w:color w:val="000000"/>
        </w:rPr>
        <w:t xml:space="preserve">. </w:t>
      </w:r>
    </w:p>
    <w:p w:rsidR="006D28A0" w:rsidRPr="007A6DD8" w:rsidP="00E753AE" w14:paraId="27550DD0" w14:textId="3044872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7A6DD8">
        <w:rPr>
          <w:color w:val="000000"/>
        </w:rPr>
        <w:t>“Clinician</w:t>
      </w:r>
      <w:r w:rsidR="00643B3D">
        <w:rPr>
          <w:color w:val="000000"/>
        </w:rPr>
        <w:t xml:space="preserve"> or Clinical Nurse Specialist</w:t>
      </w:r>
      <w:r w:rsidRPr="007A6DD8">
        <w:rPr>
          <w:color w:val="000000"/>
        </w:rPr>
        <w:t>” refers to the BLS national estimates for a Registered Nurse (29-1141)</w:t>
      </w:r>
      <w:r w:rsidRPr="007A6DD8" w:rsidR="0060007F">
        <w:rPr>
          <w:color w:val="000000"/>
        </w:rPr>
        <w:t xml:space="preserve">. </w:t>
      </w:r>
      <w:r w:rsidRPr="007A6DD8">
        <w:rPr>
          <w:color w:val="000000"/>
        </w:rPr>
        <w:t xml:space="preserve">The </w:t>
      </w:r>
      <w:r w:rsidR="003D53FF">
        <w:rPr>
          <w:color w:val="000000"/>
        </w:rPr>
        <w:t>median</w:t>
      </w:r>
      <w:r w:rsidRPr="007A6DD8">
        <w:rPr>
          <w:color w:val="000000"/>
        </w:rPr>
        <w:t xml:space="preserve"> wage is $</w:t>
      </w:r>
      <w:r w:rsidR="003D53FF">
        <w:rPr>
          <w:color w:val="000000"/>
        </w:rPr>
        <w:t>41.38</w:t>
      </w:r>
      <w:r w:rsidRPr="007A6DD8">
        <w:rPr>
          <w:color w:val="000000"/>
        </w:rPr>
        <w:t xml:space="preserve"> per hour</w:t>
      </w:r>
      <w:r w:rsidRPr="007A6DD8" w:rsidR="0060007F">
        <w:rPr>
          <w:color w:val="000000"/>
        </w:rPr>
        <w:t xml:space="preserve">. </w:t>
      </w:r>
      <w:r w:rsidRPr="007A6DD8">
        <w:rPr>
          <w:color w:val="000000"/>
        </w:rPr>
        <w:t>For purposes of this ICR, we use the figure $</w:t>
      </w:r>
      <w:r w:rsidR="003D53FF">
        <w:rPr>
          <w:color w:val="000000"/>
        </w:rPr>
        <w:t>83</w:t>
      </w:r>
      <w:r w:rsidRPr="007A6DD8">
        <w:rPr>
          <w:color w:val="000000"/>
        </w:rPr>
        <w:t xml:space="preserve"> per hour, representing the </w:t>
      </w:r>
      <w:r w:rsidR="003D53FF">
        <w:rPr>
          <w:color w:val="000000"/>
        </w:rPr>
        <w:t>median</w:t>
      </w:r>
      <w:r w:rsidRPr="007A6DD8">
        <w:rPr>
          <w:color w:val="000000"/>
        </w:rPr>
        <w:t xml:space="preserve"> wage plus fringe benefits and overhead. </w:t>
      </w:r>
    </w:p>
    <w:p w:rsidR="006D28A0" w:rsidRPr="007A6DD8" w:rsidP="00E753AE" w14:paraId="695C2C35" w14:textId="0727195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7A6DD8">
        <w:rPr>
          <w:color w:val="000000"/>
        </w:rPr>
        <w:t>“Records technician” refers to the BLS national estimates for Medical Records and Health Information Technicians (29-207</w:t>
      </w:r>
      <w:r w:rsidR="003D53FF">
        <w:rPr>
          <w:color w:val="000000"/>
        </w:rPr>
        <w:t>2</w:t>
      </w:r>
      <w:r w:rsidRPr="007A6DD8">
        <w:rPr>
          <w:color w:val="000000"/>
        </w:rPr>
        <w:t>)</w:t>
      </w:r>
      <w:r w:rsidRPr="007A6DD8" w:rsidR="0060007F">
        <w:rPr>
          <w:color w:val="000000"/>
        </w:rPr>
        <w:t xml:space="preserve">. </w:t>
      </w:r>
      <w:r w:rsidRPr="007A6DD8">
        <w:rPr>
          <w:color w:val="000000"/>
        </w:rPr>
        <w:t xml:space="preserve">The </w:t>
      </w:r>
      <w:r w:rsidR="003D53FF">
        <w:rPr>
          <w:color w:val="000000"/>
        </w:rPr>
        <w:t>median</w:t>
      </w:r>
      <w:r w:rsidRPr="007A6DD8">
        <w:rPr>
          <w:color w:val="000000"/>
        </w:rPr>
        <w:t xml:space="preserve"> wage is $</w:t>
      </w:r>
      <w:r w:rsidRPr="00C1282F">
        <w:rPr>
          <w:color w:val="000000"/>
        </w:rPr>
        <w:t>2</w:t>
      </w:r>
      <w:r w:rsidR="003D53FF">
        <w:rPr>
          <w:color w:val="000000"/>
        </w:rPr>
        <w:t>3.45</w:t>
      </w:r>
      <w:r w:rsidRPr="007A6DD8">
        <w:rPr>
          <w:color w:val="000000"/>
        </w:rPr>
        <w:t xml:space="preserve"> per hour. For purposes of this ICR, we use the figure $</w:t>
      </w:r>
      <w:r w:rsidR="003D53FF">
        <w:rPr>
          <w:color w:val="000000"/>
        </w:rPr>
        <w:t>47</w:t>
      </w:r>
      <w:r w:rsidRPr="007A6DD8">
        <w:rPr>
          <w:color w:val="000000"/>
        </w:rPr>
        <w:t xml:space="preserve"> per hour, representing the </w:t>
      </w:r>
      <w:r w:rsidR="003D53FF">
        <w:rPr>
          <w:color w:val="000000"/>
        </w:rPr>
        <w:t>median</w:t>
      </w:r>
      <w:r w:rsidRPr="007A6DD8">
        <w:rPr>
          <w:color w:val="000000"/>
        </w:rPr>
        <w:t xml:space="preserve"> wage plus fringe benefits and overhead</w:t>
      </w:r>
      <w:r w:rsidRPr="007A6DD8" w:rsidR="0060007F">
        <w:rPr>
          <w:color w:val="000000"/>
        </w:rPr>
        <w:t xml:space="preserve">. </w:t>
      </w:r>
    </w:p>
    <w:p w:rsidR="003D53FF" w:rsidP="00E753AE" w14:paraId="4C91D02E" w14:textId="05062A0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7A6DD8">
        <w:rPr>
          <w:color w:val="000000"/>
        </w:rPr>
        <w:t xml:space="preserve">“Clerical person” refers to the BLS national estimates for Healthcare Support Workers, all healthcare workers not listed separately (31-9099). The </w:t>
      </w:r>
      <w:r>
        <w:rPr>
          <w:color w:val="000000"/>
        </w:rPr>
        <w:t>median</w:t>
      </w:r>
      <w:r w:rsidRPr="007A6DD8">
        <w:rPr>
          <w:color w:val="000000"/>
        </w:rPr>
        <w:t xml:space="preserve"> wage is $</w:t>
      </w:r>
      <w:r>
        <w:rPr>
          <w:color w:val="000000"/>
        </w:rPr>
        <w:t>21.39</w:t>
      </w:r>
      <w:r w:rsidRPr="007A6DD8">
        <w:rPr>
          <w:color w:val="000000"/>
        </w:rPr>
        <w:t xml:space="preserve"> per hour. For purposes of this ICR, we use the figure $</w:t>
      </w:r>
      <w:r>
        <w:rPr>
          <w:color w:val="000000"/>
        </w:rPr>
        <w:t>43</w:t>
      </w:r>
      <w:r w:rsidRPr="007A6DD8">
        <w:rPr>
          <w:color w:val="000000"/>
        </w:rPr>
        <w:t xml:space="preserve"> per hour, representing the </w:t>
      </w:r>
      <w:r>
        <w:rPr>
          <w:color w:val="000000"/>
        </w:rPr>
        <w:t>median</w:t>
      </w:r>
      <w:r w:rsidRPr="007A6DD8">
        <w:rPr>
          <w:color w:val="000000"/>
        </w:rPr>
        <w:t xml:space="preserve"> wage plus fringe benefits and overhead. </w:t>
      </w:r>
    </w:p>
    <w:p w:rsidR="001C7F3F" w:rsidRPr="001C7F3F" w:rsidP="00DF2D09" w14:paraId="71E198F6" w14:textId="067EE18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
          <w:bCs/>
          <w:color w:val="000000"/>
          <w:sz w:val="28"/>
          <w:szCs w:val="28"/>
        </w:rPr>
      </w:pPr>
      <w:r w:rsidRPr="001C7F3F">
        <w:rPr>
          <w:b/>
          <w:bCs/>
          <w:color w:val="000000"/>
          <w:sz w:val="28"/>
          <w:szCs w:val="28"/>
        </w:rPr>
        <w:t xml:space="preserve">Table 2: </w:t>
      </w:r>
      <w:r w:rsidRPr="001C7F3F">
        <w:rPr>
          <w:b/>
          <w:bCs/>
          <w:color w:val="000000"/>
          <w:sz w:val="28"/>
          <w:szCs w:val="28"/>
        </w:rPr>
        <w:t>May 2023 Bureau of Labor Statistics Wage Data</w:t>
      </w:r>
      <w:r>
        <w:rPr>
          <w:rStyle w:val="FootnoteReference"/>
          <w:b/>
          <w:bCs/>
          <w:color w:val="000000"/>
          <w:sz w:val="28"/>
          <w:szCs w:val="28"/>
        </w:rPr>
        <w:footnoteReference w:id="4"/>
      </w:r>
    </w:p>
    <w:tbl>
      <w:tblPr>
        <w:tblW w:w="9625" w:type="dxa"/>
        <w:tblLook w:val="04A0"/>
      </w:tblPr>
      <w:tblGrid>
        <w:gridCol w:w="3145"/>
        <w:gridCol w:w="1080"/>
        <w:gridCol w:w="938"/>
        <w:gridCol w:w="1194"/>
        <w:gridCol w:w="3268"/>
      </w:tblGrid>
      <w:tr w14:paraId="79E6813B" w14:textId="77777777" w:rsidTr="00697484">
        <w:tblPrEx>
          <w:tblW w:w="9625" w:type="dxa"/>
          <w:tblLook w:val="04A0"/>
        </w:tblPrEx>
        <w:trPr>
          <w:trHeight w:val="614"/>
        </w:trPr>
        <w:tc>
          <w:tcPr>
            <w:tcW w:w="314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E753AE" w:rsidRPr="00697484" w:rsidP="00E753AE" w14:paraId="70A5EF63" w14:textId="77777777">
            <w:pPr>
              <w:jc w:val="center"/>
              <w:rPr>
                <w:b/>
                <w:bCs/>
                <w:color w:val="000000"/>
                <w:sz w:val="22"/>
                <w:szCs w:val="22"/>
              </w:rPr>
            </w:pPr>
            <w:r w:rsidRPr="00697484">
              <w:rPr>
                <w:b/>
                <w:bCs/>
                <w:color w:val="000000"/>
                <w:sz w:val="22"/>
                <w:szCs w:val="22"/>
              </w:rPr>
              <w:t>Personnel</w:t>
            </w:r>
          </w:p>
        </w:tc>
        <w:tc>
          <w:tcPr>
            <w:tcW w:w="1080" w:type="dxa"/>
            <w:tcBorders>
              <w:top w:val="single" w:sz="4" w:space="0" w:color="000000"/>
              <w:left w:val="nil"/>
              <w:bottom w:val="single" w:sz="4" w:space="0" w:color="000000"/>
              <w:right w:val="single" w:sz="4" w:space="0" w:color="000000"/>
            </w:tcBorders>
            <w:shd w:val="clear" w:color="D9D9D9" w:fill="D9D9D9"/>
            <w:noWrap/>
            <w:vAlign w:val="bottom"/>
            <w:hideMark/>
          </w:tcPr>
          <w:p w:rsidR="00E753AE" w:rsidRPr="00697484" w:rsidP="00E753AE" w14:paraId="28DD9AC8" w14:textId="77777777">
            <w:pPr>
              <w:jc w:val="center"/>
              <w:rPr>
                <w:b/>
                <w:bCs/>
                <w:color w:val="000000"/>
                <w:sz w:val="22"/>
                <w:szCs w:val="22"/>
              </w:rPr>
            </w:pPr>
            <w:r w:rsidRPr="00697484">
              <w:rPr>
                <w:b/>
                <w:bCs/>
                <w:color w:val="000000"/>
                <w:sz w:val="22"/>
                <w:szCs w:val="22"/>
              </w:rPr>
              <w:t>Labor Code</w:t>
            </w:r>
          </w:p>
        </w:tc>
        <w:tc>
          <w:tcPr>
            <w:tcW w:w="938" w:type="dxa"/>
            <w:tcBorders>
              <w:top w:val="single" w:sz="4" w:space="0" w:color="000000"/>
              <w:left w:val="nil"/>
              <w:bottom w:val="single" w:sz="4" w:space="0" w:color="000000"/>
              <w:right w:val="single" w:sz="4" w:space="0" w:color="000000"/>
            </w:tcBorders>
            <w:shd w:val="clear" w:color="D9D9D9" w:fill="D9D9D9"/>
            <w:vAlign w:val="center"/>
            <w:hideMark/>
          </w:tcPr>
          <w:p w:rsidR="00E753AE" w:rsidRPr="00697484" w:rsidP="00E753AE" w14:paraId="5887C132" w14:textId="1B2BDFB4">
            <w:pPr>
              <w:jc w:val="center"/>
              <w:rPr>
                <w:b/>
                <w:bCs/>
                <w:color w:val="000000"/>
                <w:sz w:val="22"/>
                <w:szCs w:val="22"/>
              </w:rPr>
            </w:pPr>
            <w:r w:rsidRPr="00697484">
              <w:rPr>
                <w:b/>
                <w:bCs/>
                <w:color w:val="000000"/>
                <w:sz w:val="22"/>
                <w:szCs w:val="22"/>
              </w:rPr>
              <w:t>Median</w:t>
            </w:r>
            <w:r w:rsidRPr="00697484">
              <w:rPr>
                <w:b/>
                <w:bCs/>
                <w:color w:val="000000"/>
                <w:sz w:val="22"/>
                <w:szCs w:val="22"/>
              </w:rPr>
              <w:t xml:space="preserve"> Hourly Wage</w:t>
            </w:r>
          </w:p>
        </w:tc>
        <w:tc>
          <w:tcPr>
            <w:tcW w:w="1194" w:type="dxa"/>
            <w:tcBorders>
              <w:top w:val="single" w:sz="4" w:space="0" w:color="000000"/>
              <w:left w:val="nil"/>
              <w:bottom w:val="single" w:sz="4" w:space="0" w:color="000000"/>
              <w:right w:val="single" w:sz="4" w:space="0" w:color="000000"/>
            </w:tcBorders>
            <w:shd w:val="clear" w:color="D9D9D9" w:fill="D9D9D9"/>
            <w:vAlign w:val="bottom"/>
            <w:hideMark/>
          </w:tcPr>
          <w:p w:rsidR="00E753AE" w:rsidRPr="00697484" w:rsidP="00E753AE" w14:paraId="08C89D39" w14:textId="77777777">
            <w:pPr>
              <w:jc w:val="center"/>
              <w:rPr>
                <w:b/>
                <w:bCs/>
                <w:color w:val="000000"/>
                <w:sz w:val="22"/>
                <w:szCs w:val="22"/>
              </w:rPr>
            </w:pPr>
            <w:r w:rsidRPr="00697484">
              <w:rPr>
                <w:b/>
                <w:bCs/>
                <w:color w:val="000000"/>
                <w:sz w:val="22"/>
                <w:szCs w:val="22"/>
              </w:rPr>
              <w:t>Hourly</w:t>
            </w:r>
          </w:p>
          <w:p w:rsidR="00E753AE" w:rsidRPr="00697484" w:rsidP="00E753AE" w14:paraId="6B0B937F" w14:textId="5F638A97">
            <w:pPr>
              <w:jc w:val="center"/>
              <w:rPr>
                <w:b/>
                <w:bCs/>
                <w:color w:val="000000"/>
                <w:sz w:val="22"/>
                <w:szCs w:val="22"/>
              </w:rPr>
            </w:pPr>
            <w:r w:rsidRPr="00697484">
              <w:rPr>
                <w:b/>
                <w:bCs/>
                <w:color w:val="000000"/>
                <w:sz w:val="22"/>
                <w:szCs w:val="22"/>
              </w:rPr>
              <w:t>Wages w/Benefits</w:t>
            </w:r>
          </w:p>
        </w:tc>
        <w:tc>
          <w:tcPr>
            <w:tcW w:w="3268" w:type="dxa"/>
            <w:tcBorders>
              <w:top w:val="single" w:sz="4" w:space="0" w:color="auto"/>
              <w:left w:val="nil"/>
              <w:bottom w:val="single" w:sz="4" w:space="0" w:color="auto"/>
              <w:right w:val="single" w:sz="4" w:space="0" w:color="auto"/>
            </w:tcBorders>
            <w:shd w:val="clear" w:color="D9D9D9" w:fill="D9D9D9"/>
            <w:noWrap/>
            <w:vAlign w:val="bottom"/>
            <w:hideMark/>
          </w:tcPr>
          <w:p w:rsidR="00E753AE" w:rsidRPr="00697484" w:rsidP="00E753AE" w14:paraId="36266467" w14:textId="77777777">
            <w:pPr>
              <w:jc w:val="center"/>
              <w:rPr>
                <w:b/>
                <w:bCs/>
                <w:color w:val="000000"/>
                <w:sz w:val="22"/>
                <w:szCs w:val="22"/>
              </w:rPr>
            </w:pPr>
            <w:r w:rsidRPr="00697484">
              <w:rPr>
                <w:b/>
                <w:bCs/>
                <w:color w:val="000000"/>
                <w:sz w:val="22"/>
                <w:szCs w:val="22"/>
              </w:rPr>
              <w:t>BLS Labor Title</w:t>
            </w:r>
          </w:p>
        </w:tc>
      </w:tr>
      <w:tr w14:paraId="74FE5F63" w14:textId="77777777" w:rsidTr="00697484">
        <w:tblPrEx>
          <w:tblW w:w="9625" w:type="dxa"/>
          <w:tblLook w:val="04A0"/>
        </w:tblPrEx>
        <w:trPr>
          <w:trHeight w:val="317"/>
        </w:trPr>
        <w:tc>
          <w:tcPr>
            <w:tcW w:w="3145" w:type="dxa"/>
            <w:tcBorders>
              <w:top w:val="nil"/>
              <w:left w:val="single" w:sz="4" w:space="0" w:color="000000"/>
              <w:bottom w:val="single" w:sz="4" w:space="0" w:color="000000"/>
              <w:right w:val="single" w:sz="4" w:space="0" w:color="000000"/>
            </w:tcBorders>
            <w:shd w:val="clear" w:color="auto" w:fill="auto"/>
            <w:noWrap/>
            <w:vAlign w:val="center"/>
            <w:hideMark/>
          </w:tcPr>
          <w:p w:rsidR="003D53FF" w:rsidRPr="00697484" w:rsidP="003D53FF" w14:paraId="0E7BD0A8" w14:textId="77777777">
            <w:pPr>
              <w:rPr>
                <w:color w:val="000000"/>
                <w:sz w:val="22"/>
                <w:szCs w:val="22"/>
              </w:rPr>
            </w:pPr>
            <w:r w:rsidRPr="00697484">
              <w:rPr>
                <w:color w:val="000000"/>
                <w:sz w:val="22"/>
                <w:szCs w:val="22"/>
              </w:rPr>
              <w:t>COORDINATOR</w:t>
            </w:r>
          </w:p>
        </w:tc>
        <w:tc>
          <w:tcPr>
            <w:tcW w:w="1080"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3F00827D" w14:textId="77777777">
            <w:pPr>
              <w:jc w:val="center"/>
              <w:rPr>
                <w:sz w:val="22"/>
                <w:szCs w:val="22"/>
              </w:rPr>
            </w:pPr>
            <w:r w:rsidRPr="00697484">
              <w:rPr>
                <w:sz w:val="22"/>
                <w:szCs w:val="22"/>
              </w:rPr>
              <w:t>11-9111</w:t>
            </w:r>
          </w:p>
        </w:tc>
        <w:tc>
          <w:tcPr>
            <w:tcW w:w="938"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119ADDDD" w14:textId="13CB019D">
            <w:pPr>
              <w:jc w:val="center"/>
              <w:rPr>
                <w:sz w:val="22"/>
                <w:szCs w:val="22"/>
              </w:rPr>
            </w:pPr>
            <w:r w:rsidRPr="00697484">
              <w:rPr>
                <w:sz w:val="22"/>
                <w:szCs w:val="22"/>
              </w:rPr>
              <w:t xml:space="preserve">$53.21 </w:t>
            </w:r>
          </w:p>
        </w:tc>
        <w:tc>
          <w:tcPr>
            <w:tcW w:w="1194"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7D3E22B3" w14:textId="047306D2">
            <w:pPr>
              <w:jc w:val="center"/>
              <w:rPr>
                <w:b/>
                <w:bCs/>
                <w:color w:val="000000"/>
                <w:sz w:val="22"/>
                <w:szCs w:val="22"/>
              </w:rPr>
            </w:pPr>
            <w:r w:rsidRPr="00697484">
              <w:rPr>
                <w:b/>
                <w:bCs/>
                <w:color w:val="000000"/>
                <w:sz w:val="22"/>
                <w:szCs w:val="22"/>
              </w:rPr>
              <w:t>$106</w:t>
            </w:r>
          </w:p>
        </w:tc>
        <w:tc>
          <w:tcPr>
            <w:tcW w:w="3268" w:type="dxa"/>
            <w:tcBorders>
              <w:top w:val="nil"/>
              <w:left w:val="nil"/>
              <w:bottom w:val="single" w:sz="4" w:space="0" w:color="auto"/>
              <w:right w:val="single" w:sz="4" w:space="0" w:color="auto"/>
            </w:tcBorders>
            <w:shd w:val="clear" w:color="auto" w:fill="auto"/>
            <w:noWrap/>
            <w:vAlign w:val="bottom"/>
            <w:hideMark/>
          </w:tcPr>
          <w:p w:rsidR="003D53FF" w:rsidRPr="00697484" w:rsidP="003D53FF" w14:paraId="53C62ECD" w14:textId="77777777">
            <w:pPr>
              <w:rPr>
                <w:color w:val="000000"/>
                <w:sz w:val="22"/>
                <w:szCs w:val="22"/>
              </w:rPr>
            </w:pPr>
            <w:r w:rsidRPr="00697484">
              <w:rPr>
                <w:color w:val="000000"/>
                <w:sz w:val="22"/>
                <w:szCs w:val="22"/>
              </w:rPr>
              <w:t>Medical and Health Services Manager</w:t>
            </w:r>
          </w:p>
        </w:tc>
      </w:tr>
      <w:tr w14:paraId="2731F65F" w14:textId="77777777" w:rsidTr="00697484">
        <w:tblPrEx>
          <w:tblW w:w="9625" w:type="dxa"/>
          <w:tblLook w:val="04A0"/>
        </w:tblPrEx>
        <w:trPr>
          <w:trHeight w:val="317"/>
        </w:trPr>
        <w:tc>
          <w:tcPr>
            <w:tcW w:w="3145" w:type="dxa"/>
            <w:tcBorders>
              <w:top w:val="nil"/>
              <w:left w:val="single" w:sz="4" w:space="0" w:color="000000"/>
              <w:bottom w:val="single" w:sz="4" w:space="0" w:color="000000"/>
              <w:right w:val="single" w:sz="4" w:space="0" w:color="000000"/>
            </w:tcBorders>
            <w:shd w:val="clear" w:color="auto" w:fill="auto"/>
            <w:noWrap/>
            <w:vAlign w:val="center"/>
            <w:hideMark/>
          </w:tcPr>
          <w:p w:rsidR="003D53FF" w:rsidRPr="00697484" w:rsidP="003D53FF" w14:paraId="5D9E4EE7" w14:textId="77777777">
            <w:pPr>
              <w:rPr>
                <w:color w:val="000000"/>
                <w:sz w:val="22"/>
                <w:szCs w:val="22"/>
              </w:rPr>
            </w:pPr>
            <w:r w:rsidRPr="00697484">
              <w:rPr>
                <w:color w:val="000000"/>
                <w:sz w:val="22"/>
                <w:szCs w:val="22"/>
              </w:rPr>
              <w:t>PHYSICIAN</w:t>
            </w:r>
          </w:p>
        </w:tc>
        <w:tc>
          <w:tcPr>
            <w:tcW w:w="1080"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1D45CA2A" w14:textId="7B77DAAF">
            <w:pPr>
              <w:jc w:val="center"/>
              <w:rPr>
                <w:sz w:val="22"/>
                <w:szCs w:val="22"/>
              </w:rPr>
            </w:pPr>
            <w:r w:rsidRPr="00697484">
              <w:rPr>
                <w:sz w:val="22"/>
                <w:szCs w:val="22"/>
              </w:rPr>
              <w:t>29-1229</w:t>
            </w:r>
          </w:p>
        </w:tc>
        <w:tc>
          <w:tcPr>
            <w:tcW w:w="938"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1969635C" w14:textId="6DA2F6DF">
            <w:pPr>
              <w:jc w:val="center"/>
              <w:rPr>
                <w:sz w:val="22"/>
                <w:szCs w:val="22"/>
              </w:rPr>
            </w:pPr>
            <w:r w:rsidRPr="00697484">
              <w:rPr>
                <w:sz w:val="22"/>
                <w:szCs w:val="22"/>
              </w:rPr>
              <w:t xml:space="preserve">$113.46 </w:t>
            </w:r>
          </w:p>
        </w:tc>
        <w:tc>
          <w:tcPr>
            <w:tcW w:w="1194"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7B157970" w14:textId="4AAD7406">
            <w:pPr>
              <w:jc w:val="center"/>
              <w:rPr>
                <w:b/>
                <w:bCs/>
                <w:color w:val="000000"/>
                <w:sz w:val="22"/>
                <w:szCs w:val="22"/>
              </w:rPr>
            </w:pPr>
            <w:r w:rsidRPr="00697484">
              <w:rPr>
                <w:b/>
                <w:bCs/>
                <w:color w:val="000000"/>
                <w:sz w:val="22"/>
                <w:szCs w:val="22"/>
              </w:rPr>
              <w:t>$227</w:t>
            </w:r>
          </w:p>
        </w:tc>
        <w:tc>
          <w:tcPr>
            <w:tcW w:w="3268" w:type="dxa"/>
            <w:tcBorders>
              <w:top w:val="nil"/>
              <w:left w:val="nil"/>
              <w:bottom w:val="single" w:sz="4" w:space="0" w:color="auto"/>
              <w:right w:val="single" w:sz="4" w:space="0" w:color="auto"/>
            </w:tcBorders>
            <w:shd w:val="clear" w:color="auto" w:fill="auto"/>
            <w:noWrap/>
            <w:vAlign w:val="bottom"/>
            <w:hideMark/>
          </w:tcPr>
          <w:p w:rsidR="003D53FF" w:rsidRPr="00697484" w:rsidP="003D53FF" w14:paraId="01E0C6A9" w14:textId="79F300AA">
            <w:pPr>
              <w:rPr>
                <w:color w:val="000000"/>
                <w:sz w:val="22"/>
                <w:szCs w:val="22"/>
              </w:rPr>
            </w:pPr>
            <w:r w:rsidRPr="00697484">
              <w:rPr>
                <w:color w:val="000000"/>
                <w:sz w:val="22"/>
                <w:szCs w:val="22"/>
              </w:rPr>
              <w:t>Physicians, Other</w:t>
            </w:r>
          </w:p>
        </w:tc>
      </w:tr>
      <w:tr w14:paraId="34A7E36A" w14:textId="77777777" w:rsidTr="00697484">
        <w:tblPrEx>
          <w:tblW w:w="9625" w:type="dxa"/>
          <w:tblLook w:val="04A0"/>
        </w:tblPrEx>
        <w:trPr>
          <w:trHeight w:val="317"/>
        </w:trPr>
        <w:tc>
          <w:tcPr>
            <w:tcW w:w="3145" w:type="dxa"/>
            <w:tcBorders>
              <w:top w:val="nil"/>
              <w:left w:val="single" w:sz="4" w:space="0" w:color="000000"/>
              <w:bottom w:val="single" w:sz="4" w:space="0" w:color="000000"/>
              <w:right w:val="single" w:sz="4" w:space="0" w:color="000000"/>
            </w:tcBorders>
            <w:shd w:val="clear" w:color="auto" w:fill="auto"/>
            <w:noWrap/>
            <w:vAlign w:val="center"/>
            <w:hideMark/>
          </w:tcPr>
          <w:p w:rsidR="003D53FF" w:rsidRPr="00697484" w:rsidP="003D53FF" w14:paraId="51F8B34F" w14:textId="77777777">
            <w:pPr>
              <w:rPr>
                <w:color w:val="000000"/>
                <w:sz w:val="22"/>
                <w:szCs w:val="22"/>
              </w:rPr>
            </w:pPr>
            <w:r w:rsidRPr="00697484">
              <w:rPr>
                <w:color w:val="000000"/>
                <w:sz w:val="22"/>
                <w:szCs w:val="22"/>
              </w:rPr>
              <w:t>CLINICIAN/CLINICIAN NURSE SPECIALIST</w:t>
            </w:r>
          </w:p>
        </w:tc>
        <w:tc>
          <w:tcPr>
            <w:tcW w:w="1080"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4D03C570" w14:textId="77777777">
            <w:pPr>
              <w:jc w:val="center"/>
              <w:rPr>
                <w:sz w:val="22"/>
                <w:szCs w:val="22"/>
              </w:rPr>
            </w:pPr>
            <w:r w:rsidRPr="00697484">
              <w:rPr>
                <w:sz w:val="22"/>
                <w:szCs w:val="22"/>
              </w:rPr>
              <w:t>29-1141</w:t>
            </w:r>
          </w:p>
        </w:tc>
        <w:tc>
          <w:tcPr>
            <w:tcW w:w="938"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24BA32DB" w14:textId="54F140F5">
            <w:pPr>
              <w:jc w:val="center"/>
              <w:rPr>
                <w:sz w:val="22"/>
                <w:szCs w:val="22"/>
              </w:rPr>
            </w:pPr>
            <w:r w:rsidRPr="00697484">
              <w:rPr>
                <w:sz w:val="22"/>
                <w:szCs w:val="22"/>
              </w:rPr>
              <w:t xml:space="preserve">$41.38 </w:t>
            </w:r>
          </w:p>
        </w:tc>
        <w:tc>
          <w:tcPr>
            <w:tcW w:w="1194"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163DB4E2" w14:textId="67A98413">
            <w:pPr>
              <w:jc w:val="center"/>
              <w:rPr>
                <w:b/>
                <w:bCs/>
                <w:color w:val="000000"/>
                <w:sz w:val="22"/>
                <w:szCs w:val="22"/>
              </w:rPr>
            </w:pPr>
            <w:r w:rsidRPr="00697484">
              <w:rPr>
                <w:b/>
                <w:bCs/>
                <w:color w:val="000000"/>
                <w:sz w:val="22"/>
                <w:szCs w:val="22"/>
              </w:rPr>
              <w:t>$83</w:t>
            </w:r>
          </w:p>
        </w:tc>
        <w:tc>
          <w:tcPr>
            <w:tcW w:w="3268" w:type="dxa"/>
            <w:tcBorders>
              <w:top w:val="nil"/>
              <w:left w:val="nil"/>
              <w:bottom w:val="single" w:sz="4" w:space="0" w:color="auto"/>
              <w:right w:val="single" w:sz="4" w:space="0" w:color="auto"/>
            </w:tcBorders>
            <w:shd w:val="clear" w:color="auto" w:fill="auto"/>
            <w:noWrap/>
            <w:vAlign w:val="bottom"/>
            <w:hideMark/>
          </w:tcPr>
          <w:p w:rsidR="003D53FF" w:rsidRPr="00697484" w:rsidP="003D53FF" w14:paraId="5850F3DA" w14:textId="77777777">
            <w:pPr>
              <w:rPr>
                <w:color w:val="000000"/>
                <w:sz w:val="22"/>
                <w:szCs w:val="22"/>
              </w:rPr>
            </w:pPr>
            <w:r w:rsidRPr="00697484">
              <w:rPr>
                <w:color w:val="000000"/>
                <w:sz w:val="22"/>
                <w:szCs w:val="22"/>
              </w:rPr>
              <w:t>Registered Nurse</w:t>
            </w:r>
          </w:p>
        </w:tc>
      </w:tr>
      <w:tr w14:paraId="52BC0D54" w14:textId="77777777" w:rsidTr="00697484">
        <w:tblPrEx>
          <w:tblW w:w="9625" w:type="dxa"/>
          <w:tblLook w:val="04A0"/>
        </w:tblPrEx>
        <w:trPr>
          <w:trHeight w:val="317"/>
        </w:trPr>
        <w:tc>
          <w:tcPr>
            <w:tcW w:w="3145" w:type="dxa"/>
            <w:tcBorders>
              <w:top w:val="nil"/>
              <w:left w:val="single" w:sz="4" w:space="0" w:color="000000"/>
              <w:bottom w:val="single" w:sz="4" w:space="0" w:color="000000"/>
              <w:right w:val="single" w:sz="4" w:space="0" w:color="000000"/>
            </w:tcBorders>
            <w:shd w:val="clear" w:color="auto" w:fill="auto"/>
            <w:noWrap/>
            <w:vAlign w:val="center"/>
            <w:hideMark/>
          </w:tcPr>
          <w:p w:rsidR="003D53FF" w:rsidRPr="00697484" w:rsidP="003D53FF" w14:paraId="64457127" w14:textId="77777777">
            <w:pPr>
              <w:rPr>
                <w:color w:val="000000"/>
                <w:sz w:val="22"/>
                <w:szCs w:val="22"/>
              </w:rPr>
            </w:pPr>
            <w:r w:rsidRPr="00697484">
              <w:rPr>
                <w:color w:val="000000"/>
                <w:sz w:val="22"/>
                <w:szCs w:val="22"/>
              </w:rPr>
              <w:t>RECORDS TECHNICIAN</w:t>
            </w:r>
          </w:p>
        </w:tc>
        <w:tc>
          <w:tcPr>
            <w:tcW w:w="1080"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5712BF02" w14:textId="77777777">
            <w:pPr>
              <w:jc w:val="center"/>
              <w:rPr>
                <w:sz w:val="22"/>
                <w:szCs w:val="22"/>
              </w:rPr>
            </w:pPr>
            <w:r w:rsidRPr="00697484">
              <w:rPr>
                <w:sz w:val="22"/>
                <w:szCs w:val="22"/>
              </w:rPr>
              <w:t>29-2072</w:t>
            </w:r>
          </w:p>
        </w:tc>
        <w:tc>
          <w:tcPr>
            <w:tcW w:w="938"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05368167" w14:textId="4202DBA4">
            <w:pPr>
              <w:jc w:val="center"/>
              <w:rPr>
                <w:sz w:val="22"/>
                <w:szCs w:val="22"/>
              </w:rPr>
            </w:pPr>
            <w:r w:rsidRPr="00697484">
              <w:rPr>
                <w:sz w:val="22"/>
                <w:szCs w:val="22"/>
              </w:rPr>
              <w:t xml:space="preserve">$23.45 </w:t>
            </w:r>
          </w:p>
        </w:tc>
        <w:tc>
          <w:tcPr>
            <w:tcW w:w="1194"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170EFF72" w14:textId="5B042437">
            <w:pPr>
              <w:jc w:val="center"/>
              <w:rPr>
                <w:b/>
                <w:bCs/>
                <w:color w:val="000000"/>
                <w:sz w:val="22"/>
                <w:szCs w:val="22"/>
              </w:rPr>
            </w:pPr>
            <w:r w:rsidRPr="00697484">
              <w:rPr>
                <w:b/>
                <w:bCs/>
                <w:color w:val="000000"/>
                <w:sz w:val="22"/>
                <w:szCs w:val="22"/>
              </w:rPr>
              <w:t>$47</w:t>
            </w:r>
          </w:p>
        </w:tc>
        <w:tc>
          <w:tcPr>
            <w:tcW w:w="3268" w:type="dxa"/>
            <w:tcBorders>
              <w:top w:val="nil"/>
              <w:left w:val="nil"/>
              <w:bottom w:val="single" w:sz="4" w:space="0" w:color="auto"/>
              <w:right w:val="single" w:sz="4" w:space="0" w:color="auto"/>
            </w:tcBorders>
            <w:shd w:val="clear" w:color="auto" w:fill="auto"/>
            <w:noWrap/>
            <w:vAlign w:val="bottom"/>
            <w:hideMark/>
          </w:tcPr>
          <w:p w:rsidR="003D53FF" w:rsidRPr="00697484" w:rsidP="003D53FF" w14:paraId="356A86A4" w14:textId="77777777">
            <w:pPr>
              <w:rPr>
                <w:color w:val="000000"/>
                <w:sz w:val="22"/>
                <w:szCs w:val="22"/>
              </w:rPr>
            </w:pPr>
            <w:r w:rsidRPr="00697484">
              <w:rPr>
                <w:color w:val="000000"/>
                <w:sz w:val="22"/>
                <w:szCs w:val="22"/>
              </w:rPr>
              <w:t>Medical Records Specialists</w:t>
            </w:r>
          </w:p>
        </w:tc>
      </w:tr>
      <w:tr w14:paraId="35D288A8" w14:textId="77777777" w:rsidTr="00697484">
        <w:tblPrEx>
          <w:tblW w:w="9625" w:type="dxa"/>
          <w:tblLook w:val="04A0"/>
        </w:tblPrEx>
        <w:trPr>
          <w:trHeight w:val="317"/>
        </w:trPr>
        <w:tc>
          <w:tcPr>
            <w:tcW w:w="3145" w:type="dxa"/>
            <w:tcBorders>
              <w:top w:val="nil"/>
              <w:left w:val="single" w:sz="4" w:space="0" w:color="000000"/>
              <w:bottom w:val="single" w:sz="4" w:space="0" w:color="000000"/>
              <w:right w:val="single" w:sz="4" w:space="0" w:color="000000"/>
            </w:tcBorders>
            <w:shd w:val="clear" w:color="auto" w:fill="auto"/>
            <w:noWrap/>
            <w:vAlign w:val="center"/>
            <w:hideMark/>
          </w:tcPr>
          <w:p w:rsidR="003D53FF" w:rsidRPr="00697484" w:rsidP="003D53FF" w14:paraId="135841DC" w14:textId="11231C48">
            <w:pPr>
              <w:rPr>
                <w:color w:val="000000"/>
                <w:sz w:val="22"/>
                <w:szCs w:val="22"/>
              </w:rPr>
            </w:pPr>
            <w:r w:rsidRPr="00697484">
              <w:rPr>
                <w:color w:val="000000"/>
                <w:sz w:val="22"/>
                <w:szCs w:val="22"/>
              </w:rPr>
              <w:t>MEDICAL SECRETARY/</w:t>
            </w:r>
            <w:r w:rsidRPr="00697484">
              <w:rPr>
                <w:color w:val="000000"/>
                <w:sz w:val="22"/>
                <w:szCs w:val="22"/>
              </w:rPr>
              <w:t>CLERICAL</w:t>
            </w:r>
          </w:p>
        </w:tc>
        <w:tc>
          <w:tcPr>
            <w:tcW w:w="1080"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3BE34F71" w14:textId="77777777">
            <w:pPr>
              <w:jc w:val="center"/>
              <w:rPr>
                <w:sz w:val="22"/>
                <w:szCs w:val="22"/>
              </w:rPr>
            </w:pPr>
            <w:r w:rsidRPr="00697484">
              <w:rPr>
                <w:sz w:val="22"/>
                <w:szCs w:val="22"/>
              </w:rPr>
              <w:t>31-9099</w:t>
            </w:r>
          </w:p>
        </w:tc>
        <w:tc>
          <w:tcPr>
            <w:tcW w:w="938"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1A6B7693" w14:textId="74647C57">
            <w:pPr>
              <w:jc w:val="center"/>
              <w:rPr>
                <w:sz w:val="22"/>
                <w:szCs w:val="22"/>
              </w:rPr>
            </w:pPr>
            <w:r w:rsidRPr="00697484">
              <w:rPr>
                <w:sz w:val="22"/>
                <w:szCs w:val="22"/>
              </w:rPr>
              <w:t xml:space="preserve">$21.39 </w:t>
            </w:r>
          </w:p>
        </w:tc>
        <w:tc>
          <w:tcPr>
            <w:tcW w:w="1194"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27B094AF" w14:textId="65EFE8D0">
            <w:pPr>
              <w:jc w:val="center"/>
              <w:rPr>
                <w:b/>
                <w:bCs/>
                <w:color w:val="000000"/>
                <w:sz w:val="22"/>
                <w:szCs w:val="22"/>
              </w:rPr>
            </w:pPr>
            <w:r w:rsidRPr="00697484">
              <w:rPr>
                <w:b/>
                <w:bCs/>
                <w:color w:val="000000"/>
                <w:sz w:val="22"/>
                <w:szCs w:val="22"/>
              </w:rPr>
              <w:t>$43</w:t>
            </w:r>
          </w:p>
        </w:tc>
        <w:tc>
          <w:tcPr>
            <w:tcW w:w="3268"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3C44C8A7" w14:textId="77777777">
            <w:pPr>
              <w:rPr>
                <w:color w:val="000000"/>
                <w:sz w:val="22"/>
                <w:szCs w:val="22"/>
              </w:rPr>
            </w:pPr>
            <w:r w:rsidRPr="00697484">
              <w:rPr>
                <w:color w:val="000000"/>
                <w:sz w:val="22"/>
                <w:szCs w:val="22"/>
              </w:rPr>
              <w:t>Healthcare Support Workers, Other</w:t>
            </w:r>
          </w:p>
        </w:tc>
      </w:tr>
      <w:tr w14:paraId="76025D1E" w14:textId="77777777" w:rsidTr="00697484">
        <w:tblPrEx>
          <w:tblW w:w="9625" w:type="dxa"/>
          <w:tblLook w:val="04A0"/>
        </w:tblPrEx>
        <w:trPr>
          <w:trHeight w:val="317"/>
        </w:trPr>
        <w:tc>
          <w:tcPr>
            <w:tcW w:w="3145" w:type="dxa"/>
            <w:tcBorders>
              <w:top w:val="nil"/>
              <w:left w:val="single" w:sz="4" w:space="0" w:color="000000"/>
              <w:bottom w:val="single" w:sz="4" w:space="0" w:color="000000"/>
              <w:right w:val="single" w:sz="4" w:space="0" w:color="000000"/>
            </w:tcBorders>
            <w:shd w:val="clear" w:color="auto" w:fill="auto"/>
            <w:noWrap/>
            <w:vAlign w:val="center"/>
            <w:hideMark/>
          </w:tcPr>
          <w:p w:rsidR="003D53FF" w:rsidRPr="00697484" w:rsidP="003D53FF" w14:paraId="68D174A3" w14:textId="77777777">
            <w:pPr>
              <w:rPr>
                <w:color w:val="000000"/>
                <w:sz w:val="22"/>
                <w:szCs w:val="22"/>
              </w:rPr>
            </w:pPr>
            <w:r w:rsidRPr="00697484">
              <w:rPr>
                <w:color w:val="000000"/>
                <w:sz w:val="22"/>
                <w:szCs w:val="22"/>
              </w:rPr>
              <w:t>CMS SURVEYOR</w:t>
            </w:r>
          </w:p>
        </w:tc>
        <w:tc>
          <w:tcPr>
            <w:tcW w:w="1080"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467488BA" w14:textId="69811624">
            <w:pPr>
              <w:jc w:val="center"/>
              <w:rPr>
                <w:sz w:val="22"/>
                <w:szCs w:val="22"/>
              </w:rPr>
            </w:pPr>
            <w:r w:rsidRPr="00697484">
              <w:rPr>
                <w:sz w:val="22"/>
                <w:szCs w:val="22"/>
              </w:rPr>
              <w:t>19-3022</w:t>
            </w:r>
          </w:p>
        </w:tc>
        <w:tc>
          <w:tcPr>
            <w:tcW w:w="938" w:type="dxa"/>
            <w:tcBorders>
              <w:top w:val="nil"/>
              <w:left w:val="nil"/>
              <w:bottom w:val="single" w:sz="4" w:space="0" w:color="000000"/>
              <w:right w:val="single" w:sz="4" w:space="0" w:color="000000"/>
            </w:tcBorders>
            <w:shd w:val="clear" w:color="auto" w:fill="auto"/>
            <w:noWrap/>
            <w:vAlign w:val="center"/>
            <w:hideMark/>
          </w:tcPr>
          <w:p w:rsidR="003D53FF" w:rsidRPr="00697484" w:rsidP="003D53FF" w14:paraId="7FAE168B" w14:textId="42D65615">
            <w:pPr>
              <w:jc w:val="center"/>
              <w:rPr>
                <w:sz w:val="22"/>
                <w:szCs w:val="22"/>
              </w:rPr>
            </w:pPr>
            <w:r w:rsidRPr="00697484">
              <w:rPr>
                <w:sz w:val="22"/>
                <w:szCs w:val="22"/>
              </w:rPr>
              <w:t xml:space="preserve">$29.31 </w:t>
            </w:r>
          </w:p>
        </w:tc>
        <w:tc>
          <w:tcPr>
            <w:tcW w:w="1194"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54A3BD91" w14:textId="2F98ECE6">
            <w:pPr>
              <w:jc w:val="center"/>
              <w:rPr>
                <w:b/>
                <w:bCs/>
                <w:color w:val="000000"/>
                <w:sz w:val="22"/>
                <w:szCs w:val="22"/>
              </w:rPr>
            </w:pPr>
            <w:r w:rsidRPr="00697484">
              <w:rPr>
                <w:b/>
                <w:bCs/>
                <w:color w:val="000000"/>
                <w:sz w:val="22"/>
                <w:szCs w:val="22"/>
              </w:rPr>
              <w:t>$59</w:t>
            </w:r>
          </w:p>
        </w:tc>
        <w:tc>
          <w:tcPr>
            <w:tcW w:w="3268" w:type="dxa"/>
            <w:tcBorders>
              <w:top w:val="nil"/>
              <w:left w:val="nil"/>
              <w:bottom w:val="single" w:sz="4" w:space="0" w:color="000000"/>
              <w:right w:val="single" w:sz="4" w:space="0" w:color="000000"/>
            </w:tcBorders>
            <w:shd w:val="clear" w:color="auto" w:fill="auto"/>
            <w:noWrap/>
            <w:vAlign w:val="bottom"/>
            <w:hideMark/>
          </w:tcPr>
          <w:p w:rsidR="003D53FF" w:rsidRPr="00697484" w:rsidP="003D53FF" w14:paraId="28AC533F" w14:textId="73309269">
            <w:pPr>
              <w:rPr>
                <w:color w:val="000000"/>
                <w:sz w:val="22"/>
                <w:szCs w:val="22"/>
              </w:rPr>
            </w:pPr>
            <w:r w:rsidRPr="00697484">
              <w:rPr>
                <w:color w:val="000000"/>
                <w:sz w:val="22"/>
                <w:szCs w:val="22"/>
              </w:rPr>
              <w:t>Survey Researcher</w:t>
            </w:r>
          </w:p>
        </w:tc>
      </w:tr>
    </w:tbl>
    <w:p w:rsidR="001C7F3F" w:rsidRPr="001C7F3F" w:rsidP="001C7F3F" w14:paraId="4E92B78C" w14:textId="75232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rStyle w:val="Hyperlink"/>
          <w:sz w:val="20"/>
        </w:rPr>
      </w:pPr>
      <w:r w:rsidRPr="009D75F6">
        <w:rPr>
          <w:sz w:val="20"/>
        </w:rPr>
        <w:t xml:space="preserve">Source: </w:t>
      </w:r>
      <w:r>
        <w:rPr>
          <w:sz w:val="20"/>
        </w:rPr>
        <w:fldChar w:fldCharType="begin"/>
      </w:r>
      <w:r>
        <w:rPr>
          <w:sz w:val="20"/>
        </w:rPr>
        <w:instrText>HYPERLINK "https://www.bls.gov/oes/current/oes_nat.htm"</w:instrText>
      </w:r>
      <w:r>
        <w:rPr>
          <w:sz w:val="20"/>
        </w:rPr>
        <w:fldChar w:fldCharType="separate"/>
      </w:r>
      <w:r w:rsidRPr="001C7F3F">
        <w:rPr>
          <w:rStyle w:val="Hyperlink"/>
          <w:sz w:val="20"/>
        </w:rPr>
        <w:t>May 2023 OEWS National Occupational Employment and Wage Estimates (bls.gov)</w:t>
      </w:r>
    </w:p>
    <w:p w:rsidR="00643B3D" w:rsidP="006D28A0" w14:paraId="229852BE" w14:textId="33C9C54D">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snapToGrid/>
          <w:sz w:val="20"/>
        </w:rPr>
        <w:fldChar w:fldCharType="end"/>
      </w:r>
    </w:p>
    <w:p w:rsidR="00DF2D09" w:rsidP="006D28A0" w14:paraId="40538D8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6D28A0" w:rsidRPr="007A6DD8" w:rsidP="006D28A0" w14:paraId="1ADF0467" w14:textId="5886A4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7A6DD8">
        <w:rPr>
          <w:color w:val="000000"/>
          <w:u w:val="single"/>
        </w:rPr>
        <w:t>Patient-Related Activities</w:t>
      </w:r>
    </w:p>
    <w:p w:rsidR="00D77981" w:rsidP="00D77981" w14:paraId="1DCAF09C" w14:textId="2A2E3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szCs w:val="24"/>
        </w:rPr>
      </w:pPr>
      <w:r w:rsidRPr="00D77981">
        <w:rPr>
          <w:szCs w:val="24"/>
        </w:rPr>
        <w:t xml:space="preserve">We are not including burdens </w:t>
      </w:r>
      <w:r w:rsidRPr="00D77981" w:rsidR="006D28A0">
        <w:rPr>
          <w:color w:val="000000"/>
          <w:szCs w:val="24"/>
        </w:rPr>
        <w:t>associated with most</w:t>
      </w:r>
      <w:r w:rsidRPr="007A6DD8" w:rsidR="006D28A0">
        <w:rPr>
          <w:color w:val="000000"/>
        </w:rPr>
        <w:t xml:space="preserve"> patient-related activities (such as healthcare </w:t>
      </w:r>
      <w:r w:rsidRPr="00D77981" w:rsidR="006D28A0">
        <w:rPr>
          <w:color w:val="000000"/>
          <w:szCs w:val="24"/>
        </w:rPr>
        <w:t xml:space="preserve">plans, patient records, and clinical records) </w:t>
      </w:r>
      <w:r w:rsidRPr="00D77981">
        <w:rPr>
          <w:color w:val="000000"/>
          <w:szCs w:val="24"/>
        </w:rPr>
        <w:t>i</w:t>
      </w:r>
      <w:r w:rsidRPr="00D77981" w:rsidR="006D28A0">
        <w:rPr>
          <w:color w:val="000000"/>
          <w:szCs w:val="24"/>
        </w:rPr>
        <w:t xml:space="preserve">n this </w:t>
      </w:r>
      <w:r w:rsidRPr="00D77981">
        <w:rPr>
          <w:color w:val="000000"/>
          <w:szCs w:val="24"/>
        </w:rPr>
        <w:t xml:space="preserve">package </w:t>
      </w:r>
      <w:r w:rsidRPr="00D77981" w:rsidR="006D28A0">
        <w:rPr>
          <w:color w:val="000000"/>
          <w:szCs w:val="24"/>
        </w:rPr>
        <w:t xml:space="preserve">because these activities </w:t>
      </w:r>
      <w:r w:rsidRPr="00D77981">
        <w:rPr>
          <w:szCs w:val="24"/>
        </w:rPr>
        <w:t xml:space="preserve">constitute </w:t>
      </w:r>
      <w:r w:rsidRPr="00D77981">
        <w:rPr>
          <w:rFonts w:eastAsia="Times"/>
          <w:szCs w:val="24"/>
        </w:rPr>
        <w:t>customary and usual industry practice</w:t>
      </w:r>
      <w:r w:rsidRPr="00D77981">
        <w:rPr>
          <w:szCs w:val="24"/>
        </w:rPr>
        <w:t xml:space="preserve"> and would take place in the absence of the Medicare and Medicaid programs. CoP’s related to patient activities are not assigned a burden and are exempt</w:t>
      </w:r>
      <w:r>
        <w:rPr>
          <w:szCs w:val="24"/>
        </w:rPr>
        <w:t xml:space="preserve"> </w:t>
      </w:r>
      <w:r w:rsidRPr="007A6DD8">
        <w:rPr>
          <w:color w:val="000000"/>
        </w:rPr>
        <w:t>from the Paperwork Reduction Act (PRA) requirements</w:t>
      </w:r>
      <w:r w:rsidRPr="00D77981">
        <w:rPr>
          <w:szCs w:val="24"/>
        </w:rPr>
        <w:t xml:space="preserve"> in accordance with 5 CFR §1320.3(b)(2).</w:t>
      </w:r>
    </w:p>
    <w:p w:rsidR="001C7F3F" w:rsidP="00D77981" w14:paraId="6B5D43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szCs w:val="24"/>
        </w:rPr>
      </w:pPr>
    </w:p>
    <w:p w:rsidR="00E744E5" w:rsidP="00D77981" w14:paraId="0FB101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szCs w:val="24"/>
        </w:rPr>
      </w:pPr>
    </w:p>
    <w:p w:rsidR="00E744E5" w:rsidP="00D77981" w14:paraId="2ED079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szCs w:val="24"/>
        </w:rPr>
      </w:pPr>
    </w:p>
    <w:p w:rsidR="0035673F" w:rsidRPr="00B00CEB" w:rsidP="00DB5EA8" w14:paraId="16CBBC8D" w14:textId="7FC5BCFF">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00"/>
        </w:rPr>
      </w:pPr>
      <w:r w:rsidRPr="00B00CEB">
        <w:rPr>
          <w:b/>
          <w:bCs/>
          <w:i/>
          <w:iCs/>
          <w:color w:val="000000"/>
          <w:u w:val="single"/>
        </w:rPr>
        <w:t>485.616</w:t>
      </w:r>
      <w:r w:rsidR="00B00CEB">
        <w:rPr>
          <w:b/>
          <w:bCs/>
          <w:i/>
          <w:iCs/>
          <w:color w:val="000000"/>
          <w:u w:val="single"/>
        </w:rPr>
        <w:t xml:space="preserve">(a)and (b)- </w:t>
      </w:r>
      <w:r w:rsidRPr="00B00CEB">
        <w:rPr>
          <w:b/>
          <w:bCs/>
          <w:i/>
          <w:iCs/>
          <w:color w:val="000000"/>
          <w:u w:val="single"/>
        </w:rPr>
        <w:t xml:space="preserve"> </w:t>
      </w:r>
      <w:r w:rsidR="008A0ED4">
        <w:rPr>
          <w:b/>
          <w:bCs/>
          <w:i/>
          <w:iCs/>
          <w:color w:val="000000"/>
          <w:u w:val="single"/>
        </w:rPr>
        <w:t xml:space="preserve">CoP: </w:t>
      </w:r>
      <w:r w:rsidRPr="00B00CEB">
        <w:rPr>
          <w:b/>
          <w:bCs/>
          <w:i/>
          <w:iCs/>
          <w:color w:val="000000"/>
          <w:u w:val="single"/>
        </w:rPr>
        <w:t>Agreements with network hospitals</w:t>
      </w:r>
    </w:p>
    <w:p w:rsidR="00B51277" w:rsidP="00B00CEB" w14:paraId="4083E102" w14:textId="4616FB8D">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CAHs that are part of a rural health network, must have agreements with other providers in the network for </w:t>
      </w:r>
      <w:r>
        <w:rPr>
          <w:color w:val="000000"/>
        </w:rPr>
        <w:t xml:space="preserve">communication, </w:t>
      </w:r>
      <w:r>
        <w:rPr>
          <w:color w:val="000000"/>
        </w:rPr>
        <w:t>referral</w:t>
      </w:r>
      <w:r>
        <w:rPr>
          <w:color w:val="000000"/>
        </w:rPr>
        <w:t>s,</w:t>
      </w:r>
      <w:r>
        <w:rPr>
          <w:color w:val="000000"/>
        </w:rPr>
        <w:t xml:space="preserve"> transportation of patients</w:t>
      </w:r>
      <w:r>
        <w:rPr>
          <w:color w:val="000000"/>
        </w:rPr>
        <w:t>, and quality assurance</w:t>
      </w:r>
      <w:r>
        <w:rPr>
          <w:color w:val="000000"/>
        </w:rPr>
        <w:t xml:space="preserve"> </w:t>
      </w:r>
      <w:r>
        <w:rPr>
          <w:color w:val="000000"/>
        </w:rPr>
        <w:t>between providers as a Co</w:t>
      </w:r>
      <w:r w:rsidR="006353FA">
        <w:rPr>
          <w:color w:val="000000"/>
        </w:rPr>
        <w:t>P</w:t>
      </w:r>
      <w:r>
        <w:rPr>
          <w:color w:val="000000"/>
        </w:rPr>
        <w:t xml:space="preserve">. </w:t>
      </w:r>
      <w:r w:rsidR="005771E3">
        <w:rPr>
          <w:color w:val="000000"/>
        </w:rPr>
        <w:t>T</w:t>
      </w:r>
      <w:r>
        <w:rPr>
          <w:color w:val="000000"/>
        </w:rPr>
        <w:t>he</w:t>
      </w:r>
      <w:r>
        <w:rPr>
          <w:color w:val="000000"/>
        </w:rPr>
        <w:t xml:space="preserve"> b</w:t>
      </w:r>
      <w:r w:rsidRPr="007A6DD8">
        <w:rPr>
          <w:color w:val="000000"/>
        </w:rPr>
        <w:t>urden associated with th</w:t>
      </w:r>
      <w:r w:rsidR="005771E3">
        <w:rPr>
          <w:color w:val="000000"/>
        </w:rPr>
        <w:t>is</w:t>
      </w:r>
      <w:r w:rsidRPr="007A6DD8">
        <w:rPr>
          <w:color w:val="000000"/>
        </w:rPr>
        <w:t xml:space="preserve"> </w:t>
      </w:r>
      <w:r>
        <w:rPr>
          <w:color w:val="000000"/>
        </w:rPr>
        <w:t>CoPs is</w:t>
      </w:r>
      <w:r w:rsidRPr="007A6DD8">
        <w:rPr>
          <w:color w:val="000000"/>
        </w:rPr>
        <w:t xml:space="preserve"> exempt from the PRA</w:t>
      </w:r>
      <w:r>
        <w:rPr>
          <w:color w:val="000000"/>
        </w:rPr>
        <w:t xml:space="preserve"> per </w:t>
      </w:r>
      <w:r w:rsidRPr="007A6DD8">
        <w:rPr>
          <w:color w:val="000000"/>
        </w:rPr>
        <w:t xml:space="preserve">5 CFR </w:t>
      </w:r>
      <w:r w:rsidR="00E744E5">
        <w:rPr>
          <w:color w:val="000000"/>
        </w:rPr>
        <w:t>§</w:t>
      </w:r>
      <w:r w:rsidRPr="00B51277">
        <w:rPr>
          <w:color w:val="000000"/>
        </w:rPr>
        <w:t>1320.3(b)(2)</w:t>
      </w:r>
      <w:r w:rsidR="00663CA5">
        <w:rPr>
          <w:color w:val="000000"/>
        </w:rPr>
        <w:t xml:space="preserve"> because it is usual and customary for facilities such as hospitals and CAHs to be able to receive and transfer patients from other acute facilities or providers (e.g., a local Federally Qualified Health Center) depending on the level of care patients need</w:t>
      </w:r>
      <w:r w:rsidRPr="00B51277">
        <w:rPr>
          <w:color w:val="000000"/>
        </w:rPr>
        <w:t>.</w:t>
      </w:r>
      <w:r w:rsidR="00663CA5">
        <w:rPr>
          <w:color w:val="000000"/>
        </w:rPr>
        <w:t xml:space="preserve"> For example, if a pregnant patient presents at a CAH, but that particular CAH does not offer obstetric services, the CAH should have standing agreements with the nearest hospital that does provide those services </w:t>
      </w:r>
      <w:r w:rsidR="00F30A78">
        <w:rPr>
          <w:color w:val="000000"/>
        </w:rPr>
        <w:t>in order to</w:t>
      </w:r>
      <w:r w:rsidR="00663CA5">
        <w:rPr>
          <w:color w:val="000000"/>
        </w:rPr>
        <w:t xml:space="preserve"> be able to</w:t>
      </w:r>
      <w:r w:rsidR="00F30A78">
        <w:rPr>
          <w:color w:val="000000"/>
        </w:rPr>
        <w:t xml:space="preserve"> </w:t>
      </w:r>
      <w:r w:rsidR="00663CA5">
        <w:rPr>
          <w:color w:val="000000"/>
        </w:rPr>
        <w:t>transfer the patient</w:t>
      </w:r>
      <w:r w:rsidR="00F30A78">
        <w:rPr>
          <w:color w:val="000000"/>
        </w:rPr>
        <w:t xml:space="preserve"> to a facility </w:t>
      </w:r>
      <w:r w:rsidR="00663CA5">
        <w:rPr>
          <w:color w:val="000000"/>
        </w:rPr>
        <w:t>where she can obtain the services needed</w:t>
      </w:r>
      <w:r w:rsidR="00F30A78">
        <w:rPr>
          <w:color w:val="000000"/>
        </w:rPr>
        <w:t xml:space="preserve"> as seamlessly as possible</w:t>
      </w:r>
      <w:r w:rsidR="00663CA5">
        <w:rPr>
          <w:color w:val="000000"/>
        </w:rPr>
        <w:t>.</w:t>
      </w:r>
    </w:p>
    <w:p w:rsidR="00B00CEB" w:rsidP="00B00CEB" w14:paraId="6036F6EE"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AB5C99" w:rsidRPr="00AB5C99" w:rsidP="00AB5C99" w14:paraId="07589B40" w14:textId="4EBC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b/>
          <w:i/>
          <w:szCs w:val="24"/>
          <w:u w:val="single"/>
        </w:rPr>
      </w:pPr>
      <w:r w:rsidRPr="00AB5C99">
        <w:rPr>
          <w:b/>
          <w:i/>
          <w:szCs w:val="24"/>
          <w:u w:val="single"/>
        </w:rPr>
        <w:t>485.616(c)(4</w:t>
      </w:r>
      <w:r w:rsidR="006264B6">
        <w:rPr>
          <w:b/>
          <w:i/>
          <w:szCs w:val="24"/>
          <w:u w:val="single"/>
        </w:rPr>
        <w:t>)(iv)</w:t>
      </w:r>
      <w:r w:rsidRPr="00AB5C99">
        <w:rPr>
          <w:b/>
          <w:i/>
          <w:szCs w:val="24"/>
          <w:u w:val="single"/>
        </w:rPr>
        <w:t xml:space="preserve"> - </w:t>
      </w:r>
      <w:r w:rsidR="008A0ED4">
        <w:rPr>
          <w:b/>
          <w:i/>
          <w:szCs w:val="24"/>
          <w:u w:val="single"/>
        </w:rPr>
        <w:t>CoP</w:t>
      </w:r>
      <w:r w:rsidRPr="00AB5C99">
        <w:rPr>
          <w:b/>
          <w:i/>
          <w:szCs w:val="24"/>
          <w:u w:val="single"/>
        </w:rPr>
        <w:t>: Agreements for credentialing and privileging of telemedicine physicians and practitioners</w:t>
      </w:r>
    </w:p>
    <w:p w:rsidR="005771E3" w:rsidP="005771E3" w14:paraId="69507312" w14:textId="77777777">
      <w:pPr>
        <w:ind w:left="-2"/>
        <w:rPr>
          <w:szCs w:val="24"/>
        </w:rPr>
      </w:pPr>
      <w:r>
        <w:rPr>
          <w:szCs w:val="24"/>
        </w:rPr>
        <w:t>CAHs that offer t</w:t>
      </w:r>
      <w:r w:rsidRPr="0077153E">
        <w:rPr>
          <w:szCs w:val="24"/>
        </w:rPr>
        <w:t xml:space="preserve">elemedicine services </w:t>
      </w:r>
      <w:r>
        <w:rPr>
          <w:szCs w:val="24"/>
        </w:rPr>
        <w:t>t</w:t>
      </w:r>
      <w:r w:rsidRPr="0077153E">
        <w:rPr>
          <w:szCs w:val="24"/>
        </w:rPr>
        <w:t>hrough an agreement with a distant-site telemedicine entity</w:t>
      </w:r>
      <w:r>
        <w:rPr>
          <w:szCs w:val="24"/>
        </w:rPr>
        <w:t xml:space="preserve"> can rely on that entity’s credentialing and privileging process and standards but must ensure it  has “</w:t>
      </w:r>
      <w:r w:rsidRPr="0077153E">
        <w:rPr>
          <w:szCs w:val="24"/>
        </w:rPr>
        <w:t>evidence of an internal review of the distant-site physician's or practitioner's performance of these privileges and sends the distant-site telemedicine entity such information for use in the periodic appraisal of the distant-site physician or practitioner.</w:t>
      </w:r>
      <w:r>
        <w:rPr>
          <w:szCs w:val="24"/>
        </w:rPr>
        <w:t>”</w:t>
      </w:r>
      <w:r w:rsidRPr="0077153E">
        <w:rPr>
          <w:szCs w:val="24"/>
        </w:rPr>
        <w:t xml:space="preserve"> </w:t>
      </w:r>
    </w:p>
    <w:p w:rsidR="005771E3" w:rsidP="005771E3" w14:paraId="4E5B5F71" w14:textId="77777777">
      <w:pPr>
        <w:ind w:left="-2"/>
        <w:rPr>
          <w:szCs w:val="24"/>
        </w:rPr>
      </w:pPr>
    </w:p>
    <w:p w:rsidR="005771E3" w:rsidP="005771E3" w14:paraId="22694D17" w14:textId="042A388F">
      <w:pPr>
        <w:ind w:left="-2"/>
        <w:rPr>
          <w:szCs w:val="24"/>
        </w:rPr>
      </w:pPr>
      <w:r>
        <w:rPr>
          <w:szCs w:val="24"/>
        </w:rPr>
        <w:t>Because the use of telemedicine services has grown especially for patients in rural areas, CAHs should ensure these CoPs are met as a way to provide oversight when using a distant-site telemedicine entity</w:t>
      </w:r>
      <w:r w:rsidR="0060007F">
        <w:rPr>
          <w:szCs w:val="24"/>
        </w:rPr>
        <w:t xml:space="preserve">. </w:t>
      </w:r>
      <w:r>
        <w:rPr>
          <w:szCs w:val="24"/>
        </w:rPr>
        <w:t>We estimate that obtaining and documenting the appraisal of distant-site practitioners periodically would require 2 hours of a medical secretary’s time each year.</w:t>
      </w:r>
    </w:p>
    <w:p w:rsidR="005771E3" w:rsidP="00B00CEB" w14:paraId="32BFEB36"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5771E3" w:rsidP="005771E3" w14:paraId="6992027D" w14:textId="3390963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u w:val="single"/>
        </w:rPr>
      </w:pPr>
      <w:r w:rsidRPr="00D32F4B">
        <w:rPr>
          <w:b/>
          <w:bCs/>
          <w:sz w:val="28"/>
          <w:szCs w:val="28"/>
        </w:rPr>
        <w:t xml:space="preserve">Table </w:t>
      </w:r>
      <w:r w:rsidR="00FF1DC0">
        <w:rPr>
          <w:b/>
          <w:bCs/>
          <w:sz w:val="28"/>
          <w:szCs w:val="28"/>
        </w:rPr>
        <w:t>3</w:t>
      </w:r>
      <w:r w:rsidRPr="00D32F4B">
        <w:rPr>
          <w:b/>
          <w:bCs/>
          <w:sz w:val="28"/>
          <w:szCs w:val="28"/>
        </w:rPr>
        <w:t>: IC-</w:t>
      </w:r>
      <w:r w:rsidR="00FF1DC0">
        <w:rPr>
          <w:b/>
          <w:bCs/>
          <w:sz w:val="28"/>
          <w:szCs w:val="28"/>
        </w:rPr>
        <w:t>1</w:t>
      </w:r>
      <w:r w:rsidRPr="00D32F4B">
        <w:rPr>
          <w:b/>
          <w:bCs/>
          <w:sz w:val="28"/>
          <w:szCs w:val="28"/>
        </w:rPr>
        <w:t>:</w:t>
      </w:r>
      <w:r w:rsidR="00092EAF">
        <w:rPr>
          <w:b/>
          <w:bCs/>
          <w:sz w:val="28"/>
          <w:szCs w:val="28"/>
        </w:rPr>
        <w:t xml:space="preserve"> </w:t>
      </w:r>
      <w:r w:rsidRPr="00D32F4B">
        <w:rPr>
          <w:b/>
          <w:bCs/>
          <w:i/>
          <w:iCs/>
          <w:sz w:val="28"/>
          <w:szCs w:val="28"/>
        </w:rPr>
        <w:t>CoP:</w:t>
      </w:r>
      <w:r w:rsidR="00092EAF">
        <w:rPr>
          <w:b/>
          <w:bCs/>
          <w:i/>
          <w:iCs/>
          <w:sz w:val="28"/>
          <w:szCs w:val="28"/>
        </w:rPr>
        <w:t xml:space="preserve"> </w:t>
      </w:r>
      <w:r>
        <w:rPr>
          <w:b/>
          <w:bCs/>
          <w:i/>
          <w:iCs/>
          <w:sz w:val="28"/>
          <w:szCs w:val="28"/>
        </w:rPr>
        <w:t>Telemedicine Agreements</w:t>
      </w:r>
      <w:r w:rsidRPr="00D32F4B">
        <w:rPr>
          <w:b/>
          <w:bCs/>
          <w:i/>
          <w:iCs/>
          <w:sz w:val="28"/>
          <w:szCs w:val="28"/>
        </w:rPr>
        <w:t xml:space="preserve"> – 485.6</w:t>
      </w:r>
      <w:r>
        <w:rPr>
          <w:b/>
          <w:bCs/>
          <w:i/>
          <w:iCs/>
          <w:sz w:val="28"/>
          <w:szCs w:val="28"/>
        </w:rPr>
        <w:t>16(c)(4)(iv)</w:t>
      </w:r>
    </w:p>
    <w:tbl>
      <w:tblPr>
        <w:tblW w:w="8365" w:type="dxa"/>
        <w:tblLook w:val="04A0"/>
      </w:tblPr>
      <w:tblGrid>
        <w:gridCol w:w="3501"/>
        <w:gridCol w:w="1619"/>
        <w:gridCol w:w="1480"/>
        <w:gridCol w:w="1765"/>
      </w:tblGrid>
      <w:tr w14:paraId="6BEE85CB" w14:textId="77777777" w:rsidTr="00092EAF">
        <w:tblPrEx>
          <w:tblW w:w="8365" w:type="dxa"/>
          <w:tblLook w:val="04A0"/>
        </w:tblPrEx>
        <w:trPr>
          <w:trHeight w:val="317"/>
        </w:trPr>
        <w:tc>
          <w:tcPr>
            <w:tcW w:w="3501"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5771E3" w:rsidRPr="005771E3" w:rsidP="005771E3" w14:paraId="0834539E" w14:textId="77777777">
            <w:pPr>
              <w:jc w:val="center"/>
              <w:rPr>
                <w:b/>
                <w:bCs/>
                <w:color w:val="000000"/>
                <w:szCs w:val="24"/>
              </w:rPr>
            </w:pPr>
            <w:r w:rsidRPr="005771E3">
              <w:rPr>
                <w:b/>
                <w:bCs/>
                <w:color w:val="000000"/>
                <w:szCs w:val="24"/>
              </w:rPr>
              <w:t xml:space="preserve">Task </w:t>
            </w:r>
          </w:p>
        </w:tc>
        <w:tc>
          <w:tcPr>
            <w:tcW w:w="1619" w:type="dxa"/>
            <w:tcBorders>
              <w:top w:val="single" w:sz="4" w:space="0" w:color="auto"/>
              <w:left w:val="nil"/>
              <w:bottom w:val="single" w:sz="4" w:space="0" w:color="auto"/>
              <w:right w:val="single" w:sz="4" w:space="0" w:color="auto"/>
            </w:tcBorders>
            <w:shd w:val="clear" w:color="CCCCCC" w:fill="D9E7FD"/>
            <w:vAlign w:val="bottom"/>
            <w:hideMark/>
          </w:tcPr>
          <w:p w:rsidR="005771E3" w:rsidRPr="005771E3" w:rsidP="005771E3" w14:paraId="5A788301" w14:textId="115FBC90">
            <w:pPr>
              <w:jc w:val="center"/>
              <w:rPr>
                <w:b/>
                <w:bCs/>
                <w:color w:val="000000"/>
                <w:szCs w:val="24"/>
              </w:rPr>
            </w:pPr>
            <w:r w:rsidRPr="005771E3">
              <w:rPr>
                <w:b/>
                <w:bCs/>
                <w:color w:val="000000"/>
                <w:szCs w:val="24"/>
              </w:rPr>
              <w:t>Hourly Me</w:t>
            </w:r>
            <w:r w:rsidRPr="00092EAF" w:rsidR="00FF1DC0">
              <w:rPr>
                <w:b/>
                <w:bCs/>
                <w:color w:val="000000"/>
                <w:szCs w:val="24"/>
              </w:rPr>
              <w:t>dian</w:t>
            </w:r>
            <w:r w:rsidRPr="005771E3">
              <w:rPr>
                <w:b/>
                <w:bCs/>
                <w:color w:val="000000"/>
                <w:szCs w:val="24"/>
              </w:rPr>
              <w:t xml:space="preserve"> Wage</w:t>
            </w:r>
          </w:p>
        </w:tc>
        <w:tc>
          <w:tcPr>
            <w:tcW w:w="1480" w:type="dxa"/>
            <w:tcBorders>
              <w:top w:val="single" w:sz="4" w:space="0" w:color="auto"/>
              <w:left w:val="nil"/>
              <w:bottom w:val="single" w:sz="4" w:space="0" w:color="auto"/>
              <w:right w:val="single" w:sz="4" w:space="0" w:color="auto"/>
            </w:tcBorders>
            <w:shd w:val="clear" w:color="CCCCCC" w:fill="D9E7FD"/>
            <w:vAlign w:val="bottom"/>
            <w:hideMark/>
          </w:tcPr>
          <w:p w:rsidR="005771E3" w:rsidRPr="005771E3" w:rsidP="005771E3" w14:paraId="5C469674" w14:textId="77777777">
            <w:pPr>
              <w:jc w:val="center"/>
              <w:rPr>
                <w:b/>
                <w:bCs/>
                <w:color w:val="000000"/>
                <w:szCs w:val="24"/>
              </w:rPr>
            </w:pPr>
            <w:r w:rsidRPr="005771E3">
              <w:rPr>
                <w:b/>
                <w:bCs/>
                <w:color w:val="000000"/>
                <w:szCs w:val="24"/>
              </w:rPr>
              <w:t>Hours/Task</w:t>
            </w:r>
          </w:p>
        </w:tc>
        <w:tc>
          <w:tcPr>
            <w:tcW w:w="1765" w:type="dxa"/>
            <w:tcBorders>
              <w:top w:val="single" w:sz="4" w:space="0" w:color="auto"/>
              <w:left w:val="nil"/>
              <w:bottom w:val="single" w:sz="4" w:space="0" w:color="auto"/>
              <w:right w:val="single" w:sz="4" w:space="0" w:color="auto"/>
            </w:tcBorders>
            <w:shd w:val="clear" w:color="CCCCCC" w:fill="D9E7FD"/>
            <w:vAlign w:val="bottom"/>
            <w:hideMark/>
          </w:tcPr>
          <w:p w:rsidR="005771E3" w:rsidRPr="005771E3" w:rsidP="005771E3" w14:paraId="1B06B8DC" w14:textId="77777777">
            <w:pPr>
              <w:jc w:val="center"/>
              <w:rPr>
                <w:b/>
                <w:bCs/>
                <w:color w:val="000000"/>
                <w:szCs w:val="24"/>
              </w:rPr>
            </w:pPr>
            <w:r w:rsidRPr="005771E3">
              <w:rPr>
                <w:b/>
                <w:bCs/>
                <w:color w:val="000000"/>
                <w:szCs w:val="24"/>
              </w:rPr>
              <w:t>Cost/Task</w:t>
            </w:r>
          </w:p>
        </w:tc>
      </w:tr>
      <w:tr w14:paraId="040F6DC7" w14:textId="77777777" w:rsidTr="00092EAF">
        <w:tblPrEx>
          <w:tblW w:w="8365" w:type="dxa"/>
          <w:tblLook w:val="04A0"/>
        </w:tblPrEx>
        <w:trPr>
          <w:trHeight w:val="317"/>
        </w:trPr>
        <w:tc>
          <w:tcPr>
            <w:tcW w:w="3501" w:type="dxa"/>
            <w:tcBorders>
              <w:top w:val="nil"/>
              <w:left w:val="single" w:sz="4" w:space="0" w:color="auto"/>
              <w:bottom w:val="single" w:sz="4" w:space="0" w:color="auto"/>
              <w:right w:val="single" w:sz="4" w:space="0" w:color="auto"/>
            </w:tcBorders>
            <w:shd w:val="clear" w:color="auto" w:fill="auto"/>
            <w:vAlign w:val="bottom"/>
            <w:hideMark/>
          </w:tcPr>
          <w:p w:rsidR="005771E3" w:rsidRPr="005771E3" w:rsidP="005771E3" w14:paraId="594544AB" w14:textId="5D0FC12D">
            <w:pPr>
              <w:rPr>
                <w:color w:val="000000"/>
                <w:szCs w:val="24"/>
              </w:rPr>
            </w:pPr>
            <w:r w:rsidRPr="005771E3">
              <w:rPr>
                <w:color w:val="000000"/>
                <w:szCs w:val="24"/>
              </w:rPr>
              <w:t xml:space="preserve">Medical Secretary </w:t>
            </w:r>
          </w:p>
        </w:tc>
        <w:tc>
          <w:tcPr>
            <w:tcW w:w="1619" w:type="dxa"/>
            <w:tcBorders>
              <w:top w:val="nil"/>
              <w:left w:val="nil"/>
              <w:bottom w:val="single" w:sz="4" w:space="0" w:color="auto"/>
              <w:right w:val="single" w:sz="4" w:space="0" w:color="auto"/>
            </w:tcBorders>
            <w:shd w:val="clear" w:color="auto" w:fill="auto"/>
            <w:vAlign w:val="bottom"/>
            <w:hideMark/>
          </w:tcPr>
          <w:p w:rsidR="005771E3" w:rsidRPr="005771E3" w:rsidP="005771E3" w14:paraId="51683288" w14:textId="4C825CE4">
            <w:pPr>
              <w:jc w:val="center"/>
              <w:rPr>
                <w:szCs w:val="24"/>
              </w:rPr>
            </w:pPr>
            <w:r w:rsidRPr="005771E3">
              <w:rPr>
                <w:szCs w:val="24"/>
              </w:rPr>
              <w:t>$43</w:t>
            </w:r>
          </w:p>
        </w:tc>
        <w:tc>
          <w:tcPr>
            <w:tcW w:w="1480" w:type="dxa"/>
            <w:tcBorders>
              <w:top w:val="nil"/>
              <w:left w:val="nil"/>
              <w:bottom w:val="single" w:sz="4" w:space="0" w:color="auto"/>
              <w:right w:val="single" w:sz="4" w:space="0" w:color="auto"/>
            </w:tcBorders>
            <w:shd w:val="clear" w:color="auto" w:fill="auto"/>
            <w:vAlign w:val="bottom"/>
            <w:hideMark/>
          </w:tcPr>
          <w:p w:rsidR="005771E3" w:rsidRPr="005771E3" w:rsidP="005771E3" w14:paraId="25676027" w14:textId="77777777">
            <w:pPr>
              <w:jc w:val="center"/>
              <w:rPr>
                <w:color w:val="000000"/>
                <w:szCs w:val="24"/>
              </w:rPr>
            </w:pPr>
            <w:r w:rsidRPr="005771E3">
              <w:rPr>
                <w:color w:val="000000"/>
                <w:szCs w:val="24"/>
              </w:rPr>
              <w:t>2.0</w:t>
            </w:r>
          </w:p>
        </w:tc>
        <w:tc>
          <w:tcPr>
            <w:tcW w:w="1765" w:type="dxa"/>
            <w:tcBorders>
              <w:top w:val="nil"/>
              <w:left w:val="nil"/>
              <w:bottom w:val="single" w:sz="4" w:space="0" w:color="auto"/>
              <w:right w:val="single" w:sz="4" w:space="0" w:color="auto"/>
            </w:tcBorders>
            <w:shd w:val="clear" w:color="auto" w:fill="auto"/>
            <w:noWrap/>
            <w:vAlign w:val="bottom"/>
            <w:hideMark/>
          </w:tcPr>
          <w:p w:rsidR="005771E3" w:rsidRPr="005771E3" w:rsidP="005771E3" w14:paraId="09E07C5B" w14:textId="77777777">
            <w:pPr>
              <w:jc w:val="center"/>
              <w:rPr>
                <w:color w:val="000000"/>
                <w:szCs w:val="24"/>
              </w:rPr>
            </w:pPr>
            <w:r w:rsidRPr="005771E3">
              <w:rPr>
                <w:color w:val="000000"/>
                <w:szCs w:val="24"/>
              </w:rPr>
              <w:t>$86.00</w:t>
            </w:r>
          </w:p>
        </w:tc>
      </w:tr>
      <w:tr w14:paraId="19FFFDCE" w14:textId="77777777" w:rsidTr="00092EAF">
        <w:tblPrEx>
          <w:tblW w:w="8365" w:type="dxa"/>
          <w:tblLook w:val="04A0"/>
        </w:tblPrEx>
        <w:trPr>
          <w:trHeight w:val="317"/>
        </w:trPr>
        <w:tc>
          <w:tcPr>
            <w:tcW w:w="3501" w:type="dxa"/>
            <w:tcBorders>
              <w:top w:val="nil"/>
              <w:left w:val="single" w:sz="4" w:space="0" w:color="auto"/>
              <w:bottom w:val="single" w:sz="4" w:space="0" w:color="auto"/>
              <w:right w:val="single" w:sz="4" w:space="0" w:color="auto"/>
            </w:tcBorders>
            <w:shd w:val="clear" w:color="auto" w:fill="auto"/>
            <w:vAlign w:val="bottom"/>
            <w:hideMark/>
          </w:tcPr>
          <w:p w:rsidR="005771E3" w:rsidRPr="005771E3" w:rsidP="005771E3" w14:paraId="5EF3200A" w14:textId="77777777">
            <w:pPr>
              <w:jc w:val="right"/>
              <w:rPr>
                <w:color w:val="000000"/>
                <w:szCs w:val="24"/>
              </w:rPr>
            </w:pPr>
            <w:r w:rsidRPr="005771E3">
              <w:rPr>
                <w:color w:val="000000"/>
                <w:szCs w:val="24"/>
              </w:rPr>
              <w:t># Facilities Impacted</w:t>
            </w:r>
          </w:p>
        </w:tc>
        <w:tc>
          <w:tcPr>
            <w:tcW w:w="1619" w:type="dxa"/>
            <w:tcBorders>
              <w:top w:val="nil"/>
              <w:left w:val="nil"/>
              <w:bottom w:val="single" w:sz="4" w:space="0" w:color="auto"/>
              <w:right w:val="single" w:sz="4" w:space="0" w:color="auto"/>
            </w:tcBorders>
            <w:shd w:val="clear" w:color="auto" w:fill="auto"/>
            <w:vAlign w:val="bottom"/>
            <w:hideMark/>
          </w:tcPr>
          <w:p w:rsidR="005771E3" w:rsidRPr="00F764B5" w:rsidP="005771E3" w14:paraId="30211B0A" w14:textId="77777777">
            <w:pPr>
              <w:jc w:val="center"/>
              <w:rPr>
                <w:color w:val="34A853"/>
                <w:szCs w:val="24"/>
              </w:rPr>
            </w:pPr>
            <w:r w:rsidRPr="00F764B5">
              <w:rPr>
                <w:szCs w:val="24"/>
              </w:rPr>
              <w:t>1,245</w:t>
            </w:r>
          </w:p>
        </w:tc>
        <w:tc>
          <w:tcPr>
            <w:tcW w:w="1480" w:type="dxa"/>
            <w:tcBorders>
              <w:top w:val="nil"/>
              <w:left w:val="nil"/>
              <w:bottom w:val="single" w:sz="4" w:space="0" w:color="auto"/>
              <w:right w:val="single" w:sz="4" w:space="0" w:color="auto"/>
            </w:tcBorders>
            <w:shd w:val="clear" w:color="auto" w:fill="auto"/>
            <w:vAlign w:val="bottom"/>
            <w:hideMark/>
          </w:tcPr>
          <w:p w:rsidR="005771E3" w:rsidRPr="005771E3" w:rsidP="005771E3" w14:paraId="01172EB2" w14:textId="77777777">
            <w:pPr>
              <w:jc w:val="center"/>
              <w:rPr>
                <w:color w:val="000000"/>
                <w:szCs w:val="24"/>
              </w:rPr>
            </w:pPr>
            <w:r w:rsidRPr="005771E3">
              <w:rPr>
                <w:color w:val="000000"/>
                <w:szCs w:val="24"/>
              </w:rPr>
              <w:t> </w:t>
            </w:r>
          </w:p>
        </w:tc>
        <w:tc>
          <w:tcPr>
            <w:tcW w:w="1765" w:type="dxa"/>
            <w:tcBorders>
              <w:top w:val="nil"/>
              <w:left w:val="nil"/>
              <w:bottom w:val="single" w:sz="4" w:space="0" w:color="auto"/>
              <w:right w:val="single" w:sz="4" w:space="0" w:color="auto"/>
            </w:tcBorders>
            <w:shd w:val="clear" w:color="auto" w:fill="auto"/>
            <w:vAlign w:val="bottom"/>
            <w:hideMark/>
          </w:tcPr>
          <w:p w:rsidR="005771E3" w:rsidRPr="005771E3" w:rsidP="005771E3" w14:paraId="716710E4" w14:textId="77777777">
            <w:pPr>
              <w:jc w:val="center"/>
              <w:rPr>
                <w:color w:val="000000"/>
                <w:szCs w:val="24"/>
              </w:rPr>
            </w:pPr>
            <w:r w:rsidRPr="005771E3">
              <w:rPr>
                <w:color w:val="000000"/>
                <w:szCs w:val="24"/>
              </w:rPr>
              <w:t> </w:t>
            </w:r>
          </w:p>
        </w:tc>
      </w:tr>
      <w:tr w14:paraId="06AA75EE" w14:textId="77777777" w:rsidTr="00092EAF">
        <w:tblPrEx>
          <w:tblW w:w="8365" w:type="dxa"/>
          <w:tblLook w:val="04A0"/>
        </w:tblPrEx>
        <w:trPr>
          <w:trHeight w:val="317"/>
        </w:trPr>
        <w:tc>
          <w:tcPr>
            <w:tcW w:w="3501" w:type="dxa"/>
            <w:tcBorders>
              <w:top w:val="nil"/>
              <w:left w:val="single" w:sz="4" w:space="0" w:color="auto"/>
              <w:bottom w:val="single" w:sz="4" w:space="0" w:color="auto"/>
              <w:right w:val="single" w:sz="4" w:space="0" w:color="auto"/>
            </w:tcBorders>
            <w:shd w:val="clear" w:color="000000" w:fill="D9D9D9"/>
            <w:vAlign w:val="bottom"/>
            <w:hideMark/>
          </w:tcPr>
          <w:p w:rsidR="005771E3" w:rsidRPr="005771E3" w:rsidP="005771E3" w14:paraId="0CB89A56" w14:textId="77777777">
            <w:pPr>
              <w:jc w:val="right"/>
              <w:rPr>
                <w:b/>
                <w:bCs/>
                <w:color w:val="000000"/>
                <w:szCs w:val="24"/>
              </w:rPr>
            </w:pPr>
            <w:r w:rsidRPr="005771E3">
              <w:rPr>
                <w:b/>
                <w:bCs/>
                <w:color w:val="000000"/>
                <w:szCs w:val="24"/>
              </w:rPr>
              <w:t xml:space="preserve">Total Annual Burden/Costs </w:t>
            </w:r>
          </w:p>
        </w:tc>
        <w:tc>
          <w:tcPr>
            <w:tcW w:w="1619" w:type="dxa"/>
            <w:tcBorders>
              <w:top w:val="nil"/>
              <w:left w:val="nil"/>
              <w:bottom w:val="single" w:sz="4" w:space="0" w:color="auto"/>
              <w:right w:val="single" w:sz="4" w:space="0" w:color="auto"/>
            </w:tcBorders>
            <w:shd w:val="clear" w:color="000000" w:fill="D9D9D9"/>
            <w:vAlign w:val="bottom"/>
            <w:hideMark/>
          </w:tcPr>
          <w:p w:rsidR="005771E3" w:rsidRPr="005771E3" w:rsidP="005771E3" w14:paraId="21058832" w14:textId="77777777">
            <w:pPr>
              <w:jc w:val="center"/>
              <w:rPr>
                <w:b/>
                <w:bCs/>
                <w:color w:val="000000"/>
                <w:szCs w:val="24"/>
              </w:rPr>
            </w:pPr>
            <w:r w:rsidRPr="005771E3">
              <w:rPr>
                <w:b/>
                <w:bCs/>
                <w:color w:val="000000"/>
                <w:szCs w:val="24"/>
              </w:rPr>
              <w:t> </w:t>
            </w:r>
          </w:p>
        </w:tc>
        <w:tc>
          <w:tcPr>
            <w:tcW w:w="1480" w:type="dxa"/>
            <w:tcBorders>
              <w:top w:val="nil"/>
              <w:left w:val="nil"/>
              <w:bottom w:val="single" w:sz="4" w:space="0" w:color="auto"/>
              <w:right w:val="single" w:sz="4" w:space="0" w:color="auto"/>
            </w:tcBorders>
            <w:shd w:val="clear" w:color="000000" w:fill="D9D9D9"/>
            <w:noWrap/>
            <w:vAlign w:val="bottom"/>
            <w:hideMark/>
          </w:tcPr>
          <w:p w:rsidR="005771E3" w:rsidRPr="005771E3" w:rsidP="005771E3" w14:paraId="6C46AD6B" w14:textId="77777777">
            <w:pPr>
              <w:jc w:val="center"/>
              <w:rPr>
                <w:b/>
                <w:bCs/>
                <w:color w:val="000000"/>
                <w:szCs w:val="24"/>
              </w:rPr>
            </w:pPr>
            <w:r w:rsidRPr="005771E3">
              <w:rPr>
                <w:b/>
                <w:bCs/>
                <w:color w:val="000000"/>
                <w:szCs w:val="24"/>
              </w:rPr>
              <w:t>2,490</w:t>
            </w:r>
          </w:p>
        </w:tc>
        <w:tc>
          <w:tcPr>
            <w:tcW w:w="1765" w:type="dxa"/>
            <w:tcBorders>
              <w:top w:val="nil"/>
              <w:left w:val="nil"/>
              <w:bottom w:val="single" w:sz="4" w:space="0" w:color="auto"/>
              <w:right w:val="single" w:sz="4" w:space="0" w:color="auto"/>
            </w:tcBorders>
            <w:shd w:val="clear" w:color="000000" w:fill="D9D9D9"/>
            <w:vAlign w:val="bottom"/>
            <w:hideMark/>
          </w:tcPr>
          <w:p w:rsidR="005771E3" w:rsidRPr="005771E3" w:rsidP="005771E3" w14:paraId="6E77D81B" w14:textId="77777777">
            <w:pPr>
              <w:jc w:val="center"/>
              <w:rPr>
                <w:b/>
                <w:bCs/>
                <w:color w:val="000000"/>
                <w:szCs w:val="24"/>
              </w:rPr>
            </w:pPr>
            <w:r w:rsidRPr="005771E3">
              <w:rPr>
                <w:b/>
                <w:bCs/>
                <w:color w:val="000000"/>
                <w:szCs w:val="24"/>
              </w:rPr>
              <w:t>$107,070</w:t>
            </w:r>
          </w:p>
        </w:tc>
      </w:tr>
    </w:tbl>
    <w:p w:rsidR="0077153E" w:rsidP="00B00CEB" w14:paraId="18D9E752"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A86FD6" w:rsidP="00B00CEB" w14:paraId="26B5BEB2"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725EB4" w:rsidRPr="00CC60CF" w:rsidP="00EC450C" w14:paraId="42BB4585" w14:textId="34A52A8A">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00"/>
          <w:u w:val="single"/>
        </w:rPr>
      </w:pPr>
      <w:r w:rsidRPr="00CC60CF">
        <w:rPr>
          <w:b/>
          <w:bCs/>
          <w:i/>
          <w:iCs/>
          <w:color w:val="000000"/>
          <w:u w:val="single"/>
        </w:rPr>
        <w:t xml:space="preserve">485.618 – </w:t>
      </w:r>
      <w:r w:rsidR="008A0ED4">
        <w:rPr>
          <w:b/>
          <w:bCs/>
          <w:i/>
          <w:iCs/>
          <w:color w:val="000000"/>
          <w:u w:val="single"/>
        </w:rPr>
        <w:t xml:space="preserve">CoP: </w:t>
      </w:r>
      <w:r w:rsidRPr="00CC60CF" w:rsidR="00226388">
        <w:rPr>
          <w:b/>
          <w:bCs/>
          <w:i/>
          <w:iCs/>
          <w:color w:val="000000"/>
          <w:u w:val="single"/>
        </w:rPr>
        <w:t>Emergency Services</w:t>
      </w:r>
    </w:p>
    <w:p w:rsidR="00CE5CF1" w:rsidP="00CE5CF1" w14:paraId="7819AC2B" w14:textId="12AB0622">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C60CF">
        <w:rPr>
          <w:color w:val="000000"/>
        </w:rPr>
        <w:t>A CAH must ensure it has the necessary staffing, equipment, supplies, and medication to provide emergency services. This includes coordinating with the local emergency response systems and being able to refer or transfer patients to other providers once a patient has been stabilized under EMTALA requirements. The</w:t>
      </w:r>
      <w:r w:rsidRPr="00CC60CF">
        <w:rPr>
          <w:color w:val="000000"/>
        </w:rPr>
        <w:t xml:space="preserve"> burden associated with these CoPs is exempt from the PRA per 5 CFR</w:t>
      </w:r>
      <w:r w:rsidR="00E744E5">
        <w:rPr>
          <w:color w:val="000000"/>
        </w:rPr>
        <w:t xml:space="preserve"> §</w:t>
      </w:r>
      <w:r w:rsidRPr="00CC60CF">
        <w:rPr>
          <w:color w:val="000000"/>
        </w:rPr>
        <w:t xml:space="preserve">1320.3(b)(2) because it is usual and customary practice for facilities that provide emergency services and is also </w:t>
      </w:r>
      <w:r w:rsidRPr="00CC60CF" w:rsidR="0060007F">
        <w:rPr>
          <w:color w:val="000000"/>
        </w:rPr>
        <w:t>patient related</w:t>
      </w:r>
      <w:r w:rsidRPr="00CC60CF">
        <w:rPr>
          <w:color w:val="000000"/>
        </w:rPr>
        <w:t>.</w:t>
      </w:r>
    </w:p>
    <w:p w:rsidR="000C78B6" w:rsidP="00CE5CF1" w14:paraId="10F8E6C6"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A1544" w:rsidP="001A1544" w14:paraId="3F7862DA" w14:textId="1346800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We previously calculated a burden related to </w:t>
      </w:r>
      <w:r w:rsidRPr="000C78B6">
        <w:rPr>
          <w:color w:val="000000"/>
        </w:rPr>
        <w:t>Section 485.618(c) requiring CAHs to update</w:t>
      </w:r>
      <w:r w:rsidRPr="007A6DD8">
        <w:rPr>
          <w:color w:val="000000"/>
        </w:rPr>
        <w:t xml:space="preserve"> policy agreements with blood collection establishments to ensure prompt notification about potentially infected blood and blood products. </w:t>
      </w:r>
      <w:r>
        <w:rPr>
          <w:color w:val="000000"/>
        </w:rPr>
        <w:t>T</w:t>
      </w:r>
      <w:r w:rsidR="000C78B6">
        <w:rPr>
          <w:color w:val="000000"/>
        </w:rPr>
        <w:t xml:space="preserve">his burden is </w:t>
      </w:r>
      <w:r w:rsidR="007432B2">
        <w:rPr>
          <w:color w:val="000000"/>
        </w:rPr>
        <w:t xml:space="preserve">also </w:t>
      </w:r>
      <w:r w:rsidRPr="00CC60CF" w:rsidR="000C78B6">
        <w:rPr>
          <w:color w:val="000000"/>
        </w:rPr>
        <w:t>exempt from the PRA per 5 CFR</w:t>
      </w:r>
      <w:r w:rsidR="00B017FD">
        <w:rPr>
          <w:color w:val="000000"/>
        </w:rPr>
        <w:t xml:space="preserve"> §</w:t>
      </w:r>
      <w:r w:rsidRPr="00CC60CF" w:rsidR="000C78B6">
        <w:rPr>
          <w:color w:val="000000"/>
        </w:rPr>
        <w:t>1320.3(b)(2) because</w:t>
      </w:r>
      <w:r w:rsidR="000C78B6">
        <w:rPr>
          <w:color w:val="000000"/>
        </w:rPr>
        <w:t xml:space="preserve"> it</w:t>
      </w:r>
      <w:r w:rsidRPr="00CC60CF" w:rsidR="000C78B6">
        <w:rPr>
          <w:color w:val="000000"/>
        </w:rPr>
        <w:t xml:space="preserve"> </w:t>
      </w:r>
      <w:r w:rsidR="000C78B6">
        <w:rPr>
          <w:color w:val="000000"/>
        </w:rPr>
        <w:t>should be</w:t>
      </w:r>
      <w:r w:rsidRPr="00CC60CF" w:rsidR="000C78B6">
        <w:rPr>
          <w:color w:val="000000"/>
        </w:rPr>
        <w:t xml:space="preserve"> usual and customary practice</w:t>
      </w:r>
      <w:r w:rsidR="000C78B6">
        <w:rPr>
          <w:color w:val="000000"/>
        </w:rPr>
        <w:t>.</w:t>
      </w:r>
    </w:p>
    <w:p w:rsidR="006E122F" w:rsidRPr="00E14A24" w14:paraId="007481BB" w14:textId="63BFE9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00"/>
          <w:u w:val="single"/>
        </w:rPr>
      </w:pPr>
      <w:r w:rsidRPr="00E14A24">
        <w:rPr>
          <w:b/>
          <w:bCs/>
          <w:i/>
          <w:iCs/>
          <w:color w:val="000000"/>
          <w:u w:val="single"/>
        </w:rPr>
        <w:t>485.623</w:t>
      </w:r>
      <w:r w:rsidRPr="00E14A24">
        <w:rPr>
          <w:b/>
          <w:bCs/>
          <w:i/>
          <w:iCs/>
          <w:color w:val="000000"/>
          <w:u w:val="single"/>
        </w:rPr>
        <w:t>(</w:t>
      </w:r>
      <w:r w:rsidRPr="00E14A24" w:rsidR="00E14A24">
        <w:rPr>
          <w:b/>
          <w:bCs/>
          <w:i/>
          <w:iCs/>
          <w:color w:val="000000"/>
          <w:u w:val="single"/>
        </w:rPr>
        <w:t>c</w:t>
      </w:r>
      <w:r w:rsidRPr="00E14A24">
        <w:rPr>
          <w:b/>
          <w:bCs/>
          <w:i/>
          <w:iCs/>
          <w:color w:val="000000"/>
          <w:u w:val="single"/>
        </w:rPr>
        <w:t xml:space="preserve">)(4) – </w:t>
      </w:r>
      <w:r w:rsidR="008A0ED4">
        <w:rPr>
          <w:b/>
          <w:bCs/>
          <w:i/>
          <w:iCs/>
          <w:color w:val="000000"/>
          <w:u w:val="single"/>
        </w:rPr>
        <w:t>CoP:</w:t>
      </w:r>
      <w:r w:rsidRPr="00E14A24">
        <w:rPr>
          <w:b/>
          <w:bCs/>
          <w:i/>
          <w:iCs/>
          <w:color w:val="000000"/>
          <w:u w:val="single"/>
        </w:rPr>
        <w:t xml:space="preserve"> Life Safety </w:t>
      </w:r>
      <w:r w:rsidRPr="00E14A24" w:rsidR="002D160F">
        <w:rPr>
          <w:b/>
          <w:bCs/>
          <w:i/>
          <w:iCs/>
          <w:color w:val="000000"/>
          <w:u w:val="single"/>
        </w:rPr>
        <w:t>from</w:t>
      </w:r>
      <w:r w:rsidRPr="00E14A24" w:rsidR="0056094B">
        <w:rPr>
          <w:b/>
          <w:bCs/>
          <w:i/>
          <w:iCs/>
          <w:color w:val="000000"/>
          <w:u w:val="single"/>
        </w:rPr>
        <w:t xml:space="preserve"> f</w:t>
      </w:r>
      <w:r w:rsidRPr="00E14A24">
        <w:rPr>
          <w:b/>
          <w:bCs/>
          <w:i/>
          <w:iCs/>
          <w:color w:val="000000"/>
          <w:u w:val="single"/>
        </w:rPr>
        <w:t>ire</w:t>
      </w:r>
    </w:p>
    <w:p w:rsidR="00E14A24" w:rsidP="00FF7950" w14:paraId="16F7CD61" w14:textId="7FA5B6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226388">
        <w:rPr>
          <w:color w:val="000000"/>
        </w:rPr>
        <w:t>We previously calculated a burden f</w:t>
      </w:r>
      <w:r>
        <w:rPr>
          <w:color w:val="000000"/>
        </w:rPr>
        <w:t>or the requirement that CAHs must maintain written evidence of regular fire inspections by local or state fire control agencies.</w:t>
      </w:r>
      <w:r>
        <w:rPr>
          <w:rStyle w:val="StyleFootnoteReferenceBlackSuperscript"/>
        </w:rPr>
        <w:footnoteReference w:id="5"/>
      </w:r>
      <w:r w:rsidRPr="00E14A24">
        <w:rPr>
          <w:color w:val="000000"/>
          <w:vertAlign w:val="superscript"/>
        </w:rPr>
        <w:t xml:space="preserve"> </w:t>
      </w:r>
      <w:r>
        <w:rPr>
          <w:color w:val="000000"/>
          <w:vertAlign w:val="superscript"/>
        </w:rPr>
        <w:t xml:space="preserve"> </w:t>
      </w:r>
      <w:r w:rsidRPr="00FF7950">
        <w:rPr>
          <w:color w:val="000000"/>
        </w:rPr>
        <w:t xml:space="preserve">However, the burden associated with this requirement is exempt from the PRA per 5 CFR </w:t>
      </w:r>
      <w:r w:rsidR="00B017FD">
        <w:rPr>
          <w:color w:val="000000"/>
        </w:rPr>
        <w:t>§</w:t>
      </w:r>
      <w:r w:rsidRPr="00FF7950">
        <w:rPr>
          <w:color w:val="000000"/>
        </w:rPr>
        <w:t xml:space="preserve">1320.3(b)(2) because maintaining documentation of safety inspections is usual and customary practice. Maintaining this evidence is </w:t>
      </w:r>
      <w:r w:rsidRPr="00FF7950" w:rsidR="0060007F">
        <w:rPr>
          <w:color w:val="000000"/>
        </w:rPr>
        <w:t>also</w:t>
      </w:r>
      <w:r w:rsidRPr="00FF7950">
        <w:rPr>
          <w:color w:val="000000"/>
        </w:rPr>
        <w:t xml:space="preserve"> required by local and state agencies and thus this burden is also exempt per 5 CFR </w:t>
      </w:r>
      <w:r w:rsidR="00E744E5">
        <w:rPr>
          <w:color w:val="000000"/>
        </w:rPr>
        <w:t>§</w:t>
      </w:r>
      <w:r w:rsidRPr="00FF7950">
        <w:rPr>
          <w:color w:val="000000"/>
        </w:rPr>
        <w:t>1320.3(b)(3)</w:t>
      </w:r>
      <w:r w:rsidRPr="00FF7950" w:rsidR="00FF7950">
        <w:rPr>
          <w:color w:val="000000"/>
        </w:rPr>
        <w:t>.</w:t>
      </w:r>
      <w:r w:rsidRPr="00FF7950">
        <w:rPr>
          <w:color w:val="000000"/>
        </w:rPr>
        <w:t xml:space="preserve"> </w:t>
      </w:r>
    </w:p>
    <w:p w:rsidR="00E14A24" w14:paraId="168A536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FF7950" w:rsidRPr="002D2E6B" w14:paraId="7D6C52BE" w14:textId="6D33C34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00"/>
          <w:u w:val="single"/>
        </w:rPr>
      </w:pPr>
      <w:r w:rsidRPr="002D2E6B">
        <w:rPr>
          <w:b/>
          <w:bCs/>
          <w:i/>
          <w:iCs/>
          <w:color w:val="000000"/>
          <w:u w:val="single"/>
        </w:rPr>
        <w:t>485.631</w:t>
      </w:r>
      <w:r w:rsidRPr="002D2E6B">
        <w:rPr>
          <w:b/>
          <w:bCs/>
          <w:i/>
          <w:iCs/>
          <w:color w:val="000000"/>
          <w:u w:val="single"/>
        </w:rPr>
        <w:t>(c)(1)</w:t>
      </w:r>
      <w:r w:rsidRPr="002D2E6B" w:rsidR="004A12DE">
        <w:rPr>
          <w:b/>
          <w:bCs/>
          <w:i/>
          <w:iCs/>
          <w:color w:val="000000"/>
          <w:u w:val="single"/>
        </w:rPr>
        <w:t>(i)</w:t>
      </w:r>
      <w:r w:rsidRPr="002D2E6B">
        <w:rPr>
          <w:b/>
          <w:bCs/>
          <w:i/>
          <w:iCs/>
          <w:color w:val="000000"/>
          <w:u w:val="single"/>
        </w:rPr>
        <w:t xml:space="preserve"> – </w:t>
      </w:r>
      <w:r w:rsidR="008A0ED4">
        <w:rPr>
          <w:b/>
          <w:bCs/>
          <w:i/>
          <w:iCs/>
          <w:color w:val="000000"/>
          <w:u w:val="single"/>
        </w:rPr>
        <w:t xml:space="preserve">CoP: </w:t>
      </w:r>
      <w:r w:rsidRPr="002D2E6B">
        <w:rPr>
          <w:b/>
          <w:bCs/>
          <w:i/>
          <w:iCs/>
          <w:color w:val="000000"/>
          <w:u w:val="single"/>
        </w:rPr>
        <w:t>Physician assistant, nurse practitioner, and clinical nurse specialist responsibilities</w:t>
      </w:r>
      <w:r w:rsidRPr="002D2E6B" w:rsidR="004A12DE">
        <w:rPr>
          <w:b/>
          <w:bCs/>
          <w:i/>
          <w:iCs/>
          <w:color w:val="000000"/>
          <w:u w:val="single"/>
        </w:rPr>
        <w:t xml:space="preserve"> for development and review of policies</w:t>
      </w:r>
      <w:r w:rsidRPr="002D2E6B">
        <w:rPr>
          <w:b/>
          <w:bCs/>
          <w:i/>
          <w:iCs/>
          <w:color w:val="000000"/>
          <w:u w:val="single"/>
        </w:rPr>
        <w:t>.</w:t>
      </w:r>
    </w:p>
    <w:p w:rsidR="00FF4E40" w:rsidP="004A12DE" w14:paraId="61B72EC5" w14:textId="7D72F5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We previously calculated a burden for the “</w:t>
      </w:r>
      <w:r w:rsidRPr="004A12DE">
        <w:rPr>
          <w:color w:val="000000"/>
        </w:rPr>
        <w:t>periodic review of the written policies governing the services the CAH furnishe</w:t>
      </w:r>
      <w:r>
        <w:rPr>
          <w:color w:val="000000"/>
        </w:rPr>
        <w:t>s” by medical staff</w:t>
      </w:r>
      <w:r w:rsidR="0060007F">
        <w:rPr>
          <w:color w:val="000000"/>
        </w:rPr>
        <w:t xml:space="preserve">. </w:t>
      </w:r>
      <w:r>
        <w:rPr>
          <w:color w:val="000000"/>
        </w:rPr>
        <w:t>However, staffing requirements and responsibilities – including administrative functions that provide oversight and quality assurance – should be considered customary and usual practice</w:t>
      </w:r>
      <w:r w:rsidR="0060007F">
        <w:rPr>
          <w:color w:val="000000"/>
        </w:rPr>
        <w:t xml:space="preserve">. </w:t>
      </w:r>
      <w:r>
        <w:rPr>
          <w:color w:val="000000"/>
        </w:rPr>
        <w:t>As a result, th</w:t>
      </w:r>
      <w:r w:rsidRPr="00FF7950">
        <w:rPr>
          <w:color w:val="000000"/>
        </w:rPr>
        <w:t xml:space="preserve">e burden associated with this </w:t>
      </w:r>
      <w:r>
        <w:rPr>
          <w:color w:val="000000"/>
        </w:rPr>
        <w:t xml:space="preserve">staffing </w:t>
      </w:r>
      <w:r w:rsidRPr="00FF7950">
        <w:rPr>
          <w:color w:val="000000"/>
        </w:rPr>
        <w:t>requirement is exempt from the PRA per 5 CFR</w:t>
      </w:r>
      <w:r w:rsidR="00B017FD">
        <w:rPr>
          <w:color w:val="000000"/>
        </w:rPr>
        <w:t xml:space="preserve"> §</w:t>
      </w:r>
      <w:r w:rsidRPr="00FF7950">
        <w:rPr>
          <w:color w:val="000000"/>
        </w:rPr>
        <w:t>1320.3(b)(2)</w:t>
      </w:r>
      <w:r>
        <w:rPr>
          <w:color w:val="000000"/>
        </w:rPr>
        <w:t>.</w:t>
      </w:r>
    </w:p>
    <w:p w:rsidR="00A34E8A" w:rsidP="00A34E8A" w14:paraId="38D7E6E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616A9" w:rsidRPr="007432B2" w:rsidP="008616A9" w14:paraId="762E838C" w14:textId="6A78ED68">
      <w:pPr>
        <w:pStyle w:val="Style0"/>
        <w:rPr>
          <w:b/>
          <w:bCs/>
          <w:i/>
          <w:iCs/>
          <w:color w:val="000000"/>
          <w:u w:val="single"/>
        </w:rPr>
      </w:pPr>
      <w:r w:rsidRPr="007432B2">
        <w:rPr>
          <w:b/>
          <w:bCs/>
          <w:i/>
          <w:iCs/>
          <w:color w:val="000000"/>
          <w:u w:val="single"/>
        </w:rPr>
        <w:t>485.635(a)</w:t>
      </w:r>
      <w:r w:rsidRPr="007432B2" w:rsidR="001D0FE0">
        <w:rPr>
          <w:b/>
          <w:bCs/>
          <w:i/>
          <w:iCs/>
          <w:color w:val="000000"/>
          <w:u w:val="single"/>
        </w:rPr>
        <w:t>(4)</w:t>
      </w:r>
      <w:r w:rsidRPr="007432B2">
        <w:rPr>
          <w:b/>
          <w:bCs/>
          <w:i/>
          <w:iCs/>
          <w:color w:val="000000"/>
          <w:u w:val="single"/>
        </w:rPr>
        <w:t xml:space="preserve"> – </w:t>
      </w:r>
      <w:r w:rsidR="008A0ED4">
        <w:rPr>
          <w:b/>
          <w:bCs/>
          <w:i/>
          <w:iCs/>
          <w:color w:val="000000"/>
          <w:u w:val="single"/>
        </w:rPr>
        <w:t xml:space="preserve">CoP: </w:t>
      </w:r>
      <w:r w:rsidRPr="007432B2">
        <w:rPr>
          <w:b/>
          <w:bCs/>
          <w:i/>
          <w:iCs/>
          <w:color w:val="000000"/>
          <w:u w:val="single"/>
        </w:rPr>
        <w:t>Patient care policies</w:t>
      </w:r>
    </w:p>
    <w:p w:rsidR="00FF4E40" w:rsidP="00FF4E40" w14:paraId="4F836587" w14:textId="7CD843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Per Section</w:t>
      </w:r>
      <w:r>
        <w:rPr>
          <w:color w:val="000000"/>
        </w:rPr>
        <w:t xml:space="preserve"> 485.635(a)</w:t>
      </w:r>
      <w:r>
        <w:rPr>
          <w:color w:val="000000"/>
        </w:rPr>
        <w:t>(4)</w:t>
      </w:r>
      <w:r>
        <w:rPr>
          <w:color w:val="000000"/>
        </w:rPr>
        <w:t>, CAHs are required to conduct biennial</w:t>
      </w:r>
      <w:r w:rsidRPr="004A12DE">
        <w:rPr>
          <w:color w:val="000000"/>
        </w:rPr>
        <w:t xml:space="preserve"> review of policies </w:t>
      </w:r>
      <w:r>
        <w:rPr>
          <w:color w:val="000000"/>
        </w:rPr>
        <w:t>and procedures related to patient care. This requirement previously was an annual review and we considered it usual and customary business practice and thus exempt from the PRA. Because the review is now every two years, it is related to patient care, and should be considered usual and customary practice, th</w:t>
      </w:r>
      <w:r w:rsidRPr="00FF7950">
        <w:rPr>
          <w:color w:val="000000"/>
        </w:rPr>
        <w:t xml:space="preserve">e burden associated with this </w:t>
      </w:r>
      <w:r>
        <w:rPr>
          <w:color w:val="000000"/>
        </w:rPr>
        <w:t xml:space="preserve">staffing </w:t>
      </w:r>
      <w:r w:rsidRPr="00FF7950">
        <w:rPr>
          <w:color w:val="000000"/>
        </w:rPr>
        <w:t>requirement is exempt from the PRA per 5 CFR</w:t>
      </w:r>
      <w:r w:rsidR="00B017FD">
        <w:rPr>
          <w:color w:val="000000"/>
        </w:rPr>
        <w:t xml:space="preserve"> §</w:t>
      </w:r>
      <w:r w:rsidRPr="00FF7950">
        <w:rPr>
          <w:color w:val="000000"/>
        </w:rPr>
        <w:t>1320.3(b)(2)</w:t>
      </w:r>
      <w:r>
        <w:rPr>
          <w:color w:val="000000"/>
        </w:rPr>
        <w:t>.</w:t>
      </w:r>
    </w:p>
    <w:p w:rsidR="007432B2" w:rsidP="008616A9" w14:paraId="6C778186" w14:textId="77777777">
      <w:pPr>
        <w:pStyle w:val="Style0"/>
        <w:rPr>
          <w:color w:val="000000"/>
        </w:rPr>
      </w:pPr>
    </w:p>
    <w:p w:rsidR="00F30D3E" w:rsidRPr="007432B2" w:rsidP="00F30D3E" w14:paraId="5D6504D0" w14:textId="0973B60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u w:val="single"/>
        </w:rPr>
      </w:pPr>
      <w:r w:rsidRPr="007432B2">
        <w:rPr>
          <w:b/>
          <w:bCs/>
          <w:i/>
          <w:iCs/>
          <w:u w:val="single"/>
        </w:rPr>
        <w:t>48</w:t>
      </w:r>
      <w:r w:rsidRPr="007432B2" w:rsidR="001B1E9C">
        <w:rPr>
          <w:b/>
          <w:bCs/>
          <w:i/>
          <w:iCs/>
          <w:u w:val="single"/>
        </w:rPr>
        <w:t>5</w:t>
      </w:r>
      <w:r w:rsidRPr="007432B2" w:rsidR="002E1B3D">
        <w:rPr>
          <w:b/>
          <w:bCs/>
          <w:i/>
          <w:iCs/>
          <w:u w:val="single"/>
        </w:rPr>
        <w:t>.635</w:t>
      </w:r>
      <w:r w:rsidRPr="007432B2">
        <w:rPr>
          <w:b/>
          <w:bCs/>
          <w:i/>
          <w:iCs/>
          <w:u w:val="single"/>
        </w:rPr>
        <w:t>(c)(3) –</w:t>
      </w:r>
      <w:r w:rsidR="008A0ED4">
        <w:rPr>
          <w:b/>
          <w:bCs/>
          <w:i/>
          <w:iCs/>
          <w:u w:val="single"/>
        </w:rPr>
        <w:t xml:space="preserve"> CoP: </w:t>
      </w:r>
      <w:r w:rsidRPr="007432B2">
        <w:rPr>
          <w:b/>
          <w:bCs/>
          <w:i/>
          <w:iCs/>
          <w:u w:val="single"/>
        </w:rPr>
        <w:t>Services provided through agreements or arrangements</w:t>
      </w:r>
    </w:p>
    <w:p w:rsidR="001D0FE0" w:rsidRPr="001D0FE0" w:rsidP="001D0FE0" w14:paraId="4673585C" w14:textId="0FAFA7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26388">
        <w:rPr>
          <w:color w:val="000000"/>
        </w:rPr>
        <w:t>We previously calculated a burden f</w:t>
      </w:r>
      <w:r>
        <w:rPr>
          <w:color w:val="000000"/>
        </w:rPr>
        <w:t xml:space="preserve">or the requirement that CAHs must maintain a </w:t>
      </w:r>
      <w:r w:rsidRPr="007A6DD8">
        <w:t>list of all services furnished under arrangements or agreement</w:t>
      </w:r>
      <w:r>
        <w:t>.</w:t>
      </w:r>
      <w:r>
        <w:rPr>
          <w:color w:val="000000"/>
        </w:rPr>
        <w:t xml:space="preserve"> </w:t>
      </w:r>
      <w:r w:rsidRPr="00FF7950">
        <w:rPr>
          <w:color w:val="000000"/>
        </w:rPr>
        <w:t>However, the burden associated with this requirement is exempt from the PRA per 5 CFR</w:t>
      </w:r>
      <w:r w:rsidR="00B017FD">
        <w:rPr>
          <w:color w:val="000000"/>
        </w:rPr>
        <w:t xml:space="preserve"> §</w:t>
      </w:r>
      <w:r w:rsidRPr="00FF7950">
        <w:rPr>
          <w:color w:val="000000"/>
        </w:rPr>
        <w:t xml:space="preserve">1320.3(b)(2) because </w:t>
      </w:r>
      <w:r>
        <w:rPr>
          <w:color w:val="000000"/>
        </w:rPr>
        <w:t>ensuring written agreements for providing services exist should be considered usual and customary practice.</w:t>
      </w:r>
    </w:p>
    <w:p w:rsidR="008936D1" w:rsidRPr="007A6DD8" w:rsidP="00FC5B44" w14:paraId="7764878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FC5B44" w:rsidRPr="007432B2" w:rsidP="00FC5B44" w14:paraId="32533941" w14:textId="5788108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00"/>
          <w:u w:val="single"/>
        </w:rPr>
      </w:pPr>
      <w:r w:rsidRPr="007432B2">
        <w:rPr>
          <w:b/>
          <w:bCs/>
          <w:i/>
          <w:iCs/>
          <w:color w:val="000000"/>
          <w:u w:val="single"/>
        </w:rPr>
        <w:t>485.635(f)</w:t>
      </w:r>
      <w:r w:rsidR="008A0ED4">
        <w:rPr>
          <w:b/>
          <w:bCs/>
          <w:i/>
          <w:iCs/>
          <w:color w:val="000000"/>
          <w:u w:val="single"/>
        </w:rPr>
        <w:t xml:space="preserve"> - CoP</w:t>
      </w:r>
      <w:r w:rsidRPr="007432B2">
        <w:rPr>
          <w:b/>
          <w:bCs/>
          <w:i/>
          <w:iCs/>
          <w:color w:val="000000"/>
          <w:u w:val="single"/>
        </w:rPr>
        <w:t>: Provision of services</w:t>
      </w:r>
    </w:p>
    <w:p w:rsidR="001D0FE0" w:rsidP="001D0FE0" w14:paraId="6D371932" w14:textId="60ABB2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26388">
        <w:rPr>
          <w:color w:val="000000"/>
        </w:rPr>
        <w:t>We previously calculated a burden f</w:t>
      </w:r>
      <w:r>
        <w:rPr>
          <w:color w:val="000000"/>
        </w:rPr>
        <w:t xml:space="preserve">or the requirement that CAHs have </w:t>
      </w:r>
      <w:r w:rsidRPr="007A6DD8">
        <w:rPr>
          <w:color w:val="000000"/>
        </w:rPr>
        <w:t>written policies and procedures regarding the visitation rights of patients, including any clinically necessary or reasonable restriction or limitation that the CAH may need to place on such rights and the reasons for the clinical restriction or limitation.</w:t>
      </w:r>
      <w:r w:rsidRPr="001D0FE0">
        <w:rPr>
          <w:color w:val="000000"/>
        </w:rPr>
        <w:t xml:space="preserve"> </w:t>
      </w:r>
      <w:r>
        <w:rPr>
          <w:color w:val="000000"/>
        </w:rPr>
        <w:t xml:space="preserve">However, </w:t>
      </w:r>
      <w:r w:rsidRPr="00FF7950">
        <w:rPr>
          <w:color w:val="000000"/>
        </w:rPr>
        <w:t xml:space="preserve">the burden associated with this requirement is exempt from the PRA per 5 CFR </w:t>
      </w:r>
      <w:r w:rsidR="00B017FD">
        <w:rPr>
          <w:color w:val="000000"/>
        </w:rPr>
        <w:t>§1</w:t>
      </w:r>
      <w:r w:rsidRPr="00FF7950">
        <w:rPr>
          <w:color w:val="000000"/>
        </w:rPr>
        <w:t>320.3(b)(2</w:t>
      </w:r>
      <w:r>
        <w:rPr>
          <w:color w:val="000000"/>
        </w:rPr>
        <w:t xml:space="preserve">) because it is related to patient care and should </w:t>
      </w:r>
      <w:r w:rsidR="007432B2">
        <w:rPr>
          <w:color w:val="000000"/>
        </w:rPr>
        <w:t xml:space="preserve">also </w:t>
      </w:r>
      <w:r>
        <w:rPr>
          <w:color w:val="000000"/>
        </w:rPr>
        <w:t>be considered usual and customary practice.</w:t>
      </w:r>
    </w:p>
    <w:p w:rsidR="006D041A" w:rsidP="001D0FE0" w14:paraId="5786B40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512C4" w:rsidP="001D0FE0" w14:paraId="60B0721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512C4" w:rsidP="001D0FE0" w14:paraId="7595195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744E5" w:rsidP="001D0FE0" w14:paraId="7CA0BA3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96655" w:rsidP="001D0FE0" w14:paraId="790EF17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744E5" w:rsidP="001D0FE0" w14:paraId="557A230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744E5" w:rsidP="001D0FE0" w14:paraId="7C6C1C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77FA6" w:rsidRPr="007432B2" w:rsidP="00077FA6" w14:paraId="0165A244" w14:textId="1965C7E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00"/>
          <w:u w:val="single"/>
        </w:rPr>
      </w:pPr>
      <w:r w:rsidRPr="007432B2">
        <w:rPr>
          <w:b/>
          <w:bCs/>
          <w:i/>
          <w:iCs/>
          <w:color w:val="000000"/>
          <w:u w:val="single"/>
        </w:rPr>
        <w:t xml:space="preserve">485.638 – </w:t>
      </w:r>
      <w:r w:rsidR="008A0ED4">
        <w:rPr>
          <w:b/>
          <w:bCs/>
          <w:i/>
          <w:iCs/>
          <w:color w:val="000000"/>
          <w:u w:val="single"/>
        </w:rPr>
        <w:t xml:space="preserve">CoP: </w:t>
      </w:r>
      <w:r w:rsidRPr="007432B2">
        <w:rPr>
          <w:b/>
          <w:bCs/>
          <w:i/>
          <w:iCs/>
          <w:color w:val="000000"/>
          <w:u w:val="single"/>
        </w:rPr>
        <w:t>Clinical Records</w:t>
      </w:r>
    </w:p>
    <w:p w:rsidR="00263536" w:rsidP="00077FA6" w14:paraId="5233A0BD" w14:textId="6CA02AF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CoP to maintain health records is</w:t>
      </w:r>
      <w:r w:rsidRPr="000A5ED5">
        <w:t xml:space="preserve"> </w:t>
      </w:r>
      <w:r>
        <w:t xml:space="preserve">patient related and </w:t>
      </w:r>
      <w:r w:rsidRPr="000A5ED5">
        <w:t>usual and customary business</w:t>
      </w:r>
      <w:r w:rsidRPr="007A6DD8">
        <w:t xml:space="preserve"> practice</w:t>
      </w:r>
      <w:r w:rsidR="0060007F">
        <w:t xml:space="preserve">. </w:t>
      </w:r>
      <w:r w:rsidR="00B87225">
        <w:t>Thus, t</w:t>
      </w:r>
      <w:r>
        <w:t>he burden associated with this requirement is</w:t>
      </w:r>
      <w:r w:rsidRPr="007A6DD8">
        <w:t xml:space="preserve"> exempt from the PRA</w:t>
      </w:r>
      <w:r>
        <w:t xml:space="preserve"> per</w:t>
      </w:r>
      <w:r w:rsidRPr="000A5ED5">
        <w:t xml:space="preserve"> 5 CFR </w:t>
      </w:r>
      <w:r w:rsidR="00B017FD">
        <w:t>§1</w:t>
      </w:r>
      <w:r w:rsidRPr="000A5ED5">
        <w:t>320.3(b)(2)</w:t>
      </w:r>
      <w:r>
        <w:t>.</w:t>
      </w:r>
    </w:p>
    <w:p w:rsidR="001C7F3F" w:rsidP="00077FA6" w14:paraId="0EFDE49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F2D09" w:rsidP="00077FA6" w14:paraId="18ABB58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2244F" w:rsidRPr="00092EAF" w14:paraId="55316E39" w14:textId="4D29B3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00"/>
          <w:u w:val="single"/>
        </w:rPr>
      </w:pPr>
      <w:r w:rsidRPr="00092EAF">
        <w:rPr>
          <w:b/>
          <w:bCs/>
          <w:i/>
          <w:iCs/>
          <w:color w:val="000000"/>
          <w:u w:val="single"/>
        </w:rPr>
        <w:t xml:space="preserve">485.641 – </w:t>
      </w:r>
      <w:r w:rsidR="008A0ED4">
        <w:rPr>
          <w:b/>
          <w:bCs/>
          <w:i/>
          <w:iCs/>
          <w:color w:val="000000"/>
          <w:u w:val="single"/>
        </w:rPr>
        <w:t>CoP</w:t>
      </w:r>
      <w:r w:rsidRPr="00092EAF" w:rsidR="00730288">
        <w:rPr>
          <w:b/>
          <w:bCs/>
          <w:i/>
          <w:iCs/>
          <w:color w:val="000000"/>
          <w:u w:val="single"/>
        </w:rPr>
        <w:t>: Quality assessment and performance improvement program</w:t>
      </w:r>
      <w:r w:rsidR="008A0ED4">
        <w:rPr>
          <w:b/>
          <w:bCs/>
          <w:i/>
          <w:iCs/>
          <w:color w:val="000000"/>
          <w:u w:val="single"/>
        </w:rPr>
        <w:t xml:space="preserve"> (QAPI)</w:t>
      </w:r>
      <w:r w:rsidRPr="00092EAF" w:rsidR="00730288">
        <w:rPr>
          <w:b/>
          <w:bCs/>
          <w:i/>
          <w:iCs/>
          <w:color w:val="000000"/>
          <w:u w:val="single"/>
        </w:rPr>
        <w:t xml:space="preserve"> </w:t>
      </w:r>
    </w:p>
    <w:p w:rsidR="00B87225" w:rsidRPr="00092EAF" w:rsidP="00B87225" w14:paraId="5DC61826" w14:textId="579DDD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szCs w:val="24"/>
        </w:rPr>
      </w:pPr>
      <w:r w:rsidRPr="00092EAF">
        <w:rPr>
          <w:szCs w:val="24"/>
        </w:rPr>
        <w:t xml:space="preserve">When the QAPI programs were first required as a CoP, we identified and previously calculated the burden associated with information collection requirements for the creation of a QAPI program, implementing and tracking quality data, and making improvements based on the findings. Since then, however, CAHs that fail to monitor quality and make improvements would inevitably lead to poor patient outcomes, higher costs, and potentially legal liability, whether or not certified by CMS. As a result, the majority of the information collection requirements associated with a CAH’s QAPI program should be considered </w:t>
      </w:r>
      <w:r w:rsidRPr="00092EAF">
        <w:rPr>
          <w:rFonts w:eastAsia="Times"/>
          <w:szCs w:val="24"/>
        </w:rPr>
        <w:t>customary and usual industry practice</w:t>
      </w:r>
      <w:r w:rsidRPr="00092EAF">
        <w:rPr>
          <w:szCs w:val="24"/>
        </w:rPr>
        <w:t xml:space="preserve"> and thus exempt from the PRA under 5 CFR </w:t>
      </w:r>
      <w:r w:rsidR="00B017FD">
        <w:rPr>
          <w:szCs w:val="24"/>
        </w:rPr>
        <w:t>§</w:t>
      </w:r>
      <w:r w:rsidRPr="00092EAF">
        <w:rPr>
          <w:szCs w:val="24"/>
        </w:rPr>
        <w:t>1320.3(b)(2).</w:t>
      </w:r>
    </w:p>
    <w:p w:rsidR="0062244F" w:rsidRPr="00092EAF" w14:paraId="645E524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u w:val="single"/>
        </w:rPr>
      </w:pPr>
    </w:p>
    <w:p w:rsidR="00B87225" w:rsidRPr="00092EAF" w:rsidP="00B87225" w14:paraId="36A7B00F" w14:textId="28EF3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szCs w:val="24"/>
        </w:rPr>
      </w:pPr>
      <w:r w:rsidRPr="00092EAF">
        <w:rPr>
          <w:szCs w:val="24"/>
        </w:rPr>
        <w:t xml:space="preserve">However, as a CoP under Section 485.641,CAHs </w:t>
      </w:r>
      <w:r w:rsidR="009D6927">
        <w:rPr>
          <w:szCs w:val="24"/>
        </w:rPr>
        <w:t>must</w:t>
      </w:r>
      <w:r w:rsidRPr="00092EAF">
        <w:rPr>
          <w:szCs w:val="24"/>
        </w:rPr>
        <w:t xml:space="preserve"> “</w:t>
      </w:r>
      <w:r w:rsidRPr="00092EAF">
        <w:rPr>
          <w:color w:val="000000"/>
          <w:szCs w:val="24"/>
        </w:rPr>
        <w:t xml:space="preserve">maintain and demonstrate evidence of the effectiveness of its QAPI program” </w:t>
      </w:r>
      <w:r w:rsidR="009D6927">
        <w:rPr>
          <w:color w:val="000000"/>
          <w:szCs w:val="24"/>
        </w:rPr>
        <w:t>for CMS to review</w:t>
      </w:r>
      <w:r w:rsidR="006D041A">
        <w:rPr>
          <w:color w:val="000000"/>
          <w:szCs w:val="24"/>
        </w:rPr>
        <w:t xml:space="preserve">, </w:t>
      </w:r>
      <w:r w:rsidRPr="00092EAF">
        <w:rPr>
          <w:szCs w:val="24"/>
        </w:rPr>
        <w:t xml:space="preserve">which </w:t>
      </w:r>
      <w:r w:rsidR="009D6927">
        <w:rPr>
          <w:szCs w:val="24"/>
        </w:rPr>
        <w:t xml:space="preserve">is a task </w:t>
      </w:r>
      <w:r w:rsidR="006D041A">
        <w:rPr>
          <w:szCs w:val="24"/>
        </w:rPr>
        <w:t>CAHs would</w:t>
      </w:r>
      <w:r w:rsidRPr="00092EAF">
        <w:rPr>
          <w:szCs w:val="24"/>
        </w:rPr>
        <w:t xml:space="preserve"> </w:t>
      </w:r>
      <w:r w:rsidR="006D041A">
        <w:rPr>
          <w:szCs w:val="24"/>
        </w:rPr>
        <w:t xml:space="preserve">otherwise </w:t>
      </w:r>
      <w:r w:rsidRPr="00092EAF">
        <w:rPr>
          <w:szCs w:val="24"/>
        </w:rPr>
        <w:t>not need to do</w:t>
      </w:r>
      <w:r w:rsidR="009D6927">
        <w:rPr>
          <w:szCs w:val="24"/>
        </w:rPr>
        <w:t>, but for the CoP</w:t>
      </w:r>
      <w:r w:rsidRPr="00092EAF" w:rsidR="00567C7F">
        <w:rPr>
          <w:szCs w:val="24"/>
        </w:rPr>
        <w:t xml:space="preserve">. Thus, </w:t>
      </w:r>
      <w:r w:rsidRPr="00092EAF">
        <w:rPr>
          <w:szCs w:val="24"/>
        </w:rPr>
        <w:t>we estimate the burden associated with this</w:t>
      </w:r>
      <w:r w:rsidRPr="00092EAF" w:rsidR="00567C7F">
        <w:rPr>
          <w:szCs w:val="24"/>
        </w:rPr>
        <w:t xml:space="preserve"> requirement would require a QAPI clerical staff member to</w:t>
      </w:r>
      <w:r w:rsidRPr="00092EAF">
        <w:rPr>
          <w:szCs w:val="24"/>
        </w:rPr>
        <w:t xml:space="preserve"> spend 2 hours per year to gather the relevant data and documents (e.g., quality metrics, progress reports) in preparation for review by a CMS Surveyor and a QAPI </w:t>
      </w:r>
      <w:r w:rsidRPr="00092EAF" w:rsidR="00567C7F">
        <w:rPr>
          <w:szCs w:val="24"/>
        </w:rPr>
        <w:t>Coordinator</w:t>
      </w:r>
      <w:r w:rsidRPr="00092EAF">
        <w:rPr>
          <w:szCs w:val="24"/>
        </w:rPr>
        <w:t xml:space="preserve"> would spend a total of 3 hours to present the information to a CMS Surveyor and conduct any follow up that may be required. </w:t>
      </w:r>
    </w:p>
    <w:p w:rsidR="00092EAF" w:rsidRPr="00092EAF" w:rsidP="00B87225" w14:paraId="518DCF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szCs w:val="24"/>
        </w:rPr>
      </w:pPr>
    </w:p>
    <w:p w:rsidR="00B87225" w:rsidRPr="00092EAF" w:rsidP="008A0ED4" w14:paraId="352DBEAF" w14:textId="374E5C9D">
      <w:pPr>
        <w:pStyle w:val="Heading4"/>
        <w:ind w:left="720"/>
        <w:rPr>
          <w:rFonts w:ascii="Times New Roman" w:hAnsi="Times New Roman" w:cs="Times New Roman"/>
          <w:b/>
          <w:bCs/>
          <w:color w:val="auto"/>
          <w:sz w:val="28"/>
          <w:szCs w:val="22"/>
        </w:rPr>
      </w:pPr>
      <w:r w:rsidRPr="00697484">
        <w:rPr>
          <w:rFonts w:ascii="Times New Roman" w:hAnsi="Times New Roman" w:cs="Times New Roman"/>
          <w:b/>
          <w:bCs/>
          <w:i w:val="0"/>
          <w:iCs w:val="0"/>
          <w:color w:val="auto"/>
          <w:sz w:val="28"/>
          <w:szCs w:val="22"/>
        </w:rPr>
        <w:t xml:space="preserve">Table </w:t>
      </w:r>
      <w:r w:rsidRPr="00697484" w:rsidR="00A86FD6">
        <w:rPr>
          <w:rFonts w:ascii="Times New Roman" w:hAnsi="Times New Roman" w:cs="Times New Roman"/>
          <w:b/>
          <w:bCs/>
          <w:i w:val="0"/>
          <w:iCs w:val="0"/>
          <w:color w:val="auto"/>
          <w:sz w:val="28"/>
          <w:szCs w:val="22"/>
        </w:rPr>
        <w:t>4</w:t>
      </w:r>
      <w:r w:rsidRPr="00697484">
        <w:rPr>
          <w:rFonts w:ascii="Times New Roman" w:hAnsi="Times New Roman" w:cs="Times New Roman"/>
          <w:b/>
          <w:bCs/>
          <w:i w:val="0"/>
          <w:iCs w:val="0"/>
          <w:color w:val="auto"/>
          <w:sz w:val="28"/>
          <w:szCs w:val="22"/>
        </w:rPr>
        <w:t xml:space="preserve">: IC- </w:t>
      </w:r>
      <w:r w:rsidRPr="00697484" w:rsidR="00A86FD6">
        <w:rPr>
          <w:rFonts w:ascii="Times New Roman" w:hAnsi="Times New Roman" w:cs="Times New Roman"/>
          <w:b/>
          <w:bCs/>
          <w:i w:val="0"/>
          <w:iCs w:val="0"/>
          <w:color w:val="auto"/>
          <w:sz w:val="28"/>
          <w:szCs w:val="22"/>
        </w:rPr>
        <w:t>2</w:t>
      </w:r>
      <w:r w:rsidRPr="00697484">
        <w:rPr>
          <w:rFonts w:ascii="Times New Roman" w:hAnsi="Times New Roman" w:cs="Times New Roman"/>
          <w:b/>
          <w:bCs/>
          <w:i w:val="0"/>
          <w:iCs w:val="0"/>
          <w:color w:val="auto"/>
          <w:sz w:val="28"/>
          <w:szCs w:val="22"/>
        </w:rPr>
        <w:t>:</w:t>
      </w:r>
      <w:r w:rsidRPr="00092EAF">
        <w:rPr>
          <w:rFonts w:ascii="Times New Roman" w:hAnsi="Times New Roman" w:cs="Times New Roman"/>
          <w:b/>
          <w:bCs/>
          <w:color w:val="auto"/>
          <w:sz w:val="28"/>
          <w:szCs w:val="22"/>
        </w:rPr>
        <w:t xml:space="preserve"> CoP: QAPI Program Review </w:t>
      </w:r>
      <w:r w:rsidR="008A0ED4">
        <w:rPr>
          <w:rFonts w:ascii="Times New Roman" w:hAnsi="Times New Roman" w:cs="Times New Roman"/>
          <w:b/>
          <w:bCs/>
          <w:color w:val="auto"/>
          <w:sz w:val="28"/>
          <w:szCs w:val="22"/>
        </w:rPr>
        <w:t>–</w:t>
      </w:r>
      <w:r w:rsidRPr="00092EAF">
        <w:rPr>
          <w:rFonts w:ascii="Times New Roman" w:hAnsi="Times New Roman" w:cs="Times New Roman"/>
          <w:b/>
          <w:bCs/>
          <w:color w:val="auto"/>
          <w:sz w:val="28"/>
          <w:szCs w:val="22"/>
        </w:rPr>
        <w:t xml:space="preserve"> 48</w:t>
      </w:r>
      <w:r w:rsidR="008A0ED4">
        <w:rPr>
          <w:rFonts w:ascii="Times New Roman" w:hAnsi="Times New Roman" w:cs="Times New Roman"/>
          <w:b/>
          <w:bCs/>
          <w:color w:val="auto"/>
          <w:sz w:val="28"/>
          <w:szCs w:val="22"/>
        </w:rPr>
        <w:t>5.641</w:t>
      </w:r>
    </w:p>
    <w:tbl>
      <w:tblPr>
        <w:tblW w:w="6883" w:type="dxa"/>
        <w:tblInd w:w="607" w:type="dxa"/>
        <w:tblLook w:val="04A0"/>
      </w:tblPr>
      <w:tblGrid>
        <w:gridCol w:w="3595"/>
        <w:gridCol w:w="1087"/>
        <w:gridCol w:w="1080"/>
        <w:gridCol w:w="1121"/>
      </w:tblGrid>
      <w:tr w14:paraId="32B646B7" w14:textId="77777777" w:rsidTr="00263536">
        <w:tblPrEx>
          <w:tblW w:w="6883" w:type="dxa"/>
          <w:tblInd w:w="607" w:type="dxa"/>
          <w:tblLook w:val="04A0"/>
        </w:tblPrEx>
        <w:trPr>
          <w:trHeight w:val="263"/>
        </w:trPr>
        <w:tc>
          <w:tcPr>
            <w:tcW w:w="35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bottom"/>
            <w:hideMark/>
          </w:tcPr>
          <w:p w:rsidR="00B87225" w:rsidRPr="00697484" w:rsidP="00711189" w14:paraId="36F90B67" w14:textId="77777777">
            <w:pPr>
              <w:jc w:val="center"/>
              <w:rPr>
                <w:b/>
                <w:bCs/>
                <w:color w:val="000000"/>
                <w:szCs w:val="24"/>
              </w:rPr>
            </w:pPr>
            <w:r w:rsidRPr="00697484">
              <w:rPr>
                <w:b/>
                <w:bCs/>
                <w:color w:val="000000"/>
                <w:szCs w:val="24"/>
              </w:rPr>
              <w:t>Task</w:t>
            </w:r>
          </w:p>
        </w:tc>
        <w:tc>
          <w:tcPr>
            <w:tcW w:w="1087" w:type="dxa"/>
            <w:tcBorders>
              <w:top w:val="single" w:sz="4" w:space="0" w:color="000000"/>
              <w:left w:val="nil"/>
              <w:bottom w:val="single" w:sz="4" w:space="0" w:color="000000"/>
              <w:right w:val="single" w:sz="4" w:space="0" w:color="000000"/>
            </w:tcBorders>
            <w:shd w:val="clear" w:color="auto" w:fill="BDD6EE" w:themeFill="accent1" w:themeFillTint="66"/>
            <w:vAlign w:val="bottom"/>
            <w:hideMark/>
          </w:tcPr>
          <w:p w:rsidR="00B87225" w:rsidRPr="00697484" w:rsidP="00711189" w14:paraId="0B37415E" w14:textId="77777777">
            <w:pPr>
              <w:jc w:val="center"/>
              <w:rPr>
                <w:b/>
                <w:bCs/>
                <w:color w:val="000000"/>
                <w:szCs w:val="24"/>
              </w:rPr>
            </w:pPr>
            <w:r w:rsidRPr="00697484">
              <w:rPr>
                <w:b/>
                <w:bCs/>
                <w:color w:val="000000"/>
                <w:szCs w:val="24"/>
              </w:rPr>
              <w:t>Hourly Wage</w:t>
            </w:r>
          </w:p>
        </w:tc>
        <w:tc>
          <w:tcPr>
            <w:tcW w:w="1080" w:type="dxa"/>
            <w:tcBorders>
              <w:top w:val="single" w:sz="4" w:space="0" w:color="000000"/>
              <w:left w:val="nil"/>
              <w:bottom w:val="single" w:sz="4" w:space="0" w:color="000000"/>
              <w:right w:val="single" w:sz="4" w:space="0" w:color="000000"/>
            </w:tcBorders>
            <w:shd w:val="clear" w:color="auto" w:fill="BDD6EE" w:themeFill="accent1" w:themeFillTint="66"/>
            <w:vAlign w:val="bottom"/>
            <w:hideMark/>
          </w:tcPr>
          <w:p w:rsidR="00B87225" w:rsidRPr="00697484" w:rsidP="00711189" w14:paraId="61D3698B" w14:textId="77777777">
            <w:pPr>
              <w:jc w:val="center"/>
              <w:rPr>
                <w:b/>
                <w:bCs/>
                <w:color w:val="000000"/>
                <w:szCs w:val="24"/>
              </w:rPr>
            </w:pPr>
            <w:r w:rsidRPr="00697484">
              <w:rPr>
                <w:b/>
                <w:bCs/>
                <w:color w:val="000000"/>
                <w:szCs w:val="24"/>
              </w:rPr>
              <w:t>Hours/</w:t>
            </w:r>
          </w:p>
          <w:p w:rsidR="00B87225" w:rsidRPr="00697484" w:rsidP="00711189" w14:paraId="0684F4C2" w14:textId="77777777">
            <w:pPr>
              <w:jc w:val="center"/>
              <w:rPr>
                <w:b/>
                <w:bCs/>
                <w:color w:val="000000"/>
                <w:szCs w:val="24"/>
              </w:rPr>
            </w:pPr>
            <w:r w:rsidRPr="00697484">
              <w:rPr>
                <w:b/>
                <w:bCs/>
                <w:color w:val="000000"/>
                <w:szCs w:val="24"/>
              </w:rPr>
              <w:t>Task</w:t>
            </w:r>
          </w:p>
        </w:tc>
        <w:tc>
          <w:tcPr>
            <w:tcW w:w="1121" w:type="dxa"/>
            <w:tcBorders>
              <w:top w:val="single" w:sz="4" w:space="0" w:color="000000"/>
              <w:left w:val="nil"/>
              <w:bottom w:val="single" w:sz="4" w:space="0" w:color="000000"/>
              <w:right w:val="single" w:sz="4" w:space="0" w:color="000000"/>
            </w:tcBorders>
            <w:shd w:val="clear" w:color="auto" w:fill="BDD6EE" w:themeFill="accent1" w:themeFillTint="66"/>
            <w:vAlign w:val="bottom"/>
            <w:hideMark/>
          </w:tcPr>
          <w:p w:rsidR="00B87225" w:rsidRPr="00697484" w:rsidP="00711189" w14:paraId="35AE623C" w14:textId="77777777">
            <w:pPr>
              <w:jc w:val="center"/>
              <w:rPr>
                <w:b/>
                <w:bCs/>
                <w:color w:val="000000"/>
                <w:szCs w:val="24"/>
              </w:rPr>
            </w:pPr>
            <w:r w:rsidRPr="00697484">
              <w:rPr>
                <w:b/>
                <w:bCs/>
                <w:color w:val="000000"/>
                <w:szCs w:val="24"/>
              </w:rPr>
              <w:t>Cost/</w:t>
            </w:r>
          </w:p>
          <w:p w:rsidR="00B87225" w:rsidRPr="00697484" w:rsidP="00711189" w14:paraId="7DFB74A1" w14:textId="77777777">
            <w:pPr>
              <w:jc w:val="center"/>
              <w:rPr>
                <w:b/>
                <w:bCs/>
                <w:color w:val="000000"/>
                <w:szCs w:val="24"/>
              </w:rPr>
            </w:pPr>
            <w:r w:rsidRPr="00697484">
              <w:rPr>
                <w:b/>
                <w:bCs/>
                <w:color w:val="000000"/>
                <w:szCs w:val="24"/>
              </w:rPr>
              <w:t>Task</w:t>
            </w:r>
          </w:p>
        </w:tc>
      </w:tr>
      <w:tr w14:paraId="54672C4F" w14:textId="77777777" w:rsidTr="00B52C02">
        <w:tblPrEx>
          <w:tblW w:w="6883" w:type="dxa"/>
          <w:tblInd w:w="607" w:type="dxa"/>
          <w:tblLook w:val="04A0"/>
        </w:tblPrEx>
        <w:trPr>
          <w:trHeight w:val="263"/>
        </w:trPr>
        <w:tc>
          <w:tcPr>
            <w:tcW w:w="3595" w:type="dxa"/>
            <w:tcBorders>
              <w:top w:val="nil"/>
              <w:left w:val="single" w:sz="4" w:space="0" w:color="000000"/>
              <w:bottom w:val="single" w:sz="4" w:space="0" w:color="000000"/>
              <w:right w:val="nil"/>
            </w:tcBorders>
            <w:shd w:val="clear" w:color="auto" w:fill="auto"/>
            <w:vAlign w:val="bottom"/>
            <w:hideMark/>
          </w:tcPr>
          <w:p w:rsidR="00567C7F" w:rsidRPr="00697484" w:rsidP="00567C7F" w14:paraId="58E32450" w14:textId="42DEC43E">
            <w:pPr>
              <w:rPr>
                <w:color w:val="000000"/>
                <w:szCs w:val="24"/>
              </w:rPr>
            </w:pPr>
            <w:r w:rsidRPr="00697484">
              <w:rPr>
                <w:color w:val="000000"/>
                <w:szCs w:val="24"/>
              </w:rPr>
              <w:t>QAPI Clerical Staff</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7C7F" w:rsidRPr="00697484" w:rsidP="00567C7F" w14:paraId="1CF4F193" w14:textId="67A18558">
            <w:pPr>
              <w:jc w:val="center"/>
              <w:rPr>
                <w:color w:val="000000"/>
                <w:szCs w:val="24"/>
              </w:rPr>
            </w:pPr>
            <w:r w:rsidRPr="00697484">
              <w:rPr>
                <w:color w:val="000000"/>
                <w:szCs w:val="24"/>
              </w:rPr>
              <w:t>$43</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67C7F" w:rsidRPr="00697484" w:rsidP="00567C7F" w14:paraId="7BE44614" w14:textId="29866289">
            <w:pPr>
              <w:jc w:val="center"/>
              <w:rPr>
                <w:color w:val="000000"/>
                <w:szCs w:val="24"/>
              </w:rPr>
            </w:pPr>
            <w:r w:rsidRPr="00697484">
              <w:rPr>
                <w:color w:val="000000"/>
                <w:szCs w:val="24"/>
              </w:rPr>
              <w:t>2.0</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567C7F" w:rsidRPr="00697484" w:rsidP="00567C7F" w14:paraId="7F615783" w14:textId="57F21394">
            <w:pPr>
              <w:jc w:val="center"/>
              <w:rPr>
                <w:color w:val="000000"/>
                <w:szCs w:val="24"/>
              </w:rPr>
            </w:pPr>
            <w:r w:rsidRPr="00697484">
              <w:rPr>
                <w:color w:val="000000"/>
                <w:szCs w:val="24"/>
              </w:rPr>
              <w:t>$86</w:t>
            </w:r>
          </w:p>
        </w:tc>
      </w:tr>
      <w:tr w14:paraId="7D4DA8E3" w14:textId="77777777" w:rsidTr="00B52C02">
        <w:tblPrEx>
          <w:tblW w:w="6883" w:type="dxa"/>
          <w:tblInd w:w="607" w:type="dxa"/>
          <w:tblLook w:val="04A0"/>
        </w:tblPrEx>
        <w:trPr>
          <w:trHeight w:val="263"/>
        </w:trPr>
        <w:tc>
          <w:tcPr>
            <w:tcW w:w="3595" w:type="dxa"/>
            <w:tcBorders>
              <w:top w:val="nil"/>
              <w:left w:val="single" w:sz="4" w:space="0" w:color="000000"/>
              <w:bottom w:val="single" w:sz="4" w:space="0" w:color="000000"/>
              <w:right w:val="nil"/>
            </w:tcBorders>
            <w:shd w:val="clear" w:color="auto" w:fill="auto"/>
            <w:vAlign w:val="bottom"/>
            <w:hideMark/>
          </w:tcPr>
          <w:p w:rsidR="00567C7F" w:rsidRPr="00697484" w:rsidP="00567C7F" w14:paraId="151BA5F3" w14:textId="0DFDCB87">
            <w:pPr>
              <w:rPr>
                <w:color w:val="000000"/>
                <w:szCs w:val="24"/>
              </w:rPr>
            </w:pPr>
            <w:r w:rsidRPr="00697484">
              <w:rPr>
                <w:color w:val="000000"/>
                <w:szCs w:val="24"/>
              </w:rPr>
              <w:t>QAPI Coordinator</w:t>
            </w:r>
          </w:p>
        </w:tc>
        <w:tc>
          <w:tcPr>
            <w:tcW w:w="1087" w:type="dxa"/>
            <w:tcBorders>
              <w:top w:val="nil"/>
              <w:left w:val="single" w:sz="4" w:space="0" w:color="auto"/>
              <w:bottom w:val="single" w:sz="4" w:space="0" w:color="auto"/>
              <w:right w:val="single" w:sz="4" w:space="0" w:color="auto"/>
            </w:tcBorders>
            <w:shd w:val="clear" w:color="auto" w:fill="auto"/>
            <w:vAlign w:val="bottom"/>
            <w:hideMark/>
          </w:tcPr>
          <w:p w:rsidR="00567C7F" w:rsidRPr="00697484" w:rsidP="00567C7F" w14:paraId="60BA072F" w14:textId="1CC5D90F">
            <w:pPr>
              <w:jc w:val="center"/>
              <w:rPr>
                <w:color w:val="000000"/>
                <w:szCs w:val="24"/>
              </w:rPr>
            </w:pPr>
            <w:r w:rsidRPr="00697484">
              <w:rPr>
                <w:color w:val="000000"/>
                <w:szCs w:val="24"/>
              </w:rPr>
              <w:t>$106</w:t>
            </w:r>
          </w:p>
        </w:tc>
        <w:tc>
          <w:tcPr>
            <w:tcW w:w="1080" w:type="dxa"/>
            <w:tcBorders>
              <w:top w:val="nil"/>
              <w:left w:val="nil"/>
              <w:bottom w:val="single" w:sz="4" w:space="0" w:color="auto"/>
              <w:right w:val="single" w:sz="4" w:space="0" w:color="auto"/>
            </w:tcBorders>
            <w:shd w:val="clear" w:color="auto" w:fill="auto"/>
            <w:vAlign w:val="bottom"/>
            <w:hideMark/>
          </w:tcPr>
          <w:p w:rsidR="00567C7F" w:rsidRPr="00697484" w:rsidP="00567C7F" w14:paraId="5BB280D8" w14:textId="3A697A7D">
            <w:pPr>
              <w:jc w:val="center"/>
              <w:rPr>
                <w:color w:val="000000"/>
                <w:szCs w:val="24"/>
              </w:rPr>
            </w:pPr>
            <w:r w:rsidRPr="00697484">
              <w:rPr>
                <w:color w:val="000000"/>
                <w:szCs w:val="24"/>
              </w:rPr>
              <w:t>3.0</w:t>
            </w:r>
          </w:p>
        </w:tc>
        <w:tc>
          <w:tcPr>
            <w:tcW w:w="1121" w:type="dxa"/>
            <w:tcBorders>
              <w:top w:val="nil"/>
              <w:left w:val="nil"/>
              <w:bottom w:val="single" w:sz="4" w:space="0" w:color="auto"/>
              <w:right w:val="single" w:sz="4" w:space="0" w:color="auto"/>
            </w:tcBorders>
            <w:shd w:val="clear" w:color="auto" w:fill="auto"/>
            <w:noWrap/>
            <w:vAlign w:val="bottom"/>
            <w:hideMark/>
          </w:tcPr>
          <w:p w:rsidR="00567C7F" w:rsidRPr="00697484" w:rsidP="00567C7F" w14:paraId="6A05D873" w14:textId="68AFC6FD">
            <w:pPr>
              <w:jc w:val="center"/>
              <w:rPr>
                <w:color w:val="000000"/>
                <w:szCs w:val="24"/>
              </w:rPr>
            </w:pPr>
            <w:r w:rsidRPr="00697484">
              <w:rPr>
                <w:color w:val="000000"/>
                <w:szCs w:val="24"/>
              </w:rPr>
              <w:t>$318</w:t>
            </w:r>
          </w:p>
        </w:tc>
      </w:tr>
      <w:tr w14:paraId="298BDAA1" w14:textId="77777777" w:rsidTr="00B52C02">
        <w:tblPrEx>
          <w:tblW w:w="6883" w:type="dxa"/>
          <w:tblInd w:w="607" w:type="dxa"/>
          <w:tblLook w:val="04A0"/>
        </w:tblPrEx>
        <w:trPr>
          <w:trHeight w:val="263"/>
        </w:trPr>
        <w:tc>
          <w:tcPr>
            <w:tcW w:w="3595" w:type="dxa"/>
            <w:tcBorders>
              <w:top w:val="nil"/>
              <w:left w:val="single" w:sz="4" w:space="0" w:color="000000"/>
              <w:bottom w:val="single" w:sz="4" w:space="0" w:color="000000"/>
              <w:right w:val="single" w:sz="4" w:space="0" w:color="000000"/>
            </w:tcBorders>
            <w:shd w:val="clear" w:color="auto" w:fill="F2F2F2" w:themeFill="background1" w:themeFillShade="F2"/>
            <w:vAlign w:val="bottom"/>
            <w:hideMark/>
          </w:tcPr>
          <w:p w:rsidR="00567C7F" w:rsidRPr="00697484" w:rsidP="00567C7F" w14:paraId="275508FF" w14:textId="77777777">
            <w:pPr>
              <w:jc w:val="right"/>
              <w:rPr>
                <w:color w:val="000000"/>
                <w:szCs w:val="24"/>
              </w:rPr>
            </w:pPr>
            <w:r w:rsidRPr="00697484">
              <w:rPr>
                <w:color w:val="000000"/>
                <w:szCs w:val="24"/>
              </w:rPr>
              <w:t>Task Total/Year</w:t>
            </w:r>
          </w:p>
        </w:tc>
        <w:tc>
          <w:tcPr>
            <w:tcW w:w="1087" w:type="dxa"/>
            <w:tcBorders>
              <w:top w:val="nil"/>
              <w:left w:val="nil"/>
              <w:bottom w:val="single" w:sz="4" w:space="0" w:color="000000"/>
              <w:right w:val="single" w:sz="4" w:space="0" w:color="000000"/>
            </w:tcBorders>
            <w:shd w:val="clear" w:color="auto" w:fill="F2F2F2" w:themeFill="background1" w:themeFillShade="F2"/>
            <w:vAlign w:val="bottom"/>
            <w:hideMark/>
          </w:tcPr>
          <w:p w:rsidR="00567C7F" w:rsidRPr="00697484" w:rsidP="00567C7F" w14:paraId="0446F449" w14:textId="382CD3DE">
            <w:pPr>
              <w:jc w:val="center"/>
              <w:rPr>
                <w:color w:val="000000"/>
                <w:szCs w:val="24"/>
              </w:rPr>
            </w:pPr>
            <w:r w:rsidRPr="00697484">
              <w:rPr>
                <w:color w:val="000000"/>
                <w:szCs w:val="24"/>
              </w:rPr>
              <w:t> </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hideMark/>
          </w:tcPr>
          <w:p w:rsidR="00567C7F" w:rsidRPr="00697484" w:rsidP="00567C7F" w14:paraId="3116393C" w14:textId="74ABCE4D">
            <w:pPr>
              <w:jc w:val="center"/>
              <w:rPr>
                <w:b/>
                <w:bCs/>
                <w:color w:val="000000"/>
                <w:szCs w:val="24"/>
              </w:rPr>
            </w:pPr>
            <w:r w:rsidRPr="00697484">
              <w:rPr>
                <w:b/>
                <w:bCs/>
                <w:color w:val="000000"/>
                <w:szCs w:val="24"/>
              </w:rPr>
              <w:t>5.0</w:t>
            </w:r>
          </w:p>
        </w:tc>
        <w:tc>
          <w:tcPr>
            <w:tcW w:w="1121" w:type="dxa"/>
            <w:tcBorders>
              <w:top w:val="nil"/>
              <w:left w:val="nil"/>
              <w:bottom w:val="single" w:sz="4" w:space="0" w:color="000000"/>
              <w:right w:val="single" w:sz="4" w:space="0" w:color="000000"/>
            </w:tcBorders>
            <w:shd w:val="clear" w:color="auto" w:fill="F2F2F2" w:themeFill="background1" w:themeFillShade="F2"/>
            <w:noWrap/>
            <w:vAlign w:val="bottom"/>
            <w:hideMark/>
          </w:tcPr>
          <w:p w:rsidR="00567C7F" w:rsidRPr="00697484" w:rsidP="00567C7F" w14:paraId="3C9E8CC9" w14:textId="3AC7F7DB">
            <w:pPr>
              <w:jc w:val="center"/>
              <w:rPr>
                <w:b/>
                <w:bCs/>
                <w:color w:val="000000"/>
                <w:szCs w:val="24"/>
              </w:rPr>
            </w:pPr>
            <w:r w:rsidRPr="00697484">
              <w:rPr>
                <w:b/>
                <w:bCs/>
                <w:color w:val="000000"/>
                <w:szCs w:val="24"/>
              </w:rPr>
              <w:t>$404</w:t>
            </w:r>
          </w:p>
        </w:tc>
      </w:tr>
      <w:tr w14:paraId="30FB6820" w14:textId="77777777" w:rsidTr="00B52C02">
        <w:tblPrEx>
          <w:tblW w:w="6883" w:type="dxa"/>
          <w:tblInd w:w="607" w:type="dxa"/>
          <w:tblLook w:val="04A0"/>
        </w:tblPrEx>
        <w:trPr>
          <w:trHeight w:val="263"/>
        </w:trPr>
        <w:tc>
          <w:tcPr>
            <w:tcW w:w="3595" w:type="dxa"/>
            <w:tcBorders>
              <w:top w:val="nil"/>
              <w:left w:val="single" w:sz="4" w:space="0" w:color="000000"/>
              <w:bottom w:val="single" w:sz="4" w:space="0" w:color="000000"/>
              <w:right w:val="single" w:sz="4" w:space="0" w:color="000000"/>
            </w:tcBorders>
            <w:shd w:val="clear" w:color="auto" w:fill="auto"/>
            <w:vAlign w:val="bottom"/>
            <w:hideMark/>
          </w:tcPr>
          <w:p w:rsidR="00567C7F" w:rsidRPr="00697484" w:rsidP="00567C7F" w14:paraId="754F23A2" w14:textId="77777777">
            <w:pPr>
              <w:rPr>
                <w:color w:val="000000"/>
                <w:szCs w:val="24"/>
              </w:rPr>
            </w:pPr>
            <w:r w:rsidRPr="00697484">
              <w:rPr>
                <w:color w:val="000000"/>
                <w:szCs w:val="24"/>
              </w:rPr>
              <w:t># Facilities Impacted</w:t>
            </w:r>
          </w:p>
        </w:tc>
        <w:tc>
          <w:tcPr>
            <w:tcW w:w="1087" w:type="dxa"/>
            <w:tcBorders>
              <w:top w:val="nil"/>
              <w:left w:val="nil"/>
              <w:bottom w:val="single" w:sz="4" w:space="0" w:color="000000"/>
              <w:right w:val="single" w:sz="4" w:space="0" w:color="000000"/>
            </w:tcBorders>
            <w:shd w:val="clear" w:color="auto" w:fill="auto"/>
            <w:vAlign w:val="bottom"/>
            <w:hideMark/>
          </w:tcPr>
          <w:p w:rsidR="00567C7F" w:rsidRPr="00697484" w:rsidP="00567C7F" w14:paraId="7816F330" w14:textId="513DC213">
            <w:pPr>
              <w:jc w:val="center"/>
              <w:rPr>
                <w:color w:val="000000"/>
                <w:szCs w:val="24"/>
              </w:rPr>
            </w:pPr>
            <w:r w:rsidRPr="00697484">
              <w:rPr>
                <w:color w:val="000000"/>
                <w:szCs w:val="24"/>
              </w:rPr>
              <w:t>1,245</w:t>
            </w:r>
          </w:p>
        </w:tc>
        <w:tc>
          <w:tcPr>
            <w:tcW w:w="1080" w:type="dxa"/>
            <w:tcBorders>
              <w:top w:val="nil"/>
              <w:left w:val="nil"/>
              <w:bottom w:val="single" w:sz="4" w:space="0" w:color="000000"/>
              <w:right w:val="single" w:sz="4" w:space="0" w:color="000000"/>
            </w:tcBorders>
            <w:shd w:val="clear" w:color="auto" w:fill="auto"/>
            <w:vAlign w:val="bottom"/>
            <w:hideMark/>
          </w:tcPr>
          <w:p w:rsidR="00567C7F" w:rsidRPr="00697484" w:rsidP="00567C7F" w14:paraId="237C63A9" w14:textId="643F83D9">
            <w:pPr>
              <w:jc w:val="center"/>
              <w:rPr>
                <w:color w:val="000000"/>
                <w:szCs w:val="24"/>
              </w:rPr>
            </w:pPr>
            <w:r w:rsidRPr="00697484">
              <w:rPr>
                <w:color w:val="000000"/>
                <w:szCs w:val="24"/>
              </w:rPr>
              <w:t> </w:t>
            </w:r>
          </w:p>
        </w:tc>
        <w:tc>
          <w:tcPr>
            <w:tcW w:w="1121" w:type="dxa"/>
            <w:tcBorders>
              <w:top w:val="nil"/>
              <w:left w:val="nil"/>
              <w:bottom w:val="single" w:sz="4" w:space="0" w:color="000000"/>
              <w:right w:val="single" w:sz="4" w:space="0" w:color="000000"/>
            </w:tcBorders>
            <w:shd w:val="clear" w:color="auto" w:fill="auto"/>
            <w:vAlign w:val="bottom"/>
            <w:hideMark/>
          </w:tcPr>
          <w:p w:rsidR="00567C7F" w:rsidRPr="00697484" w:rsidP="00567C7F" w14:paraId="76082188" w14:textId="10C26FC6">
            <w:pPr>
              <w:jc w:val="center"/>
              <w:rPr>
                <w:color w:val="000000"/>
                <w:szCs w:val="24"/>
              </w:rPr>
            </w:pPr>
            <w:r w:rsidRPr="00697484">
              <w:rPr>
                <w:color w:val="000000"/>
                <w:szCs w:val="24"/>
              </w:rPr>
              <w:t> </w:t>
            </w:r>
          </w:p>
        </w:tc>
      </w:tr>
      <w:tr w14:paraId="3191FB49" w14:textId="77777777" w:rsidTr="00B52C02">
        <w:tblPrEx>
          <w:tblW w:w="6883" w:type="dxa"/>
          <w:tblInd w:w="607" w:type="dxa"/>
          <w:tblLook w:val="04A0"/>
        </w:tblPrEx>
        <w:trPr>
          <w:trHeight w:val="263"/>
        </w:trPr>
        <w:tc>
          <w:tcPr>
            <w:tcW w:w="3595" w:type="dxa"/>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rsidR="00567C7F" w:rsidRPr="00697484" w:rsidP="00567C7F" w14:paraId="37D66812" w14:textId="77777777">
            <w:pPr>
              <w:jc w:val="right"/>
              <w:rPr>
                <w:b/>
                <w:bCs/>
                <w:color w:val="000000"/>
                <w:szCs w:val="24"/>
              </w:rPr>
            </w:pPr>
            <w:r w:rsidRPr="00697484">
              <w:rPr>
                <w:b/>
                <w:bCs/>
                <w:color w:val="000000"/>
                <w:szCs w:val="24"/>
              </w:rPr>
              <w:t xml:space="preserve">Total Annual Burden/Costs </w:t>
            </w:r>
          </w:p>
        </w:tc>
        <w:tc>
          <w:tcPr>
            <w:tcW w:w="1087" w:type="dxa"/>
            <w:tcBorders>
              <w:top w:val="nil"/>
              <w:left w:val="nil"/>
              <w:bottom w:val="single" w:sz="4" w:space="0" w:color="000000"/>
              <w:right w:val="single" w:sz="4" w:space="0" w:color="000000"/>
            </w:tcBorders>
            <w:shd w:val="clear" w:color="auto" w:fill="D9D9D9" w:themeFill="background1" w:themeFillShade="D9"/>
            <w:vAlign w:val="bottom"/>
            <w:hideMark/>
          </w:tcPr>
          <w:p w:rsidR="00567C7F" w:rsidRPr="00697484" w:rsidP="00567C7F" w14:paraId="37634937" w14:textId="4CC36896">
            <w:pPr>
              <w:jc w:val="center"/>
              <w:rPr>
                <w:b/>
                <w:bCs/>
                <w:color w:val="000000"/>
                <w:szCs w:val="24"/>
              </w:rPr>
            </w:pPr>
            <w:r w:rsidRPr="00697484">
              <w:rPr>
                <w:b/>
                <w:bCs/>
                <w:color w:val="000000"/>
                <w:szCs w:val="24"/>
              </w:rPr>
              <w:t> </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tcPr>
          <w:p w:rsidR="00567C7F" w:rsidRPr="00697484" w:rsidP="00567C7F" w14:paraId="76FC922D" w14:textId="56DAF7B4">
            <w:pPr>
              <w:jc w:val="center"/>
              <w:rPr>
                <w:b/>
                <w:bCs/>
                <w:color w:val="000000"/>
                <w:szCs w:val="24"/>
              </w:rPr>
            </w:pPr>
            <w:r w:rsidRPr="00697484">
              <w:rPr>
                <w:b/>
                <w:bCs/>
                <w:color w:val="000000"/>
                <w:szCs w:val="24"/>
              </w:rPr>
              <w:t>6,225</w:t>
            </w:r>
          </w:p>
        </w:tc>
        <w:tc>
          <w:tcPr>
            <w:tcW w:w="1121" w:type="dxa"/>
            <w:tcBorders>
              <w:top w:val="nil"/>
              <w:left w:val="nil"/>
              <w:bottom w:val="single" w:sz="4" w:space="0" w:color="auto"/>
              <w:right w:val="single" w:sz="4" w:space="0" w:color="auto"/>
            </w:tcBorders>
            <w:shd w:val="clear" w:color="auto" w:fill="D9D9D9" w:themeFill="background1" w:themeFillShade="D9"/>
            <w:noWrap/>
            <w:vAlign w:val="bottom"/>
          </w:tcPr>
          <w:p w:rsidR="00567C7F" w:rsidRPr="00697484" w:rsidP="00567C7F" w14:paraId="5280C853" w14:textId="08BE15BA">
            <w:pPr>
              <w:jc w:val="center"/>
              <w:rPr>
                <w:b/>
                <w:bCs/>
                <w:color w:val="000000"/>
                <w:szCs w:val="24"/>
              </w:rPr>
            </w:pPr>
            <w:r w:rsidRPr="00697484">
              <w:rPr>
                <w:b/>
                <w:bCs/>
                <w:color w:val="000000"/>
                <w:szCs w:val="24"/>
              </w:rPr>
              <w:t>$502,980</w:t>
            </w:r>
          </w:p>
        </w:tc>
      </w:tr>
    </w:tbl>
    <w:p w:rsidR="00B87225" w:rsidP="008A0ED4" w14:paraId="4861DEE9"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7" w:hanging="2"/>
      </w:pPr>
    </w:p>
    <w:p w:rsidR="008F036B" w14:paraId="62857AD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5477E9" w:rsidRPr="00092EAF" w:rsidP="005477E9" w14:paraId="05CF004B" w14:textId="48CE1F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00"/>
          <w:u w:val="single"/>
        </w:rPr>
      </w:pPr>
      <w:r w:rsidRPr="00092EAF">
        <w:rPr>
          <w:b/>
          <w:bCs/>
          <w:i/>
          <w:iCs/>
          <w:color w:val="000000"/>
          <w:u w:val="single"/>
        </w:rPr>
        <w:t>485.643(a) and (b) - CoP: Organ, tissue, and eye procurement</w:t>
      </w:r>
    </w:p>
    <w:p w:rsidR="00567C7F" w:rsidRPr="00D6435F" w:rsidP="00567C7F" w14:paraId="6D853ED5" w14:textId="4D53A107">
      <w:pPr>
        <w:ind w:left="-2"/>
      </w:pPr>
      <w:r w:rsidRPr="00D6435F">
        <w:t xml:space="preserve">We previously calculated a burden for these CoPs. However, these requirements – that </w:t>
      </w:r>
      <w:r>
        <w:t xml:space="preserve">CAHs </w:t>
      </w:r>
      <w:r w:rsidRPr="00D6435F">
        <w:t xml:space="preserve">have and implement written protocols for notifying the Organ Procurement Organization (OPO) of a potential donor and to have agreements with at least one eye and tissue bank - should be considered </w:t>
      </w:r>
      <w:r w:rsidRPr="00D6435F">
        <w:rPr>
          <w:rFonts w:eastAsia="Times"/>
        </w:rPr>
        <w:t>customary and usual industry practice</w:t>
      </w:r>
      <w:r w:rsidRPr="00D6435F">
        <w:t xml:space="preserve"> and thus exempt from the PRA under 5 CFR </w:t>
      </w:r>
      <w:r w:rsidR="00B017FD">
        <w:t>§</w:t>
      </w:r>
      <w:r w:rsidRPr="00D6435F">
        <w:t>1320.3(b)(2). In addition, CoPs that are related to transplant centers are captured under OMB 0938-1069 (CMS -10266)</w:t>
      </w:r>
      <w:r w:rsidR="00320D2D">
        <w:t xml:space="preserve"> which will be re</w:t>
      </w:r>
      <w:r w:rsidR="00E9324C">
        <w:t>instated</w:t>
      </w:r>
      <w:r w:rsidRPr="00D6435F">
        <w:t>.</w:t>
      </w:r>
    </w:p>
    <w:p w:rsidR="00922353" w:rsidRPr="007A6DD8" w:rsidP="005477E9" w14:paraId="0DC4F76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5477E9" w:rsidRPr="008A0ED4" w:rsidP="005477E9" w14:paraId="26488E80" w14:textId="0D74390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color w:val="000000"/>
          <w:u w:val="single"/>
        </w:rPr>
      </w:pPr>
      <w:r w:rsidRPr="008A0ED4">
        <w:rPr>
          <w:b/>
          <w:bCs/>
          <w:i/>
          <w:iCs/>
          <w:color w:val="000000"/>
          <w:u w:val="single"/>
        </w:rPr>
        <w:t xml:space="preserve">485.645(d) </w:t>
      </w:r>
      <w:r w:rsidRPr="008A0ED4" w:rsidR="008A0ED4">
        <w:rPr>
          <w:b/>
          <w:bCs/>
          <w:i/>
          <w:iCs/>
          <w:color w:val="000000"/>
          <w:u w:val="single"/>
        </w:rPr>
        <w:t xml:space="preserve">- CoP: </w:t>
      </w:r>
      <w:r w:rsidRPr="008A0ED4">
        <w:rPr>
          <w:b/>
          <w:bCs/>
          <w:i/>
          <w:iCs/>
          <w:color w:val="000000"/>
          <w:u w:val="single"/>
        </w:rPr>
        <w:t>SNF Services</w:t>
      </w:r>
    </w:p>
    <w:p w:rsidR="00922353" w:rsidRPr="00CC60CF" w:rsidP="00922353" w14:paraId="59A5A022" w14:textId="37A8DA40">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CAHs that provide long term care (swing bed) services (SNF level care) must comply</w:t>
      </w:r>
      <w:r>
        <w:rPr>
          <w:color w:val="000000"/>
        </w:rPr>
        <w:t xml:space="preserve"> </w:t>
      </w:r>
      <w:r w:rsidR="00821959">
        <w:rPr>
          <w:color w:val="000000"/>
        </w:rPr>
        <w:t xml:space="preserve">with </w:t>
      </w:r>
      <w:r>
        <w:rPr>
          <w:color w:val="000000"/>
        </w:rPr>
        <w:t>numerous CoPs</w:t>
      </w:r>
      <w:r w:rsidR="0060007F">
        <w:rPr>
          <w:color w:val="000000"/>
        </w:rPr>
        <w:t xml:space="preserve">. </w:t>
      </w:r>
      <w:r>
        <w:rPr>
          <w:color w:val="000000"/>
        </w:rPr>
        <w:t xml:space="preserve">We previously calculated a burden specifically related to the requirement that a CAH </w:t>
      </w:r>
      <w:r w:rsidRPr="007A6DD8">
        <w:rPr>
          <w:color w:val="000000"/>
        </w:rPr>
        <w:t xml:space="preserve">must notify </w:t>
      </w:r>
      <w:r>
        <w:rPr>
          <w:color w:val="000000"/>
        </w:rPr>
        <w:t xml:space="preserve">a patient </w:t>
      </w:r>
      <w:r w:rsidRPr="007A6DD8">
        <w:rPr>
          <w:color w:val="000000"/>
        </w:rPr>
        <w:t xml:space="preserve">in writing </w:t>
      </w:r>
      <w:r>
        <w:rPr>
          <w:color w:val="000000"/>
        </w:rPr>
        <w:t>b</w:t>
      </w:r>
      <w:r w:rsidRPr="007A6DD8">
        <w:rPr>
          <w:color w:val="000000"/>
        </w:rPr>
        <w:t xml:space="preserve">efore </w:t>
      </w:r>
      <w:r>
        <w:rPr>
          <w:color w:val="000000"/>
        </w:rPr>
        <w:t>the patient is</w:t>
      </w:r>
      <w:r w:rsidRPr="007A6DD8">
        <w:rPr>
          <w:color w:val="000000"/>
        </w:rPr>
        <w:t xml:space="preserve"> transfer</w:t>
      </w:r>
      <w:r>
        <w:rPr>
          <w:color w:val="000000"/>
        </w:rPr>
        <w:t>red</w:t>
      </w:r>
      <w:r w:rsidRPr="007A6DD8">
        <w:rPr>
          <w:color w:val="000000"/>
        </w:rPr>
        <w:t xml:space="preserve"> or discharge</w:t>
      </w:r>
      <w:r>
        <w:rPr>
          <w:color w:val="000000"/>
        </w:rPr>
        <w:t xml:space="preserve">d. However, </w:t>
      </w:r>
      <w:r>
        <w:rPr>
          <w:color w:val="000000"/>
        </w:rPr>
        <w:t>th</w:t>
      </w:r>
      <w:r w:rsidRPr="00CC60CF">
        <w:rPr>
          <w:color w:val="000000"/>
        </w:rPr>
        <w:t>e burden associated with th</w:t>
      </w:r>
      <w:r>
        <w:rPr>
          <w:color w:val="000000"/>
        </w:rPr>
        <w:t>is requirement</w:t>
      </w:r>
      <w:r w:rsidRPr="00CC60CF">
        <w:rPr>
          <w:color w:val="000000"/>
        </w:rPr>
        <w:t xml:space="preserve"> is exempt from the PRA per 5 CF</w:t>
      </w:r>
      <w:r w:rsidR="00B017FD">
        <w:rPr>
          <w:color w:val="000000"/>
        </w:rPr>
        <w:t>R</w:t>
      </w:r>
      <w:r w:rsidRPr="00CC60CF">
        <w:rPr>
          <w:color w:val="000000"/>
        </w:rPr>
        <w:t xml:space="preserve"> </w:t>
      </w:r>
      <w:r w:rsidR="00B017FD">
        <w:rPr>
          <w:color w:val="000000"/>
        </w:rPr>
        <w:t>§</w:t>
      </w:r>
      <w:r w:rsidRPr="00CC60CF">
        <w:rPr>
          <w:color w:val="000000"/>
        </w:rPr>
        <w:t xml:space="preserve">1320.3(b)(2) because </w:t>
      </w:r>
      <w:r>
        <w:rPr>
          <w:color w:val="000000"/>
        </w:rPr>
        <w:t xml:space="preserve">notifying patients prior to transfer or discharge should be </w:t>
      </w:r>
      <w:r w:rsidRPr="00CC60CF">
        <w:rPr>
          <w:color w:val="000000"/>
        </w:rPr>
        <w:t xml:space="preserve">usual and customary practice </w:t>
      </w:r>
      <w:r>
        <w:rPr>
          <w:color w:val="000000"/>
        </w:rPr>
        <w:t>and because the requirement is</w:t>
      </w:r>
      <w:r w:rsidRPr="00CC60CF">
        <w:rPr>
          <w:color w:val="000000"/>
        </w:rPr>
        <w:t xml:space="preserve"> patient</w:t>
      </w:r>
      <w:r w:rsidR="008A0ED4">
        <w:rPr>
          <w:color w:val="000000"/>
        </w:rPr>
        <w:t xml:space="preserve"> </w:t>
      </w:r>
      <w:r w:rsidRPr="00CC60CF">
        <w:rPr>
          <w:color w:val="000000"/>
        </w:rPr>
        <w:t>related.</w:t>
      </w:r>
    </w:p>
    <w:p w:rsidR="00A86FD6" w14:paraId="79AF8960" w14:textId="62F2F038">
      <w:pPr>
        <w:rPr>
          <w:b/>
          <w:iCs/>
          <w:szCs w:val="24"/>
          <w:u w:val="single"/>
        </w:rPr>
      </w:pPr>
    </w:p>
    <w:p w:rsidR="00DF2D09" w14:paraId="3269992C" w14:textId="77777777">
      <w:pPr>
        <w:rPr>
          <w:b/>
          <w:iCs/>
          <w:szCs w:val="24"/>
          <w:u w:val="single"/>
        </w:rPr>
      </w:pPr>
    </w:p>
    <w:p w:rsidR="0068781E" w14:paraId="78F07482" w14:textId="3D3616B2">
      <w:pPr>
        <w:rPr>
          <w:b/>
          <w:iCs/>
          <w:szCs w:val="24"/>
          <w:u w:val="single"/>
        </w:rPr>
      </w:pPr>
    </w:p>
    <w:p w:rsidR="00A86FD6" w:rsidRPr="008A0ED4" w:rsidP="00A86FD6" w14:paraId="5ABF2581" w14:textId="4FF4AF28">
      <w:pPr>
        <w:jc w:val="center"/>
        <w:rPr>
          <w:b/>
          <w:iCs/>
          <w:sz w:val="22"/>
          <w:szCs w:val="22"/>
        </w:rPr>
      </w:pPr>
      <w:r w:rsidRPr="008A0ED4">
        <w:rPr>
          <w:b/>
          <w:iCs/>
          <w:szCs w:val="24"/>
          <w:u w:val="single"/>
        </w:rPr>
        <w:t xml:space="preserve">New Conditions of Participation </w:t>
      </w:r>
      <w:r>
        <w:rPr>
          <w:b/>
          <w:iCs/>
          <w:szCs w:val="24"/>
          <w:u w:val="single"/>
        </w:rPr>
        <w:t>for Reporting of Respiratory Illnesses</w:t>
      </w:r>
    </w:p>
    <w:p w:rsidR="00A86FD6" w:rsidP="005477E9" w14:paraId="5A523B7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86FD6" w:rsidP="00A86FD6" w14:paraId="24B75353" w14:textId="18FBA6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
        <w:rPr>
          <w:b/>
          <w:bCs/>
          <w:i/>
          <w:iCs/>
          <w:sz w:val="22"/>
          <w:szCs w:val="22"/>
          <w:u w:val="single"/>
        </w:rPr>
      </w:pPr>
      <w:r w:rsidRPr="00B52C02">
        <w:rPr>
          <w:b/>
          <w:bCs/>
          <w:szCs w:val="24"/>
          <w:u w:val="single"/>
        </w:rPr>
        <w:t xml:space="preserve">IC-3: </w:t>
      </w:r>
      <w:r>
        <w:rPr>
          <w:b/>
          <w:bCs/>
          <w:i/>
          <w:iCs/>
          <w:szCs w:val="24"/>
          <w:u w:val="single"/>
        </w:rPr>
        <w:t xml:space="preserve">New </w:t>
      </w:r>
      <w:r w:rsidRPr="00092EAF">
        <w:rPr>
          <w:b/>
          <w:bCs/>
          <w:i/>
          <w:iCs/>
          <w:szCs w:val="24"/>
          <w:u w:val="single"/>
        </w:rPr>
        <w:t xml:space="preserve">CoP: Ongoing Reporting of Acute Respiratory Illnesses - Section 485.640(d) </w:t>
      </w:r>
    </w:p>
    <w:p w:rsidR="00A86FD6" w:rsidRPr="00092EAF" w:rsidP="00A86FD6" w14:paraId="28044FBA" w14:textId="538D58F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
        <w:rPr>
          <w:szCs w:val="24"/>
        </w:rPr>
      </w:pPr>
      <w:r w:rsidRPr="00092EAF">
        <w:rPr>
          <w:szCs w:val="24"/>
        </w:rPr>
        <w:t>Under new CoPs detailed in</w:t>
      </w:r>
      <w:r w:rsidR="006D041A">
        <w:rPr>
          <w:szCs w:val="24"/>
        </w:rPr>
        <w:t xml:space="preserve"> the</w:t>
      </w:r>
      <w:r w:rsidR="00C60C5C">
        <w:rPr>
          <w:szCs w:val="24"/>
        </w:rPr>
        <w:t xml:space="preserve"> </w:t>
      </w:r>
      <w:hyperlink r:id="rId10" w:history="1">
        <w:r w:rsidR="006D041A">
          <w:rPr>
            <w:rStyle w:val="Hyperlink"/>
            <w:bCs/>
            <w:iCs/>
            <w:szCs w:val="24"/>
          </w:rPr>
          <w:t>August 2024 Final Rule</w:t>
        </w:r>
      </w:hyperlink>
      <w:r w:rsidR="00C60C5C">
        <w:rPr>
          <w:bCs/>
          <w:iCs/>
          <w:szCs w:val="24"/>
        </w:rPr>
        <w:t xml:space="preserve">, </w:t>
      </w:r>
      <w:r w:rsidRPr="00092EAF">
        <w:rPr>
          <w:szCs w:val="24"/>
        </w:rPr>
        <w:t>all participating CAHs will be required to continue to “electronically report information on acute respiratory illnesses, including influenza, SARS-CoV-2/COVID-19, and RSV, in a standardized format and frequency specified by the Secretary.” Ongoing reporting of acute respiratory illnesses must include the following data elements: (a) Confirmed infections for a limited set of respiratory illnesses, including but not limited to influenza, SARS-CoV-2/COVID–19, and RSV, among newly admitted and hospitalized patients; (b) Total bed census and capacity, including for critical hospital units and age groups; (c) Limited patient demographic information, including but not limited to age.</w:t>
      </w:r>
    </w:p>
    <w:p w:rsidR="00A86FD6" w:rsidRPr="00092EAF" w:rsidP="00A86FD6" w14:paraId="48734B5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
        <w:rPr>
          <w:szCs w:val="24"/>
        </w:rPr>
      </w:pPr>
    </w:p>
    <w:p w:rsidR="00A86FD6" w:rsidRPr="00092EAF" w:rsidP="00A86FD6" w14:paraId="0A1F22DA" w14:textId="7EEEF2D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Cs/>
          <w:iCs/>
          <w:szCs w:val="24"/>
        </w:rPr>
        <w:t>Based on the assumptions in the</w:t>
      </w:r>
      <w:r w:rsidR="006D041A">
        <w:rPr>
          <w:bCs/>
          <w:iCs/>
          <w:szCs w:val="24"/>
        </w:rPr>
        <w:t xml:space="preserve"> </w:t>
      </w:r>
      <w:hyperlink r:id="rId10" w:history="1">
        <w:r w:rsidR="006D041A">
          <w:rPr>
            <w:rStyle w:val="Hyperlink"/>
            <w:bCs/>
            <w:iCs/>
            <w:szCs w:val="24"/>
          </w:rPr>
          <w:t>August 2024 F</w:t>
        </w:r>
        <w:r w:rsidR="00E9324C">
          <w:rPr>
            <w:rStyle w:val="Hyperlink"/>
            <w:bCs/>
            <w:iCs/>
            <w:szCs w:val="24"/>
          </w:rPr>
          <w:t>in</w:t>
        </w:r>
        <w:r w:rsidR="006D041A">
          <w:rPr>
            <w:rStyle w:val="Hyperlink"/>
            <w:bCs/>
            <w:iCs/>
            <w:szCs w:val="24"/>
          </w:rPr>
          <w:t>al Rule</w:t>
        </w:r>
      </w:hyperlink>
      <w:r w:rsidR="006D041A">
        <w:rPr>
          <w:bCs/>
          <w:iCs/>
          <w:szCs w:val="24"/>
        </w:rPr>
        <w:t>,</w:t>
      </w:r>
      <w:r w:rsidR="00E9324C">
        <w:rPr>
          <w:bCs/>
          <w:iCs/>
          <w:szCs w:val="24"/>
        </w:rPr>
        <w:t xml:space="preserve"> </w:t>
      </w:r>
      <w:r>
        <w:rPr>
          <w:szCs w:val="24"/>
        </w:rPr>
        <w:t>w</w:t>
      </w:r>
      <w:r w:rsidRPr="00092EAF">
        <w:rPr>
          <w:szCs w:val="24"/>
        </w:rPr>
        <w:t xml:space="preserve">e estimate </w:t>
      </w:r>
      <w:r w:rsidR="00D34F47">
        <w:rPr>
          <w:szCs w:val="24"/>
        </w:rPr>
        <w:t xml:space="preserve">ongoing reporting would require 0.75 hours per week </w:t>
      </w:r>
      <w:r w:rsidRPr="00092EAF" w:rsidR="00D34F47">
        <w:rPr>
          <w:szCs w:val="24"/>
        </w:rPr>
        <w:t xml:space="preserve">for a </w:t>
      </w:r>
      <w:r w:rsidR="00D34F47">
        <w:rPr>
          <w:szCs w:val="24"/>
        </w:rPr>
        <w:t>R</w:t>
      </w:r>
      <w:r w:rsidRPr="00092EAF" w:rsidR="00D34F47">
        <w:rPr>
          <w:szCs w:val="24"/>
        </w:rPr>
        <w:t xml:space="preserve">egistered </w:t>
      </w:r>
      <w:r w:rsidR="00D34F47">
        <w:rPr>
          <w:szCs w:val="24"/>
        </w:rPr>
        <w:t>N</w:t>
      </w:r>
      <w:r w:rsidRPr="00092EAF" w:rsidR="00D34F47">
        <w:rPr>
          <w:szCs w:val="24"/>
        </w:rPr>
        <w:t xml:space="preserve">urse </w:t>
      </w:r>
      <w:r w:rsidR="00D34F47">
        <w:rPr>
          <w:szCs w:val="24"/>
        </w:rPr>
        <w:t>with</w:t>
      </w:r>
      <w:r w:rsidRPr="00092EAF" w:rsidR="00D34F47">
        <w:rPr>
          <w:szCs w:val="24"/>
        </w:rPr>
        <w:t xml:space="preserve"> a</w:t>
      </w:r>
      <w:r w:rsidR="00D34F47">
        <w:rPr>
          <w:szCs w:val="24"/>
        </w:rPr>
        <w:t xml:space="preserve"> loaded </w:t>
      </w:r>
      <w:r w:rsidRPr="00092EAF" w:rsidR="00D34F47">
        <w:rPr>
          <w:szCs w:val="24"/>
        </w:rPr>
        <w:t xml:space="preserve">hourly </w:t>
      </w:r>
      <w:r w:rsidR="00D34F47">
        <w:rPr>
          <w:szCs w:val="24"/>
        </w:rPr>
        <w:t>rate of</w:t>
      </w:r>
      <w:r w:rsidRPr="00092EAF" w:rsidR="00D34F47">
        <w:rPr>
          <w:szCs w:val="24"/>
        </w:rPr>
        <w:t xml:space="preserve"> $78 </w:t>
      </w:r>
      <w:r w:rsidR="00D34F47">
        <w:rPr>
          <w:szCs w:val="24"/>
        </w:rPr>
        <w:t xml:space="preserve">and that this requirement would apply to all </w:t>
      </w:r>
      <w:r w:rsidRPr="00092EAF">
        <w:rPr>
          <w:szCs w:val="24"/>
        </w:rPr>
        <w:t>participating CAHs (including CAHs with DPUs)</w:t>
      </w:r>
      <w:r w:rsidR="00D34F47">
        <w:rPr>
          <w:szCs w:val="24"/>
        </w:rPr>
        <w:t xml:space="preserve">. Based on weekly reporting, the annual burden hours would be </w:t>
      </w:r>
      <w:r w:rsidR="00AA1DD2">
        <w:rPr>
          <w:szCs w:val="24"/>
        </w:rPr>
        <w:t>53,937</w:t>
      </w:r>
      <w:r w:rsidRPr="00092EAF">
        <w:rPr>
          <w:szCs w:val="24"/>
        </w:rPr>
        <w:t xml:space="preserve"> hours </w:t>
      </w:r>
      <w:r w:rsidR="00D34F47">
        <w:rPr>
          <w:szCs w:val="24"/>
        </w:rPr>
        <w:t>(</w:t>
      </w:r>
      <w:r w:rsidRPr="00092EAF">
        <w:rPr>
          <w:szCs w:val="24"/>
        </w:rPr>
        <w:t>1,383 CAHs × 52 weeks</w:t>
      </w:r>
      <w:r w:rsidR="00D34F47">
        <w:rPr>
          <w:szCs w:val="24"/>
        </w:rPr>
        <w:t xml:space="preserve"> x</w:t>
      </w:r>
      <w:r w:rsidRPr="00092EAF">
        <w:rPr>
          <w:szCs w:val="24"/>
        </w:rPr>
        <w:t xml:space="preserve"> 0.75 hours</w:t>
      </w:r>
      <w:r w:rsidR="00D34F47">
        <w:rPr>
          <w:szCs w:val="24"/>
        </w:rPr>
        <w:t>) and the</w:t>
      </w:r>
      <w:r w:rsidRPr="00092EAF">
        <w:rPr>
          <w:szCs w:val="24"/>
        </w:rPr>
        <w:t xml:space="preserve"> annual </w:t>
      </w:r>
      <w:r w:rsidR="00D34F47">
        <w:rPr>
          <w:szCs w:val="24"/>
        </w:rPr>
        <w:t xml:space="preserve">burden </w:t>
      </w:r>
      <w:r w:rsidRPr="00092EAF">
        <w:rPr>
          <w:szCs w:val="24"/>
        </w:rPr>
        <w:t>costs would be $4,243,044 or approximately $3,068 per facility annually ($4,243,044/1,383 CAHs).</w:t>
      </w:r>
    </w:p>
    <w:p w:rsidR="00A86FD6" w:rsidRPr="00566A0D" w:rsidP="00A86FD6" w14:paraId="6788C688"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hanging="2"/>
        <w:rPr>
          <w:b/>
          <w:bCs/>
          <w:szCs w:val="24"/>
        </w:rPr>
      </w:pPr>
    </w:p>
    <w:p w:rsidR="00A86FD6" w:rsidP="00A86FD6" w14:paraId="0535383C" w14:textId="6AF10C5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b/>
          <w:bCs/>
          <w:i/>
          <w:iCs/>
          <w:sz w:val="28"/>
          <w:szCs w:val="28"/>
        </w:rPr>
      </w:pPr>
      <w:r w:rsidRPr="00D32F4B">
        <w:rPr>
          <w:b/>
          <w:bCs/>
          <w:sz w:val="28"/>
          <w:szCs w:val="28"/>
        </w:rPr>
        <w:t xml:space="preserve">Table </w:t>
      </w:r>
      <w:r>
        <w:rPr>
          <w:b/>
          <w:bCs/>
          <w:sz w:val="28"/>
          <w:szCs w:val="28"/>
        </w:rPr>
        <w:t>5</w:t>
      </w:r>
      <w:r w:rsidRPr="00D32F4B">
        <w:rPr>
          <w:b/>
          <w:bCs/>
          <w:sz w:val="28"/>
          <w:szCs w:val="28"/>
        </w:rPr>
        <w:t>: IC-</w:t>
      </w:r>
      <w:r>
        <w:rPr>
          <w:b/>
          <w:bCs/>
          <w:sz w:val="28"/>
          <w:szCs w:val="28"/>
        </w:rPr>
        <w:t>3</w:t>
      </w:r>
      <w:r w:rsidRPr="00D32F4B">
        <w:rPr>
          <w:b/>
          <w:bCs/>
          <w:sz w:val="28"/>
          <w:szCs w:val="28"/>
        </w:rPr>
        <w:t xml:space="preserve">: </w:t>
      </w:r>
      <w:r w:rsidRPr="00D32F4B">
        <w:rPr>
          <w:b/>
          <w:bCs/>
          <w:i/>
          <w:iCs/>
          <w:sz w:val="28"/>
          <w:szCs w:val="28"/>
        </w:rPr>
        <w:t>CoP: Ongoing Reporting</w:t>
      </w:r>
      <w:r>
        <w:rPr>
          <w:b/>
          <w:bCs/>
          <w:i/>
          <w:iCs/>
          <w:sz w:val="28"/>
          <w:szCs w:val="28"/>
        </w:rPr>
        <w:t xml:space="preserve"> </w:t>
      </w:r>
      <w:r w:rsidRPr="00D32F4B">
        <w:rPr>
          <w:b/>
          <w:bCs/>
          <w:i/>
          <w:iCs/>
          <w:sz w:val="28"/>
          <w:szCs w:val="28"/>
        </w:rPr>
        <w:t xml:space="preserve">of </w:t>
      </w:r>
    </w:p>
    <w:p w:rsidR="00A86FD6" w:rsidRPr="00D32F4B" w:rsidP="00A86FD6" w14:paraId="65BB0DB1"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b/>
          <w:bCs/>
          <w:sz w:val="28"/>
          <w:szCs w:val="28"/>
        </w:rPr>
      </w:pPr>
      <w:r w:rsidRPr="00D32F4B">
        <w:rPr>
          <w:b/>
          <w:bCs/>
          <w:i/>
          <w:iCs/>
          <w:sz w:val="28"/>
          <w:szCs w:val="28"/>
        </w:rPr>
        <w:t>Acute Respiratory Illnesses – 485.640(</w:t>
      </w:r>
      <w:r>
        <w:rPr>
          <w:b/>
          <w:bCs/>
          <w:i/>
          <w:iCs/>
          <w:sz w:val="28"/>
          <w:szCs w:val="28"/>
        </w:rPr>
        <w:t>d</w:t>
      </w:r>
      <w:r w:rsidRPr="00D32F4B">
        <w:rPr>
          <w:b/>
          <w:bCs/>
          <w:i/>
          <w:iCs/>
          <w:sz w:val="28"/>
          <w:szCs w:val="28"/>
        </w:rPr>
        <w:t>)</w:t>
      </w:r>
      <w:r>
        <w:rPr>
          <w:b/>
          <w:bCs/>
          <w:i/>
          <w:iCs/>
          <w:sz w:val="28"/>
          <w:szCs w:val="28"/>
        </w:rPr>
        <w:t>(1)</w:t>
      </w:r>
    </w:p>
    <w:tbl>
      <w:tblPr>
        <w:tblW w:w="8478" w:type="dxa"/>
        <w:tblInd w:w="607" w:type="dxa"/>
        <w:tblLook w:val="04A0"/>
      </w:tblPr>
      <w:tblGrid>
        <w:gridCol w:w="2988"/>
        <w:gridCol w:w="1045"/>
        <w:gridCol w:w="923"/>
        <w:gridCol w:w="877"/>
        <w:gridCol w:w="1103"/>
        <w:gridCol w:w="1542"/>
      </w:tblGrid>
      <w:tr w14:paraId="6483CECF" w14:textId="77777777" w:rsidTr="00697484">
        <w:tblPrEx>
          <w:tblW w:w="8478" w:type="dxa"/>
          <w:tblInd w:w="607" w:type="dxa"/>
          <w:tblLook w:val="04A0"/>
        </w:tblPrEx>
        <w:trPr>
          <w:trHeight w:val="526"/>
        </w:trPr>
        <w:tc>
          <w:tcPr>
            <w:tcW w:w="2988" w:type="dxa"/>
            <w:tcBorders>
              <w:top w:val="single" w:sz="4" w:space="0" w:color="auto"/>
              <w:left w:val="single" w:sz="4" w:space="0" w:color="auto"/>
              <w:bottom w:val="single" w:sz="4" w:space="0" w:color="auto"/>
              <w:right w:val="single" w:sz="4" w:space="0" w:color="auto"/>
            </w:tcBorders>
            <w:shd w:val="clear" w:color="CCCCCC" w:fill="D9E7FD"/>
            <w:noWrap/>
            <w:vAlign w:val="bottom"/>
            <w:hideMark/>
          </w:tcPr>
          <w:p w:rsidR="00A86FD6" w:rsidRPr="00092EAF" w:rsidP="00711189" w14:paraId="54092C78" w14:textId="77777777">
            <w:pPr>
              <w:jc w:val="center"/>
              <w:rPr>
                <w:b/>
                <w:bCs/>
                <w:color w:val="000000"/>
                <w:szCs w:val="24"/>
              </w:rPr>
            </w:pPr>
            <w:r w:rsidRPr="00092EAF">
              <w:rPr>
                <w:b/>
                <w:bCs/>
                <w:color w:val="000000"/>
                <w:szCs w:val="24"/>
              </w:rPr>
              <w:t>Task</w:t>
            </w:r>
          </w:p>
        </w:tc>
        <w:tc>
          <w:tcPr>
            <w:tcW w:w="1045"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A86FD6" w:rsidRPr="00092EAF" w:rsidP="00711189" w14:paraId="7EFBEA61" w14:textId="77777777">
            <w:pPr>
              <w:jc w:val="center"/>
              <w:rPr>
                <w:b/>
                <w:bCs/>
                <w:color w:val="000000"/>
                <w:szCs w:val="24"/>
              </w:rPr>
            </w:pPr>
            <w:r w:rsidRPr="00092EAF">
              <w:rPr>
                <w:b/>
                <w:bCs/>
                <w:color w:val="000000"/>
                <w:szCs w:val="24"/>
              </w:rPr>
              <w:t>Factors</w:t>
            </w:r>
          </w:p>
        </w:tc>
        <w:tc>
          <w:tcPr>
            <w:tcW w:w="923"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A86FD6" w:rsidRPr="00092EAF" w:rsidP="00711189" w14:paraId="215B95EF" w14:textId="77777777">
            <w:pPr>
              <w:jc w:val="center"/>
              <w:rPr>
                <w:b/>
                <w:bCs/>
                <w:color w:val="000000"/>
                <w:szCs w:val="24"/>
              </w:rPr>
            </w:pPr>
            <w:r w:rsidRPr="00092EAF">
              <w:rPr>
                <w:b/>
                <w:bCs/>
                <w:color w:val="000000"/>
                <w:szCs w:val="24"/>
              </w:rPr>
              <w:t>Hours/</w:t>
            </w:r>
          </w:p>
          <w:p w:rsidR="00A86FD6" w:rsidRPr="00092EAF" w:rsidP="00711189" w14:paraId="5193ADB1" w14:textId="77777777">
            <w:pPr>
              <w:jc w:val="center"/>
              <w:rPr>
                <w:b/>
                <w:bCs/>
                <w:color w:val="000000"/>
                <w:szCs w:val="24"/>
              </w:rPr>
            </w:pPr>
            <w:r w:rsidRPr="00092EAF">
              <w:rPr>
                <w:b/>
                <w:bCs/>
                <w:color w:val="000000"/>
                <w:szCs w:val="24"/>
              </w:rPr>
              <w:t>Task</w:t>
            </w:r>
          </w:p>
        </w:tc>
        <w:tc>
          <w:tcPr>
            <w:tcW w:w="877"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A86FD6" w:rsidRPr="00092EAF" w:rsidP="00711189" w14:paraId="297B3E29" w14:textId="77777777">
            <w:pPr>
              <w:jc w:val="center"/>
              <w:rPr>
                <w:b/>
                <w:bCs/>
                <w:color w:val="000000"/>
                <w:szCs w:val="24"/>
              </w:rPr>
            </w:pPr>
            <w:r w:rsidRPr="00092EAF">
              <w:rPr>
                <w:b/>
                <w:bCs/>
                <w:color w:val="000000"/>
                <w:szCs w:val="24"/>
              </w:rPr>
              <w:t>Cost/</w:t>
            </w:r>
          </w:p>
          <w:p w:rsidR="00A86FD6" w:rsidRPr="00092EAF" w:rsidP="00711189" w14:paraId="780C8315" w14:textId="77777777">
            <w:pPr>
              <w:jc w:val="center"/>
              <w:rPr>
                <w:b/>
                <w:bCs/>
                <w:color w:val="000000"/>
                <w:szCs w:val="24"/>
              </w:rPr>
            </w:pPr>
            <w:r w:rsidRPr="00092EAF">
              <w:rPr>
                <w:b/>
                <w:bCs/>
                <w:color w:val="000000"/>
                <w:szCs w:val="24"/>
              </w:rPr>
              <w:t>Task</w:t>
            </w:r>
          </w:p>
        </w:tc>
        <w:tc>
          <w:tcPr>
            <w:tcW w:w="1103"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A86FD6" w:rsidRPr="00092EAF" w:rsidP="00711189" w14:paraId="130DB4D1" w14:textId="77777777">
            <w:pPr>
              <w:jc w:val="center"/>
              <w:rPr>
                <w:b/>
                <w:bCs/>
                <w:color w:val="000000"/>
                <w:szCs w:val="24"/>
              </w:rPr>
            </w:pPr>
            <w:r w:rsidRPr="00092EAF">
              <w:rPr>
                <w:b/>
                <w:bCs/>
                <w:color w:val="000000"/>
                <w:szCs w:val="24"/>
              </w:rPr>
              <w:t xml:space="preserve"> Annual Burden Hours</w:t>
            </w:r>
          </w:p>
        </w:tc>
        <w:tc>
          <w:tcPr>
            <w:tcW w:w="1542"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A86FD6" w:rsidRPr="00092EAF" w:rsidP="00711189" w14:paraId="0FDE76E4" w14:textId="77777777">
            <w:pPr>
              <w:jc w:val="center"/>
              <w:rPr>
                <w:b/>
                <w:bCs/>
                <w:color w:val="000000"/>
                <w:szCs w:val="24"/>
              </w:rPr>
            </w:pPr>
            <w:r w:rsidRPr="00092EAF">
              <w:rPr>
                <w:b/>
                <w:bCs/>
                <w:color w:val="000000"/>
                <w:szCs w:val="24"/>
              </w:rPr>
              <w:t>Annual Burden Cost</w:t>
            </w:r>
          </w:p>
        </w:tc>
      </w:tr>
      <w:tr w14:paraId="5446DA03" w14:textId="77777777" w:rsidTr="00697484">
        <w:tblPrEx>
          <w:tblW w:w="8478" w:type="dxa"/>
          <w:tblInd w:w="607" w:type="dxa"/>
          <w:tblLook w:val="04A0"/>
        </w:tblPrEx>
        <w:trPr>
          <w:trHeight w:val="263"/>
        </w:trPr>
        <w:tc>
          <w:tcPr>
            <w:tcW w:w="2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6FD6" w:rsidRPr="00092EAF" w:rsidP="00711189" w14:paraId="2FA1CE11" w14:textId="77777777">
            <w:pPr>
              <w:rPr>
                <w:color w:val="000000"/>
                <w:szCs w:val="24"/>
              </w:rPr>
            </w:pPr>
            <w:r w:rsidRPr="00092EAF">
              <w:rPr>
                <w:color w:val="000000"/>
                <w:szCs w:val="24"/>
              </w:rPr>
              <w:t>Clinician - Registered Nurse</w:t>
            </w:r>
          </w:p>
        </w:tc>
        <w:tc>
          <w:tcPr>
            <w:tcW w:w="1045" w:type="dxa"/>
            <w:tcBorders>
              <w:top w:val="single" w:sz="4" w:space="0" w:color="auto"/>
              <w:left w:val="nil"/>
              <w:bottom w:val="single" w:sz="4" w:space="0" w:color="auto"/>
              <w:right w:val="single" w:sz="4" w:space="0" w:color="auto"/>
            </w:tcBorders>
            <w:shd w:val="clear" w:color="auto" w:fill="auto"/>
            <w:noWrap/>
          </w:tcPr>
          <w:p w:rsidR="00A86FD6" w:rsidRPr="00092EAF" w:rsidP="00711189" w14:paraId="6D6B271B" w14:textId="77777777">
            <w:pPr>
              <w:jc w:val="center"/>
              <w:rPr>
                <w:color w:val="000000"/>
                <w:szCs w:val="24"/>
              </w:rPr>
            </w:pPr>
            <w:r w:rsidRPr="00092EAF">
              <w:rPr>
                <w:szCs w:val="24"/>
              </w:rPr>
              <w:t>$78</w:t>
            </w:r>
          </w:p>
        </w:tc>
        <w:tc>
          <w:tcPr>
            <w:tcW w:w="923" w:type="dxa"/>
            <w:tcBorders>
              <w:top w:val="single" w:sz="4" w:space="0" w:color="auto"/>
              <w:left w:val="nil"/>
              <w:bottom w:val="single" w:sz="4" w:space="0" w:color="000000"/>
              <w:right w:val="single" w:sz="4" w:space="0" w:color="000000"/>
            </w:tcBorders>
            <w:shd w:val="clear" w:color="auto" w:fill="auto"/>
            <w:noWrap/>
          </w:tcPr>
          <w:p w:rsidR="00A86FD6" w:rsidRPr="00092EAF" w:rsidP="00711189" w14:paraId="42C83B35" w14:textId="77777777">
            <w:pPr>
              <w:jc w:val="center"/>
              <w:rPr>
                <w:color w:val="0000FF"/>
                <w:szCs w:val="24"/>
              </w:rPr>
            </w:pPr>
          </w:p>
        </w:tc>
        <w:tc>
          <w:tcPr>
            <w:tcW w:w="877" w:type="dxa"/>
            <w:tcBorders>
              <w:top w:val="single" w:sz="4" w:space="0" w:color="auto"/>
              <w:left w:val="nil"/>
              <w:bottom w:val="single" w:sz="4" w:space="0" w:color="auto"/>
              <w:right w:val="single" w:sz="4" w:space="0" w:color="auto"/>
            </w:tcBorders>
            <w:shd w:val="clear" w:color="auto" w:fill="auto"/>
            <w:noWrap/>
          </w:tcPr>
          <w:p w:rsidR="00A86FD6" w:rsidRPr="00092EAF" w:rsidP="00711189" w14:paraId="16943899" w14:textId="77777777">
            <w:pPr>
              <w:rPr>
                <w:color w:val="000000"/>
                <w:szCs w:val="24"/>
              </w:rPr>
            </w:pPr>
          </w:p>
        </w:tc>
        <w:tc>
          <w:tcPr>
            <w:tcW w:w="1103" w:type="dxa"/>
            <w:tcBorders>
              <w:top w:val="single" w:sz="4" w:space="0" w:color="auto"/>
              <w:left w:val="nil"/>
              <w:bottom w:val="single" w:sz="4" w:space="0" w:color="auto"/>
              <w:right w:val="single" w:sz="4" w:space="0" w:color="auto"/>
            </w:tcBorders>
            <w:shd w:val="clear" w:color="auto" w:fill="auto"/>
            <w:noWrap/>
          </w:tcPr>
          <w:p w:rsidR="00A86FD6" w:rsidRPr="00092EAF" w:rsidP="00711189" w14:paraId="4F4BFEFA" w14:textId="77777777">
            <w:pPr>
              <w:rPr>
                <w:color w:val="000000"/>
                <w:szCs w:val="24"/>
              </w:rPr>
            </w:pPr>
          </w:p>
        </w:tc>
        <w:tc>
          <w:tcPr>
            <w:tcW w:w="1542" w:type="dxa"/>
            <w:tcBorders>
              <w:top w:val="single" w:sz="4" w:space="0" w:color="auto"/>
              <w:left w:val="nil"/>
              <w:bottom w:val="single" w:sz="4" w:space="0" w:color="auto"/>
              <w:right w:val="single" w:sz="4" w:space="0" w:color="auto"/>
            </w:tcBorders>
            <w:shd w:val="clear" w:color="auto" w:fill="auto"/>
            <w:noWrap/>
          </w:tcPr>
          <w:p w:rsidR="00A86FD6" w:rsidRPr="00092EAF" w:rsidP="00711189" w14:paraId="31819BE8" w14:textId="77777777">
            <w:pPr>
              <w:rPr>
                <w:color w:val="000000"/>
                <w:szCs w:val="24"/>
              </w:rPr>
            </w:pPr>
          </w:p>
        </w:tc>
      </w:tr>
      <w:tr w14:paraId="6AFBB998" w14:textId="77777777" w:rsidTr="00697484">
        <w:tblPrEx>
          <w:tblW w:w="8478" w:type="dxa"/>
          <w:tblInd w:w="607" w:type="dxa"/>
          <w:tblLook w:val="04A0"/>
        </w:tblPrEx>
        <w:trPr>
          <w:trHeight w:val="26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A86FD6" w:rsidRPr="00092EAF" w:rsidP="00711189" w14:paraId="3D2690EA" w14:textId="77777777">
            <w:pPr>
              <w:rPr>
                <w:color w:val="000000"/>
                <w:szCs w:val="24"/>
              </w:rPr>
            </w:pPr>
            <w:r w:rsidRPr="00092EAF">
              <w:rPr>
                <w:color w:val="000000"/>
                <w:szCs w:val="24"/>
              </w:rPr>
              <w:t>Reports/Year/Facility</w:t>
            </w:r>
          </w:p>
        </w:tc>
        <w:tc>
          <w:tcPr>
            <w:tcW w:w="1045" w:type="dxa"/>
            <w:tcBorders>
              <w:top w:val="nil"/>
              <w:left w:val="nil"/>
              <w:bottom w:val="single" w:sz="4" w:space="0" w:color="auto"/>
              <w:right w:val="single" w:sz="4" w:space="0" w:color="auto"/>
            </w:tcBorders>
            <w:shd w:val="clear" w:color="auto" w:fill="auto"/>
            <w:noWrap/>
            <w:hideMark/>
          </w:tcPr>
          <w:p w:rsidR="00A86FD6" w:rsidRPr="00092EAF" w:rsidP="00711189" w14:paraId="0B922319" w14:textId="77777777">
            <w:pPr>
              <w:jc w:val="center"/>
              <w:rPr>
                <w:color w:val="000000"/>
                <w:szCs w:val="24"/>
              </w:rPr>
            </w:pPr>
            <w:r w:rsidRPr="00092EAF">
              <w:rPr>
                <w:szCs w:val="24"/>
              </w:rPr>
              <w:t>52</w:t>
            </w:r>
          </w:p>
        </w:tc>
        <w:tc>
          <w:tcPr>
            <w:tcW w:w="923" w:type="dxa"/>
            <w:tcBorders>
              <w:top w:val="nil"/>
              <w:left w:val="nil"/>
              <w:bottom w:val="single" w:sz="4" w:space="0" w:color="auto"/>
              <w:right w:val="single" w:sz="4" w:space="0" w:color="auto"/>
            </w:tcBorders>
            <w:shd w:val="clear" w:color="auto" w:fill="auto"/>
            <w:noWrap/>
            <w:hideMark/>
          </w:tcPr>
          <w:p w:rsidR="00A86FD6" w:rsidRPr="00092EAF" w:rsidP="00711189" w14:paraId="00593181" w14:textId="77777777">
            <w:pPr>
              <w:jc w:val="center"/>
              <w:rPr>
                <w:szCs w:val="24"/>
              </w:rPr>
            </w:pPr>
            <w:r w:rsidRPr="00092EAF">
              <w:rPr>
                <w:szCs w:val="24"/>
              </w:rPr>
              <w:t>0.75</w:t>
            </w:r>
          </w:p>
        </w:tc>
        <w:tc>
          <w:tcPr>
            <w:tcW w:w="877" w:type="dxa"/>
            <w:tcBorders>
              <w:top w:val="nil"/>
              <w:left w:val="nil"/>
              <w:bottom w:val="single" w:sz="4" w:space="0" w:color="auto"/>
              <w:right w:val="single" w:sz="4" w:space="0" w:color="auto"/>
            </w:tcBorders>
            <w:shd w:val="clear" w:color="auto" w:fill="auto"/>
            <w:noWrap/>
            <w:hideMark/>
          </w:tcPr>
          <w:p w:rsidR="00A86FD6" w:rsidRPr="00092EAF" w:rsidP="00711189" w14:paraId="78CCD6E9" w14:textId="77777777">
            <w:pPr>
              <w:jc w:val="center"/>
              <w:rPr>
                <w:color w:val="000000"/>
                <w:szCs w:val="24"/>
              </w:rPr>
            </w:pPr>
            <w:r w:rsidRPr="00092EAF">
              <w:rPr>
                <w:szCs w:val="24"/>
              </w:rPr>
              <w:t>$59</w:t>
            </w:r>
          </w:p>
        </w:tc>
        <w:tc>
          <w:tcPr>
            <w:tcW w:w="1103" w:type="dxa"/>
            <w:tcBorders>
              <w:top w:val="nil"/>
              <w:left w:val="nil"/>
              <w:bottom w:val="single" w:sz="4" w:space="0" w:color="auto"/>
              <w:right w:val="single" w:sz="4" w:space="0" w:color="auto"/>
            </w:tcBorders>
            <w:shd w:val="clear" w:color="auto" w:fill="auto"/>
            <w:noWrap/>
            <w:hideMark/>
          </w:tcPr>
          <w:p w:rsidR="00A86FD6" w:rsidRPr="00092EAF" w:rsidP="00711189" w14:paraId="655D9990" w14:textId="77777777">
            <w:pPr>
              <w:jc w:val="center"/>
              <w:rPr>
                <w:szCs w:val="24"/>
              </w:rPr>
            </w:pPr>
            <w:r w:rsidRPr="00092EAF">
              <w:rPr>
                <w:szCs w:val="24"/>
              </w:rPr>
              <w:t>39.0</w:t>
            </w:r>
          </w:p>
        </w:tc>
        <w:tc>
          <w:tcPr>
            <w:tcW w:w="1542" w:type="dxa"/>
            <w:tcBorders>
              <w:top w:val="nil"/>
              <w:left w:val="nil"/>
              <w:bottom w:val="single" w:sz="4" w:space="0" w:color="auto"/>
              <w:right w:val="single" w:sz="4" w:space="0" w:color="auto"/>
            </w:tcBorders>
            <w:shd w:val="clear" w:color="auto" w:fill="auto"/>
            <w:noWrap/>
            <w:hideMark/>
          </w:tcPr>
          <w:p w:rsidR="00A86FD6" w:rsidRPr="00092EAF" w:rsidP="00711189" w14:paraId="52D90759" w14:textId="77777777">
            <w:pPr>
              <w:jc w:val="center"/>
              <w:rPr>
                <w:color w:val="000000"/>
                <w:szCs w:val="24"/>
              </w:rPr>
            </w:pPr>
            <w:r w:rsidRPr="00092EAF">
              <w:rPr>
                <w:szCs w:val="24"/>
              </w:rPr>
              <w:t>$3,068</w:t>
            </w:r>
          </w:p>
        </w:tc>
      </w:tr>
      <w:tr w14:paraId="11762F8A" w14:textId="77777777" w:rsidTr="00697484">
        <w:tblPrEx>
          <w:tblW w:w="8478" w:type="dxa"/>
          <w:tblInd w:w="607" w:type="dxa"/>
          <w:tblLook w:val="04A0"/>
        </w:tblPrEx>
        <w:trPr>
          <w:trHeight w:val="26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A86FD6" w:rsidRPr="00092EAF" w:rsidP="00711189" w14:paraId="560BFB5F" w14:textId="77777777">
            <w:pPr>
              <w:rPr>
                <w:color w:val="000000"/>
                <w:szCs w:val="24"/>
              </w:rPr>
            </w:pPr>
            <w:r w:rsidRPr="00092EAF">
              <w:rPr>
                <w:color w:val="000000"/>
                <w:szCs w:val="24"/>
              </w:rPr>
              <w:t># of Facilities</w:t>
            </w:r>
          </w:p>
        </w:tc>
        <w:tc>
          <w:tcPr>
            <w:tcW w:w="1045" w:type="dxa"/>
            <w:tcBorders>
              <w:top w:val="nil"/>
              <w:left w:val="nil"/>
              <w:bottom w:val="single" w:sz="4" w:space="0" w:color="auto"/>
              <w:right w:val="single" w:sz="4" w:space="0" w:color="auto"/>
            </w:tcBorders>
            <w:shd w:val="clear" w:color="auto" w:fill="auto"/>
            <w:noWrap/>
            <w:hideMark/>
          </w:tcPr>
          <w:p w:rsidR="00A86FD6" w:rsidRPr="00092EAF" w:rsidP="00711189" w14:paraId="24B74ECB" w14:textId="77777777">
            <w:pPr>
              <w:jc w:val="center"/>
              <w:rPr>
                <w:color w:val="000000"/>
                <w:szCs w:val="24"/>
              </w:rPr>
            </w:pPr>
            <w:r w:rsidRPr="00092EAF">
              <w:rPr>
                <w:szCs w:val="24"/>
              </w:rPr>
              <w:t>1,383</w:t>
            </w:r>
          </w:p>
        </w:tc>
        <w:tc>
          <w:tcPr>
            <w:tcW w:w="923" w:type="dxa"/>
            <w:tcBorders>
              <w:top w:val="nil"/>
              <w:left w:val="nil"/>
              <w:bottom w:val="single" w:sz="4" w:space="0" w:color="auto"/>
              <w:right w:val="single" w:sz="4" w:space="0" w:color="auto"/>
            </w:tcBorders>
            <w:shd w:val="clear" w:color="auto" w:fill="auto"/>
            <w:noWrap/>
            <w:hideMark/>
          </w:tcPr>
          <w:p w:rsidR="00A86FD6" w:rsidRPr="00092EAF" w:rsidP="00711189" w14:paraId="27568F13" w14:textId="77777777">
            <w:pPr>
              <w:jc w:val="center"/>
              <w:rPr>
                <w:szCs w:val="24"/>
              </w:rPr>
            </w:pPr>
          </w:p>
        </w:tc>
        <w:tc>
          <w:tcPr>
            <w:tcW w:w="877" w:type="dxa"/>
            <w:tcBorders>
              <w:top w:val="nil"/>
              <w:left w:val="nil"/>
              <w:bottom w:val="single" w:sz="4" w:space="0" w:color="auto"/>
              <w:right w:val="single" w:sz="4" w:space="0" w:color="auto"/>
            </w:tcBorders>
            <w:shd w:val="clear" w:color="auto" w:fill="auto"/>
            <w:noWrap/>
            <w:hideMark/>
          </w:tcPr>
          <w:p w:rsidR="00A86FD6" w:rsidRPr="00092EAF" w:rsidP="00711189" w14:paraId="3EBB90C3" w14:textId="77777777">
            <w:pPr>
              <w:jc w:val="center"/>
              <w:rPr>
                <w:color w:val="000000"/>
                <w:szCs w:val="24"/>
              </w:rPr>
            </w:pPr>
          </w:p>
        </w:tc>
        <w:tc>
          <w:tcPr>
            <w:tcW w:w="1103" w:type="dxa"/>
            <w:tcBorders>
              <w:top w:val="nil"/>
              <w:left w:val="nil"/>
              <w:bottom w:val="single" w:sz="4" w:space="0" w:color="auto"/>
              <w:right w:val="single" w:sz="4" w:space="0" w:color="auto"/>
            </w:tcBorders>
            <w:shd w:val="clear" w:color="auto" w:fill="auto"/>
            <w:noWrap/>
            <w:hideMark/>
          </w:tcPr>
          <w:p w:rsidR="00A86FD6" w:rsidRPr="00092EAF" w:rsidP="00711189" w14:paraId="3CAD5FE8" w14:textId="77777777">
            <w:pPr>
              <w:jc w:val="center"/>
              <w:rPr>
                <w:color w:val="000000"/>
                <w:szCs w:val="24"/>
              </w:rPr>
            </w:pPr>
          </w:p>
        </w:tc>
        <w:tc>
          <w:tcPr>
            <w:tcW w:w="1542" w:type="dxa"/>
            <w:tcBorders>
              <w:top w:val="nil"/>
              <w:left w:val="nil"/>
              <w:bottom w:val="single" w:sz="4" w:space="0" w:color="auto"/>
              <w:right w:val="single" w:sz="4" w:space="0" w:color="auto"/>
            </w:tcBorders>
            <w:shd w:val="clear" w:color="auto" w:fill="auto"/>
            <w:noWrap/>
            <w:hideMark/>
          </w:tcPr>
          <w:p w:rsidR="00A86FD6" w:rsidRPr="00092EAF" w:rsidP="00711189" w14:paraId="624523AB" w14:textId="77777777">
            <w:pPr>
              <w:jc w:val="center"/>
              <w:rPr>
                <w:color w:val="000000"/>
                <w:szCs w:val="24"/>
              </w:rPr>
            </w:pPr>
          </w:p>
        </w:tc>
      </w:tr>
      <w:tr w14:paraId="212244FD" w14:textId="77777777" w:rsidTr="00697484">
        <w:tblPrEx>
          <w:tblW w:w="8478" w:type="dxa"/>
          <w:tblInd w:w="607" w:type="dxa"/>
          <w:tblLook w:val="04A0"/>
        </w:tblPrEx>
        <w:trPr>
          <w:trHeight w:val="263"/>
        </w:trPr>
        <w:tc>
          <w:tcPr>
            <w:tcW w:w="298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A86FD6" w:rsidRPr="00092EAF" w:rsidP="00711189" w14:paraId="7E0A817E" w14:textId="77777777">
            <w:pPr>
              <w:rPr>
                <w:b/>
                <w:bCs/>
                <w:color w:val="000000"/>
                <w:szCs w:val="24"/>
              </w:rPr>
            </w:pPr>
            <w:r w:rsidRPr="00092EAF">
              <w:rPr>
                <w:b/>
                <w:bCs/>
                <w:color w:val="000000"/>
                <w:szCs w:val="24"/>
              </w:rPr>
              <w:t>All Facilities</w:t>
            </w:r>
          </w:p>
        </w:tc>
        <w:tc>
          <w:tcPr>
            <w:tcW w:w="1045" w:type="dxa"/>
            <w:tcBorders>
              <w:top w:val="nil"/>
              <w:left w:val="nil"/>
              <w:bottom w:val="single" w:sz="4" w:space="0" w:color="auto"/>
              <w:right w:val="single" w:sz="4" w:space="0" w:color="auto"/>
            </w:tcBorders>
            <w:shd w:val="clear" w:color="auto" w:fill="D9D9D9" w:themeFill="background1" w:themeFillShade="D9"/>
            <w:noWrap/>
            <w:hideMark/>
          </w:tcPr>
          <w:p w:rsidR="00A86FD6" w:rsidRPr="00092EAF" w:rsidP="00711189" w14:paraId="7416C019" w14:textId="77777777">
            <w:pPr>
              <w:jc w:val="center"/>
              <w:rPr>
                <w:b/>
                <w:bCs/>
                <w:color w:val="000000"/>
                <w:szCs w:val="24"/>
              </w:rPr>
            </w:pPr>
            <w:r w:rsidRPr="00092EAF">
              <w:rPr>
                <w:b/>
                <w:bCs/>
                <w:szCs w:val="24"/>
              </w:rPr>
              <w:t>71,916</w:t>
            </w:r>
          </w:p>
        </w:tc>
        <w:tc>
          <w:tcPr>
            <w:tcW w:w="923" w:type="dxa"/>
            <w:tcBorders>
              <w:top w:val="nil"/>
              <w:left w:val="nil"/>
              <w:bottom w:val="single" w:sz="4" w:space="0" w:color="auto"/>
              <w:right w:val="single" w:sz="4" w:space="0" w:color="auto"/>
            </w:tcBorders>
            <w:shd w:val="clear" w:color="auto" w:fill="D9D9D9" w:themeFill="background1" w:themeFillShade="D9"/>
            <w:noWrap/>
            <w:hideMark/>
          </w:tcPr>
          <w:p w:rsidR="00A86FD6" w:rsidRPr="00092EAF" w:rsidP="00711189" w14:paraId="27D46CB4" w14:textId="77777777">
            <w:pPr>
              <w:jc w:val="center"/>
              <w:rPr>
                <w:b/>
                <w:bCs/>
                <w:szCs w:val="24"/>
              </w:rPr>
            </w:pPr>
          </w:p>
        </w:tc>
        <w:tc>
          <w:tcPr>
            <w:tcW w:w="877" w:type="dxa"/>
            <w:tcBorders>
              <w:top w:val="nil"/>
              <w:left w:val="nil"/>
              <w:bottom w:val="single" w:sz="4" w:space="0" w:color="auto"/>
              <w:right w:val="single" w:sz="4" w:space="0" w:color="auto"/>
            </w:tcBorders>
            <w:shd w:val="clear" w:color="auto" w:fill="D9D9D9" w:themeFill="background1" w:themeFillShade="D9"/>
            <w:noWrap/>
            <w:hideMark/>
          </w:tcPr>
          <w:p w:rsidR="00A86FD6" w:rsidRPr="00092EAF" w:rsidP="00711189" w14:paraId="1B5B0557" w14:textId="77777777">
            <w:pPr>
              <w:jc w:val="center"/>
              <w:rPr>
                <w:b/>
                <w:bCs/>
                <w:color w:val="000000"/>
                <w:szCs w:val="24"/>
              </w:rPr>
            </w:pPr>
          </w:p>
        </w:tc>
        <w:tc>
          <w:tcPr>
            <w:tcW w:w="1103" w:type="dxa"/>
            <w:tcBorders>
              <w:top w:val="nil"/>
              <w:left w:val="nil"/>
              <w:bottom w:val="single" w:sz="4" w:space="0" w:color="auto"/>
              <w:right w:val="single" w:sz="4" w:space="0" w:color="auto"/>
            </w:tcBorders>
            <w:shd w:val="clear" w:color="auto" w:fill="D9D9D9" w:themeFill="background1" w:themeFillShade="D9"/>
            <w:noWrap/>
            <w:hideMark/>
          </w:tcPr>
          <w:p w:rsidR="00A86FD6" w:rsidRPr="00092EAF" w:rsidP="00711189" w14:paraId="0DE8AD2E" w14:textId="315BD5C6">
            <w:pPr>
              <w:jc w:val="center"/>
              <w:rPr>
                <w:b/>
                <w:bCs/>
                <w:color w:val="000000"/>
                <w:szCs w:val="24"/>
              </w:rPr>
            </w:pPr>
            <w:r>
              <w:rPr>
                <w:b/>
                <w:bCs/>
                <w:szCs w:val="24"/>
              </w:rPr>
              <w:t>53,937</w:t>
            </w:r>
          </w:p>
        </w:tc>
        <w:tc>
          <w:tcPr>
            <w:tcW w:w="1542" w:type="dxa"/>
            <w:tcBorders>
              <w:top w:val="nil"/>
              <w:left w:val="nil"/>
              <w:bottom w:val="single" w:sz="4" w:space="0" w:color="auto"/>
              <w:right w:val="single" w:sz="4" w:space="0" w:color="auto"/>
            </w:tcBorders>
            <w:shd w:val="clear" w:color="auto" w:fill="D9D9D9" w:themeFill="background1" w:themeFillShade="D9"/>
            <w:noWrap/>
            <w:hideMark/>
          </w:tcPr>
          <w:p w:rsidR="00A86FD6" w:rsidRPr="00092EAF" w:rsidP="00711189" w14:paraId="324877A2" w14:textId="77777777">
            <w:pPr>
              <w:jc w:val="center"/>
              <w:rPr>
                <w:b/>
                <w:bCs/>
                <w:color w:val="000000"/>
                <w:szCs w:val="24"/>
              </w:rPr>
            </w:pPr>
            <w:r w:rsidRPr="00092EAF">
              <w:rPr>
                <w:b/>
                <w:bCs/>
                <w:szCs w:val="24"/>
              </w:rPr>
              <w:t>$4,243,044</w:t>
            </w:r>
          </w:p>
        </w:tc>
      </w:tr>
    </w:tbl>
    <w:p w:rsidR="00697484" w:rsidP="00697484" w14:paraId="7760AFE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
        <w:rPr>
          <w:b/>
          <w:bCs/>
          <w:i/>
          <w:iCs/>
          <w:szCs w:val="24"/>
          <w:u w:val="single"/>
        </w:rPr>
      </w:pPr>
    </w:p>
    <w:p w:rsidR="00697484" w:rsidP="00A86FD6" w14:paraId="6F0CA1F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
        <w:rPr>
          <w:b/>
          <w:bCs/>
          <w:i/>
          <w:iCs/>
          <w:szCs w:val="24"/>
          <w:u w:val="single"/>
        </w:rPr>
      </w:pPr>
    </w:p>
    <w:p w:rsidR="00DF2D09" w:rsidP="00A86FD6" w14:paraId="0A034B2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
        <w:rPr>
          <w:b/>
          <w:bCs/>
          <w:szCs w:val="24"/>
          <w:u w:val="single"/>
        </w:rPr>
      </w:pPr>
    </w:p>
    <w:p w:rsidR="00A86FD6" w:rsidRPr="00073834" w:rsidP="00A86FD6" w14:paraId="3ABD6E29" w14:textId="2B86FB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
        <w:rPr>
          <w:b/>
          <w:bCs/>
          <w:i/>
          <w:iCs/>
          <w:szCs w:val="24"/>
          <w:u w:val="single"/>
        </w:rPr>
      </w:pPr>
      <w:r w:rsidRPr="00B52C02">
        <w:rPr>
          <w:b/>
          <w:bCs/>
          <w:szCs w:val="24"/>
          <w:u w:val="single"/>
        </w:rPr>
        <w:t>IC-4:</w:t>
      </w:r>
      <w:r>
        <w:rPr>
          <w:b/>
          <w:bCs/>
          <w:i/>
          <w:iCs/>
          <w:szCs w:val="24"/>
          <w:u w:val="single"/>
        </w:rPr>
        <w:t xml:space="preserve"> </w:t>
      </w:r>
      <w:r w:rsidRPr="00073834">
        <w:rPr>
          <w:b/>
          <w:bCs/>
          <w:i/>
          <w:iCs/>
          <w:szCs w:val="24"/>
          <w:u w:val="single"/>
        </w:rPr>
        <w:t>N</w:t>
      </w:r>
      <w:r>
        <w:rPr>
          <w:b/>
          <w:bCs/>
          <w:i/>
          <w:iCs/>
          <w:szCs w:val="24"/>
          <w:u w:val="single"/>
        </w:rPr>
        <w:t>ew</w:t>
      </w:r>
      <w:r w:rsidRPr="00073834">
        <w:rPr>
          <w:b/>
          <w:bCs/>
          <w:i/>
          <w:iCs/>
          <w:szCs w:val="24"/>
          <w:u w:val="single"/>
        </w:rPr>
        <w:t xml:space="preserve"> CoP: Future Public Health Emergency (PHE) Reporting of Acute Respiratory Illnesses - Section 485.640(d)(2)</w:t>
      </w:r>
    </w:p>
    <w:p w:rsidR="00D34F47" w:rsidP="00D34F47" w14:paraId="536BE279" w14:textId="7D8F60D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
        <w:rPr>
          <w:szCs w:val="24"/>
        </w:rPr>
      </w:pPr>
      <w:r w:rsidRPr="00092EAF">
        <w:rPr>
          <w:szCs w:val="24"/>
        </w:rPr>
        <w:t xml:space="preserve">Under </w:t>
      </w:r>
      <w:r w:rsidR="00C60C5C">
        <w:rPr>
          <w:szCs w:val="24"/>
        </w:rPr>
        <w:t xml:space="preserve">the </w:t>
      </w:r>
      <w:r w:rsidRPr="00092EAF">
        <w:rPr>
          <w:szCs w:val="24"/>
        </w:rPr>
        <w:t>new CoPs, all participating CAHs will be required to report specific data elements to the CDC’s National Health Safety Network (NHSN), or other CDC-supported surveillance systems when an applicable Public Health Emergency for an acute respiratory illness (or threat of) has been declared by the HHS Secretary in the future.”</w:t>
      </w:r>
      <w:r w:rsidR="006D041A">
        <w:rPr>
          <w:szCs w:val="24"/>
        </w:rPr>
        <w:t xml:space="preserve"> As detailed in the </w:t>
      </w:r>
      <w:hyperlink r:id="rId10" w:history="1">
        <w:r w:rsidR="006D041A">
          <w:rPr>
            <w:rStyle w:val="Hyperlink"/>
            <w:bCs/>
            <w:iCs/>
            <w:szCs w:val="24"/>
          </w:rPr>
          <w:t>August 2024 Final Rule</w:t>
        </w:r>
      </w:hyperlink>
      <w:r w:rsidR="006D041A">
        <w:rPr>
          <w:bCs/>
          <w:iCs/>
          <w:szCs w:val="24"/>
        </w:rPr>
        <w:t>,</w:t>
      </w:r>
      <w:r w:rsidR="006D041A">
        <w:rPr>
          <w:szCs w:val="24"/>
        </w:rPr>
        <w:t xml:space="preserve"> t</w:t>
      </w:r>
      <w:r w:rsidRPr="00092EAF">
        <w:rPr>
          <w:szCs w:val="24"/>
        </w:rPr>
        <w:t xml:space="preserve">he report will need to be in a standardized format, submitted at a frequency specified by the Secretary, and include the following data elements: a) Supply inventory shortages; b) staffing </w:t>
      </w:r>
      <w:r w:rsidRPr="00092EAF">
        <w:rPr>
          <w:szCs w:val="24"/>
        </w:rPr>
        <w:t>shortages; c) relevant medical countermeasures and therapeutic inventories, usage, or both; d) facility structure and operating status, including hospital/ED diversion status.</w:t>
      </w:r>
      <w:r>
        <w:rPr>
          <w:szCs w:val="24"/>
        </w:rPr>
        <w:t xml:space="preserve">  </w:t>
      </w:r>
      <w:r w:rsidRPr="00092EAF">
        <w:rPr>
          <w:szCs w:val="24"/>
        </w:rPr>
        <w:t xml:space="preserve">During the COVID-19 PHE, reporting was required on a daily basis. However, future reporting may be required less frequently. Thus, we include two burden estimates to encapsule a range in frequency of future reporting for acute respiratory illnesses during a PHE with a lower range based on twice a week reporting and a higher range based on daily reporting. </w:t>
      </w:r>
    </w:p>
    <w:p w:rsidR="003E6756" w:rsidP="00D34F47" w14:paraId="41E9A3A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
        <w:rPr>
          <w:szCs w:val="24"/>
        </w:rPr>
      </w:pPr>
    </w:p>
    <w:p w:rsidR="00A86FD6" w:rsidRPr="00092EAF" w:rsidP="00A86FD6" w14:paraId="54135DBB" w14:textId="305E831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Cs/>
          <w:iCs/>
          <w:szCs w:val="24"/>
        </w:rPr>
        <w:t xml:space="preserve">Based on the assumptions </w:t>
      </w:r>
      <w:r w:rsidR="006D041A">
        <w:rPr>
          <w:bCs/>
          <w:iCs/>
          <w:szCs w:val="24"/>
        </w:rPr>
        <w:t>i</w:t>
      </w:r>
      <w:r>
        <w:rPr>
          <w:bCs/>
          <w:iCs/>
          <w:szCs w:val="24"/>
        </w:rPr>
        <w:t>n the</w:t>
      </w:r>
      <w:r w:rsidR="009E1B54">
        <w:rPr>
          <w:bCs/>
          <w:iCs/>
          <w:szCs w:val="24"/>
        </w:rPr>
        <w:t xml:space="preserve"> </w:t>
      </w:r>
      <w:hyperlink r:id="rId10" w:history="1">
        <w:r w:rsidR="006D041A">
          <w:rPr>
            <w:rStyle w:val="Hyperlink"/>
            <w:bCs/>
            <w:iCs/>
            <w:szCs w:val="24"/>
          </w:rPr>
          <w:t>August 2024 F</w:t>
        </w:r>
        <w:r w:rsidR="00E9324C">
          <w:rPr>
            <w:rStyle w:val="Hyperlink"/>
            <w:bCs/>
            <w:iCs/>
            <w:szCs w:val="24"/>
          </w:rPr>
          <w:t>in</w:t>
        </w:r>
        <w:r w:rsidR="006D041A">
          <w:rPr>
            <w:rStyle w:val="Hyperlink"/>
            <w:bCs/>
            <w:iCs/>
            <w:szCs w:val="24"/>
          </w:rPr>
          <w:t>al Rule</w:t>
        </w:r>
      </w:hyperlink>
      <w:r w:rsidR="006D041A">
        <w:rPr>
          <w:bCs/>
          <w:iCs/>
          <w:szCs w:val="24"/>
        </w:rPr>
        <w:t xml:space="preserve">, </w:t>
      </w:r>
      <w:r>
        <w:rPr>
          <w:szCs w:val="24"/>
        </w:rPr>
        <w:t>w</w:t>
      </w:r>
      <w:r w:rsidRPr="00092EAF">
        <w:rPr>
          <w:szCs w:val="24"/>
        </w:rPr>
        <w:t>e estimate that future reporting of acute respiratory illnesses during a PHE</w:t>
      </w:r>
      <w:r w:rsidRPr="00D34F47" w:rsidR="00D34F47">
        <w:rPr>
          <w:szCs w:val="24"/>
        </w:rPr>
        <w:t xml:space="preserve"> </w:t>
      </w:r>
      <w:r w:rsidR="00D34F47">
        <w:rPr>
          <w:szCs w:val="24"/>
        </w:rPr>
        <w:t xml:space="preserve">for all </w:t>
      </w:r>
      <w:r w:rsidRPr="00092EAF" w:rsidR="00D34F47">
        <w:rPr>
          <w:szCs w:val="24"/>
        </w:rPr>
        <w:t>participating CAHs (including CAHs with DPUs)</w:t>
      </w:r>
      <w:r w:rsidR="00D34F47">
        <w:rPr>
          <w:szCs w:val="24"/>
        </w:rPr>
        <w:t xml:space="preserve"> </w:t>
      </w:r>
      <w:r w:rsidRPr="00092EAF">
        <w:rPr>
          <w:szCs w:val="24"/>
        </w:rPr>
        <w:t>would require 1.5 hours</w:t>
      </w:r>
      <w:r w:rsidR="00D34F47">
        <w:rPr>
          <w:szCs w:val="24"/>
        </w:rPr>
        <w:t xml:space="preserve"> </w:t>
      </w:r>
      <w:r w:rsidRPr="00092EAF">
        <w:rPr>
          <w:szCs w:val="24"/>
        </w:rPr>
        <w:t xml:space="preserve">for a </w:t>
      </w:r>
      <w:r>
        <w:rPr>
          <w:szCs w:val="24"/>
        </w:rPr>
        <w:t>R</w:t>
      </w:r>
      <w:r w:rsidRPr="00092EAF">
        <w:rPr>
          <w:szCs w:val="24"/>
        </w:rPr>
        <w:t xml:space="preserve">egistered </w:t>
      </w:r>
      <w:r>
        <w:rPr>
          <w:szCs w:val="24"/>
        </w:rPr>
        <w:t>N</w:t>
      </w:r>
      <w:r w:rsidRPr="00092EAF">
        <w:rPr>
          <w:szCs w:val="24"/>
        </w:rPr>
        <w:t xml:space="preserve">urse </w:t>
      </w:r>
      <w:r>
        <w:rPr>
          <w:szCs w:val="24"/>
        </w:rPr>
        <w:t>with</w:t>
      </w:r>
      <w:r w:rsidRPr="00092EAF">
        <w:rPr>
          <w:szCs w:val="24"/>
        </w:rPr>
        <w:t xml:space="preserve"> a</w:t>
      </w:r>
      <w:r>
        <w:rPr>
          <w:szCs w:val="24"/>
        </w:rPr>
        <w:t xml:space="preserve"> loaded </w:t>
      </w:r>
      <w:r w:rsidRPr="00092EAF">
        <w:rPr>
          <w:szCs w:val="24"/>
        </w:rPr>
        <w:t xml:space="preserve">hourly </w:t>
      </w:r>
      <w:r>
        <w:rPr>
          <w:szCs w:val="24"/>
        </w:rPr>
        <w:t>rate of</w:t>
      </w:r>
      <w:r w:rsidRPr="00092EAF">
        <w:rPr>
          <w:szCs w:val="24"/>
        </w:rPr>
        <w:t xml:space="preserve"> $78 </w:t>
      </w:r>
      <w:r w:rsidRPr="00092EAF">
        <w:rPr>
          <w:szCs w:val="24"/>
        </w:rPr>
        <w:t>to complete and submit</w:t>
      </w:r>
      <w:r w:rsidR="00D34F47">
        <w:rPr>
          <w:szCs w:val="24"/>
        </w:rPr>
        <w:t>, r</w:t>
      </w:r>
      <w:r w:rsidRPr="00092EAF" w:rsidR="00D34F47">
        <w:rPr>
          <w:szCs w:val="24"/>
        </w:rPr>
        <w:t xml:space="preserve">egardless of </w:t>
      </w:r>
      <w:r w:rsidR="00D34F47">
        <w:rPr>
          <w:szCs w:val="24"/>
        </w:rPr>
        <w:t xml:space="preserve">reporting </w:t>
      </w:r>
      <w:r w:rsidRPr="00092EAF" w:rsidR="00D34F47">
        <w:rPr>
          <w:szCs w:val="24"/>
        </w:rPr>
        <w:t>frequenc</w:t>
      </w:r>
      <w:r w:rsidR="00D34F47">
        <w:rPr>
          <w:szCs w:val="24"/>
        </w:rPr>
        <w:t>y</w:t>
      </w:r>
      <w:r w:rsidRPr="00092EAF">
        <w:rPr>
          <w:szCs w:val="24"/>
        </w:rPr>
        <w:t>. Note that burden estimates would significantly decrease as reporting becomes more automated over time.</w:t>
      </w:r>
      <w:r w:rsidR="00D34F47">
        <w:rPr>
          <w:szCs w:val="24"/>
        </w:rPr>
        <w:t xml:space="preserve"> Assuming CAHs report </w:t>
      </w:r>
      <w:r w:rsidRPr="00D34F47" w:rsidR="00D34F47">
        <w:rPr>
          <w:b/>
          <w:bCs/>
          <w:i/>
          <w:iCs/>
          <w:szCs w:val="24"/>
        </w:rPr>
        <w:t>twice a week</w:t>
      </w:r>
      <w:r w:rsidR="00D34F47">
        <w:rPr>
          <w:szCs w:val="24"/>
        </w:rPr>
        <w:t xml:space="preserve"> </w:t>
      </w:r>
      <w:r w:rsidRPr="00092EAF">
        <w:rPr>
          <w:szCs w:val="24"/>
        </w:rPr>
        <w:t>(low range), we estimate t</w:t>
      </w:r>
      <w:r w:rsidR="00D34F47">
        <w:rPr>
          <w:szCs w:val="24"/>
        </w:rPr>
        <w:t xml:space="preserve">he </w:t>
      </w:r>
      <w:r w:rsidRPr="00092EAF">
        <w:rPr>
          <w:szCs w:val="24"/>
        </w:rPr>
        <w:t xml:space="preserve">annual burden </w:t>
      </w:r>
      <w:r w:rsidR="00D34F47">
        <w:rPr>
          <w:szCs w:val="24"/>
        </w:rPr>
        <w:t>hours</w:t>
      </w:r>
      <w:r w:rsidRPr="00092EAF">
        <w:rPr>
          <w:szCs w:val="24"/>
        </w:rPr>
        <w:t xml:space="preserve"> would be 215,748 hours (1,383 CAHs × 52 weeks x 2 times per week x 1.5 hours)</w:t>
      </w:r>
      <w:r>
        <w:rPr>
          <w:szCs w:val="24"/>
        </w:rPr>
        <w:t xml:space="preserve"> and</w:t>
      </w:r>
      <w:r w:rsidR="00D34F47">
        <w:rPr>
          <w:szCs w:val="24"/>
        </w:rPr>
        <w:t xml:space="preserve"> the </w:t>
      </w:r>
      <w:r>
        <w:rPr>
          <w:szCs w:val="24"/>
        </w:rPr>
        <w:t xml:space="preserve">annual burden costs would be </w:t>
      </w:r>
      <w:r w:rsidRPr="00092EAF">
        <w:rPr>
          <w:szCs w:val="24"/>
        </w:rPr>
        <w:t>$16,828,344 or approximately $12,168 per facility annually ($16,828,344/1,383 CAHs).</w:t>
      </w:r>
      <w:r w:rsidRPr="00092EAF">
        <w:rPr>
          <w:b/>
          <w:bCs/>
          <w:i/>
          <w:iCs/>
          <w:szCs w:val="24"/>
        </w:rPr>
        <w:t xml:space="preserve"> </w:t>
      </w:r>
      <w:r w:rsidRPr="00092EAF">
        <w:rPr>
          <w:szCs w:val="24"/>
        </w:rPr>
        <w:t>Based on</w:t>
      </w:r>
      <w:r w:rsidRPr="00092EAF">
        <w:rPr>
          <w:b/>
          <w:bCs/>
          <w:i/>
          <w:iCs/>
          <w:szCs w:val="24"/>
        </w:rPr>
        <w:t xml:space="preserve"> daily reporting</w:t>
      </w:r>
      <w:r w:rsidRPr="00092EAF">
        <w:rPr>
          <w:szCs w:val="24"/>
        </w:rPr>
        <w:t xml:space="preserve"> (high range), we estimate that </w:t>
      </w:r>
      <w:r w:rsidR="00D34F47">
        <w:rPr>
          <w:szCs w:val="24"/>
        </w:rPr>
        <w:t xml:space="preserve">the </w:t>
      </w:r>
      <w:r w:rsidRPr="00092EAF">
        <w:rPr>
          <w:szCs w:val="24"/>
        </w:rPr>
        <w:t>annual burden hours would be 757,193</w:t>
      </w:r>
      <w:r w:rsidR="00D34F47">
        <w:rPr>
          <w:szCs w:val="24"/>
        </w:rPr>
        <w:t xml:space="preserve"> </w:t>
      </w:r>
      <w:r w:rsidRPr="00092EAF">
        <w:rPr>
          <w:szCs w:val="24"/>
        </w:rPr>
        <w:t>hours (1,383 CAHs× 365 days x 1.5 hours)</w:t>
      </w:r>
      <w:r>
        <w:rPr>
          <w:szCs w:val="24"/>
        </w:rPr>
        <w:t xml:space="preserve"> and </w:t>
      </w:r>
      <w:r w:rsidR="00D34F47">
        <w:rPr>
          <w:szCs w:val="24"/>
        </w:rPr>
        <w:t>the</w:t>
      </w:r>
      <w:r w:rsidRPr="00092EAF">
        <w:rPr>
          <w:szCs w:val="24"/>
        </w:rPr>
        <w:t xml:space="preserve"> annual </w:t>
      </w:r>
      <w:r>
        <w:rPr>
          <w:szCs w:val="24"/>
        </w:rPr>
        <w:t xml:space="preserve">burden </w:t>
      </w:r>
      <w:r w:rsidRPr="00092EAF">
        <w:rPr>
          <w:szCs w:val="24"/>
        </w:rPr>
        <w:t>costs would be $59,061,015 or approximately $42,705 per facility annually ($59,061,015/1,383 CAHs).</w:t>
      </w:r>
    </w:p>
    <w:p w:rsidR="00DF2D09" w:rsidP="00A86FD6" w14:paraId="1A50DEF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Cs w:val="24"/>
        </w:rPr>
      </w:pPr>
    </w:p>
    <w:p w:rsidR="00DF2D09" w:rsidRPr="00092EAF" w:rsidP="00A86FD6" w14:paraId="1A8BD48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Cs w:val="24"/>
        </w:rPr>
      </w:pPr>
    </w:p>
    <w:p w:rsidR="00A86FD6" w:rsidP="00A86FD6" w14:paraId="3B98CA00" w14:textId="67D5412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iCs/>
          <w:sz w:val="28"/>
          <w:szCs w:val="28"/>
        </w:rPr>
      </w:pPr>
      <w:r w:rsidRPr="00697484">
        <w:rPr>
          <w:b/>
          <w:bCs/>
          <w:sz w:val="28"/>
          <w:szCs w:val="28"/>
        </w:rPr>
        <w:t>Table 6: IC-4:</w:t>
      </w:r>
      <w:r w:rsidRPr="00566A0D">
        <w:rPr>
          <w:b/>
          <w:bCs/>
          <w:i/>
          <w:iCs/>
          <w:sz w:val="28"/>
          <w:szCs w:val="28"/>
        </w:rPr>
        <w:t>CoP: Future PHE Reporting</w:t>
      </w:r>
      <w:r>
        <w:rPr>
          <w:b/>
          <w:bCs/>
          <w:i/>
          <w:iCs/>
          <w:sz w:val="28"/>
          <w:szCs w:val="28"/>
        </w:rPr>
        <w:t xml:space="preserve"> </w:t>
      </w:r>
    </w:p>
    <w:p w:rsidR="00A86FD6" w:rsidRPr="00566A0D" w:rsidP="00A86FD6" w14:paraId="6F8A2E0D" w14:textId="777777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iCs/>
          <w:sz w:val="28"/>
          <w:szCs w:val="28"/>
        </w:rPr>
      </w:pPr>
      <w:r w:rsidRPr="00566A0D">
        <w:rPr>
          <w:b/>
          <w:bCs/>
          <w:i/>
          <w:iCs/>
          <w:sz w:val="28"/>
          <w:szCs w:val="28"/>
        </w:rPr>
        <w:t>of Acute Respiratory Illnesses – 485.640(</w:t>
      </w:r>
      <w:r>
        <w:rPr>
          <w:b/>
          <w:bCs/>
          <w:i/>
          <w:iCs/>
          <w:sz w:val="28"/>
          <w:szCs w:val="28"/>
        </w:rPr>
        <w:t>d</w:t>
      </w:r>
      <w:r w:rsidRPr="00566A0D">
        <w:rPr>
          <w:b/>
          <w:bCs/>
          <w:i/>
          <w:iCs/>
          <w:sz w:val="28"/>
          <w:szCs w:val="28"/>
        </w:rPr>
        <w:t>)</w:t>
      </w:r>
      <w:r>
        <w:rPr>
          <w:b/>
          <w:bCs/>
          <w:i/>
          <w:iCs/>
          <w:sz w:val="28"/>
          <w:szCs w:val="28"/>
        </w:rPr>
        <w:t>(2)</w:t>
      </w:r>
    </w:p>
    <w:tbl>
      <w:tblPr>
        <w:tblW w:w="8915" w:type="dxa"/>
        <w:tblLook w:val="04A0"/>
      </w:tblPr>
      <w:tblGrid>
        <w:gridCol w:w="3235"/>
        <w:gridCol w:w="989"/>
        <w:gridCol w:w="935"/>
        <w:gridCol w:w="1083"/>
        <w:gridCol w:w="1257"/>
        <w:gridCol w:w="1416"/>
      </w:tblGrid>
      <w:tr w14:paraId="5AC69707" w14:textId="77777777" w:rsidTr="00711189">
        <w:tblPrEx>
          <w:tblW w:w="8915" w:type="dxa"/>
          <w:tblLook w:val="04A0"/>
        </w:tblPrEx>
        <w:trPr>
          <w:trHeight w:val="526"/>
        </w:trPr>
        <w:tc>
          <w:tcPr>
            <w:tcW w:w="3235" w:type="dxa"/>
            <w:tcBorders>
              <w:top w:val="single" w:sz="4" w:space="0" w:color="000000"/>
              <w:left w:val="single" w:sz="4" w:space="0" w:color="000000"/>
              <w:bottom w:val="nil"/>
              <w:right w:val="single" w:sz="4" w:space="0" w:color="000000"/>
            </w:tcBorders>
            <w:shd w:val="clear" w:color="CCCCCC" w:fill="D9E7FD"/>
            <w:noWrap/>
            <w:vAlign w:val="bottom"/>
            <w:hideMark/>
          </w:tcPr>
          <w:p w:rsidR="00A86FD6" w:rsidRPr="00092EAF" w:rsidP="00711189" w14:paraId="23159093" w14:textId="77777777">
            <w:pPr>
              <w:jc w:val="center"/>
              <w:rPr>
                <w:b/>
                <w:bCs/>
                <w:color w:val="000000"/>
                <w:szCs w:val="24"/>
              </w:rPr>
            </w:pPr>
            <w:r w:rsidRPr="00092EAF">
              <w:rPr>
                <w:b/>
                <w:bCs/>
                <w:color w:val="000000"/>
                <w:szCs w:val="24"/>
              </w:rPr>
              <w:t>Task</w:t>
            </w:r>
          </w:p>
        </w:tc>
        <w:tc>
          <w:tcPr>
            <w:tcW w:w="989" w:type="dxa"/>
            <w:tcBorders>
              <w:top w:val="single" w:sz="4" w:space="0" w:color="000000"/>
              <w:left w:val="nil"/>
              <w:bottom w:val="nil"/>
              <w:right w:val="single" w:sz="4" w:space="0" w:color="000000"/>
            </w:tcBorders>
            <w:shd w:val="clear" w:color="CCCCCC" w:fill="D9E7FD"/>
            <w:vAlign w:val="bottom"/>
            <w:hideMark/>
          </w:tcPr>
          <w:p w:rsidR="00A86FD6" w:rsidRPr="00092EAF" w:rsidP="00711189" w14:paraId="0D5827F4" w14:textId="77777777">
            <w:pPr>
              <w:jc w:val="center"/>
              <w:rPr>
                <w:b/>
                <w:bCs/>
                <w:color w:val="000000"/>
                <w:szCs w:val="24"/>
              </w:rPr>
            </w:pPr>
            <w:r w:rsidRPr="00092EAF">
              <w:rPr>
                <w:b/>
                <w:bCs/>
                <w:color w:val="000000"/>
                <w:szCs w:val="24"/>
              </w:rPr>
              <w:t>Factors</w:t>
            </w:r>
          </w:p>
        </w:tc>
        <w:tc>
          <w:tcPr>
            <w:tcW w:w="935" w:type="dxa"/>
            <w:tcBorders>
              <w:top w:val="single" w:sz="4" w:space="0" w:color="auto"/>
              <w:left w:val="nil"/>
              <w:bottom w:val="single" w:sz="4" w:space="0" w:color="auto"/>
              <w:right w:val="single" w:sz="4" w:space="0" w:color="auto"/>
            </w:tcBorders>
            <w:shd w:val="clear" w:color="CCCCCC" w:fill="D9E7FD"/>
            <w:vAlign w:val="bottom"/>
            <w:hideMark/>
          </w:tcPr>
          <w:p w:rsidR="00A86FD6" w:rsidRPr="00092EAF" w:rsidP="00711189" w14:paraId="0A01793C" w14:textId="77777777">
            <w:pPr>
              <w:jc w:val="center"/>
              <w:rPr>
                <w:b/>
                <w:bCs/>
                <w:color w:val="000000"/>
                <w:szCs w:val="24"/>
              </w:rPr>
            </w:pPr>
            <w:r w:rsidRPr="00092EAF">
              <w:rPr>
                <w:b/>
                <w:bCs/>
                <w:color w:val="000000"/>
                <w:szCs w:val="24"/>
              </w:rPr>
              <w:t>Hours/</w:t>
            </w:r>
          </w:p>
          <w:p w:rsidR="00A86FD6" w:rsidRPr="00092EAF" w:rsidP="00711189" w14:paraId="7594B21C" w14:textId="77777777">
            <w:pPr>
              <w:jc w:val="center"/>
              <w:rPr>
                <w:b/>
                <w:bCs/>
                <w:color w:val="000000"/>
                <w:szCs w:val="24"/>
              </w:rPr>
            </w:pPr>
            <w:r w:rsidRPr="00092EAF">
              <w:rPr>
                <w:b/>
                <w:bCs/>
                <w:color w:val="000000"/>
                <w:szCs w:val="24"/>
              </w:rPr>
              <w:t>Task</w:t>
            </w:r>
          </w:p>
        </w:tc>
        <w:tc>
          <w:tcPr>
            <w:tcW w:w="1083" w:type="dxa"/>
            <w:tcBorders>
              <w:top w:val="single" w:sz="4" w:space="0" w:color="auto"/>
              <w:left w:val="nil"/>
              <w:bottom w:val="single" w:sz="4" w:space="0" w:color="auto"/>
              <w:right w:val="single" w:sz="4" w:space="0" w:color="auto"/>
            </w:tcBorders>
            <w:shd w:val="clear" w:color="CCCCCC" w:fill="D9E7FD"/>
            <w:vAlign w:val="bottom"/>
            <w:hideMark/>
          </w:tcPr>
          <w:p w:rsidR="00A86FD6" w:rsidRPr="00092EAF" w:rsidP="00711189" w14:paraId="6481C8AB" w14:textId="77777777">
            <w:pPr>
              <w:jc w:val="center"/>
              <w:rPr>
                <w:b/>
                <w:bCs/>
                <w:color w:val="000000"/>
                <w:szCs w:val="24"/>
              </w:rPr>
            </w:pPr>
            <w:r w:rsidRPr="00092EAF">
              <w:rPr>
                <w:b/>
                <w:bCs/>
                <w:color w:val="000000"/>
                <w:szCs w:val="24"/>
              </w:rPr>
              <w:t>Cost/</w:t>
            </w:r>
          </w:p>
          <w:p w:rsidR="00A86FD6" w:rsidRPr="00092EAF" w:rsidP="00711189" w14:paraId="61FC228F" w14:textId="77777777">
            <w:pPr>
              <w:jc w:val="center"/>
              <w:rPr>
                <w:b/>
                <w:bCs/>
                <w:color w:val="000000"/>
                <w:szCs w:val="24"/>
              </w:rPr>
            </w:pPr>
            <w:r w:rsidRPr="00092EAF">
              <w:rPr>
                <w:b/>
                <w:bCs/>
                <w:color w:val="000000"/>
                <w:szCs w:val="24"/>
              </w:rPr>
              <w:t>Task</w:t>
            </w:r>
          </w:p>
        </w:tc>
        <w:tc>
          <w:tcPr>
            <w:tcW w:w="1257" w:type="dxa"/>
            <w:tcBorders>
              <w:top w:val="single" w:sz="4" w:space="0" w:color="auto"/>
              <w:left w:val="nil"/>
              <w:bottom w:val="single" w:sz="4" w:space="0" w:color="auto"/>
              <w:right w:val="single" w:sz="4" w:space="0" w:color="auto"/>
            </w:tcBorders>
            <w:shd w:val="clear" w:color="CCCCCC" w:fill="D9E7FD"/>
            <w:vAlign w:val="bottom"/>
            <w:hideMark/>
          </w:tcPr>
          <w:p w:rsidR="00A86FD6" w:rsidRPr="00092EAF" w:rsidP="00711189" w14:paraId="20C6AB02" w14:textId="77777777">
            <w:pPr>
              <w:jc w:val="center"/>
              <w:rPr>
                <w:b/>
                <w:bCs/>
                <w:color w:val="000000"/>
                <w:szCs w:val="24"/>
              </w:rPr>
            </w:pPr>
            <w:r w:rsidRPr="00092EAF">
              <w:rPr>
                <w:b/>
                <w:bCs/>
                <w:color w:val="000000"/>
                <w:szCs w:val="24"/>
              </w:rPr>
              <w:t>Annual Burden Hours</w:t>
            </w:r>
          </w:p>
        </w:tc>
        <w:tc>
          <w:tcPr>
            <w:tcW w:w="1416" w:type="dxa"/>
            <w:tcBorders>
              <w:top w:val="single" w:sz="4" w:space="0" w:color="auto"/>
              <w:left w:val="nil"/>
              <w:bottom w:val="single" w:sz="4" w:space="0" w:color="auto"/>
              <w:right w:val="single" w:sz="4" w:space="0" w:color="auto"/>
            </w:tcBorders>
            <w:shd w:val="clear" w:color="CCCCCC" w:fill="D9E7FD"/>
            <w:vAlign w:val="bottom"/>
            <w:hideMark/>
          </w:tcPr>
          <w:p w:rsidR="00A86FD6" w:rsidRPr="00092EAF" w:rsidP="00711189" w14:paraId="009B2427" w14:textId="77777777">
            <w:pPr>
              <w:jc w:val="center"/>
              <w:rPr>
                <w:b/>
                <w:bCs/>
                <w:color w:val="000000"/>
                <w:szCs w:val="24"/>
              </w:rPr>
            </w:pPr>
            <w:r w:rsidRPr="00092EAF">
              <w:rPr>
                <w:b/>
                <w:bCs/>
                <w:color w:val="000000"/>
                <w:szCs w:val="24"/>
              </w:rPr>
              <w:t>Annual Burden Cost</w:t>
            </w:r>
          </w:p>
        </w:tc>
      </w:tr>
      <w:tr w14:paraId="64127F78" w14:textId="77777777" w:rsidTr="00711189">
        <w:tblPrEx>
          <w:tblW w:w="8915" w:type="dxa"/>
          <w:tblLook w:val="04A0"/>
        </w:tblPrEx>
        <w:trPr>
          <w:trHeight w:val="263"/>
        </w:trPr>
        <w:tc>
          <w:tcPr>
            <w:tcW w:w="32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FD6" w:rsidRPr="00092EAF" w:rsidP="00711189" w14:paraId="0F9CBD7D" w14:textId="5EC9E463">
            <w:pPr>
              <w:rPr>
                <w:color w:val="000000"/>
                <w:szCs w:val="24"/>
              </w:rPr>
            </w:pPr>
            <w:r w:rsidRPr="00092EAF">
              <w:rPr>
                <w:color w:val="000000"/>
                <w:szCs w:val="24"/>
              </w:rPr>
              <w:t>Registered Nurse</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A86FD6" w:rsidRPr="00092EAF" w:rsidP="00711189" w14:paraId="0B1E3077" w14:textId="77777777">
            <w:pPr>
              <w:jc w:val="center"/>
              <w:rPr>
                <w:color w:val="000000"/>
                <w:szCs w:val="24"/>
              </w:rPr>
            </w:pPr>
            <w:r w:rsidRPr="00092EAF">
              <w:rPr>
                <w:color w:val="000000"/>
                <w:szCs w:val="24"/>
              </w:rPr>
              <w:t>$78</w:t>
            </w:r>
          </w:p>
        </w:tc>
        <w:tc>
          <w:tcPr>
            <w:tcW w:w="935"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203606B8" w14:textId="77777777">
            <w:pPr>
              <w:rPr>
                <w:color w:val="000000"/>
                <w:szCs w:val="24"/>
              </w:rPr>
            </w:pPr>
            <w:r w:rsidRPr="00092EAF">
              <w:rPr>
                <w:color w:val="000000"/>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53AC913E" w14:textId="77777777">
            <w:pPr>
              <w:rPr>
                <w:color w:val="000000"/>
                <w:szCs w:val="24"/>
              </w:rPr>
            </w:pPr>
            <w:r w:rsidRPr="00092EAF">
              <w:rPr>
                <w:color w:val="000000"/>
                <w:szCs w:val="24"/>
              </w:rPr>
              <w:t> </w:t>
            </w:r>
          </w:p>
        </w:tc>
        <w:tc>
          <w:tcPr>
            <w:tcW w:w="1257"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1E4CCD8B" w14:textId="77777777">
            <w:pPr>
              <w:rPr>
                <w:color w:val="000000"/>
                <w:szCs w:val="24"/>
              </w:rPr>
            </w:pPr>
            <w:r w:rsidRPr="00092EAF">
              <w:rPr>
                <w:color w:val="000000"/>
                <w:szCs w:val="24"/>
              </w:rPr>
              <w:t> </w:t>
            </w:r>
          </w:p>
        </w:tc>
        <w:tc>
          <w:tcPr>
            <w:tcW w:w="1416"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0376150E" w14:textId="77777777">
            <w:pPr>
              <w:rPr>
                <w:color w:val="000000"/>
                <w:szCs w:val="24"/>
              </w:rPr>
            </w:pPr>
            <w:r w:rsidRPr="00092EAF">
              <w:rPr>
                <w:color w:val="000000"/>
                <w:szCs w:val="24"/>
              </w:rPr>
              <w:t> </w:t>
            </w:r>
          </w:p>
        </w:tc>
      </w:tr>
      <w:tr w14:paraId="2AE50AD7" w14:textId="77777777" w:rsidTr="00711189">
        <w:tblPrEx>
          <w:tblW w:w="8915" w:type="dxa"/>
          <w:tblLook w:val="04A0"/>
        </w:tblPrEx>
        <w:trPr>
          <w:trHeight w:val="263"/>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86FD6" w:rsidRPr="00092EAF" w:rsidP="00711189" w14:paraId="34B10014" w14:textId="77777777">
            <w:pPr>
              <w:rPr>
                <w:color w:val="000000"/>
                <w:szCs w:val="24"/>
              </w:rPr>
            </w:pPr>
            <w:r w:rsidRPr="00092EAF">
              <w:rPr>
                <w:color w:val="000000"/>
                <w:szCs w:val="24"/>
              </w:rPr>
              <w:t>Reports/Year/Facility</w:t>
            </w:r>
          </w:p>
        </w:tc>
        <w:tc>
          <w:tcPr>
            <w:tcW w:w="989"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055CBECF" w14:textId="77777777">
            <w:pPr>
              <w:jc w:val="center"/>
              <w:rPr>
                <w:color w:val="000000"/>
                <w:szCs w:val="24"/>
              </w:rPr>
            </w:pPr>
            <w:r w:rsidRPr="00092EAF">
              <w:rPr>
                <w:color w:val="000000"/>
                <w:szCs w:val="24"/>
              </w:rPr>
              <w:t> </w:t>
            </w:r>
          </w:p>
        </w:tc>
        <w:tc>
          <w:tcPr>
            <w:tcW w:w="935"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5210BFDF" w14:textId="77777777">
            <w:pPr>
              <w:rPr>
                <w:color w:val="000000"/>
                <w:szCs w:val="24"/>
              </w:rPr>
            </w:pPr>
            <w:r w:rsidRPr="00092EAF">
              <w:rPr>
                <w:color w:val="000000"/>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679DC273" w14:textId="77777777">
            <w:pPr>
              <w:rPr>
                <w:color w:val="000000"/>
                <w:szCs w:val="24"/>
              </w:rPr>
            </w:pPr>
            <w:r w:rsidRPr="00092EAF">
              <w:rPr>
                <w:color w:val="000000"/>
                <w:szCs w:val="24"/>
              </w:rPr>
              <w:t> </w:t>
            </w:r>
          </w:p>
        </w:tc>
        <w:tc>
          <w:tcPr>
            <w:tcW w:w="1257"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2A3999F5" w14:textId="77777777">
            <w:pPr>
              <w:rPr>
                <w:color w:val="000000"/>
                <w:szCs w:val="24"/>
              </w:rPr>
            </w:pPr>
            <w:r w:rsidRPr="00092EAF">
              <w:rPr>
                <w:color w:val="000000"/>
                <w:szCs w:val="24"/>
              </w:rPr>
              <w:t> </w:t>
            </w:r>
          </w:p>
        </w:tc>
        <w:tc>
          <w:tcPr>
            <w:tcW w:w="1416"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7ED42038" w14:textId="77777777">
            <w:pPr>
              <w:rPr>
                <w:color w:val="000000"/>
                <w:szCs w:val="24"/>
              </w:rPr>
            </w:pPr>
            <w:r w:rsidRPr="00092EAF">
              <w:rPr>
                <w:color w:val="000000"/>
                <w:szCs w:val="24"/>
              </w:rPr>
              <w:t> </w:t>
            </w:r>
          </w:p>
        </w:tc>
      </w:tr>
      <w:tr w14:paraId="595D1E74" w14:textId="77777777" w:rsidTr="00711189">
        <w:tblPrEx>
          <w:tblW w:w="8915" w:type="dxa"/>
          <w:tblLook w:val="04A0"/>
        </w:tblPrEx>
        <w:trPr>
          <w:trHeight w:val="263"/>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86FD6" w:rsidRPr="00092EAF" w:rsidP="00711189" w14:paraId="2FDDB5BE" w14:textId="77777777">
            <w:pPr>
              <w:jc w:val="right"/>
              <w:rPr>
                <w:color w:val="000000"/>
                <w:szCs w:val="24"/>
              </w:rPr>
            </w:pPr>
            <w:r w:rsidRPr="00092EAF">
              <w:rPr>
                <w:color w:val="000000"/>
                <w:szCs w:val="24"/>
              </w:rPr>
              <w:t xml:space="preserve">   Low Range (2 x week)</w:t>
            </w:r>
          </w:p>
        </w:tc>
        <w:tc>
          <w:tcPr>
            <w:tcW w:w="989"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6792197B" w14:textId="77777777">
            <w:pPr>
              <w:jc w:val="center"/>
              <w:rPr>
                <w:color w:val="000000"/>
                <w:szCs w:val="24"/>
              </w:rPr>
            </w:pPr>
            <w:r w:rsidRPr="00092EAF">
              <w:rPr>
                <w:color w:val="000000"/>
                <w:szCs w:val="24"/>
              </w:rPr>
              <w:t>104</w:t>
            </w:r>
          </w:p>
        </w:tc>
        <w:tc>
          <w:tcPr>
            <w:tcW w:w="935"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6AE86D41" w14:textId="77777777">
            <w:pPr>
              <w:jc w:val="center"/>
              <w:rPr>
                <w:color w:val="000000"/>
                <w:szCs w:val="24"/>
              </w:rPr>
            </w:pPr>
            <w:r w:rsidRPr="00092EAF">
              <w:rPr>
                <w:color w:val="000000"/>
                <w:szCs w:val="24"/>
              </w:rPr>
              <w:t>1.5</w:t>
            </w:r>
          </w:p>
        </w:tc>
        <w:tc>
          <w:tcPr>
            <w:tcW w:w="1083"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71B45431" w14:textId="77777777">
            <w:pPr>
              <w:jc w:val="center"/>
              <w:rPr>
                <w:color w:val="000000"/>
                <w:szCs w:val="24"/>
              </w:rPr>
            </w:pPr>
            <w:r w:rsidRPr="00092EAF">
              <w:rPr>
                <w:color w:val="000000"/>
                <w:szCs w:val="24"/>
              </w:rPr>
              <w:t>$117</w:t>
            </w:r>
          </w:p>
        </w:tc>
        <w:tc>
          <w:tcPr>
            <w:tcW w:w="1257"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2E0EC620" w14:textId="77777777">
            <w:pPr>
              <w:jc w:val="center"/>
              <w:rPr>
                <w:color w:val="000000"/>
                <w:szCs w:val="24"/>
              </w:rPr>
            </w:pPr>
            <w:r w:rsidRPr="00092EAF">
              <w:rPr>
                <w:color w:val="000000"/>
                <w:szCs w:val="24"/>
              </w:rPr>
              <w:t>156</w:t>
            </w:r>
          </w:p>
        </w:tc>
        <w:tc>
          <w:tcPr>
            <w:tcW w:w="1416"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07D389E1" w14:textId="77777777">
            <w:pPr>
              <w:jc w:val="center"/>
              <w:rPr>
                <w:szCs w:val="24"/>
              </w:rPr>
            </w:pPr>
            <w:r w:rsidRPr="00092EAF">
              <w:rPr>
                <w:szCs w:val="24"/>
              </w:rPr>
              <w:t>$12,168</w:t>
            </w:r>
          </w:p>
        </w:tc>
      </w:tr>
      <w:tr w14:paraId="5D730424" w14:textId="77777777" w:rsidTr="00711189">
        <w:tblPrEx>
          <w:tblW w:w="8915" w:type="dxa"/>
          <w:tblLook w:val="04A0"/>
        </w:tblPrEx>
        <w:trPr>
          <w:trHeight w:val="263"/>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86FD6" w:rsidRPr="00092EAF" w:rsidP="00711189" w14:paraId="64663E4D" w14:textId="77777777">
            <w:pPr>
              <w:jc w:val="right"/>
              <w:rPr>
                <w:color w:val="000000"/>
                <w:szCs w:val="24"/>
              </w:rPr>
            </w:pPr>
            <w:r w:rsidRPr="00092EAF">
              <w:rPr>
                <w:color w:val="000000"/>
                <w:szCs w:val="24"/>
              </w:rPr>
              <w:t xml:space="preserve">   High Range (Daily)</w:t>
            </w:r>
          </w:p>
        </w:tc>
        <w:tc>
          <w:tcPr>
            <w:tcW w:w="989"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4170FAF8" w14:textId="77777777">
            <w:pPr>
              <w:jc w:val="center"/>
              <w:rPr>
                <w:color w:val="000000"/>
                <w:szCs w:val="24"/>
              </w:rPr>
            </w:pPr>
            <w:r w:rsidRPr="00092EAF">
              <w:rPr>
                <w:color w:val="000000"/>
                <w:szCs w:val="24"/>
              </w:rPr>
              <w:t>365</w:t>
            </w:r>
          </w:p>
        </w:tc>
        <w:tc>
          <w:tcPr>
            <w:tcW w:w="935"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2658E49F" w14:textId="77777777">
            <w:pPr>
              <w:jc w:val="center"/>
              <w:rPr>
                <w:color w:val="000000"/>
                <w:szCs w:val="24"/>
              </w:rPr>
            </w:pPr>
            <w:r w:rsidRPr="00092EAF">
              <w:rPr>
                <w:color w:val="000000"/>
                <w:szCs w:val="24"/>
              </w:rPr>
              <w:t>1.5</w:t>
            </w:r>
          </w:p>
        </w:tc>
        <w:tc>
          <w:tcPr>
            <w:tcW w:w="1083"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3B476A26" w14:textId="77777777">
            <w:pPr>
              <w:jc w:val="center"/>
              <w:rPr>
                <w:color w:val="000000"/>
                <w:szCs w:val="24"/>
              </w:rPr>
            </w:pPr>
            <w:r w:rsidRPr="00092EAF">
              <w:rPr>
                <w:color w:val="000000"/>
                <w:szCs w:val="24"/>
              </w:rPr>
              <w:t>$117</w:t>
            </w:r>
          </w:p>
        </w:tc>
        <w:tc>
          <w:tcPr>
            <w:tcW w:w="1257"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3DC00B19" w14:textId="77777777">
            <w:pPr>
              <w:jc w:val="center"/>
              <w:rPr>
                <w:color w:val="000000"/>
                <w:szCs w:val="24"/>
              </w:rPr>
            </w:pPr>
            <w:r w:rsidRPr="00092EAF">
              <w:rPr>
                <w:color w:val="000000"/>
                <w:szCs w:val="24"/>
              </w:rPr>
              <w:t>548</w:t>
            </w:r>
          </w:p>
        </w:tc>
        <w:tc>
          <w:tcPr>
            <w:tcW w:w="1416"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0B768904" w14:textId="77777777">
            <w:pPr>
              <w:jc w:val="center"/>
              <w:rPr>
                <w:szCs w:val="24"/>
              </w:rPr>
            </w:pPr>
            <w:r w:rsidRPr="00092EAF">
              <w:rPr>
                <w:szCs w:val="24"/>
              </w:rPr>
              <w:t>$42,705</w:t>
            </w:r>
          </w:p>
        </w:tc>
      </w:tr>
      <w:tr w14:paraId="28AA8DE5" w14:textId="77777777" w:rsidTr="00711189">
        <w:tblPrEx>
          <w:tblW w:w="8915" w:type="dxa"/>
          <w:tblLook w:val="04A0"/>
        </w:tblPrEx>
        <w:trPr>
          <w:trHeight w:val="263"/>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86FD6" w:rsidRPr="00092EAF" w:rsidP="00711189" w14:paraId="2072C0EE" w14:textId="77777777">
            <w:pPr>
              <w:rPr>
                <w:color w:val="000000"/>
                <w:szCs w:val="24"/>
              </w:rPr>
            </w:pPr>
            <w:r w:rsidRPr="00092EAF">
              <w:rPr>
                <w:color w:val="000000"/>
                <w:szCs w:val="24"/>
              </w:rPr>
              <w:t>All Facilities</w:t>
            </w:r>
          </w:p>
        </w:tc>
        <w:tc>
          <w:tcPr>
            <w:tcW w:w="989"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6D603ADB" w14:textId="77777777">
            <w:pPr>
              <w:jc w:val="center"/>
              <w:rPr>
                <w:color w:val="000000"/>
                <w:szCs w:val="24"/>
              </w:rPr>
            </w:pPr>
            <w:r w:rsidRPr="00092EAF">
              <w:rPr>
                <w:color w:val="000000"/>
                <w:szCs w:val="24"/>
              </w:rPr>
              <w:t>1,383</w:t>
            </w:r>
          </w:p>
        </w:tc>
        <w:tc>
          <w:tcPr>
            <w:tcW w:w="935"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1FBEDFF1" w14:textId="77777777">
            <w:pPr>
              <w:rPr>
                <w:color w:val="000000"/>
                <w:szCs w:val="24"/>
              </w:rPr>
            </w:pPr>
            <w:r w:rsidRPr="00092EAF">
              <w:rPr>
                <w:color w:val="000000"/>
                <w:szCs w:val="24"/>
              </w:rPr>
              <w:t> </w:t>
            </w:r>
          </w:p>
        </w:tc>
        <w:tc>
          <w:tcPr>
            <w:tcW w:w="1083"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78A1E81B" w14:textId="77777777">
            <w:pPr>
              <w:rPr>
                <w:color w:val="000000"/>
                <w:szCs w:val="24"/>
              </w:rPr>
            </w:pPr>
            <w:r w:rsidRPr="00092EAF">
              <w:rPr>
                <w:color w:val="000000"/>
                <w:szCs w:val="24"/>
              </w:rPr>
              <w:t> </w:t>
            </w:r>
          </w:p>
        </w:tc>
        <w:tc>
          <w:tcPr>
            <w:tcW w:w="1257"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76523F8D" w14:textId="77777777">
            <w:pPr>
              <w:rPr>
                <w:color w:val="000000"/>
                <w:szCs w:val="24"/>
              </w:rPr>
            </w:pPr>
            <w:r w:rsidRPr="00092EAF">
              <w:rPr>
                <w:color w:val="000000"/>
                <w:szCs w:val="24"/>
              </w:rPr>
              <w:t> </w:t>
            </w:r>
          </w:p>
        </w:tc>
        <w:tc>
          <w:tcPr>
            <w:tcW w:w="1416" w:type="dxa"/>
            <w:tcBorders>
              <w:top w:val="nil"/>
              <w:left w:val="nil"/>
              <w:bottom w:val="single" w:sz="4" w:space="0" w:color="auto"/>
              <w:right w:val="single" w:sz="4" w:space="0" w:color="auto"/>
            </w:tcBorders>
            <w:shd w:val="clear" w:color="auto" w:fill="auto"/>
            <w:noWrap/>
            <w:vAlign w:val="bottom"/>
            <w:hideMark/>
          </w:tcPr>
          <w:p w:rsidR="00A86FD6" w:rsidRPr="00092EAF" w:rsidP="00711189" w14:paraId="4C5D0C38" w14:textId="77777777">
            <w:pPr>
              <w:rPr>
                <w:color w:val="000000"/>
                <w:szCs w:val="24"/>
              </w:rPr>
            </w:pPr>
            <w:r w:rsidRPr="00092EAF">
              <w:rPr>
                <w:color w:val="000000"/>
                <w:szCs w:val="24"/>
              </w:rPr>
              <w:t> </w:t>
            </w:r>
          </w:p>
        </w:tc>
      </w:tr>
      <w:tr w14:paraId="5DFE4C9D" w14:textId="77777777" w:rsidTr="00711189">
        <w:tblPrEx>
          <w:tblW w:w="8915" w:type="dxa"/>
          <w:tblLook w:val="04A0"/>
        </w:tblPrEx>
        <w:trPr>
          <w:trHeight w:val="263"/>
        </w:trPr>
        <w:tc>
          <w:tcPr>
            <w:tcW w:w="3235" w:type="dxa"/>
            <w:tcBorders>
              <w:top w:val="nil"/>
              <w:left w:val="single" w:sz="4" w:space="0" w:color="auto"/>
              <w:bottom w:val="single" w:sz="4" w:space="0" w:color="auto"/>
              <w:right w:val="single" w:sz="4" w:space="0" w:color="auto"/>
            </w:tcBorders>
            <w:shd w:val="clear" w:color="000000" w:fill="D9D9D9"/>
            <w:noWrap/>
            <w:vAlign w:val="bottom"/>
            <w:hideMark/>
          </w:tcPr>
          <w:p w:rsidR="00A86FD6" w:rsidRPr="00092EAF" w:rsidP="00711189" w14:paraId="321263F5" w14:textId="77777777">
            <w:pPr>
              <w:rPr>
                <w:b/>
                <w:bCs/>
                <w:color w:val="000000"/>
                <w:szCs w:val="24"/>
              </w:rPr>
            </w:pPr>
            <w:r w:rsidRPr="00092EAF">
              <w:rPr>
                <w:b/>
                <w:bCs/>
                <w:color w:val="000000"/>
                <w:szCs w:val="24"/>
              </w:rPr>
              <w:t xml:space="preserve">   Low Range (2 x week)</w:t>
            </w:r>
          </w:p>
        </w:tc>
        <w:tc>
          <w:tcPr>
            <w:tcW w:w="989" w:type="dxa"/>
            <w:tcBorders>
              <w:top w:val="nil"/>
              <w:left w:val="nil"/>
              <w:bottom w:val="single" w:sz="4" w:space="0" w:color="auto"/>
              <w:right w:val="single" w:sz="4" w:space="0" w:color="auto"/>
            </w:tcBorders>
            <w:shd w:val="clear" w:color="000000" w:fill="D9D9D9"/>
            <w:noWrap/>
            <w:vAlign w:val="bottom"/>
            <w:hideMark/>
          </w:tcPr>
          <w:p w:rsidR="00A86FD6" w:rsidRPr="00092EAF" w:rsidP="00711189" w14:paraId="069178B6" w14:textId="77777777">
            <w:pPr>
              <w:rPr>
                <w:b/>
                <w:bCs/>
                <w:color w:val="000000"/>
                <w:szCs w:val="24"/>
              </w:rPr>
            </w:pPr>
            <w:r w:rsidRPr="00092EAF">
              <w:rPr>
                <w:b/>
                <w:bCs/>
                <w:color w:val="000000"/>
                <w:szCs w:val="24"/>
              </w:rPr>
              <w:t> </w:t>
            </w:r>
          </w:p>
        </w:tc>
        <w:tc>
          <w:tcPr>
            <w:tcW w:w="935" w:type="dxa"/>
            <w:tcBorders>
              <w:top w:val="nil"/>
              <w:left w:val="nil"/>
              <w:bottom w:val="single" w:sz="4" w:space="0" w:color="auto"/>
              <w:right w:val="single" w:sz="4" w:space="0" w:color="auto"/>
            </w:tcBorders>
            <w:shd w:val="clear" w:color="000000" w:fill="D9D9D9"/>
            <w:noWrap/>
            <w:vAlign w:val="bottom"/>
            <w:hideMark/>
          </w:tcPr>
          <w:p w:rsidR="00A86FD6" w:rsidRPr="00092EAF" w:rsidP="00711189" w14:paraId="15D09544" w14:textId="77777777">
            <w:pPr>
              <w:rPr>
                <w:b/>
                <w:bCs/>
                <w:color w:val="000000"/>
                <w:szCs w:val="24"/>
              </w:rPr>
            </w:pPr>
            <w:r w:rsidRPr="00092EAF">
              <w:rPr>
                <w:b/>
                <w:bCs/>
                <w:color w:val="000000"/>
                <w:szCs w:val="24"/>
              </w:rPr>
              <w:t> </w:t>
            </w:r>
          </w:p>
        </w:tc>
        <w:tc>
          <w:tcPr>
            <w:tcW w:w="1083" w:type="dxa"/>
            <w:tcBorders>
              <w:top w:val="nil"/>
              <w:left w:val="nil"/>
              <w:bottom w:val="single" w:sz="4" w:space="0" w:color="auto"/>
              <w:right w:val="single" w:sz="4" w:space="0" w:color="auto"/>
            </w:tcBorders>
            <w:shd w:val="clear" w:color="000000" w:fill="D9D9D9"/>
            <w:noWrap/>
            <w:vAlign w:val="bottom"/>
            <w:hideMark/>
          </w:tcPr>
          <w:p w:rsidR="00A86FD6" w:rsidRPr="00092EAF" w:rsidP="00711189" w14:paraId="7DFB1F8D" w14:textId="77777777">
            <w:pPr>
              <w:rPr>
                <w:b/>
                <w:bCs/>
                <w:color w:val="000000"/>
                <w:szCs w:val="24"/>
              </w:rPr>
            </w:pPr>
            <w:r w:rsidRPr="00092EAF">
              <w:rPr>
                <w:b/>
                <w:bCs/>
                <w:color w:val="000000"/>
                <w:szCs w:val="24"/>
              </w:rPr>
              <w:t> </w:t>
            </w:r>
          </w:p>
        </w:tc>
        <w:tc>
          <w:tcPr>
            <w:tcW w:w="1257" w:type="dxa"/>
            <w:tcBorders>
              <w:top w:val="nil"/>
              <w:left w:val="nil"/>
              <w:bottom w:val="single" w:sz="4" w:space="0" w:color="auto"/>
              <w:right w:val="single" w:sz="4" w:space="0" w:color="auto"/>
            </w:tcBorders>
            <w:shd w:val="clear" w:color="000000" w:fill="D9D9D9"/>
            <w:noWrap/>
            <w:vAlign w:val="center"/>
          </w:tcPr>
          <w:p w:rsidR="00A86FD6" w:rsidRPr="00092EAF" w:rsidP="00711189" w14:paraId="25F659DD" w14:textId="77777777">
            <w:pPr>
              <w:jc w:val="center"/>
              <w:rPr>
                <w:b/>
                <w:bCs/>
                <w:color w:val="000000"/>
                <w:szCs w:val="24"/>
              </w:rPr>
            </w:pPr>
            <w:r w:rsidRPr="00092EAF">
              <w:rPr>
                <w:b/>
                <w:bCs/>
                <w:color w:val="000000"/>
                <w:szCs w:val="24"/>
              </w:rPr>
              <w:t xml:space="preserve">215,748 </w:t>
            </w:r>
          </w:p>
        </w:tc>
        <w:tc>
          <w:tcPr>
            <w:tcW w:w="1416" w:type="dxa"/>
            <w:tcBorders>
              <w:top w:val="nil"/>
              <w:left w:val="nil"/>
              <w:bottom w:val="single" w:sz="4" w:space="0" w:color="auto"/>
              <w:right w:val="single" w:sz="4" w:space="0" w:color="auto"/>
            </w:tcBorders>
            <w:shd w:val="clear" w:color="000000" w:fill="D9D9D9"/>
            <w:noWrap/>
            <w:vAlign w:val="bottom"/>
          </w:tcPr>
          <w:p w:rsidR="00A86FD6" w:rsidRPr="00092EAF" w:rsidP="00711189" w14:paraId="76E22DA7" w14:textId="77777777">
            <w:pPr>
              <w:jc w:val="center"/>
              <w:rPr>
                <w:b/>
                <w:bCs/>
                <w:color w:val="000000"/>
                <w:szCs w:val="24"/>
              </w:rPr>
            </w:pPr>
            <w:r w:rsidRPr="00092EAF">
              <w:rPr>
                <w:b/>
                <w:bCs/>
                <w:color w:val="000000"/>
                <w:szCs w:val="24"/>
              </w:rPr>
              <w:t>$16,828,344</w:t>
            </w:r>
          </w:p>
        </w:tc>
      </w:tr>
      <w:tr w14:paraId="3B1F454A" w14:textId="77777777" w:rsidTr="00711189">
        <w:tblPrEx>
          <w:tblW w:w="8915" w:type="dxa"/>
          <w:tblLook w:val="04A0"/>
        </w:tblPrEx>
        <w:trPr>
          <w:trHeight w:val="263"/>
        </w:trPr>
        <w:tc>
          <w:tcPr>
            <w:tcW w:w="3235" w:type="dxa"/>
            <w:tcBorders>
              <w:top w:val="nil"/>
              <w:left w:val="single" w:sz="4" w:space="0" w:color="auto"/>
              <w:bottom w:val="single" w:sz="4" w:space="0" w:color="auto"/>
              <w:right w:val="single" w:sz="4" w:space="0" w:color="auto"/>
            </w:tcBorders>
            <w:shd w:val="clear" w:color="000000" w:fill="D9D9D9"/>
            <w:noWrap/>
            <w:vAlign w:val="bottom"/>
            <w:hideMark/>
          </w:tcPr>
          <w:p w:rsidR="00A86FD6" w:rsidRPr="00092EAF" w:rsidP="00711189" w14:paraId="7FCE0111" w14:textId="77777777">
            <w:pPr>
              <w:rPr>
                <w:b/>
                <w:bCs/>
                <w:color w:val="000000"/>
                <w:szCs w:val="24"/>
              </w:rPr>
            </w:pPr>
            <w:r w:rsidRPr="00092EAF">
              <w:rPr>
                <w:b/>
                <w:bCs/>
                <w:color w:val="000000"/>
                <w:szCs w:val="24"/>
              </w:rPr>
              <w:t xml:space="preserve">   High Range (Daily)</w:t>
            </w:r>
          </w:p>
        </w:tc>
        <w:tc>
          <w:tcPr>
            <w:tcW w:w="989" w:type="dxa"/>
            <w:tcBorders>
              <w:top w:val="nil"/>
              <w:left w:val="nil"/>
              <w:bottom w:val="single" w:sz="4" w:space="0" w:color="auto"/>
              <w:right w:val="single" w:sz="4" w:space="0" w:color="auto"/>
            </w:tcBorders>
            <w:shd w:val="clear" w:color="000000" w:fill="D9D9D9"/>
            <w:noWrap/>
            <w:vAlign w:val="bottom"/>
            <w:hideMark/>
          </w:tcPr>
          <w:p w:rsidR="00A86FD6" w:rsidRPr="00092EAF" w:rsidP="00711189" w14:paraId="1D0BE7CF" w14:textId="77777777">
            <w:pPr>
              <w:rPr>
                <w:b/>
                <w:bCs/>
                <w:color w:val="000000"/>
                <w:szCs w:val="24"/>
              </w:rPr>
            </w:pPr>
            <w:r w:rsidRPr="00092EAF">
              <w:rPr>
                <w:b/>
                <w:bCs/>
                <w:color w:val="000000"/>
                <w:szCs w:val="24"/>
              </w:rPr>
              <w:t> </w:t>
            </w:r>
          </w:p>
        </w:tc>
        <w:tc>
          <w:tcPr>
            <w:tcW w:w="935" w:type="dxa"/>
            <w:tcBorders>
              <w:top w:val="nil"/>
              <w:left w:val="nil"/>
              <w:bottom w:val="single" w:sz="4" w:space="0" w:color="auto"/>
              <w:right w:val="single" w:sz="4" w:space="0" w:color="auto"/>
            </w:tcBorders>
            <w:shd w:val="clear" w:color="000000" w:fill="D9D9D9"/>
            <w:noWrap/>
            <w:vAlign w:val="bottom"/>
            <w:hideMark/>
          </w:tcPr>
          <w:p w:rsidR="00A86FD6" w:rsidRPr="00092EAF" w:rsidP="00711189" w14:paraId="6CC8A2C6" w14:textId="77777777">
            <w:pPr>
              <w:rPr>
                <w:b/>
                <w:bCs/>
                <w:color w:val="000000"/>
                <w:szCs w:val="24"/>
              </w:rPr>
            </w:pPr>
            <w:r w:rsidRPr="00092EAF">
              <w:rPr>
                <w:b/>
                <w:bCs/>
                <w:color w:val="000000"/>
                <w:szCs w:val="24"/>
              </w:rPr>
              <w:t> </w:t>
            </w:r>
          </w:p>
        </w:tc>
        <w:tc>
          <w:tcPr>
            <w:tcW w:w="1083" w:type="dxa"/>
            <w:tcBorders>
              <w:top w:val="nil"/>
              <w:left w:val="nil"/>
              <w:bottom w:val="single" w:sz="4" w:space="0" w:color="auto"/>
              <w:right w:val="single" w:sz="4" w:space="0" w:color="auto"/>
            </w:tcBorders>
            <w:shd w:val="clear" w:color="000000" w:fill="D9D9D9"/>
            <w:noWrap/>
            <w:vAlign w:val="bottom"/>
            <w:hideMark/>
          </w:tcPr>
          <w:p w:rsidR="00A86FD6" w:rsidRPr="00092EAF" w:rsidP="00711189" w14:paraId="68197712" w14:textId="77777777">
            <w:pPr>
              <w:rPr>
                <w:b/>
                <w:bCs/>
                <w:color w:val="000000"/>
                <w:szCs w:val="24"/>
              </w:rPr>
            </w:pPr>
            <w:r w:rsidRPr="00092EAF">
              <w:rPr>
                <w:b/>
                <w:bCs/>
                <w:color w:val="000000"/>
                <w:szCs w:val="24"/>
              </w:rPr>
              <w:t> </w:t>
            </w:r>
          </w:p>
        </w:tc>
        <w:tc>
          <w:tcPr>
            <w:tcW w:w="1257" w:type="dxa"/>
            <w:tcBorders>
              <w:top w:val="nil"/>
              <w:left w:val="nil"/>
              <w:bottom w:val="single" w:sz="4" w:space="0" w:color="auto"/>
              <w:right w:val="single" w:sz="4" w:space="0" w:color="auto"/>
            </w:tcBorders>
            <w:shd w:val="clear" w:color="000000" w:fill="D9D9D9"/>
            <w:noWrap/>
            <w:vAlign w:val="center"/>
          </w:tcPr>
          <w:p w:rsidR="00A86FD6" w:rsidRPr="00092EAF" w:rsidP="00711189" w14:paraId="33F9D22B" w14:textId="77777777">
            <w:pPr>
              <w:jc w:val="center"/>
              <w:rPr>
                <w:b/>
                <w:bCs/>
                <w:color w:val="000000"/>
                <w:szCs w:val="24"/>
              </w:rPr>
            </w:pPr>
            <w:r w:rsidRPr="00092EAF">
              <w:rPr>
                <w:b/>
                <w:bCs/>
                <w:color w:val="000000"/>
                <w:szCs w:val="24"/>
              </w:rPr>
              <w:t xml:space="preserve">757,193 </w:t>
            </w:r>
          </w:p>
        </w:tc>
        <w:tc>
          <w:tcPr>
            <w:tcW w:w="1416" w:type="dxa"/>
            <w:tcBorders>
              <w:top w:val="nil"/>
              <w:left w:val="nil"/>
              <w:bottom w:val="single" w:sz="4" w:space="0" w:color="auto"/>
              <w:right w:val="single" w:sz="4" w:space="0" w:color="auto"/>
            </w:tcBorders>
            <w:shd w:val="clear" w:color="000000" w:fill="D9D9D9"/>
            <w:noWrap/>
            <w:vAlign w:val="bottom"/>
          </w:tcPr>
          <w:p w:rsidR="00A86FD6" w:rsidRPr="00092EAF" w:rsidP="00711189" w14:paraId="1200934A" w14:textId="77777777">
            <w:pPr>
              <w:jc w:val="center"/>
              <w:rPr>
                <w:b/>
                <w:bCs/>
                <w:color w:val="000000"/>
                <w:szCs w:val="24"/>
              </w:rPr>
            </w:pPr>
            <w:r w:rsidRPr="00092EAF">
              <w:rPr>
                <w:b/>
                <w:bCs/>
                <w:color w:val="000000"/>
                <w:szCs w:val="24"/>
              </w:rPr>
              <w:t>$59,061,015</w:t>
            </w:r>
          </w:p>
        </w:tc>
      </w:tr>
    </w:tbl>
    <w:p w:rsidR="009D3E50" w:rsidP="008A0ED4" w14:paraId="60AF0D93" w14:textId="77777777">
      <w:pPr>
        <w:jc w:val="center"/>
        <w:rPr>
          <w:b/>
          <w:iCs/>
          <w:szCs w:val="24"/>
          <w:u w:val="single"/>
        </w:rPr>
      </w:pPr>
    </w:p>
    <w:p w:rsidR="009D3E50" w:rsidP="008A0ED4" w14:paraId="42BABB99" w14:textId="77777777">
      <w:pPr>
        <w:jc w:val="center"/>
        <w:rPr>
          <w:b/>
          <w:iCs/>
          <w:szCs w:val="24"/>
          <w:u w:val="single"/>
        </w:rPr>
      </w:pPr>
    </w:p>
    <w:p w:rsidR="006D041A" w14:paraId="00F5591E" w14:textId="3369CC34">
      <w:pPr>
        <w:rPr>
          <w:b/>
          <w:iCs/>
          <w:szCs w:val="24"/>
          <w:u w:val="single"/>
        </w:rPr>
      </w:pPr>
      <w:r>
        <w:rPr>
          <w:b/>
          <w:iCs/>
          <w:szCs w:val="24"/>
          <w:u w:val="single"/>
        </w:rPr>
        <w:br w:type="page"/>
      </w:r>
    </w:p>
    <w:p w:rsidR="00DD5815" w:rsidRPr="008A0ED4" w:rsidP="008A0ED4" w14:paraId="73FF032A" w14:textId="3BB29D68">
      <w:pPr>
        <w:jc w:val="center"/>
        <w:rPr>
          <w:b/>
          <w:iCs/>
          <w:sz w:val="22"/>
          <w:szCs w:val="22"/>
        </w:rPr>
      </w:pPr>
      <w:r w:rsidRPr="008A0ED4">
        <w:rPr>
          <w:b/>
          <w:iCs/>
          <w:szCs w:val="24"/>
          <w:u w:val="single"/>
        </w:rPr>
        <w:t>New Co</w:t>
      </w:r>
      <w:r w:rsidRPr="008A0ED4" w:rsidR="008A0ED4">
        <w:rPr>
          <w:b/>
          <w:iCs/>
          <w:szCs w:val="24"/>
          <w:u w:val="single"/>
        </w:rPr>
        <w:t>nditions of Participation for CAHs that provide</w:t>
      </w:r>
      <w:r w:rsidRPr="008A0ED4">
        <w:rPr>
          <w:b/>
          <w:iCs/>
          <w:szCs w:val="24"/>
          <w:u w:val="single"/>
        </w:rPr>
        <w:t xml:space="preserve"> Obstetrical Services</w:t>
      </w:r>
    </w:p>
    <w:p w:rsidR="006D041A" w:rsidP="00DD5815" w14:paraId="6CED9164" w14:textId="77777777">
      <w:pPr>
        <w:rPr>
          <w:rStyle w:val="PageNumber"/>
          <w:szCs w:val="24"/>
        </w:rPr>
      </w:pPr>
      <w:r w:rsidRPr="008A0ED4">
        <w:rPr>
          <w:szCs w:val="24"/>
        </w:rPr>
        <w:t xml:space="preserve">After extensive research and stakeholder feedback as detailed under “Section XXI: Health and Safety Standards for Obstetrical Services in Hospitals and Critical Access Hospitals” of the </w:t>
      </w:r>
      <w:hyperlink r:id="rId9" w:history="1">
        <w:r w:rsidRPr="008A0ED4">
          <w:rPr>
            <w:rStyle w:val="Hyperlink"/>
            <w:szCs w:val="24"/>
          </w:rPr>
          <w:t>July 2024 Prop</w:t>
        </w:r>
        <w:r w:rsidRPr="008A0ED4">
          <w:rPr>
            <w:rStyle w:val="Hyperlink"/>
            <w:szCs w:val="24"/>
          </w:rPr>
          <w:t>o</w:t>
        </w:r>
        <w:r w:rsidRPr="008A0ED4">
          <w:rPr>
            <w:rStyle w:val="Hyperlink"/>
            <w:szCs w:val="24"/>
          </w:rPr>
          <w:t>sed Rule</w:t>
        </w:r>
      </w:hyperlink>
      <w:r w:rsidRPr="008A0ED4">
        <w:rPr>
          <w:szCs w:val="24"/>
        </w:rPr>
        <w:t>, CMS proposed new CoPs governing the organization, staffing, and delivery of OB services and staff training in order to establish “baseline care requirements for hospitals and CAHs that are specific to maternal-child services (that is, labor and delivery, prenatal and post-partum care, and care for newborn infants, alternately referred to in this discussion as obstetrical services, obstetrics, maternal health, or maternity care).”</w:t>
      </w:r>
      <w:r>
        <w:rPr>
          <w:rStyle w:val="StyleFootnoteReference11pt"/>
          <w:sz w:val="24"/>
          <w:szCs w:val="24"/>
        </w:rPr>
        <w:footnoteReference w:id="6"/>
      </w:r>
      <w:r w:rsidRPr="008A0ED4">
        <w:rPr>
          <w:rStyle w:val="PageNumber"/>
          <w:szCs w:val="24"/>
        </w:rPr>
        <w:t xml:space="preserve"> </w:t>
      </w:r>
    </w:p>
    <w:p w:rsidR="006D041A" w:rsidP="00DD5815" w14:paraId="35DA31A2" w14:textId="77777777">
      <w:pPr>
        <w:rPr>
          <w:rStyle w:val="PageNumber"/>
          <w:szCs w:val="24"/>
        </w:rPr>
      </w:pPr>
    </w:p>
    <w:p w:rsidR="00DD5815" w:rsidRPr="008A0ED4" w:rsidP="00DD5815" w14:paraId="37EB7D63" w14:textId="3853370B">
      <w:pPr>
        <w:rPr>
          <w:szCs w:val="24"/>
        </w:rPr>
      </w:pPr>
      <w:r w:rsidRPr="008A0ED4">
        <w:rPr>
          <w:szCs w:val="24"/>
        </w:rPr>
        <w:t>We estimate below the burden of information collection requirements associated with</w:t>
      </w:r>
      <w:r w:rsidR="006D041A">
        <w:rPr>
          <w:szCs w:val="24"/>
        </w:rPr>
        <w:t xml:space="preserve"> these</w:t>
      </w:r>
      <w:r w:rsidRPr="008A0ED4">
        <w:rPr>
          <w:szCs w:val="24"/>
        </w:rPr>
        <w:t xml:space="preserve"> new CoPs for Obstetrical Services</w:t>
      </w:r>
      <w:r w:rsidR="006D041A">
        <w:rPr>
          <w:szCs w:val="24"/>
        </w:rPr>
        <w:t xml:space="preserve"> based on the assumptions included in the</w:t>
      </w:r>
      <w:r w:rsidRPr="008A0ED4">
        <w:rPr>
          <w:szCs w:val="24"/>
        </w:rPr>
        <w:t xml:space="preserve"> </w:t>
      </w:r>
      <w:hyperlink r:id="rId9" w:history="1">
        <w:r w:rsidRPr="008A0ED4" w:rsidR="006D041A">
          <w:rPr>
            <w:rStyle w:val="Hyperlink"/>
            <w:szCs w:val="24"/>
          </w:rPr>
          <w:t>July 2024 Proposed Rule</w:t>
        </w:r>
      </w:hyperlink>
      <w:r w:rsidR="006D041A">
        <w:rPr>
          <w:szCs w:val="24"/>
        </w:rPr>
        <w:t xml:space="preserve">, including the estimate that </w:t>
      </w:r>
      <w:r w:rsidRPr="008A0ED4">
        <w:rPr>
          <w:bCs/>
          <w:iCs/>
          <w:szCs w:val="24"/>
        </w:rPr>
        <w:t xml:space="preserve">513 </w:t>
      </w:r>
      <w:r w:rsidR="009D3E50">
        <w:rPr>
          <w:bCs/>
          <w:iCs/>
          <w:szCs w:val="24"/>
        </w:rPr>
        <w:t xml:space="preserve">of all participating </w:t>
      </w:r>
      <w:r w:rsidRPr="008A0ED4">
        <w:rPr>
          <w:bCs/>
          <w:iCs/>
          <w:szCs w:val="24"/>
        </w:rPr>
        <w:t xml:space="preserve">CAHs provide </w:t>
      </w:r>
      <w:r w:rsidRPr="008A0ED4">
        <w:rPr>
          <w:color w:val="000000"/>
          <w:szCs w:val="24"/>
        </w:rPr>
        <w:t>obstetric services.</w:t>
      </w:r>
      <w:r>
        <w:rPr>
          <w:rStyle w:val="FootnoteReference"/>
          <w:color w:val="000000"/>
          <w:sz w:val="24"/>
          <w:szCs w:val="24"/>
        </w:rPr>
        <w:footnoteReference w:id="7"/>
      </w:r>
    </w:p>
    <w:p w:rsidR="00DD5815" w:rsidP="00DD5815" w14:paraId="15EC8DD0" w14:textId="77777777">
      <w:pPr>
        <w:rPr>
          <w:sz w:val="22"/>
          <w:szCs w:val="22"/>
        </w:rPr>
      </w:pPr>
    </w:p>
    <w:p w:rsidR="00137409" w:rsidP="00137409" w14:paraId="32CE44E8" w14:textId="5C8B2DB1">
      <w:pPr>
        <w:rPr>
          <w:b/>
          <w:i/>
          <w:sz w:val="22"/>
          <w:szCs w:val="22"/>
          <w:highlight w:val="yellow"/>
          <w:u w:val="single"/>
        </w:rPr>
      </w:pPr>
      <w:r>
        <w:rPr>
          <w:b/>
          <w:i/>
          <w:sz w:val="22"/>
          <w:szCs w:val="22"/>
          <w:highlight w:val="yellow"/>
          <w:u w:val="single"/>
        </w:rPr>
        <w:t xml:space="preserve"> </w:t>
      </w:r>
    </w:p>
    <w:p w:rsidR="00E914F3" w:rsidRPr="00CC60CF" w:rsidP="00E914F3" w14:paraId="10D60686" w14:textId="1558F9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b/>
          <w:i/>
          <w:szCs w:val="24"/>
        </w:rPr>
      </w:pPr>
      <w:r w:rsidRPr="00697484">
        <w:rPr>
          <w:b/>
          <w:iCs/>
          <w:szCs w:val="24"/>
          <w:u w:val="single"/>
        </w:rPr>
        <w:t>I</w:t>
      </w:r>
      <w:r w:rsidR="00B52C02">
        <w:rPr>
          <w:b/>
          <w:iCs/>
          <w:szCs w:val="24"/>
          <w:u w:val="single"/>
        </w:rPr>
        <w:t>C</w:t>
      </w:r>
      <w:r w:rsidRPr="00697484">
        <w:rPr>
          <w:b/>
          <w:iCs/>
          <w:szCs w:val="24"/>
          <w:u w:val="single"/>
        </w:rPr>
        <w:t>-5:</w:t>
      </w:r>
      <w:r>
        <w:rPr>
          <w:b/>
          <w:i/>
          <w:szCs w:val="24"/>
          <w:u w:val="single"/>
        </w:rPr>
        <w:t xml:space="preserve"> </w:t>
      </w:r>
      <w:r w:rsidRPr="00CC60CF">
        <w:rPr>
          <w:b/>
          <w:i/>
          <w:szCs w:val="24"/>
          <w:u w:val="single"/>
        </w:rPr>
        <w:t>New CoP: Emergency services readiness - Section 485.618(e)</w:t>
      </w:r>
      <w:r w:rsidR="00F258E6">
        <w:rPr>
          <w:b/>
          <w:i/>
          <w:szCs w:val="24"/>
          <w:u w:val="single"/>
        </w:rPr>
        <w:t>(1)</w:t>
      </w:r>
    </w:p>
    <w:p w:rsidR="009D3E50" w:rsidP="00E914F3" w14:paraId="6513A421" w14:textId="77777777">
      <w:pPr>
        <w:ind w:hanging="2"/>
        <w:rPr>
          <w:rFonts w:eastAsia="Times"/>
          <w:szCs w:val="24"/>
        </w:rPr>
      </w:pPr>
      <w:r w:rsidRPr="00CC60CF">
        <w:rPr>
          <w:rFonts w:eastAsia="Times"/>
          <w:szCs w:val="24"/>
        </w:rPr>
        <w:t xml:space="preserve">Under Section 485.618(e)(1), </w:t>
      </w:r>
      <w:r>
        <w:rPr>
          <w:rFonts w:eastAsia="Times"/>
          <w:szCs w:val="24"/>
        </w:rPr>
        <w:t>CAHs</w:t>
      </w:r>
      <w:r w:rsidRPr="00CC60CF">
        <w:rPr>
          <w:rFonts w:eastAsia="Times"/>
          <w:szCs w:val="24"/>
        </w:rPr>
        <w:t xml:space="preserve"> must have nationally recognized and evidence-based protocols to provide emergency services to all patients, including those with “obstetrical emergencies, complications, and immediate post-delivery care.” Applying the assumptions regarding the information collection requirements of the new CoP in the July 2024 proposed rule to implement the new CoPs, we estimate the one-time burden of developing written protocols that meet the new emergency services readiness requirements. We do not include an estimate for updating standards since reviewing and updating policies and procedures is a customary business practice. </w:t>
      </w:r>
    </w:p>
    <w:p w:rsidR="009D3E50" w:rsidP="00E914F3" w14:paraId="4EFFC5C5" w14:textId="77777777">
      <w:pPr>
        <w:ind w:hanging="2"/>
        <w:rPr>
          <w:rFonts w:eastAsia="Times"/>
          <w:szCs w:val="24"/>
        </w:rPr>
      </w:pPr>
    </w:p>
    <w:p w:rsidR="009D3E50" w:rsidP="009D3E50" w14:paraId="42A117B6" w14:textId="61B47D6C">
      <w:pPr>
        <w:ind w:hanging="2"/>
        <w:rPr>
          <w:rFonts w:eastAsia="Times"/>
          <w:szCs w:val="24"/>
        </w:rPr>
      </w:pPr>
      <w:r>
        <w:rPr>
          <w:bCs/>
          <w:iCs/>
          <w:szCs w:val="24"/>
        </w:rPr>
        <w:t xml:space="preserve">Based on the assumptions in the </w:t>
      </w:r>
      <w:hyperlink r:id="rId9" w:history="1">
        <w:r w:rsidRPr="008A0ED4">
          <w:rPr>
            <w:rStyle w:val="Hyperlink"/>
            <w:szCs w:val="24"/>
          </w:rPr>
          <w:t>July 2024 Proposed Rule</w:t>
        </w:r>
      </w:hyperlink>
      <w:r>
        <w:rPr>
          <w:bCs/>
          <w:iCs/>
          <w:szCs w:val="24"/>
        </w:rPr>
        <w:t xml:space="preserve">, we estimate this requirement would apply to all </w:t>
      </w:r>
      <w:r>
        <w:rPr>
          <w:rFonts w:eastAsia="Times"/>
          <w:szCs w:val="24"/>
        </w:rPr>
        <w:t>participating</w:t>
      </w:r>
      <w:r w:rsidRPr="00CC60CF">
        <w:rPr>
          <w:rFonts w:eastAsia="Times"/>
          <w:szCs w:val="24"/>
        </w:rPr>
        <w:t xml:space="preserve"> </w:t>
      </w:r>
      <w:r>
        <w:rPr>
          <w:rFonts w:eastAsia="Times"/>
          <w:szCs w:val="24"/>
        </w:rPr>
        <w:t xml:space="preserve">CAHs that provide emergency services (including CAHs with DPUs) and would take 4 hours for </w:t>
      </w:r>
      <w:r w:rsidRPr="00CC60CF">
        <w:rPr>
          <w:rFonts w:eastAsia="Times"/>
          <w:szCs w:val="24"/>
        </w:rPr>
        <w:t>each staff member involved</w:t>
      </w:r>
      <w:r w:rsidR="00EA30A7">
        <w:rPr>
          <w:rFonts w:eastAsia="Times"/>
          <w:szCs w:val="24"/>
        </w:rPr>
        <w:t xml:space="preserve"> to add to an</w:t>
      </w:r>
      <w:r w:rsidRPr="00CC60CF" w:rsidR="00EA30A7">
        <w:rPr>
          <w:rFonts w:eastAsia="Times"/>
          <w:szCs w:val="24"/>
        </w:rPr>
        <w:t xml:space="preserve"> existing protocol rather than creating a new protocol for emergency </w:t>
      </w:r>
      <w:r w:rsidR="00EA30A7">
        <w:rPr>
          <w:rFonts w:eastAsia="Times"/>
          <w:szCs w:val="24"/>
        </w:rPr>
        <w:t xml:space="preserve">services. We </w:t>
      </w:r>
      <w:r w:rsidRPr="00CC60CF" w:rsidR="00E914F3">
        <w:rPr>
          <w:rFonts w:eastAsia="Times"/>
          <w:szCs w:val="24"/>
        </w:rPr>
        <w:t xml:space="preserve">estimate </w:t>
      </w:r>
      <w:r w:rsidRPr="00CC60CF">
        <w:rPr>
          <w:rFonts w:eastAsia="Times"/>
          <w:szCs w:val="24"/>
        </w:rPr>
        <w:t xml:space="preserve">the following staff </w:t>
      </w:r>
      <w:r>
        <w:rPr>
          <w:rFonts w:eastAsia="Times"/>
          <w:szCs w:val="24"/>
        </w:rPr>
        <w:t xml:space="preserve">(applying a loaded hourly mean rate from the BLS National Occupational Employment and Wage Estimates) </w:t>
      </w:r>
      <w:r w:rsidRPr="00CC60CF">
        <w:rPr>
          <w:rFonts w:eastAsia="Times"/>
          <w:szCs w:val="24"/>
        </w:rPr>
        <w:t>will be involved in writing the new protocol</w:t>
      </w:r>
      <w:r>
        <w:rPr>
          <w:rFonts w:eastAsia="Times"/>
          <w:szCs w:val="24"/>
        </w:rPr>
        <w:t>:</w:t>
      </w:r>
      <w:r w:rsidRPr="00CC60CF">
        <w:rPr>
          <w:rFonts w:eastAsia="Times"/>
          <w:szCs w:val="24"/>
        </w:rPr>
        <w:t xml:space="preserve"> a </w:t>
      </w:r>
      <w:r>
        <w:rPr>
          <w:rFonts w:eastAsia="Times"/>
          <w:szCs w:val="24"/>
        </w:rPr>
        <w:t>P</w:t>
      </w:r>
      <w:r w:rsidRPr="00CC60CF">
        <w:rPr>
          <w:rFonts w:eastAsia="Times"/>
          <w:szCs w:val="24"/>
        </w:rPr>
        <w:t xml:space="preserve">hysician </w:t>
      </w:r>
      <w:r>
        <w:rPr>
          <w:rFonts w:eastAsia="Times"/>
          <w:szCs w:val="24"/>
        </w:rPr>
        <w:t xml:space="preserve">(BLS Code: 29-1229) </w:t>
      </w:r>
      <w:r w:rsidRPr="00CC60CF">
        <w:rPr>
          <w:rFonts w:eastAsia="Times"/>
          <w:szCs w:val="24"/>
        </w:rPr>
        <w:t>at $253.70</w:t>
      </w:r>
      <w:r>
        <w:rPr>
          <w:rFonts w:eastAsia="Times"/>
          <w:szCs w:val="24"/>
        </w:rPr>
        <w:t xml:space="preserve"> per hour</w:t>
      </w:r>
      <w:r w:rsidRPr="00CC60CF">
        <w:rPr>
          <w:rFonts w:eastAsia="Times"/>
          <w:szCs w:val="24"/>
        </w:rPr>
        <w:t xml:space="preserve">, a lawyer </w:t>
      </w:r>
      <w:r>
        <w:rPr>
          <w:rFonts w:eastAsia="Times"/>
          <w:szCs w:val="24"/>
        </w:rPr>
        <w:t xml:space="preserve">(BLS Code: 23-1011) </w:t>
      </w:r>
      <w:r w:rsidRPr="00CC60CF">
        <w:rPr>
          <w:rFonts w:eastAsia="Times"/>
          <w:szCs w:val="24"/>
        </w:rPr>
        <w:t xml:space="preserve">at $169.68 per hour, a </w:t>
      </w:r>
      <w:r>
        <w:rPr>
          <w:rFonts w:eastAsia="Times"/>
          <w:szCs w:val="24"/>
        </w:rPr>
        <w:t>R</w:t>
      </w:r>
      <w:r w:rsidRPr="00CC60CF">
        <w:rPr>
          <w:rFonts w:eastAsia="Times"/>
          <w:szCs w:val="24"/>
        </w:rPr>
        <w:t xml:space="preserve">egistered </w:t>
      </w:r>
      <w:r>
        <w:rPr>
          <w:rFonts w:eastAsia="Times"/>
          <w:szCs w:val="24"/>
        </w:rPr>
        <w:t>N</w:t>
      </w:r>
      <w:r w:rsidRPr="00CC60CF">
        <w:rPr>
          <w:rFonts w:eastAsia="Times"/>
          <w:szCs w:val="24"/>
        </w:rPr>
        <w:t>urse</w:t>
      </w:r>
      <w:r>
        <w:rPr>
          <w:rFonts w:eastAsia="Times"/>
          <w:szCs w:val="24"/>
        </w:rPr>
        <w:t xml:space="preserve"> (BLS Code: 29-1141)</w:t>
      </w:r>
      <w:r w:rsidRPr="00CC60CF">
        <w:rPr>
          <w:rFonts w:eastAsia="Times"/>
          <w:szCs w:val="24"/>
        </w:rPr>
        <w:t xml:space="preserve"> at $90.84 per hour, a </w:t>
      </w:r>
      <w:r>
        <w:rPr>
          <w:rFonts w:eastAsia="Times"/>
          <w:szCs w:val="24"/>
        </w:rPr>
        <w:t>M</w:t>
      </w:r>
      <w:r w:rsidRPr="00CC60CF">
        <w:rPr>
          <w:rFonts w:eastAsia="Times"/>
          <w:szCs w:val="24"/>
        </w:rPr>
        <w:t xml:space="preserve">edical </w:t>
      </w:r>
      <w:r>
        <w:rPr>
          <w:rFonts w:eastAsia="Times"/>
          <w:szCs w:val="24"/>
        </w:rPr>
        <w:t>S</w:t>
      </w:r>
      <w:r w:rsidRPr="00CC60CF">
        <w:rPr>
          <w:rFonts w:eastAsia="Times"/>
          <w:szCs w:val="24"/>
        </w:rPr>
        <w:t xml:space="preserve">ecretary </w:t>
      </w:r>
      <w:r>
        <w:rPr>
          <w:rFonts w:eastAsia="Times"/>
          <w:szCs w:val="24"/>
        </w:rPr>
        <w:t xml:space="preserve">(BLS Code: 43-6013) </w:t>
      </w:r>
      <w:r w:rsidRPr="00CC60CF">
        <w:rPr>
          <w:rFonts w:eastAsia="Times"/>
          <w:szCs w:val="24"/>
        </w:rPr>
        <w:t xml:space="preserve">at $41.70 per hour, and an Administrator </w:t>
      </w:r>
      <w:r>
        <w:rPr>
          <w:rFonts w:eastAsia="Times"/>
          <w:szCs w:val="24"/>
        </w:rPr>
        <w:t xml:space="preserve">(BLS Code: 11-1011) </w:t>
      </w:r>
      <w:r w:rsidRPr="00CC60CF">
        <w:rPr>
          <w:rFonts w:eastAsia="Times"/>
          <w:szCs w:val="24"/>
        </w:rPr>
        <w:t>at $129.28 per hour.</w:t>
      </w:r>
      <w:r>
        <w:rPr>
          <w:rFonts w:eastAsia="Times"/>
          <w:szCs w:val="24"/>
        </w:rPr>
        <w:t xml:space="preserve"> </w:t>
      </w:r>
      <w:r w:rsidRPr="00CC60CF">
        <w:rPr>
          <w:rFonts w:eastAsia="Times"/>
          <w:szCs w:val="24"/>
        </w:rPr>
        <w:t>We determine the burden cost using a blended wage rate per the table below.</w:t>
      </w:r>
    </w:p>
    <w:p w:rsidR="00FA2899" w:rsidRPr="00CC60CF" w:rsidP="00E914F3" w14:paraId="132115E9" w14:textId="77777777">
      <w:pPr>
        <w:ind w:hanging="2"/>
        <w:rPr>
          <w:rFonts w:eastAsia="Times"/>
          <w:szCs w:val="24"/>
        </w:rPr>
      </w:pPr>
    </w:p>
    <w:p w:rsidR="00E914F3" w:rsidP="00E914F3" w14:paraId="5F8F383D" w14:textId="77777777">
      <w:pPr>
        <w:ind w:firstLine="720"/>
        <w:rPr>
          <w:b/>
          <w:bCs/>
          <w:szCs w:val="24"/>
        </w:rPr>
      </w:pPr>
    </w:p>
    <w:p w:rsidR="001C7F3F" w:rsidP="00E914F3" w14:paraId="3AD65FE9" w14:textId="77777777">
      <w:pPr>
        <w:ind w:firstLine="720"/>
        <w:rPr>
          <w:b/>
          <w:bCs/>
          <w:szCs w:val="24"/>
        </w:rPr>
      </w:pPr>
    </w:p>
    <w:p w:rsidR="001C7F3F" w:rsidP="00E914F3" w14:paraId="6A360F85" w14:textId="77777777">
      <w:pPr>
        <w:ind w:firstLine="720"/>
        <w:rPr>
          <w:b/>
          <w:bCs/>
          <w:szCs w:val="24"/>
        </w:rPr>
      </w:pPr>
    </w:p>
    <w:p w:rsidR="001C7F3F" w:rsidRPr="00CC60CF" w:rsidP="00E914F3" w14:paraId="531ED478" w14:textId="77777777">
      <w:pPr>
        <w:ind w:firstLine="720"/>
        <w:rPr>
          <w:b/>
          <w:bCs/>
          <w:szCs w:val="24"/>
        </w:rPr>
      </w:pPr>
    </w:p>
    <w:p w:rsidR="00A86FD6" w:rsidP="00DF2D09" w14:paraId="13345F31" w14:textId="4A090F61">
      <w:pPr>
        <w:ind w:left="2880" w:firstLine="720"/>
        <w:rPr>
          <w:b/>
          <w:bCs/>
          <w:i/>
          <w:iCs/>
          <w:sz w:val="28"/>
          <w:szCs w:val="28"/>
        </w:rPr>
      </w:pPr>
      <w:r w:rsidRPr="00FA2899">
        <w:rPr>
          <w:b/>
          <w:bCs/>
          <w:sz w:val="28"/>
          <w:szCs w:val="28"/>
        </w:rPr>
        <w:t>Table</w:t>
      </w:r>
      <w:r w:rsidRPr="00FA2899" w:rsidR="00FA2899">
        <w:rPr>
          <w:b/>
          <w:bCs/>
          <w:sz w:val="28"/>
          <w:szCs w:val="28"/>
        </w:rPr>
        <w:t xml:space="preserve"> 7: </w:t>
      </w:r>
      <w:r w:rsidRPr="00FA2899">
        <w:rPr>
          <w:b/>
          <w:bCs/>
          <w:sz w:val="28"/>
          <w:szCs w:val="28"/>
        </w:rPr>
        <w:t>IC</w:t>
      </w:r>
      <w:r w:rsidRPr="00FA2899" w:rsidR="00FA2899">
        <w:rPr>
          <w:b/>
          <w:bCs/>
          <w:sz w:val="28"/>
          <w:szCs w:val="28"/>
        </w:rPr>
        <w:t>-5:</w:t>
      </w:r>
    </w:p>
    <w:p w:rsidR="00E914F3" w:rsidRPr="00FA2899" w:rsidP="00A86FD6" w14:paraId="146D68CF" w14:textId="632BA299">
      <w:pPr>
        <w:ind w:left="720"/>
        <w:rPr>
          <w:sz w:val="28"/>
          <w:szCs w:val="28"/>
        </w:rPr>
      </w:pPr>
      <w:r>
        <w:rPr>
          <w:b/>
          <w:bCs/>
          <w:i/>
          <w:iCs/>
          <w:sz w:val="28"/>
          <w:szCs w:val="28"/>
        </w:rPr>
        <w:t xml:space="preserve"> </w:t>
      </w:r>
      <w:r w:rsidRPr="00FA2899">
        <w:rPr>
          <w:b/>
          <w:bCs/>
          <w:i/>
          <w:iCs/>
          <w:sz w:val="28"/>
          <w:szCs w:val="28"/>
        </w:rPr>
        <w:t>Written protocols for Emergency services</w:t>
      </w:r>
      <w:r w:rsidR="00A86FD6">
        <w:rPr>
          <w:b/>
          <w:bCs/>
          <w:i/>
          <w:iCs/>
          <w:sz w:val="28"/>
          <w:szCs w:val="28"/>
        </w:rPr>
        <w:t xml:space="preserve"> </w:t>
      </w:r>
      <w:r w:rsidRPr="00FA2899">
        <w:rPr>
          <w:b/>
          <w:bCs/>
          <w:i/>
          <w:iCs/>
          <w:sz w:val="28"/>
          <w:szCs w:val="28"/>
        </w:rPr>
        <w:t>readiness  – 485.618(e)</w:t>
      </w:r>
      <w:r w:rsidRPr="00FA2899" w:rsidR="00F258E6">
        <w:rPr>
          <w:b/>
          <w:bCs/>
          <w:i/>
          <w:iCs/>
          <w:sz w:val="28"/>
          <w:szCs w:val="28"/>
        </w:rPr>
        <w:t>(1)</w:t>
      </w:r>
    </w:p>
    <w:tbl>
      <w:tblPr>
        <w:tblW w:w="7697" w:type="dxa"/>
        <w:tblInd w:w="607" w:type="dxa"/>
        <w:tblLook w:val="04A0"/>
      </w:tblPr>
      <w:tblGrid>
        <w:gridCol w:w="3528"/>
        <w:gridCol w:w="1418"/>
        <w:gridCol w:w="1431"/>
        <w:gridCol w:w="1320"/>
      </w:tblGrid>
      <w:tr w14:paraId="02002C86" w14:textId="77777777" w:rsidTr="00FA2899">
        <w:tblPrEx>
          <w:tblW w:w="7697" w:type="dxa"/>
          <w:tblInd w:w="607" w:type="dxa"/>
          <w:tblLook w:val="04A0"/>
        </w:tblPrEx>
        <w:trPr>
          <w:trHeight w:val="526"/>
        </w:trPr>
        <w:tc>
          <w:tcPr>
            <w:tcW w:w="3528"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E914F3" w:rsidRPr="00CC60CF" w:rsidP="004125DC" w14:paraId="445A8F36" w14:textId="77777777">
            <w:pPr>
              <w:jc w:val="center"/>
              <w:rPr>
                <w:b/>
                <w:bCs/>
                <w:color w:val="000000"/>
                <w:szCs w:val="24"/>
              </w:rPr>
            </w:pPr>
            <w:r w:rsidRPr="00CC60CF">
              <w:rPr>
                <w:b/>
                <w:bCs/>
                <w:color w:val="000000"/>
                <w:szCs w:val="24"/>
              </w:rPr>
              <w:t xml:space="preserve">Task </w:t>
            </w:r>
          </w:p>
        </w:tc>
        <w:tc>
          <w:tcPr>
            <w:tcW w:w="1418" w:type="dxa"/>
            <w:tcBorders>
              <w:top w:val="single" w:sz="4" w:space="0" w:color="auto"/>
              <w:left w:val="nil"/>
              <w:bottom w:val="single" w:sz="4" w:space="0" w:color="auto"/>
              <w:right w:val="single" w:sz="4" w:space="0" w:color="auto"/>
            </w:tcBorders>
            <w:shd w:val="clear" w:color="CCCCCC" w:fill="D9E7FD"/>
            <w:vAlign w:val="bottom"/>
            <w:hideMark/>
          </w:tcPr>
          <w:p w:rsidR="00E914F3" w:rsidRPr="00CC60CF" w:rsidP="004125DC" w14:paraId="6134E56E" w14:textId="77468CD5">
            <w:pPr>
              <w:jc w:val="center"/>
              <w:rPr>
                <w:b/>
                <w:bCs/>
                <w:color w:val="000000"/>
                <w:szCs w:val="24"/>
              </w:rPr>
            </w:pPr>
            <w:r w:rsidRPr="00CC60CF">
              <w:rPr>
                <w:b/>
                <w:bCs/>
                <w:color w:val="000000"/>
                <w:szCs w:val="24"/>
              </w:rPr>
              <w:t>Hourly Me</w:t>
            </w:r>
            <w:r w:rsidR="00BF60B9">
              <w:rPr>
                <w:b/>
                <w:bCs/>
                <w:color w:val="000000"/>
                <w:szCs w:val="24"/>
              </w:rPr>
              <w:t>an</w:t>
            </w:r>
            <w:r w:rsidRPr="00CC60CF">
              <w:rPr>
                <w:b/>
                <w:bCs/>
                <w:color w:val="000000"/>
                <w:szCs w:val="24"/>
              </w:rPr>
              <w:t xml:space="preserve"> Wage</w:t>
            </w:r>
          </w:p>
        </w:tc>
        <w:tc>
          <w:tcPr>
            <w:tcW w:w="1431" w:type="dxa"/>
            <w:tcBorders>
              <w:top w:val="single" w:sz="4" w:space="0" w:color="auto"/>
              <w:left w:val="nil"/>
              <w:bottom w:val="single" w:sz="4" w:space="0" w:color="auto"/>
              <w:right w:val="single" w:sz="4" w:space="0" w:color="auto"/>
            </w:tcBorders>
            <w:shd w:val="clear" w:color="CCCCCC" w:fill="D9E7FD"/>
            <w:vAlign w:val="bottom"/>
            <w:hideMark/>
          </w:tcPr>
          <w:p w:rsidR="00E914F3" w:rsidRPr="00CC60CF" w:rsidP="004125DC" w14:paraId="45528C7F" w14:textId="77777777">
            <w:pPr>
              <w:jc w:val="center"/>
              <w:rPr>
                <w:b/>
                <w:bCs/>
                <w:color w:val="000000"/>
                <w:szCs w:val="24"/>
              </w:rPr>
            </w:pPr>
            <w:r w:rsidRPr="00CC60CF">
              <w:rPr>
                <w:b/>
                <w:bCs/>
                <w:color w:val="000000"/>
                <w:szCs w:val="24"/>
              </w:rPr>
              <w:t>Hours/Task</w:t>
            </w:r>
          </w:p>
        </w:tc>
        <w:tc>
          <w:tcPr>
            <w:tcW w:w="1320" w:type="dxa"/>
            <w:tcBorders>
              <w:top w:val="single" w:sz="4" w:space="0" w:color="auto"/>
              <w:left w:val="nil"/>
              <w:bottom w:val="single" w:sz="4" w:space="0" w:color="auto"/>
              <w:right w:val="single" w:sz="4" w:space="0" w:color="auto"/>
            </w:tcBorders>
            <w:shd w:val="clear" w:color="CCCCCC" w:fill="D9E7FD"/>
            <w:vAlign w:val="bottom"/>
            <w:hideMark/>
          </w:tcPr>
          <w:p w:rsidR="00E914F3" w:rsidRPr="00CC60CF" w:rsidP="004125DC" w14:paraId="0AE4AE52" w14:textId="77777777">
            <w:pPr>
              <w:jc w:val="center"/>
              <w:rPr>
                <w:b/>
                <w:bCs/>
                <w:color w:val="000000"/>
                <w:szCs w:val="24"/>
              </w:rPr>
            </w:pPr>
            <w:r w:rsidRPr="00CC60CF">
              <w:rPr>
                <w:b/>
                <w:bCs/>
                <w:color w:val="000000"/>
                <w:szCs w:val="24"/>
              </w:rPr>
              <w:t>Cost/Task</w:t>
            </w:r>
          </w:p>
        </w:tc>
      </w:tr>
      <w:tr w14:paraId="5CD0C71B" w14:textId="77777777" w:rsidTr="00FA2899">
        <w:tblPrEx>
          <w:tblW w:w="7697" w:type="dxa"/>
          <w:tblInd w:w="607" w:type="dxa"/>
          <w:tblLook w:val="04A0"/>
        </w:tblPrEx>
        <w:trPr>
          <w:trHeight w:val="263"/>
        </w:trPr>
        <w:tc>
          <w:tcPr>
            <w:tcW w:w="7697" w:type="dxa"/>
            <w:gridSpan w:val="4"/>
            <w:tcBorders>
              <w:top w:val="single" w:sz="4" w:space="0" w:color="auto"/>
              <w:left w:val="single" w:sz="4" w:space="0" w:color="auto"/>
              <w:bottom w:val="single" w:sz="4" w:space="0" w:color="auto"/>
              <w:right w:val="single" w:sz="4" w:space="0" w:color="000000"/>
            </w:tcBorders>
            <w:shd w:val="clear" w:color="000000" w:fill="D9D9D9"/>
            <w:hideMark/>
          </w:tcPr>
          <w:p w:rsidR="00E914F3" w:rsidRPr="00B52C02" w:rsidP="004125DC" w14:paraId="5BB8D503" w14:textId="77777777">
            <w:pPr>
              <w:rPr>
                <w:b/>
                <w:bCs/>
                <w:color w:val="000000"/>
                <w:szCs w:val="24"/>
                <w:u w:val="single"/>
              </w:rPr>
            </w:pPr>
            <w:r w:rsidRPr="00B52C02">
              <w:rPr>
                <w:b/>
                <w:bCs/>
                <w:color w:val="000000"/>
                <w:szCs w:val="24"/>
                <w:u w:val="single"/>
              </w:rPr>
              <w:t>One-time development of ER protocols</w:t>
            </w:r>
          </w:p>
        </w:tc>
      </w:tr>
      <w:tr w14:paraId="2928B90F" w14:textId="77777777" w:rsidTr="00FA2899">
        <w:tblPrEx>
          <w:tblW w:w="7697" w:type="dxa"/>
          <w:tblInd w:w="607" w:type="dxa"/>
          <w:tblLook w:val="04A0"/>
        </w:tblPrEx>
        <w:trPr>
          <w:trHeight w:val="263"/>
        </w:trPr>
        <w:tc>
          <w:tcPr>
            <w:tcW w:w="3528" w:type="dxa"/>
            <w:tcBorders>
              <w:top w:val="nil"/>
              <w:left w:val="single" w:sz="4" w:space="0" w:color="auto"/>
              <w:bottom w:val="single" w:sz="4" w:space="0" w:color="auto"/>
              <w:right w:val="single" w:sz="4" w:space="0" w:color="auto"/>
            </w:tcBorders>
            <w:shd w:val="clear" w:color="auto" w:fill="auto"/>
            <w:vAlign w:val="bottom"/>
            <w:hideMark/>
          </w:tcPr>
          <w:p w:rsidR="00E914F3" w:rsidRPr="00CC60CF" w:rsidP="004125DC" w14:paraId="507340AE" w14:textId="77777777">
            <w:pPr>
              <w:rPr>
                <w:color w:val="000000"/>
                <w:szCs w:val="24"/>
              </w:rPr>
            </w:pPr>
            <w:r w:rsidRPr="00CC60CF">
              <w:rPr>
                <w:color w:val="000000"/>
                <w:szCs w:val="24"/>
              </w:rPr>
              <w:t>Physician</w:t>
            </w:r>
          </w:p>
        </w:tc>
        <w:tc>
          <w:tcPr>
            <w:tcW w:w="1418" w:type="dxa"/>
            <w:tcBorders>
              <w:top w:val="nil"/>
              <w:left w:val="nil"/>
              <w:bottom w:val="single" w:sz="4" w:space="0" w:color="auto"/>
              <w:right w:val="single" w:sz="4" w:space="0" w:color="auto"/>
            </w:tcBorders>
            <w:shd w:val="clear" w:color="auto" w:fill="auto"/>
            <w:vAlign w:val="bottom"/>
            <w:hideMark/>
          </w:tcPr>
          <w:p w:rsidR="00E914F3" w:rsidRPr="00CC60CF" w:rsidP="004125DC" w14:paraId="7085464C" w14:textId="77777777">
            <w:pPr>
              <w:jc w:val="center"/>
              <w:rPr>
                <w:color w:val="000000"/>
                <w:szCs w:val="24"/>
              </w:rPr>
            </w:pPr>
            <w:r w:rsidRPr="00CC60CF">
              <w:rPr>
                <w:color w:val="000000"/>
                <w:szCs w:val="24"/>
              </w:rPr>
              <w:t>$253.70</w:t>
            </w:r>
          </w:p>
        </w:tc>
        <w:tc>
          <w:tcPr>
            <w:tcW w:w="1431" w:type="dxa"/>
            <w:tcBorders>
              <w:top w:val="nil"/>
              <w:left w:val="nil"/>
              <w:bottom w:val="single" w:sz="4" w:space="0" w:color="auto"/>
              <w:right w:val="single" w:sz="4" w:space="0" w:color="auto"/>
            </w:tcBorders>
            <w:shd w:val="clear" w:color="auto" w:fill="auto"/>
            <w:vAlign w:val="bottom"/>
            <w:hideMark/>
          </w:tcPr>
          <w:p w:rsidR="00E914F3" w:rsidRPr="00CC60CF" w:rsidP="004125DC" w14:paraId="43E6D1D0" w14:textId="77777777">
            <w:pPr>
              <w:jc w:val="center"/>
              <w:rPr>
                <w:color w:val="000000"/>
                <w:szCs w:val="24"/>
              </w:rPr>
            </w:pPr>
            <w:r w:rsidRPr="00CC60CF">
              <w:rPr>
                <w:color w:val="000000"/>
                <w:szCs w:val="24"/>
              </w:rPr>
              <w:t>4.0</w:t>
            </w:r>
          </w:p>
        </w:tc>
        <w:tc>
          <w:tcPr>
            <w:tcW w:w="1320" w:type="dxa"/>
            <w:tcBorders>
              <w:top w:val="nil"/>
              <w:left w:val="nil"/>
              <w:bottom w:val="single" w:sz="4" w:space="0" w:color="auto"/>
              <w:right w:val="single" w:sz="4" w:space="0" w:color="auto"/>
            </w:tcBorders>
            <w:shd w:val="clear" w:color="auto" w:fill="auto"/>
            <w:noWrap/>
            <w:vAlign w:val="bottom"/>
            <w:hideMark/>
          </w:tcPr>
          <w:p w:rsidR="00E914F3" w:rsidRPr="00CC60CF" w:rsidP="004125DC" w14:paraId="090BEA50" w14:textId="77777777">
            <w:pPr>
              <w:jc w:val="center"/>
              <w:rPr>
                <w:color w:val="000000"/>
                <w:szCs w:val="24"/>
              </w:rPr>
            </w:pPr>
            <w:r w:rsidRPr="00CC60CF">
              <w:rPr>
                <w:color w:val="000000"/>
                <w:szCs w:val="24"/>
              </w:rPr>
              <w:t>$1,014.80</w:t>
            </w:r>
          </w:p>
        </w:tc>
      </w:tr>
      <w:tr w14:paraId="59B3539F" w14:textId="77777777" w:rsidTr="00FA2899">
        <w:tblPrEx>
          <w:tblW w:w="7697" w:type="dxa"/>
          <w:tblInd w:w="607" w:type="dxa"/>
          <w:tblLook w:val="04A0"/>
        </w:tblPrEx>
        <w:trPr>
          <w:trHeight w:val="263"/>
        </w:trPr>
        <w:tc>
          <w:tcPr>
            <w:tcW w:w="3528" w:type="dxa"/>
            <w:tcBorders>
              <w:top w:val="nil"/>
              <w:left w:val="single" w:sz="4" w:space="0" w:color="auto"/>
              <w:bottom w:val="single" w:sz="4" w:space="0" w:color="auto"/>
              <w:right w:val="single" w:sz="4" w:space="0" w:color="auto"/>
            </w:tcBorders>
            <w:shd w:val="clear" w:color="auto" w:fill="auto"/>
            <w:vAlign w:val="bottom"/>
            <w:hideMark/>
          </w:tcPr>
          <w:p w:rsidR="00E914F3" w:rsidRPr="00CC60CF" w:rsidP="004125DC" w14:paraId="1A503E8E" w14:textId="77777777">
            <w:pPr>
              <w:rPr>
                <w:color w:val="000000"/>
                <w:szCs w:val="24"/>
              </w:rPr>
            </w:pPr>
            <w:r w:rsidRPr="00CC60CF">
              <w:rPr>
                <w:color w:val="000000"/>
                <w:szCs w:val="24"/>
              </w:rPr>
              <w:t>Lawyer</w:t>
            </w:r>
          </w:p>
        </w:tc>
        <w:tc>
          <w:tcPr>
            <w:tcW w:w="1418" w:type="dxa"/>
            <w:tcBorders>
              <w:top w:val="nil"/>
              <w:left w:val="nil"/>
              <w:bottom w:val="single" w:sz="4" w:space="0" w:color="auto"/>
              <w:right w:val="single" w:sz="4" w:space="0" w:color="auto"/>
            </w:tcBorders>
            <w:shd w:val="clear" w:color="auto" w:fill="auto"/>
            <w:vAlign w:val="bottom"/>
            <w:hideMark/>
          </w:tcPr>
          <w:p w:rsidR="00E914F3" w:rsidRPr="00CC60CF" w:rsidP="004125DC" w14:paraId="137C99B7" w14:textId="77777777">
            <w:pPr>
              <w:jc w:val="center"/>
              <w:rPr>
                <w:color w:val="000000"/>
                <w:szCs w:val="24"/>
              </w:rPr>
            </w:pPr>
            <w:r w:rsidRPr="00CC60CF">
              <w:rPr>
                <w:color w:val="000000"/>
                <w:szCs w:val="24"/>
              </w:rPr>
              <w:t>$169.68</w:t>
            </w:r>
          </w:p>
        </w:tc>
        <w:tc>
          <w:tcPr>
            <w:tcW w:w="1431" w:type="dxa"/>
            <w:tcBorders>
              <w:top w:val="nil"/>
              <w:left w:val="nil"/>
              <w:bottom w:val="single" w:sz="4" w:space="0" w:color="auto"/>
              <w:right w:val="single" w:sz="4" w:space="0" w:color="auto"/>
            </w:tcBorders>
            <w:shd w:val="clear" w:color="auto" w:fill="auto"/>
            <w:vAlign w:val="bottom"/>
            <w:hideMark/>
          </w:tcPr>
          <w:p w:rsidR="00E914F3" w:rsidRPr="00CC60CF" w:rsidP="004125DC" w14:paraId="2E21C9F0" w14:textId="77777777">
            <w:pPr>
              <w:jc w:val="center"/>
              <w:rPr>
                <w:color w:val="000000"/>
                <w:szCs w:val="24"/>
              </w:rPr>
            </w:pPr>
            <w:r w:rsidRPr="00CC60CF">
              <w:rPr>
                <w:color w:val="000000"/>
                <w:szCs w:val="24"/>
              </w:rPr>
              <w:t>4.0</w:t>
            </w:r>
          </w:p>
        </w:tc>
        <w:tc>
          <w:tcPr>
            <w:tcW w:w="1320" w:type="dxa"/>
            <w:tcBorders>
              <w:top w:val="nil"/>
              <w:left w:val="nil"/>
              <w:bottom w:val="single" w:sz="4" w:space="0" w:color="auto"/>
              <w:right w:val="single" w:sz="4" w:space="0" w:color="auto"/>
            </w:tcBorders>
            <w:shd w:val="clear" w:color="auto" w:fill="auto"/>
            <w:noWrap/>
            <w:vAlign w:val="bottom"/>
            <w:hideMark/>
          </w:tcPr>
          <w:p w:rsidR="00E914F3" w:rsidRPr="00CC60CF" w:rsidP="004125DC" w14:paraId="614CC876" w14:textId="77777777">
            <w:pPr>
              <w:jc w:val="center"/>
              <w:rPr>
                <w:color w:val="000000"/>
                <w:szCs w:val="24"/>
              </w:rPr>
            </w:pPr>
            <w:r w:rsidRPr="00CC60CF">
              <w:rPr>
                <w:color w:val="000000"/>
                <w:szCs w:val="24"/>
              </w:rPr>
              <w:t>$678.72</w:t>
            </w:r>
          </w:p>
        </w:tc>
      </w:tr>
      <w:tr w14:paraId="5A30C2F9" w14:textId="77777777" w:rsidTr="00FA2899">
        <w:tblPrEx>
          <w:tblW w:w="7697" w:type="dxa"/>
          <w:tblInd w:w="607" w:type="dxa"/>
          <w:tblLook w:val="04A0"/>
        </w:tblPrEx>
        <w:trPr>
          <w:trHeight w:val="263"/>
        </w:trPr>
        <w:tc>
          <w:tcPr>
            <w:tcW w:w="3528" w:type="dxa"/>
            <w:tcBorders>
              <w:top w:val="nil"/>
              <w:left w:val="single" w:sz="4" w:space="0" w:color="auto"/>
              <w:bottom w:val="single" w:sz="4" w:space="0" w:color="auto"/>
              <w:right w:val="single" w:sz="4" w:space="0" w:color="auto"/>
            </w:tcBorders>
            <w:shd w:val="clear" w:color="auto" w:fill="auto"/>
            <w:vAlign w:val="bottom"/>
            <w:hideMark/>
          </w:tcPr>
          <w:p w:rsidR="00E914F3" w:rsidRPr="00CC60CF" w:rsidP="004125DC" w14:paraId="4F9BE529" w14:textId="77777777">
            <w:pPr>
              <w:rPr>
                <w:color w:val="000000"/>
                <w:szCs w:val="24"/>
              </w:rPr>
            </w:pPr>
            <w:r w:rsidRPr="00CC60CF">
              <w:rPr>
                <w:color w:val="000000"/>
                <w:szCs w:val="24"/>
              </w:rPr>
              <w:t>Administrator</w:t>
            </w:r>
          </w:p>
        </w:tc>
        <w:tc>
          <w:tcPr>
            <w:tcW w:w="1418" w:type="dxa"/>
            <w:tcBorders>
              <w:top w:val="nil"/>
              <w:left w:val="nil"/>
              <w:bottom w:val="single" w:sz="4" w:space="0" w:color="auto"/>
              <w:right w:val="single" w:sz="4" w:space="0" w:color="auto"/>
            </w:tcBorders>
            <w:shd w:val="clear" w:color="auto" w:fill="auto"/>
            <w:vAlign w:val="bottom"/>
            <w:hideMark/>
          </w:tcPr>
          <w:p w:rsidR="00E914F3" w:rsidRPr="00CC60CF" w:rsidP="004125DC" w14:paraId="2AB32D0A" w14:textId="77777777">
            <w:pPr>
              <w:jc w:val="center"/>
              <w:rPr>
                <w:color w:val="000000"/>
                <w:szCs w:val="24"/>
              </w:rPr>
            </w:pPr>
            <w:r w:rsidRPr="00CC60CF">
              <w:rPr>
                <w:color w:val="000000"/>
                <w:szCs w:val="24"/>
              </w:rPr>
              <w:t>$129.28</w:t>
            </w:r>
          </w:p>
        </w:tc>
        <w:tc>
          <w:tcPr>
            <w:tcW w:w="1431" w:type="dxa"/>
            <w:tcBorders>
              <w:top w:val="nil"/>
              <w:left w:val="nil"/>
              <w:bottom w:val="single" w:sz="4" w:space="0" w:color="auto"/>
              <w:right w:val="single" w:sz="4" w:space="0" w:color="auto"/>
            </w:tcBorders>
            <w:shd w:val="clear" w:color="auto" w:fill="auto"/>
            <w:vAlign w:val="bottom"/>
            <w:hideMark/>
          </w:tcPr>
          <w:p w:rsidR="00E914F3" w:rsidRPr="00CC60CF" w:rsidP="004125DC" w14:paraId="36D395A0" w14:textId="77777777">
            <w:pPr>
              <w:jc w:val="center"/>
              <w:rPr>
                <w:color w:val="000000"/>
                <w:szCs w:val="24"/>
              </w:rPr>
            </w:pPr>
            <w:r w:rsidRPr="00CC60CF">
              <w:rPr>
                <w:color w:val="000000"/>
                <w:szCs w:val="24"/>
              </w:rPr>
              <w:t>4.0</w:t>
            </w:r>
          </w:p>
        </w:tc>
        <w:tc>
          <w:tcPr>
            <w:tcW w:w="1320" w:type="dxa"/>
            <w:tcBorders>
              <w:top w:val="nil"/>
              <w:left w:val="nil"/>
              <w:bottom w:val="single" w:sz="4" w:space="0" w:color="auto"/>
              <w:right w:val="single" w:sz="4" w:space="0" w:color="auto"/>
            </w:tcBorders>
            <w:shd w:val="clear" w:color="auto" w:fill="auto"/>
            <w:noWrap/>
            <w:vAlign w:val="bottom"/>
            <w:hideMark/>
          </w:tcPr>
          <w:p w:rsidR="00E914F3" w:rsidRPr="00CC60CF" w:rsidP="004125DC" w14:paraId="6E1FEF6B" w14:textId="77777777">
            <w:pPr>
              <w:jc w:val="center"/>
              <w:rPr>
                <w:color w:val="000000"/>
                <w:szCs w:val="24"/>
              </w:rPr>
            </w:pPr>
            <w:r w:rsidRPr="00CC60CF">
              <w:rPr>
                <w:color w:val="000000"/>
                <w:szCs w:val="24"/>
              </w:rPr>
              <w:t>$517.12</w:t>
            </w:r>
          </w:p>
        </w:tc>
      </w:tr>
      <w:tr w14:paraId="6850F8CE" w14:textId="77777777" w:rsidTr="00FA2899">
        <w:tblPrEx>
          <w:tblW w:w="7697" w:type="dxa"/>
          <w:tblInd w:w="607" w:type="dxa"/>
          <w:tblLook w:val="04A0"/>
        </w:tblPrEx>
        <w:trPr>
          <w:trHeight w:val="263"/>
        </w:trPr>
        <w:tc>
          <w:tcPr>
            <w:tcW w:w="3528" w:type="dxa"/>
            <w:tcBorders>
              <w:top w:val="nil"/>
              <w:left w:val="single" w:sz="4" w:space="0" w:color="auto"/>
              <w:bottom w:val="single" w:sz="4" w:space="0" w:color="auto"/>
              <w:right w:val="single" w:sz="4" w:space="0" w:color="auto"/>
            </w:tcBorders>
            <w:shd w:val="clear" w:color="auto" w:fill="auto"/>
            <w:vAlign w:val="bottom"/>
            <w:hideMark/>
          </w:tcPr>
          <w:p w:rsidR="00E914F3" w:rsidRPr="00CC60CF" w:rsidP="004125DC" w14:paraId="1BB4A1E7" w14:textId="77777777">
            <w:pPr>
              <w:rPr>
                <w:color w:val="000000"/>
                <w:szCs w:val="24"/>
              </w:rPr>
            </w:pPr>
            <w:r w:rsidRPr="00CC60CF">
              <w:rPr>
                <w:color w:val="000000"/>
                <w:szCs w:val="24"/>
              </w:rPr>
              <w:t>Registered Nurse</w:t>
            </w:r>
          </w:p>
        </w:tc>
        <w:tc>
          <w:tcPr>
            <w:tcW w:w="1418" w:type="dxa"/>
            <w:tcBorders>
              <w:top w:val="nil"/>
              <w:left w:val="nil"/>
              <w:bottom w:val="single" w:sz="4" w:space="0" w:color="auto"/>
              <w:right w:val="single" w:sz="4" w:space="0" w:color="auto"/>
            </w:tcBorders>
            <w:shd w:val="clear" w:color="auto" w:fill="auto"/>
            <w:vAlign w:val="bottom"/>
            <w:hideMark/>
          </w:tcPr>
          <w:p w:rsidR="00E914F3" w:rsidRPr="00CC60CF" w:rsidP="004125DC" w14:paraId="7BB3CD6B" w14:textId="77777777">
            <w:pPr>
              <w:jc w:val="center"/>
              <w:rPr>
                <w:color w:val="000000"/>
                <w:szCs w:val="24"/>
              </w:rPr>
            </w:pPr>
            <w:r w:rsidRPr="00CC60CF">
              <w:rPr>
                <w:color w:val="000000"/>
                <w:szCs w:val="24"/>
              </w:rPr>
              <w:t>$90.84</w:t>
            </w:r>
          </w:p>
        </w:tc>
        <w:tc>
          <w:tcPr>
            <w:tcW w:w="1431" w:type="dxa"/>
            <w:tcBorders>
              <w:top w:val="nil"/>
              <w:left w:val="nil"/>
              <w:bottom w:val="single" w:sz="4" w:space="0" w:color="auto"/>
              <w:right w:val="single" w:sz="4" w:space="0" w:color="auto"/>
            </w:tcBorders>
            <w:shd w:val="clear" w:color="auto" w:fill="auto"/>
            <w:vAlign w:val="bottom"/>
            <w:hideMark/>
          </w:tcPr>
          <w:p w:rsidR="00E914F3" w:rsidRPr="00CC60CF" w:rsidP="004125DC" w14:paraId="3BDC6C0C" w14:textId="77777777">
            <w:pPr>
              <w:jc w:val="center"/>
              <w:rPr>
                <w:color w:val="000000"/>
                <w:szCs w:val="24"/>
              </w:rPr>
            </w:pPr>
            <w:r w:rsidRPr="00CC60CF">
              <w:rPr>
                <w:color w:val="000000"/>
                <w:szCs w:val="24"/>
              </w:rPr>
              <w:t>4.0</w:t>
            </w:r>
          </w:p>
        </w:tc>
        <w:tc>
          <w:tcPr>
            <w:tcW w:w="1320" w:type="dxa"/>
            <w:tcBorders>
              <w:top w:val="nil"/>
              <w:left w:val="nil"/>
              <w:bottom w:val="single" w:sz="4" w:space="0" w:color="auto"/>
              <w:right w:val="single" w:sz="4" w:space="0" w:color="auto"/>
            </w:tcBorders>
            <w:shd w:val="clear" w:color="auto" w:fill="auto"/>
            <w:noWrap/>
            <w:vAlign w:val="bottom"/>
            <w:hideMark/>
          </w:tcPr>
          <w:p w:rsidR="00E914F3" w:rsidRPr="00CC60CF" w:rsidP="004125DC" w14:paraId="1229CAAD" w14:textId="77777777">
            <w:pPr>
              <w:jc w:val="center"/>
              <w:rPr>
                <w:color w:val="000000"/>
                <w:szCs w:val="24"/>
              </w:rPr>
            </w:pPr>
            <w:r w:rsidRPr="00CC60CF">
              <w:rPr>
                <w:color w:val="000000"/>
                <w:szCs w:val="24"/>
              </w:rPr>
              <w:t>$363.36</w:t>
            </w:r>
          </w:p>
        </w:tc>
      </w:tr>
      <w:tr w14:paraId="2ABEDEBA" w14:textId="77777777" w:rsidTr="00FA2899">
        <w:tblPrEx>
          <w:tblW w:w="7697" w:type="dxa"/>
          <w:tblInd w:w="607" w:type="dxa"/>
          <w:tblLook w:val="04A0"/>
        </w:tblPrEx>
        <w:trPr>
          <w:trHeight w:val="263"/>
        </w:trPr>
        <w:tc>
          <w:tcPr>
            <w:tcW w:w="3528" w:type="dxa"/>
            <w:tcBorders>
              <w:top w:val="nil"/>
              <w:left w:val="single" w:sz="4" w:space="0" w:color="auto"/>
              <w:bottom w:val="single" w:sz="4" w:space="0" w:color="auto"/>
              <w:right w:val="single" w:sz="4" w:space="0" w:color="auto"/>
            </w:tcBorders>
            <w:shd w:val="clear" w:color="auto" w:fill="auto"/>
            <w:vAlign w:val="bottom"/>
            <w:hideMark/>
          </w:tcPr>
          <w:p w:rsidR="00E914F3" w:rsidRPr="00CC60CF" w:rsidP="004125DC" w14:paraId="0565EC41" w14:textId="77777777">
            <w:pPr>
              <w:rPr>
                <w:color w:val="000000"/>
                <w:szCs w:val="24"/>
              </w:rPr>
            </w:pPr>
            <w:r w:rsidRPr="00CC60CF">
              <w:rPr>
                <w:color w:val="000000"/>
                <w:szCs w:val="24"/>
              </w:rPr>
              <w:t>Medical Secretary</w:t>
            </w:r>
          </w:p>
        </w:tc>
        <w:tc>
          <w:tcPr>
            <w:tcW w:w="1418" w:type="dxa"/>
            <w:tcBorders>
              <w:top w:val="nil"/>
              <w:left w:val="nil"/>
              <w:bottom w:val="single" w:sz="4" w:space="0" w:color="auto"/>
              <w:right w:val="single" w:sz="4" w:space="0" w:color="auto"/>
            </w:tcBorders>
            <w:shd w:val="clear" w:color="auto" w:fill="auto"/>
            <w:vAlign w:val="bottom"/>
            <w:hideMark/>
          </w:tcPr>
          <w:p w:rsidR="00E914F3" w:rsidRPr="00CC60CF" w:rsidP="004125DC" w14:paraId="32251EEE" w14:textId="77777777">
            <w:pPr>
              <w:jc w:val="center"/>
              <w:rPr>
                <w:color w:val="000000"/>
                <w:szCs w:val="24"/>
              </w:rPr>
            </w:pPr>
            <w:r w:rsidRPr="00CC60CF">
              <w:rPr>
                <w:color w:val="000000"/>
                <w:szCs w:val="24"/>
              </w:rPr>
              <w:t>$41.70</w:t>
            </w:r>
          </w:p>
        </w:tc>
        <w:tc>
          <w:tcPr>
            <w:tcW w:w="1431" w:type="dxa"/>
            <w:tcBorders>
              <w:top w:val="nil"/>
              <w:left w:val="nil"/>
              <w:bottom w:val="single" w:sz="4" w:space="0" w:color="auto"/>
              <w:right w:val="single" w:sz="4" w:space="0" w:color="auto"/>
            </w:tcBorders>
            <w:shd w:val="clear" w:color="auto" w:fill="auto"/>
            <w:vAlign w:val="bottom"/>
            <w:hideMark/>
          </w:tcPr>
          <w:p w:rsidR="00E914F3" w:rsidRPr="00CC60CF" w:rsidP="004125DC" w14:paraId="55205578" w14:textId="77777777">
            <w:pPr>
              <w:jc w:val="center"/>
              <w:rPr>
                <w:color w:val="000000"/>
                <w:szCs w:val="24"/>
              </w:rPr>
            </w:pPr>
            <w:r w:rsidRPr="00CC60CF">
              <w:rPr>
                <w:color w:val="000000"/>
                <w:szCs w:val="24"/>
              </w:rPr>
              <w:t>4.0</w:t>
            </w:r>
          </w:p>
        </w:tc>
        <w:tc>
          <w:tcPr>
            <w:tcW w:w="1320" w:type="dxa"/>
            <w:tcBorders>
              <w:top w:val="nil"/>
              <w:left w:val="nil"/>
              <w:bottom w:val="single" w:sz="4" w:space="0" w:color="auto"/>
              <w:right w:val="single" w:sz="4" w:space="0" w:color="auto"/>
            </w:tcBorders>
            <w:shd w:val="clear" w:color="auto" w:fill="auto"/>
            <w:noWrap/>
            <w:vAlign w:val="bottom"/>
            <w:hideMark/>
          </w:tcPr>
          <w:p w:rsidR="00E914F3" w:rsidRPr="00CC60CF" w:rsidP="004125DC" w14:paraId="547BC199" w14:textId="77777777">
            <w:pPr>
              <w:jc w:val="center"/>
              <w:rPr>
                <w:color w:val="000000"/>
                <w:szCs w:val="24"/>
              </w:rPr>
            </w:pPr>
            <w:r w:rsidRPr="00CC60CF">
              <w:rPr>
                <w:color w:val="000000"/>
                <w:szCs w:val="24"/>
              </w:rPr>
              <w:t>$166.80</w:t>
            </w:r>
          </w:p>
        </w:tc>
      </w:tr>
      <w:tr w14:paraId="3D2749FE" w14:textId="77777777" w:rsidTr="00FA2899">
        <w:tblPrEx>
          <w:tblW w:w="7697" w:type="dxa"/>
          <w:tblInd w:w="607" w:type="dxa"/>
          <w:tblLook w:val="04A0"/>
        </w:tblPrEx>
        <w:trPr>
          <w:trHeight w:val="263"/>
        </w:trPr>
        <w:tc>
          <w:tcPr>
            <w:tcW w:w="3528" w:type="dxa"/>
            <w:tcBorders>
              <w:top w:val="nil"/>
              <w:left w:val="single" w:sz="4" w:space="0" w:color="auto"/>
              <w:bottom w:val="single" w:sz="4" w:space="0" w:color="auto"/>
              <w:right w:val="single" w:sz="4" w:space="0" w:color="auto"/>
            </w:tcBorders>
            <w:shd w:val="clear" w:color="000000" w:fill="F2F2F2"/>
            <w:vAlign w:val="bottom"/>
            <w:hideMark/>
          </w:tcPr>
          <w:p w:rsidR="00E914F3" w:rsidRPr="00CC60CF" w:rsidP="004125DC" w14:paraId="77735EBB" w14:textId="77777777">
            <w:pPr>
              <w:jc w:val="right"/>
              <w:rPr>
                <w:color w:val="000000"/>
                <w:szCs w:val="24"/>
              </w:rPr>
            </w:pPr>
            <w:r w:rsidRPr="00CC60CF">
              <w:rPr>
                <w:color w:val="000000"/>
                <w:szCs w:val="24"/>
              </w:rPr>
              <w:t>Total Task/Facility</w:t>
            </w:r>
          </w:p>
        </w:tc>
        <w:tc>
          <w:tcPr>
            <w:tcW w:w="1418" w:type="dxa"/>
            <w:tcBorders>
              <w:top w:val="nil"/>
              <w:left w:val="nil"/>
              <w:bottom w:val="single" w:sz="4" w:space="0" w:color="auto"/>
              <w:right w:val="single" w:sz="4" w:space="0" w:color="auto"/>
            </w:tcBorders>
            <w:shd w:val="clear" w:color="000000" w:fill="F2F2F2"/>
            <w:vAlign w:val="bottom"/>
            <w:hideMark/>
          </w:tcPr>
          <w:p w:rsidR="00E914F3" w:rsidRPr="00CC60CF" w:rsidP="004125DC" w14:paraId="200631FC" w14:textId="77777777">
            <w:pPr>
              <w:jc w:val="center"/>
              <w:rPr>
                <w:color w:val="000000"/>
                <w:szCs w:val="24"/>
              </w:rPr>
            </w:pPr>
            <w:r w:rsidRPr="00CC60CF">
              <w:rPr>
                <w:color w:val="000000"/>
                <w:szCs w:val="24"/>
              </w:rPr>
              <w:t> </w:t>
            </w:r>
          </w:p>
        </w:tc>
        <w:tc>
          <w:tcPr>
            <w:tcW w:w="1431" w:type="dxa"/>
            <w:tcBorders>
              <w:top w:val="nil"/>
              <w:left w:val="nil"/>
              <w:bottom w:val="single" w:sz="4" w:space="0" w:color="auto"/>
              <w:right w:val="single" w:sz="4" w:space="0" w:color="auto"/>
            </w:tcBorders>
            <w:shd w:val="clear" w:color="000000" w:fill="F2F2F2"/>
            <w:vAlign w:val="bottom"/>
            <w:hideMark/>
          </w:tcPr>
          <w:p w:rsidR="00E914F3" w:rsidRPr="00CC60CF" w:rsidP="004125DC" w14:paraId="28B84260" w14:textId="77777777">
            <w:pPr>
              <w:jc w:val="center"/>
              <w:rPr>
                <w:color w:val="000000"/>
                <w:szCs w:val="24"/>
              </w:rPr>
            </w:pPr>
            <w:r w:rsidRPr="00CC60CF">
              <w:rPr>
                <w:color w:val="000000"/>
                <w:szCs w:val="24"/>
              </w:rPr>
              <w:t>20.0</w:t>
            </w:r>
          </w:p>
        </w:tc>
        <w:tc>
          <w:tcPr>
            <w:tcW w:w="1320" w:type="dxa"/>
            <w:tcBorders>
              <w:top w:val="nil"/>
              <w:left w:val="nil"/>
              <w:bottom w:val="single" w:sz="4" w:space="0" w:color="auto"/>
              <w:right w:val="single" w:sz="4" w:space="0" w:color="auto"/>
            </w:tcBorders>
            <w:shd w:val="clear" w:color="000000" w:fill="F2F2F2"/>
            <w:vAlign w:val="bottom"/>
            <w:hideMark/>
          </w:tcPr>
          <w:p w:rsidR="00E914F3" w:rsidRPr="00CC60CF" w:rsidP="004125DC" w14:paraId="3FD72EB2" w14:textId="77777777">
            <w:pPr>
              <w:jc w:val="center"/>
              <w:rPr>
                <w:color w:val="000000"/>
                <w:szCs w:val="24"/>
              </w:rPr>
            </w:pPr>
            <w:r w:rsidRPr="00CC60CF">
              <w:rPr>
                <w:color w:val="000000"/>
                <w:szCs w:val="24"/>
              </w:rPr>
              <w:t>$2,740.80</w:t>
            </w:r>
          </w:p>
        </w:tc>
      </w:tr>
      <w:tr w14:paraId="6B31969E" w14:textId="77777777" w:rsidTr="00FA2899">
        <w:tblPrEx>
          <w:tblW w:w="7697" w:type="dxa"/>
          <w:tblInd w:w="607" w:type="dxa"/>
          <w:tblLook w:val="04A0"/>
        </w:tblPrEx>
        <w:trPr>
          <w:trHeight w:val="263"/>
        </w:trPr>
        <w:tc>
          <w:tcPr>
            <w:tcW w:w="637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914F3" w:rsidRPr="00CC60CF" w:rsidP="004125DC" w14:paraId="274E5B42" w14:textId="77777777">
            <w:pPr>
              <w:jc w:val="right"/>
              <w:rPr>
                <w:color w:val="000000"/>
                <w:szCs w:val="24"/>
              </w:rPr>
            </w:pPr>
            <w:r w:rsidRPr="00CC60CF">
              <w:rPr>
                <w:color w:val="000000"/>
                <w:szCs w:val="24"/>
              </w:rPr>
              <w:t>Aggregate Staff Cost/Task</w:t>
            </w:r>
          </w:p>
        </w:tc>
        <w:tc>
          <w:tcPr>
            <w:tcW w:w="1320" w:type="dxa"/>
            <w:tcBorders>
              <w:top w:val="nil"/>
              <w:left w:val="nil"/>
              <w:bottom w:val="single" w:sz="4" w:space="0" w:color="auto"/>
              <w:right w:val="single" w:sz="4" w:space="0" w:color="auto"/>
            </w:tcBorders>
            <w:shd w:val="clear" w:color="000000" w:fill="F2F2F2"/>
            <w:vAlign w:val="bottom"/>
            <w:hideMark/>
          </w:tcPr>
          <w:p w:rsidR="00E914F3" w:rsidRPr="00CC60CF" w:rsidP="004125DC" w14:paraId="040FBF7B" w14:textId="77777777">
            <w:pPr>
              <w:jc w:val="center"/>
              <w:rPr>
                <w:b/>
                <w:bCs/>
                <w:color w:val="000000"/>
                <w:szCs w:val="24"/>
              </w:rPr>
            </w:pPr>
            <w:r w:rsidRPr="00CC60CF">
              <w:rPr>
                <w:b/>
                <w:bCs/>
                <w:color w:val="000000"/>
                <w:szCs w:val="24"/>
              </w:rPr>
              <w:t>$137.04</w:t>
            </w:r>
          </w:p>
        </w:tc>
      </w:tr>
      <w:tr w14:paraId="4B3B8D5D" w14:textId="77777777" w:rsidTr="00FA2899">
        <w:tblPrEx>
          <w:tblW w:w="7697" w:type="dxa"/>
          <w:tblInd w:w="607" w:type="dxa"/>
          <w:tblLook w:val="04A0"/>
        </w:tblPrEx>
        <w:trPr>
          <w:trHeight w:val="263"/>
        </w:trPr>
        <w:tc>
          <w:tcPr>
            <w:tcW w:w="3528" w:type="dxa"/>
            <w:tcBorders>
              <w:top w:val="nil"/>
              <w:left w:val="single" w:sz="4" w:space="0" w:color="auto"/>
              <w:bottom w:val="single" w:sz="4" w:space="0" w:color="auto"/>
              <w:right w:val="single" w:sz="4" w:space="0" w:color="auto"/>
            </w:tcBorders>
            <w:shd w:val="clear" w:color="auto" w:fill="auto"/>
            <w:vAlign w:val="bottom"/>
            <w:hideMark/>
          </w:tcPr>
          <w:p w:rsidR="00E914F3" w:rsidRPr="00CC60CF" w:rsidP="004125DC" w14:paraId="686C096E" w14:textId="77777777">
            <w:pPr>
              <w:rPr>
                <w:color w:val="000000"/>
                <w:szCs w:val="24"/>
              </w:rPr>
            </w:pPr>
            <w:r w:rsidRPr="00CC60CF">
              <w:rPr>
                <w:color w:val="000000"/>
                <w:szCs w:val="24"/>
              </w:rPr>
              <w:t># Facilities Impacted</w:t>
            </w:r>
          </w:p>
        </w:tc>
        <w:tc>
          <w:tcPr>
            <w:tcW w:w="1418" w:type="dxa"/>
            <w:tcBorders>
              <w:top w:val="nil"/>
              <w:left w:val="nil"/>
              <w:bottom w:val="single" w:sz="4" w:space="0" w:color="auto"/>
              <w:right w:val="single" w:sz="4" w:space="0" w:color="auto"/>
            </w:tcBorders>
            <w:shd w:val="clear" w:color="auto" w:fill="auto"/>
            <w:vAlign w:val="bottom"/>
            <w:hideMark/>
          </w:tcPr>
          <w:p w:rsidR="00E914F3" w:rsidRPr="00CC60CF" w:rsidP="004125DC" w14:paraId="13B2BFAB" w14:textId="6873D965">
            <w:pPr>
              <w:jc w:val="center"/>
              <w:rPr>
                <w:szCs w:val="24"/>
              </w:rPr>
            </w:pPr>
            <w:r>
              <w:rPr>
                <w:szCs w:val="24"/>
              </w:rPr>
              <w:t>1,383</w:t>
            </w:r>
          </w:p>
        </w:tc>
        <w:tc>
          <w:tcPr>
            <w:tcW w:w="1431" w:type="dxa"/>
            <w:tcBorders>
              <w:top w:val="nil"/>
              <w:left w:val="nil"/>
              <w:bottom w:val="single" w:sz="4" w:space="0" w:color="auto"/>
              <w:right w:val="single" w:sz="4" w:space="0" w:color="auto"/>
            </w:tcBorders>
            <w:shd w:val="clear" w:color="auto" w:fill="auto"/>
            <w:vAlign w:val="bottom"/>
            <w:hideMark/>
          </w:tcPr>
          <w:p w:rsidR="00E914F3" w:rsidRPr="00CC60CF" w:rsidP="004125DC" w14:paraId="4B6FBC84" w14:textId="77777777">
            <w:pPr>
              <w:jc w:val="center"/>
              <w:rPr>
                <w:color w:val="000000"/>
                <w:szCs w:val="24"/>
              </w:rPr>
            </w:pPr>
            <w:r w:rsidRPr="00CC60CF">
              <w:rPr>
                <w:color w:val="000000"/>
                <w:szCs w:val="24"/>
              </w:rPr>
              <w:t> </w:t>
            </w:r>
          </w:p>
        </w:tc>
        <w:tc>
          <w:tcPr>
            <w:tcW w:w="1320" w:type="dxa"/>
            <w:tcBorders>
              <w:top w:val="nil"/>
              <w:left w:val="nil"/>
              <w:bottom w:val="single" w:sz="4" w:space="0" w:color="auto"/>
              <w:right w:val="single" w:sz="4" w:space="0" w:color="auto"/>
            </w:tcBorders>
            <w:shd w:val="clear" w:color="auto" w:fill="auto"/>
            <w:vAlign w:val="bottom"/>
            <w:hideMark/>
          </w:tcPr>
          <w:p w:rsidR="00E914F3" w:rsidRPr="00CC60CF" w:rsidP="004125DC" w14:paraId="189FF30A" w14:textId="77777777">
            <w:pPr>
              <w:jc w:val="center"/>
              <w:rPr>
                <w:color w:val="000000"/>
                <w:szCs w:val="24"/>
              </w:rPr>
            </w:pPr>
            <w:r w:rsidRPr="00CC60CF">
              <w:rPr>
                <w:color w:val="000000"/>
                <w:szCs w:val="24"/>
              </w:rPr>
              <w:t> </w:t>
            </w:r>
          </w:p>
        </w:tc>
      </w:tr>
      <w:tr w14:paraId="7AC9BBE1" w14:textId="77777777" w:rsidTr="00FA2899">
        <w:tblPrEx>
          <w:tblW w:w="7697" w:type="dxa"/>
          <w:tblInd w:w="607" w:type="dxa"/>
          <w:tblLook w:val="04A0"/>
        </w:tblPrEx>
        <w:trPr>
          <w:trHeight w:val="263"/>
        </w:trPr>
        <w:tc>
          <w:tcPr>
            <w:tcW w:w="3528" w:type="dxa"/>
            <w:tcBorders>
              <w:top w:val="nil"/>
              <w:left w:val="single" w:sz="4" w:space="0" w:color="auto"/>
              <w:bottom w:val="single" w:sz="4" w:space="0" w:color="auto"/>
              <w:right w:val="single" w:sz="4" w:space="0" w:color="auto"/>
            </w:tcBorders>
            <w:shd w:val="clear" w:color="000000" w:fill="D9D9D9"/>
            <w:vAlign w:val="bottom"/>
            <w:hideMark/>
          </w:tcPr>
          <w:p w:rsidR="00E914F3" w:rsidRPr="00CC60CF" w:rsidP="004125DC" w14:paraId="46AB149B" w14:textId="77777777">
            <w:pPr>
              <w:jc w:val="right"/>
              <w:rPr>
                <w:b/>
                <w:bCs/>
                <w:color w:val="000000"/>
                <w:szCs w:val="24"/>
              </w:rPr>
            </w:pPr>
            <w:r w:rsidRPr="00CC60CF">
              <w:rPr>
                <w:b/>
                <w:bCs/>
                <w:color w:val="000000"/>
                <w:szCs w:val="24"/>
              </w:rPr>
              <w:t xml:space="preserve">Total Annual Burden/Costs </w:t>
            </w:r>
          </w:p>
        </w:tc>
        <w:tc>
          <w:tcPr>
            <w:tcW w:w="1418" w:type="dxa"/>
            <w:tcBorders>
              <w:top w:val="nil"/>
              <w:left w:val="nil"/>
              <w:bottom w:val="single" w:sz="4" w:space="0" w:color="auto"/>
              <w:right w:val="single" w:sz="4" w:space="0" w:color="auto"/>
            </w:tcBorders>
            <w:shd w:val="clear" w:color="000000" w:fill="D9D9D9"/>
            <w:vAlign w:val="bottom"/>
            <w:hideMark/>
          </w:tcPr>
          <w:p w:rsidR="00E914F3" w:rsidRPr="00CC60CF" w:rsidP="004125DC" w14:paraId="2C4266C3" w14:textId="77777777">
            <w:pPr>
              <w:jc w:val="center"/>
              <w:rPr>
                <w:b/>
                <w:bCs/>
                <w:color w:val="000000"/>
                <w:szCs w:val="24"/>
              </w:rPr>
            </w:pPr>
            <w:r w:rsidRPr="00CC60CF">
              <w:rPr>
                <w:b/>
                <w:bCs/>
                <w:color w:val="000000"/>
                <w:szCs w:val="24"/>
              </w:rPr>
              <w:t> </w:t>
            </w:r>
          </w:p>
        </w:tc>
        <w:tc>
          <w:tcPr>
            <w:tcW w:w="1431" w:type="dxa"/>
            <w:tcBorders>
              <w:top w:val="nil"/>
              <w:left w:val="nil"/>
              <w:bottom w:val="single" w:sz="4" w:space="0" w:color="auto"/>
              <w:right w:val="single" w:sz="4" w:space="0" w:color="auto"/>
            </w:tcBorders>
            <w:shd w:val="clear" w:color="000000" w:fill="D9D9D9"/>
            <w:noWrap/>
            <w:vAlign w:val="bottom"/>
            <w:hideMark/>
          </w:tcPr>
          <w:p w:rsidR="00E914F3" w:rsidRPr="00CC60CF" w:rsidP="004125DC" w14:paraId="0A6D0243" w14:textId="365F6208">
            <w:pPr>
              <w:jc w:val="center"/>
              <w:rPr>
                <w:b/>
                <w:bCs/>
                <w:color w:val="000000"/>
                <w:szCs w:val="24"/>
              </w:rPr>
            </w:pPr>
            <w:r>
              <w:rPr>
                <w:b/>
                <w:bCs/>
                <w:color w:val="000000"/>
                <w:szCs w:val="24"/>
              </w:rPr>
              <w:t>27,660</w:t>
            </w:r>
          </w:p>
        </w:tc>
        <w:tc>
          <w:tcPr>
            <w:tcW w:w="1320" w:type="dxa"/>
            <w:tcBorders>
              <w:top w:val="nil"/>
              <w:left w:val="nil"/>
              <w:bottom w:val="single" w:sz="4" w:space="0" w:color="auto"/>
              <w:right w:val="single" w:sz="4" w:space="0" w:color="auto"/>
            </w:tcBorders>
            <w:shd w:val="clear" w:color="000000" w:fill="D9D9D9"/>
            <w:vAlign w:val="bottom"/>
            <w:hideMark/>
          </w:tcPr>
          <w:p w:rsidR="00E914F3" w:rsidRPr="00CC60CF" w:rsidP="004125DC" w14:paraId="12FC7964" w14:textId="1DCD2DDF">
            <w:pPr>
              <w:jc w:val="center"/>
              <w:rPr>
                <w:b/>
                <w:bCs/>
                <w:color w:val="000000"/>
                <w:szCs w:val="24"/>
              </w:rPr>
            </w:pPr>
            <w:r w:rsidRPr="00CC60CF">
              <w:rPr>
                <w:b/>
                <w:bCs/>
                <w:color w:val="000000"/>
                <w:szCs w:val="24"/>
              </w:rPr>
              <w:t>$3,</w:t>
            </w:r>
            <w:r w:rsidR="004E3A3D">
              <w:rPr>
                <w:b/>
                <w:bCs/>
                <w:color w:val="000000"/>
                <w:szCs w:val="24"/>
              </w:rPr>
              <w:t>790,526</w:t>
            </w:r>
          </w:p>
        </w:tc>
      </w:tr>
    </w:tbl>
    <w:p w:rsidR="00E914F3" w:rsidRPr="00CC60CF" w:rsidP="00E914F3" w14:paraId="28399CAD" w14:textId="77777777">
      <w:pPr>
        <w:rPr>
          <w:b/>
          <w:i/>
          <w:szCs w:val="24"/>
          <w:highlight w:val="yellow"/>
          <w:u w:val="single"/>
        </w:rPr>
      </w:pPr>
    </w:p>
    <w:p w:rsidR="00E60DDE" w14:paraId="64DE962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E744E5" w:rsidP="00E60DDE" w14:paraId="322A1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b/>
          <w:i/>
          <w:szCs w:val="24"/>
          <w:u w:val="single"/>
        </w:rPr>
      </w:pPr>
    </w:p>
    <w:p w:rsidR="00E60DDE" w:rsidRPr="00FA2899" w:rsidP="00E60DDE" w14:paraId="1066E23C" w14:textId="608A3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b/>
          <w:i/>
          <w:szCs w:val="24"/>
          <w:u w:val="single"/>
        </w:rPr>
      </w:pPr>
      <w:r w:rsidRPr="00FA2899">
        <w:rPr>
          <w:b/>
          <w:i/>
          <w:szCs w:val="24"/>
          <w:u w:val="single"/>
        </w:rPr>
        <w:t>N</w:t>
      </w:r>
      <w:r w:rsidR="00B52C02">
        <w:rPr>
          <w:b/>
          <w:i/>
          <w:szCs w:val="24"/>
          <w:u w:val="single"/>
        </w:rPr>
        <w:t>ew</w:t>
      </w:r>
      <w:r w:rsidRPr="00FA2899">
        <w:rPr>
          <w:b/>
          <w:i/>
          <w:szCs w:val="24"/>
          <w:u w:val="single"/>
        </w:rPr>
        <w:t xml:space="preserve"> CoPs: Condition of participation: QAPI for Hospitals with Obstetrical Services - Sections 485.641(d)(4) and (e)</w:t>
      </w:r>
    </w:p>
    <w:p w:rsidR="00E60DDE" w:rsidRPr="00FA2899" w:rsidP="00E60DDE" w14:paraId="5601DC35" w14:textId="3056C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rPr>
          <w:szCs w:val="24"/>
        </w:rPr>
      </w:pPr>
      <w:r>
        <w:rPr>
          <w:szCs w:val="24"/>
        </w:rPr>
        <w:t>Under</w:t>
      </w:r>
      <w:r w:rsidRPr="00FA2899">
        <w:rPr>
          <w:szCs w:val="24"/>
        </w:rPr>
        <w:t xml:space="preserve"> </w:t>
      </w:r>
      <w:r>
        <w:rPr>
          <w:szCs w:val="24"/>
        </w:rPr>
        <w:t>the new CoP in</w:t>
      </w:r>
      <w:r>
        <w:rPr>
          <w:bCs/>
          <w:iCs/>
          <w:szCs w:val="24"/>
        </w:rPr>
        <w:t xml:space="preserve"> </w:t>
      </w:r>
      <w:hyperlink r:id="rId9" w:history="1">
        <w:r w:rsidRPr="008A0ED4">
          <w:rPr>
            <w:rStyle w:val="Hyperlink"/>
            <w:szCs w:val="24"/>
          </w:rPr>
          <w:t>July 2024 Proposed Rule</w:t>
        </w:r>
      </w:hyperlink>
      <w:r>
        <w:rPr>
          <w:szCs w:val="24"/>
        </w:rPr>
        <w:t xml:space="preserve"> at Section 485.641(d)(4), C</w:t>
      </w:r>
      <w:r w:rsidRPr="00FA2899" w:rsidR="00D32F4B">
        <w:rPr>
          <w:szCs w:val="24"/>
        </w:rPr>
        <w:t>AHs</w:t>
      </w:r>
      <w:r w:rsidRPr="00FA2899">
        <w:rPr>
          <w:szCs w:val="24"/>
        </w:rPr>
        <w:t xml:space="preserve"> that provide obstetrical services (hereinafter “OB services”) must collect and analyze data to help improve maternal child health outcomes. Specifically, </w:t>
      </w:r>
      <w:r w:rsidRPr="00FA2899" w:rsidR="00D32F4B">
        <w:rPr>
          <w:szCs w:val="24"/>
        </w:rPr>
        <w:t xml:space="preserve">CAHs </w:t>
      </w:r>
      <w:r w:rsidRPr="00FA2899">
        <w:rPr>
          <w:szCs w:val="24"/>
        </w:rPr>
        <w:t>must:</w:t>
      </w:r>
    </w:p>
    <w:p w:rsidR="00E60DDE" w:rsidRPr="00FA2899" w:rsidP="00E60DDE" w14:paraId="2069B0E0" w14:textId="77777777">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r w:rsidRPr="00FA2899">
        <w:t>“Analyze data and quality indicators collected for the QAPI program by diverse subpopulations as identified by the hospital among obstetrical patients.”</w:t>
      </w:r>
    </w:p>
    <w:p w:rsidR="00E60DDE" w:rsidRPr="00FA2899" w:rsidP="00E60DDE" w14:paraId="11B35021" w14:textId="77777777">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r w:rsidRPr="00FA2899">
        <w:t>“Measure, analyze, and track data, measures, and quality indicators on patient outcomes and disparities in processes of care, services and operations among obstetrical patients.”</w:t>
      </w:r>
    </w:p>
    <w:p w:rsidR="00E60DDE" w:rsidRPr="00FA2899" w:rsidP="00E60DDE" w14:paraId="2715B1CB" w14:textId="77777777">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r w:rsidRPr="00FA2899">
        <w:t>“Analyze and prioritize patient health outcomes and disparities, develop and implement actions to improve patient health outcomes and disparities, measure results, and track performance to ensure improvements are sustained among obstetrical patients.”</w:t>
      </w:r>
    </w:p>
    <w:p w:rsidR="00E60DDE" w:rsidP="00E60DDE" w14:paraId="06528E3E" w14:textId="77777777">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Chars="0" w:firstLineChars="0"/>
      </w:pPr>
      <w:r w:rsidRPr="00FA2899">
        <w:t>Conduct at least one measurable performance improvement project focused on improving health outcomes and disparities among the hospital’s population(s) of obstetrical patients annually.</w:t>
      </w:r>
    </w:p>
    <w:p w:rsidR="00E60DDE" w:rsidP="00E60DDE" w14:paraId="12A71CC6" w14:textId="77777777">
      <w:pPr>
        <w:ind w:hanging="2"/>
        <w:rPr>
          <w:b/>
          <w:iCs/>
          <w:szCs w:val="24"/>
          <w:u w:val="single"/>
        </w:rPr>
      </w:pPr>
    </w:p>
    <w:p w:rsidR="00DF2D09" w:rsidRPr="00FA2899" w:rsidP="00E60DDE" w14:paraId="093FB96B" w14:textId="77777777">
      <w:pPr>
        <w:ind w:hanging="2"/>
        <w:rPr>
          <w:b/>
          <w:iCs/>
          <w:szCs w:val="24"/>
          <w:u w:val="single"/>
        </w:rPr>
      </w:pPr>
    </w:p>
    <w:p w:rsidR="00E60DDE" w:rsidRPr="00FA2899" w:rsidP="00E60DDE" w14:paraId="2965502C" w14:textId="32949D88">
      <w:pPr>
        <w:ind w:hanging="2"/>
        <w:rPr>
          <w:b/>
          <w:i/>
          <w:szCs w:val="24"/>
          <w:u w:val="single"/>
        </w:rPr>
      </w:pPr>
      <w:r w:rsidRPr="00A1105D">
        <w:rPr>
          <w:b/>
          <w:iCs/>
          <w:szCs w:val="24"/>
          <w:u w:val="single"/>
        </w:rPr>
        <w:t>IC</w:t>
      </w:r>
      <w:r w:rsidRPr="00A1105D" w:rsidR="00697484">
        <w:rPr>
          <w:b/>
          <w:iCs/>
          <w:szCs w:val="24"/>
          <w:u w:val="single"/>
        </w:rPr>
        <w:t>-6</w:t>
      </w:r>
      <w:r w:rsidR="00A1105D">
        <w:rPr>
          <w:b/>
          <w:iCs/>
          <w:szCs w:val="24"/>
          <w:u w:val="single"/>
        </w:rPr>
        <w:t>:</w:t>
      </w:r>
      <w:r w:rsidRPr="00FA2899">
        <w:rPr>
          <w:b/>
          <w:i/>
          <w:szCs w:val="24"/>
          <w:u w:val="single"/>
        </w:rPr>
        <w:t xml:space="preserve"> </w:t>
      </w:r>
      <w:r w:rsidR="00B52C02">
        <w:rPr>
          <w:b/>
          <w:i/>
          <w:szCs w:val="24"/>
          <w:u w:val="single"/>
        </w:rPr>
        <w:t xml:space="preserve">New </w:t>
      </w:r>
      <w:r w:rsidR="00A1105D">
        <w:rPr>
          <w:b/>
          <w:i/>
          <w:szCs w:val="24"/>
          <w:u w:val="single"/>
        </w:rPr>
        <w:t xml:space="preserve">CoP: </w:t>
      </w:r>
      <w:r w:rsidRPr="00FA2899">
        <w:rPr>
          <w:b/>
          <w:i/>
          <w:szCs w:val="24"/>
          <w:u w:val="single"/>
        </w:rPr>
        <w:t xml:space="preserve">One-time IT update for OB Services Data Collection – Section 485.641(d)(4)   </w:t>
      </w:r>
    </w:p>
    <w:p w:rsidR="00E60DDE" w:rsidP="00E60DDE" w14:paraId="2EC1747D" w14:textId="582ED550">
      <w:pPr>
        <w:ind w:hanging="2"/>
        <w:rPr>
          <w:bCs/>
          <w:iCs/>
          <w:szCs w:val="24"/>
        </w:rPr>
      </w:pPr>
      <w:r w:rsidRPr="00FA2899">
        <w:rPr>
          <w:bCs/>
          <w:iCs/>
          <w:szCs w:val="24"/>
        </w:rPr>
        <w:t xml:space="preserve">To comply with the new CoP, </w:t>
      </w:r>
      <w:r w:rsidR="00EA30A7">
        <w:rPr>
          <w:bCs/>
          <w:iCs/>
          <w:szCs w:val="24"/>
        </w:rPr>
        <w:t xml:space="preserve">the 513 </w:t>
      </w:r>
      <w:r w:rsidRPr="00FA2899">
        <w:rPr>
          <w:bCs/>
          <w:iCs/>
          <w:szCs w:val="24"/>
        </w:rPr>
        <w:t xml:space="preserve">CAHs </w:t>
      </w:r>
      <w:r w:rsidR="00A1105D">
        <w:rPr>
          <w:bCs/>
          <w:iCs/>
          <w:szCs w:val="24"/>
        </w:rPr>
        <w:t xml:space="preserve">that provide OB services </w:t>
      </w:r>
      <w:r w:rsidRPr="00FA2899">
        <w:rPr>
          <w:bCs/>
          <w:iCs/>
          <w:szCs w:val="24"/>
        </w:rPr>
        <w:t xml:space="preserve">would need to update their IT systems in Year 1 to capture the data required and ensure the system continues to accurately capture the correct data on an ongoing basis. </w:t>
      </w:r>
      <w:r w:rsidR="00A1105D">
        <w:rPr>
          <w:bCs/>
          <w:iCs/>
          <w:szCs w:val="24"/>
        </w:rPr>
        <w:t>Based on the assumptions in the</w:t>
      </w:r>
      <w:r w:rsidR="00417D79">
        <w:rPr>
          <w:bCs/>
          <w:iCs/>
          <w:szCs w:val="24"/>
        </w:rPr>
        <w:t xml:space="preserve"> </w:t>
      </w:r>
      <w:hyperlink r:id="rId9" w:history="1">
        <w:r w:rsidRPr="008A0ED4" w:rsidR="00417D79">
          <w:rPr>
            <w:rStyle w:val="Hyperlink"/>
            <w:szCs w:val="24"/>
          </w:rPr>
          <w:t>July 2024 Proposed Rule</w:t>
        </w:r>
      </w:hyperlink>
      <w:r w:rsidR="00417D79">
        <w:rPr>
          <w:bCs/>
          <w:iCs/>
          <w:szCs w:val="24"/>
        </w:rPr>
        <w:t xml:space="preserve">, </w:t>
      </w:r>
      <w:r w:rsidR="00A1105D">
        <w:rPr>
          <w:bCs/>
          <w:iCs/>
          <w:szCs w:val="24"/>
        </w:rPr>
        <w:t>w</w:t>
      </w:r>
      <w:r w:rsidRPr="00FA2899">
        <w:rPr>
          <w:bCs/>
          <w:iCs/>
          <w:szCs w:val="24"/>
        </w:rPr>
        <w:t xml:space="preserve">e estimate an IT staff member (BLS Occupation Code 15-0000 for all Computer and Mathematical Occupations) who earns a </w:t>
      </w:r>
      <w:r w:rsidRPr="00417D79">
        <w:rPr>
          <w:bCs/>
          <w:iCs/>
          <w:szCs w:val="24"/>
        </w:rPr>
        <w:t>loaded</w:t>
      </w:r>
      <w:r w:rsidR="00EA30A7">
        <w:rPr>
          <w:bCs/>
          <w:iCs/>
          <w:szCs w:val="24"/>
        </w:rPr>
        <w:t xml:space="preserve"> mean</w:t>
      </w:r>
      <w:r w:rsidRPr="00417D79">
        <w:rPr>
          <w:bCs/>
          <w:iCs/>
          <w:szCs w:val="24"/>
        </w:rPr>
        <w:t xml:space="preserve"> w</w:t>
      </w:r>
      <w:r w:rsidRPr="00FA2899">
        <w:rPr>
          <w:bCs/>
          <w:iCs/>
          <w:szCs w:val="24"/>
        </w:rPr>
        <w:t xml:space="preserve">age of $108.78 per hour would need 8 hours in the first year and 4 hours per year on an ongoing basis to complete this task. </w:t>
      </w:r>
    </w:p>
    <w:p w:rsidR="00E744E5" w:rsidP="00E60DDE" w14:paraId="74C5F42A" w14:textId="77777777">
      <w:pPr>
        <w:ind w:hanging="2"/>
        <w:rPr>
          <w:bCs/>
          <w:iCs/>
          <w:szCs w:val="24"/>
        </w:rPr>
      </w:pPr>
    </w:p>
    <w:p w:rsidR="00E744E5" w:rsidP="00E60DDE" w14:paraId="2C0D537C" w14:textId="77777777">
      <w:pPr>
        <w:ind w:hanging="2"/>
        <w:rPr>
          <w:bCs/>
          <w:iCs/>
          <w:szCs w:val="24"/>
        </w:rPr>
      </w:pPr>
    </w:p>
    <w:p w:rsidR="006D041A" w:rsidP="00E60DDE" w14:paraId="3EC63D14" w14:textId="77777777">
      <w:pPr>
        <w:ind w:hanging="2"/>
        <w:rPr>
          <w:bCs/>
          <w:iCs/>
          <w:szCs w:val="24"/>
        </w:rPr>
      </w:pPr>
    </w:p>
    <w:p w:rsidR="00A1105D" w:rsidP="00E60DDE" w14:paraId="1FFFC30B" w14:textId="77777777">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jc w:val="center"/>
        <w:rPr>
          <w:b/>
          <w:bCs/>
          <w:sz w:val="28"/>
          <w:szCs w:val="28"/>
        </w:rPr>
      </w:pPr>
      <w:r w:rsidRPr="00FA2899">
        <w:rPr>
          <w:b/>
          <w:bCs/>
          <w:sz w:val="28"/>
          <w:szCs w:val="28"/>
        </w:rPr>
        <w:t xml:space="preserve">Table </w:t>
      </w:r>
      <w:r w:rsidR="00FA2899">
        <w:rPr>
          <w:b/>
          <w:bCs/>
          <w:sz w:val="28"/>
          <w:szCs w:val="28"/>
        </w:rPr>
        <w:t>8</w:t>
      </w:r>
      <w:r w:rsidRPr="00FA2899">
        <w:rPr>
          <w:b/>
          <w:bCs/>
          <w:sz w:val="28"/>
          <w:szCs w:val="28"/>
        </w:rPr>
        <w:t>: IC-</w:t>
      </w:r>
      <w:r w:rsidR="00FA2899">
        <w:rPr>
          <w:b/>
          <w:bCs/>
          <w:sz w:val="28"/>
          <w:szCs w:val="28"/>
        </w:rPr>
        <w:t>6</w:t>
      </w:r>
      <w:r w:rsidRPr="00FA2899">
        <w:rPr>
          <w:b/>
          <w:bCs/>
          <w:sz w:val="28"/>
          <w:szCs w:val="28"/>
        </w:rPr>
        <w:t xml:space="preserve"> </w:t>
      </w:r>
    </w:p>
    <w:p w:rsidR="00E60DDE" w:rsidRPr="00A86FD6" w:rsidP="00E60DDE" w14:paraId="3713A201" w14:textId="7F30F83A">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jc w:val="center"/>
        <w:rPr>
          <w:b/>
          <w:bCs/>
          <w:i/>
          <w:iCs/>
          <w:sz w:val="28"/>
          <w:szCs w:val="28"/>
        </w:rPr>
      </w:pPr>
      <w:r w:rsidRPr="00A86FD6">
        <w:rPr>
          <w:b/>
          <w:bCs/>
          <w:sz w:val="28"/>
          <w:szCs w:val="28"/>
        </w:rPr>
        <w:t xml:space="preserve"> </w:t>
      </w:r>
      <w:r w:rsidRPr="00A86FD6">
        <w:rPr>
          <w:b/>
          <w:bCs/>
          <w:i/>
          <w:iCs/>
          <w:sz w:val="28"/>
          <w:szCs w:val="28"/>
        </w:rPr>
        <w:t xml:space="preserve">CoP: Initial IT Update for OB services Data Collection </w:t>
      </w:r>
      <w:r w:rsidRPr="00A86FD6" w:rsidR="00D77981">
        <w:rPr>
          <w:b/>
          <w:bCs/>
          <w:i/>
          <w:iCs/>
          <w:sz w:val="28"/>
          <w:szCs w:val="28"/>
        </w:rPr>
        <w:t>–</w:t>
      </w:r>
      <w:r w:rsidRPr="00A86FD6">
        <w:rPr>
          <w:b/>
          <w:bCs/>
          <w:i/>
          <w:iCs/>
          <w:sz w:val="28"/>
          <w:szCs w:val="28"/>
        </w:rPr>
        <w:t xml:space="preserve"> 48</w:t>
      </w:r>
      <w:r w:rsidRPr="00A86FD6" w:rsidR="00D77981">
        <w:rPr>
          <w:b/>
          <w:bCs/>
          <w:i/>
          <w:iCs/>
          <w:sz w:val="28"/>
          <w:szCs w:val="28"/>
        </w:rPr>
        <w:t>5.641</w:t>
      </w:r>
      <w:r w:rsidRPr="00A86FD6">
        <w:rPr>
          <w:b/>
          <w:bCs/>
          <w:i/>
          <w:iCs/>
          <w:sz w:val="28"/>
          <w:szCs w:val="28"/>
        </w:rPr>
        <w:t>(</w:t>
      </w:r>
      <w:r w:rsidRPr="00A86FD6" w:rsidR="00D77981">
        <w:rPr>
          <w:b/>
          <w:bCs/>
          <w:i/>
          <w:iCs/>
          <w:sz w:val="28"/>
          <w:szCs w:val="28"/>
        </w:rPr>
        <w:t>d</w:t>
      </w:r>
      <w:r w:rsidRPr="00A86FD6">
        <w:rPr>
          <w:b/>
          <w:bCs/>
          <w:i/>
          <w:iCs/>
          <w:sz w:val="28"/>
          <w:szCs w:val="28"/>
        </w:rPr>
        <w:t>)(4)</w:t>
      </w:r>
    </w:p>
    <w:tbl>
      <w:tblPr>
        <w:tblW w:w="7915" w:type="dxa"/>
        <w:jc w:val="center"/>
        <w:tblLayout w:type="fixed"/>
        <w:tblLook w:val="04A0"/>
      </w:tblPr>
      <w:tblGrid>
        <w:gridCol w:w="3235"/>
        <w:gridCol w:w="2070"/>
        <w:gridCol w:w="1183"/>
        <w:gridCol w:w="1427"/>
      </w:tblGrid>
      <w:tr w14:paraId="3D5DC411" w14:textId="77777777" w:rsidTr="00A1105D">
        <w:tblPrEx>
          <w:tblW w:w="7915" w:type="dxa"/>
          <w:jc w:val="center"/>
          <w:tblLayout w:type="fixed"/>
          <w:tblLook w:val="04A0"/>
        </w:tblPrEx>
        <w:trPr>
          <w:trHeight w:val="263"/>
          <w:jc w:val="center"/>
        </w:trPr>
        <w:tc>
          <w:tcPr>
            <w:tcW w:w="3235"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E60DDE" w:rsidRPr="00FA2899" w:rsidP="00702172" w14:paraId="073AD8A2" w14:textId="77777777">
            <w:pPr>
              <w:jc w:val="center"/>
              <w:rPr>
                <w:b/>
                <w:bCs/>
                <w:color w:val="000000"/>
                <w:szCs w:val="24"/>
              </w:rPr>
            </w:pPr>
            <w:r w:rsidRPr="00FA2899">
              <w:rPr>
                <w:b/>
                <w:bCs/>
                <w:color w:val="000000"/>
                <w:szCs w:val="24"/>
              </w:rPr>
              <w:t xml:space="preserve">Task </w:t>
            </w:r>
          </w:p>
        </w:tc>
        <w:tc>
          <w:tcPr>
            <w:tcW w:w="2070" w:type="dxa"/>
            <w:tcBorders>
              <w:top w:val="single" w:sz="4" w:space="0" w:color="auto"/>
              <w:left w:val="nil"/>
              <w:bottom w:val="single" w:sz="4" w:space="0" w:color="auto"/>
              <w:right w:val="single" w:sz="4" w:space="0" w:color="auto"/>
            </w:tcBorders>
            <w:shd w:val="clear" w:color="CCCCCC" w:fill="D9E7FD"/>
            <w:vAlign w:val="bottom"/>
            <w:hideMark/>
          </w:tcPr>
          <w:p w:rsidR="00E60DDE" w:rsidRPr="00FA2899" w:rsidP="00702172" w14:paraId="77957146" w14:textId="0F78ECA5">
            <w:pPr>
              <w:jc w:val="center"/>
              <w:rPr>
                <w:b/>
                <w:bCs/>
                <w:color w:val="000000"/>
                <w:szCs w:val="24"/>
              </w:rPr>
            </w:pPr>
            <w:r w:rsidRPr="00FA2899">
              <w:rPr>
                <w:b/>
                <w:bCs/>
                <w:color w:val="000000"/>
                <w:szCs w:val="24"/>
              </w:rPr>
              <w:t xml:space="preserve">Hourly </w:t>
            </w:r>
            <w:r w:rsidRPr="00FA2899" w:rsidR="003D53FF">
              <w:rPr>
                <w:b/>
                <w:bCs/>
                <w:color w:val="000000"/>
                <w:szCs w:val="24"/>
              </w:rPr>
              <w:t>Me</w:t>
            </w:r>
            <w:r w:rsidR="00BF60B9">
              <w:rPr>
                <w:b/>
                <w:bCs/>
                <w:color w:val="000000"/>
                <w:szCs w:val="24"/>
              </w:rPr>
              <w:t>an</w:t>
            </w:r>
          </w:p>
          <w:p w:rsidR="00E60DDE" w:rsidRPr="00FA2899" w:rsidP="00702172" w14:paraId="3B279400" w14:textId="77777777">
            <w:pPr>
              <w:jc w:val="center"/>
              <w:rPr>
                <w:b/>
                <w:bCs/>
                <w:color w:val="000000"/>
                <w:szCs w:val="24"/>
              </w:rPr>
            </w:pPr>
            <w:r w:rsidRPr="00FA2899">
              <w:rPr>
                <w:b/>
                <w:bCs/>
                <w:color w:val="000000"/>
                <w:szCs w:val="24"/>
              </w:rPr>
              <w:t>Wage</w:t>
            </w:r>
          </w:p>
        </w:tc>
        <w:tc>
          <w:tcPr>
            <w:tcW w:w="1183" w:type="dxa"/>
            <w:tcBorders>
              <w:top w:val="single" w:sz="4" w:space="0" w:color="auto"/>
              <w:left w:val="nil"/>
              <w:bottom w:val="single" w:sz="4" w:space="0" w:color="auto"/>
              <w:right w:val="single" w:sz="4" w:space="0" w:color="auto"/>
            </w:tcBorders>
            <w:shd w:val="clear" w:color="CCCCCC" w:fill="D9E7FD"/>
            <w:vAlign w:val="bottom"/>
            <w:hideMark/>
          </w:tcPr>
          <w:p w:rsidR="00E60DDE" w:rsidRPr="00FA2899" w:rsidP="00702172" w14:paraId="78658A5B" w14:textId="77777777">
            <w:pPr>
              <w:jc w:val="center"/>
              <w:rPr>
                <w:b/>
                <w:bCs/>
                <w:color w:val="000000"/>
                <w:szCs w:val="24"/>
              </w:rPr>
            </w:pPr>
            <w:r w:rsidRPr="00FA2899">
              <w:rPr>
                <w:b/>
                <w:bCs/>
                <w:color w:val="000000"/>
                <w:szCs w:val="24"/>
              </w:rPr>
              <w:t>Hours/</w:t>
            </w:r>
          </w:p>
          <w:p w:rsidR="00E60DDE" w:rsidRPr="00FA2899" w:rsidP="00702172" w14:paraId="6A79B466" w14:textId="77777777">
            <w:pPr>
              <w:jc w:val="center"/>
              <w:rPr>
                <w:b/>
                <w:bCs/>
                <w:color w:val="000000"/>
                <w:szCs w:val="24"/>
              </w:rPr>
            </w:pPr>
            <w:r w:rsidRPr="00FA2899">
              <w:rPr>
                <w:b/>
                <w:bCs/>
                <w:color w:val="000000"/>
                <w:szCs w:val="24"/>
              </w:rPr>
              <w:t>Task</w:t>
            </w:r>
          </w:p>
        </w:tc>
        <w:tc>
          <w:tcPr>
            <w:tcW w:w="1427" w:type="dxa"/>
            <w:tcBorders>
              <w:top w:val="single" w:sz="4" w:space="0" w:color="auto"/>
              <w:left w:val="nil"/>
              <w:bottom w:val="single" w:sz="4" w:space="0" w:color="auto"/>
              <w:right w:val="single" w:sz="4" w:space="0" w:color="auto"/>
            </w:tcBorders>
            <w:shd w:val="clear" w:color="CCCCCC" w:fill="D9E7FD"/>
            <w:vAlign w:val="bottom"/>
            <w:hideMark/>
          </w:tcPr>
          <w:p w:rsidR="00E60DDE" w:rsidRPr="00FA2899" w:rsidP="00702172" w14:paraId="5A0AAA42" w14:textId="77777777">
            <w:pPr>
              <w:jc w:val="center"/>
              <w:rPr>
                <w:b/>
                <w:bCs/>
                <w:color w:val="000000"/>
                <w:szCs w:val="24"/>
              </w:rPr>
            </w:pPr>
            <w:r w:rsidRPr="00FA2899">
              <w:rPr>
                <w:b/>
                <w:bCs/>
                <w:color w:val="000000"/>
                <w:szCs w:val="24"/>
              </w:rPr>
              <w:t>Cost/</w:t>
            </w:r>
          </w:p>
          <w:p w:rsidR="00E60DDE" w:rsidRPr="00FA2899" w:rsidP="00702172" w14:paraId="663293D2" w14:textId="77777777">
            <w:pPr>
              <w:jc w:val="center"/>
              <w:rPr>
                <w:b/>
                <w:bCs/>
                <w:color w:val="000000"/>
                <w:szCs w:val="24"/>
              </w:rPr>
            </w:pPr>
            <w:r w:rsidRPr="00FA2899">
              <w:rPr>
                <w:b/>
                <w:bCs/>
                <w:color w:val="000000"/>
                <w:szCs w:val="24"/>
              </w:rPr>
              <w:t>Task</w:t>
            </w:r>
          </w:p>
        </w:tc>
      </w:tr>
      <w:tr w14:paraId="00D4BCE6" w14:textId="77777777" w:rsidTr="00A1105D">
        <w:tblPrEx>
          <w:tblW w:w="7915" w:type="dxa"/>
          <w:jc w:val="center"/>
          <w:tblLayout w:type="fixed"/>
          <w:tblLook w:val="04A0"/>
        </w:tblPrEx>
        <w:trPr>
          <w:trHeight w:val="263"/>
          <w:jc w:val="center"/>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E60DDE" w:rsidRPr="00FA2899" w:rsidP="00702172" w14:paraId="5137A5C7" w14:textId="77777777">
            <w:pPr>
              <w:rPr>
                <w:color w:val="000000"/>
                <w:szCs w:val="24"/>
              </w:rPr>
            </w:pPr>
            <w:r w:rsidRPr="00FA2899">
              <w:rPr>
                <w:color w:val="000000"/>
                <w:szCs w:val="24"/>
              </w:rPr>
              <w:t>IT Staff (BLS Code: 15-0000)</w:t>
            </w:r>
          </w:p>
        </w:tc>
        <w:tc>
          <w:tcPr>
            <w:tcW w:w="2070" w:type="dxa"/>
            <w:tcBorders>
              <w:top w:val="nil"/>
              <w:left w:val="nil"/>
              <w:bottom w:val="single" w:sz="4" w:space="0" w:color="auto"/>
              <w:right w:val="single" w:sz="4" w:space="0" w:color="auto"/>
            </w:tcBorders>
            <w:shd w:val="clear" w:color="auto" w:fill="auto"/>
            <w:vAlign w:val="bottom"/>
            <w:hideMark/>
          </w:tcPr>
          <w:p w:rsidR="00E60DDE" w:rsidRPr="00FA2899" w:rsidP="00702172" w14:paraId="5EDFA8D2" w14:textId="77777777">
            <w:pPr>
              <w:jc w:val="center"/>
              <w:rPr>
                <w:color w:val="0070C0"/>
                <w:szCs w:val="24"/>
              </w:rPr>
            </w:pPr>
            <w:r w:rsidRPr="00FA2899">
              <w:rPr>
                <w:szCs w:val="24"/>
              </w:rPr>
              <w:t>$108.78</w:t>
            </w:r>
          </w:p>
        </w:tc>
        <w:tc>
          <w:tcPr>
            <w:tcW w:w="1183" w:type="dxa"/>
            <w:tcBorders>
              <w:top w:val="nil"/>
              <w:left w:val="nil"/>
              <w:bottom w:val="single" w:sz="4" w:space="0" w:color="auto"/>
              <w:right w:val="single" w:sz="4" w:space="0" w:color="auto"/>
            </w:tcBorders>
            <w:shd w:val="clear" w:color="auto" w:fill="auto"/>
            <w:vAlign w:val="bottom"/>
            <w:hideMark/>
          </w:tcPr>
          <w:p w:rsidR="00E60DDE" w:rsidRPr="00FA2899" w:rsidP="00702172" w14:paraId="455C5ED9" w14:textId="77777777">
            <w:pPr>
              <w:jc w:val="center"/>
              <w:rPr>
                <w:color w:val="000000"/>
                <w:szCs w:val="24"/>
              </w:rPr>
            </w:pPr>
            <w:r w:rsidRPr="00FA2899">
              <w:rPr>
                <w:color w:val="000000"/>
                <w:szCs w:val="24"/>
              </w:rPr>
              <w:t> </w:t>
            </w:r>
          </w:p>
        </w:tc>
        <w:tc>
          <w:tcPr>
            <w:tcW w:w="1427" w:type="dxa"/>
            <w:tcBorders>
              <w:top w:val="nil"/>
              <w:left w:val="nil"/>
              <w:bottom w:val="single" w:sz="4" w:space="0" w:color="auto"/>
              <w:right w:val="single" w:sz="4" w:space="0" w:color="auto"/>
            </w:tcBorders>
            <w:shd w:val="clear" w:color="auto" w:fill="auto"/>
            <w:noWrap/>
            <w:vAlign w:val="bottom"/>
            <w:hideMark/>
          </w:tcPr>
          <w:p w:rsidR="00E60DDE" w:rsidRPr="00FA2899" w:rsidP="00702172" w14:paraId="03AF8D84" w14:textId="77777777">
            <w:pPr>
              <w:jc w:val="center"/>
              <w:rPr>
                <w:color w:val="000000"/>
                <w:szCs w:val="24"/>
              </w:rPr>
            </w:pPr>
            <w:r w:rsidRPr="00FA2899">
              <w:rPr>
                <w:color w:val="000000"/>
                <w:szCs w:val="24"/>
              </w:rPr>
              <w:t> </w:t>
            </w:r>
          </w:p>
        </w:tc>
      </w:tr>
      <w:tr w14:paraId="330DE24D" w14:textId="77777777" w:rsidTr="00A1105D">
        <w:tblPrEx>
          <w:tblW w:w="7915" w:type="dxa"/>
          <w:jc w:val="center"/>
          <w:tblLayout w:type="fixed"/>
          <w:tblLook w:val="04A0"/>
        </w:tblPrEx>
        <w:trPr>
          <w:trHeight w:val="317"/>
          <w:jc w:val="center"/>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E60DDE" w:rsidRPr="00FA2899" w:rsidP="00702172" w14:paraId="7C5F8304" w14:textId="77777777">
            <w:pPr>
              <w:jc w:val="center"/>
              <w:rPr>
                <w:color w:val="000000"/>
                <w:szCs w:val="24"/>
                <w:u w:val="single"/>
              </w:rPr>
            </w:pPr>
            <w:r w:rsidRPr="00FA2899">
              <w:rPr>
                <w:color w:val="000000"/>
                <w:szCs w:val="24"/>
                <w:u w:val="single"/>
              </w:rPr>
              <w:t>Per Facility/Year</w:t>
            </w:r>
          </w:p>
        </w:tc>
        <w:tc>
          <w:tcPr>
            <w:tcW w:w="2070" w:type="dxa"/>
            <w:tcBorders>
              <w:top w:val="nil"/>
              <w:left w:val="nil"/>
              <w:bottom w:val="single" w:sz="4" w:space="0" w:color="auto"/>
              <w:right w:val="single" w:sz="4" w:space="0" w:color="auto"/>
            </w:tcBorders>
            <w:shd w:val="clear" w:color="auto" w:fill="auto"/>
            <w:vAlign w:val="bottom"/>
            <w:hideMark/>
          </w:tcPr>
          <w:p w:rsidR="00E60DDE" w:rsidRPr="00FA2899" w:rsidP="00702172" w14:paraId="77322AE2" w14:textId="77777777">
            <w:pPr>
              <w:jc w:val="center"/>
              <w:rPr>
                <w:color w:val="000000"/>
                <w:szCs w:val="24"/>
              </w:rPr>
            </w:pPr>
            <w:r w:rsidRPr="00FA2899">
              <w:rPr>
                <w:color w:val="000000"/>
                <w:szCs w:val="24"/>
              </w:rPr>
              <w:t> </w:t>
            </w:r>
          </w:p>
        </w:tc>
        <w:tc>
          <w:tcPr>
            <w:tcW w:w="1183" w:type="dxa"/>
            <w:tcBorders>
              <w:top w:val="nil"/>
              <w:left w:val="nil"/>
              <w:bottom w:val="single" w:sz="4" w:space="0" w:color="auto"/>
              <w:right w:val="single" w:sz="4" w:space="0" w:color="auto"/>
            </w:tcBorders>
            <w:shd w:val="clear" w:color="auto" w:fill="auto"/>
            <w:vAlign w:val="bottom"/>
            <w:hideMark/>
          </w:tcPr>
          <w:p w:rsidR="00E60DDE" w:rsidRPr="00FA2899" w:rsidP="00702172" w14:paraId="5AA42433" w14:textId="77777777">
            <w:pPr>
              <w:jc w:val="center"/>
              <w:rPr>
                <w:color w:val="000000"/>
                <w:szCs w:val="24"/>
              </w:rPr>
            </w:pPr>
            <w:r w:rsidRPr="00FA2899">
              <w:rPr>
                <w:color w:val="000000"/>
                <w:szCs w:val="24"/>
              </w:rPr>
              <w:t> </w:t>
            </w:r>
          </w:p>
        </w:tc>
        <w:tc>
          <w:tcPr>
            <w:tcW w:w="1427" w:type="dxa"/>
            <w:tcBorders>
              <w:top w:val="nil"/>
              <w:left w:val="nil"/>
              <w:bottom w:val="single" w:sz="4" w:space="0" w:color="auto"/>
              <w:right w:val="single" w:sz="4" w:space="0" w:color="auto"/>
            </w:tcBorders>
            <w:shd w:val="clear" w:color="auto" w:fill="auto"/>
            <w:vAlign w:val="bottom"/>
            <w:hideMark/>
          </w:tcPr>
          <w:p w:rsidR="00E60DDE" w:rsidRPr="00FA2899" w:rsidP="00702172" w14:paraId="660D9B5B" w14:textId="77777777">
            <w:pPr>
              <w:jc w:val="center"/>
              <w:rPr>
                <w:color w:val="000000"/>
                <w:szCs w:val="24"/>
              </w:rPr>
            </w:pPr>
            <w:r w:rsidRPr="00FA2899">
              <w:rPr>
                <w:color w:val="000000"/>
                <w:szCs w:val="24"/>
              </w:rPr>
              <w:t> </w:t>
            </w:r>
          </w:p>
        </w:tc>
      </w:tr>
      <w:tr w14:paraId="4EA2C5F6" w14:textId="77777777" w:rsidTr="00A1105D">
        <w:tblPrEx>
          <w:tblW w:w="7915" w:type="dxa"/>
          <w:jc w:val="center"/>
          <w:tblLayout w:type="fixed"/>
          <w:tblLook w:val="04A0"/>
        </w:tblPrEx>
        <w:trPr>
          <w:trHeight w:val="263"/>
          <w:jc w:val="center"/>
        </w:trPr>
        <w:tc>
          <w:tcPr>
            <w:tcW w:w="3235" w:type="dxa"/>
            <w:tcBorders>
              <w:top w:val="nil"/>
              <w:left w:val="single" w:sz="4" w:space="0" w:color="auto"/>
              <w:bottom w:val="single" w:sz="4" w:space="0" w:color="auto"/>
              <w:right w:val="single" w:sz="4" w:space="0" w:color="auto"/>
            </w:tcBorders>
            <w:shd w:val="clear" w:color="auto" w:fill="auto"/>
            <w:hideMark/>
          </w:tcPr>
          <w:p w:rsidR="00E60DDE" w:rsidRPr="00FA2899" w:rsidP="00702172" w14:paraId="36AF818F" w14:textId="77777777">
            <w:pPr>
              <w:rPr>
                <w:color w:val="000000"/>
                <w:szCs w:val="24"/>
              </w:rPr>
            </w:pPr>
            <w:r w:rsidRPr="00FA2899">
              <w:rPr>
                <w:color w:val="000000"/>
                <w:szCs w:val="24"/>
              </w:rPr>
              <w:t>Year 1 - IT System Changes</w:t>
            </w:r>
          </w:p>
        </w:tc>
        <w:tc>
          <w:tcPr>
            <w:tcW w:w="2070" w:type="dxa"/>
            <w:tcBorders>
              <w:top w:val="nil"/>
              <w:left w:val="nil"/>
              <w:bottom w:val="single" w:sz="4" w:space="0" w:color="auto"/>
              <w:right w:val="single" w:sz="4" w:space="0" w:color="auto"/>
            </w:tcBorders>
            <w:shd w:val="clear" w:color="auto" w:fill="auto"/>
            <w:hideMark/>
          </w:tcPr>
          <w:p w:rsidR="00E60DDE" w:rsidRPr="00FA2899" w:rsidP="00702172" w14:paraId="060A1FC6" w14:textId="77777777">
            <w:pPr>
              <w:rPr>
                <w:color w:val="000000"/>
                <w:szCs w:val="24"/>
              </w:rPr>
            </w:pPr>
            <w:r w:rsidRPr="00FA2899">
              <w:rPr>
                <w:color w:val="000000"/>
                <w:szCs w:val="24"/>
              </w:rPr>
              <w:t> </w:t>
            </w:r>
          </w:p>
        </w:tc>
        <w:tc>
          <w:tcPr>
            <w:tcW w:w="1183" w:type="dxa"/>
            <w:tcBorders>
              <w:top w:val="nil"/>
              <w:left w:val="nil"/>
              <w:bottom w:val="single" w:sz="4" w:space="0" w:color="auto"/>
              <w:right w:val="single" w:sz="4" w:space="0" w:color="auto"/>
            </w:tcBorders>
            <w:shd w:val="clear" w:color="auto" w:fill="auto"/>
            <w:vAlign w:val="bottom"/>
            <w:hideMark/>
          </w:tcPr>
          <w:p w:rsidR="00E60DDE" w:rsidRPr="00FA2899" w:rsidP="00702172" w14:paraId="4D7193B8" w14:textId="77777777">
            <w:pPr>
              <w:jc w:val="center"/>
              <w:rPr>
                <w:color w:val="000000"/>
                <w:szCs w:val="24"/>
              </w:rPr>
            </w:pPr>
            <w:r w:rsidRPr="00FA2899">
              <w:rPr>
                <w:color w:val="000000"/>
                <w:szCs w:val="24"/>
              </w:rPr>
              <w:t>8.0</w:t>
            </w:r>
          </w:p>
        </w:tc>
        <w:tc>
          <w:tcPr>
            <w:tcW w:w="1427" w:type="dxa"/>
            <w:tcBorders>
              <w:top w:val="nil"/>
              <w:left w:val="nil"/>
              <w:bottom w:val="single" w:sz="4" w:space="0" w:color="auto"/>
              <w:right w:val="single" w:sz="4" w:space="0" w:color="auto"/>
            </w:tcBorders>
            <w:shd w:val="clear" w:color="auto" w:fill="auto"/>
            <w:noWrap/>
            <w:vAlign w:val="bottom"/>
            <w:hideMark/>
          </w:tcPr>
          <w:p w:rsidR="00E60DDE" w:rsidRPr="00FA2899" w:rsidP="00702172" w14:paraId="193CDACE" w14:textId="77777777">
            <w:pPr>
              <w:jc w:val="center"/>
              <w:rPr>
                <w:color w:val="000000"/>
                <w:szCs w:val="24"/>
              </w:rPr>
            </w:pPr>
            <w:r w:rsidRPr="00FA2899">
              <w:rPr>
                <w:color w:val="000000"/>
                <w:szCs w:val="24"/>
              </w:rPr>
              <w:t>$870</w:t>
            </w:r>
          </w:p>
        </w:tc>
      </w:tr>
      <w:tr w14:paraId="29603303" w14:textId="77777777" w:rsidTr="00A1105D">
        <w:tblPrEx>
          <w:tblW w:w="7915" w:type="dxa"/>
          <w:jc w:val="center"/>
          <w:tblLayout w:type="fixed"/>
          <w:tblLook w:val="04A0"/>
        </w:tblPrEx>
        <w:trPr>
          <w:trHeight w:val="263"/>
          <w:jc w:val="center"/>
        </w:trPr>
        <w:tc>
          <w:tcPr>
            <w:tcW w:w="3235" w:type="dxa"/>
            <w:tcBorders>
              <w:top w:val="nil"/>
              <w:left w:val="single" w:sz="4" w:space="0" w:color="auto"/>
              <w:bottom w:val="single" w:sz="4" w:space="0" w:color="auto"/>
              <w:right w:val="single" w:sz="4" w:space="0" w:color="auto"/>
            </w:tcBorders>
            <w:shd w:val="clear" w:color="auto" w:fill="auto"/>
            <w:hideMark/>
          </w:tcPr>
          <w:p w:rsidR="00E60DDE" w:rsidRPr="00FA2899" w:rsidP="00702172" w14:paraId="55913FE3" w14:textId="77777777">
            <w:pPr>
              <w:rPr>
                <w:color w:val="000000"/>
                <w:szCs w:val="24"/>
              </w:rPr>
            </w:pPr>
            <w:r w:rsidRPr="00FA2899">
              <w:rPr>
                <w:color w:val="000000"/>
                <w:szCs w:val="24"/>
              </w:rPr>
              <w:t>Ongoing IT maintenance</w:t>
            </w:r>
          </w:p>
        </w:tc>
        <w:tc>
          <w:tcPr>
            <w:tcW w:w="2070" w:type="dxa"/>
            <w:tcBorders>
              <w:top w:val="nil"/>
              <w:left w:val="nil"/>
              <w:bottom w:val="single" w:sz="4" w:space="0" w:color="auto"/>
              <w:right w:val="single" w:sz="4" w:space="0" w:color="auto"/>
            </w:tcBorders>
            <w:shd w:val="clear" w:color="auto" w:fill="auto"/>
            <w:hideMark/>
          </w:tcPr>
          <w:p w:rsidR="00E60DDE" w:rsidRPr="00FA2899" w:rsidP="00702172" w14:paraId="404CD948" w14:textId="77777777">
            <w:pPr>
              <w:rPr>
                <w:color w:val="000000"/>
                <w:szCs w:val="24"/>
              </w:rPr>
            </w:pPr>
            <w:r w:rsidRPr="00FA2899">
              <w:rPr>
                <w:color w:val="000000"/>
                <w:szCs w:val="24"/>
              </w:rPr>
              <w:t> </w:t>
            </w:r>
          </w:p>
        </w:tc>
        <w:tc>
          <w:tcPr>
            <w:tcW w:w="1183" w:type="dxa"/>
            <w:tcBorders>
              <w:top w:val="nil"/>
              <w:left w:val="nil"/>
              <w:bottom w:val="single" w:sz="4" w:space="0" w:color="auto"/>
              <w:right w:val="single" w:sz="4" w:space="0" w:color="auto"/>
            </w:tcBorders>
            <w:shd w:val="clear" w:color="auto" w:fill="auto"/>
            <w:vAlign w:val="bottom"/>
            <w:hideMark/>
          </w:tcPr>
          <w:p w:rsidR="00E60DDE" w:rsidRPr="00FA2899" w:rsidP="00702172" w14:paraId="5F38759F" w14:textId="77777777">
            <w:pPr>
              <w:jc w:val="center"/>
              <w:rPr>
                <w:color w:val="000000"/>
                <w:szCs w:val="24"/>
              </w:rPr>
            </w:pPr>
            <w:r w:rsidRPr="00FA2899">
              <w:rPr>
                <w:color w:val="000000"/>
                <w:szCs w:val="24"/>
              </w:rPr>
              <w:t>4.0</w:t>
            </w:r>
          </w:p>
        </w:tc>
        <w:tc>
          <w:tcPr>
            <w:tcW w:w="1427" w:type="dxa"/>
            <w:tcBorders>
              <w:top w:val="nil"/>
              <w:left w:val="nil"/>
              <w:bottom w:val="single" w:sz="4" w:space="0" w:color="auto"/>
              <w:right w:val="single" w:sz="4" w:space="0" w:color="auto"/>
            </w:tcBorders>
            <w:shd w:val="clear" w:color="auto" w:fill="auto"/>
            <w:noWrap/>
            <w:vAlign w:val="bottom"/>
            <w:hideMark/>
          </w:tcPr>
          <w:p w:rsidR="00E60DDE" w:rsidRPr="00FA2899" w:rsidP="00702172" w14:paraId="14054622" w14:textId="77777777">
            <w:pPr>
              <w:jc w:val="center"/>
              <w:rPr>
                <w:color w:val="000000"/>
                <w:szCs w:val="24"/>
              </w:rPr>
            </w:pPr>
            <w:r w:rsidRPr="00FA2899">
              <w:rPr>
                <w:color w:val="000000"/>
                <w:szCs w:val="24"/>
              </w:rPr>
              <w:t>$435</w:t>
            </w:r>
          </w:p>
        </w:tc>
      </w:tr>
      <w:tr w14:paraId="3BAA45A8" w14:textId="77777777" w:rsidTr="00A1105D">
        <w:tblPrEx>
          <w:tblW w:w="7915" w:type="dxa"/>
          <w:jc w:val="center"/>
          <w:tblLayout w:type="fixed"/>
          <w:tblLook w:val="04A0"/>
        </w:tblPrEx>
        <w:trPr>
          <w:trHeight w:val="263"/>
          <w:jc w:val="center"/>
        </w:trPr>
        <w:tc>
          <w:tcPr>
            <w:tcW w:w="3235" w:type="dxa"/>
            <w:tcBorders>
              <w:top w:val="nil"/>
              <w:left w:val="single" w:sz="4" w:space="0" w:color="auto"/>
              <w:bottom w:val="single" w:sz="4" w:space="0" w:color="auto"/>
              <w:right w:val="single" w:sz="4" w:space="0" w:color="auto"/>
            </w:tcBorders>
            <w:shd w:val="clear" w:color="auto" w:fill="auto"/>
            <w:vAlign w:val="bottom"/>
            <w:hideMark/>
          </w:tcPr>
          <w:p w:rsidR="00E60DDE" w:rsidRPr="00FA2899" w:rsidP="00702172" w14:paraId="6A91B774" w14:textId="77777777">
            <w:pPr>
              <w:jc w:val="right"/>
              <w:rPr>
                <w:color w:val="000000"/>
                <w:szCs w:val="24"/>
              </w:rPr>
            </w:pPr>
            <w:r w:rsidRPr="00FA2899">
              <w:rPr>
                <w:color w:val="000000"/>
                <w:szCs w:val="24"/>
              </w:rPr>
              <w:t># Facilities Impacted</w:t>
            </w:r>
          </w:p>
        </w:tc>
        <w:tc>
          <w:tcPr>
            <w:tcW w:w="2070" w:type="dxa"/>
            <w:tcBorders>
              <w:top w:val="nil"/>
              <w:left w:val="nil"/>
              <w:bottom w:val="single" w:sz="4" w:space="0" w:color="auto"/>
              <w:right w:val="single" w:sz="4" w:space="0" w:color="auto"/>
            </w:tcBorders>
            <w:shd w:val="clear" w:color="auto" w:fill="auto"/>
            <w:vAlign w:val="bottom"/>
            <w:hideMark/>
          </w:tcPr>
          <w:p w:rsidR="00E60DDE" w:rsidRPr="00FA2899" w:rsidP="00702172" w14:paraId="7337D446" w14:textId="7BF5817A">
            <w:pPr>
              <w:jc w:val="center"/>
              <w:rPr>
                <w:szCs w:val="24"/>
              </w:rPr>
            </w:pPr>
            <w:r w:rsidRPr="00FA2899">
              <w:rPr>
                <w:szCs w:val="24"/>
              </w:rPr>
              <w:t>513</w:t>
            </w:r>
          </w:p>
        </w:tc>
        <w:tc>
          <w:tcPr>
            <w:tcW w:w="1183" w:type="dxa"/>
            <w:tcBorders>
              <w:top w:val="nil"/>
              <w:left w:val="nil"/>
              <w:bottom w:val="single" w:sz="4" w:space="0" w:color="auto"/>
              <w:right w:val="single" w:sz="4" w:space="0" w:color="auto"/>
            </w:tcBorders>
            <w:shd w:val="clear" w:color="auto" w:fill="auto"/>
            <w:vAlign w:val="bottom"/>
            <w:hideMark/>
          </w:tcPr>
          <w:p w:rsidR="00E60DDE" w:rsidRPr="00FA2899" w:rsidP="00702172" w14:paraId="3FD77A4A" w14:textId="77777777">
            <w:pPr>
              <w:jc w:val="center"/>
              <w:rPr>
                <w:color w:val="000000"/>
                <w:szCs w:val="24"/>
              </w:rPr>
            </w:pPr>
            <w:r w:rsidRPr="00FA2899">
              <w:rPr>
                <w:color w:val="000000"/>
                <w:szCs w:val="24"/>
              </w:rPr>
              <w:t> </w:t>
            </w:r>
          </w:p>
        </w:tc>
        <w:tc>
          <w:tcPr>
            <w:tcW w:w="1427" w:type="dxa"/>
            <w:tcBorders>
              <w:top w:val="nil"/>
              <w:left w:val="nil"/>
              <w:bottom w:val="single" w:sz="4" w:space="0" w:color="auto"/>
              <w:right w:val="single" w:sz="4" w:space="0" w:color="auto"/>
            </w:tcBorders>
            <w:shd w:val="clear" w:color="auto" w:fill="auto"/>
            <w:vAlign w:val="bottom"/>
            <w:hideMark/>
          </w:tcPr>
          <w:p w:rsidR="00E60DDE" w:rsidRPr="00FA2899" w:rsidP="00702172" w14:paraId="487B4246" w14:textId="77777777">
            <w:pPr>
              <w:jc w:val="center"/>
              <w:rPr>
                <w:color w:val="000000"/>
                <w:szCs w:val="24"/>
              </w:rPr>
            </w:pPr>
            <w:r w:rsidRPr="00FA2899">
              <w:rPr>
                <w:color w:val="000000"/>
                <w:szCs w:val="24"/>
              </w:rPr>
              <w:t> </w:t>
            </w:r>
          </w:p>
        </w:tc>
      </w:tr>
      <w:tr w14:paraId="1CD104D7" w14:textId="77777777" w:rsidTr="009D1259">
        <w:tblPrEx>
          <w:tblW w:w="7915" w:type="dxa"/>
          <w:jc w:val="center"/>
          <w:tblLayout w:type="fixed"/>
          <w:tblLook w:val="04A0"/>
        </w:tblPrEx>
        <w:trPr>
          <w:trHeight w:val="326"/>
          <w:jc w:val="center"/>
        </w:trPr>
        <w:tc>
          <w:tcPr>
            <w:tcW w:w="5305" w:type="dxa"/>
            <w:gridSpan w:val="2"/>
            <w:tcBorders>
              <w:top w:val="single" w:sz="4" w:space="0" w:color="auto"/>
              <w:left w:val="single" w:sz="4" w:space="0" w:color="auto"/>
              <w:bottom w:val="single" w:sz="4" w:space="0" w:color="auto"/>
              <w:right w:val="single" w:sz="4" w:space="0" w:color="000000"/>
            </w:tcBorders>
            <w:shd w:val="clear" w:color="000000" w:fill="F2F2F2"/>
            <w:vAlign w:val="bottom"/>
            <w:hideMark/>
          </w:tcPr>
          <w:p w:rsidR="00A1105D" w:rsidRPr="003E6756" w:rsidP="00A1105D" w14:paraId="0E3F09CA" w14:textId="77777777">
            <w:pPr>
              <w:jc w:val="right"/>
              <w:rPr>
                <w:color w:val="000000"/>
                <w:szCs w:val="24"/>
              </w:rPr>
            </w:pPr>
            <w:r w:rsidRPr="003E6756">
              <w:rPr>
                <w:color w:val="000000"/>
                <w:szCs w:val="24"/>
              </w:rPr>
              <w:t>Year 1 Burden Hours/Costs</w:t>
            </w:r>
          </w:p>
        </w:tc>
        <w:tc>
          <w:tcPr>
            <w:tcW w:w="1183" w:type="dxa"/>
            <w:tcBorders>
              <w:top w:val="nil"/>
              <w:left w:val="nil"/>
              <w:bottom w:val="single" w:sz="4" w:space="0" w:color="auto"/>
              <w:right w:val="single" w:sz="4" w:space="0" w:color="auto"/>
            </w:tcBorders>
            <w:shd w:val="clear" w:color="000000" w:fill="F2F2F2"/>
            <w:noWrap/>
            <w:hideMark/>
          </w:tcPr>
          <w:p w:rsidR="00A1105D" w:rsidRPr="003E6756" w:rsidP="00A1105D" w14:paraId="23673000" w14:textId="194C8A33">
            <w:pPr>
              <w:jc w:val="center"/>
              <w:rPr>
                <w:color w:val="000000"/>
                <w:szCs w:val="24"/>
              </w:rPr>
            </w:pPr>
            <w:r w:rsidRPr="003E6756">
              <w:t>4,104</w:t>
            </w:r>
          </w:p>
        </w:tc>
        <w:tc>
          <w:tcPr>
            <w:tcW w:w="1427" w:type="dxa"/>
            <w:tcBorders>
              <w:top w:val="nil"/>
              <w:left w:val="nil"/>
              <w:bottom w:val="single" w:sz="4" w:space="0" w:color="auto"/>
              <w:right w:val="single" w:sz="4" w:space="0" w:color="auto"/>
            </w:tcBorders>
            <w:shd w:val="clear" w:color="000000" w:fill="F2F2F2"/>
            <w:vAlign w:val="bottom"/>
            <w:hideMark/>
          </w:tcPr>
          <w:p w:rsidR="00A1105D" w:rsidRPr="003E6756" w:rsidP="00A1105D" w14:paraId="48A92A85" w14:textId="43D9FB93">
            <w:pPr>
              <w:jc w:val="center"/>
              <w:rPr>
                <w:color w:val="000000"/>
                <w:szCs w:val="24"/>
              </w:rPr>
            </w:pPr>
            <w:r w:rsidRPr="003E6756">
              <w:rPr>
                <w:color w:val="000000"/>
                <w:szCs w:val="24"/>
              </w:rPr>
              <w:t>$446,310</w:t>
            </w:r>
          </w:p>
        </w:tc>
      </w:tr>
      <w:tr w14:paraId="0477F629" w14:textId="77777777" w:rsidTr="009D1259">
        <w:tblPrEx>
          <w:tblW w:w="7915" w:type="dxa"/>
          <w:jc w:val="center"/>
          <w:tblLayout w:type="fixed"/>
          <w:tblLook w:val="04A0"/>
        </w:tblPrEx>
        <w:trPr>
          <w:trHeight w:val="317"/>
          <w:jc w:val="center"/>
        </w:trPr>
        <w:tc>
          <w:tcPr>
            <w:tcW w:w="5305" w:type="dxa"/>
            <w:gridSpan w:val="2"/>
            <w:tcBorders>
              <w:top w:val="single" w:sz="4" w:space="0" w:color="auto"/>
              <w:left w:val="single" w:sz="4" w:space="0" w:color="auto"/>
              <w:bottom w:val="single" w:sz="4" w:space="0" w:color="auto"/>
              <w:right w:val="single" w:sz="4" w:space="0" w:color="000000"/>
            </w:tcBorders>
            <w:shd w:val="clear" w:color="000000" w:fill="F2F2F2"/>
            <w:vAlign w:val="bottom"/>
            <w:hideMark/>
          </w:tcPr>
          <w:p w:rsidR="00A1105D" w:rsidRPr="003E6756" w:rsidP="00A1105D" w14:paraId="19B35B63" w14:textId="77777777">
            <w:pPr>
              <w:jc w:val="right"/>
              <w:rPr>
                <w:color w:val="000000"/>
                <w:szCs w:val="24"/>
              </w:rPr>
            </w:pPr>
            <w:r w:rsidRPr="003E6756">
              <w:rPr>
                <w:color w:val="000000"/>
                <w:szCs w:val="24"/>
              </w:rPr>
              <w:t xml:space="preserve">Ongoing Annual Burden Hours/Costs </w:t>
            </w:r>
          </w:p>
        </w:tc>
        <w:tc>
          <w:tcPr>
            <w:tcW w:w="1183" w:type="dxa"/>
            <w:tcBorders>
              <w:top w:val="nil"/>
              <w:left w:val="nil"/>
              <w:bottom w:val="single" w:sz="4" w:space="0" w:color="auto"/>
              <w:right w:val="single" w:sz="4" w:space="0" w:color="auto"/>
            </w:tcBorders>
            <w:shd w:val="clear" w:color="000000" w:fill="F2F2F2"/>
            <w:noWrap/>
            <w:hideMark/>
          </w:tcPr>
          <w:p w:rsidR="00A1105D" w:rsidRPr="003E6756" w:rsidP="00A1105D" w14:paraId="10C5B00C" w14:textId="46C77916">
            <w:pPr>
              <w:jc w:val="center"/>
              <w:rPr>
                <w:color w:val="000000"/>
                <w:szCs w:val="24"/>
              </w:rPr>
            </w:pPr>
            <w:r w:rsidRPr="003E6756">
              <w:t>2,052</w:t>
            </w:r>
          </w:p>
        </w:tc>
        <w:tc>
          <w:tcPr>
            <w:tcW w:w="1427" w:type="dxa"/>
            <w:tcBorders>
              <w:top w:val="nil"/>
              <w:left w:val="nil"/>
              <w:bottom w:val="single" w:sz="4" w:space="0" w:color="auto"/>
              <w:right w:val="single" w:sz="4" w:space="0" w:color="auto"/>
            </w:tcBorders>
            <w:shd w:val="clear" w:color="000000" w:fill="F2F2F2"/>
            <w:vAlign w:val="bottom"/>
            <w:hideMark/>
          </w:tcPr>
          <w:p w:rsidR="00A1105D" w:rsidRPr="003E6756" w:rsidP="00A1105D" w14:paraId="0AFF6FFD" w14:textId="1E8B8177">
            <w:pPr>
              <w:jc w:val="center"/>
              <w:rPr>
                <w:color w:val="000000"/>
                <w:szCs w:val="24"/>
              </w:rPr>
            </w:pPr>
            <w:r w:rsidRPr="003E6756">
              <w:rPr>
                <w:color w:val="000000"/>
                <w:szCs w:val="24"/>
              </w:rPr>
              <w:t>$223,155</w:t>
            </w:r>
          </w:p>
        </w:tc>
      </w:tr>
      <w:tr w14:paraId="0C382BF0" w14:textId="77777777" w:rsidTr="00A809C9">
        <w:tblPrEx>
          <w:tblW w:w="7915" w:type="dxa"/>
          <w:jc w:val="center"/>
          <w:tblLayout w:type="fixed"/>
          <w:tblLook w:val="04A0"/>
        </w:tblPrEx>
        <w:trPr>
          <w:trHeight w:val="317"/>
          <w:jc w:val="center"/>
        </w:trPr>
        <w:tc>
          <w:tcPr>
            <w:tcW w:w="5305"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A1105D" w:rsidRPr="00FA2899" w:rsidP="00A1105D" w14:paraId="092B2DAF" w14:textId="77777777">
            <w:pPr>
              <w:jc w:val="right"/>
              <w:rPr>
                <w:b/>
                <w:bCs/>
                <w:color w:val="000000"/>
                <w:szCs w:val="24"/>
              </w:rPr>
            </w:pPr>
            <w:r w:rsidRPr="00FA2899">
              <w:rPr>
                <w:b/>
                <w:bCs/>
                <w:color w:val="000000"/>
                <w:szCs w:val="24"/>
              </w:rPr>
              <w:t>Annualized Burden Hours/Costs Over 3 Years</w:t>
            </w:r>
          </w:p>
        </w:tc>
        <w:tc>
          <w:tcPr>
            <w:tcW w:w="1183" w:type="dxa"/>
            <w:tcBorders>
              <w:top w:val="single" w:sz="4" w:space="0" w:color="auto"/>
              <w:left w:val="single" w:sz="4" w:space="0" w:color="auto"/>
              <w:bottom w:val="single" w:sz="4" w:space="0" w:color="auto"/>
              <w:right w:val="single" w:sz="4" w:space="0" w:color="auto"/>
            </w:tcBorders>
            <w:shd w:val="clear" w:color="000000" w:fill="F2F2F2"/>
            <w:noWrap/>
          </w:tcPr>
          <w:p w:rsidR="00A1105D" w:rsidRPr="00A1105D" w:rsidP="00A1105D" w14:paraId="58843B2F" w14:textId="404A08EB">
            <w:pPr>
              <w:jc w:val="center"/>
              <w:rPr>
                <w:b/>
                <w:bCs/>
                <w:color w:val="000000"/>
                <w:szCs w:val="24"/>
              </w:rPr>
            </w:pPr>
            <w:r w:rsidRPr="00A1105D">
              <w:rPr>
                <w:b/>
                <w:bCs/>
              </w:rPr>
              <w:t>2,736</w:t>
            </w:r>
          </w:p>
        </w:tc>
        <w:tc>
          <w:tcPr>
            <w:tcW w:w="1427" w:type="dxa"/>
            <w:tcBorders>
              <w:top w:val="single" w:sz="4" w:space="0" w:color="auto"/>
              <w:left w:val="single" w:sz="4" w:space="0" w:color="auto"/>
              <w:bottom w:val="single" w:sz="4" w:space="0" w:color="auto"/>
              <w:right w:val="single" w:sz="4" w:space="0" w:color="auto"/>
            </w:tcBorders>
            <w:shd w:val="clear" w:color="000000" w:fill="F2F2F2"/>
          </w:tcPr>
          <w:p w:rsidR="00A1105D" w:rsidRPr="00A1105D" w:rsidP="00A1105D" w14:paraId="63DF6525" w14:textId="72258642">
            <w:pPr>
              <w:jc w:val="center"/>
              <w:rPr>
                <w:b/>
                <w:bCs/>
                <w:color w:val="000000"/>
                <w:szCs w:val="24"/>
              </w:rPr>
            </w:pPr>
            <w:r w:rsidRPr="00A1105D">
              <w:rPr>
                <w:b/>
                <w:bCs/>
              </w:rPr>
              <w:t>$297,540</w:t>
            </w:r>
          </w:p>
        </w:tc>
      </w:tr>
    </w:tbl>
    <w:p w:rsidR="00E60DDE" w:rsidRPr="00FA2899" w:rsidP="00E60DDE" w14:paraId="61FA5473" w14:textId="77777777">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 w:hanging="2"/>
        <w:rPr>
          <w:szCs w:val="24"/>
        </w:rPr>
      </w:pPr>
    </w:p>
    <w:p w:rsidR="00DF2D09" w:rsidP="00E60DDE" w14:paraId="668FA9F3" w14:textId="77777777">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 w:hanging="2"/>
        <w:rPr>
          <w:sz w:val="20"/>
        </w:rPr>
      </w:pPr>
    </w:p>
    <w:p w:rsidR="00DF2D09" w:rsidP="00E60DDE" w14:paraId="41667929" w14:textId="77777777">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 w:hanging="2"/>
        <w:rPr>
          <w:sz w:val="20"/>
        </w:rPr>
      </w:pPr>
    </w:p>
    <w:p w:rsidR="00E60DDE" w:rsidRPr="00A1105D" w:rsidP="00E60DDE" w14:paraId="53A8991E" w14:textId="5A4CA1F9">
      <w:pPr>
        <w:ind w:hanging="2"/>
        <w:rPr>
          <w:b/>
          <w:i/>
          <w:szCs w:val="24"/>
          <w:u w:val="single"/>
        </w:rPr>
      </w:pPr>
      <w:r w:rsidRPr="00A1105D">
        <w:rPr>
          <w:b/>
          <w:iCs/>
          <w:szCs w:val="24"/>
          <w:u w:val="single"/>
        </w:rPr>
        <w:t>IC-</w:t>
      </w:r>
      <w:r>
        <w:rPr>
          <w:b/>
          <w:iCs/>
          <w:szCs w:val="24"/>
          <w:u w:val="single"/>
        </w:rPr>
        <w:t>7:</w:t>
      </w:r>
      <w:r w:rsidRPr="00A1105D">
        <w:rPr>
          <w:b/>
          <w:i/>
          <w:szCs w:val="24"/>
          <w:u w:val="single"/>
        </w:rPr>
        <w:t xml:space="preserve"> </w:t>
      </w:r>
      <w:r w:rsidR="00B52C02">
        <w:rPr>
          <w:b/>
          <w:i/>
          <w:szCs w:val="24"/>
          <w:u w:val="single"/>
        </w:rPr>
        <w:t xml:space="preserve">New </w:t>
      </w:r>
      <w:r w:rsidRPr="00A1105D">
        <w:rPr>
          <w:b/>
          <w:i/>
          <w:szCs w:val="24"/>
          <w:u w:val="single"/>
        </w:rPr>
        <w:t>CoP: Ongoing Data Analysis for OB services – Section 485.641(d)(4)</w:t>
      </w:r>
    </w:p>
    <w:p w:rsidR="00E60DDE" w:rsidRPr="00417D79" w:rsidP="00E60DDE" w14:paraId="0606FDA0" w14:textId="2DF26C50">
      <w:pPr>
        <w:ind w:hanging="2"/>
        <w:rPr>
          <w:bCs/>
          <w:iCs/>
          <w:szCs w:val="24"/>
        </w:rPr>
      </w:pPr>
      <w:r>
        <w:rPr>
          <w:bCs/>
          <w:iCs/>
          <w:szCs w:val="24"/>
        </w:rPr>
        <w:t xml:space="preserve">Once the required maternal health data is collected, each facility must conduct ongoing data analysis of maternal health quality metrics and make improvements based on the findings. </w:t>
      </w:r>
      <w:r w:rsidRPr="00417D79" w:rsidR="00417D79">
        <w:rPr>
          <w:bCs/>
          <w:iCs/>
          <w:szCs w:val="24"/>
        </w:rPr>
        <w:t xml:space="preserve">Per the assumptions in the </w:t>
      </w:r>
      <w:hyperlink r:id="rId9" w:history="1">
        <w:r w:rsidRPr="00417D79" w:rsidR="00417D79">
          <w:rPr>
            <w:rStyle w:val="Hyperlink"/>
            <w:szCs w:val="24"/>
          </w:rPr>
          <w:t>July 2024 Proposed Rule</w:t>
        </w:r>
      </w:hyperlink>
      <w:r w:rsidRPr="00417D79" w:rsidR="00417D79">
        <w:rPr>
          <w:bCs/>
          <w:iCs/>
          <w:szCs w:val="24"/>
        </w:rPr>
        <w:t>,</w:t>
      </w:r>
      <w:r w:rsidRPr="00417D79">
        <w:rPr>
          <w:bCs/>
          <w:iCs/>
          <w:szCs w:val="24"/>
        </w:rPr>
        <w:t xml:space="preserve"> </w:t>
      </w:r>
      <w:r w:rsidRPr="00417D79" w:rsidR="00417D79">
        <w:rPr>
          <w:bCs/>
          <w:iCs/>
          <w:szCs w:val="24"/>
        </w:rPr>
        <w:t xml:space="preserve">we </w:t>
      </w:r>
      <w:r w:rsidRPr="00417D79">
        <w:rPr>
          <w:bCs/>
          <w:iCs/>
          <w:szCs w:val="24"/>
        </w:rPr>
        <w:t xml:space="preserve">estimate </w:t>
      </w:r>
      <w:r w:rsidR="002A768B">
        <w:rPr>
          <w:bCs/>
          <w:iCs/>
          <w:szCs w:val="24"/>
        </w:rPr>
        <w:t xml:space="preserve">that </w:t>
      </w:r>
      <w:r>
        <w:rPr>
          <w:bCs/>
          <w:iCs/>
          <w:szCs w:val="24"/>
        </w:rPr>
        <w:t>each of the 513</w:t>
      </w:r>
      <w:r w:rsidRPr="00417D79" w:rsidR="00A05DB0">
        <w:rPr>
          <w:bCs/>
          <w:iCs/>
          <w:szCs w:val="24"/>
        </w:rPr>
        <w:t xml:space="preserve"> CAH</w:t>
      </w:r>
      <w:r>
        <w:rPr>
          <w:bCs/>
          <w:iCs/>
          <w:szCs w:val="24"/>
        </w:rPr>
        <w:t>s</w:t>
      </w:r>
      <w:r w:rsidRPr="00417D79">
        <w:rPr>
          <w:bCs/>
          <w:iCs/>
          <w:szCs w:val="24"/>
        </w:rPr>
        <w:t xml:space="preserve"> </w:t>
      </w:r>
      <w:r w:rsidRPr="00417D79" w:rsidR="00417D79">
        <w:rPr>
          <w:bCs/>
          <w:iCs/>
          <w:szCs w:val="24"/>
        </w:rPr>
        <w:t xml:space="preserve">that provides OB services </w:t>
      </w:r>
      <w:r w:rsidRPr="00417D79">
        <w:rPr>
          <w:bCs/>
          <w:iCs/>
          <w:szCs w:val="24"/>
        </w:rPr>
        <w:t xml:space="preserve">would need a Data Scientist (BLS Occupation Code 15-2051) who earns a loaded </w:t>
      </w:r>
      <w:r w:rsidRPr="00417D79" w:rsidR="003D53FF">
        <w:rPr>
          <w:bCs/>
          <w:iCs/>
          <w:szCs w:val="24"/>
        </w:rPr>
        <w:t>mean</w:t>
      </w:r>
      <w:r w:rsidRPr="00417D79">
        <w:rPr>
          <w:bCs/>
          <w:iCs/>
          <w:szCs w:val="24"/>
        </w:rPr>
        <w:t xml:space="preserve"> wage of $114.46 per hour to spend 8 hours every year an ongoing basis to </w:t>
      </w:r>
      <w:r w:rsidR="00417D79">
        <w:rPr>
          <w:bCs/>
          <w:iCs/>
          <w:szCs w:val="24"/>
        </w:rPr>
        <w:t xml:space="preserve">complete this task. </w:t>
      </w:r>
      <w:r w:rsidRPr="00417D79">
        <w:rPr>
          <w:bCs/>
          <w:iCs/>
          <w:szCs w:val="24"/>
        </w:rPr>
        <w:t xml:space="preserve"> </w:t>
      </w:r>
    </w:p>
    <w:p w:rsidR="00E60DDE" w:rsidP="00E60DDE" w14:paraId="553CA1EA" w14:textId="77777777">
      <w:pPr>
        <w:ind w:hanging="2"/>
        <w:rPr>
          <w:bCs/>
          <w:iCs/>
          <w:sz w:val="22"/>
          <w:szCs w:val="22"/>
        </w:rPr>
      </w:pPr>
    </w:p>
    <w:p w:rsidR="00DF2D09" w:rsidP="00E60DDE" w14:paraId="7BDE9BB4" w14:textId="77777777">
      <w:pPr>
        <w:ind w:hanging="2"/>
        <w:rPr>
          <w:bCs/>
          <w:iCs/>
          <w:sz w:val="22"/>
          <w:szCs w:val="22"/>
        </w:rPr>
      </w:pPr>
    </w:p>
    <w:p w:rsidR="00A1105D" w:rsidP="00E60DDE" w14:paraId="4E2D4562" w14:textId="37430877">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jc w:val="center"/>
        <w:rPr>
          <w:b/>
          <w:bCs/>
          <w:sz w:val="28"/>
          <w:szCs w:val="28"/>
        </w:rPr>
      </w:pPr>
      <w:r w:rsidRPr="00A1105D">
        <w:rPr>
          <w:b/>
          <w:bCs/>
          <w:sz w:val="28"/>
          <w:szCs w:val="28"/>
        </w:rPr>
        <w:t xml:space="preserve">Table </w:t>
      </w:r>
      <w:r>
        <w:rPr>
          <w:b/>
          <w:bCs/>
          <w:sz w:val="28"/>
          <w:szCs w:val="28"/>
        </w:rPr>
        <w:t>9</w:t>
      </w:r>
      <w:r w:rsidRPr="00A1105D">
        <w:rPr>
          <w:b/>
          <w:bCs/>
          <w:sz w:val="28"/>
          <w:szCs w:val="28"/>
        </w:rPr>
        <w:t xml:space="preserve">: IC- </w:t>
      </w:r>
      <w:r>
        <w:rPr>
          <w:b/>
          <w:bCs/>
          <w:sz w:val="28"/>
          <w:szCs w:val="28"/>
        </w:rPr>
        <w:t>7</w:t>
      </w:r>
    </w:p>
    <w:p w:rsidR="00E60DDE" w:rsidRPr="00A1105D" w:rsidP="00E60DDE" w14:paraId="121C7018" w14:textId="536C4D29">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
        <w:jc w:val="center"/>
        <w:rPr>
          <w:b/>
          <w:bCs/>
          <w:sz w:val="28"/>
          <w:szCs w:val="28"/>
        </w:rPr>
      </w:pPr>
      <w:r w:rsidRPr="00A1105D">
        <w:rPr>
          <w:b/>
          <w:bCs/>
          <w:sz w:val="28"/>
          <w:szCs w:val="28"/>
        </w:rPr>
        <w:t xml:space="preserve"> </w:t>
      </w:r>
      <w:r w:rsidRPr="00A1105D">
        <w:rPr>
          <w:b/>
          <w:bCs/>
          <w:i/>
          <w:iCs/>
          <w:sz w:val="28"/>
          <w:szCs w:val="28"/>
        </w:rPr>
        <w:t xml:space="preserve">CoP: </w:t>
      </w:r>
      <w:bookmarkStart w:id="10" w:name="_Hlk172868327"/>
      <w:r w:rsidRPr="00A1105D">
        <w:rPr>
          <w:b/>
          <w:bCs/>
          <w:i/>
          <w:iCs/>
          <w:sz w:val="28"/>
          <w:szCs w:val="28"/>
        </w:rPr>
        <w:t xml:space="preserve">Ongoing Data Analysis for OB services </w:t>
      </w:r>
      <w:r w:rsidRPr="00A1105D" w:rsidR="00D77981">
        <w:rPr>
          <w:b/>
          <w:bCs/>
          <w:i/>
          <w:iCs/>
          <w:sz w:val="28"/>
          <w:szCs w:val="28"/>
        </w:rPr>
        <w:t>–</w:t>
      </w:r>
      <w:r w:rsidRPr="00A1105D">
        <w:rPr>
          <w:b/>
          <w:bCs/>
          <w:i/>
          <w:iCs/>
          <w:sz w:val="28"/>
          <w:szCs w:val="28"/>
        </w:rPr>
        <w:t xml:space="preserve"> 48</w:t>
      </w:r>
      <w:r w:rsidRPr="00A1105D" w:rsidR="00D77981">
        <w:rPr>
          <w:b/>
          <w:bCs/>
          <w:i/>
          <w:iCs/>
          <w:sz w:val="28"/>
          <w:szCs w:val="28"/>
        </w:rPr>
        <w:t>5.641</w:t>
      </w:r>
      <w:r w:rsidRPr="00A1105D">
        <w:rPr>
          <w:b/>
          <w:bCs/>
          <w:i/>
          <w:iCs/>
          <w:sz w:val="28"/>
          <w:szCs w:val="28"/>
        </w:rPr>
        <w:t>(</w:t>
      </w:r>
      <w:r w:rsidRPr="00A1105D" w:rsidR="00D77981">
        <w:rPr>
          <w:b/>
          <w:bCs/>
          <w:i/>
          <w:iCs/>
          <w:sz w:val="28"/>
          <w:szCs w:val="28"/>
        </w:rPr>
        <w:t>d</w:t>
      </w:r>
      <w:r w:rsidRPr="00A1105D">
        <w:rPr>
          <w:b/>
          <w:bCs/>
          <w:i/>
          <w:iCs/>
          <w:sz w:val="28"/>
          <w:szCs w:val="28"/>
        </w:rPr>
        <w:t>)(4)</w:t>
      </w:r>
    </w:p>
    <w:tbl>
      <w:tblPr>
        <w:tblW w:w="7758" w:type="dxa"/>
        <w:tblInd w:w="607" w:type="dxa"/>
        <w:tblLayout w:type="fixed"/>
        <w:tblLook w:val="04A0"/>
      </w:tblPr>
      <w:tblGrid>
        <w:gridCol w:w="3978"/>
        <w:gridCol w:w="1026"/>
        <w:gridCol w:w="1023"/>
        <w:gridCol w:w="1731"/>
      </w:tblGrid>
      <w:tr w14:paraId="088CF6C0" w14:textId="77777777" w:rsidTr="00A1105D">
        <w:tblPrEx>
          <w:tblW w:w="7758" w:type="dxa"/>
          <w:tblInd w:w="607" w:type="dxa"/>
          <w:tblLayout w:type="fixed"/>
          <w:tblLook w:val="04A0"/>
        </w:tblPrEx>
        <w:trPr>
          <w:trHeight w:val="263"/>
        </w:trPr>
        <w:tc>
          <w:tcPr>
            <w:tcW w:w="3978" w:type="dxa"/>
            <w:tcBorders>
              <w:top w:val="single" w:sz="4" w:space="0" w:color="auto"/>
              <w:left w:val="single" w:sz="4" w:space="0" w:color="auto"/>
              <w:bottom w:val="single" w:sz="4" w:space="0" w:color="auto"/>
              <w:right w:val="single" w:sz="4" w:space="0" w:color="auto"/>
            </w:tcBorders>
            <w:shd w:val="clear" w:color="CCCCCC" w:fill="D9E7FD"/>
            <w:vAlign w:val="bottom"/>
            <w:hideMark/>
          </w:tcPr>
          <w:bookmarkEnd w:id="10"/>
          <w:p w:rsidR="00E60DDE" w:rsidRPr="00A1105D" w:rsidP="00702172" w14:paraId="6804F347" w14:textId="77777777">
            <w:pPr>
              <w:jc w:val="center"/>
              <w:rPr>
                <w:b/>
                <w:bCs/>
                <w:color w:val="000000"/>
                <w:szCs w:val="24"/>
              </w:rPr>
            </w:pPr>
            <w:r w:rsidRPr="00A1105D">
              <w:rPr>
                <w:b/>
                <w:bCs/>
                <w:color w:val="000000"/>
                <w:szCs w:val="24"/>
              </w:rPr>
              <w:t xml:space="preserve">Task </w:t>
            </w:r>
          </w:p>
        </w:tc>
        <w:tc>
          <w:tcPr>
            <w:tcW w:w="1026" w:type="dxa"/>
            <w:tcBorders>
              <w:top w:val="single" w:sz="4" w:space="0" w:color="auto"/>
              <w:left w:val="nil"/>
              <w:bottom w:val="single" w:sz="4" w:space="0" w:color="auto"/>
              <w:right w:val="single" w:sz="4" w:space="0" w:color="auto"/>
            </w:tcBorders>
            <w:shd w:val="clear" w:color="CCCCCC" w:fill="D9E7FD"/>
            <w:vAlign w:val="bottom"/>
            <w:hideMark/>
          </w:tcPr>
          <w:p w:rsidR="00E60DDE" w:rsidRPr="00A1105D" w:rsidP="00702172" w14:paraId="20F5CB3A" w14:textId="47A6BDA6">
            <w:pPr>
              <w:jc w:val="center"/>
              <w:rPr>
                <w:b/>
                <w:bCs/>
                <w:color w:val="000000"/>
                <w:szCs w:val="24"/>
              </w:rPr>
            </w:pPr>
            <w:r w:rsidRPr="00A1105D">
              <w:rPr>
                <w:b/>
                <w:bCs/>
                <w:color w:val="000000"/>
                <w:szCs w:val="24"/>
              </w:rPr>
              <w:t xml:space="preserve">Hourly </w:t>
            </w:r>
            <w:r w:rsidRPr="00A1105D" w:rsidR="003D53FF">
              <w:rPr>
                <w:b/>
                <w:bCs/>
                <w:color w:val="000000"/>
                <w:szCs w:val="24"/>
              </w:rPr>
              <w:t>M</w:t>
            </w:r>
            <w:r w:rsidR="00BF60B9">
              <w:rPr>
                <w:b/>
                <w:bCs/>
                <w:color w:val="000000"/>
                <w:szCs w:val="24"/>
              </w:rPr>
              <w:t>ean</w:t>
            </w:r>
            <w:r w:rsidRPr="00A1105D">
              <w:rPr>
                <w:b/>
                <w:bCs/>
                <w:color w:val="000000"/>
                <w:szCs w:val="24"/>
              </w:rPr>
              <w:t xml:space="preserve"> Wage</w:t>
            </w:r>
          </w:p>
        </w:tc>
        <w:tc>
          <w:tcPr>
            <w:tcW w:w="1023" w:type="dxa"/>
            <w:tcBorders>
              <w:top w:val="single" w:sz="4" w:space="0" w:color="auto"/>
              <w:left w:val="nil"/>
              <w:bottom w:val="single" w:sz="4" w:space="0" w:color="auto"/>
              <w:right w:val="single" w:sz="4" w:space="0" w:color="auto"/>
            </w:tcBorders>
            <w:shd w:val="clear" w:color="CCCCCC" w:fill="D9E7FD"/>
            <w:vAlign w:val="bottom"/>
            <w:hideMark/>
          </w:tcPr>
          <w:p w:rsidR="00E60DDE" w:rsidRPr="00A1105D" w:rsidP="00702172" w14:paraId="10824125" w14:textId="77777777">
            <w:pPr>
              <w:jc w:val="center"/>
              <w:rPr>
                <w:b/>
                <w:bCs/>
                <w:color w:val="000000"/>
                <w:szCs w:val="24"/>
              </w:rPr>
            </w:pPr>
            <w:r w:rsidRPr="00A1105D">
              <w:rPr>
                <w:b/>
                <w:bCs/>
                <w:color w:val="000000"/>
                <w:szCs w:val="24"/>
              </w:rPr>
              <w:t>Hours/</w:t>
            </w:r>
          </w:p>
          <w:p w:rsidR="00E60DDE" w:rsidRPr="00A1105D" w:rsidP="00702172" w14:paraId="7009F072" w14:textId="77777777">
            <w:pPr>
              <w:jc w:val="center"/>
              <w:rPr>
                <w:b/>
                <w:bCs/>
                <w:color w:val="000000"/>
                <w:szCs w:val="24"/>
              </w:rPr>
            </w:pPr>
            <w:r w:rsidRPr="00A1105D">
              <w:rPr>
                <w:b/>
                <w:bCs/>
                <w:color w:val="000000"/>
                <w:szCs w:val="24"/>
              </w:rPr>
              <w:t>Task</w:t>
            </w:r>
          </w:p>
        </w:tc>
        <w:tc>
          <w:tcPr>
            <w:tcW w:w="1731" w:type="dxa"/>
            <w:tcBorders>
              <w:top w:val="single" w:sz="4" w:space="0" w:color="auto"/>
              <w:left w:val="nil"/>
              <w:bottom w:val="single" w:sz="4" w:space="0" w:color="auto"/>
              <w:right w:val="single" w:sz="4" w:space="0" w:color="auto"/>
            </w:tcBorders>
            <w:shd w:val="clear" w:color="CCCCCC" w:fill="D9E7FD"/>
            <w:vAlign w:val="bottom"/>
            <w:hideMark/>
          </w:tcPr>
          <w:p w:rsidR="00E60DDE" w:rsidRPr="00A1105D" w:rsidP="00702172" w14:paraId="485A349C" w14:textId="77777777">
            <w:pPr>
              <w:jc w:val="center"/>
              <w:rPr>
                <w:b/>
                <w:bCs/>
                <w:color w:val="000000"/>
                <w:szCs w:val="24"/>
              </w:rPr>
            </w:pPr>
            <w:r w:rsidRPr="00A1105D">
              <w:rPr>
                <w:b/>
                <w:bCs/>
                <w:color w:val="000000"/>
                <w:szCs w:val="24"/>
              </w:rPr>
              <w:t>Cost/</w:t>
            </w:r>
          </w:p>
          <w:p w:rsidR="00E60DDE" w:rsidRPr="00A1105D" w:rsidP="00702172" w14:paraId="47A10D6D" w14:textId="77777777">
            <w:pPr>
              <w:jc w:val="center"/>
              <w:rPr>
                <w:b/>
                <w:bCs/>
                <w:color w:val="000000"/>
                <w:szCs w:val="24"/>
              </w:rPr>
            </w:pPr>
            <w:r w:rsidRPr="00A1105D">
              <w:rPr>
                <w:b/>
                <w:bCs/>
                <w:color w:val="000000"/>
                <w:szCs w:val="24"/>
              </w:rPr>
              <w:t>Task</w:t>
            </w:r>
          </w:p>
        </w:tc>
      </w:tr>
      <w:tr w14:paraId="6BF51919" w14:textId="77777777" w:rsidTr="00A1105D">
        <w:tblPrEx>
          <w:tblW w:w="7758" w:type="dxa"/>
          <w:tblInd w:w="607" w:type="dxa"/>
          <w:tblLayout w:type="fixed"/>
          <w:tblLook w:val="04A0"/>
        </w:tblPrEx>
        <w:trPr>
          <w:trHeight w:val="263"/>
        </w:trPr>
        <w:tc>
          <w:tcPr>
            <w:tcW w:w="3978" w:type="dxa"/>
            <w:tcBorders>
              <w:top w:val="nil"/>
              <w:left w:val="single" w:sz="4" w:space="0" w:color="auto"/>
              <w:bottom w:val="single" w:sz="4" w:space="0" w:color="auto"/>
              <w:right w:val="single" w:sz="4" w:space="0" w:color="auto"/>
            </w:tcBorders>
            <w:shd w:val="clear" w:color="auto" w:fill="auto"/>
            <w:vAlign w:val="bottom"/>
            <w:hideMark/>
          </w:tcPr>
          <w:p w:rsidR="00E60DDE" w:rsidRPr="00A1105D" w:rsidP="00702172" w14:paraId="43628293" w14:textId="5277233C">
            <w:pPr>
              <w:rPr>
                <w:color w:val="000000"/>
                <w:szCs w:val="24"/>
              </w:rPr>
            </w:pPr>
            <w:r w:rsidRPr="00A1105D">
              <w:rPr>
                <w:color w:val="000000"/>
                <w:szCs w:val="24"/>
              </w:rPr>
              <w:t>Data Scientist (BLS Code:15-2051)</w:t>
            </w:r>
          </w:p>
        </w:tc>
        <w:tc>
          <w:tcPr>
            <w:tcW w:w="1026" w:type="dxa"/>
            <w:tcBorders>
              <w:top w:val="nil"/>
              <w:left w:val="nil"/>
              <w:bottom w:val="single" w:sz="4" w:space="0" w:color="auto"/>
              <w:right w:val="single" w:sz="4" w:space="0" w:color="auto"/>
            </w:tcBorders>
            <w:shd w:val="clear" w:color="auto" w:fill="auto"/>
            <w:vAlign w:val="bottom"/>
            <w:hideMark/>
          </w:tcPr>
          <w:p w:rsidR="00E60DDE" w:rsidRPr="00A1105D" w:rsidP="00702172" w14:paraId="3538231C" w14:textId="77777777">
            <w:pPr>
              <w:jc w:val="center"/>
              <w:rPr>
                <w:szCs w:val="24"/>
              </w:rPr>
            </w:pPr>
            <w:r w:rsidRPr="00A1105D">
              <w:rPr>
                <w:szCs w:val="24"/>
              </w:rPr>
              <w:t>$114.46</w:t>
            </w:r>
          </w:p>
        </w:tc>
        <w:tc>
          <w:tcPr>
            <w:tcW w:w="1023" w:type="dxa"/>
            <w:tcBorders>
              <w:top w:val="nil"/>
              <w:left w:val="nil"/>
              <w:bottom w:val="single" w:sz="4" w:space="0" w:color="auto"/>
              <w:right w:val="single" w:sz="4" w:space="0" w:color="auto"/>
            </w:tcBorders>
            <w:shd w:val="clear" w:color="auto" w:fill="auto"/>
            <w:vAlign w:val="bottom"/>
            <w:hideMark/>
          </w:tcPr>
          <w:p w:rsidR="00E60DDE" w:rsidRPr="00A1105D" w:rsidP="00702172" w14:paraId="45A7BD9E" w14:textId="77777777">
            <w:pPr>
              <w:jc w:val="center"/>
              <w:rPr>
                <w:color w:val="000000"/>
                <w:szCs w:val="24"/>
              </w:rPr>
            </w:pPr>
            <w:r w:rsidRPr="00A1105D">
              <w:rPr>
                <w:color w:val="000000"/>
                <w:szCs w:val="24"/>
              </w:rPr>
              <w:t>8.0</w:t>
            </w:r>
          </w:p>
        </w:tc>
        <w:tc>
          <w:tcPr>
            <w:tcW w:w="1731" w:type="dxa"/>
            <w:tcBorders>
              <w:top w:val="nil"/>
              <w:left w:val="nil"/>
              <w:bottom w:val="single" w:sz="4" w:space="0" w:color="auto"/>
              <w:right w:val="single" w:sz="4" w:space="0" w:color="auto"/>
            </w:tcBorders>
            <w:shd w:val="clear" w:color="auto" w:fill="auto"/>
            <w:noWrap/>
            <w:vAlign w:val="bottom"/>
            <w:hideMark/>
          </w:tcPr>
          <w:p w:rsidR="00E60DDE" w:rsidRPr="00A1105D" w:rsidP="00702172" w14:paraId="4F222513" w14:textId="77777777">
            <w:pPr>
              <w:jc w:val="center"/>
              <w:rPr>
                <w:color w:val="000000"/>
                <w:szCs w:val="24"/>
              </w:rPr>
            </w:pPr>
            <w:r w:rsidRPr="00A1105D">
              <w:rPr>
                <w:color w:val="000000"/>
                <w:szCs w:val="24"/>
              </w:rPr>
              <w:t>$916</w:t>
            </w:r>
          </w:p>
        </w:tc>
      </w:tr>
      <w:tr w14:paraId="35F87744" w14:textId="77777777" w:rsidTr="00A1105D">
        <w:tblPrEx>
          <w:tblW w:w="7758" w:type="dxa"/>
          <w:tblInd w:w="607" w:type="dxa"/>
          <w:tblLayout w:type="fixed"/>
          <w:tblLook w:val="04A0"/>
        </w:tblPrEx>
        <w:trPr>
          <w:trHeight w:val="263"/>
        </w:trPr>
        <w:tc>
          <w:tcPr>
            <w:tcW w:w="3978" w:type="dxa"/>
            <w:tcBorders>
              <w:top w:val="nil"/>
              <w:left w:val="single" w:sz="4" w:space="0" w:color="auto"/>
              <w:bottom w:val="single" w:sz="4" w:space="0" w:color="auto"/>
              <w:right w:val="single" w:sz="4" w:space="0" w:color="auto"/>
            </w:tcBorders>
            <w:shd w:val="clear" w:color="auto" w:fill="auto"/>
            <w:vAlign w:val="bottom"/>
            <w:hideMark/>
          </w:tcPr>
          <w:p w:rsidR="00E60DDE" w:rsidRPr="00A1105D" w:rsidP="00702172" w14:paraId="34D0D410" w14:textId="77777777">
            <w:pPr>
              <w:jc w:val="right"/>
              <w:rPr>
                <w:color w:val="000000"/>
                <w:szCs w:val="24"/>
              </w:rPr>
            </w:pPr>
            <w:r w:rsidRPr="00A1105D">
              <w:rPr>
                <w:color w:val="000000"/>
                <w:szCs w:val="24"/>
              </w:rPr>
              <w:t># Facilities Impacted</w:t>
            </w:r>
          </w:p>
        </w:tc>
        <w:tc>
          <w:tcPr>
            <w:tcW w:w="1026" w:type="dxa"/>
            <w:tcBorders>
              <w:top w:val="nil"/>
              <w:left w:val="nil"/>
              <w:bottom w:val="single" w:sz="4" w:space="0" w:color="auto"/>
              <w:right w:val="single" w:sz="4" w:space="0" w:color="auto"/>
            </w:tcBorders>
            <w:shd w:val="clear" w:color="auto" w:fill="auto"/>
            <w:vAlign w:val="bottom"/>
            <w:hideMark/>
          </w:tcPr>
          <w:p w:rsidR="00E60DDE" w:rsidRPr="00A1105D" w:rsidP="00A05DB0" w14:paraId="4A642694" w14:textId="38BF56C0">
            <w:pPr>
              <w:jc w:val="center"/>
              <w:rPr>
                <w:szCs w:val="24"/>
              </w:rPr>
            </w:pPr>
            <w:r w:rsidRPr="00A1105D">
              <w:rPr>
                <w:szCs w:val="24"/>
              </w:rPr>
              <w:t>513</w:t>
            </w:r>
          </w:p>
        </w:tc>
        <w:tc>
          <w:tcPr>
            <w:tcW w:w="1023" w:type="dxa"/>
            <w:tcBorders>
              <w:top w:val="nil"/>
              <w:left w:val="nil"/>
              <w:bottom w:val="single" w:sz="4" w:space="0" w:color="auto"/>
              <w:right w:val="single" w:sz="4" w:space="0" w:color="auto"/>
            </w:tcBorders>
            <w:shd w:val="clear" w:color="auto" w:fill="auto"/>
            <w:vAlign w:val="bottom"/>
            <w:hideMark/>
          </w:tcPr>
          <w:p w:rsidR="00E60DDE" w:rsidRPr="00A1105D" w:rsidP="00702172" w14:paraId="7F28E184" w14:textId="77777777">
            <w:pPr>
              <w:jc w:val="center"/>
              <w:rPr>
                <w:color w:val="000000"/>
                <w:szCs w:val="24"/>
              </w:rPr>
            </w:pPr>
            <w:r w:rsidRPr="00A1105D">
              <w:rPr>
                <w:color w:val="000000"/>
                <w:szCs w:val="24"/>
              </w:rPr>
              <w:t> </w:t>
            </w:r>
          </w:p>
        </w:tc>
        <w:tc>
          <w:tcPr>
            <w:tcW w:w="1731" w:type="dxa"/>
            <w:tcBorders>
              <w:top w:val="nil"/>
              <w:left w:val="nil"/>
              <w:bottom w:val="single" w:sz="4" w:space="0" w:color="auto"/>
              <w:right w:val="single" w:sz="4" w:space="0" w:color="auto"/>
            </w:tcBorders>
            <w:shd w:val="clear" w:color="auto" w:fill="auto"/>
            <w:vAlign w:val="bottom"/>
            <w:hideMark/>
          </w:tcPr>
          <w:p w:rsidR="00E60DDE" w:rsidRPr="00A1105D" w:rsidP="00702172" w14:paraId="5E60786B" w14:textId="77777777">
            <w:pPr>
              <w:jc w:val="center"/>
              <w:rPr>
                <w:color w:val="000000"/>
                <w:szCs w:val="24"/>
              </w:rPr>
            </w:pPr>
            <w:r w:rsidRPr="00A1105D">
              <w:rPr>
                <w:color w:val="000000"/>
                <w:szCs w:val="24"/>
              </w:rPr>
              <w:t> </w:t>
            </w:r>
          </w:p>
        </w:tc>
      </w:tr>
      <w:tr w14:paraId="69DCF18A" w14:textId="77777777" w:rsidTr="007532BE">
        <w:tblPrEx>
          <w:tblW w:w="7758" w:type="dxa"/>
          <w:tblInd w:w="607" w:type="dxa"/>
          <w:tblLayout w:type="fixed"/>
          <w:tblLook w:val="04A0"/>
        </w:tblPrEx>
        <w:trPr>
          <w:trHeight w:val="263"/>
        </w:trPr>
        <w:tc>
          <w:tcPr>
            <w:tcW w:w="3978" w:type="dxa"/>
            <w:tcBorders>
              <w:top w:val="nil"/>
              <w:left w:val="single" w:sz="4" w:space="0" w:color="auto"/>
              <w:bottom w:val="single" w:sz="4" w:space="0" w:color="auto"/>
              <w:right w:val="single" w:sz="4" w:space="0" w:color="auto"/>
            </w:tcBorders>
            <w:shd w:val="clear" w:color="000000" w:fill="D9D9D9"/>
            <w:vAlign w:val="bottom"/>
            <w:hideMark/>
          </w:tcPr>
          <w:p w:rsidR="00A1105D" w:rsidRPr="00A1105D" w:rsidP="00A1105D" w14:paraId="18042FBE" w14:textId="77777777">
            <w:pPr>
              <w:jc w:val="right"/>
              <w:rPr>
                <w:b/>
                <w:bCs/>
                <w:color w:val="000000"/>
                <w:szCs w:val="24"/>
              </w:rPr>
            </w:pPr>
            <w:r w:rsidRPr="00A1105D">
              <w:rPr>
                <w:b/>
                <w:bCs/>
                <w:color w:val="000000"/>
                <w:szCs w:val="24"/>
              </w:rPr>
              <w:t xml:space="preserve">Total Annual Burden/Costs </w:t>
            </w:r>
          </w:p>
        </w:tc>
        <w:tc>
          <w:tcPr>
            <w:tcW w:w="1026" w:type="dxa"/>
            <w:tcBorders>
              <w:top w:val="nil"/>
              <w:left w:val="nil"/>
              <w:bottom w:val="single" w:sz="4" w:space="0" w:color="auto"/>
              <w:right w:val="single" w:sz="4" w:space="0" w:color="auto"/>
            </w:tcBorders>
            <w:shd w:val="clear" w:color="000000" w:fill="D9D9D9"/>
            <w:vAlign w:val="bottom"/>
            <w:hideMark/>
          </w:tcPr>
          <w:p w:rsidR="00A1105D" w:rsidRPr="00A1105D" w:rsidP="00A1105D" w14:paraId="73A83CCD" w14:textId="77777777">
            <w:pPr>
              <w:jc w:val="center"/>
              <w:rPr>
                <w:b/>
                <w:bCs/>
                <w:color w:val="000000"/>
                <w:szCs w:val="24"/>
              </w:rPr>
            </w:pPr>
            <w:r w:rsidRPr="00A1105D">
              <w:rPr>
                <w:b/>
                <w:bCs/>
                <w:color w:val="000000"/>
                <w:szCs w:val="24"/>
              </w:rPr>
              <w:t> </w:t>
            </w:r>
          </w:p>
        </w:tc>
        <w:tc>
          <w:tcPr>
            <w:tcW w:w="1023" w:type="dxa"/>
            <w:tcBorders>
              <w:top w:val="nil"/>
              <w:left w:val="nil"/>
              <w:bottom w:val="single" w:sz="4" w:space="0" w:color="auto"/>
              <w:right w:val="single" w:sz="4" w:space="0" w:color="auto"/>
            </w:tcBorders>
            <w:shd w:val="clear" w:color="000000" w:fill="D9D9D9"/>
            <w:noWrap/>
            <w:hideMark/>
          </w:tcPr>
          <w:p w:rsidR="00A1105D" w:rsidRPr="00A1105D" w:rsidP="00A1105D" w14:paraId="183167D5" w14:textId="4E9BEE25">
            <w:pPr>
              <w:jc w:val="center"/>
              <w:rPr>
                <w:b/>
                <w:bCs/>
                <w:color w:val="000000"/>
                <w:szCs w:val="24"/>
              </w:rPr>
            </w:pPr>
            <w:r w:rsidRPr="00A1105D">
              <w:rPr>
                <w:b/>
                <w:bCs/>
              </w:rPr>
              <w:t>4,104</w:t>
            </w:r>
          </w:p>
        </w:tc>
        <w:tc>
          <w:tcPr>
            <w:tcW w:w="1731" w:type="dxa"/>
            <w:tcBorders>
              <w:top w:val="nil"/>
              <w:left w:val="nil"/>
              <w:bottom w:val="single" w:sz="4" w:space="0" w:color="auto"/>
              <w:right w:val="single" w:sz="4" w:space="0" w:color="auto"/>
            </w:tcBorders>
            <w:shd w:val="clear" w:color="000000" w:fill="D9D9D9"/>
            <w:hideMark/>
          </w:tcPr>
          <w:p w:rsidR="00A1105D" w:rsidRPr="00A1105D" w:rsidP="00A1105D" w14:paraId="3A690476" w14:textId="1594A312">
            <w:pPr>
              <w:jc w:val="center"/>
              <w:rPr>
                <w:b/>
                <w:bCs/>
                <w:color w:val="000000"/>
                <w:szCs w:val="24"/>
              </w:rPr>
            </w:pPr>
            <w:r w:rsidRPr="00A1105D">
              <w:rPr>
                <w:b/>
                <w:bCs/>
              </w:rPr>
              <w:t>$469,908</w:t>
            </w:r>
          </w:p>
        </w:tc>
      </w:tr>
    </w:tbl>
    <w:p w:rsidR="00E60DDE" w:rsidRPr="00A1105D" w:rsidP="00E60DDE" w14:paraId="5C2B30B2" w14:textId="77777777">
      <w:pPr>
        <w:ind w:hanging="2"/>
        <w:rPr>
          <w:bCs/>
          <w:iCs/>
          <w:szCs w:val="24"/>
        </w:rPr>
      </w:pPr>
    </w:p>
    <w:p w:rsidR="00E60DDE" w14:paraId="791C2E2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DF2D09" w14:paraId="7EB4CF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68781E" w14:paraId="62EE9CD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0C580A" w14:paraId="46611E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0C580A" w14:paraId="732AC0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DF2D09" w14:paraId="63822BA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DF2D09" w14:paraId="102856D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DF2D09" w14:paraId="357A4ED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DF2D09" w14:paraId="418C3FD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DF2D09" w14:paraId="480E4A3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DF2D09" w14:paraId="40B910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DF2D09" w14:paraId="51C293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E60DDE" w:rsidRPr="00417D79" w:rsidP="00E60DDE" w14:paraId="3AA35718" w14:textId="0F405DB6">
      <w:pPr>
        <w:ind w:hanging="2"/>
        <w:rPr>
          <w:b/>
          <w:i/>
          <w:szCs w:val="24"/>
          <w:u w:val="single"/>
        </w:rPr>
      </w:pPr>
      <w:r w:rsidRPr="00417D79">
        <w:rPr>
          <w:b/>
          <w:iCs/>
          <w:szCs w:val="24"/>
          <w:u w:val="single"/>
        </w:rPr>
        <w:t>IC-8:</w:t>
      </w:r>
      <w:r w:rsidRPr="00417D79">
        <w:rPr>
          <w:b/>
          <w:i/>
          <w:szCs w:val="24"/>
          <w:u w:val="single"/>
        </w:rPr>
        <w:t xml:space="preserve"> </w:t>
      </w:r>
      <w:r w:rsidR="00B52C02">
        <w:rPr>
          <w:b/>
          <w:i/>
          <w:szCs w:val="24"/>
          <w:u w:val="single"/>
        </w:rPr>
        <w:t xml:space="preserve">New </w:t>
      </w:r>
      <w:r w:rsidRPr="00417D79">
        <w:rPr>
          <w:b/>
          <w:i/>
          <w:szCs w:val="24"/>
          <w:u w:val="single"/>
        </w:rPr>
        <w:t>CoP: Ongoing Maternal Death Reporting to MMRC – Section 485.641</w:t>
      </w:r>
      <w:r w:rsidRPr="00417D79" w:rsidR="00D77981">
        <w:rPr>
          <w:b/>
          <w:i/>
          <w:szCs w:val="24"/>
          <w:u w:val="single"/>
        </w:rPr>
        <w:t>(d)(4)(ii)</w:t>
      </w:r>
    </w:p>
    <w:p w:rsidR="00417D79" w:rsidP="00BF60B9" w14:paraId="32642DC5" w14:textId="2EADE67D">
      <w:pPr>
        <w:ind w:hanging="2"/>
        <w:rPr>
          <w:bCs/>
          <w:iCs/>
          <w:szCs w:val="24"/>
        </w:rPr>
      </w:pPr>
      <w:r>
        <w:rPr>
          <w:bCs/>
          <w:iCs/>
          <w:szCs w:val="24"/>
        </w:rPr>
        <w:t>Under Section 485.641(d)(4)(ii), every</w:t>
      </w:r>
      <w:r w:rsidRPr="00417D79">
        <w:rPr>
          <w:bCs/>
          <w:iCs/>
          <w:szCs w:val="24"/>
        </w:rPr>
        <w:t xml:space="preserve"> CAH that provides OB services </w:t>
      </w:r>
      <w:r w:rsidRPr="00417D79" w:rsidR="00E60DDE">
        <w:rPr>
          <w:bCs/>
          <w:iCs/>
          <w:szCs w:val="24"/>
        </w:rPr>
        <w:t xml:space="preserve">must report maternal deaths to the local maternal mortality review committee (MMRC). </w:t>
      </w:r>
      <w:r>
        <w:rPr>
          <w:bCs/>
          <w:iCs/>
          <w:szCs w:val="24"/>
        </w:rPr>
        <w:t>Based on the</w:t>
      </w:r>
      <w:r w:rsidRPr="00417D79" w:rsidR="00EA30A7">
        <w:rPr>
          <w:bCs/>
          <w:iCs/>
          <w:szCs w:val="24"/>
        </w:rPr>
        <w:t xml:space="preserve"> assumptions in the </w:t>
      </w:r>
      <w:hyperlink r:id="rId9" w:history="1">
        <w:r w:rsidRPr="00417D79" w:rsidR="00EA30A7">
          <w:rPr>
            <w:rStyle w:val="Hyperlink"/>
            <w:szCs w:val="24"/>
          </w:rPr>
          <w:t>July 2024 Proposed Rule</w:t>
        </w:r>
      </w:hyperlink>
      <w:r w:rsidRPr="00417D79" w:rsidR="00EA30A7">
        <w:rPr>
          <w:bCs/>
          <w:iCs/>
          <w:szCs w:val="24"/>
        </w:rPr>
        <w:t xml:space="preserve">, </w:t>
      </w:r>
      <w:r>
        <w:rPr>
          <w:bCs/>
          <w:iCs/>
          <w:szCs w:val="24"/>
        </w:rPr>
        <w:t>w</w:t>
      </w:r>
      <w:r w:rsidRPr="00417D79" w:rsidR="00E60DDE">
        <w:rPr>
          <w:bCs/>
          <w:iCs/>
          <w:szCs w:val="24"/>
        </w:rPr>
        <w:t xml:space="preserve">e estimate </w:t>
      </w:r>
      <w:r w:rsidRPr="00417D79" w:rsidR="00A05DB0">
        <w:rPr>
          <w:bCs/>
          <w:iCs/>
          <w:szCs w:val="24"/>
        </w:rPr>
        <w:t>CAHs</w:t>
      </w:r>
      <w:r w:rsidRPr="00417D79" w:rsidR="00E60DDE">
        <w:rPr>
          <w:bCs/>
          <w:iCs/>
          <w:szCs w:val="24"/>
        </w:rPr>
        <w:t xml:space="preserve"> will report </w:t>
      </w:r>
      <w:r w:rsidR="00125271">
        <w:rPr>
          <w:bCs/>
          <w:iCs/>
          <w:szCs w:val="24"/>
        </w:rPr>
        <w:t>69</w:t>
      </w:r>
      <w:r w:rsidRPr="00417D79" w:rsidR="00E60DDE">
        <w:rPr>
          <w:bCs/>
          <w:iCs/>
          <w:szCs w:val="24"/>
        </w:rPr>
        <w:t xml:space="preserve"> maternal deaths per year</w:t>
      </w:r>
      <w:r>
        <w:rPr>
          <w:bCs/>
          <w:iCs/>
          <w:szCs w:val="24"/>
        </w:rPr>
        <w:t xml:space="preserve"> (8% of 850 maternal deaths for both hospitals and CAHs) and each report would </w:t>
      </w:r>
      <w:r w:rsidRPr="00417D79" w:rsidR="00E60DDE">
        <w:rPr>
          <w:bCs/>
          <w:iCs/>
          <w:szCs w:val="24"/>
        </w:rPr>
        <w:t xml:space="preserve">require </w:t>
      </w:r>
      <w:r w:rsidRPr="00CC60CF">
        <w:rPr>
          <w:rFonts w:eastAsia="Times"/>
          <w:szCs w:val="24"/>
        </w:rPr>
        <w:t xml:space="preserve">a </w:t>
      </w:r>
      <w:r>
        <w:rPr>
          <w:rFonts w:eastAsia="Times"/>
          <w:szCs w:val="24"/>
        </w:rPr>
        <w:t>P</w:t>
      </w:r>
      <w:r w:rsidRPr="00CC60CF">
        <w:rPr>
          <w:rFonts w:eastAsia="Times"/>
          <w:szCs w:val="24"/>
        </w:rPr>
        <w:t xml:space="preserve">hysician </w:t>
      </w:r>
      <w:r>
        <w:rPr>
          <w:rFonts w:eastAsia="Times"/>
          <w:szCs w:val="24"/>
        </w:rPr>
        <w:t xml:space="preserve">(BLS Code: 29-1229) who earns a loaded hourly mean rate of </w:t>
      </w:r>
      <w:r w:rsidRPr="00CC60CF">
        <w:rPr>
          <w:rFonts w:eastAsia="Times"/>
          <w:szCs w:val="24"/>
        </w:rPr>
        <w:t>$253.70</w:t>
      </w:r>
      <w:r>
        <w:rPr>
          <w:rFonts w:eastAsia="Times"/>
          <w:szCs w:val="24"/>
        </w:rPr>
        <w:t xml:space="preserve"> and a </w:t>
      </w:r>
      <w:r w:rsidRPr="00417D79" w:rsidR="00E60DDE">
        <w:rPr>
          <w:bCs/>
          <w:iCs/>
          <w:szCs w:val="24"/>
        </w:rPr>
        <w:t>Medical Records Specialist</w:t>
      </w:r>
      <w:r>
        <w:rPr>
          <w:bCs/>
          <w:iCs/>
          <w:szCs w:val="24"/>
        </w:rPr>
        <w:t xml:space="preserve"> (BLS Code: 29-2072) who earns $51.62 per hour to spend 4 hours each.</w:t>
      </w:r>
    </w:p>
    <w:p w:rsidR="006D041A" w:rsidP="00BF60B9" w14:paraId="28EA5AEB" w14:textId="77777777">
      <w:pPr>
        <w:ind w:hanging="2"/>
        <w:rPr>
          <w:bCs/>
          <w:iCs/>
          <w:szCs w:val="24"/>
        </w:rPr>
      </w:pPr>
    </w:p>
    <w:p w:rsidR="00417D79" w:rsidP="00DF2D09" w14:paraId="3DA43442" w14:textId="4BD0DCB3">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 w:hanging="2"/>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417D79" w:rsidR="00E60DDE">
        <w:rPr>
          <w:b/>
          <w:bCs/>
          <w:sz w:val="28"/>
          <w:szCs w:val="28"/>
        </w:rPr>
        <w:t xml:space="preserve">Table </w:t>
      </w:r>
      <w:r>
        <w:rPr>
          <w:b/>
          <w:bCs/>
          <w:sz w:val="28"/>
          <w:szCs w:val="28"/>
        </w:rPr>
        <w:t>10</w:t>
      </w:r>
      <w:r w:rsidRPr="00417D79" w:rsidR="00E60DDE">
        <w:rPr>
          <w:b/>
          <w:bCs/>
          <w:sz w:val="28"/>
          <w:szCs w:val="28"/>
        </w:rPr>
        <w:t xml:space="preserve">: IC- </w:t>
      </w:r>
      <w:r>
        <w:rPr>
          <w:b/>
          <w:bCs/>
          <w:sz w:val="28"/>
          <w:szCs w:val="28"/>
        </w:rPr>
        <w:t>8:</w:t>
      </w:r>
    </w:p>
    <w:p w:rsidR="00E60DDE" w:rsidRPr="00417D79" w:rsidP="00417D79" w14:paraId="6E47B35D" w14:textId="3038DF61">
      <w:pPr>
        <w:pBdr>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 w:hanging="2"/>
        <w:jc w:val="center"/>
        <w:rPr>
          <w:b/>
          <w:bCs/>
          <w:sz w:val="28"/>
          <w:szCs w:val="28"/>
        </w:rPr>
      </w:pPr>
      <w:r w:rsidRPr="00417D79">
        <w:rPr>
          <w:b/>
          <w:bCs/>
          <w:i/>
          <w:iCs/>
          <w:sz w:val="28"/>
          <w:szCs w:val="28"/>
        </w:rPr>
        <w:t>CoP: Ongoing Maternal Death Reporting to MMRC – 485.641</w:t>
      </w:r>
      <w:r w:rsidR="00783422">
        <w:rPr>
          <w:b/>
          <w:bCs/>
          <w:i/>
          <w:iCs/>
          <w:sz w:val="28"/>
          <w:szCs w:val="28"/>
        </w:rPr>
        <w:t>(d)(4)(ii)</w:t>
      </w:r>
    </w:p>
    <w:tbl>
      <w:tblPr>
        <w:tblW w:w="7403" w:type="dxa"/>
        <w:tblInd w:w="607" w:type="dxa"/>
        <w:tblLook w:val="04A0"/>
      </w:tblPr>
      <w:tblGrid>
        <w:gridCol w:w="3258"/>
        <w:gridCol w:w="1260"/>
        <w:gridCol w:w="1430"/>
        <w:gridCol w:w="1455"/>
      </w:tblGrid>
      <w:tr w14:paraId="4BFCFAC7" w14:textId="77777777" w:rsidTr="00125271">
        <w:tblPrEx>
          <w:tblW w:w="7403" w:type="dxa"/>
          <w:tblInd w:w="607" w:type="dxa"/>
          <w:tblLook w:val="04A0"/>
        </w:tblPrEx>
        <w:trPr>
          <w:trHeight w:val="526"/>
        </w:trPr>
        <w:tc>
          <w:tcPr>
            <w:tcW w:w="3258"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E60DDE" w:rsidRPr="00417D79" w:rsidP="00702172" w14:paraId="4FB8E454" w14:textId="77777777">
            <w:pPr>
              <w:jc w:val="center"/>
              <w:rPr>
                <w:b/>
                <w:bCs/>
                <w:color w:val="000000"/>
                <w:szCs w:val="24"/>
              </w:rPr>
            </w:pPr>
            <w:r w:rsidRPr="00417D79">
              <w:rPr>
                <w:b/>
                <w:bCs/>
                <w:color w:val="000000"/>
                <w:szCs w:val="24"/>
              </w:rPr>
              <w:t xml:space="preserve">Task </w:t>
            </w:r>
          </w:p>
        </w:tc>
        <w:tc>
          <w:tcPr>
            <w:tcW w:w="1260" w:type="dxa"/>
            <w:tcBorders>
              <w:top w:val="single" w:sz="4" w:space="0" w:color="auto"/>
              <w:left w:val="nil"/>
              <w:bottom w:val="single" w:sz="4" w:space="0" w:color="auto"/>
              <w:right w:val="single" w:sz="4" w:space="0" w:color="auto"/>
            </w:tcBorders>
            <w:shd w:val="clear" w:color="CCCCCC" w:fill="D9E7FD"/>
            <w:vAlign w:val="bottom"/>
            <w:hideMark/>
          </w:tcPr>
          <w:p w:rsidR="00E60DDE" w:rsidRPr="00417D79" w:rsidP="00702172" w14:paraId="031C59F0" w14:textId="5E1963B7">
            <w:pPr>
              <w:jc w:val="center"/>
              <w:rPr>
                <w:b/>
                <w:bCs/>
                <w:color w:val="000000"/>
                <w:szCs w:val="24"/>
              </w:rPr>
            </w:pPr>
            <w:r w:rsidRPr="00417D79">
              <w:rPr>
                <w:b/>
                <w:bCs/>
                <w:color w:val="000000"/>
                <w:szCs w:val="24"/>
              </w:rPr>
              <w:t xml:space="preserve">Hourly </w:t>
            </w:r>
            <w:r w:rsidRPr="00417D79" w:rsidR="003D53FF">
              <w:rPr>
                <w:b/>
                <w:bCs/>
                <w:color w:val="000000"/>
                <w:szCs w:val="24"/>
              </w:rPr>
              <w:t>Me</w:t>
            </w:r>
            <w:r w:rsidR="00BF60B9">
              <w:rPr>
                <w:b/>
                <w:bCs/>
                <w:color w:val="000000"/>
                <w:szCs w:val="24"/>
              </w:rPr>
              <w:t>an</w:t>
            </w:r>
            <w:r w:rsidRPr="00417D79">
              <w:rPr>
                <w:b/>
                <w:bCs/>
                <w:color w:val="000000"/>
                <w:szCs w:val="24"/>
              </w:rPr>
              <w:t xml:space="preserve"> Wage</w:t>
            </w:r>
          </w:p>
        </w:tc>
        <w:tc>
          <w:tcPr>
            <w:tcW w:w="1430" w:type="dxa"/>
            <w:tcBorders>
              <w:top w:val="single" w:sz="4" w:space="0" w:color="auto"/>
              <w:left w:val="nil"/>
              <w:bottom w:val="single" w:sz="4" w:space="0" w:color="auto"/>
              <w:right w:val="single" w:sz="4" w:space="0" w:color="auto"/>
            </w:tcBorders>
            <w:shd w:val="clear" w:color="CCCCCC" w:fill="D9E7FD"/>
            <w:vAlign w:val="bottom"/>
            <w:hideMark/>
          </w:tcPr>
          <w:p w:rsidR="00E60DDE" w:rsidRPr="00417D79" w:rsidP="00702172" w14:paraId="71B3037B" w14:textId="77777777">
            <w:pPr>
              <w:jc w:val="center"/>
              <w:rPr>
                <w:b/>
                <w:bCs/>
                <w:color w:val="000000"/>
                <w:szCs w:val="24"/>
              </w:rPr>
            </w:pPr>
            <w:r w:rsidRPr="00417D79">
              <w:rPr>
                <w:b/>
                <w:bCs/>
                <w:color w:val="000000"/>
                <w:szCs w:val="24"/>
              </w:rPr>
              <w:t>Hours/Task</w:t>
            </w:r>
          </w:p>
        </w:tc>
        <w:tc>
          <w:tcPr>
            <w:tcW w:w="1455" w:type="dxa"/>
            <w:tcBorders>
              <w:top w:val="single" w:sz="4" w:space="0" w:color="auto"/>
              <w:left w:val="nil"/>
              <w:bottom w:val="single" w:sz="4" w:space="0" w:color="auto"/>
              <w:right w:val="single" w:sz="4" w:space="0" w:color="auto"/>
            </w:tcBorders>
            <w:shd w:val="clear" w:color="CCCCCC" w:fill="D9E7FD"/>
            <w:vAlign w:val="bottom"/>
            <w:hideMark/>
          </w:tcPr>
          <w:p w:rsidR="00E60DDE" w:rsidRPr="00417D79" w:rsidP="00702172" w14:paraId="7B9987D5" w14:textId="77777777">
            <w:pPr>
              <w:jc w:val="center"/>
              <w:rPr>
                <w:b/>
                <w:bCs/>
                <w:color w:val="000000"/>
                <w:szCs w:val="24"/>
              </w:rPr>
            </w:pPr>
            <w:r w:rsidRPr="00417D79">
              <w:rPr>
                <w:b/>
                <w:bCs/>
                <w:color w:val="000000"/>
                <w:szCs w:val="24"/>
              </w:rPr>
              <w:t>Cost/Task</w:t>
            </w:r>
          </w:p>
        </w:tc>
      </w:tr>
      <w:tr w14:paraId="46E72313" w14:textId="77777777" w:rsidTr="00125271">
        <w:tblPrEx>
          <w:tblW w:w="7403"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E60DDE" w:rsidRPr="00417D79" w:rsidP="00702172" w14:paraId="432D7CA2" w14:textId="77777777">
            <w:pPr>
              <w:rPr>
                <w:color w:val="000000"/>
                <w:szCs w:val="24"/>
              </w:rPr>
            </w:pPr>
            <w:r w:rsidRPr="00417D79">
              <w:rPr>
                <w:color w:val="000000"/>
                <w:szCs w:val="24"/>
              </w:rPr>
              <w:t>Physician</w:t>
            </w:r>
          </w:p>
        </w:tc>
        <w:tc>
          <w:tcPr>
            <w:tcW w:w="1260" w:type="dxa"/>
            <w:tcBorders>
              <w:top w:val="nil"/>
              <w:left w:val="nil"/>
              <w:bottom w:val="single" w:sz="4" w:space="0" w:color="auto"/>
              <w:right w:val="single" w:sz="4" w:space="0" w:color="auto"/>
            </w:tcBorders>
            <w:shd w:val="clear" w:color="auto" w:fill="auto"/>
            <w:vAlign w:val="bottom"/>
            <w:hideMark/>
          </w:tcPr>
          <w:p w:rsidR="00E60DDE" w:rsidRPr="00417D79" w:rsidP="00702172" w14:paraId="4313329C" w14:textId="77777777">
            <w:pPr>
              <w:jc w:val="center"/>
              <w:rPr>
                <w:color w:val="000000"/>
                <w:szCs w:val="24"/>
              </w:rPr>
            </w:pPr>
            <w:r w:rsidRPr="00417D79">
              <w:rPr>
                <w:color w:val="000000"/>
                <w:szCs w:val="24"/>
              </w:rPr>
              <w:t>$253.70</w:t>
            </w:r>
          </w:p>
        </w:tc>
        <w:tc>
          <w:tcPr>
            <w:tcW w:w="1430" w:type="dxa"/>
            <w:tcBorders>
              <w:top w:val="nil"/>
              <w:left w:val="nil"/>
              <w:bottom w:val="single" w:sz="4" w:space="0" w:color="auto"/>
              <w:right w:val="single" w:sz="4" w:space="0" w:color="auto"/>
            </w:tcBorders>
            <w:shd w:val="clear" w:color="auto" w:fill="auto"/>
            <w:vAlign w:val="bottom"/>
            <w:hideMark/>
          </w:tcPr>
          <w:p w:rsidR="00E60DDE" w:rsidRPr="00417D79" w:rsidP="00702172" w14:paraId="528969C1" w14:textId="77777777">
            <w:pPr>
              <w:jc w:val="center"/>
              <w:rPr>
                <w:color w:val="000000"/>
                <w:szCs w:val="24"/>
              </w:rPr>
            </w:pPr>
            <w:r w:rsidRPr="00417D79">
              <w:rPr>
                <w:color w:val="000000"/>
                <w:szCs w:val="24"/>
              </w:rPr>
              <w:t>4.0</w:t>
            </w:r>
          </w:p>
        </w:tc>
        <w:tc>
          <w:tcPr>
            <w:tcW w:w="1455" w:type="dxa"/>
            <w:tcBorders>
              <w:top w:val="nil"/>
              <w:left w:val="nil"/>
              <w:bottom w:val="single" w:sz="4" w:space="0" w:color="auto"/>
              <w:right w:val="single" w:sz="4" w:space="0" w:color="auto"/>
            </w:tcBorders>
            <w:shd w:val="clear" w:color="auto" w:fill="auto"/>
            <w:noWrap/>
            <w:vAlign w:val="bottom"/>
            <w:hideMark/>
          </w:tcPr>
          <w:p w:rsidR="00E60DDE" w:rsidRPr="00417D79" w:rsidP="00702172" w14:paraId="7CAAFE35" w14:textId="77777777">
            <w:pPr>
              <w:jc w:val="center"/>
              <w:rPr>
                <w:color w:val="000000"/>
                <w:szCs w:val="24"/>
              </w:rPr>
            </w:pPr>
            <w:r w:rsidRPr="00417D79">
              <w:rPr>
                <w:color w:val="000000"/>
                <w:szCs w:val="24"/>
              </w:rPr>
              <w:t>$1,015</w:t>
            </w:r>
          </w:p>
        </w:tc>
      </w:tr>
      <w:tr w14:paraId="4EA3F923" w14:textId="77777777" w:rsidTr="00125271">
        <w:tblPrEx>
          <w:tblW w:w="7403"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E60DDE" w:rsidRPr="00417D79" w:rsidP="00702172" w14:paraId="2C39786E" w14:textId="77777777">
            <w:pPr>
              <w:rPr>
                <w:color w:val="000000"/>
                <w:szCs w:val="24"/>
              </w:rPr>
            </w:pPr>
            <w:r w:rsidRPr="00417D79">
              <w:rPr>
                <w:color w:val="000000"/>
                <w:szCs w:val="24"/>
              </w:rPr>
              <w:t>Medical Records Specialist</w:t>
            </w:r>
          </w:p>
        </w:tc>
        <w:tc>
          <w:tcPr>
            <w:tcW w:w="1260" w:type="dxa"/>
            <w:tcBorders>
              <w:top w:val="nil"/>
              <w:left w:val="nil"/>
              <w:bottom w:val="single" w:sz="4" w:space="0" w:color="auto"/>
              <w:right w:val="single" w:sz="4" w:space="0" w:color="auto"/>
            </w:tcBorders>
            <w:shd w:val="clear" w:color="auto" w:fill="auto"/>
            <w:vAlign w:val="bottom"/>
            <w:hideMark/>
          </w:tcPr>
          <w:p w:rsidR="00E60DDE" w:rsidRPr="00417D79" w:rsidP="00702172" w14:paraId="33CDD659" w14:textId="77777777">
            <w:pPr>
              <w:jc w:val="center"/>
              <w:rPr>
                <w:color w:val="000000"/>
                <w:szCs w:val="24"/>
              </w:rPr>
            </w:pPr>
            <w:r w:rsidRPr="00417D79">
              <w:rPr>
                <w:color w:val="000000"/>
                <w:szCs w:val="24"/>
              </w:rPr>
              <w:t>$51.62</w:t>
            </w:r>
          </w:p>
        </w:tc>
        <w:tc>
          <w:tcPr>
            <w:tcW w:w="1430" w:type="dxa"/>
            <w:tcBorders>
              <w:top w:val="nil"/>
              <w:left w:val="nil"/>
              <w:bottom w:val="single" w:sz="4" w:space="0" w:color="auto"/>
              <w:right w:val="single" w:sz="4" w:space="0" w:color="auto"/>
            </w:tcBorders>
            <w:shd w:val="clear" w:color="auto" w:fill="auto"/>
            <w:vAlign w:val="bottom"/>
            <w:hideMark/>
          </w:tcPr>
          <w:p w:rsidR="00E60DDE" w:rsidRPr="00417D79" w:rsidP="00702172" w14:paraId="7AA4EB9F" w14:textId="77777777">
            <w:pPr>
              <w:jc w:val="center"/>
              <w:rPr>
                <w:color w:val="000000"/>
                <w:szCs w:val="24"/>
              </w:rPr>
            </w:pPr>
            <w:r w:rsidRPr="00417D79">
              <w:rPr>
                <w:color w:val="000000"/>
                <w:szCs w:val="24"/>
              </w:rPr>
              <w:t>4.0</w:t>
            </w:r>
          </w:p>
        </w:tc>
        <w:tc>
          <w:tcPr>
            <w:tcW w:w="1455" w:type="dxa"/>
            <w:tcBorders>
              <w:top w:val="nil"/>
              <w:left w:val="nil"/>
              <w:bottom w:val="single" w:sz="4" w:space="0" w:color="auto"/>
              <w:right w:val="single" w:sz="4" w:space="0" w:color="auto"/>
            </w:tcBorders>
            <w:shd w:val="clear" w:color="auto" w:fill="auto"/>
            <w:noWrap/>
            <w:vAlign w:val="bottom"/>
            <w:hideMark/>
          </w:tcPr>
          <w:p w:rsidR="00E60DDE" w:rsidRPr="00417D79" w:rsidP="00702172" w14:paraId="23F0240E" w14:textId="77777777">
            <w:pPr>
              <w:jc w:val="center"/>
              <w:rPr>
                <w:color w:val="000000"/>
                <w:szCs w:val="24"/>
              </w:rPr>
            </w:pPr>
            <w:r w:rsidRPr="00417D79">
              <w:rPr>
                <w:color w:val="000000"/>
                <w:szCs w:val="24"/>
              </w:rPr>
              <w:t>$206</w:t>
            </w:r>
          </w:p>
        </w:tc>
      </w:tr>
      <w:tr w14:paraId="78E253B4" w14:textId="77777777" w:rsidTr="00125271">
        <w:tblPrEx>
          <w:tblW w:w="7403"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noWrap/>
            <w:vAlign w:val="bottom"/>
            <w:hideMark/>
          </w:tcPr>
          <w:p w:rsidR="00E60DDE" w:rsidRPr="00417D79" w:rsidP="00702172" w14:paraId="03999B92" w14:textId="77777777">
            <w:pPr>
              <w:rPr>
                <w:color w:val="000000"/>
                <w:szCs w:val="24"/>
              </w:rPr>
            </w:pPr>
            <w:r w:rsidRPr="00417D79">
              <w:rPr>
                <w:color w:val="000000"/>
                <w:szCs w:val="24"/>
              </w:rPr>
              <w:t> </w:t>
            </w:r>
          </w:p>
        </w:tc>
        <w:tc>
          <w:tcPr>
            <w:tcW w:w="1260" w:type="dxa"/>
            <w:tcBorders>
              <w:top w:val="nil"/>
              <w:left w:val="nil"/>
              <w:bottom w:val="single" w:sz="4" w:space="0" w:color="auto"/>
              <w:right w:val="single" w:sz="4" w:space="0" w:color="auto"/>
            </w:tcBorders>
            <w:shd w:val="clear" w:color="auto" w:fill="auto"/>
            <w:vAlign w:val="bottom"/>
            <w:hideMark/>
          </w:tcPr>
          <w:p w:rsidR="00E60DDE" w:rsidRPr="00417D79" w:rsidP="00702172" w14:paraId="36F1DA13" w14:textId="77777777">
            <w:pPr>
              <w:jc w:val="center"/>
              <w:rPr>
                <w:b/>
                <w:bCs/>
                <w:color w:val="000000"/>
                <w:szCs w:val="24"/>
              </w:rPr>
            </w:pPr>
            <w:r w:rsidRPr="00417D79">
              <w:rPr>
                <w:b/>
                <w:bCs/>
                <w:color w:val="000000"/>
                <w:szCs w:val="24"/>
              </w:rPr>
              <w:t> </w:t>
            </w:r>
          </w:p>
        </w:tc>
        <w:tc>
          <w:tcPr>
            <w:tcW w:w="1430" w:type="dxa"/>
            <w:tcBorders>
              <w:top w:val="nil"/>
              <w:left w:val="nil"/>
              <w:bottom w:val="single" w:sz="4" w:space="0" w:color="auto"/>
              <w:right w:val="single" w:sz="4" w:space="0" w:color="auto"/>
            </w:tcBorders>
            <w:shd w:val="clear" w:color="auto" w:fill="auto"/>
            <w:vAlign w:val="bottom"/>
            <w:hideMark/>
          </w:tcPr>
          <w:p w:rsidR="00E60DDE" w:rsidRPr="00417D79" w:rsidP="00702172" w14:paraId="7747E0EB" w14:textId="77777777">
            <w:pPr>
              <w:jc w:val="center"/>
              <w:rPr>
                <w:b/>
                <w:bCs/>
                <w:color w:val="000000"/>
                <w:szCs w:val="24"/>
              </w:rPr>
            </w:pPr>
            <w:r w:rsidRPr="00417D79">
              <w:rPr>
                <w:b/>
                <w:bCs/>
                <w:color w:val="000000"/>
                <w:szCs w:val="24"/>
              </w:rPr>
              <w:t>8.0</w:t>
            </w:r>
          </w:p>
        </w:tc>
        <w:tc>
          <w:tcPr>
            <w:tcW w:w="1455" w:type="dxa"/>
            <w:tcBorders>
              <w:top w:val="nil"/>
              <w:left w:val="nil"/>
              <w:bottom w:val="single" w:sz="4" w:space="0" w:color="auto"/>
              <w:right w:val="single" w:sz="4" w:space="0" w:color="auto"/>
            </w:tcBorders>
            <w:shd w:val="clear" w:color="auto" w:fill="auto"/>
            <w:vAlign w:val="bottom"/>
            <w:hideMark/>
          </w:tcPr>
          <w:p w:rsidR="00E60DDE" w:rsidRPr="00417D79" w:rsidP="00702172" w14:paraId="1B8C854B" w14:textId="77777777">
            <w:pPr>
              <w:jc w:val="center"/>
              <w:rPr>
                <w:b/>
                <w:bCs/>
                <w:color w:val="000000"/>
                <w:szCs w:val="24"/>
              </w:rPr>
            </w:pPr>
            <w:r w:rsidRPr="00417D79">
              <w:rPr>
                <w:b/>
                <w:bCs/>
                <w:color w:val="000000"/>
                <w:szCs w:val="24"/>
              </w:rPr>
              <w:t>$1,221</w:t>
            </w:r>
          </w:p>
        </w:tc>
      </w:tr>
      <w:tr w14:paraId="64FCFC9E" w14:textId="77777777" w:rsidTr="00125271">
        <w:tblPrEx>
          <w:tblW w:w="7403" w:type="dxa"/>
          <w:tblInd w:w="607" w:type="dxa"/>
          <w:tblLook w:val="04A0"/>
        </w:tblPrEx>
        <w:trPr>
          <w:trHeight w:val="263"/>
        </w:trPr>
        <w:tc>
          <w:tcPr>
            <w:tcW w:w="5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60DDE" w:rsidRPr="00417D79" w:rsidP="00702172" w14:paraId="1DB208D8" w14:textId="77777777">
            <w:pPr>
              <w:jc w:val="right"/>
              <w:rPr>
                <w:color w:val="000000"/>
                <w:szCs w:val="24"/>
              </w:rPr>
            </w:pPr>
            <w:r w:rsidRPr="00417D79">
              <w:rPr>
                <w:color w:val="000000"/>
                <w:szCs w:val="24"/>
              </w:rPr>
              <w:t>Aggregate Staff Cost/Task</w:t>
            </w:r>
          </w:p>
        </w:tc>
        <w:tc>
          <w:tcPr>
            <w:tcW w:w="1455" w:type="dxa"/>
            <w:tcBorders>
              <w:top w:val="nil"/>
              <w:left w:val="nil"/>
              <w:bottom w:val="single" w:sz="4" w:space="0" w:color="auto"/>
              <w:right w:val="single" w:sz="4" w:space="0" w:color="auto"/>
            </w:tcBorders>
            <w:shd w:val="clear" w:color="000000" w:fill="F2F2F2"/>
            <w:vAlign w:val="bottom"/>
            <w:hideMark/>
          </w:tcPr>
          <w:p w:rsidR="00E60DDE" w:rsidRPr="00417D79" w:rsidP="00702172" w14:paraId="520A0209" w14:textId="04A5A8CE">
            <w:pPr>
              <w:jc w:val="center"/>
              <w:rPr>
                <w:b/>
                <w:bCs/>
                <w:color w:val="000000"/>
                <w:szCs w:val="24"/>
              </w:rPr>
            </w:pPr>
            <w:r w:rsidRPr="00417D79">
              <w:rPr>
                <w:b/>
                <w:bCs/>
                <w:color w:val="000000"/>
                <w:szCs w:val="24"/>
              </w:rPr>
              <w:t>$152.66</w:t>
            </w:r>
          </w:p>
        </w:tc>
      </w:tr>
      <w:tr w14:paraId="695F016E" w14:textId="77777777" w:rsidTr="00125271">
        <w:tblPrEx>
          <w:tblW w:w="7403" w:type="dxa"/>
          <w:tblInd w:w="607" w:type="dxa"/>
          <w:tblLook w:val="04A0"/>
        </w:tblPrEx>
        <w:trPr>
          <w:trHeight w:val="263"/>
        </w:trPr>
        <w:tc>
          <w:tcPr>
            <w:tcW w:w="3258" w:type="dxa"/>
            <w:tcBorders>
              <w:top w:val="single" w:sz="4" w:space="0" w:color="auto"/>
              <w:left w:val="single" w:sz="4" w:space="0" w:color="auto"/>
              <w:bottom w:val="single" w:sz="4" w:space="0" w:color="auto"/>
              <w:right w:val="single" w:sz="4" w:space="0" w:color="auto"/>
            </w:tcBorders>
            <w:shd w:val="clear" w:color="000000" w:fill="D9E7FD"/>
            <w:vAlign w:val="bottom"/>
            <w:hideMark/>
          </w:tcPr>
          <w:p w:rsidR="00E60DDE" w:rsidRPr="00417D79" w:rsidP="00702172" w14:paraId="58742212" w14:textId="77777777">
            <w:pPr>
              <w:jc w:val="center"/>
              <w:rPr>
                <w:b/>
                <w:bCs/>
                <w:color w:val="000000"/>
                <w:szCs w:val="24"/>
              </w:rPr>
            </w:pPr>
            <w:r w:rsidRPr="00417D79">
              <w:rPr>
                <w:b/>
                <w:bCs/>
                <w:color w:val="000000"/>
                <w:szCs w:val="24"/>
              </w:rPr>
              <w:t># of Tasks</w:t>
            </w:r>
          </w:p>
        </w:tc>
        <w:tc>
          <w:tcPr>
            <w:tcW w:w="1260" w:type="dxa"/>
            <w:tcBorders>
              <w:top w:val="single" w:sz="4" w:space="0" w:color="auto"/>
              <w:left w:val="nil"/>
              <w:bottom w:val="single" w:sz="4" w:space="0" w:color="auto"/>
              <w:right w:val="single" w:sz="4" w:space="0" w:color="auto"/>
            </w:tcBorders>
            <w:shd w:val="clear" w:color="000000" w:fill="D9E7FD"/>
            <w:vAlign w:val="bottom"/>
            <w:hideMark/>
          </w:tcPr>
          <w:p w:rsidR="00E60DDE" w:rsidRPr="00417D79" w:rsidP="00702172" w14:paraId="7A4C0339" w14:textId="77777777">
            <w:pPr>
              <w:jc w:val="center"/>
              <w:rPr>
                <w:b/>
                <w:bCs/>
                <w:color w:val="000000"/>
                <w:szCs w:val="24"/>
              </w:rPr>
            </w:pPr>
            <w:r w:rsidRPr="00417D79">
              <w:rPr>
                <w:b/>
                <w:bCs/>
                <w:color w:val="000000"/>
                <w:szCs w:val="24"/>
              </w:rPr>
              <w:t>Factors</w:t>
            </w:r>
          </w:p>
        </w:tc>
        <w:tc>
          <w:tcPr>
            <w:tcW w:w="1430" w:type="dxa"/>
            <w:tcBorders>
              <w:top w:val="single" w:sz="4" w:space="0" w:color="auto"/>
              <w:left w:val="nil"/>
              <w:bottom w:val="single" w:sz="4" w:space="0" w:color="auto"/>
              <w:right w:val="single" w:sz="4" w:space="0" w:color="auto"/>
            </w:tcBorders>
            <w:shd w:val="clear" w:color="000000" w:fill="D9E7FD"/>
            <w:vAlign w:val="bottom"/>
            <w:hideMark/>
          </w:tcPr>
          <w:p w:rsidR="00E60DDE" w:rsidRPr="00417D79" w:rsidP="00702172" w14:paraId="5124971E" w14:textId="77777777">
            <w:pPr>
              <w:jc w:val="center"/>
              <w:rPr>
                <w:b/>
                <w:bCs/>
                <w:color w:val="000000"/>
                <w:szCs w:val="24"/>
              </w:rPr>
            </w:pPr>
            <w:r w:rsidRPr="00417D79">
              <w:rPr>
                <w:b/>
                <w:bCs/>
                <w:color w:val="000000"/>
                <w:szCs w:val="24"/>
              </w:rPr>
              <w:t>Hospitals</w:t>
            </w:r>
          </w:p>
        </w:tc>
        <w:tc>
          <w:tcPr>
            <w:tcW w:w="1455" w:type="dxa"/>
            <w:tcBorders>
              <w:top w:val="single" w:sz="4" w:space="0" w:color="auto"/>
              <w:left w:val="nil"/>
              <w:bottom w:val="single" w:sz="4" w:space="0" w:color="auto"/>
              <w:right w:val="single" w:sz="4" w:space="0" w:color="auto"/>
            </w:tcBorders>
            <w:shd w:val="clear" w:color="000000" w:fill="D9E7FD"/>
            <w:vAlign w:val="bottom"/>
            <w:hideMark/>
          </w:tcPr>
          <w:p w:rsidR="00E60DDE" w:rsidRPr="00417D79" w:rsidP="00702172" w14:paraId="03C64C05" w14:textId="77777777">
            <w:pPr>
              <w:jc w:val="center"/>
              <w:rPr>
                <w:b/>
                <w:bCs/>
                <w:color w:val="000000"/>
                <w:szCs w:val="24"/>
              </w:rPr>
            </w:pPr>
            <w:r w:rsidRPr="00417D79">
              <w:rPr>
                <w:b/>
                <w:bCs/>
                <w:color w:val="000000"/>
                <w:szCs w:val="24"/>
              </w:rPr>
              <w:t>CAHs</w:t>
            </w:r>
          </w:p>
        </w:tc>
      </w:tr>
      <w:tr w14:paraId="57AEB79E" w14:textId="77777777" w:rsidTr="00125271">
        <w:tblPrEx>
          <w:tblW w:w="7403"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E60DDE" w:rsidRPr="00417D79" w:rsidP="00702172" w14:paraId="7CC6B9D7" w14:textId="77777777">
            <w:pPr>
              <w:rPr>
                <w:color w:val="000000"/>
                <w:szCs w:val="24"/>
              </w:rPr>
            </w:pPr>
            <w:r w:rsidRPr="00417D79">
              <w:rPr>
                <w:color w:val="000000"/>
                <w:szCs w:val="24"/>
              </w:rPr>
              <w:t>Total Annual Maternal Deaths</w:t>
            </w:r>
          </w:p>
        </w:tc>
        <w:tc>
          <w:tcPr>
            <w:tcW w:w="1260" w:type="dxa"/>
            <w:tcBorders>
              <w:top w:val="nil"/>
              <w:left w:val="nil"/>
              <w:bottom w:val="single" w:sz="4" w:space="0" w:color="auto"/>
              <w:right w:val="single" w:sz="4" w:space="0" w:color="auto"/>
            </w:tcBorders>
            <w:shd w:val="clear" w:color="auto" w:fill="auto"/>
            <w:vAlign w:val="bottom"/>
            <w:hideMark/>
          </w:tcPr>
          <w:p w:rsidR="00E60DDE" w:rsidRPr="00417D79" w:rsidP="00702172" w14:paraId="6ED467FC" w14:textId="77777777">
            <w:pPr>
              <w:jc w:val="center"/>
              <w:rPr>
                <w:szCs w:val="24"/>
              </w:rPr>
            </w:pPr>
            <w:r w:rsidRPr="00417D79">
              <w:rPr>
                <w:szCs w:val="24"/>
              </w:rPr>
              <w:t>850</w:t>
            </w:r>
          </w:p>
        </w:tc>
        <w:tc>
          <w:tcPr>
            <w:tcW w:w="1430" w:type="dxa"/>
            <w:tcBorders>
              <w:top w:val="nil"/>
              <w:left w:val="nil"/>
              <w:bottom w:val="single" w:sz="4" w:space="0" w:color="auto"/>
              <w:right w:val="single" w:sz="4" w:space="0" w:color="auto"/>
            </w:tcBorders>
            <w:shd w:val="clear" w:color="auto" w:fill="auto"/>
            <w:vAlign w:val="bottom"/>
            <w:hideMark/>
          </w:tcPr>
          <w:p w:rsidR="00E60DDE" w:rsidRPr="00417D79" w:rsidP="00702172" w14:paraId="65A62A8D" w14:textId="77777777">
            <w:pPr>
              <w:jc w:val="center"/>
              <w:rPr>
                <w:szCs w:val="24"/>
              </w:rPr>
            </w:pPr>
            <w:r w:rsidRPr="00417D79">
              <w:rPr>
                <w:szCs w:val="24"/>
              </w:rPr>
              <w:t> </w:t>
            </w:r>
          </w:p>
        </w:tc>
        <w:tc>
          <w:tcPr>
            <w:tcW w:w="1455" w:type="dxa"/>
            <w:tcBorders>
              <w:top w:val="nil"/>
              <w:left w:val="nil"/>
              <w:bottom w:val="single" w:sz="4" w:space="0" w:color="auto"/>
              <w:right w:val="single" w:sz="4" w:space="0" w:color="auto"/>
            </w:tcBorders>
            <w:shd w:val="clear" w:color="auto" w:fill="auto"/>
            <w:vAlign w:val="bottom"/>
            <w:hideMark/>
          </w:tcPr>
          <w:p w:rsidR="00E60DDE" w:rsidRPr="00417D79" w:rsidP="00702172" w14:paraId="32BB54BD" w14:textId="77777777">
            <w:pPr>
              <w:jc w:val="center"/>
              <w:rPr>
                <w:szCs w:val="24"/>
              </w:rPr>
            </w:pPr>
            <w:r w:rsidRPr="00417D79">
              <w:rPr>
                <w:szCs w:val="24"/>
              </w:rPr>
              <w:t> </w:t>
            </w:r>
          </w:p>
        </w:tc>
      </w:tr>
      <w:tr w14:paraId="28A62F9E" w14:textId="77777777" w:rsidTr="00125271">
        <w:tblPrEx>
          <w:tblW w:w="7403"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E60DDE" w:rsidRPr="00417D79" w:rsidP="00702172" w14:paraId="64C703E2" w14:textId="2D0A7A41">
            <w:pPr>
              <w:rPr>
                <w:color w:val="000000"/>
                <w:szCs w:val="24"/>
              </w:rPr>
            </w:pPr>
            <w:r w:rsidRPr="00417D79">
              <w:rPr>
                <w:color w:val="000000"/>
                <w:szCs w:val="24"/>
              </w:rPr>
              <w:t>Total Facilities</w:t>
            </w:r>
            <w:r w:rsidR="00417D79">
              <w:rPr>
                <w:color w:val="000000"/>
                <w:szCs w:val="24"/>
              </w:rPr>
              <w:t xml:space="preserve"> that provide OB services</w:t>
            </w:r>
          </w:p>
        </w:tc>
        <w:tc>
          <w:tcPr>
            <w:tcW w:w="1260" w:type="dxa"/>
            <w:tcBorders>
              <w:top w:val="nil"/>
              <w:left w:val="nil"/>
              <w:bottom w:val="single" w:sz="4" w:space="0" w:color="auto"/>
              <w:right w:val="single" w:sz="4" w:space="0" w:color="auto"/>
            </w:tcBorders>
            <w:shd w:val="clear" w:color="auto" w:fill="auto"/>
            <w:vAlign w:val="bottom"/>
            <w:hideMark/>
          </w:tcPr>
          <w:p w:rsidR="00E60DDE" w:rsidRPr="00417D79" w:rsidP="00702172" w14:paraId="41ECECFD" w14:textId="503F903B">
            <w:pPr>
              <w:jc w:val="center"/>
              <w:rPr>
                <w:szCs w:val="24"/>
              </w:rPr>
            </w:pPr>
            <w:r w:rsidRPr="00417D79">
              <w:rPr>
                <w:szCs w:val="24"/>
              </w:rPr>
              <w:t>6,3</w:t>
            </w:r>
            <w:r w:rsidR="00417D79">
              <w:rPr>
                <w:szCs w:val="24"/>
              </w:rPr>
              <w:t>10</w:t>
            </w:r>
          </w:p>
        </w:tc>
        <w:tc>
          <w:tcPr>
            <w:tcW w:w="1430" w:type="dxa"/>
            <w:tcBorders>
              <w:top w:val="nil"/>
              <w:left w:val="nil"/>
              <w:bottom w:val="single" w:sz="4" w:space="0" w:color="auto"/>
              <w:right w:val="single" w:sz="4" w:space="0" w:color="auto"/>
            </w:tcBorders>
            <w:shd w:val="clear" w:color="auto" w:fill="auto"/>
            <w:vAlign w:val="bottom"/>
            <w:hideMark/>
          </w:tcPr>
          <w:p w:rsidR="00E60DDE" w:rsidRPr="00417D79" w:rsidP="00702172" w14:paraId="394C715D" w14:textId="72E578C9">
            <w:pPr>
              <w:jc w:val="center"/>
              <w:rPr>
                <w:szCs w:val="24"/>
              </w:rPr>
            </w:pPr>
            <w:r>
              <w:rPr>
                <w:szCs w:val="24"/>
              </w:rPr>
              <w:t>5,797</w:t>
            </w:r>
          </w:p>
        </w:tc>
        <w:tc>
          <w:tcPr>
            <w:tcW w:w="1455" w:type="dxa"/>
            <w:tcBorders>
              <w:top w:val="nil"/>
              <w:left w:val="nil"/>
              <w:bottom w:val="single" w:sz="4" w:space="0" w:color="auto"/>
              <w:right w:val="single" w:sz="4" w:space="0" w:color="auto"/>
            </w:tcBorders>
            <w:shd w:val="clear" w:color="auto" w:fill="auto"/>
            <w:vAlign w:val="bottom"/>
            <w:hideMark/>
          </w:tcPr>
          <w:p w:rsidR="00E60DDE" w:rsidRPr="00417D79" w:rsidP="00702172" w14:paraId="44A5D341" w14:textId="193EDB7D">
            <w:pPr>
              <w:jc w:val="center"/>
              <w:rPr>
                <w:szCs w:val="24"/>
              </w:rPr>
            </w:pPr>
            <w:r>
              <w:rPr>
                <w:szCs w:val="24"/>
              </w:rPr>
              <w:t>513</w:t>
            </w:r>
          </w:p>
        </w:tc>
      </w:tr>
      <w:tr w14:paraId="7CE136EB" w14:textId="77777777" w:rsidTr="00125271">
        <w:tblPrEx>
          <w:tblW w:w="7403"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E60DDE" w:rsidRPr="00417D79" w:rsidP="00702172" w14:paraId="0A7D936C" w14:textId="77777777">
            <w:pPr>
              <w:rPr>
                <w:color w:val="000000"/>
                <w:szCs w:val="24"/>
              </w:rPr>
            </w:pPr>
            <w:r w:rsidRPr="00417D79">
              <w:rPr>
                <w:color w:val="000000"/>
                <w:szCs w:val="24"/>
              </w:rPr>
              <w:t>% of Total</w:t>
            </w:r>
          </w:p>
        </w:tc>
        <w:tc>
          <w:tcPr>
            <w:tcW w:w="1260" w:type="dxa"/>
            <w:tcBorders>
              <w:top w:val="nil"/>
              <w:left w:val="nil"/>
              <w:bottom w:val="single" w:sz="4" w:space="0" w:color="auto"/>
              <w:right w:val="single" w:sz="4" w:space="0" w:color="auto"/>
            </w:tcBorders>
            <w:shd w:val="clear" w:color="auto" w:fill="auto"/>
            <w:noWrap/>
            <w:vAlign w:val="bottom"/>
            <w:hideMark/>
          </w:tcPr>
          <w:p w:rsidR="00E60DDE" w:rsidRPr="00417D79" w:rsidP="00702172" w14:paraId="0E8D539B" w14:textId="77777777">
            <w:pPr>
              <w:rPr>
                <w:color w:val="000000"/>
                <w:szCs w:val="24"/>
              </w:rPr>
            </w:pPr>
            <w:r w:rsidRPr="00417D79">
              <w:rPr>
                <w:color w:val="000000"/>
                <w:szCs w:val="24"/>
              </w:rPr>
              <w:t> </w:t>
            </w:r>
          </w:p>
        </w:tc>
        <w:tc>
          <w:tcPr>
            <w:tcW w:w="1430" w:type="dxa"/>
            <w:tcBorders>
              <w:top w:val="nil"/>
              <w:left w:val="nil"/>
              <w:bottom w:val="single" w:sz="4" w:space="0" w:color="auto"/>
              <w:right w:val="single" w:sz="4" w:space="0" w:color="auto"/>
            </w:tcBorders>
            <w:shd w:val="clear" w:color="auto" w:fill="auto"/>
            <w:vAlign w:val="bottom"/>
            <w:hideMark/>
          </w:tcPr>
          <w:p w:rsidR="00E60DDE" w:rsidRPr="00417D79" w:rsidP="00702172" w14:paraId="5ECD0BB7" w14:textId="6E1A3998">
            <w:pPr>
              <w:jc w:val="center"/>
              <w:rPr>
                <w:szCs w:val="24"/>
              </w:rPr>
            </w:pPr>
            <w:r>
              <w:rPr>
                <w:szCs w:val="24"/>
              </w:rPr>
              <w:t>92</w:t>
            </w:r>
            <w:r w:rsidRPr="00417D79">
              <w:rPr>
                <w:szCs w:val="24"/>
              </w:rPr>
              <w:t>%</w:t>
            </w:r>
          </w:p>
        </w:tc>
        <w:tc>
          <w:tcPr>
            <w:tcW w:w="1455" w:type="dxa"/>
            <w:tcBorders>
              <w:top w:val="nil"/>
              <w:left w:val="nil"/>
              <w:bottom w:val="single" w:sz="4" w:space="0" w:color="auto"/>
              <w:right w:val="single" w:sz="4" w:space="0" w:color="auto"/>
            </w:tcBorders>
            <w:shd w:val="clear" w:color="auto" w:fill="auto"/>
            <w:vAlign w:val="bottom"/>
            <w:hideMark/>
          </w:tcPr>
          <w:p w:rsidR="00E60DDE" w:rsidRPr="00417D79" w:rsidP="00702172" w14:paraId="7B476456" w14:textId="61E933B6">
            <w:pPr>
              <w:jc w:val="center"/>
              <w:rPr>
                <w:szCs w:val="24"/>
              </w:rPr>
            </w:pPr>
            <w:r>
              <w:rPr>
                <w:szCs w:val="24"/>
              </w:rPr>
              <w:t>8</w:t>
            </w:r>
            <w:r w:rsidRPr="00417D79">
              <w:rPr>
                <w:szCs w:val="24"/>
              </w:rPr>
              <w:t>%</w:t>
            </w:r>
          </w:p>
        </w:tc>
      </w:tr>
      <w:tr w14:paraId="08907D68" w14:textId="77777777" w:rsidTr="00125271">
        <w:tblPrEx>
          <w:tblW w:w="7403"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auto" w:fill="auto"/>
            <w:vAlign w:val="bottom"/>
            <w:hideMark/>
          </w:tcPr>
          <w:p w:rsidR="00E60DDE" w:rsidRPr="00417D79" w:rsidP="00702172" w14:paraId="6704C2FD" w14:textId="77777777">
            <w:pPr>
              <w:rPr>
                <w:color w:val="000000"/>
                <w:szCs w:val="24"/>
              </w:rPr>
            </w:pPr>
            <w:r w:rsidRPr="00417D79">
              <w:rPr>
                <w:color w:val="000000"/>
                <w:szCs w:val="24"/>
              </w:rPr>
              <w:t># of Maternal Deaths to report/year</w:t>
            </w:r>
          </w:p>
        </w:tc>
        <w:tc>
          <w:tcPr>
            <w:tcW w:w="1260" w:type="dxa"/>
            <w:tcBorders>
              <w:top w:val="nil"/>
              <w:left w:val="nil"/>
              <w:bottom w:val="single" w:sz="4" w:space="0" w:color="auto"/>
              <w:right w:val="single" w:sz="4" w:space="0" w:color="auto"/>
            </w:tcBorders>
            <w:shd w:val="clear" w:color="auto" w:fill="auto"/>
            <w:noWrap/>
            <w:vAlign w:val="bottom"/>
            <w:hideMark/>
          </w:tcPr>
          <w:p w:rsidR="00E60DDE" w:rsidRPr="00417D79" w:rsidP="00702172" w14:paraId="3CB95A39" w14:textId="77777777">
            <w:pPr>
              <w:rPr>
                <w:color w:val="000000"/>
                <w:szCs w:val="24"/>
              </w:rPr>
            </w:pPr>
            <w:r w:rsidRPr="00417D79">
              <w:rPr>
                <w:color w:val="000000"/>
                <w:szCs w:val="24"/>
              </w:rPr>
              <w:t> </w:t>
            </w:r>
          </w:p>
        </w:tc>
        <w:tc>
          <w:tcPr>
            <w:tcW w:w="1430" w:type="dxa"/>
            <w:tcBorders>
              <w:top w:val="nil"/>
              <w:left w:val="nil"/>
              <w:bottom w:val="single" w:sz="4" w:space="0" w:color="auto"/>
              <w:right w:val="single" w:sz="4" w:space="0" w:color="auto"/>
            </w:tcBorders>
            <w:shd w:val="clear" w:color="auto" w:fill="auto"/>
            <w:vAlign w:val="bottom"/>
            <w:hideMark/>
          </w:tcPr>
          <w:p w:rsidR="00E60DDE" w:rsidRPr="00417D79" w:rsidP="00702172" w14:paraId="2DC70F48" w14:textId="4446B5C3">
            <w:pPr>
              <w:jc w:val="center"/>
              <w:rPr>
                <w:szCs w:val="24"/>
              </w:rPr>
            </w:pPr>
            <w:r>
              <w:rPr>
                <w:szCs w:val="24"/>
              </w:rPr>
              <w:t>781</w:t>
            </w:r>
          </w:p>
        </w:tc>
        <w:tc>
          <w:tcPr>
            <w:tcW w:w="1455" w:type="dxa"/>
            <w:tcBorders>
              <w:top w:val="nil"/>
              <w:left w:val="nil"/>
              <w:bottom w:val="single" w:sz="4" w:space="0" w:color="auto"/>
              <w:right w:val="single" w:sz="4" w:space="0" w:color="auto"/>
            </w:tcBorders>
            <w:shd w:val="clear" w:color="auto" w:fill="auto"/>
            <w:vAlign w:val="bottom"/>
            <w:hideMark/>
          </w:tcPr>
          <w:p w:rsidR="00E60DDE" w:rsidRPr="00417D79" w:rsidP="00702172" w14:paraId="48A1F713" w14:textId="005DF550">
            <w:pPr>
              <w:jc w:val="center"/>
              <w:rPr>
                <w:szCs w:val="24"/>
              </w:rPr>
            </w:pPr>
            <w:r>
              <w:rPr>
                <w:szCs w:val="24"/>
              </w:rPr>
              <w:t>69</w:t>
            </w:r>
          </w:p>
        </w:tc>
      </w:tr>
      <w:tr w14:paraId="4E7E7034" w14:textId="77777777" w:rsidTr="00125271">
        <w:tblPrEx>
          <w:tblW w:w="7403" w:type="dxa"/>
          <w:tblInd w:w="607" w:type="dxa"/>
          <w:tblLook w:val="04A0"/>
        </w:tblPrEx>
        <w:trPr>
          <w:trHeight w:val="263"/>
        </w:trPr>
        <w:tc>
          <w:tcPr>
            <w:tcW w:w="7403" w:type="dxa"/>
            <w:gridSpan w:val="4"/>
            <w:tcBorders>
              <w:top w:val="single" w:sz="4" w:space="0" w:color="auto"/>
              <w:left w:val="single" w:sz="4" w:space="0" w:color="auto"/>
              <w:bottom w:val="single" w:sz="4" w:space="0" w:color="auto"/>
              <w:right w:val="nil"/>
            </w:tcBorders>
            <w:shd w:val="clear" w:color="000000" w:fill="D9D9D9"/>
            <w:vAlign w:val="bottom"/>
            <w:hideMark/>
          </w:tcPr>
          <w:p w:rsidR="00E60DDE" w:rsidRPr="00417D79" w:rsidP="00702172" w14:paraId="2A27A8AB" w14:textId="77777777">
            <w:pPr>
              <w:rPr>
                <w:b/>
                <w:bCs/>
                <w:color w:val="000000"/>
                <w:szCs w:val="24"/>
              </w:rPr>
            </w:pPr>
            <w:r w:rsidRPr="00417D79">
              <w:rPr>
                <w:b/>
                <w:bCs/>
                <w:color w:val="000000"/>
                <w:szCs w:val="24"/>
              </w:rPr>
              <w:t xml:space="preserve">Total Annual Burden/Costs </w:t>
            </w:r>
          </w:p>
        </w:tc>
      </w:tr>
      <w:tr w14:paraId="3472FCEC" w14:textId="77777777" w:rsidTr="00125271">
        <w:tblPrEx>
          <w:tblW w:w="7403" w:type="dxa"/>
          <w:tblInd w:w="607" w:type="dxa"/>
          <w:tblLook w:val="04A0"/>
        </w:tblPrEx>
        <w:trPr>
          <w:trHeight w:val="263"/>
        </w:trPr>
        <w:tc>
          <w:tcPr>
            <w:tcW w:w="3258" w:type="dxa"/>
            <w:tcBorders>
              <w:top w:val="nil"/>
              <w:left w:val="single" w:sz="4" w:space="0" w:color="auto"/>
              <w:bottom w:val="single" w:sz="4" w:space="0" w:color="auto"/>
              <w:right w:val="single" w:sz="4" w:space="0" w:color="auto"/>
            </w:tcBorders>
            <w:shd w:val="clear" w:color="000000" w:fill="D9D9D9"/>
            <w:noWrap/>
            <w:vAlign w:val="bottom"/>
            <w:hideMark/>
          </w:tcPr>
          <w:p w:rsidR="00125271" w:rsidRPr="00417D79" w:rsidP="00125271" w14:paraId="63A34AB0" w14:textId="214B653B">
            <w:pPr>
              <w:jc w:val="right"/>
              <w:rPr>
                <w:color w:val="000000"/>
                <w:szCs w:val="24"/>
              </w:rPr>
            </w:pPr>
            <w:r>
              <w:rPr>
                <w:color w:val="000000"/>
                <w:szCs w:val="24"/>
              </w:rPr>
              <w:t>CAHs</w:t>
            </w:r>
          </w:p>
        </w:tc>
        <w:tc>
          <w:tcPr>
            <w:tcW w:w="1260" w:type="dxa"/>
            <w:tcBorders>
              <w:top w:val="nil"/>
              <w:left w:val="nil"/>
              <w:bottom w:val="single" w:sz="4" w:space="0" w:color="auto"/>
              <w:right w:val="single" w:sz="4" w:space="0" w:color="auto"/>
            </w:tcBorders>
            <w:shd w:val="clear" w:color="000000" w:fill="D9D9D9"/>
            <w:hideMark/>
          </w:tcPr>
          <w:p w:rsidR="00125271" w:rsidRPr="00125271" w:rsidP="00125271" w14:paraId="0A752CF0" w14:textId="45BF2A1A">
            <w:pPr>
              <w:jc w:val="center"/>
              <w:rPr>
                <w:b/>
                <w:bCs/>
                <w:color w:val="000000"/>
                <w:szCs w:val="24"/>
              </w:rPr>
            </w:pPr>
            <w:r w:rsidRPr="00125271">
              <w:rPr>
                <w:b/>
                <w:bCs/>
              </w:rPr>
              <w:t>69</w:t>
            </w:r>
          </w:p>
        </w:tc>
        <w:tc>
          <w:tcPr>
            <w:tcW w:w="1430" w:type="dxa"/>
            <w:tcBorders>
              <w:top w:val="nil"/>
              <w:left w:val="nil"/>
              <w:bottom w:val="single" w:sz="4" w:space="0" w:color="auto"/>
              <w:right w:val="single" w:sz="4" w:space="0" w:color="auto"/>
            </w:tcBorders>
            <w:shd w:val="clear" w:color="000000" w:fill="D9D9D9"/>
            <w:noWrap/>
            <w:hideMark/>
          </w:tcPr>
          <w:p w:rsidR="00125271" w:rsidRPr="00125271" w:rsidP="00125271" w14:paraId="4C49B559" w14:textId="25765827">
            <w:pPr>
              <w:jc w:val="center"/>
              <w:rPr>
                <w:b/>
                <w:bCs/>
                <w:color w:val="000000"/>
                <w:szCs w:val="24"/>
              </w:rPr>
            </w:pPr>
            <w:r w:rsidRPr="00125271">
              <w:rPr>
                <w:b/>
                <w:bCs/>
              </w:rPr>
              <w:t>553</w:t>
            </w:r>
          </w:p>
        </w:tc>
        <w:tc>
          <w:tcPr>
            <w:tcW w:w="1455" w:type="dxa"/>
            <w:tcBorders>
              <w:top w:val="nil"/>
              <w:left w:val="nil"/>
              <w:bottom w:val="single" w:sz="4" w:space="0" w:color="auto"/>
              <w:right w:val="single" w:sz="4" w:space="0" w:color="auto"/>
            </w:tcBorders>
            <w:shd w:val="clear" w:color="000000" w:fill="D9D9D9"/>
            <w:hideMark/>
          </w:tcPr>
          <w:p w:rsidR="00125271" w:rsidRPr="00125271" w:rsidP="00125271" w14:paraId="42BF0015" w14:textId="268BD2E5">
            <w:pPr>
              <w:jc w:val="center"/>
              <w:rPr>
                <w:b/>
                <w:bCs/>
                <w:color w:val="000000"/>
                <w:szCs w:val="24"/>
              </w:rPr>
            </w:pPr>
            <w:r w:rsidRPr="00125271">
              <w:rPr>
                <w:b/>
                <w:bCs/>
              </w:rPr>
              <w:t>$84,421</w:t>
            </w:r>
          </w:p>
        </w:tc>
      </w:tr>
    </w:tbl>
    <w:p w:rsidR="00E60DDE" w:rsidRPr="00417D79" w14:paraId="2017FB83" w14:textId="77777777">
      <w:pPr>
        <w:rPr>
          <w:b/>
          <w:i/>
          <w:szCs w:val="24"/>
          <w:u w:val="single"/>
        </w:rPr>
      </w:pPr>
    </w:p>
    <w:p w:rsidR="00DF2D09" w14:paraId="196F8223" w14:textId="77777777">
      <w:pPr>
        <w:rPr>
          <w:b/>
          <w:i/>
          <w:sz w:val="22"/>
          <w:szCs w:val="22"/>
          <w:u w:val="single"/>
        </w:rPr>
      </w:pPr>
    </w:p>
    <w:p w:rsidR="005477E9" w:rsidRPr="00E914F3" w:rsidP="00E914F3" w14:paraId="324C2285" w14:textId="705C13BB">
      <w:pPr>
        <w:rPr>
          <w:b/>
          <w:bCs/>
          <w:i/>
          <w:iCs/>
          <w:szCs w:val="24"/>
          <w:u w:val="single"/>
        </w:rPr>
      </w:pPr>
      <w:r w:rsidRPr="00125271">
        <w:rPr>
          <w:b/>
          <w:bCs/>
          <w:szCs w:val="24"/>
          <w:u w:val="single"/>
        </w:rPr>
        <w:t>IC</w:t>
      </w:r>
      <w:r w:rsidR="00125271">
        <w:rPr>
          <w:b/>
          <w:bCs/>
          <w:szCs w:val="24"/>
          <w:u w:val="single"/>
        </w:rPr>
        <w:t>-</w:t>
      </w:r>
      <w:r w:rsidRPr="00125271" w:rsidR="00125271">
        <w:rPr>
          <w:b/>
          <w:bCs/>
          <w:szCs w:val="24"/>
          <w:u w:val="single"/>
        </w:rPr>
        <w:t>9</w:t>
      </w:r>
      <w:r w:rsidR="00125271">
        <w:rPr>
          <w:b/>
          <w:bCs/>
          <w:szCs w:val="24"/>
          <w:u w:val="single"/>
        </w:rPr>
        <w:t>:</w:t>
      </w:r>
      <w:r w:rsidRPr="00E914F3">
        <w:rPr>
          <w:b/>
          <w:bCs/>
          <w:i/>
          <w:iCs/>
          <w:szCs w:val="24"/>
          <w:u w:val="single"/>
        </w:rPr>
        <w:t xml:space="preserve"> </w:t>
      </w:r>
      <w:r w:rsidR="00B52C02">
        <w:rPr>
          <w:b/>
          <w:bCs/>
          <w:i/>
          <w:iCs/>
          <w:szCs w:val="24"/>
          <w:u w:val="single"/>
        </w:rPr>
        <w:t xml:space="preserve">New </w:t>
      </w:r>
      <w:r w:rsidR="00125271">
        <w:rPr>
          <w:b/>
          <w:bCs/>
          <w:i/>
          <w:iCs/>
          <w:szCs w:val="24"/>
          <w:u w:val="single"/>
        </w:rPr>
        <w:t xml:space="preserve">CoP: </w:t>
      </w:r>
      <w:r w:rsidRPr="00E914F3">
        <w:rPr>
          <w:b/>
          <w:bCs/>
          <w:i/>
          <w:iCs/>
          <w:szCs w:val="24"/>
          <w:u w:val="single"/>
        </w:rPr>
        <w:t>Practitioners’ Roster – Section 48</w:t>
      </w:r>
      <w:r>
        <w:rPr>
          <w:b/>
          <w:bCs/>
          <w:i/>
          <w:iCs/>
          <w:szCs w:val="24"/>
          <w:u w:val="single"/>
        </w:rPr>
        <w:t>5.649</w:t>
      </w:r>
      <w:r w:rsidRPr="00E914F3">
        <w:rPr>
          <w:b/>
          <w:bCs/>
          <w:i/>
          <w:iCs/>
          <w:szCs w:val="24"/>
          <w:u w:val="single"/>
        </w:rPr>
        <w:t xml:space="preserve">(a)(2) </w:t>
      </w:r>
    </w:p>
    <w:p w:rsidR="005477E9" w:rsidRPr="00D6435F" w:rsidP="005477E9" w14:paraId="2DD51D36" w14:textId="0C5E4405">
      <w:pPr>
        <w:ind w:hanging="2"/>
      </w:pPr>
      <w:r>
        <w:t xml:space="preserve">The new CoP at </w:t>
      </w:r>
      <w:r w:rsidR="00E744E5">
        <w:t xml:space="preserve">Section </w:t>
      </w:r>
      <w:r>
        <w:t>485.649(a)(2) requires</w:t>
      </w:r>
      <w:r w:rsidR="00B044D6">
        <w:t xml:space="preserve"> the 513</w:t>
      </w:r>
      <w:r>
        <w:t xml:space="preserve"> CAHs </w:t>
      </w:r>
      <w:r w:rsidR="00B044D6">
        <w:t xml:space="preserve">that provide OB services </w:t>
      </w:r>
      <w:r>
        <w:t xml:space="preserve">to </w:t>
      </w:r>
      <w:r w:rsidR="00BF60B9">
        <w:t xml:space="preserve">annually update </w:t>
      </w:r>
      <w:r w:rsidR="00B044D6">
        <w:t xml:space="preserve">a </w:t>
      </w:r>
      <w:r>
        <w:t>list</w:t>
      </w:r>
      <w:r w:rsidRPr="00D6435F">
        <w:t xml:space="preserve"> of </w:t>
      </w:r>
      <w:r w:rsidR="00B044D6">
        <w:t xml:space="preserve">their </w:t>
      </w:r>
      <w:r>
        <w:t>OB staff</w:t>
      </w:r>
      <w:r w:rsidR="00B044D6">
        <w:t>’s</w:t>
      </w:r>
      <w:r w:rsidRPr="00D6435F">
        <w:t xml:space="preserve"> specific competencies and privileges</w:t>
      </w:r>
      <w:r>
        <w:t xml:space="preserve">. We estimate </w:t>
      </w:r>
      <w:r w:rsidR="00DD5815">
        <w:t xml:space="preserve">that </w:t>
      </w:r>
      <w:r w:rsidR="00125271">
        <w:t>each</w:t>
      </w:r>
      <w:r w:rsidR="00DD5815">
        <w:t xml:space="preserve"> </w:t>
      </w:r>
      <w:r w:rsidR="00BF60B9">
        <w:t xml:space="preserve">of the 513 </w:t>
      </w:r>
      <w:r w:rsidR="00DD5815">
        <w:t>CAH</w:t>
      </w:r>
      <w:r w:rsidR="00BF60B9">
        <w:t>s</w:t>
      </w:r>
      <w:r w:rsidR="00DD5815">
        <w:t xml:space="preserve"> that provide</w:t>
      </w:r>
      <w:r w:rsidR="00125271">
        <w:t>s</w:t>
      </w:r>
      <w:r w:rsidR="00DD5815">
        <w:t xml:space="preserve"> OB services</w:t>
      </w:r>
      <w:r w:rsidR="00125271">
        <w:t xml:space="preserve"> </w:t>
      </w:r>
      <w:r>
        <w:t xml:space="preserve">would </w:t>
      </w:r>
      <w:r w:rsidR="00DD5815">
        <w:t xml:space="preserve">need </w:t>
      </w:r>
      <w:r w:rsidR="00BF60B9">
        <w:t>a Medical Secretary (BLS Code 43-6013) who earns a loaded hourly mean rate of $41.70</w:t>
      </w:r>
      <w:r w:rsidR="00DD5815">
        <w:t xml:space="preserve"> </w:t>
      </w:r>
      <w:r>
        <w:t xml:space="preserve">to </w:t>
      </w:r>
      <w:r w:rsidR="00BF60B9">
        <w:t xml:space="preserve">spend 8 hours per year to </w:t>
      </w:r>
      <w:r>
        <w:t>annually update this “practioners’ ro</w:t>
      </w:r>
      <w:r w:rsidR="00BF60B9">
        <w:t>ster.”</w:t>
      </w:r>
    </w:p>
    <w:p w:rsidR="00DF2D09" w:rsidP="00E914F3" w14:paraId="23FBA1D1" w14:textId="77777777">
      <w:pPr>
        <w:pStyle w:val="Heading4"/>
        <w:jc w:val="center"/>
        <w:rPr>
          <w:rFonts w:ascii="Times New Roman" w:hAnsi="Times New Roman" w:cs="Times New Roman"/>
          <w:b/>
          <w:bCs/>
          <w:i w:val="0"/>
          <w:iCs w:val="0"/>
          <w:color w:val="auto"/>
          <w:sz w:val="28"/>
          <w:szCs w:val="22"/>
        </w:rPr>
      </w:pPr>
    </w:p>
    <w:p w:rsidR="00125271" w:rsidP="00E914F3" w14:paraId="0CE47769" w14:textId="26083590">
      <w:pPr>
        <w:pStyle w:val="Heading4"/>
        <w:jc w:val="center"/>
        <w:rPr>
          <w:rFonts w:ascii="Times New Roman" w:hAnsi="Times New Roman" w:cs="Times New Roman"/>
          <w:b/>
          <w:bCs/>
          <w:i w:val="0"/>
          <w:iCs w:val="0"/>
          <w:color w:val="auto"/>
          <w:sz w:val="28"/>
          <w:szCs w:val="22"/>
        </w:rPr>
      </w:pPr>
      <w:r w:rsidRPr="00E914F3">
        <w:rPr>
          <w:rFonts w:ascii="Times New Roman" w:hAnsi="Times New Roman" w:cs="Times New Roman"/>
          <w:b/>
          <w:bCs/>
          <w:i w:val="0"/>
          <w:iCs w:val="0"/>
          <w:color w:val="auto"/>
          <w:sz w:val="28"/>
          <w:szCs w:val="22"/>
        </w:rPr>
        <w:t>Table</w:t>
      </w:r>
      <w:r>
        <w:rPr>
          <w:rFonts w:ascii="Times New Roman" w:hAnsi="Times New Roman" w:cs="Times New Roman"/>
          <w:b/>
          <w:bCs/>
          <w:i w:val="0"/>
          <w:iCs w:val="0"/>
          <w:color w:val="auto"/>
          <w:sz w:val="28"/>
          <w:szCs w:val="22"/>
        </w:rPr>
        <w:t xml:space="preserve"> 11</w:t>
      </w:r>
      <w:r w:rsidRPr="00E914F3">
        <w:rPr>
          <w:rFonts w:ascii="Times New Roman" w:hAnsi="Times New Roman" w:cs="Times New Roman"/>
          <w:b/>
          <w:bCs/>
          <w:i w:val="0"/>
          <w:iCs w:val="0"/>
          <w:color w:val="auto"/>
          <w:sz w:val="28"/>
          <w:szCs w:val="22"/>
        </w:rPr>
        <w:t>: IC</w:t>
      </w:r>
      <w:r>
        <w:rPr>
          <w:rFonts w:ascii="Times New Roman" w:hAnsi="Times New Roman" w:cs="Times New Roman"/>
          <w:b/>
          <w:bCs/>
          <w:i w:val="0"/>
          <w:iCs w:val="0"/>
          <w:color w:val="auto"/>
          <w:sz w:val="28"/>
          <w:szCs w:val="22"/>
        </w:rPr>
        <w:t>-9</w:t>
      </w:r>
    </w:p>
    <w:p w:rsidR="005477E9" w:rsidRPr="00125271" w:rsidP="00E914F3" w14:paraId="02149980" w14:textId="66FCD782">
      <w:pPr>
        <w:pStyle w:val="Heading4"/>
        <w:jc w:val="center"/>
        <w:rPr>
          <w:rFonts w:ascii="Times New Roman" w:eastAsia="Times" w:hAnsi="Times New Roman" w:cs="Times New Roman"/>
          <w:b/>
          <w:bCs/>
          <w:color w:val="auto"/>
          <w:sz w:val="28"/>
          <w:szCs w:val="22"/>
        </w:rPr>
      </w:pPr>
      <w:r w:rsidRPr="00125271">
        <w:rPr>
          <w:rFonts w:ascii="Times New Roman" w:hAnsi="Times New Roman" w:cs="Times New Roman"/>
          <w:b/>
          <w:bCs/>
          <w:color w:val="auto"/>
          <w:sz w:val="28"/>
          <w:szCs w:val="22"/>
        </w:rPr>
        <w:t xml:space="preserve"> CoP: Practitioners’ Roster – 48</w:t>
      </w:r>
      <w:r w:rsidRPr="00125271" w:rsidR="00E914F3">
        <w:rPr>
          <w:rFonts w:ascii="Times New Roman" w:hAnsi="Times New Roman" w:cs="Times New Roman"/>
          <w:b/>
          <w:bCs/>
          <w:color w:val="auto"/>
          <w:sz w:val="28"/>
          <w:szCs w:val="22"/>
        </w:rPr>
        <w:t>5.649</w:t>
      </w:r>
      <w:r w:rsidRPr="00125271">
        <w:rPr>
          <w:rFonts w:ascii="Times New Roman" w:hAnsi="Times New Roman" w:cs="Times New Roman"/>
          <w:b/>
          <w:bCs/>
          <w:color w:val="auto"/>
          <w:sz w:val="28"/>
          <w:szCs w:val="22"/>
        </w:rPr>
        <w:t>(a)(2)</w:t>
      </w:r>
    </w:p>
    <w:tbl>
      <w:tblPr>
        <w:tblW w:w="7520" w:type="dxa"/>
        <w:tblInd w:w="720" w:type="dxa"/>
        <w:tblLook w:val="04A0"/>
      </w:tblPr>
      <w:tblGrid>
        <w:gridCol w:w="3352"/>
        <w:gridCol w:w="1418"/>
        <w:gridCol w:w="1430"/>
        <w:gridCol w:w="1320"/>
      </w:tblGrid>
      <w:tr w14:paraId="425CBA32" w14:textId="77777777" w:rsidTr="00B52C02">
        <w:tblPrEx>
          <w:tblW w:w="7520" w:type="dxa"/>
          <w:tblInd w:w="720" w:type="dxa"/>
          <w:tblLook w:val="04A0"/>
        </w:tblPrEx>
        <w:trPr>
          <w:trHeight w:val="526"/>
        </w:trPr>
        <w:tc>
          <w:tcPr>
            <w:tcW w:w="3352"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5477E9" w:rsidRPr="00125271" w:rsidP="004125DC" w14:paraId="6B5178FF" w14:textId="77777777">
            <w:pPr>
              <w:jc w:val="center"/>
              <w:rPr>
                <w:b/>
                <w:bCs/>
                <w:color w:val="000000"/>
                <w:szCs w:val="24"/>
              </w:rPr>
            </w:pPr>
            <w:r w:rsidRPr="00125271">
              <w:rPr>
                <w:b/>
                <w:bCs/>
                <w:color w:val="000000"/>
                <w:szCs w:val="24"/>
              </w:rPr>
              <w:t xml:space="preserve">Task </w:t>
            </w:r>
          </w:p>
        </w:tc>
        <w:tc>
          <w:tcPr>
            <w:tcW w:w="1418" w:type="dxa"/>
            <w:tcBorders>
              <w:top w:val="single" w:sz="4" w:space="0" w:color="auto"/>
              <w:left w:val="nil"/>
              <w:bottom w:val="single" w:sz="4" w:space="0" w:color="auto"/>
              <w:right w:val="single" w:sz="4" w:space="0" w:color="auto"/>
            </w:tcBorders>
            <w:shd w:val="clear" w:color="CCCCCC" w:fill="D9E7FD"/>
            <w:vAlign w:val="bottom"/>
            <w:hideMark/>
          </w:tcPr>
          <w:p w:rsidR="005477E9" w:rsidRPr="00125271" w:rsidP="004125DC" w14:paraId="2F9BC301" w14:textId="132D37EA">
            <w:pPr>
              <w:jc w:val="center"/>
              <w:rPr>
                <w:b/>
                <w:bCs/>
                <w:color w:val="000000"/>
                <w:szCs w:val="24"/>
              </w:rPr>
            </w:pPr>
            <w:r w:rsidRPr="00125271">
              <w:rPr>
                <w:b/>
                <w:bCs/>
                <w:color w:val="000000"/>
                <w:szCs w:val="24"/>
              </w:rPr>
              <w:t>Hourly Me</w:t>
            </w:r>
            <w:r w:rsidR="00BF60B9">
              <w:rPr>
                <w:b/>
                <w:bCs/>
                <w:color w:val="000000"/>
                <w:szCs w:val="24"/>
              </w:rPr>
              <w:t>an</w:t>
            </w:r>
            <w:r w:rsidRPr="00125271">
              <w:rPr>
                <w:b/>
                <w:bCs/>
                <w:color w:val="000000"/>
                <w:szCs w:val="24"/>
              </w:rPr>
              <w:t xml:space="preserve"> Wage</w:t>
            </w:r>
          </w:p>
        </w:tc>
        <w:tc>
          <w:tcPr>
            <w:tcW w:w="1430" w:type="dxa"/>
            <w:tcBorders>
              <w:top w:val="single" w:sz="4" w:space="0" w:color="auto"/>
              <w:left w:val="nil"/>
              <w:bottom w:val="single" w:sz="4" w:space="0" w:color="auto"/>
              <w:right w:val="single" w:sz="4" w:space="0" w:color="auto"/>
            </w:tcBorders>
            <w:shd w:val="clear" w:color="CCCCCC" w:fill="D9E7FD"/>
            <w:vAlign w:val="bottom"/>
            <w:hideMark/>
          </w:tcPr>
          <w:p w:rsidR="005477E9" w:rsidRPr="00125271" w:rsidP="004125DC" w14:paraId="0594CB38" w14:textId="77777777">
            <w:pPr>
              <w:jc w:val="center"/>
              <w:rPr>
                <w:b/>
                <w:bCs/>
                <w:color w:val="000000"/>
                <w:szCs w:val="24"/>
              </w:rPr>
            </w:pPr>
            <w:r w:rsidRPr="00125271">
              <w:rPr>
                <w:b/>
                <w:bCs/>
                <w:color w:val="000000"/>
                <w:szCs w:val="24"/>
              </w:rPr>
              <w:t>Hours/Task</w:t>
            </w:r>
          </w:p>
        </w:tc>
        <w:tc>
          <w:tcPr>
            <w:tcW w:w="1320" w:type="dxa"/>
            <w:tcBorders>
              <w:top w:val="single" w:sz="4" w:space="0" w:color="auto"/>
              <w:left w:val="nil"/>
              <w:bottom w:val="single" w:sz="4" w:space="0" w:color="auto"/>
              <w:right w:val="single" w:sz="4" w:space="0" w:color="auto"/>
            </w:tcBorders>
            <w:shd w:val="clear" w:color="CCCCCC" w:fill="D9E7FD"/>
            <w:vAlign w:val="bottom"/>
            <w:hideMark/>
          </w:tcPr>
          <w:p w:rsidR="005477E9" w:rsidRPr="00125271" w:rsidP="004125DC" w14:paraId="3844CC41" w14:textId="77777777">
            <w:pPr>
              <w:jc w:val="center"/>
              <w:rPr>
                <w:b/>
                <w:bCs/>
                <w:color w:val="000000"/>
                <w:szCs w:val="24"/>
              </w:rPr>
            </w:pPr>
            <w:r w:rsidRPr="00125271">
              <w:rPr>
                <w:b/>
                <w:bCs/>
                <w:color w:val="000000"/>
                <w:szCs w:val="24"/>
              </w:rPr>
              <w:t>Cost/Task</w:t>
            </w:r>
          </w:p>
        </w:tc>
      </w:tr>
      <w:tr w14:paraId="259DD043" w14:textId="77777777" w:rsidTr="00B52C02">
        <w:tblPrEx>
          <w:tblW w:w="7520" w:type="dxa"/>
          <w:tblInd w:w="720" w:type="dxa"/>
          <w:tblLook w:val="04A0"/>
        </w:tblPrEx>
        <w:trPr>
          <w:trHeight w:val="263"/>
        </w:trPr>
        <w:tc>
          <w:tcPr>
            <w:tcW w:w="3352" w:type="dxa"/>
            <w:tcBorders>
              <w:top w:val="nil"/>
              <w:left w:val="single" w:sz="4" w:space="0" w:color="auto"/>
              <w:bottom w:val="single" w:sz="4" w:space="0" w:color="auto"/>
              <w:right w:val="single" w:sz="4" w:space="0" w:color="auto"/>
            </w:tcBorders>
            <w:shd w:val="clear" w:color="auto" w:fill="auto"/>
            <w:vAlign w:val="bottom"/>
            <w:hideMark/>
          </w:tcPr>
          <w:p w:rsidR="005477E9" w:rsidRPr="00125271" w:rsidP="004125DC" w14:paraId="6C8AACC0" w14:textId="77777777">
            <w:pPr>
              <w:rPr>
                <w:color w:val="000000"/>
                <w:szCs w:val="24"/>
              </w:rPr>
            </w:pPr>
            <w:r w:rsidRPr="00125271">
              <w:rPr>
                <w:color w:val="000000"/>
                <w:szCs w:val="24"/>
              </w:rPr>
              <w:t>Medical Secretary</w:t>
            </w:r>
          </w:p>
        </w:tc>
        <w:tc>
          <w:tcPr>
            <w:tcW w:w="1418" w:type="dxa"/>
            <w:tcBorders>
              <w:top w:val="nil"/>
              <w:left w:val="nil"/>
              <w:bottom w:val="single" w:sz="4" w:space="0" w:color="auto"/>
              <w:right w:val="single" w:sz="4" w:space="0" w:color="auto"/>
            </w:tcBorders>
            <w:shd w:val="clear" w:color="auto" w:fill="auto"/>
            <w:vAlign w:val="bottom"/>
            <w:hideMark/>
          </w:tcPr>
          <w:p w:rsidR="005477E9" w:rsidRPr="00125271" w:rsidP="004125DC" w14:paraId="1F12343E" w14:textId="77777777">
            <w:pPr>
              <w:jc w:val="center"/>
              <w:rPr>
                <w:color w:val="000000"/>
                <w:szCs w:val="24"/>
              </w:rPr>
            </w:pPr>
            <w:r w:rsidRPr="00125271">
              <w:rPr>
                <w:color w:val="000000"/>
                <w:szCs w:val="24"/>
              </w:rPr>
              <w:t>$41.70</w:t>
            </w:r>
          </w:p>
        </w:tc>
        <w:tc>
          <w:tcPr>
            <w:tcW w:w="1430" w:type="dxa"/>
            <w:tcBorders>
              <w:top w:val="nil"/>
              <w:left w:val="nil"/>
              <w:bottom w:val="single" w:sz="4" w:space="0" w:color="auto"/>
              <w:right w:val="single" w:sz="4" w:space="0" w:color="auto"/>
            </w:tcBorders>
            <w:shd w:val="clear" w:color="auto" w:fill="auto"/>
            <w:vAlign w:val="bottom"/>
            <w:hideMark/>
          </w:tcPr>
          <w:p w:rsidR="005477E9" w:rsidRPr="00125271" w:rsidP="004125DC" w14:paraId="186AF6FB" w14:textId="77777777">
            <w:pPr>
              <w:jc w:val="center"/>
              <w:rPr>
                <w:color w:val="000000"/>
                <w:szCs w:val="24"/>
              </w:rPr>
            </w:pPr>
            <w:r w:rsidRPr="00125271">
              <w:rPr>
                <w:color w:val="000000"/>
                <w:szCs w:val="24"/>
              </w:rPr>
              <w:t>8.0</w:t>
            </w:r>
          </w:p>
        </w:tc>
        <w:tc>
          <w:tcPr>
            <w:tcW w:w="1320" w:type="dxa"/>
            <w:tcBorders>
              <w:top w:val="nil"/>
              <w:left w:val="nil"/>
              <w:bottom w:val="single" w:sz="4" w:space="0" w:color="auto"/>
              <w:right w:val="single" w:sz="4" w:space="0" w:color="auto"/>
            </w:tcBorders>
            <w:shd w:val="clear" w:color="auto" w:fill="auto"/>
            <w:noWrap/>
            <w:vAlign w:val="bottom"/>
            <w:hideMark/>
          </w:tcPr>
          <w:p w:rsidR="005477E9" w:rsidRPr="00125271" w:rsidP="004125DC" w14:paraId="5A91C776" w14:textId="77777777">
            <w:pPr>
              <w:jc w:val="center"/>
              <w:rPr>
                <w:color w:val="000000"/>
                <w:szCs w:val="24"/>
              </w:rPr>
            </w:pPr>
            <w:r w:rsidRPr="00125271">
              <w:rPr>
                <w:color w:val="000000"/>
                <w:szCs w:val="24"/>
              </w:rPr>
              <w:t>$333.60</w:t>
            </w:r>
          </w:p>
        </w:tc>
      </w:tr>
      <w:tr w14:paraId="6F97D9DF" w14:textId="77777777" w:rsidTr="00B52C02">
        <w:tblPrEx>
          <w:tblW w:w="7520" w:type="dxa"/>
          <w:tblInd w:w="720" w:type="dxa"/>
          <w:tblLook w:val="04A0"/>
        </w:tblPrEx>
        <w:trPr>
          <w:trHeight w:val="263"/>
        </w:trPr>
        <w:tc>
          <w:tcPr>
            <w:tcW w:w="3352" w:type="dxa"/>
            <w:tcBorders>
              <w:top w:val="nil"/>
              <w:left w:val="single" w:sz="4" w:space="0" w:color="auto"/>
              <w:bottom w:val="single" w:sz="4" w:space="0" w:color="auto"/>
              <w:right w:val="single" w:sz="4" w:space="0" w:color="auto"/>
            </w:tcBorders>
            <w:shd w:val="clear" w:color="auto" w:fill="auto"/>
            <w:vAlign w:val="bottom"/>
            <w:hideMark/>
          </w:tcPr>
          <w:p w:rsidR="005477E9" w:rsidRPr="00125271" w:rsidP="004125DC" w14:paraId="324B5E60" w14:textId="77777777">
            <w:pPr>
              <w:jc w:val="right"/>
              <w:rPr>
                <w:color w:val="000000"/>
                <w:szCs w:val="24"/>
              </w:rPr>
            </w:pPr>
            <w:r w:rsidRPr="00125271">
              <w:rPr>
                <w:color w:val="000000"/>
                <w:szCs w:val="24"/>
              </w:rPr>
              <w:t># Facilities Impacted</w:t>
            </w:r>
          </w:p>
        </w:tc>
        <w:tc>
          <w:tcPr>
            <w:tcW w:w="1418" w:type="dxa"/>
            <w:tcBorders>
              <w:top w:val="nil"/>
              <w:left w:val="nil"/>
              <w:bottom w:val="single" w:sz="4" w:space="0" w:color="auto"/>
              <w:right w:val="single" w:sz="4" w:space="0" w:color="auto"/>
            </w:tcBorders>
            <w:shd w:val="clear" w:color="auto" w:fill="auto"/>
            <w:vAlign w:val="bottom"/>
            <w:hideMark/>
          </w:tcPr>
          <w:p w:rsidR="005477E9" w:rsidRPr="00125271" w:rsidP="004125DC" w14:paraId="10706005" w14:textId="25130DC9">
            <w:pPr>
              <w:jc w:val="center"/>
              <w:rPr>
                <w:szCs w:val="24"/>
              </w:rPr>
            </w:pPr>
            <w:r w:rsidRPr="00125271">
              <w:rPr>
                <w:szCs w:val="24"/>
              </w:rPr>
              <w:t>513</w:t>
            </w:r>
          </w:p>
        </w:tc>
        <w:tc>
          <w:tcPr>
            <w:tcW w:w="1430" w:type="dxa"/>
            <w:tcBorders>
              <w:top w:val="nil"/>
              <w:left w:val="nil"/>
              <w:bottom w:val="single" w:sz="4" w:space="0" w:color="auto"/>
              <w:right w:val="single" w:sz="4" w:space="0" w:color="auto"/>
            </w:tcBorders>
            <w:shd w:val="clear" w:color="auto" w:fill="auto"/>
            <w:vAlign w:val="bottom"/>
            <w:hideMark/>
          </w:tcPr>
          <w:p w:rsidR="005477E9" w:rsidRPr="00125271" w:rsidP="004125DC" w14:paraId="42205CCF" w14:textId="77777777">
            <w:pPr>
              <w:jc w:val="center"/>
              <w:rPr>
                <w:color w:val="000000"/>
                <w:szCs w:val="24"/>
              </w:rPr>
            </w:pPr>
            <w:r w:rsidRPr="00125271">
              <w:rPr>
                <w:color w:val="000000"/>
                <w:szCs w:val="24"/>
              </w:rPr>
              <w:t> </w:t>
            </w:r>
          </w:p>
        </w:tc>
        <w:tc>
          <w:tcPr>
            <w:tcW w:w="1320" w:type="dxa"/>
            <w:tcBorders>
              <w:top w:val="nil"/>
              <w:left w:val="nil"/>
              <w:bottom w:val="single" w:sz="4" w:space="0" w:color="auto"/>
              <w:right w:val="single" w:sz="4" w:space="0" w:color="auto"/>
            </w:tcBorders>
            <w:shd w:val="clear" w:color="auto" w:fill="auto"/>
            <w:vAlign w:val="bottom"/>
            <w:hideMark/>
          </w:tcPr>
          <w:p w:rsidR="005477E9" w:rsidRPr="00125271" w:rsidP="004125DC" w14:paraId="6E95457E" w14:textId="77777777">
            <w:pPr>
              <w:jc w:val="center"/>
              <w:rPr>
                <w:color w:val="000000"/>
                <w:szCs w:val="24"/>
              </w:rPr>
            </w:pPr>
            <w:r w:rsidRPr="00125271">
              <w:rPr>
                <w:color w:val="000000"/>
                <w:szCs w:val="24"/>
              </w:rPr>
              <w:t> </w:t>
            </w:r>
          </w:p>
        </w:tc>
      </w:tr>
      <w:tr w14:paraId="28E400BD" w14:textId="77777777" w:rsidTr="00B52C02">
        <w:tblPrEx>
          <w:tblW w:w="7520" w:type="dxa"/>
          <w:tblInd w:w="720" w:type="dxa"/>
          <w:tblLook w:val="04A0"/>
        </w:tblPrEx>
        <w:trPr>
          <w:trHeight w:val="263"/>
        </w:trPr>
        <w:tc>
          <w:tcPr>
            <w:tcW w:w="3352" w:type="dxa"/>
            <w:tcBorders>
              <w:top w:val="nil"/>
              <w:left w:val="single" w:sz="4" w:space="0" w:color="auto"/>
              <w:bottom w:val="single" w:sz="4" w:space="0" w:color="auto"/>
              <w:right w:val="single" w:sz="4" w:space="0" w:color="auto"/>
            </w:tcBorders>
            <w:shd w:val="clear" w:color="000000" w:fill="D9D9D9"/>
            <w:vAlign w:val="bottom"/>
            <w:hideMark/>
          </w:tcPr>
          <w:p w:rsidR="005477E9" w:rsidRPr="00125271" w:rsidP="004125DC" w14:paraId="2F8E3DD1" w14:textId="77777777">
            <w:pPr>
              <w:jc w:val="right"/>
              <w:rPr>
                <w:b/>
                <w:bCs/>
                <w:color w:val="000000"/>
                <w:szCs w:val="24"/>
              </w:rPr>
            </w:pPr>
            <w:r w:rsidRPr="00125271">
              <w:rPr>
                <w:b/>
                <w:bCs/>
                <w:color w:val="000000"/>
                <w:szCs w:val="24"/>
              </w:rPr>
              <w:t xml:space="preserve">Total Annual Burden/Costs </w:t>
            </w:r>
          </w:p>
        </w:tc>
        <w:tc>
          <w:tcPr>
            <w:tcW w:w="1418" w:type="dxa"/>
            <w:tcBorders>
              <w:top w:val="nil"/>
              <w:left w:val="nil"/>
              <w:bottom w:val="single" w:sz="4" w:space="0" w:color="auto"/>
              <w:right w:val="single" w:sz="4" w:space="0" w:color="auto"/>
            </w:tcBorders>
            <w:shd w:val="clear" w:color="000000" w:fill="D9D9D9"/>
            <w:vAlign w:val="bottom"/>
            <w:hideMark/>
          </w:tcPr>
          <w:p w:rsidR="005477E9" w:rsidRPr="00125271" w:rsidP="004125DC" w14:paraId="7EE653DD" w14:textId="77777777">
            <w:pPr>
              <w:jc w:val="center"/>
              <w:rPr>
                <w:b/>
                <w:bCs/>
                <w:color w:val="000000"/>
                <w:szCs w:val="24"/>
              </w:rPr>
            </w:pPr>
            <w:r w:rsidRPr="00125271">
              <w:rPr>
                <w:b/>
                <w:bCs/>
                <w:color w:val="000000"/>
                <w:szCs w:val="24"/>
              </w:rPr>
              <w:t> </w:t>
            </w:r>
          </w:p>
        </w:tc>
        <w:tc>
          <w:tcPr>
            <w:tcW w:w="1430" w:type="dxa"/>
            <w:tcBorders>
              <w:top w:val="nil"/>
              <w:left w:val="nil"/>
              <w:bottom w:val="single" w:sz="4" w:space="0" w:color="auto"/>
              <w:right w:val="single" w:sz="4" w:space="0" w:color="auto"/>
            </w:tcBorders>
            <w:shd w:val="clear" w:color="000000" w:fill="D9D9D9"/>
            <w:noWrap/>
            <w:vAlign w:val="bottom"/>
            <w:hideMark/>
          </w:tcPr>
          <w:p w:rsidR="005477E9" w:rsidRPr="00125271" w:rsidP="004125DC" w14:paraId="652C366D" w14:textId="505023BF">
            <w:pPr>
              <w:jc w:val="center"/>
              <w:rPr>
                <w:b/>
                <w:bCs/>
                <w:color w:val="000000"/>
                <w:szCs w:val="24"/>
              </w:rPr>
            </w:pPr>
            <w:r w:rsidRPr="00125271">
              <w:rPr>
                <w:b/>
                <w:bCs/>
                <w:color w:val="000000"/>
                <w:szCs w:val="24"/>
              </w:rPr>
              <w:t>4</w:t>
            </w:r>
            <w:r w:rsidR="00125271">
              <w:rPr>
                <w:b/>
                <w:bCs/>
                <w:color w:val="000000"/>
                <w:szCs w:val="24"/>
              </w:rPr>
              <w:t>,</w:t>
            </w:r>
            <w:r w:rsidRPr="00125271">
              <w:rPr>
                <w:b/>
                <w:bCs/>
                <w:color w:val="000000"/>
                <w:szCs w:val="24"/>
              </w:rPr>
              <w:t>104</w:t>
            </w:r>
          </w:p>
        </w:tc>
        <w:tc>
          <w:tcPr>
            <w:tcW w:w="1320" w:type="dxa"/>
            <w:tcBorders>
              <w:top w:val="nil"/>
              <w:left w:val="nil"/>
              <w:bottom w:val="single" w:sz="4" w:space="0" w:color="auto"/>
              <w:right w:val="single" w:sz="4" w:space="0" w:color="auto"/>
            </w:tcBorders>
            <w:shd w:val="clear" w:color="000000" w:fill="D9D9D9"/>
            <w:vAlign w:val="bottom"/>
            <w:hideMark/>
          </w:tcPr>
          <w:p w:rsidR="005477E9" w:rsidRPr="00125271" w:rsidP="004125DC" w14:paraId="6C30D839" w14:textId="1E01EC9A">
            <w:pPr>
              <w:jc w:val="center"/>
              <w:rPr>
                <w:b/>
                <w:bCs/>
                <w:color w:val="000000"/>
                <w:szCs w:val="24"/>
              </w:rPr>
            </w:pPr>
            <w:r w:rsidRPr="00125271">
              <w:rPr>
                <w:b/>
                <w:bCs/>
                <w:color w:val="000000"/>
                <w:szCs w:val="24"/>
              </w:rPr>
              <w:t>$</w:t>
            </w:r>
            <w:r w:rsidRPr="00125271" w:rsidR="00A25D8E">
              <w:rPr>
                <w:b/>
                <w:bCs/>
                <w:color w:val="000000"/>
                <w:szCs w:val="24"/>
              </w:rPr>
              <w:t>171,137</w:t>
            </w:r>
          </w:p>
        </w:tc>
      </w:tr>
    </w:tbl>
    <w:p w:rsidR="005477E9" w:rsidP="005477E9" w14:paraId="4DFD1A37" w14:textId="77777777">
      <w:pPr>
        <w:ind w:left="2" w:hanging="2"/>
        <w:rPr>
          <w:sz w:val="20"/>
        </w:rPr>
      </w:pPr>
    </w:p>
    <w:p w:rsidR="0068781E" w:rsidP="005477E9" w14:paraId="5F20B90F" w14:textId="77777777">
      <w:pPr>
        <w:ind w:left="2" w:hanging="2"/>
        <w:rPr>
          <w:sz w:val="20"/>
        </w:rPr>
      </w:pPr>
    </w:p>
    <w:p w:rsidR="00AB5C99" w:rsidRPr="00125271" w:rsidP="00AB5C99" w14:paraId="048D149D" w14:textId="5D39AB7D">
      <w:pPr>
        <w:rPr>
          <w:b/>
          <w:bCs/>
          <w:i/>
          <w:iCs/>
          <w:szCs w:val="24"/>
          <w:u w:val="single"/>
        </w:rPr>
      </w:pPr>
      <w:r w:rsidRPr="00125271">
        <w:rPr>
          <w:b/>
          <w:bCs/>
          <w:szCs w:val="24"/>
          <w:u w:val="single"/>
        </w:rPr>
        <w:t>IC</w:t>
      </w:r>
      <w:r>
        <w:rPr>
          <w:b/>
          <w:bCs/>
          <w:szCs w:val="24"/>
          <w:u w:val="single"/>
        </w:rPr>
        <w:t>-10:</w:t>
      </w:r>
      <w:r w:rsidRPr="00125271">
        <w:rPr>
          <w:b/>
          <w:bCs/>
          <w:i/>
          <w:iCs/>
          <w:szCs w:val="24"/>
          <w:u w:val="single"/>
        </w:rPr>
        <w:t xml:space="preserve"> </w:t>
      </w:r>
      <w:r w:rsidR="00B52C02">
        <w:rPr>
          <w:b/>
          <w:bCs/>
          <w:i/>
          <w:iCs/>
          <w:szCs w:val="24"/>
          <w:u w:val="single"/>
        </w:rPr>
        <w:t xml:space="preserve">New </w:t>
      </w:r>
      <w:r w:rsidRPr="00125271">
        <w:rPr>
          <w:b/>
          <w:bCs/>
          <w:i/>
          <w:iCs/>
          <w:szCs w:val="24"/>
          <w:u w:val="single"/>
        </w:rPr>
        <w:t>CoP: Written policies for Obstetrical Services -  Section 48</w:t>
      </w:r>
      <w:r w:rsidRPr="00125271" w:rsidR="00E31696">
        <w:rPr>
          <w:b/>
          <w:bCs/>
          <w:i/>
          <w:iCs/>
          <w:szCs w:val="24"/>
          <w:u w:val="single"/>
        </w:rPr>
        <w:t>5.649</w:t>
      </w:r>
      <w:r w:rsidRPr="00125271">
        <w:rPr>
          <w:b/>
          <w:bCs/>
          <w:i/>
          <w:iCs/>
          <w:szCs w:val="24"/>
          <w:u w:val="single"/>
        </w:rPr>
        <w:t>(b) and (c)</w:t>
      </w:r>
    </w:p>
    <w:p w:rsidR="00AB5C99" w:rsidRPr="00125271" w:rsidP="00AB5C99" w14:paraId="335C8FBF" w14:textId="114B97D8">
      <w:pPr>
        <w:rPr>
          <w:szCs w:val="24"/>
        </w:rPr>
      </w:pPr>
      <w:r w:rsidRPr="00125271">
        <w:rPr>
          <w:szCs w:val="24"/>
        </w:rPr>
        <w:t xml:space="preserve">Per </w:t>
      </w:r>
      <w:r w:rsidR="00196655">
        <w:rPr>
          <w:szCs w:val="24"/>
        </w:rPr>
        <w:t xml:space="preserve">Section </w:t>
      </w:r>
      <w:r w:rsidRPr="00125271">
        <w:rPr>
          <w:szCs w:val="24"/>
        </w:rPr>
        <w:t>48</w:t>
      </w:r>
      <w:r w:rsidRPr="00125271" w:rsidR="005477E9">
        <w:rPr>
          <w:szCs w:val="24"/>
        </w:rPr>
        <w:t>5.649</w:t>
      </w:r>
      <w:r w:rsidRPr="00125271">
        <w:rPr>
          <w:szCs w:val="24"/>
        </w:rPr>
        <w:t>(</w:t>
      </w:r>
      <w:r w:rsidRPr="00125271" w:rsidR="005477E9">
        <w:rPr>
          <w:szCs w:val="24"/>
        </w:rPr>
        <w:t>b</w:t>
      </w:r>
      <w:r w:rsidRPr="00125271">
        <w:rPr>
          <w:szCs w:val="24"/>
        </w:rPr>
        <w:t>)</w:t>
      </w:r>
      <w:r w:rsidRPr="00125271" w:rsidR="005477E9">
        <w:rPr>
          <w:szCs w:val="24"/>
        </w:rPr>
        <w:t>(2)</w:t>
      </w:r>
      <w:r w:rsidRPr="00125271">
        <w:rPr>
          <w:szCs w:val="24"/>
        </w:rPr>
        <w:t xml:space="preserve">, </w:t>
      </w:r>
      <w:r w:rsidRPr="00125271" w:rsidR="00A05DB0">
        <w:rPr>
          <w:szCs w:val="24"/>
        </w:rPr>
        <w:t xml:space="preserve">CAHs </w:t>
      </w:r>
      <w:r w:rsidRPr="00125271">
        <w:rPr>
          <w:szCs w:val="24"/>
        </w:rPr>
        <w:t>must develop written policies and procedures that are “consistent with nationally recognized and evidence-based guidelines for OB emergencies, complications, immediate post-delivery care, and other patient health and safety events as identified as part of the facility’s QAPI program” and must train staff on these policies.</w:t>
      </w:r>
    </w:p>
    <w:p w:rsidR="00AB5C99" w:rsidRPr="00125271" w:rsidP="00AB5C99" w14:paraId="01035B85" w14:textId="77777777">
      <w:pPr>
        <w:rPr>
          <w:szCs w:val="24"/>
        </w:rPr>
      </w:pPr>
      <w:r w:rsidRPr="00125271">
        <w:rPr>
          <w:szCs w:val="24"/>
        </w:rPr>
        <w:t xml:space="preserve"> </w:t>
      </w:r>
    </w:p>
    <w:p w:rsidR="00AB5C99" w:rsidRPr="00125271" w:rsidP="006631BB" w14:paraId="78DABB94" w14:textId="0959B704">
      <w:pPr>
        <w:ind w:hanging="2"/>
        <w:rPr>
          <w:rFonts w:eastAsia="Times"/>
          <w:szCs w:val="24"/>
        </w:rPr>
      </w:pPr>
      <w:r w:rsidRPr="00125271">
        <w:rPr>
          <w:rFonts w:eastAsia="Times"/>
          <w:szCs w:val="24"/>
        </w:rPr>
        <w:t>W</w:t>
      </w:r>
      <w:r w:rsidRPr="00125271">
        <w:rPr>
          <w:rFonts w:eastAsia="Times"/>
          <w:szCs w:val="24"/>
        </w:rPr>
        <w:t xml:space="preserve">e estimate the one-time burden of creating the required written policies and protocols for OB services proposed in the July 2024 rule and do not include the burden hours and costs for ongoing updates to the policies since that is a customary business practice. Furthermore, we estimate that this CoP will </w:t>
      </w:r>
      <w:r w:rsidRPr="00125271" w:rsidR="0060007F">
        <w:rPr>
          <w:rFonts w:eastAsia="Times"/>
          <w:szCs w:val="24"/>
        </w:rPr>
        <w:t>impact</w:t>
      </w:r>
      <w:r w:rsidRPr="00125271">
        <w:rPr>
          <w:rFonts w:eastAsia="Times"/>
          <w:szCs w:val="24"/>
        </w:rPr>
        <w:t xml:space="preserve"> non-accredited hospitals because accredited hospitals must already meet extensive requirements if they provide OB services in order to get certified by The Joint Commission.</w:t>
      </w:r>
      <w:r w:rsidRPr="00125271" w:rsidR="006631BB">
        <w:rPr>
          <w:rFonts w:eastAsia="Times"/>
          <w:szCs w:val="24"/>
        </w:rPr>
        <w:t xml:space="preserve"> Per the assumptions in </w:t>
      </w:r>
      <w:hyperlink r:id="rId9" w:history="1">
        <w:r w:rsidRPr="00125271" w:rsidR="006631BB">
          <w:rPr>
            <w:rStyle w:val="Hyperlink"/>
            <w:rFonts w:eastAsia="Times"/>
            <w:szCs w:val="24"/>
          </w:rPr>
          <w:t xml:space="preserve">July 2024 </w:t>
        </w:r>
        <w:r w:rsidR="006D041A">
          <w:rPr>
            <w:rStyle w:val="Hyperlink"/>
            <w:rFonts w:eastAsia="Times"/>
            <w:szCs w:val="24"/>
          </w:rPr>
          <w:t>Proposed R</w:t>
        </w:r>
        <w:r w:rsidRPr="00125271" w:rsidR="006631BB">
          <w:rPr>
            <w:rStyle w:val="Hyperlink"/>
            <w:rFonts w:eastAsia="Times"/>
            <w:szCs w:val="24"/>
          </w:rPr>
          <w:t>ule</w:t>
        </w:r>
      </w:hyperlink>
      <w:r w:rsidRPr="00125271" w:rsidR="006631BB">
        <w:rPr>
          <w:rFonts w:eastAsia="Times"/>
          <w:szCs w:val="24"/>
        </w:rPr>
        <w:t>, 25% of CAHs are accredited by The Joint Commission (TJC).</w:t>
      </w:r>
      <w:r>
        <w:rPr>
          <w:rStyle w:val="FootnoteReference"/>
          <w:rFonts w:eastAsia="Times"/>
          <w:sz w:val="24"/>
          <w:szCs w:val="24"/>
        </w:rPr>
        <w:footnoteReference w:id="8"/>
      </w:r>
      <w:r w:rsidRPr="00125271">
        <w:rPr>
          <w:rFonts w:eastAsia="Times"/>
          <w:szCs w:val="24"/>
        </w:rPr>
        <w:t xml:space="preserve"> </w:t>
      </w:r>
      <w:r w:rsidRPr="00125271">
        <w:rPr>
          <w:rFonts w:eastAsia="Times"/>
          <w:szCs w:val="24"/>
        </w:rPr>
        <w:t>Thus, we</w:t>
      </w:r>
      <w:r w:rsidRPr="00125271" w:rsidR="006631BB">
        <w:rPr>
          <w:rFonts w:eastAsia="Times"/>
          <w:szCs w:val="24"/>
        </w:rPr>
        <w:t xml:space="preserve"> estimate</w:t>
      </w:r>
      <w:r w:rsidRPr="00125271">
        <w:rPr>
          <w:rFonts w:eastAsia="Times"/>
          <w:szCs w:val="24"/>
        </w:rPr>
        <w:t xml:space="preserve"> 385 </w:t>
      </w:r>
      <w:r w:rsidR="00B044D6">
        <w:rPr>
          <w:rFonts w:eastAsia="Times"/>
          <w:szCs w:val="24"/>
        </w:rPr>
        <w:t xml:space="preserve">(75% of 513 CAHs that provide OB services) </w:t>
      </w:r>
      <w:r w:rsidRPr="00125271">
        <w:rPr>
          <w:rFonts w:eastAsia="Times"/>
          <w:szCs w:val="24"/>
        </w:rPr>
        <w:t>will be impacted by the information collection requirements associated with this new CoP for</w:t>
      </w:r>
      <w:r w:rsidRPr="00125271">
        <w:rPr>
          <w:rFonts w:eastAsia="Times"/>
          <w:szCs w:val="24"/>
        </w:rPr>
        <w:t xml:space="preserve"> the one-time creation of written policies for</w:t>
      </w:r>
      <w:r w:rsidRPr="00125271">
        <w:rPr>
          <w:rFonts w:eastAsia="Times"/>
          <w:szCs w:val="24"/>
        </w:rPr>
        <w:t xml:space="preserve"> OB services</w:t>
      </w:r>
      <w:r w:rsidR="00B044D6">
        <w:rPr>
          <w:rFonts w:eastAsia="Times"/>
          <w:szCs w:val="24"/>
        </w:rPr>
        <w:t>.</w:t>
      </w:r>
    </w:p>
    <w:p w:rsidR="00AB5C99" w:rsidRPr="00125271" w:rsidP="00AB5C99" w14:paraId="7A5B1ACB" w14:textId="77777777">
      <w:pPr>
        <w:ind w:hanging="2"/>
        <w:rPr>
          <w:rFonts w:eastAsia="Times"/>
          <w:szCs w:val="24"/>
        </w:rPr>
      </w:pPr>
    </w:p>
    <w:p w:rsidR="00B044D6" w:rsidP="00B044D6" w14:paraId="204D1D27" w14:textId="0B088F7F">
      <w:pPr>
        <w:ind w:hanging="2"/>
        <w:rPr>
          <w:rFonts w:eastAsia="Times"/>
          <w:szCs w:val="24"/>
        </w:rPr>
      </w:pPr>
      <w:r w:rsidRPr="00B044D6">
        <w:rPr>
          <w:rFonts w:eastAsia="Times"/>
          <w:szCs w:val="24"/>
        </w:rPr>
        <w:t xml:space="preserve">For each </w:t>
      </w:r>
      <w:r>
        <w:rPr>
          <w:rFonts w:eastAsia="Times"/>
          <w:szCs w:val="24"/>
        </w:rPr>
        <w:t xml:space="preserve">of the 385 </w:t>
      </w:r>
      <w:r w:rsidRPr="00B044D6">
        <w:rPr>
          <w:rFonts w:eastAsia="Times"/>
          <w:szCs w:val="24"/>
        </w:rPr>
        <w:t>impacted CAH</w:t>
      </w:r>
      <w:r>
        <w:rPr>
          <w:rFonts w:eastAsia="Times"/>
          <w:szCs w:val="24"/>
        </w:rPr>
        <w:t>s</w:t>
      </w:r>
      <w:r w:rsidRPr="00B044D6">
        <w:rPr>
          <w:rFonts w:eastAsia="Times"/>
          <w:szCs w:val="24"/>
        </w:rPr>
        <w:t xml:space="preserve">, </w:t>
      </w:r>
      <w:r w:rsidRPr="00B044D6" w:rsidR="00AB5C99">
        <w:rPr>
          <w:rFonts w:eastAsia="Times"/>
          <w:szCs w:val="24"/>
        </w:rPr>
        <w:t>we estimate t</w:t>
      </w:r>
      <w:r>
        <w:rPr>
          <w:rFonts w:eastAsia="Times"/>
          <w:szCs w:val="24"/>
        </w:rPr>
        <w:t>he one time burden to develop written policies, which would require</w:t>
      </w:r>
      <w:r w:rsidRPr="00B044D6" w:rsidR="00AB5C99">
        <w:rPr>
          <w:rFonts w:eastAsia="Times"/>
          <w:szCs w:val="24"/>
        </w:rPr>
        <w:t xml:space="preserve"> 8 hours for each staff member involved</w:t>
      </w:r>
      <w:r w:rsidRPr="00B044D6">
        <w:rPr>
          <w:rFonts w:eastAsia="Times"/>
          <w:szCs w:val="24"/>
        </w:rPr>
        <w:t>: a</w:t>
      </w:r>
      <w:r w:rsidRPr="00CC60CF">
        <w:rPr>
          <w:rFonts w:eastAsia="Times"/>
          <w:szCs w:val="24"/>
        </w:rPr>
        <w:t xml:space="preserve"> </w:t>
      </w:r>
      <w:r>
        <w:rPr>
          <w:rFonts w:eastAsia="Times"/>
          <w:szCs w:val="24"/>
        </w:rPr>
        <w:t>P</w:t>
      </w:r>
      <w:r w:rsidRPr="00CC60CF">
        <w:rPr>
          <w:rFonts w:eastAsia="Times"/>
          <w:szCs w:val="24"/>
        </w:rPr>
        <w:t xml:space="preserve">hysician </w:t>
      </w:r>
      <w:r>
        <w:rPr>
          <w:rFonts w:eastAsia="Times"/>
          <w:szCs w:val="24"/>
        </w:rPr>
        <w:t xml:space="preserve">(BLS Code: 29-1229) </w:t>
      </w:r>
      <w:r w:rsidRPr="00CC60CF">
        <w:rPr>
          <w:rFonts w:eastAsia="Times"/>
          <w:szCs w:val="24"/>
        </w:rPr>
        <w:t>at $253.70</w:t>
      </w:r>
      <w:r>
        <w:rPr>
          <w:rFonts w:eastAsia="Times"/>
          <w:szCs w:val="24"/>
        </w:rPr>
        <w:t xml:space="preserve"> per hour</w:t>
      </w:r>
      <w:r w:rsidRPr="00CC60CF">
        <w:rPr>
          <w:rFonts w:eastAsia="Times"/>
          <w:szCs w:val="24"/>
        </w:rPr>
        <w:t xml:space="preserve">, a lawyer </w:t>
      </w:r>
      <w:r>
        <w:rPr>
          <w:rFonts w:eastAsia="Times"/>
          <w:szCs w:val="24"/>
        </w:rPr>
        <w:t xml:space="preserve">(BLS Code: 23-1011) </w:t>
      </w:r>
      <w:r w:rsidRPr="00CC60CF">
        <w:rPr>
          <w:rFonts w:eastAsia="Times"/>
          <w:szCs w:val="24"/>
        </w:rPr>
        <w:t xml:space="preserve">at $169.68 per hour, a </w:t>
      </w:r>
      <w:r>
        <w:rPr>
          <w:rFonts w:eastAsia="Times"/>
          <w:szCs w:val="24"/>
        </w:rPr>
        <w:t>R</w:t>
      </w:r>
      <w:r w:rsidRPr="00CC60CF">
        <w:rPr>
          <w:rFonts w:eastAsia="Times"/>
          <w:szCs w:val="24"/>
        </w:rPr>
        <w:t xml:space="preserve">egistered </w:t>
      </w:r>
      <w:r>
        <w:rPr>
          <w:rFonts w:eastAsia="Times"/>
          <w:szCs w:val="24"/>
        </w:rPr>
        <w:t>N</w:t>
      </w:r>
      <w:r w:rsidRPr="00CC60CF">
        <w:rPr>
          <w:rFonts w:eastAsia="Times"/>
          <w:szCs w:val="24"/>
        </w:rPr>
        <w:t>urse</w:t>
      </w:r>
      <w:r>
        <w:rPr>
          <w:rFonts w:eastAsia="Times"/>
          <w:szCs w:val="24"/>
        </w:rPr>
        <w:t xml:space="preserve"> (BLS Code: 29-1141)</w:t>
      </w:r>
      <w:r w:rsidRPr="00CC60CF">
        <w:rPr>
          <w:rFonts w:eastAsia="Times"/>
          <w:szCs w:val="24"/>
        </w:rPr>
        <w:t xml:space="preserve"> at $90.84 per hour, a </w:t>
      </w:r>
      <w:r>
        <w:rPr>
          <w:rFonts w:eastAsia="Times"/>
          <w:szCs w:val="24"/>
        </w:rPr>
        <w:t>M</w:t>
      </w:r>
      <w:r w:rsidRPr="00CC60CF">
        <w:rPr>
          <w:rFonts w:eastAsia="Times"/>
          <w:szCs w:val="24"/>
        </w:rPr>
        <w:t xml:space="preserve">edical </w:t>
      </w:r>
      <w:r>
        <w:rPr>
          <w:rFonts w:eastAsia="Times"/>
          <w:szCs w:val="24"/>
        </w:rPr>
        <w:t>S</w:t>
      </w:r>
      <w:r w:rsidRPr="00CC60CF">
        <w:rPr>
          <w:rFonts w:eastAsia="Times"/>
          <w:szCs w:val="24"/>
        </w:rPr>
        <w:t xml:space="preserve">ecretary </w:t>
      </w:r>
      <w:r>
        <w:rPr>
          <w:rFonts w:eastAsia="Times"/>
          <w:szCs w:val="24"/>
        </w:rPr>
        <w:t xml:space="preserve">(BLS Code: 43-6013) </w:t>
      </w:r>
      <w:r w:rsidRPr="00CC60CF">
        <w:rPr>
          <w:rFonts w:eastAsia="Times"/>
          <w:szCs w:val="24"/>
        </w:rPr>
        <w:t xml:space="preserve">at $41.70 per hour, and an Administrator </w:t>
      </w:r>
      <w:r>
        <w:rPr>
          <w:rFonts w:eastAsia="Times"/>
          <w:szCs w:val="24"/>
        </w:rPr>
        <w:t xml:space="preserve">(BLS Code: 11-1011) </w:t>
      </w:r>
      <w:r w:rsidRPr="00CC60CF">
        <w:rPr>
          <w:rFonts w:eastAsia="Times"/>
          <w:szCs w:val="24"/>
        </w:rPr>
        <w:t>at $129.28 per hour.</w:t>
      </w:r>
      <w:r>
        <w:rPr>
          <w:rFonts w:eastAsia="Times"/>
          <w:szCs w:val="24"/>
        </w:rPr>
        <w:t xml:space="preserve"> </w:t>
      </w:r>
      <w:r w:rsidRPr="00CC60CF">
        <w:rPr>
          <w:rFonts w:eastAsia="Times"/>
          <w:szCs w:val="24"/>
        </w:rPr>
        <w:t>We determine the burden cost using a blended wage rate per the table below.</w:t>
      </w:r>
    </w:p>
    <w:p w:rsidR="0050371B" w:rsidP="00B044D6" w14:paraId="50BF63FF" w14:textId="77777777">
      <w:pPr>
        <w:rPr>
          <w:rFonts w:eastAsia="Times"/>
          <w:sz w:val="22"/>
          <w:szCs w:val="22"/>
        </w:rPr>
      </w:pPr>
    </w:p>
    <w:p w:rsidR="00DF2D09" w:rsidP="00B044D6" w14:paraId="3683E41F" w14:textId="77777777">
      <w:pPr>
        <w:rPr>
          <w:rFonts w:eastAsia="Times"/>
          <w:sz w:val="22"/>
          <w:szCs w:val="22"/>
        </w:rPr>
      </w:pPr>
    </w:p>
    <w:p w:rsidR="00125271" w:rsidP="00125271" w14:paraId="153205F7" w14:textId="6C3624EE">
      <w:pPr>
        <w:ind w:firstLine="720"/>
        <w:jc w:val="center"/>
        <w:rPr>
          <w:b/>
          <w:bCs/>
          <w:sz w:val="28"/>
          <w:szCs w:val="28"/>
        </w:rPr>
      </w:pPr>
      <w:r w:rsidRPr="00125271">
        <w:rPr>
          <w:b/>
          <w:bCs/>
          <w:sz w:val="28"/>
          <w:szCs w:val="28"/>
        </w:rPr>
        <w:t>Table</w:t>
      </w:r>
      <w:r>
        <w:rPr>
          <w:b/>
          <w:bCs/>
          <w:sz w:val="28"/>
          <w:szCs w:val="28"/>
        </w:rPr>
        <w:t xml:space="preserve"> 12</w:t>
      </w:r>
      <w:r w:rsidRPr="00125271">
        <w:rPr>
          <w:b/>
          <w:bCs/>
          <w:sz w:val="28"/>
          <w:szCs w:val="28"/>
        </w:rPr>
        <w:t>: IC-</w:t>
      </w:r>
      <w:r>
        <w:rPr>
          <w:b/>
          <w:bCs/>
          <w:sz w:val="28"/>
          <w:szCs w:val="28"/>
        </w:rPr>
        <w:t>10</w:t>
      </w:r>
      <w:r w:rsidRPr="00125271">
        <w:rPr>
          <w:b/>
          <w:bCs/>
          <w:sz w:val="28"/>
          <w:szCs w:val="28"/>
        </w:rPr>
        <w:t>:</w:t>
      </w:r>
    </w:p>
    <w:p w:rsidR="00AB5C99" w:rsidRPr="00125271" w:rsidP="00125271" w14:paraId="5FB80998" w14:textId="6FB69FB1">
      <w:pPr>
        <w:ind w:firstLine="720"/>
        <w:jc w:val="center"/>
        <w:rPr>
          <w:rFonts w:eastAsia="Times"/>
          <w:sz w:val="28"/>
          <w:szCs w:val="28"/>
        </w:rPr>
      </w:pPr>
      <w:r w:rsidRPr="00125271">
        <w:rPr>
          <w:b/>
          <w:bCs/>
          <w:i/>
          <w:iCs/>
          <w:sz w:val="28"/>
          <w:szCs w:val="28"/>
        </w:rPr>
        <w:t xml:space="preserve">CoP: Written </w:t>
      </w:r>
      <w:r w:rsidR="00B52C02">
        <w:rPr>
          <w:b/>
          <w:bCs/>
          <w:i/>
          <w:iCs/>
          <w:sz w:val="28"/>
          <w:szCs w:val="28"/>
        </w:rPr>
        <w:t>policies</w:t>
      </w:r>
      <w:r w:rsidRPr="00125271">
        <w:rPr>
          <w:b/>
          <w:bCs/>
          <w:i/>
          <w:iCs/>
          <w:sz w:val="28"/>
          <w:szCs w:val="28"/>
        </w:rPr>
        <w:t xml:space="preserve"> for Obstetrical Services – 48</w:t>
      </w:r>
      <w:r w:rsidRPr="00125271" w:rsidR="00E31696">
        <w:rPr>
          <w:b/>
          <w:bCs/>
          <w:i/>
          <w:iCs/>
          <w:sz w:val="28"/>
          <w:szCs w:val="28"/>
        </w:rPr>
        <w:t>5.649</w:t>
      </w:r>
      <w:r w:rsidRPr="00125271">
        <w:rPr>
          <w:b/>
          <w:bCs/>
          <w:i/>
          <w:iCs/>
          <w:sz w:val="28"/>
          <w:szCs w:val="28"/>
        </w:rPr>
        <w:t>(b</w:t>
      </w:r>
      <w:r w:rsidRPr="00125271" w:rsidR="005477E9">
        <w:rPr>
          <w:b/>
          <w:bCs/>
          <w:i/>
          <w:iCs/>
          <w:sz w:val="28"/>
          <w:szCs w:val="28"/>
        </w:rPr>
        <w:t>)(2)</w:t>
      </w:r>
    </w:p>
    <w:tbl>
      <w:tblPr>
        <w:tblW w:w="7470" w:type="dxa"/>
        <w:tblInd w:w="715" w:type="dxa"/>
        <w:tblLayout w:type="fixed"/>
        <w:tblCellMar>
          <w:left w:w="0" w:type="dxa"/>
          <w:right w:w="0" w:type="dxa"/>
        </w:tblCellMar>
        <w:tblLook w:val="04A0"/>
      </w:tblPr>
      <w:tblGrid>
        <w:gridCol w:w="3688"/>
        <w:gridCol w:w="1170"/>
        <w:gridCol w:w="1129"/>
        <w:gridCol w:w="1483"/>
      </w:tblGrid>
      <w:tr w14:paraId="6A3DCCB6" w14:textId="77777777" w:rsidTr="00B52C02">
        <w:tblPrEx>
          <w:tblW w:w="7470" w:type="dxa"/>
          <w:tblInd w:w="715" w:type="dxa"/>
          <w:tblLayout w:type="fixed"/>
          <w:tblCellMar>
            <w:left w:w="0" w:type="dxa"/>
            <w:right w:w="0" w:type="dxa"/>
          </w:tblCellMar>
          <w:tblLook w:val="04A0"/>
        </w:tblPrEx>
        <w:trPr>
          <w:trHeight w:val="526"/>
        </w:trPr>
        <w:tc>
          <w:tcPr>
            <w:tcW w:w="3688"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AB5C99" w:rsidRPr="00125271" w:rsidP="00702172" w14:paraId="32550095" w14:textId="77777777">
            <w:pPr>
              <w:jc w:val="center"/>
              <w:rPr>
                <w:b/>
                <w:bCs/>
                <w:color w:val="000000"/>
                <w:szCs w:val="24"/>
              </w:rPr>
            </w:pPr>
            <w:r w:rsidRPr="00125271">
              <w:rPr>
                <w:b/>
                <w:bCs/>
                <w:color w:val="000000"/>
                <w:szCs w:val="24"/>
              </w:rPr>
              <w:t xml:space="preserve">Task </w:t>
            </w:r>
          </w:p>
        </w:tc>
        <w:tc>
          <w:tcPr>
            <w:tcW w:w="1170" w:type="dxa"/>
            <w:tcBorders>
              <w:top w:val="single" w:sz="4" w:space="0" w:color="auto"/>
              <w:left w:val="nil"/>
              <w:bottom w:val="single" w:sz="4" w:space="0" w:color="auto"/>
              <w:right w:val="single" w:sz="4" w:space="0" w:color="auto"/>
            </w:tcBorders>
            <w:shd w:val="clear" w:color="CCCCCC" w:fill="D9E7FD"/>
            <w:vAlign w:val="bottom"/>
            <w:hideMark/>
          </w:tcPr>
          <w:p w:rsidR="00AB5C99" w:rsidRPr="00125271" w:rsidP="00702172" w14:paraId="02043158" w14:textId="77777777">
            <w:pPr>
              <w:ind w:hanging="2"/>
              <w:jc w:val="center"/>
              <w:rPr>
                <w:b/>
                <w:bCs/>
                <w:color w:val="000000"/>
                <w:szCs w:val="24"/>
              </w:rPr>
            </w:pPr>
            <w:r w:rsidRPr="00125271">
              <w:rPr>
                <w:b/>
                <w:bCs/>
                <w:color w:val="000000"/>
                <w:szCs w:val="24"/>
              </w:rPr>
              <w:t>Hourly Mean Wage</w:t>
            </w:r>
          </w:p>
        </w:tc>
        <w:tc>
          <w:tcPr>
            <w:tcW w:w="1129" w:type="dxa"/>
            <w:tcBorders>
              <w:top w:val="single" w:sz="4" w:space="0" w:color="auto"/>
              <w:left w:val="nil"/>
              <w:bottom w:val="single" w:sz="4" w:space="0" w:color="auto"/>
              <w:right w:val="single" w:sz="4" w:space="0" w:color="auto"/>
            </w:tcBorders>
            <w:shd w:val="clear" w:color="CCCCCC" w:fill="D9E7FD"/>
            <w:vAlign w:val="bottom"/>
            <w:hideMark/>
          </w:tcPr>
          <w:p w:rsidR="00AB5C99" w:rsidRPr="00125271" w:rsidP="00702172" w14:paraId="75E5AEF1" w14:textId="77777777">
            <w:pPr>
              <w:ind w:hanging="2"/>
              <w:jc w:val="center"/>
              <w:rPr>
                <w:b/>
                <w:bCs/>
                <w:color w:val="000000"/>
                <w:szCs w:val="24"/>
              </w:rPr>
            </w:pPr>
            <w:r w:rsidRPr="00125271">
              <w:rPr>
                <w:b/>
                <w:bCs/>
                <w:color w:val="000000"/>
                <w:szCs w:val="24"/>
              </w:rPr>
              <w:t>Hours/</w:t>
            </w:r>
          </w:p>
          <w:p w:rsidR="00AB5C99" w:rsidRPr="00125271" w:rsidP="00702172" w14:paraId="077559AE" w14:textId="77777777">
            <w:pPr>
              <w:ind w:hanging="2"/>
              <w:jc w:val="center"/>
              <w:rPr>
                <w:b/>
                <w:bCs/>
                <w:color w:val="000000"/>
                <w:szCs w:val="24"/>
              </w:rPr>
            </w:pPr>
            <w:r w:rsidRPr="00125271">
              <w:rPr>
                <w:b/>
                <w:bCs/>
                <w:color w:val="000000"/>
                <w:szCs w:val="24"/>
              </w:rPr>
              <w:t>Task</w:t>
            </w:r>
          </w:p>
        </w:tc>
        <w:tc>
          <w:tcPr>
            <w:tcW w:w="1483" w:type="dxa"/>
            <w:tcBorders>
              <w:top w:val="single" w:sz="4" w:space="0" w:color="auto"/>
              <w:left w:val="nil"/>
              <w:bottom w:val="single" w:sz="4" w:space="0" w:color="auto"/>
              <w:right w:val="single" w:sz="4" w:space="0" w:color="auto"/>
            </w:tcBorders>
            <w:shd w:val="clear" w:color="CCCCCC" w:fill="D9E7FD"/>
            <w:vAlign w:val="bottom"/>
            <w:hideMark/>
          </w:tcPr>
          <w:p w:rsidR="00AB5C99" w:rsidRPr="00125271" w:rsidP="00702172" w14:paraId="3BFE11A6" w14:textId="77777777">
            <w:pPr>
              <w:ind w:hanging="2"/>
              <w:jc w:val="center"/>
              <w:rPr>
                <w:b/>
                <w:bCs/>
                <w:color w:val="000000"/>
                <w:szCs w:val="24"/>
              </w:rPr>
            </w:pPr>
            <w:r w:rsidRPr="00125271">
              <w:rPr>
                <w:b/>
                <w:bCs/>
                <w:color w:val="000000"/>
                <w:szCs w:val="24"/>
              </w:rPr>
              <w:t>Cost/</w:t>
            </w:r>
          </w:p>
          <w:p w:rsidR="00AB5C99" w:rsidRPr="00125271" w:rsidP="00702172" w14:paraId="1CF7D1F1" w14:textId="77777777">
            <w:pPr>
              <w:ind w:hanging="2"/>
              <w:jc w:val="center"/>
              <w:rPr>
                <w:b/>
                <w:bCs/>
                <w:color w:val="000000"/>
                <w:szCs w:val="24"/>
              </w:rPr>
            </w:pPr>
            <w:r w:rsidRPr="00125271">
              <w:rPr>
                <w:b/>
                <w:bCs/>
                <w:color w:val="000000"/>
                <w:szCs w:val="24"/>
              </w:rPr>
              <w:t>Task</w:t>
            </w:r>
          </w:p>
        </w:tc>
      </w:tr>
      <w:tr w14:paraId="2DBBFDF1" w14:textId="77777777" w:rsidTr="00B52C02">
        <w:tblPrEx>
          <w:tblW w:w="7470" w:type="dxa"/>
          <w:tblInd w:w="715" w:type="dxa"/>
          <w:tblLayout w:type="fixed"/>
          <w:tblCellMar>
            <w:left w:w="0" w:type="dxa"/>
            <w:right w:w="0" w:type="dxa"/>
          </w:tblCellMar>
          <w:tblLook w:val="04A0"/>
        </w:tblPrEx>
        <w:trPr>
          <w:trHeight w:val="263"/>
        </w:trPr>
        <w:tc>
          <w:tcPr>
            <w:tcW w:w="7470" w:type="dxa"/>
            <w:gridSpan w:val="4"/>
            <w:tcBorders>
              <w:top w:val="single" w:sz="4" w:space="0" w:color="auto"/>
              <w:left w:val="single" w:sz="4" w:space="0" w:color="auto"/>
              <w:bottom w:val="single" w:sz="4" w:space="0" w:color="auto"/>
              <w:right w:val="single" w:sz="4" w:space="0" w:color="000000"/>
            </w:tcBorders>
            <w:shd w:val="clear" w:color="000000" w:fill="D9D9D9"/>
            <w:hideMark/>
          </w:tcPr>
          <w:p w:rsidR="00AB5C99" w:rsidRPr="00B52C02" w:rsidP="00702172" w14:paraId="5FE34ADE" w14:textId="77777777">
            <w:pPr>
              <w:ind w:hanging="2"/>
              <w:rPr>
                <w:b/>
                <w:bCs/>
                <w:color w:val="000000"/>
                <w:szCs w:val="24"/>
                <w:u w:val="single"/>
              </w:rPr>
            </w:pPr>
            <w:r w:rsidRPr="00B52C02">
              <w:rPr>
                <w:b/>
                <w:bCs/>
                <w:color w:val="000000"/>
                <w:szCs w:val="24"/>
                <w:u w:val="single"/>
              </w:rPr>
              <w:t>One-time development of policies</w:t>
            </w:r>
          </w:p>
        </w:tc>
      </w:tr>
      <w:tr w14:paraId="392551FC" w14:textId="77777777" w:rsidTr="00B52C02">
        <w:tblPrEx>
          <w:tblW w:w="7470" w:type="dxa"/>
          <w:tblInd w:w="715" w:type="dxa"/>
          <w:tblLayout w:type="fixed"/>
          <w:tblCellMar>
            <w:left w:w="0" w:type="dxa"/>
            <w:right w:w="0"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AB5C99" w:rsidRPr="00125271" w:rsidP="00702172" w14:paraId="2009D17B" w14:textId="77777777">
            <w:pPr>
              <w:ind w:hanging="2"/>
              <w:rPr>
                <w:color w:val="000000"/>
                <w:szCs w:val="24"/>
              </w:rPr>
            </w:pPr>
            <w:r w:rsidRPr="00125271">
              <w:rPr>
                <w:color w:val="000000"/>
                <w:szCs w:val="24"/>
              </w:rPr>
              <w:t>Physician</w:t>
            </w:r>
          </w:p>
        </w:tc>
        <w:tc>
          <w:tcPr>
            <w:tcW w:w="1170" w:type="dxa"/>
            <w:tcBorders>
              <w:top w:val="nil"/>
              <w:left w:val="nil"/>
              <w:bottom w:val="single" w:sz="4" w:space="0" w:color="auto"/>
              <w:right w:val="single" w:sz="4" w:space="0" w:color="auto"/>
            </w:tcBorders>
            <w:shd w:val="clear" w:color="auto" w:fill="auto"/>
            <w:vAlign w:val="bottom"/>
            <w:hideMark/>
          </w:tcPr>
          <w:p w:rsidR="00AB5C99" w:rsidRPr="00125271" w:rsidP="00702172" w14:paraId="33B627BD" w14:textId="77777777">
            <w:pPr>
              <w:ind w:hanging="2"/>
              <w:jc w:val="center"/>
              <w:rPr>
                <w:color w:val="000000"/>
                <w:szCs w:val="24"/>
              </w:rPr>
            </w:pPr>
            <w:r w:rsidRPr="00125271">
              <w:rPr>
                <w:color w:val="000000"/>
                <w:szCs w:val="24"/>
              </w:rPr>
              <w:t>$253.70</w:t>
            </w:r>
          </w:p>
        </w:tc>
        <w:tc>
          <w:tcPr>
            <w:tcW w:w="1129" w:type="dxa"/>
            <w:tcBorders>
              <w:top w:val="nil"/>
              <w:left w:val="nil"/>
              <w:bottom w:val="single" w:sz="4" w:space="0" w:color="auto"/>
              <w:right w:val="single" w:sz="4" w:space="0" w:color="auto"/>
            </w:tcBorders>
            <w:shd w:val="clear" w:color="auto" w:fill="auto"/>
            <w:vAlign w:val="bottom"/>
            <w:hideMark/>
          </w:tcPr>
          <w:p w:rsidR="00AB5C99" w:rsidRPr="00125271" w:rsidP="00702172" w14:paraId="6E1F3F25" w14:textId="77777777">
            <w:pPr>
              <w:ind w:hanging="2"/>
              <w:jc w:val="center"/>
              <w:rPr>
                <w:color w:val="000000"/>
                <w:szCs w:val="24"/>
              </w:rPr>
            </w:pPr>
            <w:r w:rsidRPr="00125271">
              <w:rPr>
                <w:color w:val="000000"/>
                <w:szCs w:val="24"/>
              </w:rPr>
              <w:t>8.0</w:t>
            </w:r>
          </w:p>
        </w:tc>
        <w:tc>
          <w:tcPr>
            <w:tcW w:w="1483" w:type="dxa"/>
            <w:tcBorders>
              <w:top w:val="nil"/>
              <w:left w:val="nil"/>
              <w:bottom w:val="single" w:sz="4" w:space="0" w:color="auto"/>
              <w:right w:val="single" w:sz="4" w:space="0" w:color="auto"/>
            </w:tcBorders>
            <w:shd w:val="clear" w:color="auto" w:fill="auto"/>
            <w:noWrap/>
            <w:vAlign w:val="bottom"/>
            <w:hideMark/>
          </w:tcPr>
          <w:p w:rsidR="00AB5C99" w:rsidRPr="00125271" w:rsidP="00702172" w14:paraId="3FC66534" w14:textId="77777777">
            <w:pPr>
              <w:ind w:hanging="2"/>
              <w:jc w:val="center"/>
              <w:rPr>
                <w:color w:val="000000"/>
                <w:szCs w:val="24"/>
              </w:rPr>
            </w:pPr>
            <w:r w:rsidRPr="00125271">
              <w:rPr>
                <w:color w:val="000000"/>
                <w:szCs w:val="24"/>
              </w:rPr>
              <w:t>$2,029.60</w:t>
            </w:r>
          </w:p>
        </w:tc>
      </w:tr>
      <w:tr w14:paraId="4C0295CE" w14:textId="77777777" w:rsidTr="00B52C02">
        <w:tblPrEx>
          <w:tblW w:w="7470" w:type="dxa"/>
          <w:tblInd w:w="715" w:type="dxa"/>
          <w:tblLayout w:type="fixed"/>
          <w:tblCellMar>
            <w:left w:w="0" w:type="dxa"/>
            <w:right w:w="0"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AB5C99" w:rsidRPr="00125271" w:rsidP="00702172" w14:paraId="67C6FF12" w14:textId="77777777">
            <w:pPr>
              <w:ind w:hanging="2"/>
              <w:rPr>
                <w:color w:val="000000"/>
                <w:szCs w:val="24"/>
              </w:rPr>
            </w:pPr>
            <w:r w:rsidRPr="00125271">
              <w:rPr>
                <w:color w:val="000000"/>
                <w:szCs w:val="24"/>
              </w:rPr>
              <w:t>Lawyer</w:t>
            </w:r>
          </w:p>
        </w:tc>
        <w:tc>
          <w:tcPr>
            <w:tcW w:w="1170" w:type="dxa"/>
            <w:tcBorders>
              <w:top w:val="nil"/>
              <w:left w:val="nil"/>
              <w:bottom w:val="single" w:sz="4" w:space="0" w:color="auto"/>
              <w:right w:val="single" w:sz="4" w:space="0" w:color="auto"/>
            </w:tcBorders>
            <w:shd w:val="clear" w:color="auto" w:fill="auto"/>
            <w:vAlign w:val="bottom"/>
            <w:hideMark/>
          </w:tcPr>
          <w:p w:rsidR="00AB5C99" w:rsidRPr="00125271" w:rsidP="00702172" w14:paraId="58343D2A" w14:textId="77777777">
            <w:pPr>
              <w:ind w:hanging="2"/>
              <w:jc w:val="center"/>
              <w:rPr>
                <w:color w:val="000000"/>
                <w:szCs w:val="24"/>
              </w:rPr>
            </w:pPr>
            <w:r w:rsidRPr="00125271">
              <w:rPr>
                <w:color w:val="000000"/>
                <w:szCs w:val="24"/>
              </w:rPr>
              <w:t>$169.68</w:t>
            </w:r>
          </w:p>
        </w:tc>
        <w:tc>
          <w:tcPr>
            <w:tcW w:w="1129" w:type="dxa"/>
            <w:tcBorders>
              <w:top w:val="nil"/>
              <w:left w:val="nil"/>
              <w:bottom w:val="single" w:sz="4" w:space="0" w:color="auto"/>
              <w:right w:val="single" w:sz="4" w:space="0" w:color="auto"/>
            </w:tcBorders>
            <w:shd w:val="clear" w:color="auto" w:fill="auto"/>
            <w:vAlign w:val="bottom"/>
            <w:hideMark/>
          </w:tcPr>
          <w:p w:rsidR="00AB5C99" w:rsidRPr="00125271" w:rsidP="00702172" w14:paraId="671B561D" w14:textId="77777777">
            <w:pPr>
              <w:ind w:hanging="2"/>
              <w:jc w:val="center"/>
              <w:rPr>
                <w:color w:val="000000"/>
                <w:szCs w:val="24"/>
              </w:rPr>
            </w:pPr>
            <w:r w:rsidRPr="00125271">
              <w:rPr>
                <w:color w:val="000000"/>
                <w:szCs w:val="24"/>
              </w:rPr>
              <w:t>8.0</w:t>
            </w:r>
          </w:p>
        </w:tc>
        <w:tc>
          <w:tcPr>
            <w:tcW w:w="1483" w:type="dxa"/>
            <w:tcBorders>
              <w:top w:val="nil"/>
              <w:left w:val="nil"/>
              <w:bottom w:val="single" w:sz="4" w:space="0" w:color="auto"/>
              <w:right w:val="single" w:sz="4" w:space="0" w:color="auto"/>
            </w:tcBorders>
            <w:shd w:val="clear" w:color="auto" w:fill="auto"/>
            <w:noWrap/>
            <w:vAlign w:val="bottom"/>
            <w:hideMark/>
          </w:tcPr>
          <w:p w:rsidR="00AB5C99" w:rsidRPr="00125271" w:rsidP="00702172" w14:paraId="1EC378EB" w14:textId="77777777">
            <w:pPr>
              <w:ind w:hanging="2"/>
              <w:jc w:val="center"/>
              <w:rPr>
                <w:color w:val="000000"/>
                <w:szCs w:val="24"/>
              </w:rPr>
            </w:pPr>
            <w:r w:rsidRPr="00125271">
              <w:rPr>
                <w:color w:val="000000"/>
                <w:szCs w:val="24"/>
              </w:rPr>
              <w:t>$1,357.44</w:t>
            </w:r>
          </w:p>
        </w:tc>
      </w:tr>
      <w:tr w14:paraId="2954933B" w14:textId="77777777" w:rsidTr="00B52C02">
        <w:tblPrEx>
          <w:tblW w:w="7470" w:type="dxa"/>
          <w:tblInd w:w="715" w:type="dxa"/>
          <w:tblLayout w:type="fixed"/>
          <w:tblCellMar>
            <w:left w:w="0" w:type="dxa"/>
            <w:right w:w="0"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AB5C99" w:rsidRPr="00125271" w:rsidP="00702172" w14:paraId="1A39CFC9" w14:textId="77777777">
            <w:pPr>
              <w:ind w:hanging="2"/>
              <w:rPr>
                <w:color w:val="000000"/>
                <w:szCs w:val="24"/>
              </w:rPr>
            </w:pPr>
            <w:r w:rsidRPr="00125271">
              <w:rPr>
                <w:color w:val="000000"/>
                <w:szCs w:val="24"/>
              </w:rPr>
              <w:t>Administrator</w:t>
            </w:r>
          </w:p>
        </w:tc>
        <w:tc>
          <w:tcPr>
            <w:tcW w:w="1170" w:type="dxa"/>
            <w:tcBorders>
              <w:top w:val="nil"/>
              <w:left w:val="nil"/>
              <w:bottom w:val="single" w:sz="4" w:space="0" w:color="auto"/>
              <w:right w:val="single" w:sz="4" w:space="0" w:color="auto"/>
            </w:tcBorders>
            <w:shd w:val="clear" w:color="auto" w:fill="auto"/>
            <w:vAlign w:val="bottom"/>
            <w:hideMark/>
          </w:tcPr>
          <w:p w:rsidR="00AB5C99" w:rsidRPr="00125271" w:rsidP="00702172" w14:paraId="36E52497" w14:textId="77777777">
            <w:pPr>
              <w:ind w:hanging="2"/>
              <w:jc w:val="center"/>
              <w:rPr>
                <w:color w:val="000000"/>
                <w:szCs w:val="24"/>
              </w:rPr>
            </w:pPr>
            <w:r w:rsidRPr="00125271">
              <w:rPr>
                <w:color w:val="000000"/>
                <w:szCs w:val="24"/>
              </w:rPr>
              <w:t>$129.28</w:t>
            </w:r>
          </w:p>
        </w:tc>
        <w:tc>
          <w:tcPr>
            <w:tcW w:w="1129" w:type="dxa"/>
            <w:tcBorders>
              <w:top w:val="nil"/>
              <w:left w:val="nil"/>
              <w:bottom w:val="single" w:sz="4" w:space="0" w:color="auto"/>
              <w:right w:val="single" w:sz="4" w:space="0" w:color="auto"/>
            </w:tcBorders>
            <w:shd w:val="clear" w:color="auto" w:fill="auto"/>
            <w:vAlign w:val="bottom"/>
            <w:hideMark/>
          </w:tcPr>
          <w:p w:rsidR="00AB5C99" w:rsidRPr="00125271" w:rsidP="00702172" w14:paraId="0FB99524" w14:textId="77777777">
            <w:pPr>
              <w:ind w:hanging="2"/>
              <w:jc w:val="center"/>
              <w:rPr>
                <w:color w:val="000000"/>
                <w:szCs w:val="24"/>
              </w:rPr>
            </w:pPr>
            <w:r w:rsidRPr="00125271">
              <w:rPr>
                <w:color w:val="000000"/>
                <w:szCs w:val="24"/>
              </w:rPr>
              <w:t>8.0</w:t>
            </w:r>
          </w:p>
        </w:tc>
        <w:tc>
          <w:tcPr>
            <w:tcW w:w="1483" w:type="dxa"/>
            <w:tcBorders>
              <w:top w:val="nil"/>
              <w:left w:val="nil"/>
              <w:bottom w:val="single" w:sz="4" w:space="0" w:color="auto"/>
              <w:right w:val="single" w:sz="4" w:space="0" w:color="auto"/>
            </w:tcBorders>
            <w:shd w:val="clear" w:color="auto" w:fill="auto"/>
            <w:noWrap/>
            <w:vAlign w:val="bottom"/>
            <w:hideMark/>
          </w:tcPr>
          <w:p w:rsidR="00AB5C99" w:rsidRPr="00125271" w:rsidP="00702172" w14:paraId="5D9B4936" w14:textId="77777777">
            <w:pPr>
              <w:ind w:hanging="2"/>
              <w:jc w:val="center"/>
              <w:rPr>
                <w:color w:val="000000"/>
                <w:szCs w:val="24"/>
              </w:rPr>
            </w:pPr>
            <w:r w:rsidRPr="00125271">
              <w:rPr>
                <w:color w:val="000000"/>
                <w:szCs w:val="24"/>
              </w:rPr>
              <w:t>$1,034.24</w:t>
            </w:r>
          </w:p>
        </w:tc>
      </w:tr>
      <w:tr w14:paraId="7975E764" w14:textId="77777777" w:rsidTr="00B52C02">
        <w:tblPrEx>
          <w:tblW w:w="7470" w:type="dxa"/>
          <w:tblInd w:w="715" w:type="dxa"/>
          <w:tblLayout w:type="fixed"/>
          <w:tblCellMar>
            <w:left w:w="0" w:type="dxa"/>
            <w:right w:w="0"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AB5C99" w:rsidRPr="00125271" w:rsidP="00702172" w14:paraId="2CA10684" w14:textId="77777777">
            <w:pPr>
              <w:ind w:hanging="2"/>
              <w:rPr>
                <w:color w:val="000000"/>
                <w:szCs w:val="24"/>
              </w:rPr>
            </w:pPr>
            <w:r w:rsidRPr="00125271">
              <w:rPr>
                <w:color w:val="000000"/>
                <w:szCs w:val="24"/>
              </w:rPr>
              <w:t>Registered Nurse</w:t>
            </w:r>
          </w:p>
        </w:tc>
        <w:tc>
          <w:tcPr>
            <w:tcW w:w="1170" w:type="dxa"/>
            <w:tcBorders>
              <w:top w:val="nil"/>
              <w:left w:val="nil"/>
              <w:bottom w:val="single" w:sz="4" w:space="0" w:color="auto"/>
              <w:right w:val="single" w:sz="4" w:space="0" w:color="auto"/>
            </w:tcBorders>
            <w:shd w:val="clear" w:color="auto" w:fill="auto"/>
            <w:vAlign w:val="bottom"/>
            <w:hideMark/>
          </w:tcPr>
          <w:p w:rsidR="00AB5C99" w:rsidRPr="00125271" w:rsidP="00702172" w14:paraId="3883C5C1" w14:textId="77777777">
            <w:pPr>
              <w:ind w:hanging="2"/>
              <w:jc w:val="center"/>
              <w:rPr>
                <w:color w:val="000000"/>
                <w:szCs w:val="24"/>
              </w:rPr>
            </w:pPr>
            <w:r w:rsidRPr="00125271">
              <w:rPr>
                <w:color w:val="000000"/>
                <w:szCs w:val="24"/>
              </w:rPr>
              <w:t>$90.84</w:t>
            </w:r>
          </w:p>
        </w:tc>
        <w:tc>
          <w:tcPr>
            <w:tcW w:w="1129" w:type="dxa"/>
            <w:tcBorders>
              <w:top w:val="nil"/>
              <w:left w:val="nil"/>
              <w:bottom w:val="single" w:sz="4" w:space="0" w:color="auto"/>
              <w:right w:val="single" w:sz="4" w:space="0" w:color="auto"/>
            </w:tcBorders>
            <w:shd w:val="clear" w:color="auto" w:fill="auto"/>
            <w:vAlign w:val="bottom"/>
            <w:hideMark/>
          </w:tcPr>
          <w:p w:rsidR="00AB5C99" w:rsidRPr="00125271" w:rsidP="00702172" w14:paraId="324641C0" w14:textId="77777777">
            <w:pPr>
              <w:ind w:hanging="2"/>
              <w:jc w:val="center"/>
              <w:rPr>
                <w:color w:val="000000"/>
                <w:szCs w:val="24"/>
              </w:rPr>
            </w:pPr>
            <w:r w:rsidRPr="00125271">
              <w:rPr>
                <w:color w:val="000000"/>
                <w:szCs w:val="24"/>
              </w:rPr>
              <w:t>8.0</w:t>
            </w:r>
          </w:p>
        </w:tc>
        <w:tc>
          <w:tcPr>
            <w:tcW w:w="1483" w:type="dxa"/>
            <w:tcBorders>
              <w:top w:val="nil"/>
              <w:left w:val="nil"/>
              <w:bottom w:val="single" w:sz="4" w:space="0" w:color="auto"/>
              <w:right w:val="single" w:sz="4" w:space="0" w:color="auto"/>
            </w:tcBorders>
            <w:shd w:val="clear" w:color="auto" w:fill="auto"/>
            <w:noWrap/>
            <w:vAlign w:val="bottom"/>
            <w:hideMark/>
          </w:tcPr>
          <w:p w:rsidR="00AB5C99" w:rsidRPr="00125271" w:rsidP="00702172" w14:paraId="4C5524E9" w14:textId="77777777">
            <w:pPr>
              <w:ind w:hanging="2"/>
              <w:jc w:val="center"/>
              <w:rPr>
                <w:color w:val="000000"/>
                <w:szCs w:val="24"/>
              </w:rPr>
            </w:pPr>
            <w:r w:rsidRPr="00125271">
              <w:rPr>
                <w:color w:val="000000"/>
                <w:szCs w:val="24"/>
              </w:rPr>
              <w:t>$726.72</w:t>
            </w:r>
          </w:p>
        </w:tc>
      </w:tr>
      <w:tr w14:paraId="4582C263" w14:textId="77777777" w:rsidTr="00B52C02">
        <w:tblPrEx>
          <w:tblW w:w="7470" w:type="dxa"/>
          <w:tblInd w:w="715" w:type="dxa"/>
          <w:tblLayout w:type="fixed"/>
          <w:tblCellMar>
            <w:left w:w="0" w:type="dxa"/>
            <w:right w:w="0"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AB5C99" w:rsidRPr="00125271" w:rsidP="00702172" w14:paraId="3B3AE4FC" w14:textId="77777777">
            <w:pPr>
              <w:ind w:hanging="2"/>
              <w:rPr>
                <w:color w:val="000000"/>
                <w:szCs w:val="24"/>
              </w:rPr>
            </w:pPr>
            <w:r w:rsidRPr="00125271">
              <w:rPr>
                <w:color w:val="000000"/>
                <w:szCs w:val="24"/>
              </w:rPr>
              <w:t>Medical Secretary</w:t>
            </w:r>
          </w:p>
        </w:tc>
        <w:tc>
          <w:tcPr>
            <w:tcW w:w="1170" w:type="dxa"/>
            <w:tcBorders>
              <w:top w:val="nil"/>
              <w:left w:val="nil"/>
              <w:bottom w:val="single" w:sz="4" w:space="0" w:color="auto"/>
              <w:right w:val="single" w:sz="4" w:space="0" w:color="auto"/>
            </w:tcBorders>
            <w:shd w:val="clear" w:color="auto" w:fill="auto"/>
            <w:vAlign w:val="bottom"/>
            <w:hideMark/>
          </w:tcPr>
          <w:p w:rsidR="00AB5C99" w:rsidRPr="00125271" w:rsidP="00702172" w14:paraId="5D6F628C" w14:textId="77777777">
            <w:pPr>
              <w:ind w:hanging="2"/>
              <w:jc w:val="center"/>
              <w:rPr>
                <w:color w:val="000000"/>
                <w:szCs w:val="24"/>
              </w:rPr>
            </w:pPr>
            <w:r w:rsidRPr="00125271">
              <w:rPr>
                <w:color w:val="000000"/>
                <w:szCs w:val="24"/>
              </w:rPr>
              <w:t>$41.70</w:t>
            </w:r>
          </w:p>
        </w:tc>
        <w:tc>
          <w:tcPr>
            <w:tcW w:w="1129" w:type="dxa"/>
            <w:tcBorders>
              <w:top w:val="nil"/>
              <w:left w:val="nil"/>
              <w:bottom w:val="single" w:sz="4" w:space="0" w:color="auto"/>
              <w:right w:val="single" w:sz="4" w:space="0" w:color="auto"/>
            </w:tcBorders>
            <w:shd w:val="clear" w:color="auto" w:fill="auto"/>
            <w:vAlign w:val="bottom"/>
            <w:hideMark/>
          </w:tcPr>
          <w:p w:rsidR="00AB5C99" w:rsidRPr="00125271" w:rsidP="00702172" w14:paraId="15248E3F" w14:textId="77777777">
            <w:pPr>
              <w:ind w:hanging="2"/>
              <w:jc w:val="center"/>
              <w:rPr>
                <w:color w:val="000000"/>
                <w:szCs w:val="24"/>
              </w:rPr>
            </w:pPr>
            <w:r w:rsidRPr="00125271">
              <w:rPr>
                <w:color w:val="000000"/>
                <w:szCs w:val="24"/>
              </w:rPr>
              <w:t>8.0</w:t>
            </w:r>
          </w:p>
        </w:tc>
        <w:tc>
          <w:tcPr>
            <w:tcW w:w="1483" w:type="dxa"/>
            <w:tcBorders>
              <w:top w:val="nil"/>
              <w:left w:val="nil"/>
              <w:bottom w:val="single" w:sz="4" w:space="0" w:color="auto"/>
              <w:right w:val="single" w:sz="4" w:space="0" w:color="auto"/>
            </w:tcBorders>
            <w:shd w:val="clear" w:color="auto" w:fill="auto"/>
            <w:noWrap/>
            <w:vAlign w:val="bottom"/>
            <w:hideMark/>
          </w:tcPr>
          <w:p w:rsidR="00AB5C99" w:rsidRPr="00125271" w:rsidP="00702172" w14:paraId="3671C441" w14:textId="77777777">
            <w:pPr>
              <w:ind w:hanging="2"/>
              <w:jc w:val="center"/>
              <w:rPr>
                <w:color w:val="000000"/>
                <w:szCs w:val="24"/>
              </w:rPr>
            </w:pPr>
            <w:r w:rsidRPr="00125271">
              <w:rPr>
                <w:color w:val="000000"/>
                <w:szCs w:val="24"/>
              </w:rPr>
              <w:t>$333.60</w:t>
            </w:r>
          </w:p>
        </w:tc>
      </w:tr>
      <w:tr w14:paraId="495DDFDE" w14:textId="77777777" w:rsidTr="00B52C02">
        <w:tblPrEx>
          <w:tblW w:w="7470" w:type="dxa"/>
          <w:tblInd w:w="715" w:type="dxa"/>
          <w:tblLayout w:type="fixed"/>
          <w:tblCellMar>
            <w:left w:w="0" w:type="dxa"/>
            <w:right w:w="0"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000000" w:fill="F2F2F2"/>
            <w:vAlign w:val="bottom"/>
            <w:hideMark/>
          </w:tcPr>
          <w:p w:rsidR="00AB5C99" w:rsidRPr="00125271" w:rsidP="00702172" w14:paraId="44682276" w14:textId="77777777">
            <w:pPr>
              <w:ind w:hanging="2"/>
              <w:jc w:val="right"/>
              <w:rPr>
                <w:color w:val="000000"/>
                <w:szCs w:val="24"/>
              </w:rPr>
            </w:pPr>
            <w:r w:rsidRPr="00125271">
              <w:rPr>
                <w:color w:val="000000"/>
                <w:szCs w:val="24"/>
              </w:rPr>
              <w:t>Total Task/Facility</w:t>
            </w:r>
          </w:p>
        </w:tc>
        <w:tc>
          <w:tcPr>
            <w:tcW w:w="1170" w:type="dxa"/>
            <w:tcBorders>
              <w:top w:val="nil"/>
              <w:left w:val="nil"/>
              <w:bottom w:val="single" w:sz="4" w:space="0" w:color="auto"/>
              <w:right w:val="single" w:sz="4" w:space="0" w:color="auto"/>
            </w:tcBorders>
            <w:shd w:val="clear" w:color="000000" w:fill="F2F2F2"/>
            <w:vAlign w:val="bottom"/>
            <w:hideMark/>
          </w:tcPr>
          <w:p w:rsidR="00AB5C99" w:rsidRPr="00125271" w:rsidP="00702172" w14:paraId="69FEE22E" w14:textId="77777777">
            <w:pPr>
              <w:ind w:hanging="2"/>
              <w:jc w:val="center"/>
              <w:rPr>
                <w:color w:val="000000"/>
                <w:szCs w:val="24"/>
              </w:rPr>
            </w:pPr>
            <w:r w:rsidRPr="00125271">
              <w:rPr>
                <w:color w:val="000000"/>
                <w:szCs w:val="24"/>
              </w:rPr>
              <w:t> </w:t>
            </w:r>
          </w:p>
        </w:tc>
        <w:tc>
          <w:tcPr>
            <w:tcW w:w="1129" w:type="dxa"/>
            <w:tcBorders>
              <w:top w:val="nil"/>
              <w:left w:val="nil"/>
              <w:bottom w:val="single" w:sz="4" w:space="0" w:color="auto"/>
              <w:right w:val="single" w:sz="4" w:space="0" w:color="auto"/>
            </w:tcBorders>
            <w:shd w:val="clear" w:color="000000" w:fill="F2F2F2"/>
            <w:vAlign w:val="bottom"/>
            <w:hideMark/>
          </w:tcPr>
          <w:p w:rsidR="00AB5C99" w:rsidRPr="00125271" w:rsidP="00702172" w14:paraId="7237EC54" w14:textId="77777777">
            <w:pPr>
              <w:ind w:hanging="2"/>
              <w:jc w:val="center"/>
              <w:rPr>
                <w:color w:val="000000"/>
                <w:szCs w:val="24"/>
              </w:rPr>
            </w:pPr>
            <w:r w:rsidRPr="00125271">
              <w:rPr>
                <w:color w:val="000000"/>
                <w:szCs w:val="24"/>
              </w:rPr>
              <w:t>40.0</w:t>
            </w:r>
          </w:p>
        </w:tc>
        <w:tc>
          <w:tcPr>
            <w:tcW w:w="1483" w:type="dxa"/>
            <w:tcBorders>
              <w:top w:val="nil"/>
              <w:left w:val="nil"/>
              <w:bottom w:val="single" w:sz="4" w:space="0" w:color="auto"/>
              <w:right w:val="single" w:sz="4" w:space="0" w:color="auto"/>
            </w:tcBorders>
            <w:shd w:val="clear" w:color="000000" w:fill="F2F2F2"/>
            <w:vAlign w:val="bottom"/>
            <w:hideMark/>
          </w:tcPr>
          <w:p w:rsidR="00AB5C99" w:rsidRPr="00125271" w:rsidP="00702172" w14:paraId="667248C0" w14:textId="77777777">
            <w:pPr>
              <w:ind w:hanging="2"/>
              <w:jc w:val="center"/>
              <w:rPr>
                <w:color w:val="000000"/>
                <w:szCs w:val="24"/>
              </w:rPr>
            </w:pPr>
            <w:r w:rsidRPr="00125271">
              <w:rPr>
                <w:color w:val="000000"/>
                <w:szCs w:val="24"/>
              </w:rPr>
              <w:t>$5,481.60</w:t>
            </w:r>
          </w:p>
        </w:tc>
      </w:tr>
      <w:tr w14:paraId="4AFA9B3F" w14:textId="77777777" w:rsidTr="00B52C02">
        <w:tblPrEx>
          <w:tblW w:w="7470" w:type="dxa"/>
          <w:tblInd w:w="715" w:type="dxa"/>
          <w:tblLayout w:type="fixed"/>
          <w:tblCellMar>
            <w:left w:w="0" w:type="dxa"/>
            <w:right w:w="0" w:type="dxa"/>
          </w:tblCellMar>
          <w:tblLook w:val="04A0"/>
        </w:tblPrEx>
        <w:trPr>
          <w:trHeight w:val="263"/>
        </w:trPr>
        <w:tc>
          <w:tcPr>
            <w:tcW w:w="598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B5C99" w:rsidRPr="00125271" w:rsidP="00702172" w14:paraId="316213A0" w14:textId="77777777">
            <w:pPr>
              <w:ind w:hanging="2"/>
              <w:jc w:val="right"/>
              <w:rPr>
                <w:color w:val="000000"/>
                <w:szCs w:val="24"/>
              </w:rPr>
            </w:pPr>
            <w:r w:rsidRPr="00125271">
              <w:rPr>
                <w:color w:val="000000"/>
                <w:szCs w:val="24"/>
              </w:rPr>
              <w:t>Aggregate Staff Cost/Task</w:t>
            </w:r>
          </w:p>
        </w:tc>
        <w:tc>
          <w:tcPr>
            <w:tcW w:w="1483" w:type="dxa"/>
            <w:tcBorders>
              <w:top w:val="nil"/>
              <w:left w:val="nil"/>
              <w:bottom w:val="single" w:sz="4" w:space="0" w:color="auto"/>
              <w:right w:val="single" w:sz="4" w:space="0" w:color="auto"/>
            </w:tcBorders>
            <w:shd w:val="clear" w:color="000000" w:fill="F2F2F2"/>
            <w:vAlign w:val="bottom"/>
            <w:hideMark/>
          </w:tcPr>
          <w:p w:rsidR="00AB5C99" w:rsidRPr="00125271" w:rsidP="00702172" w14:paraId="1A97C203" w14:textId="77777777">
            <w:pPr>
              <w:ind w:hanging="2"/>
              <w:jc w:val="center"/>
              <w:rPr>
                <w:b/>
                <w:bCs/>
                <w:color w:val="000000"/>
                <w:szCs w:val="24"/>
              </w:rPr>
            </w:pPr>
            <w:r w:rsidRPr="00125271">
              <w:rPr>
                <w:b/>
                <w:bCs/>
                <w:color w:val="000000"/>
                <w:szCs w:val="24"/>
              </w:rPr>
              <w:t>$137.04</w:t>
            </w:r>
          </w:p>
        </w:tc>
      </w:tr>
      <w:tr w14:paraId="347E88E3" w14:textId="77777777" w:rsidTr="00B52C02">
        <w:tblPrEx>
          <w:tblW w:w="7470" w:type="dxa"/>
          <w:tblInd w:w="715" w:type="dxa"/>
          <w:tblLayout w:type="fixed"/>
          <w:tblCellMar>
            <w:left w:w="0" w:type="dxa"/>
            <w:right w:w="0"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AB5C99" w:rsidRPr="00125271" w:rsidP="00702172" w14:paraId="08C28D7F" w14:textId="5D616C6B">
            <w:pPr>
              <w:ind w:hanging="2"/>
              <w:jc w:val="right"/>
              <w:rPr>
                <w:color w:val="000000"/>
                <w:szCs w:val="24"/>
              </w:rPr>
            </w:pPr>
            <w:r w:rsidRPr="00125271">
              <w:rPr>
                <w:color w:val="000000"/>
                <w:szCs w:val="24"/>
              </w:rPr>
              <w:t>CAH providing OB services</w:t>
            </w:r>
          </w:p>
          <w:p w:rsidR="0050371B" w:rsidRPr="00125271" w:rsidP="00702172" w14:paraId="0B229589" w14:textId="6327071C">
            <w:pPr>
              <w:ind w:hanging="2"/>
              <w:jc w:val="right"/>
              <w:rPr>
                <w:color w:val="000000"/>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AB5C99" w:rsidRPr="00125271" w:rsidP="00702172" w14:paraId="48CF4D7C" w14:textId="2F57537F">
            <w:pPr>
              <w:ind w:hanging="2"/>
              <w:jc w:val="center"/>
              <w:rPr>
                <w:color w:val="000000"/>
                <w:szCs w:val="24"/>
              </w:rPr>
            </w:pPr>
            <w:r w:rsidRPr="00125271">
              <w:rPr>
                <w:color w:val="000000"/>
                <w:szCs w:val="24"/>
              </w:rPr>
              <w:t>513</w:t>
            </w:r>
          </w:p>
        </w:tc>
        <w:tc>
          <w:tcPr>
            <w:tcW w:w="1129" w:type="dxa"/>
            <w:tcBorders>
              <w:top w:val="nil"/>
              <w:left w:val="nil"/>
              <w:bottom w:val="single" w:sz="4" w:space="0" w:color="auto"/>
              <w:right w:val="single" w:sz="4" w:space="0" w:color="auto"/>
            </w:tcBorders>
            <w:shd w:val="clear" w:color="auto" w:fill="auto"/>
            <w:vAlign w:val="bottom"/>
            <w:hideMark/>
          </w:tcPr>
          <w:p w:rsidR="00AB5C99" w:rsidRPr="00125271" w:rsidP="00702172" w14:paraId="53DC6809" w14:textId="77777777">
            <w:pPr>
              <w:ind w:hanging="2"/>
              <w:jc w:val="right"/>
              <w:rPr>
                <w:color w:val="000000"/>
                <w:szCs w:val="24"/>
              </w:rPr>
            </w:pPr>
            <w:r w:rsidRPr="00125271">
              <w:rPr>
                <w:color w:val="000000"/>
                <w:szCs w:val="24"/>
              </w:rPr>
              <w:t> </w:t>
            </w:r>
          </w:p>
        </w:tc>
        <w:tc>
          <w:tcPr>
            <w:tcW w:w="1483" w:type="dxa"/>
            <w:tcBorders>
              <w:top w:val="nil"/>
              <w:left w:val="nil"/>
              <w:bottom w:val="single" w:sz="4" w:space="0" w:color="auto"/>
              <w:right w:val="single" w:sz="4" w:space="0" w:color="auto"/>
            </w:tcBorders>
            <w:shd w:val="clear" w:color="auto" w:fill="auto"/>
            <w:vAlign w:val="bottom"/>
            <w:hideMark/>
          </w:tcPr>
          <w:p w:rsidR="00AB5C99" w:rsidRPr="00125271" w:rsidP="00702172" w14:paraId="499000E1" w14:textId="77777777">
            <w:pPr>
              <w:ind w:hanging="2"/>
              <w:jc w:val="center"/>
              <w:rPr>
                <w:b/>
                <w:bCs/>
                <w:color w:val="000000"/>
                <w:szCs w:val="24"/>
              </w:rPr>
            </w:pPr>
            <w:r w:rsidRPr="00125271">
              <w:rPr>
                <w:b/>
                <w:bCs/>
                <w:color w:val="000000"/>
                <w:szCs w:val="24"/>
              </w:rPr>
              <w:t> </w:t>
            </w:r>
          </w:p>
        </w:tc>
      </w:tr>
      <w:tr w14:paraId="0FF983C4" w14:textId="77777777" w:rsidTr="00B52C02">
        <w:tblPrEx>
          <w:tblW w:w="7470" w:type="dxa"/>
          <w:tblInd w:w="715" w:type="dxa"/>
          <w:tblLayout w:type="fixed"/>
          <w:tblCellMar>
            <w:left w:w="0" w:type="dxa"/>
            <w:right w:w="0"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AB5C99" w:rsidRPr="00125271" w:rsidP="00702172" w14:paraId="75563B70" w14:textId="77777777">
            <w:pPr>
              <w:ind w:hanging="2"/>
              <w:jc w:val="right"/>
              <w:rPr>
                <w:color w:val="000000"/>
                <w:szCs w:val="24"/>
              </w:rPr>
            </w:pPr>
            <w:r w:rsidRPr="00125271">
              <w:rPr>
                <w:color w:val="000000"/>
                <w:szCs w:val="24"/>
              </w:rPr>
              <w:t>% that are not accredited</w:t>
            </w:r>
          </w:p>
        </w:tc>
        <w:tc>
          <w:tcPr>
            <w:tcW w:w="1170" w:type="dxa"/>
            <w:tcBorders>
              <w:top w:val="nil"/>
              <w:left w:val="nil"/>
              <w:bottom w:val="single" w:sz="4" w:space="0" w:color="auto"/>
              <w:right w:val="single" w:sz="4" w:space="0" w:color="auto"/>
            </w:tcBorders>
            <w:shd w:val="clear" w:color="auto" w:fill="auto"/>
            <w:vAlign w:val="bottom"/>
            <w:hideMark/>
          </w:tcPr>
          <w:p w:rsidR="00AB5C99" w:rsidRPr="00125271" w:rsidP="00702172" w14:paraId="083322C4" w14:textId="7096FF5C">
            <w:pPr>
              <w:ind w:hanging="2"/>
              <w:jc w:val="center"/>
              <w:rPr>
                <w:color w:val="000000"/>
                <w:szCs w:val="24"/>
              </w:rPr>
            </w:pPr>
            <w:r w:rsidRPr="00125271">
              <w:rPr>
                <w:color w:val="000000"/>
                <w:szCs w:val="24"/>
              </w:rPr>
              <w:t>75</w:t>
            </w:r>
            <w:r w:rsidRPr="00125271">
              <w:rPr>
                <w:color w:val="000000"/>
                <w:szCs w:val="24"/>
              </w:rPr>
              <w:t>%</w:t>
            </w:r>
          </w:p>
        </w:tc>
        <w:tc>
          <w:tcPr>
            <w:tcW w:w="1129" w:type="dxa"/>
            <w:tcBorders>
              <w:top w:val="nil"/>
              <w:left w:val="nil"/>
              <w:bottom w:val="single" w:sz="4" w:space="0" w:color="auto"/>
              <w:right w:val="single" w:sz="4" w:space="0" w:color="auto"/>
            </w:tcBorders>
            <w:shd w:val="clear" w:color="auto" w:fill="auto"/>
            <w:vAlign w:val="bottom"/>
            <w:hideMark/>
          </w:tcPr>
          <w:p w:rsidR="00AB5C99" w:rsidRPr="00125271" w:rsidP="00702172" w14:paraId="2CC95C0C" w14:textId="77777777">
            <w:pPr>
              <w:ind w:hanging="2"/>
              <w:jc w:val="right"/>
              <w:rPr>
                <w:color w:val="000000"/>
                <w:szCs w:val="24"/>
              </w:rPr>
            </w:pPr>
            <w:r w:rsidRPr="00125271">
              <w:rPr>
                <w:color w:val="000000"/>
                <w:szCs w:val="24"/>
              </w:rPr>
              <w:t> </w:t>
            </w:r>
          </w:p>
        </w:tc>
        <w:tc>
          <w:tcPr>
            <w:tcW w:w="1483" w:type="dxa"/>
            <w:tcBorders>
              <w:top w:val="nil"/>
              <w:left w:val="nil"/>
              <w:bottom w:val="single" w:sz="4" w:space="0" w:color="auto"/>
              <w:right w:val="single" w:sz="4" w:space="0" w:color="auto"/>
            </w:tcBorders>
            <w:shd w:val="clear" w:color="auto" w:fill="auto"/>
            <w:vAlign w:val="bottom"/>
            <w:hideMark/>
          </w:tcPr>
          <w:p w:rsidR="00AB5C99" w:rsidRPr="00125271" w:rsidP="00702172" w14:paraId="43DCFD98" w14:textId="77777777">
            <w:pPr>
              <w:ind w:hanging="2"/>
              <w:jc w:val="center"/>
              <w:rPr>
                <w:b/>
                <w:bCs/>
                <w:color w:val="000000"/>
                <w:szCs w:val="24"/>
              </w:rPr>
            </w:pPr>
            <w:r w:rsidRPr="00125271">
              <w:rPr>
                <w:b/>
                <w:bCs/>
                <w:color w:val="000000"/>
                <w:szCs w:val="24"/>
              </w:rPr>
              <w:t> </w:t>
            </w:r>
          </w:p>
        </w:tc>
      </w:tr>
      <w:tr w14:paraId="3AAE3EA5" w14:textId="77777777" w:rsidTr="00B52C02">
        <w:tblPrEx>
          <w:tblW w:w="7470" w:type="dxa"/>
          <w:tblInd w:w="715" w:type="dxa"/>
          <w:tblLayout w:type="fixed"/>
          <w:tblCellMar>
            <w:left w:w="0" w:type="dxa"/>
            <w:right w:w="0"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AB5C99" w:rsidRPr="00125271" w:rsidP="00702172" w14:paraId="7240BDFB" w14:textId="77777777">
            <w:pPr>
              <w:ind w:hanging="2"/>
              <w:rPr>
                <w:color w:val="000000"/>
                <w:szCs w:val="24"/>
              </w:rPr>
            </w:pPr>
            <w:r w:rsidRPr="00125271">
              <w:rPr>
                <w:color w:val="000000"/>
                <w:szCs w:val="24"/>
              </w:rPr>
              <w:t># Facilities Impacted</w:t>
            </w:r>
          </w:p>
        </w:tc>
        <w:tc>
          <w:tcPr>
            <w:tcW w:w="1170" w:type="dxa"/>
            <w:tcBorders>
              <w:top w:val="nil"/>
              <w:left w:val="nil"/>
              <w:bottom w:val="single" w:sz="4" w:space="0" w:color="auto"/>
              <w:right w:val="single" w:sz="4" w:space="0" w:color="auto"/>
            </w:tcBorders>
            <w:shd w:val="clear" w:color="auto" w:fill="auto"/>
            <w:vAlign w:val="bottom"/>
            <w:hideMark/>
          </w:tcPr>
          <w:p w:rsidR="00AB5C99" w:rsidRPr="00125271" w:rsidP="00702172" w14:paraId="38C546D6" w14:textId="47DCEDCF">
            <w:pPr>
              <w:ind w:hanging="2"/>
              <w:jc w:val="center"/>
              <w:rPr>
                <w:szCs w:val="24"/>
              </w:rPr>
            </w:pPr>
            <w:r w:rsidRPr="00125271">
              <w:rPr>
                <w:szCs w:val="24"/>
              </w:rPr>
              <w:t>385</w:t>
            </w:r>
          </w:p>
        </w:tc>
        <w:tc>
          <w:tcPr>
            <w:tcW w:w="1129" w:type="dxa"/>
            <w:tcBorders>
              <w:top w:val="nil"/>
              <w:left w:val="nil"/>
              <w:bottom w:val="single" w:sz="4" w:space="0" w:color="auto"/>
              <w:right w:val="single" w:sz="4" w:space="0" w:color="auto"/>
            </w:tcBorders>
            <w:shd w:val="clear" w:color="auto" w:fill="auto"/>
            <w:vAlign w:val="bottom"/>
            <w:hideMark/>
          </w:tcPr>
          <w:p w:rsidR="00AB5C99" w:rsidRPr="00125271" w:rsidP="00702172" w14:paraId="033B54F1" w14:textId="77777777">
            <w:pPr>
              <w:ind w:hanging="2"/>
              <w:jc w:val="center"/>
              <w:rPr>
                <w:color w:val="000000"/>
                <w:szCs w:val="24"/>
              </w:rPr>
            </w:pPr>
            <w:r w:rsidRPr="00125271">
              <w:rPr>
                <w:color w:val="000000"/>
                <w:szCs w:val="24"/>
              </w:rPr>
              <w:t> </w:t>
            </w:r>
          </w:p>
        </w:tc>
        <w:tc>
          <w:tcPr>
            <w:tcW w:w="1483" w:type="dxa"/>
            <w:tcBorders>
              <w:top w:val="nil"/>
              <w:left w:val="nil"/>
              <w:bottom w:val="single" w:sz="4" w:space="0" w:color="auto"/>
              <w:right w:val="single" w:sz="4" w:space="0" w:color="auto"/>
            </w:tcBorders>
            <w:shd w:val="clear" w:color="auto" w:fill="auto"/>
            <w:vAlign w:val="bottom"/>
            <w:hideMark/>
          </w:tcPr>
          <w:p w:rsidR="00AB5C99" w:rsidRPr="00125271" w:rsidP="00702172" w14:paraId="163642D2" w14:textId="77777777">
            <w:pPr>
              <w:ind w:hanging="2"/>
              <w:jc w:val="center"/>
              <w:rPr>
                <w:color w:val="000000"/>
                <w:szCs w:val="24"/>
              </w:rPr>
            </w:pPr>
            <w:r w:rsidRPr="00125271">
              <w:rPr>
                <w:color w:val="000000"/>
                <w:szCs w:val="24"/>
              </w:rPr>
              <w:t> </w:t>
            </w:r>
          </w:p>
        </w:tc>
      </w:tr>
      <w:tr w14:paraId="5B09FDAE" w14:textId="77777777" w:rsidTr="00B52C02">
        <w:tblPrEx>
          <w:tblW w:w="7470" w:type="dxa"/>
          <w:tblInd w:w="715" w:type="dxa"/>
          <w:tblLayout w:type="fixed"/>
          <w:tblCellMar>
            <w:left w:w="108" w:type="dxa"/>
            <w:right w:w="108" w:type="dxa"/>
          </w:tblCellMar>
          <w:tblLook w:val="04A0"/>
        </w:tblPrEx>
        <w:trPr>
          <w:trHeight w:val="263"/>
        </w:trPr>
        <w:tc>
          <w:tcPr>
            <w:tcW w:w="3688" w:type="dxa"/>
            <w:tcBorders>
              <w:top w:val="nil"/>
              <w:left w:val="single" w:sz="4" w:space="0" w:color="auto"/>
              <w:bottom w:val="single" w:sz="4" w:space="0" w:color="auto"/>
              <w:right w:val="single" w:sz="4" w:space="0" w:color="auto"/>
            </w:tcBorders>
            <w:shd w:val="clear" w:color="000000" w:fill="D9D9D9"/>
            <w:vAlign w:val="bottom"/>
            <w:hideMark/>
          </w:tcPr>
          <w:p w:rsidR="00AB5C99" w:rsidRPr="00125271" w:rsidP="00702172" w14:paraId="49A60DF1" w14:textId="77777777">
            <w:pPr>
              <w:jc w:val="right"/>
              <w:rPr>
                <w:b/>
                <w:bCs/>
                <w:color w:val="000000"/>
                <w:szCs w:val="24"/>
              </w:rPr>
            </w:pPr>
            <w:r w:rsidRPr="00125271">
              <w:rPr>
                <w:szCs w:val="24"/>
              </w:rPr>
              <w:t xml:space="preserve"> </w:t>
            </w:r>
            <w:r w:rsidRPr="00125271">
              <w:rPr>
                <w:b/>
                <w:bCs/>
                <w:color w:val="000000"/>
                <w:szCs w:val="24"/>
              </w:rPr>
              <w:t xml:space="preserve">Total Annual Burden/Costs </w:t>
            </w:r>
          </w:p>
        </w:tc>
        <w:tc>
          <w:tcPr>
            <w:tcW w:w="1170" w:type="dxa"/>
            <w:tcBorders>
              <w:top w:val="nil"/>
              <w:left w:val="nil"/>
              <w:bottom w:val="single" w:sz="4" w:space="0" w:color="auto"/>
              <w:right w:val="single" w:sz="4" w:space="0" w:color="auto"/>
            </w:tcBorders>
            <w:shd w:val="clear" w:color="000000" w:fill="D9D9D9"/>
            <w:vAlign w:val="bottom"/>
            <w:hideMark/>
          </w:tcPr>
          <w:p w:rsidR="00AB5C99" w:rsidRPr="00125271" w:rsidP="00702172" w14:paraId="0271B3C4" w14:textId="77777777">
            <w:pPr>
              <w:jc w:val="center"/>
              <w:rPr>
                <w:b/>
                <w:bCs/>
                <w:color w:val="000000"/>
                <w:szCs w:val="24"/>
              </w:rPr>
            </w:pPr>
            <w:r w:rsidRPr="00125271">
              <w:rPr>
                <w:b/>
                <w:bCs/>
                <w:color w:val="000000"/>
                <w:szCs w:val="24"/>
              </w:rPr>
              <w:t> </w:t>
            </w:r>
          </w:p>
        </w:tc>
        <w:tc>
          <w:tcPr>
            <w:tcW w:w="1129" w:type="dxa"/>
            <w:tcBorders>
              <w:top w:val="nil"/>
              <w:left w:val="nil"/>
              <w:bottom w:val="single" w:sz="4" w:space="0" w:color="auto"/>
              <w:right w:val="single" w:sz="4" w:space="0" w:color="auto"/>
            </w:tcBorders>
            <w:shd w:val="clear" w:color="000000" w:fill="D9D9D9"/>
            <w:noWrap/>
            <w:vAlign w:val="bottom"/>
            <w:hideMark/>
          </w:tcPr>
          <w:p w:rsidR="00AB5C99" w:rsidRPr="00125271" w:rsidP="00702172" w14:paraId="5F0A182E" w14:textId="320C05CC">
            <w:pPr>
              <w:jc w:val="center"/>
              <w:rPr>
                <w:b/>
                <w:bCs/>
                <w:color w:val="000000"/>
                <w:szCs w:val="24"/>
              </w:rPr>
            </w:pPr>
            <w:r>
              <w:rPr>
                <w:b/>
                <w:bCs/>
                <w:color w:val="000000"/>
                <w:szCs w:val="24"/>
              </w:rPr>
              <w:t>15,400</w:t>
            </w:r>
          </w:p>
        </w:tc>
        <w:tc>
          <w:tcPr>
            <w:tcW w:w="1483" w:type="dxa"/>
            <w:tcBorders>
              <w:top w:val="nil"/>
              <w:left w:val="nil"/>
              <w:bottom w:val="single" w:sz="4" w:space="0" w:color="auto"/>
              <w:right w:val="single" w:sz="4" w:space="0" w:color="auto"/>
            </w:tcBorders>
            <w:shd w:val="clear" w:color="000000" w:fill="D9D9D9"/>
            <w:vAlign w:val="bottom"/>
            <w:hideMark/>
          </w:tcPr>
          <w:p w:rsidR="00AB5C99" w:rsidRPr="00125271" w:rsidP="00702172" w14:paraId="214E7C79" w14:textId="0D2A815E">
            <w:pPr>
              <w:jc w:val="center"/>
              <w:rPr>
                <w:b/>
                <w:bCs/>
                <w:color w:val="000000"/>
                <w:szCs w:val="24"/>
              </w:rPr>
            </w:pPr>
            <w:r w:rsidRPr="00125271">
              <w:rPr>
                <w:b/>
                <w:bCs/>
                <w:color w:val="000000"/>
                <w:szCs w:val="24"/>
              </w:rPr>
              <w:t>$</w:t>
            </w:r>
            <w:r w:rsidR="00016C4A">
              <w:rPr>
                <w:b/>
                <w:bCs/>
                <w:color w:val="000000"/>
                <w:szCs w:val="24"/>
              </w:rPr>
              <w:t>2,110,416</w:t>
            </w:r>
          </w:p>
        </w:tc>
      </w:tr>
    </w:tbl>
    <w:p w:rsidR="00AB5C99" w:rsidP="00AB5C99" w14:paraId="2955E03E" w14:textId="77777777">
      <w:pPr>
        <w:rPr>
          <w:sz w:val="20"/>
        </w:rPr>
      </w:pPr>
    </w:p>
    <w:p w:rsidR="00AB5C99" w:rsidP="00AB5C99" w14:paraId="5E8870CE" w14:textId="77777777">
      <w:pPr>
        <w:ind w:hanging="2"/>
        <w:rPr>
          <w:sz w:val="20"/>
        </w:rPr>
      </w:pPr>
    </w:p>
    <w:p w:rsidR="00AB5C99" w:rsidRPr="00B52C02" w:rsidP="00AB5C99" w14:paraId="7D562D6D" w14:textId="60C706E1">
      <w:pPr>
        <w:rPr>
          <w:b/>
          <w:bCs/>
          <w:i/>
          <w:iCs/>
          <w:szCs w:val="24"/>
          <w:u w:val="single"/>
        </w:rPr>
      </w:pPr>
      <w:r w:rsidRPr="00B52C02">
        <w:rPr>
          <w:b/>
          <w:bCs/>
          <w:szCs w:val="24"/>
          <w:u w:val="single"/>
        </w:rPr>
        <w:t>IC-11:</w:t>
      </w:r>
      <w:r>
        <w:rPr>
          <w:b/>
          <w:bCs/>
          <w:i/>
          <w:iCs/>
          <w:szCs w:val="24"/>
          <w:u w:val="single"/>
        </w:rPr>
        <w:t xml:space="preserve"> New </w:t>
      </w:r>
      <w:r w:rsidRPr="00B52C02">
        <w:rPr>
          <w:b/>
          <w:bCs/>
          <w:i/>
          <w:iCs/>
          <w:szCs w:val="24"/>
          <w:u w:val="single"/>
        </w:rPr>
        <w:t>CoP:</w:t>
      </w:r>
      <w:r>
        <w:rPr>
          <w:b/>
          <w:bCs/>
          <w:i/>
          <w:iCs/>
          <w:szCs w:val="24"/>
          <w:u w:val="single"/>
        </w:rPr>
        <w:t xml:space="preserve"> </w:t>
      </w:r>
      <w:r w:rsidRPr="00B52C02">
        <w:rPr>
          <w:b/>
          <w:bCs/>
          <w:i/>
          <w:iCs/>
          <w:szCs w:val="24"/>
          <w:u w:val="single"/>
        </w:rPr>
        <w:t>Written policies on staff training -  Section 48</w:t>
      </w:r>
      <w:r w:rsidRPr="00B52C02" w:rsidR="00E31696">
        <w:rPr>
          <w:b/>
          <w:bCs/>
          <w:i/>
          <w:iCs/>
          <w:szCs w:val="24"/>
          <w:u w:val="single"/>
        </w:rPr>
        <w:t>5.649</w:t>
      </w:r>
      <w:r w:rsidRPr="00B52C02">
        <w:rPr>
          <w:b/>
          <w:bCs/>
          <w:i/>
          <w:iCs/>
          <w:szCs w:val="24"/>
          <w:u w:val="single"/>
        </w:rPr>
        <w:t>(c)</w:t>
      </w:r>
    </w:p>
    <w:p w:rsidR="00B044D6" w:rsidP="00B044D6" w14:paraId="3530A839" w14:textId="348DEA44">
      <w:pPr>
        <w:ind w:hanging="2"/>
        <w:rPr>
          <w:szCs w:val="24"/>
        </w:rPr>
      </w:pPr>
      <w:r>
        <w:rPr>
          <w:szCs w:val="24"/>
        </w:rPr>
        <w:t xml:space="preserve">The 513 </w:t>
      </w:r>
      <w:r w:rsidRPr="00B52C02" w:rsidR="00A05DB0">
        <w:rPr>
          <w:szCs w:val="24"/>
        </w:rPr>
        <w:t>CAHs</w:t>
      </w:r>
      <w:r w:rsidRPr="00B52C02" w:rsidR="00AB5C99">
        <w:rPr>
          <w:szCs w:val="24"/>
        </w:rPr>
        <w:t xml:space="preserve"> that provide OB services must develop policies and procedures to ensure that staff are trained on select topics related to improving the delivery of maternal care and that the training is updated to reflect findings from the QAPI program. </w:t>
      </w:r>
      <w:r w:rsidRPr="00B52C02">
        <w:rPr>
          <w:szCs w:val="24"/>
        </w:rPr>
        <w:t>We assume only one policy per facility is required to meet this CoP</w:t>
      </w:r>
      <w:r w:rsidRPr="00B52C02" w:rsidR="0060007F">
        <w:rPr>
          <w:szCs w:val="24"/>
        </w:rPr>
        <w:t xml:space="preserve">. </w:t>
      </w:r>
      <w:r w:rsidRPr="00B52C02">
        <w:rPr>
          <w:szCs w:val="24"/>
        </w:rPr>
        <w:t>The</w:t>
      </w:r>
      <w:r>
        <w:rPr>
          <w:szCs w:val="24"/>
        </w:rPr>
        <w:t xml:space="preserve"> additional</w:t>
      </w:r>
      <w:r w:rsidRPr="00B52C02">
        <w:rPr>
          <w:szCs w:val="24"/>
        </w:rPr>
        <w:t xml:space="preserve"> requirement to document </w:t>
      </w:r>
      <w:r>
        <w:rPr>
          <w:szCs w:val="24"/>
        </w:rPr>
        <w:t xml:space="preserve">that </w:t>
      </w:r>
      <w:r w:rsidRPr="00B52C02">
        <w:rPr>
          <w:szCs w:val="24"/>
        </w:rPr>
        <w:t xml:space="preserve">staff have completed the required training is considered customary and usual practice and thus </w:t>
      </w:r>
      <w:r>
        <w:rPr>
          <w:szCs w:val="24"/>
        </w:rPr>
        <w:t xml:space="preserve">the ongoing </w:t>
      </w:r>
      <w:r w:rsidRPr="00B52C02">
        <w:rPr>
          <w:szCs w:val="24"/>
        </w:rPr>
        <w:t xml:space="preserve">information collection is exempt from the PRA per 5 CFR </w:t>
      </w:r>
      <w:r w:rsidR="00196655">
        <w:rPr>
          <w:szCs w:val="24"/>
        </w:rPr>
        <w:t>§</w:t>
      </w:r>
      <w:r w:rsidRPr="00B52C02">
        <w:rPr>
          <w:szCs w:val="24"/>
        </w:rPr>
        <w:t>1320.3(b)(2).</w:t>
      </w:r>
    </w:p>
    <w:p w:rsidR="00B044D6" w:rsidP="00B044D6" w14:paraId="346594AA" w14:textId="77777777">
      <w:pPr>
        <w:ind w:hanging="2"/>
        <w:rPr>
          <w:szCs w:val="24"/>
        </w:rPr>
      </w:pPr>
    </w:p>
    <w:p w:rsidR="00B044D6" w:rsidP="00B044D6" w14:paraId="76BA3D0A" w14:textId="77A5F2EE">
      <w:pPr>
        <w:ind w:hanging="2"/>
        <w:rPr>
          <w:rFonts w:eastAsia="Times"/>
          <w:szCs w:val="24"/>
        </w:rPr>
      </w:pPr>
      <w:r w:rsidRPr="00B52C02">
        <w:rPr>
          <w:szCs w:val="24"/>
        </w:rPr>
        <w:t xml:space="preserve">As before, we estimate the one-time burden of developing </w:t>
      </w:r>
      <w:r>
        <w:rPr>
          <w:szCs w:val="24"/>
        </w:rPr>
        <w:t xml:space="preserve">staff training </w:t>
      </w:r>
      <w:r w:rsidRPr="00B52C02">
        <w:rPr>
          <w:szCs w:val="24"/>
        </w:rPr>
        <w:t>policies</w:t>
      </w:r>
      <w:r>
        <w:rPr>
          <w:szCs w:val="24"/>
        </w:rPr>
        <w:t>,</w:t>
      </w:r>
      <w:r>
        <w:rPr>
          <w:rFonts w:eastAsia="Times"/>
          <w:szCs w:val="24"/>
        </w:rPr>
        <w:t xml:space="preserve"> which would require</w:t>
      </w:r>
      <w:r w:rsidRPr="00B044D6">
        <w:rPr>
          <w:rFonts w:eastAsia="Times"/>
          <w:szCs w:val="24"/>
        </w:rPr>
        <w:t xml:space="preserve"> 8 hours for each staff member involved: a</w:t>
      </w:r>
      <w:r w:rsidRPr="00CC60CF">
        <w:rPr>
          <w:rFonts w:eastAsia="Times"/>
          <w:szCs w:val="24"/>
        </w:rPr>
        <w:t xml:space="preserve"> </w:t>
      </w:r>
      <w:r>
        <w:rPr>
          <w:rFonts w:eastAsia="Times"/>
          <w:szCs w:val="24"/>
        </w:rPr>
        <w:t>P</w:t>
      </w:r>
      <w:r w:rsidRPr="00CC60CF">
        <w:rPr>
          <w:rFonts w:eastAsia="Times"/>
          <w:szCs w:val="24"/>
        </w:rPr>
        <w:t xml:space="preserve">hysician </w:t>
      </w:r>
      <w:r>
        <w:rPr>
          <w:rFonts w:eastAsia="Times"/>
          <w:szCs w:val="24"/>
        </w:rPr>
        <w:t xml:space="preserve">(BLS Code: 29-1229) </w:t>
      </w:r>
      <w:r w:rsidRPr="00CC60CF">
        <w:rPr>
          <w:rFonts w:eastAsia="Times"/>
          <w:szCs w:val="24"/>
        </w:rPr>
        <w:t>at $253.70</w:t>
      </w:r>
      <w:r>
        <w:rPr>
          <w:rFonts w:eastAsia="Times"/>
          <w:szCs w:val="24"/>
        </w:rPr>
        <w:t xml:space="preserve"> per hour</w:t>
      </w:r>
      <w:r w:rsidRPr="00CC60CF">
        <w:rPr>
          <w:rFonts w:eastAsia="Times"/>
          <w:szCs w:val="24"/>
        </w:rPr>
        <w:t xml:space="preserve">, a lawyer </w:t>
      </w:r>
      <w:r>
        <w:rPr>
          <w:rFonts w:eastAsia="Times"/>
          <w:szCs w:val="24"/>
        </w:rPr>
        <w:t xml:space="preserve">(BLS Code: 23-1011) </w:t>
      </w:r>
      <w:r w:rsidRPr="00CC60CF">
        <w:rPr>
          <w:rFonts w:eastAsia="Times"/>
          <w:szCs w:val="24"/>
        </w:rPr>
        <w:t xml:space="preserve">at $169.68 per hour, a </w:t>
      </w:r>
      <w:r>
        <w:rPr>
          <w:rFonts w:eastAsia="Times"/>
          <w:szCs w:val="24"/>
        </w:rPr>
        <w:t>R</w:t>
      </w:r>
      <w:r w:rsidRPr="00CC60CF">
        <w:rPr>
          <w:rFonts w:eastAsia="Times"/>
          <w:szCs w:val="24"/>
        </w:rPr>
        <w:t xml:space="preserve">egistered </w:t>
      </w:r>
      <w:r>
        <w:rPr>
          <w:rFonts w:eastAsia="Times"/>
          <w:szCs w:val="24"/>
        </w:rPr>
        <w:t>N</w:t>
      </w:r>
      <w:r w:rsidRPr="00CC60CF">
        <w:rPr>
          <w:rFonts w:eastAsia="Times"/>
          <w:szCs w:val="24"/>
        </w:rPr>
        <w:t>urse</w:t>
      </w:r>
      <w:r>
        <w:rPr>
          <w:rFonts w:eastAsia="Times"/>
          <w:szCs w:val="24"/>
        </w:rPr>
        <w:t xml:space="preserve"> (BLS Code: 29-1141)</w:t>
      </w:r>
      <w:r w:rsidRPr="00CC60CF">
        <w:rPr>
          <w:rFonts w:eastAsia="Times"/>
          <w:szCs w:val="24"/>
        </w:rPr>
        <w:t xml:space="preserve"> at $90.84 per hour, a </w:t>
      </w:r>
      <w:r>
        <w:rPr>
          <w:rFonts w:eastAsia="Times"/>
          <w:szCs w:val="24"/>
        </w:rPr>
        <w:t>M</w:t>
      </w:r>
      <w:r w:rsidRPr="00CC60CF">
        <w:rPr>
          <w:rFonts w:eastAsia="Times"/>
          <w:szCs w:val="24"/>
        </w:rPr>
        <w:t xml:space="preserve">edical </w:t>
      </w:r>
      <w:r>
        <w:rPr>
          <w:rFonts w:eastAsia="Times"/>
          <w:szCs w:val="24"/>
        </w:rPr>
        <w:t>S</w:t>
      </w:r>
      <w:r w:rsidRPr="00CC60CF">
        <w:rPr>
          <w:rFonts w:eastAsia="Times"/>
          <w:szCs w:val="24"/>
        </w:rPr>
        <w:t xml:space="preserve">ecretary </w:t>
      </w:r>
      <w:r>
        <w:rPr>
          <w:rFonts w:eastAsia="Times"/>
          <w:szCs w:val="24"/>
        </w:rPr>
        <w:t xml:space="preserve">(BLS Code: 43-6013) </w:t>
      </w:r>
      <w:r w:rsidRPr="00CC60CF">
        <w:rPr>
          <w:rFonts w:eastAsia="Times"/>
          <w:szCs w:val="24"/>
        </w:rPr>
        <w:t xml:space="preserve">at $41.70 per hour, and an Administrator </w:t>
      </w:r>
      <w:r>
        <w:rPr>
          <w:rFonts w:eastAsia="Times"/>
          <w:szCs w:val="24"/>
        </w:rPr>
        <w:t xml:space="preserve">(BLS Code: 11-1011) </w:t>
      </w:r>
      <w:r w:rsidRPr="00CC60CF">
        <w:rPr>
          <w:rFonts w:eastAsia="Times"/>
          <w:szCs w:val="24"/>
        </w:rPr>
        <w:t>at $129.28 per hour.</w:t>
      </w:r>
      <w:r>
        <w:rPr>
          <w:rFonts w:eastAsia="Times"/>
          <w:szCs w:val="24"/>
        </w:rPr>
        <w:t xml:space="preserve"> </w:t>
      </w:r>
      <w:r w:rsidRPr="00CC60CF">
        <w:rPr>
          <w:rFonts w:eastAsia="Times"/>
          <w:szCs w:val="24"/>
        </w:rPr>
        <w:t>We determine the burden cost using a blended wage rate per the table below.</w:t>
      </w:r>
    </w:p>
    <w:p w:rsidR="00B044D6" w:rsidRPr="00B52C02" w:rsidP="00AB5C99" w14:paraId="6A6B6A09" w14:textId="77777777">
      <w:pPr>
        <w:ind w:hanging="2"/>
        <w:rPr>
          <w:szCs w:val="24"/>
        </w:rPr>
      </w:pPr>
    </w:p>
    <w:p w:rsidR="00AB5C99" w:rsidP="00AB5C99" w14:paraId="6B2E3663" w14:textId="77777777">
      <w:pPr>
        <w:ind w:hanging="2"/>
        <w:rPr>
          <w:sz w:val="20"/>
        </w:rPr>
      </w:pPr>
    </w:p>
    <w:p w:rsidR="00B52C02" w:rsidRPr="00B52C02" w:rsidP="003E6756" w14:paraId="323809E4" w14:textId="77777777">
      <w:pPr>
        <w:ind w:left="2880" w:firstLine="720"/>
        <w:rPr>
          <w:b/>
          <w:bCs/>
          <w:sz w:val="28"/>
          <w:szCs w:val="28"/>
        </w:rPr>
      </w:pPr>
      <w:r w:rsidRPr="00B52C02">
        <w:rPr>
          <w:b/>
          <w:bCs/>
          <w:sz w:val="28"/>
          <w:szCs w:val="28"/>
        </w:rPr>
        <w:t>Table 1</w:t>
      </w:r>
      <w:r w:rsidRPr="00B52C02">
        <w:rPr>
          <w:b/>
          <w:bCs/>
          <w:sz w:val="28"/>
          <w:szCs w:val="28"/>
        </w:rPr>
        <w:t>3</w:t>
      </w:r>
      <w:r w:rsidRPr="00B52C02">
        <w:rPr>
          <w:b/>
          <w:bCs/>
          <w:sz w:val="28"/>
          <w:szCs w:val="28"/>
        </w:rPr>
        <w:t>: IC-</w:t>
      </w:r>
      <w:r w:rsidRPr="00B52C02">
        <w:rPr>
          <w:b/>
          <w:bCs/>
          <w:sz w:val="28"/>
          <w:szCs w:val="28"/>
        </w:rPr>
        <w:t>11</w:t>
      </w:r>
      <w:r w:rsidRPr="00B52C02">
        <w:rPr>
          <w:b/>
          <w:bCs/>
          <w:sz w:val="28"/>
          <w:szCs w:val="28"/>
        </w:rPr>
        <w:t>:</w:t>
      </w:r>
    </w:p>
    <w:p w:rsidR="00AB5C99" w:rsidRPr="00B52C02" w:rsidP="003E6756" w14:paraId="66E97477" w14:textId="636D357D">
      <w:pPr>
        <w:ind w:left="720" w:firstLine="720"/>
        <w:rPr>
          <w:rFonts w:eastAsia="Times"/>
          <w:sz w:val="28"/>
          <w:szCs w:val="28"/>
        </w:rPr>
      </w:pPr>
      <w:r w:rsidRPr="00B52C02">
        <w:rPr>
          <w:b/>
          <w:bCs/>
          <w:i/>
          <w:iCs/>
          <w:sz w:val="28"/>
          <w:szCs w:val="28"/>
        </w:rPr>
        <w:t>CoP: Written policies for staff training – 48</w:t>
      </w:r>
      <w:r w:rsidRPr="00B52C02" w:rsidR="00E31696">
        <w:rPr>
          <w:b/>
          <w:bCs/>
          <w:i/>
          <w:iCs/>
          <w:sz w:val="28"/>
          <w:szCs w:val="28"/>
        </w:rPr>
        <w:t>5.649</w:t>
      </w:r>
      <w:r w:rsidRPr="00B52C02">
        <w:rPr>
          <w:b/>
          <w:bCs/>
          <w:i/>
          <w:iCs/>
          <w:sz w:val="28"/>
          <w:szCs w:val="28"/>
        </w:rPr>
        <w:t>(c)</w:t>
      </w:r>
    </w:p>
    <w:tbl>
      <w:tblPr>
        <w:tblW w:w="7520" w:type="dxa"/>
        <w:tblInd w:w="607" w:type="dxa"/>
        <w:tblLook w:val="04A0"/>
      </w:tblPr>
      <w:tblGrid>
        <w:gridCol w:w="3274"/>
        <w:gridCol w:w="1400"/>
        <w:gridCol w:w="1430"/>
        <w:gridCol w:w="1416"/>
      </w:tblGrid>
      <w:tr w14:paraId="1D3FF7CF" w14:textId="77777777" w:rsidTr="00B52C02">
        <w:tblPrEx>
          <w:tblW w:w="7520" w:type="dxa"/>
          <w:tblInd w:w="607" w:type="dxa"/>
          <w:tblLook w:val="04A0"/>
        </w:tblPrEx>
        <w:trPr>
          <w:trHeight w:val="526"/>
        </w:trPr>
        <w:tc>
          <w:tcPr>
            <w:tcW w:w="3274" w:type="dxa"/>
            <w:tcBorders>
              <w:top w:val="single" w:sz="4" w:space="0" w:color="auto"/>
              <w:left w:val="single" w:sz="4" w:space="0" w:color="auto"/>
              <w:bottom w:val="single" w:sz="4" w:space="0" w:color="auto"/>
              <w:right w:val="single" w:sz="4" w:space="0" w:color="auto"/>
            </w:tcBorders>
            <w:shd w:val="clear" w:color="CCCCCC" w:fill="D9E7FD"/>
            <w:vAlign w:val="bottom"/>
            <w:hideMark/>
          </w:tcPr>
          <w:p w:rsidR="00AB5C99" w:rsidRPr="00B52C02" w:rsidP="00702172" w14:paraId="2525E6DA" w14:textId="77777777">
            <w:pPr>
              <w:jc w:val="center"/>
              <w:rPr>
                <w:b/>
                <w:bCs/>
                <w:color w:val="000000"/>
                <w:szCs w:val="24"/>
              </w:rPr>
            </w:pPr>
            <w:r w:rsidRPr="00B52C02">
              <w:rPr>
                <w:b/>
                <w:bCs/>
                <w:color w:val="000000"/>
                <w:szCs w:val="24"/>
              </w:rPr>
              <w:t xml:space="preserve">Task </w:t>
            </w:r>
          </w:p>
        </w:tc>
        <w:tc>
          <w:tcPr>
            <w:tcW w:w="1400" w:type="dxa"/>
            <w:tcBorders>
              <w:top w:val="single" w:sz="4" w:space="0" w:color="auto"/>
              <w:left w:val="nil"/>
              <w:bottom w:val="single" w:sz="4" w:space="0" w:color="auto"/>
              <w:right w:val="single" w:sz="4" w:space="0" w:color="auto"/>
            </w:tcBorders>
            <w:shd w:val="clear" w:color="CCCCCC" w:fill="D9E7FD"/>
            <w:vAlign w:val="bottom"/>
            <w:hideMark/>
          </w:tcPr>
          <w:p w:rsidR="00AB5C99" w:rsidRPr="00B52C02" w:rsidP="00702172" w14:paraId="3A160912" w14:textId="013AB135">
            <w:pPr>
              <w:jc w:val="center"/>
              <w:rPr>
                <w:b/>
                <w:bCs/>
                <w:color w:val="000000"/>
                <w:szCs w:val="24"/>
              </w:rPr>
            </w:pPr>
            <w:r w:rsidRPr="00B52C02">
              <w:rPr>
                <w:b/>
                <w:bCs/>
                <w:color w:val="000000"/>
                <w:szCs w:val="24"/>
              </w:rPr>
              <w:t xml:space="preserve">Hourly </w:t>
            </w:r>
            <w:r w:rsidRPr="00B52C02" w:rsidR="003D53FF">
              <w:rPr>
                <w:b/>
                <w:bCs/>
                <w:color w:val="000000"/>
                <w:szCs w:val="24"/>
              </w:rPr>
              <w:t>Median</w:t>
            </w:r>
            <w:r w:rsidRPr="00B52C02">
              <w:rPr>
                <w:b/>
                <w:bCs/>
                <w:color w:val="000000"/>
                <w:szCs w:val="24"/>
              </w:rPr>
              <w:t xml:space="preserve"> Wage</w:t>
            </w:r>
          </w:p>
        </w:tc>
        <w:tc>
          <w:tcPr>
            <w:tcW w:w="1430" w:type="dxa"/>
            <w:tcBorders>
              <w:top w:val="single" w:sz="4" w:space="0" w:color="auto"/>
              <w:left w:val="nil"/>
              <w:bottom w:val="single" w:sz="4" w:space="0" w:color="auto"/>
              <w:right w:val="single" w:sz="4" w:space="0" w:color="auto"/>
            </w:tcBorders>
            <w:shd w:val="clear" w:color="CCCCCC" w:fill="D9E7FD"/>
            <w:vAlign w:val="bottom"/>
            <w:hideMark/>
          </w:tcPr>
          <w:p w:rsidR="00AB5C99" w:rsidRPr="00B52C02" w:rsidP="00702172" w14:paraId="7A66C323" w14:textId="77777777">
            <w:pPr>
              <w:jc w:val="center"/>
              <w:rPr>
                <w:b/>
                <w:bCs/>
                <w:color w:val="000000"/>
                <w:szCs w:val="24"/>
              </w:rPr>
            </w:pPr>
            <w:r w:rsidRPr="00B52C02">
              <w:rPr>
                <w:b/>
                <w:bCs/>
                <w:color w:val="000000"/>
                <w:szCs w:val="24"/>
              </w:rPr>
              <w:t>Hours/Task</w:t>
            </w:r>
          </w:p>
        </w:tc>
        <w:tc>
          <w:tcPr>
            <w:tcW w:w="1416" w:type="dxa"/>
            <w:tcBorders>
              <w:top w:val="single" w:sz="4" w:space="0" w:color="auto"/>
              <w:left w:val="nil"/>
              <w:bottom w:val="single" w:sz="4" w:space="0" w:color="auto"/>
              <w:right w:val="single" w:sz="4" w:space="0" w:color="auto"/>
            </w:tcBorders>
            <w:shd w:val="clear" w:color="CCCCCC" w:fill="D9E7FD"/>
            <w:vAlign w:val="bottom"/>
            <w:hideMark/>
          </w:tcPr>
          <w:p w:rsidR="00AB5C99" w:rsidRPr="00B52C02" w:rsidP="00702172" w14:paraId="5359207B" w14:textId="77777777">
            <w:pPr>
              <w:jc w:val="center"/>
              <w:rPr>
                <w:b/>
                <w:bCs/>
                <w:color w:val="000000"/>
                <w:szCs w:val="24"/>
              </w:rPr>
            </w:pPr>
            <w:r w:rsidRPr="00B52C02">
              <w:rPr>
                <w:b/>
                <w:bCs/>
                <w:color w:val="000000"/>
                <w:szCs w:val="24"/>
              </w:rPr>
              <w:t>Cost/Task</w:t>
            </w:r>
          </w:p>
        </w:tc>
      </w:tr>
      <w:tr w14:paraId="75C36DC7" w14:textId="77777777" w:rsidTr="00702172">
        <w:tblPrEx>
          <w:tblW w:w="7520" w:type="dxa"/>
          <w:tblInd w:w="607" w:type="dxa"/>
          <w:tblLook w:val="04A0"/>
        </w:tblPrEx>
        <w:trPr>
          <w:trHeight w:val="263"/>
        </w:trPr>
        <w:tc>
          <w:tcPr>
            <w:tcW w:w="7520" w:type="dxa"/>
            <w:gridSpan w:val="4"/>
            <w:tcBorders>
              <w:top w:val="single" w:sz="4" w:space="0" w:color="auto"/>
              <w:left w:val="single" w:sz="4" w:space="0" w:color="auto"/>
              <w:bottom w:val="single" w:sz="4" w:space="0" w:color="auto"/>
              <w:right w:val="single" w:sz="4" w:space="0" w:color="000000"/>
            </w:tcBorders>
            <w:shd w:val="clear" w:color="000000" w:fill="D9D9D9"/>
            <w:hideMark/>
          </w:tcPr>
          <w:p w:rsidR="00AB5C99" w:rsidRPr="00B52C02" w:rsidP="00702172" w14:paraId="3A1293F8" w14:textId="584FD51C">
            <w:pPr>
              <w:rPr>
                <w:b/>
                <w:bCs/>
                <w:color w:val="000000"/>
                <w:szCs w:val="24"/>
                <w:u w:val="single"/>
              </w:rPr>
            </w:pPr>
            <w:r w:rsidRPr="00B52C02">
              <w:rPr>
                <w:b/>
                <w:bCs/>
                <w:color w:val="000000"/>
                <w:szCs w:val="24"/>
                <w:u w:val="single"/>
              </w:rPr>
              <w:t>One-time development of p</w:t>
            </w:r>
            <w:r w:rsidR="00B52C02">
              <w:rPr>
                <w:b/>
                <w:bCs/>
                <w:color w:val="000000"/>
                <w:szCs w:val="24"/>
                <w:u w:val="single"/>
              </w:rPr>
              <w:t>olicies</w:t>
            </w:r>
          </w:p>
        </w:tc>
      </w:tr>
      <w:tr w14:paraId="026D66B7" w14:textId="77777777" w:rsidTr="00B52C02">
        <w:tblPrEx>
          <w:tblW w:w="7520" w:type="dxa"/>
          <w:tblInd w:w="607" w:type="dxa"/>
          <w:tblLook w:val="04A0"/>
        </w:tblPrEx>
        <w:trPr>
          <w:trHeight w:val="26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AB5C99" w:rsidRPr="00B52C02" w:rsidP="00702172" w14:paraId="65575F94" w14:textId="77777777">
            <w:pPr>
              <w:rPr>
                <w:color w:val="000000"/>
                <w:szCs w:val="24"/>
              </w:rPr>
            </w:pPr>
            <w:r w:rsidRPr="00B52C02">
              <w:rPr>
                <w:color w:val="000000"/>
                <w:szCs w:val="24"/>
              </w:rPr>
              <w:t>Physician</w:t>
            </w:r>
          </w:p>
        </w:tc>
        <w:tc>
          <w:tcPr>
            <w:tcW w:w="1400" w:type="dxa"/>
            <w:tcBorders>
              <w:top w:val="nil"/>
              <w:left w:val="nil"/>
              <w:bottom w:val="single" w:sz="4" w:space="0" w:color="auto"/>
              <w:right w:val="single" w:sz="4" w:space="0" w:color="auto"/>
            </w:tcBorders>
            <w:shd w:val="clear" w:color="auto" w:fill="auto"/>
            <w:vAlign w:val="bottom"/>
            <w:hideMark/>
          </w:tcPr>
          <w:p w:rsidR="00AB5C99" w:rsidRPr="00B52C02" w:rsidP="00702172" w14:paraId="63FAAD5F" w14:textId="77777777">
            <w:pPr>
              <w:jc w:val="center"/>
              <w:rPr>
                <w:color w:val="000000"/>
                <w:szCs w:val="24"/>
              </w:rPr>
            </w:pPr>
            <w:r w:rsidRPr="00B52C02">
              <w:rPr>
                <w:color w:val="000000"/>
                <w:szCs w:val="24"/>
              </w:rPr>
              <w:t>$253.70</w:t>
            </w:r>
          </w:p>
        </w:tc>
        <w:tc>
          <w:tcPr>
            <w:tcW w:w="1430" w:type="dxa"/>
            <w:tcBorders>
              <w:top w:val="nil"/>
              <w:left w:val="nil"/>
              <w:bottom w:val="single" w:sz="4" w:space="0" w:color="auto"/>
              <w:right w:val="single" w:sz="4" w:space="0" w:color="auto"/>
            </w:tcBorders>
            <w:shd w:val="clear" w:color="auto" w:fill="auto"/>
            <w:vAlign w:val="bottom"/>
            <w:hideMark/>
          </w:tcPr>
          <w:p w:rsidR="00AB5C99" w:rsidRPr="00B52C02" w:rsidP="00702172" w14:paraId="22D9F1FA" w14:textId="77777777">
            <w:pPr>
              <w:jc w:val="center"/>
              <w:rPr>
                <w:color w:val="000000"/>
                <w:szCs w:val="24"/>
              </w:rPr>
            </w:pPr>
            <w:r w:rsidRPr="00B52C02">
              <w:rPr>
                <w:color w:val="000000"/>
                <w:szCs w:val="24"/>
              </w:rPr>
              <w:t>8.0</w:t>
            </w:r>
          </w:p>
        </w:tc>
        <w:tc>
          <w:tcPr>
            <w:tcW w:w="1416" w:type="dxa"/>
            <w:tcBorders>
              <w:top w:val="nil"/>
              <w:left w:val="nil"/>
              <w:bottom w:val="single" w:sz="4" w:space="0" w:color="auto"/>
              <w:right w:val="single" w:sz="4" w:space="0" w:color="auto"/>
            </w:tcBorders>
            <w:shd w:val="clear" w:color="auto" w:fill="auto"/>
            <w:noWrap/>
            <w:vAlign w:val="bottom"/>
            <w:hideMark/>
          </w:tcPr>
          <w:p w:rsidR="00AB5C99" w:rsidRPr="00B52C02" w:rsidP="00702172" w14:paraId="1E24BCD8" w14:textId="77777777">
            <w:pPr>
              <w:jc w:val="center"/>
              <w:rPr>
                <w:color w:val="000000"/>
                <w:szCs w:val="24"/>
              </w:rPr>
            </w:pPr>
            <w:r w:rsidRPr="00B52C02">
              <w:rPr>
                <w:color w:val="000000"/>
                <w:szCs w:val="24"/>
              </w:rPr>
              <w:t>$2,029.60</w:t>
            </w:r>
          </w:p>
        </w:tc>
      </w:tr>
      <w:tr w14:paraId="0F433689" w14:textId="77777777" w:rsidTr="00B52C02">
        <w:tblPrEx>
          <w:tblW w:w="7520" w:type="dxa"/>
          <w:tblInd w:w="607" w:type="dxa"/>
          <w:tblLook w:val="04A0"/>
        </w:tblPrEx>
        <w:trPr>
          <w:trHeight w:val="26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AB5C99" w:rsidRPr="00B52C02" w:rsidP="00702172" w14:paraId="3A0A2F75" w14:textId="77777777">
            <w:pPr>
              <w:rPr>
                <w:color w:val="000000"/>
                <w:szCs w:val="24"/>
              </w:rPr>
            </w:pPr>
            <w:r w:rsidRPr="00B52C02">
              <w:rPr>
                <w:color w:val="000000"/>
                <w:szCs w:val="24"/>
              </w:rPr>
              <w:t>Lawyer</w:t>
            </w:r>
          </w:p>
        </w:tc>
        <w:tc>
          <w:tcPr>
            <w:tcW w:w="1400" w:type="dxa"/>
            <w:tcBorders>
              <w:top w:val="nil"/>
              <w:left w:val="nil"/>
              <w:bottom w:val="single" w:sz="4" w:space="0" w:color="auto"/>
              <w:right w:val="single" w:sz="4" w:space="0" w:color="auto"/>
            </w:tcBorders>
            <w:shd w:val="clear" w:color="auto" w:fill="auto"/>
            <w:vAlign w:val="bottom"/>
            <w:hideMark/>
          </w:tcPr>
          <w:p w:rsidR="00AB5C99" w:rsidRPr="00B52C02" w:rsidP="00702172" w14:paraId="33CB5F18" w14:textId="77777777">
            <w:pPr>
              <w:jc w:val="center"/>
              <w:rPr>
                <w:color w:val="000000"/>
                <w:szCs w:val="24"/>
              </w:rPr>
            </w:pPr>
            <w:r w:rsidRPr="00B52C02">
              <w:rPr>
                <w:color w:val="000000"/>
                <w:szCs w:val="24"/>
              </w:rPr>
              <w:t>$169.68</w:t>
            </w:r>
          </w:p>
        </w:tc>
        <w:tc>
          <w:tcPr>
            <w:tcW w:w="1430" w:type="dxa"/>
            <w:tcBorders>
              <w:top w:val="nil"/>
              <w:left w:val="nil"/>
              <w:bottom w:val="single" w:sz="4" w:space="0" w:color="auto"/>
              <w:right w:val="single" w:sz="4" w:space="0" w:color="auto"/>
            </w:tcBorders>
            <w:shd w:val="clear" w:color="auto" w:fill="auto"/>
            <w:vAlign w:val="bottom"/>
            <w:hideMark/>
          </w:tcPr>
          <w:p w:rsidR="00AB5C99" w:rsidRPr="00B52C02" w:rsidP="00702172" w14:paraId="1C0BE00E" w14:textId="77777777">
            <w:pPr>
              <w:jc w:val="center"/>
              <w:rPr>
                <w:color w:val="000000"/>
                <w:szCs w:val="24"/>
              </w:rPr>
            </w:pPr>
            <w:r w:rsidRPr="00B52C02">
              <w:rPr>
                <w:color w:val="000000"/>
                <w:szCs w:val="24"/>
              </w:rPr>
              <w:t>8.0</w:t>
            </w:r>
          </w:p>
        </w:tc>
        <w:tc>
          <w:tcPr>
            <w:tcW w:w="1416" w:type="dxa"/>
            <w:tcBorders>
              <w:top w:val="nil"/>
              <w:left w:val="nil"/>
              <w:bottom w:val="single" w:sz="4" w:space="0" w:color="auto"/>
              <w:right w:val="single" w:sz="4" w:space="0" w:color="auto"/>
            </w:tcBorders>
            <w:shd w:val="clear" w:color="auto" w:fill="auto"/>
            <w:noWrap/>
            <w:vAlign w:val="bottom"/>
            <w:hideMark/>
          </w:tcPr>
          <w:p w:rsidR="00AB5C99" w:rsidRPr="00B52C02" w:rsidP="00702172" w14:paraId="0E9F45BE" w14:textId="77777777">
            <w:pPr>
              <w:jc w:val="center"/>
              <w:rPr>
                <w:color w:val="000000"/>
                <w:szCs w:val="24"/>
              </w:rPr>
            </w:pPr>
            <w:r w:rsidRPr="00B52C02">
              <w:rPr>
                <w:color w:val="000000"/>
                <w:szCs w:val="24"/>
              </w:rPr>
              <w:t>$1,357.44</w:t>
            </w:r>
          </w:p>
        </w:tc>
      </w:tr>
      <w:tr w14:paraId="5F9F9634" w14:textId="77777777" w:rsidTr="00B52C02">
        <w:tblPrEx>
          <w:tblW w:w="7520" w:type="dxa"/>
          <w:tblInd w:w="607" w:type="dxa"/>
          <w:tblLook w:val="04A0"/>
        </w:tblPrEx>
        <w:trPr>
          <w:trHeight w:val="26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AB5C99" w:rsidRPr="00B52C02" w:rsidP="00702172" w14:paraId="208FD534" w14:textId="77777777">
            <w:pPr>
              <w:rPr>
                <w:color w:val="000000"/>
                <w:szCs w:val="24"/>
              </w:rPr>
            </w:pPr>
            <w:r w:rsidRPr="00B52C02">
              <w:rPr>
                <w:color w:val="000000"/>
                <w:szCs w:val="24"/>
              </w:rPr>
              <w:t>Administrator</w:t>
            </w:r>
          </w:p>
        </w:tc>
        <w:tc>
          <w:tcPr>
            <w:tcW w:w="1400" w:type="dxa"/>
            <w:tcBorders>
              <w:top w:val="nil"/>
              <w:left w:val="nil"/>
              <w:bottom w:val="single" w:sz="4" w:space="0" w:color="auto"/>
              <w:right w:val="single" w:sz="4" w:space="0" w:color="auto"/>
            </w:tcBorders>
            <w:shd w:val="clear" w:color="auto" w:fill="auto"/>
            <w:vAlign w:val="bottom"/>
            <w:hideMark/>
          </w:tcPr>
          <w:p w:rsidR="00AB5C99" w:rsidRPr="00B52C02" w:rsidP="00702172" w14:paraId="48F2DE8B" w14:textId="77777777">
            <w:pPr>
              <w:jc w:val="center"/>
              <w:rPr>
                <w:color w:val="000000"/>
                <w:szCs w:val="24"/>
              </w:rPr>
            </w:pPr>
            <w:r w:rsidRPr="00B52C02">
              <w:rPr>
                <w:color w:val="000000"/>
                <w:szCs w:val="24"/>
              </w:rPr>
              <w:t>$129.28</w:t>
            </w:r>
          </w:p>
        </w:tc>
        <w:tc>
          <w:tcPr>
            <w:tcW w:w="1430" w:type="dxa"/>
            <w:tcBorders>
              <w:top w:val="nil"/>
              <w:left w:val="nil"/>
              <w:bottom w:val="single" w:sz="4" w:space="0" w:color="auto"/>
              <w:right w:val="single" w:sz="4" w:space="0" w:color="auto"/>
            </w:tcBorders>
            <w:shd w:val="clear" w:color="auto" w:fill="auto"/>
            <w:vAlign w:val="bottom"/>
            <w:hideMark/>
          </w:tcPr>
          <w:p w:rsidR="00AB5C99" w:rsidRPr="00B52C02" w:rsidP="00702172" w14:paraId="28504C3F" w14:textId="77777777">
            <w:pPr>
              <w:jc w:val="center"/>
              <w:rPr>
                <w:color w:val="000000"/>
                <w:szCs w:val="24"/>
              </w:rPr>
            </w:pPr>
            <w:r w:rsidRPr="00B52C02">
              <w:rPr>
                <w:color w:val="000000"/>
                <w:szCs w:val="24"/>
              </w:rPr>
              <w:t>8.0</w:t>
            </w:r>
          </w:p>
        </w:tc>
        <w:tc>
          <w:tcPr>
            <w:tcW w:w="1416" w:type="dxa"/>
            <w:tcBorders>
              <w:top w:val="nil"/>
              <w:left w:val="nil"/>
              <w:bottom w:val="single" w:sz="4" w:space="0" w:color="auto"/>
              <w:right w:val="single" w:sz="4" w:space="0" w:color="auto"/>
            </w:tcBorders>
            <w:shd w:val="clear" w:color="auto" w:fill="auto"/>
            <w:noWrap/>
            <w:vAlign w:val="bottom"/>
            <w:hideMark/>
          </w:tcPr>
          <w:p w:rsidR="00AB5C99" w:rsidRPr="00B52C02" w:rsidP="00702172" w14:paraId="2B89C6E2" w14:textId="77777777">
            <w:pPr>
              <w:jc w:val="center"/>
              <w:rPr>
                <w:color w:val="000000"/>
                <w:szCs w:val="24"/>
              </w:rPr>
            </w:pPr>
            <w:r w:rsidRPr="00B52C02">
              <w:rPr>
                <w:color w:val="000000"/>
                <w:szCs w:val="24"/>
              </w:rPr>
              <w:t>$1,034.24</w:t>
            </w:r>
          </w:p>
        </w:tc>
      </w:tr>
      <w:tr w14:paraId="38F0AEC4" w14:textId="77777777" w:rsidTr="00B52C02">
        <w:tblPrEx>
          <w:tblW w:w="7520" w:type="dxa"/>
          <w:tblInd w:w="607" w:type="dxa"/>
          <w:tblLook w:val="04A0"/>
        </w:tblPrEx>
        <w:trPr>
          <w:trHeight w:val="26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AB5C99" w:rsidRPr="00B52C02" w:rsidP="00702172" w14:paraId="08523B63" w14:textId="77777777">
            <w:pPr>
              <w:rPr>
                <w:color w:val="000000"/>
                <w:szCs w:val="24"/>
              </w:rPr>
            </w:pPr>
            <w:r w:rsidRPr="00B52C02">
              <w:rPr>
                <w:color w:val="000000"/>
                <w:szCs w:val="24"/>
              </w:rPr>
              <w:t>Registered Nurse</w:t>
            </w:r>
          </w:p>
        </w:tc>
        <w:tc>
          <w:tcPr>
            <w:tcW w:w="1400" w:type="dxa"/>
            <w:tcBorders>
              <w:top w:val="nil"/>
              <w:left w:val="nil"/>
              <w:bottom w:val="single" w:sz="4" w:space="0" w:color="auto"/>
              <w:right w:val="single" w:sz="4" w:space="0" w:color="auto"/>
            </w:tcBorders>
            <w:shd w:val="clear" w:color="auto" w:fill="auto"/>
            <w:vAlign w:val="bottom"/>
            <w:hideMark/>
          </w:tcPr>
          <w:p w:rsidR="00AB5C99" w:rsidRPr="00B52C02" w:rsidP="00702172" w14:paraId="55BCE70E" w14:textId="77777777">
            <w:pPr>
              <w:jc w:val="center"/>
              <w:rPr>
                <w:color w:val="000000"/>
                <w:szCs w:val="24"/>
              </w:rPr>
            </w:pPr>
            <w:r w:rsidRPr="00B52C02">
              <w:rPr>
                <w:color w:val="000000"/>
                <w:szCs w:val="24"/>
              </w:rPr>
              <w:t>$90.84</w:t>
            </w:r>
          </w:p>
        </w:tc>
        <w:tc>
          <w:tcPr>
            <w:tcW w:w="1430" w:type="dxa"/>
            <w:tcBorders>
              <w:top w:val="nil"/>
              <w:left w:val="nil"/>
              <w:bottom w:val="single" w:sz="4" w:space="0" w:color="auto"/>
              <w:right w:val="single" w:sz="4" w:space="0" w:color="auto"/>
            </w:tcBorders>
            <w:shd w:val="clear" w:color="auto" w:fill="auto"/>
            <w:vAlign w:val="bottom"/>
            <w:hideMark/>
          </w:tcPr>
          <w:p w:rsidR="00AB5C99" w:rsidRPr="00B52C02" w:rsidP="00702172" w14:paraId="4AF8F6BA" w14:textId="77777777">
            <w:pPr>
              <w:jc w:val="center"/>
              <w:rPr>
                <w:color w:val="000000"/>
                <w:szCs w:val="24"/>
              </w:rPr>
            </w:pPr>
            <w:r w:rsidRPr="00B52C02">
              <w:rPr>
                <w:color w:val="000000"/>
                <w:szCs w:val="24"/>
              </w:rPr>
              <w:t>8.0</w:t>
            </w:r>
          </w:p>
        </w:tc>
        <w:tc>
          <w:tcPr>
            <w:tcW w:w="1416" w:type="dxa"/>
            <w:tcBorders>
              <w:top w:val="nil"/>
              <w:left w:val="nil"/>
              <w:bottom w:val="single" w:sz="4" w:space="0" w:color="auto"/>
              <w:right w:val="single" w:sz="4" w:space="0" w:color="auto"/>
            </w:tcBorders>
            <w:shd w:val="clear" w:color="auto" w:fill="auto"/>
            <w:noWrap/>
            <w:vAlign w:val="bottom"/>
            <w:hideMark/>
          </w:tcPr>
          <w:p w:rsidR="00AB5C99" w:rsidRPr="00B52C02" w:rsidP="00702172" w14:paraId="4C1E13F6" w14:textId="77777777">
            <w:pPr>
              <w:jc w:val="center"/>
              <w:rPr>
                <w:color w:val="000000"/>
                <w:szCs w:val="24"/>
              </w:rPr>
            </w:pPr>
            <w:r w:rsidRPr="00B52C02">
              <w:rPr>
                <w:color w:val="000000"/>
                <w:szCs w:val="24"/>
              </w:rPr>
              <w:t>$726.72</w:t>
            </w:r>
          </w:p>
        </w:tc>
      </w:tr>
      <w:tr w14:paraId="459DFA44" w14:textId="77777777" w:rsidTr="00B52C02">
        <w:tblPrEx>
          <w:tblW w:w="7520" w:type="dxa"/>
          <w:tblInd w:w="607" w:type="dxa"/>
          <w:tblLook w:val="04A0"/>
        </w:tblPrEx>
        <w:trPr>
          <w:trHeight w:val="26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AB5C99" w:rsidRPr="00B52C02" w:rsidP="00702172" w14:paraId="046D6C59" w14:textId="77777777">
            <w:pPr>
              <w:rPr>
                <w:color w:val="000000"/>
                <w:szCs w:val="24"/>
              </w:rPr>
            </w:pPr>
            <w:r w:rsidRPr="00B52C02">
              <w:rPr>
                <w:color w:val="000000"/>
                <w:szCs w:val="24"/>
              </w:rPr>
              <w:t>Medical Secretary</w:t>
            </w:r>
          </w:p>
        </w:tc>
        <w:tc>
          <w:tcPr>
            <w:tcW w:w="1400" w:type="dxa"/>
            <w:tcBorders>
              <w:top w:val="nil"/>
              <w:left w:val="nil"/>
              <w:bottom w:val="single" w:sz="4" w:space="0" w:color="auto"/>
              <w:right w:val="single" w:sz="4" w:space="0" w:color="auto"/>
            </w:tcBorders>
            <w:shd w:val="clear" w:color="auto" w:fill="auto"/>
            <w:vAlign w:val="bottom"/>
            <w:hideMark/>
          </w:tcPr>
          <w:p w:rsidR="00AB5C99" w:rsidRPr="00B52C02" w:rsidP="00702172" w14:paraId="74E24F52" w14:textId="77777777">
            <w:pPr>
              <w:jc w:val="center"/>
              <w:rPr>
                <w:color w:val="000000"/>
                <w:szCs w:val="24"/>
              </w:rPr>
            </w:pPr>
            <w:r w:rsidRPr="00B52C02">
              <w:rPr>
                <w:color w:val="000000"/>
                <w:szCs w:val="24"/>
              </w:rPr>
              <w:t>$41.70</w:t>
            </w:r>
          </w:p>
        </w:tc>
        <w:tc>
          <w:tcPr>
            <w:tcW w:w="1430" w:type="dxa"/>
            <w:tcBorders>
              <w:top w:val="nil"/>
              <w:left w:val="nil"/>
              <w:bottom w:val="single" w:sz="4" w:space="0" w:color="auto"/>
              <w:right w:val="single" w:sz="4" w:space="0" w:color="auto"/>
            </w:tcBorders>
            <w:shd w:val="clear" w:color="auto" w:fill="auto"/>
            <w:vAlign w:val="bottom"/>
            <w:hideMark/>
          </w:tcPr>
          <w:p w:rsidR="00AB5C99" w:rsidRPr="00B52C02" w:rsidP="00702172" w14:paraId="2909F773" w14:textId="77777777">
            <w:pPr>
              <w:jc w:val="center"/>
              <w:rPr>
                <w:color w:val="000000"/>
                <w:szCs w:val="24"/>
              </w:rPr>
            </w:pPr>
            <w:r w:rsidRPr="00B52C02">
              <w:rPr>
                <w:color w:val="000000"/>
                <w:szCs w:val="24"/>
              </w:rPr>
              <w:t>8.0</w:t>
            </w:r>
          </w:p>
        </w:tc>
        <w:tc>
          <w:tcPr>
            <w:tcW w:w="1416" w:type="dxa"/>
            <w:tcBorders>
              <w:top w:val="nil"/>
              <w:left w:val="nil"/>
              <w:bottom w:val="single" w:sz="4" w:space="0" w:color="auto"/>
              <w:right w:val="single" w:sz="4" w:space="0" w:color="auto"/>
            </w:tcBorders>
            <w:shd w:val="clear" w:color="auto" w:fill="auto"/>
            <w:noWrap/>
            <w:vAlign w:val="bottom"/>
            <w:hideMark/>
          </w:tcPr>
          <w:p w:rsidR="00AB5C99" w:rsidRPr="00B52C02" w:rsidP="00702172" w14:paraId="7E66B796" w14:textId="77777777">
            <w:pPr>
              <w:jc w:val="center"/>
              <w:rPr>
                <w:color w:val="000000"/>
                <w:szCs w:val="24"/>
              </w:rPr>
            </w:pPr>
            <w:r w:rsidRPr="00B52C02">
              <w:rPr>
                <w:color w:val="000000"/>
                <w:szCs w:val="24"/>
              </w:rPr>
              <w:t>$333.60</w:t>
            </w:r>
          </w:p>
        </w:tc>
      </w:tr>
      <w:tr w14:paraId="42611416" w14:textId="77777777" w:rsidTr="00B52C02">
        <w:tblPrEx>
          <w:tblW w:w="7520" w:type="dxa"/>
          <w:tblInd w:w="607" w:type="dxa"/>
          <w:tblLook w:val="04A0"/>
        </w:tblPrEx>
        <w:trPr>
          <w:trHeight w:val="263"/>
        </w:trPr>
        <w:tc>
          <w:tcPr>
            <w:tcW w:w="3274" w:type="dxa"/>
            <w:tcBorders>
              <w:top w:val="nil"/>
              <w:left w:val="single" w:sz="4" w:space="0" w:color="auto"/>
              <w:bottom w:val="single" w:sz="4" w:space="0" w:color="auto"/>
              <w:right w:val="single" w:sz="4" w:space="0" w:color="auto"/>
            </w:tcBorders>
            <w:shd w:val="clear" w:color="000000" w:fill="F2F2F2"/>
            <w:vAlign w:val="bottom"/>
            <w:hideMark/>
          </w:tcPr>
          <w:p w:rsidR="00AB5C99" w:rsidRPr="00B52C02" w:rsidP="00702172" w14:paraId="5896D772" w14:textId="77777777">
            <w:pPr>
              <w:jc w:val="right"/>
              <w:rPr>
                <w:color w:val="000000"/>
                <w:szCs w:val="24"/>
              </w:rPr>
            </w:pPr>
            <w:r w:rsidRPr="00B52C02">
              <w:rPr>
                <w:color w:val="000000"/>
                <w:szCs w:val="24"/>
              </w:rPr>
              <w:t>Total Task/Facility</w:t>
            </w:r>
          </w:p>
        </w:tc>
        <w:tc>
          <w:tcPr>
            <w:tcW w:w="1400" w:type="dxa"/>
            <w:tcBorders>
              <w:top w:val="nil"/>
              <w:left w:val="nil"/>
              <w:bottom w:val="single" w:sz="4" w:space="0" w:color="auto"/>
              <w:right w:val="single" w:sz="4" w:space="0" w:color="auto"/>
            </w:tcBorders>
            <w:shd w:val="clear" w:color="000000" w:fill="F2F2F2"/>
            <w:vAlign w:val="bottom"/>
            <w:hideMark/>
          </w:tcPr>
          <w:p w:rsidR="00AB5C99" w:rsidRPr="00B52C02" w:rsidP="00702172" w14:paraId="2DD41AF7" w14:textId="77777777">
            <w:pPr>
              <w:jc w:val="center"/>
              <w:rPr>
                <w:color w:val="000000"/>
                <w:szCs w:val="24"/>
              </w:rPr>
            </w:pPr>
            <w:r w:rsidRPr="00B52C02">
              <w:rPr>
                <w:color w:val="000000"/>
                <w:szCs w:val="24"/>
              </w:rPr>
              <w:t> </w:t>
            </w:r>
          </w:p>
        </w:tc>
        <w:tc>
          <w:tcPr>
            <w:tcW w:w="1430" w:type="dxa"/>
            <w:tcBorders>
              <w:top w:val="nil"/>
              <w:left w:val="nil"/>
              <w:bottom w:val="single" w:sz="4" w:space="0" w:color="auto"/>
              <w:right w:val="single" w:sz="4" w:space="0" w:color="auto"/>
            </w:tcBorders>
            <w:shd w:val="clear" w:color="000000" w:fill="F2F2F2"/>
            <w:vAlign w:val="bottom"/>
            <w:hideMark/>
          </w:tcPr>
          <w:p w:rsidR="00AB5C99" w:rsidRPr="00B52C02" w:rsidP="00702172" w14:paraId="3D1B3472" w14:textId="77777777">
            <w:pPr>
              <w:jc w:val="center"/>
              <w:rPr>
                <w:color w:val="000000"/>
                <w:szCs w:val="24"/>
              </w:rPr>
            </w:pPr>
            <w:r w:rsidRPr="00B52C02">
              <w:rPr>
                <w:color w:val="000000"/>
                <w:szCs w:val="24"/>
              </w:rPr>
              <w:t>40.0</w:t>
            </w:r>
          </w:p>
        </w:tc>
        <w:tc>
          <w:tcPr>
            <w:tcW w:w="1416" w:type="dxa"/>
            <w:tcBorders>
              <w:top w:val="nil"/>
              <w:left w:val="nil"/>
              <w:bottom w:val="single" w:sz="4" w:space="0" w:color="auto"/>
              <w:right w:val="single" w:sz="4" w:space="0" w:color="auto"/>
            </w:tcBorders>
            <w:shd w:val="clear" w:color="000000" w:fill="F2F2F2"/>
            <w:vAlign w:val="bottom"/>
            <w:hideMark/>
          </w:tcPr>
          <w:p w:rsidR="00AB5C99" w:rsidRPr="00B52C02" w:rsidP="00702172" w14:paraId="57B7D487" w14:textId="77777777">
            <w:pPr>
              <w:jc w:val="center"/>
              <w:rPr>
                <w:color w:val="000000"/>
                <w:szCs w:val="24"/>
              </w:rPr>
            </w:pPr>
            <w:r w:rsidRPr="00B52C02">
              <w:rPr>
                <w:color w:val="000000"/>
                <w:szCs w:val="24"/>
              </w:rPr>
              <w:t>$5,481.60</w:t>
            </w:r>
          </w:p>
        </w:tc>
      </w:tr>
      <w:tr w14:paraId="44B53B0A" w14:textId="77777777" w:rsidTr="00B52C02">
        <w:tblPrEx>
          <w:tblW w:w="7520" w:type="dxa"/>
          <w:tblInd w:w="607" w:type="dxa"/>
          <w:tblLook w:val="04A0"/>
        </w:tblPrEx>
        <w:trPr>
          <w:trHeight w:val="263"/>
        </w:trPr>
        <w:tc>
          <w:tcPr>
            <w:tcW w:w="610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B5C99" w:rsidRPr="00B52C02" w:rsidP="00702172" w14:paraId="214C700D" w14:textId="77777777">
            <w:pPr>
              <w:jc w:val="right"/>
              <w:rPr>
                <w:color w:val="000000"/>
                <w:szCs w:val="24"/>
              </w:rPr>
            </w:pPr>
            <w:r w:rsidRPr="00B52C02">
              <w:rPr>
                <w:color w:val="000000"/>
                <w:szCs w:val="24"/>
              </w:rPr>
              <w:t>Aggregate Staff Cost/Task</w:t>
            </w:r>
          </w:p>
        </w:tc>
        <w:tc>
          <w:tcPr>
            <w:tcW w:w="1416" w:type="dxa"/>
            <w:tcBorders>
              <w:top w:val="nil"/>
              <w:left w:val="nil"/>
              <w:bottom w:val="single" w:sz="4" w:space="0" w:color="auto"/>
              <w:right w:val="single" w:sz="4" w:space="0" w:color="auto"/>
            </w:tcBorders>
            <w:shd w:val="clear" w:color="000000" w:fill="F2F2F2"/>
            <w:vAlign w:val="bottom"/>
            <w:hideMark/>
          </w:tcPr>
          <w:p w:rsidR="00AB5C99" w:rsidRPr="00B52C02" w:rsidP="00702172" w14:paraId="0C737752" w14:textId="77777777">
            <w:pPr>
              <w:jc w:val="center"/>
              <w:rPr>
                <w:b/>
                <w:bCs/>
                <w:color w:val="000000"/>
                <w:szCs w:val="24"/>
              </w:rPr>
            </w:pPr>
            <w:r w:rsidRPr="00B52C02">
              <w:rPr>
                <w:b/>
                <w:bCs/>
                <w:color w:val="000000"/>
                <w:szCs w:val="24"/>
              </w:rPr>
              <w:t>$137.04</w:t>
            </w:r>
          </w:p>
        </w:tc>
      </w:tr>
      <w:tr w14:paraId="63FF7B47" w14:textId="77777777" w:rsidTr="00B52C02">
        <w:tblPrEx>
          <w:tblW w:w="7520" w:type="dxa"/>
          <w:tblInd w:w="607" w:type="dxa"/>
          <w:tblLook w:val="04A0"/>
        </w:tblPrEx>
        <w:trPr>
          <w:trHeight w:val="26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AB5C99" w:rsidRPr="00B52C02" w:rsidP="00702172" w14:paraId="77A6B596" w14:textId="77777777">
            <w:pPr>
              <w:rPr>
                <w:color w:val="000000"/>
                <w:szCs w:val="24"/>
              </w:rPr>
            </w:pPr>
            <w:r w:rsidRPr="00B52C02">
              <w:rPr>
                <w:color w:val="000000"/>
                <w:szCs w:val="24"/>
              </w:rPr>
              <w:t># Facilities Impacted</w:t>
            </w:r>
          </w:p>
        </w:tc>
        <w:tc>
          <w:tcPr>
            <w:tcW w:w="1400" w:type="dxa"/>
            <w:tcBorders>
              <w:top w:val="nil"/>
              <w:left w:val="nil"/>
              <w:bottom w:val="single" w:sz="4" w:space="0" w:color="auto"/>
              <w:right w:val="single" w:sz="4" w:space="0" w:color="auto"/>
            </w:tcBorders>
            <w:shd w:val="clear" w:color="auto" w:fill="auto"/>
            <w:vAlign w:val="bottom"/>
            <w:hideMark/>
          </w:tcPr>
          <w:p w:rsidR="00AB5C99" w:rsidRPr="00B52C02" w:rsidP="00702172" w14:paraId="51913C38" w14:textId="5A7C83ED">
            <w:pPr>
              <w:jc w:val="center"/>
              <w:rPr>
                <w:szCs w:val="24"/>
              </w:rPr>
            </w:pPr>
            <w:r w:rsidRPr="00B52C02">
              <w:rPr>
                <w:szCs w:val="24"/>
              </w:rPr>
              <w:t>513</w:t>
            </w:r>
          </w:p>
        </w:tc>
        <w:tc>
          <w:tcPr>
            <w:tcW w:w="1430" w:type="dxa"/>
            <w:tcBorders>
              <w:top w:val="nil"/>
              <w:left w:val="nil"/>
              <w:bottom w:val="single" w:sz="4" w:space="0" w:color="auto"/>
              <w:right w:val="single" w:sz="4" w:space="0" w:color="auto"/>
            </w:tcBorders>
            <w:shd w:val="clear" w:color="auto" w:fill="auto"/>
            <w:vAlign w:val="bottom"/>
            <w:hideMark/>
          </w:tcPr>
          <w:p w:rsidR="00AB5C99" w:rsidRPr="00B52C02" w:rsidP="00702172" w14:paraId="4BC00C95" w14:textId="77777777">
            <w:pPr>
              <w:jc w:val="center"/>
              <w:rPr>
                <w:color w:val="000000"/>
                <w:szCs w:val="24"/>
              </w:rPr>
            </w:pPr>
            <w:r w:rsidRPr="00B52C02">
              <w:rPr>
                <w:color w:val="000000"/>
                <w:szCs w:val="24"/>
              </w:rPr>
              <w:t> </w:t>
            </w:r>
          </w:p>
        </w:tc>
        <w:tc>
          <w:tcPr>
            <w:tcW w:w="1416" w:type="dxa"/>
            <w:tcBorders>
              <w:top w:val="nil"/>
              <w:left w:val="nil"/>
              <w:bottom w:val="single" w:sz="4" w:space="0" w:color="auto"/>
              <w:right w:val="single" w:sz="4" w:space="0" w:color="auto"/>
            </w:tcBorders>
            <w:shd w:val="clear" w:color="auto" w:fill="auto"/>
            <w:vAlign w:val="bottom"/>
            <w:hideMark/>
          </w:tcPr>
          <w:p w:rsidR="00AB5C99" w:rsidRPr="00B52C02" w:rsidP="00702172" w14:paraId="21AF7A9C" w14:textId="77777777">
            <w:pPr>
              <w:jc w:val="center"/>
              <w:rPr>
                <w:color w:val="000000"/>
                <w:szCs w:val="24"/>
              </w:rPr>
            </w:pPr>
            <w:r w:rsidRPr="00B52C02">
              <w:rPr>
                <w:color w:val="000000"/>
                <w:szCs w:val="24"/>
              </w:rPr>
              <w:t> </w:t>
            </w:r>
          </w:p>
        </w:tc>
      </w:tr>
      <w:tr w14:paraId="544B21E0" w14:textId="77777777" w:rsidTr="00B52C02">
        <w:tblPrEx>
          <w:tblW w:w="7520" w:type="dxa"/>
          <w:tblInd w:w="607" w:type="dxa"/>
          <w:tblLook w:val="04A0"/>
        </w:tblPrEx>
        <w:trPr>
          <w:trHeight w:val="263"/>
        </w:trPr>
        <w:tc>
          <w:tcPr>
            <w:tcW w:w="3274" w:type="dxa"/>
            <w:tcBorders>
              <w:top w:val="nil"/>
              <w:left w:val="single" w:sz="4" w:space="0" w:color="auto"/>
              <w:bottom w:val="single" w:sz="4" w:space="0" w:color="auto"/>
              <w:right w:val="single" w:sz="4" w:space="0" w:color="auto"/>
            </w:tcBorders>
            <w:shd w:val="clear" w:color="000000" w:fill="D9D9D9"/>
            <w:vAlign w:val="bottom"/>
            <w:hideMark/>
          </w:tcPr>
          <w:p w:rsidR="00B52C02" w:rsidRPr="00B52C02" w:rsidP="00B52C02" w14:paraId="5B292D01" w14:textId="77777777">
            <w:pPr>
              <w:jc w:val="right"/>
              <w:rPr>
                <w:b/>
                <w:bCs/>
                <w:color w:val="000000"/>
                <w:szCs w:val="24"/>
              </w:rPr>
            </w:pPr>
            <w:r w:rsidRPr="00B52C02">
              <w:rPr>
                <w:b/>
                <w:bCs/>
                <w:color w:val="000000"/>
                <w:szCs w:val="24"/>
              </w:rPr>
              <w:t xml:space="preserve">Total Annual Burden/Costs </w:t>
            </w:r>
          </w:p>
        </w:tc>
        <w:tc>
          <w:tcPr>
            <w:tcW w:w="1400" w:type="dxa"/>
            <w:tcBorders>
              <w:top w:val="nil"/>
              <w:left w:val="nil"/>
              <w:bottom w:val="single" w:sz="4" w:space="0" w:color="auto"/>
              <w:right w:val="single" w:sz="4" w:space="0" w:color="auto"/>
            </w:tcBorders>
            <w:shd w:val="clear" w:color="000000" w:fill="D9D9D9"/>
            <w:vAlign w:val="bottom"/>
            <w:hideMark/>
          </w:tcPr>
          <w:p w:rsidR="00B52C02" w:rsidRPr="00B52C02" w:rsidP="00B52C02" w14:paraId="55B073E0" w14:textId="77777777">
            <w:pPr>
              <w:jc w:val="center"/>
              <w:rPr>
                <w:b/>
                <w:bCs/>
                <w:color w:val="000000"/>
                <w:szCs w:val="24"/>
              </w:rPr>
            </w:pPr>
            <w:r w:rsidRPr="00B52C02">
              <w:rPr>
                <w:b/>
                <w:bCs/>
                <w:color w:val="000000"/>
                <w:szCs w:val="24"/>
              </w:rPr>
              <w:t> </w:t>
            </w:r>
          </w:p>
        </w:tc>
        <w:tc>
          <w:tcPr>
            <w:tcW w:w="1430" w:type="dxa"/>
            <w:tcBorders>
              <w:top w:val="nil"/>
              <w:left w:val="nil"/>
              <w:bottom w:val="single" w:sz="4" w:space="0" w:color="auto"/>
              <w:right w:val="single" w:sz="4" w:space="0" w:color="auto"/>
            </w:tcBorders>
            <w:shd w:val="clear" w:color="000000" w:fill="D9D9D9"/>
            <w:noWrap/>
            <w:hideMark/>
          </w:tcPr>
          <w:p w:rsidR="00B52C02" w:rsidRPr="00B52C02" w:rsidP="00B52C02" w14:paraId="6D5A4385" w14:textId="353CFA93">
            <w:pPr>
              <w:jc w:val="center"/>
              <w:rPr>
                <w:b/>
                <w:bCs/>
                <w:color w:val="000000"/>
                <w:szCs w:val="24"/>
              </w:rPr>
            </w:pPr>
            <w:r w:rsidRPr="00B52C02">
              <w:rPr>
                <w:b/>
                <w:bCs/>
              </w:rPr>
              <w:t>20,520</w:t>
            </w:r>
          </w:p>
        </w:tc>
        <w:tc>
          <w:tcPr>
            <w:tcW w:w="1416" w:type="dxa"/>
            <w:tcBorders>
              <w:top w:val="nil"/>
              <w:left w:val="nil"/>
              <w:bottom w:val="single" w:sz="4" w:space="0" w:color="auto"/>
              <w:right w:val="single" w:sz="4" w:space="0" w:color="auto"/>
            </w:tcBorders>
            <w:shd w:val="clear" w:color="000000" w:fill="D9D9D9"/>
            <w:hideMark/>
          </w:tcPr>
          <w:p w:rsidR="00B52C02" w:rsidRPr="00B52C02" w:rsidP="00B52C02" w14:paraId="3ADD3BC7" w14:textId="782A8AC4">
            <w:pPr>
              <w:jc w:val="center"/>
              <w:rPr>
                <w:b/>
                <w:bCs/>
                <w:color w:val="000000"/>
                <w:szCs w:val="24"/>
              </w:rPr>
            </w:pPr>
            <w:r w:rsidRPr="00B52C02">
              <w:rPr>
                <w:b/>
                <w:bCs/>
              </w:rPr>
              <w:t>$2,812,061</w:t>
            </w:r>
          </w:p>
        </w:tc>
      </w:tr>
    </w:tbl>
    <w:p w:rsidR="00AB5C99" w:rsidP="00AB5C99" w14:paraId="615F6D62" w14:textId="77777777">
      <w:pPr>
        <w:ind w:left="2" w:hanging="2"/>
        <w:rPr>
          <w:sz w:val="20"/>
        </w:rPr>
      </w:pPr>
    </w:p>
    <w:p w:rsidR="00DF2D09" w:rsidP="00AB5C99" w14:paraId="421A8E85" w14:textId="77777777">
      <w:pPr>
        <w:ind w:left="2" w:hanging="2"/>
        <w:rPr>
          <w:sz w:val="20"/>
        </w:rPr>
      </w:pPr>
    </w:p>
    <w:p w:rsidR="00DF2D09" w:rsidP="00AB5C99" w14:paraId="4675008D" w14:textId="77777777">
      <w:pPr>
        <w:ind w:left="2" w:hanging="2"/>
        <w:rPr>
          <w:sz w:val="20"/>
        </w:rPr>
      </w:pPr>
    </w:p>
    <w:p w:rsidR="00AB5C99" w14:paraId="734340AC" w14:textId="1E3B660B">
      <w:pPr>
        <w:rPr>
          <w:snapToGrid w:val="0"/>
          <w:color w:val="000000"/>
          <w:u w:val="single"/>
        </w:rPr>
      </w:pPr>
    </w:p>
    <w:p w:rsidR="001B6A3F" w:rsidRPr="007A6DD8" w:rsidP="00077919" w14:paraId="0A9A214B" w14:textId="77777777">
      <w:pPr>
        <w:pStyle w:val="Style0"/>
        <w:numPr>
          <w:ilvl w:val="0"/>
          <w:numId w:val="2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Capital Costs</w:t>
      </w:r>
      <w:r w:rsidRPr="007A6DD8">
        <w:rPr>
          <w:color w:val="000000"/>
        </w:rPr>
        <w:t xml:space="preserve"> </w:t>
      </w:r>
    </w:p>
    <w:p w:rsidR="001B6A3F" w:rsidRPr="007A6DD8" w:rsidP="001B6A3F" w14:paraId="55FBF06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B6A3F" w:rsidRPr="007A6DD8" w:rsidP="00EC450C" w14:paraId="3D431F39"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r w:rsidRPr="007A6DD8">
        <w:rPr>
          <w:color w:val="000000"/>
        </w:rPr>
        <w:t>There are no capital costs.</w:t>
      </w:r>
    </w:p>
    <w:p w:rsidR="001B6A3F" w:rsidP="001B6A3F" w14:paraId="5311AC3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F2D09" w:rsidP="001B6A3F" w14:paraId="321F422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F2D09" w:rsidP="001B6A3F" w14:paraId="6EE5978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F2D09" w:rsidP="001B6A3F" w14:paraId="631C79B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F2D09" w:rsidP="001B6A3F" w14:paraId="360BDC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F2D09" w:rsidP="001B6A3F" w14:paraId="17CF92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F2D09" w:rsidP="001B6A3F" w14:paraId="7C47F74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F2D09" w:rsidRPr="007A6DD8" w:rsidP="001B6A3F" w14:paraId="636C8F1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B6A3F" w:rsidRPr="007A6DD8" w:rsidP="00077919" w14:paraId="6807AF83" w14:textId="77777777">
      <w:pPr>
        <w:pStyle w:val="Style0"/>
        <w:numPr>
          <w:ilvl w:val="0"/>
          <w:numId w:val="2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bookmarkStart w:id="11" w:name="_Hlk173833439"/>
      <w:r w:rsidRPr="007A6DD8">
        <w:rPr>
          <w:color w:val="000000"/>
          <w:u w:val="single"/>
        </w:rPr>
        <w:t>Cost To Federal Government</w:t>
      </w:r>
      <w:r w:rsidRPr="007A6DD8">
        <w:rPr>
          <w:color w:val="000000"/>
        </w:rPr>
        <w:t xml:space="preserve"> </w:t>
      </w:r>
    </w:p>
    <w:p w:rsidR="00A222FC" w:rsidRPr="00A222FC" w:rsidP="00DF2D09" w14:paraId="33A8DC68" w14:textId="31C6929F">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color w:val="000000"/>
        </w:rPr>
      </w:pPr>
      <w:bookmarkStart w:id="12" w:name="_Hlk173833426"/>
      <w:bookmarkEnd w:id="11"/>
      <w:r w:rsidRPr="003C5BE7">
        <w:rPr>
          <w:color w:val="000000"/>
        </w:rPr>
        <w:t>Section 1864 of the Act provides for the use of State survey agencies to ascertain whether certain entities, including CAHs, comply with the applicable statutory definitions and implementing regulations for that provider or supplier type</w:t>
      </w:r>
      <w:r w:rsidRPr="003C5BE7" w:rsidR="0060007F">
        <w:rPr>
          <w:color w:val="000000"/>
        </w:rPr>
        <w:t xml:space="preserve">. </w:t>
      </w:r>
      <w:r w:rsidRPr="00A222FC">
        <w:rPr>
          <w:color w:val="000000"/>
        </w:rPr>
        <w:t xml:space="preserve">The burden and costs to the federal government for this ICR are estimated to include the time spent by CMS surveyors to complete CoP compliance evaluations for </w:t>
      </w:r>
      <w:r>
        <w:rPr>
          <w:color w:val="000000"/>
        </w:rPr>
        <w:t>Cri</w:t>
      </w:r>
      <w:r w:rsidRPr="00A222FC">
        <w:rPr>
          <w:color w:val="000000"/>
        </w:rPr>
        <w:t>tical Access Hospitals (CAHs). There are multiple points in time when CMS conducts evaluations of hospitals for compliance with CoPs. First, each hospital undergoes a CMS compliance review at the time of initial application for Medicare approval. Subsequent surveys for every hospital are conducted an average of every 4.5 years, but it varies between 3 and 6 years.</w:t>
      </w:r>
    </w:p>
    <w:p w:rsidR="00A222FC" w:rsidP="00A222FC" w14:paraId="0CEA3D78"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6D28A0" w:rsidP="00263536" w14:paraId="5E2E0EEC" w14:textId="21AA5FE8">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A222FC">
        <w:rPr>
          <w:color w:val="000000"/>
        </w:rPr>
        <w:t xml:space="preserve">The burden for completing these responsibilities was calculated using a loaded hourly </w:t>
      </w:r>
      <w:r w:rsidR="004D4F1B">
        <w:rPr>
          <w:color w:val="000000"/>
        </w:rPr>
        <w:t xml:space="preserve">median </w:t>
      </w:r>
      <w:r w:rsidRPr="00A222FC">
        <w:rPr>
          <w:color w:val="000000"/>
        </w:rPr>
        <w:t>wage of $</w:t>
      </w:r>
      <w:r w:rsidR="004D4F1B">
        <w:rPr>
          <w:color w:val="000000"/>
        </w:rPr>
        <w:t>59</w:t>
      </w:r>
      <w:r w:rsidRPr="00A222FC">
        <w:rPr>
          <w:color w:val="000000"/>
        </w:rPr>
        <w:t xml:space="preserve"> per hour for a State Survey Agency reviewer (BLS Occupation Code 19-3022) which includes benefits and overhead. For the initial compliance review, we estimate the cost to the Federal government to ensure each facility’s compliance to be 4 hours, with a net cost of $2</w:t>
      </w:r>
      <w:r w:rsidR="004D4F1B">
        <w:rPr>
          <w:color w:val="000000"/>
        </w:rPr>
        <w:t>36</w:t>
      </w:r>
      <w:r w:rsidRPr="00A222FC">
        <w:rPr>
          <w:color w:val="000000"/>
        </w:rPr>
        <w:t xml:space="preserve"> per facility (4 hours x $</w:t>
      </w:r>
      <w:r w:rsidR="004D4F1B">
        <w:rPr>
          <w:color w:val="000000"/>
        </w:rPr>
        <w:t>59</w:t>
      </w:r>
      <w:r w:rsidRPr="00A222FC">
        <w:rPr>
          <w:color w:val="000000"/>
        </w:rPr>
        <w:t>). For ongoing compliance, we estimate the cost to the Federal government to ensure each facility’s compliance to be 1 hour, with a net cost of $</w:t>
      </w:r>
      <w:r w:rsidR="004D4F1B">
        <w:rPr>
          <w:color w:val="000000"/>
        </w:rPr>
        <w:t>59</w:t>
      </w:r>
      <w:r w:rsidRPr="00A222FC">
        <w:rPr>
          <w:color w:val="000000"/>
        </w:rPr>
        <w:t xml:space="preserve"> per facility (1 hour x $</w:t>
      </w:r>
      <w:r w:rsidR="004D4F1B">
        <w:rPr>
          <w:color w:val="000000"/>
        </w:rPr>
        <w:t>59</w:t>
      </w:r>
      <w:r w:rsidRPr="00A222FC">
        <w:rPr>
          <w:color w:val="000000"/>
        </w:rPr>
        <w:t>). The burden to the Federal government for each applicable information collection (IC) is calculated below with only those facilities that are impacted by each IC.</w:t>
      </w:r>
    </w:p>
    <w:p w:rsidR="0068781E" w:rsidP="00263536" w14:paraId="471A72B0"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68781E" w:rsidP="00263536" w14:paraId="20433D72" w14:textId="112270C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For this reinstatement, t</w:t>
      </w:r>
      <w:r w:rsidRPr="0068781E">
        <w:rPr>
          <w:color w:val="000000"/>
        </w:rPr>
        <w:t>he</w:t>
      </w:r>
      <w:r>
        <w:rPr>
          <w:color w:val="000000"/>
        </w:rPr>
        <w:t xml:space="preserve"> total</w:t>
      </w:r>
      <w:r w:rsidRPr="0068781E">
        <w:rPr>
          <w:color w:val="000000"/>
        </w:rPr>
        <w:t xml:space="preserve"> annual burden hours to the federal government is </w:t>
      </w:r>
      <w:r w:rsidRPr="00196655">
        <w:rPr>
          <w:b/>
          <w:bCs/>
          <w:color w:val="000000"/>
        </w:rPr>
        <w:t>27,294</w:t>
      </w:r>
      <w:r>
        <w:rPr>
          <w:color w:val="000000"/>
        </w:rPr>
        <w:t xml:space="preserve"> </w:t>
      </w:r>
      <w:r w:rsidRPr="0068781E">
        <w:rPr>
          <w:color w:val="000000"/>
        </w:rPr>
        <w:t xml:space="preserve">with an annual cost of </w:t>
      </w:r>
      <w:r w:rsidRPr="00196655">
        <w:rPr>
          <w:b/>
          <w:bCs/>
          <w:color w:val="000000"/>
        </w:rPr>
        <w:t>$</w:t>
      </w:r>
      <w:r w:rsidRPr="00196655">
        <w:rPr>
          <w:b/>
          <w:bCs/>
          <w:color w:val="000000"/>
        </w:rPr>
        <w:t>1,610,346</w:t>
      </w:r>
      <w:r>
        <w:rPr>
          <w:color w:val="000000"/>
        </w:rPr>
        <w:t>.</w:t>
      </w:r>
    </w:p>
    <w:bookmarkEnd w:id="12"/>
    <w:p w:rsidR="0068781E" w:rsidRPr="00263536" w:rsidP="00263536" w14:paraId="30310E6B"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A52D72" w:rsidRPr="00A52D72" w:rsidP="00A52D72" w14:paraId="48092F20" w14:textId="59E30951">
      <w:pPr>
        <w:ind w:firstLine="720"/>
        <w:jc w:val="center"/>
        <w:rPr>
          <w:b/>
          <w:bCs/>
          <w:sz w:val="28"/>
          <w:szCs w:val="28"/>
        </w:rPr>
      </w:pPr>
      <w:r w:rsidRPr="00B52C02">
        <w:rPr>
          <w:b/>
          <w:bCs/>
          <w:sz w:val="28"/>
          <w:szCs w:val="28"/>
        </w:rPr>
        <w:t>Table 1</w:t>
      </w:r>
      <w:r>
        <w:rPr>
          <w:b/>
          <w:bCs/>
          <w:sz w:val="28"/>
          <w:szCs w:val="28"/>
        </w:rPr>
        <w:t>5</w:t>
      </w:r>
      <w:r w:rsidR="0068781E">
        <w:rPr>
          <w:b/>
          <w:bCs/>
          <w:sz w:val="28"/>
          <w:szCs w:val="28"/>
        </w:rPr>
        <w:t xml:space="preserve">: </w:t>
      </w:r>
      <w:r w:rsidRPr="0068781E" w:rsidR="0068781E">
        <w:rPr>
          <w:b/>
          <w:bCs/>
          <w:sz w:val="28"/>
          <w:szCs w:val="22"/>
        </w:rPr>
        <w:t>Total Burden and Costs for Federal Government</w:t>
      </w:r>
    </w:p>
    <w:tbl>
      <w:tblPr>
        <w:tblW w:w="10272" w:type="dxa"/>
        <w:tblInd w:w="-280" w:type="dxa"/>
        <w:tblLook w:val="04A0"/>
      </w:tblPr>
      <w:tblGrid>
        <w:gridCol w:w="4680"/>
        <w:gridCol w:w="1136"/>
        <w:gridCol w:w="950"/>
        <w:gridCol w:w="923"/>
        <w:gridCol w:w="1195"/>
        <w:gridCol w:w="26"/>
        <w:gridCol w:w="1350"/>
        <w:gridCol w:w="12"/>
      </w:tblGrid>
      <w:tr w14:paraId="5A2B787B" w14:textId="77777777" w:rsidTr="00A52D72">
        <w:tblPrEx>
          <w:tblW w:w="10272" w:type="dxa"/>
          <w:tblInd w:w="-280" w:type="dxa"/>
          <w:tblLook w:val="04A0"/>
        </w:tblPrEx>
        <w:trPr>
          <w:trHeight w:val="702"/>
        </w:trPr>
        <w:tc>
          <w:tcPr>
            <w:tcW w:w="4680"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rsidR="00A52D72" w:rsidRPr="00A52D72" w:rsidP="00A52D72" w14:paraId="47FC0269" w14:textId="77777777">
            <w:pPr>
              <w:jc w:val="center"/>
              <w:rPr>
                <w:b/>
                <w:bCs/>
                <w:color w:val="000000"/>
                <w:szCs w:val="24"/>
              </w:rPr>
            </w:pPr>
            <w:r w:rsidRPr="00A52D72">
              <w:rPr>
                <w:b/>
                <w:bCs/>
                <w:color w:val="000000"/>
                <w:szCs w:val="24"/>
              </w:rPr>
              <w:t>Information Collection No.</w:t>
            </w:r>
          </w:p>
        </w:tc>
        <w:tc>
          <w:tcPr>
            <w:tcW w:w="1136" w:type="dxa"/>
            <w:tcBorders>
              <w:top w:val="single" w:sz="8" w:space="0" w:color="auto"/>
              <w:left w:val="nil"/>
              <w:bottom w:val="single" w:sz="8" w:space="0" w:color="auto"/>
              <w:right w:val="single" w:sz="8" w:space="0" w:color="auto"/>
            </w:tcBorders>
            <w:shd w:val="clear" w:color="000000" w:fill="FDE9D9"/>
            <w:vAlign w:val="center"/>
            <w:hideMark/>
          </w:tcPr>
          <w:p w:rsidR="00A52D72" w:rsidRPr="00A52D72" w:rsidP="00A52D72" w14:paraId="29F553FE" w14:textId="77777777">
            <w:pPr>
              <w:jc w:val="center"/>
              <w:rPr>
                <w:b/>
                <w:bCs/>
                <w:color w:val="000000"/>
                <w:szCs w:val="24"/>
              </w:rPr>
            </w:pPr>
            <w:r w:rsidRPr="00A52D72">
              <w:rPr>
                <w:b/>
                <w:bCs/>
                <w:color w:val="000000"/>
                <w:szCs w:val="24"/>
              </w:rPr>
              <w:t># of Facilities</w:t>
            </w:r>
          </w:p>
        </w:tc>
        <w:tc>
          <w:tcPr>
            <w:tcW w:w="950" w:type="dxa"/>
            <w:tcBorders>
              <w:top w:val="single" w:sz="8" w:space="0" w:color="auto"/>
              <w:left w:val="nil"/>
              <w:bottom w:val="single" w:sz="8" w:space="0" w:color="auto"/>
              <w:right w:val="single" w:sz="8" w:space="0" w:color="auto"/>
            </w:tcBorders>
            <w:shd w:val="clear" w:color="000000" w:fill="FDE9D9"/>
            <w:vAlign w:val="center"/>
            <w:hideMark/>
          </w:tcPr>
          <w:p w:rsidR="00A52D72" w:rsidRPr="00A52D72" w:rsidP="00A52D72" w14:paraId="43A41156" w14:textId="77777777">
            <w:pPr>
              <w:jc w:val="center"/>
              <w:rPr>
                <w:b/>
                <w:bCs/>
                <w:color w:val="000000"/>
                <w:szCs w:val="24"/>
              </w:rPr>
            </w:pPr>
            <w:r w:rsidRPr="00A52D72">
              <w:rPr>
                <w:b/>
                <w:bCs/>
                <w:color w:val="000000"/>
                <w:szCs w:val="24"/>
              </w:rPr>
              <w:t>Hourly Wage</w:t>
            </w:r>
          </w:p>
        </w:tc>
        <w:tc>
          <w:tcPr>
            <w:tcW w:w="923" w:type="dxa"/>
            <w:tcBorders>
              <w:top w:val="single" w:sz="8" w:space="0" w:color="auto"/>
              <w:left w:val="nil"/>
              <w:bottom w:val="single" w:sz="8" w:space="0" w:color="auto"/>
              <w:right w:val="single" w:sz="8" w:space="0" w:color="auto"/>
            </w:tcBorders>
            <w:shd w:val="clear" w:color="000000" w:fill="FDE9D9"/>
            <w:vAlign w:val="center"/>
            <w:hideMark/>
          </w:tcPr>
          <w:p w:rsidR="00A52D72" w:rsidRPr="00A52D72" w:rsidP="00A52D72" w14:paraId="0839F6D3" w14:textId="77777777">
            <w:pPr>
              <w:jc w:val="center"/>
              <w:rPr>
                <w:b/>
                <w:bCs/>
                <w:color w:val="000000"/>
                <w:szCs w:val="24"/>
              </w:rPr>
            </w:pPr>
            <w:r w:rsidRPr="00A52D72">
              <w:rPr>
                <w:b/>
                <w:bCs/>
                <w:color w:val="000000"/>
                <w:szCs w:val="24"/>
              </w:rPr>
              <w:t>Hours/ Task</w:t>
            </w:r>
          </w:p>
        </w:tc>
        <w:tc>
          <w:tcPr>
            <w:tcW w:w="1221" w:type="dxa"/>
            <w:gridSpan w:val="2"/>
            <w:tcBorders>
              <w:top w:val="single" w:sz="8" w:space="0" w:color="auto"/>
              <w:left w:val="nil"/>
              <w:bottom w:val="single" w:sz="8" w:space="0" w:color="auto"/>
              <w:right w:val="single" w:sz="8" w:space="0" w:color="auto"/>
            </w:tcBorders>
            <w:shd w:val="clear" w:color="000000" w:fill="FDE9D9"/>
            <w:vAlign w:val="center"/>
            <w:hideMark/>
          </w:tcPr>
          <w:p w:rsidR="00A52D72" w:rsidRPr="00A52D72" w:rsidP="00A52D72" w14:paraId="32BEA351" w14:textId="77777777">
            <w:pPr>
              <w:jc w:val="center"/>
              <w:rPr>
                <w:b/>
                <w:bCs/>
                <w:color w:val="000000"/>
                <w:szCs w:val="24"/>
              </w:rPr>
            </w:pPr>
            <w:r w:rsidRPr="00A52D72">
              <w:rPr>
                <w:b/>
                <w:bCs/>
                <w:color w:val="000000"/>
                <w:szCs w:val="24"/>
              </w:rPr>
              <w:t>Total    Burden Hours</w:t>
            </w:r>
          </w:p>
        </w:tc>
        <w:tc>
          <w:tcPr>
            <w:tcW w:w="1362" w:type="dxa"/>
            <w:gridSpan w:val="2"/>
            <w:tcBorders>
              <w:top w:val="single" w:sz="8" w:space="0" w:color="auto"/>
              <w:left w:val="nil"/>
              <w:bottom w:val="single" w:sz="8" w:space="0" w:color="auto"/>
              <w:right w:val="single" w:sz="8" w:space="0" w:color="auto"/>
            </w:tcBorders>
            <w:shd w:val="clear" w:color="000000" w:fill="FDE9D9"/>
            <w:vAlign w:val="center"/>
            <w:hideMark/>
          </w:tcPr>
          <w:p w:rsidR="00A52D72" w:rsidRPr="00A52D72" w:rsidP="00A52D72" w14:paraId="568C29C6" w14:textId="77777777">
            <w:pPr>
              <w:jc w:val="center"/>
              <w:rPr>
                <w:b/>
                <w:bCs/>
                <w:color w:val="000000"/>
                <w:szCs w:val="24"/>
              </w:rPr>
            </w:pPr>
            <w:r w:rsidRPr="00A52D72">
              <w:rPr>
                <w:b/>
                <w:bCs/>
                <w:color w:val="000000"/>
                <w:szCs w:val="24"/>
              </w:rPr>
              <w:t>Total  Burden Costs</w:t>
            </w:r>
          </w:p>
        </w:tc>
      </w:tr>
      <w:tr w14:paraId="3D27577F" w14:textId="77777777" w:rsidTr="00A52D72">
        <w:tblPrEx>
          <w:tblW w:w="10272" w:type="dxa"/>
          <w:tblInd w:w="-280" w:type="dxa"/>
          <w:tblLook w:val="04A0"/>
        </w:tblPrEx>
        <w:trPr>
          <w:trHeight w:val="317"/>
        </w:trPr>
        <w:tc>
          <w:tcPr>
            <w:tcW w:w="4680" w:type="dxa"/>
            <w:tcBorders>
              <w:top w:val="nil"/>
              <w:left w:val="single" w:sz="8" w:space="0" w:color="auto"/>
              <w:bottom w:val="single" w:sz="4" w:space="0" w:color="auto"/>
              <w:right w:val="single" w:sz="4" w:space="0" w:color="auto"/>
            </w:tcBorders>
            <w:shd w:val="clear" w:color="auto" w:fill="auto"/>
            <w:noWrap/>
            <w:vAlign w:val="center"/>
            <w:hideMark/>
          </w:tcPr>
          <w:p w:rsidR="00A52D72" w:rsidRPr="00A52D72" w:rsidP="00A52D72" w14:paraId="50B9E192" w14:textId="77777777">
            <w:pPr>
              <w:rPr>
                <w:color w:val="000000"/>
                <w:sz w:val="22"/>
                <w:szCs w:val="22"/>
              </w:rPr>
            </w:pPr>
            <w:r w:rsidRPr="00A52D72">
              <w:rPr>
                <w:color w:val="000000"/>
                <w:sz w:val="22"/>
                <w:szCs w:val="22"/>
              </w:rPr>
              <w:t xml:space="preserve">IC-1: 485.616(c)(4)(iv) </w:t>
            </w:r>
          </w:p>
        </w:tc>
        <w:tc>
          <w:tcPr>
            <w:tcW w:w="1136" w:type="dxa"/>
            <w:tcBorders>
              <w:top w:val="nil"/>
              <w:left w:val="nil"/>
              <w:bottom w:val="single" w:sz="4" w:space="0" w:color="auto"/>
              <w:right w:val="single" w:sz="4" w:space="0" w:color="auto"/>
            </w:tcBorders>
            <w:shd w:val="clear" w:color="auto" w:fill="auto"/>
            <w:vAlign w:val="center"/>
            <w:hideMark/>
          </w:tcPr>
          <w:p w:rsidR="00A52D72" w:rsidRPr="00A52D72" w:rsidP="00A52D72" w14:paraId="060F848B" w14:textId="77777777">
            <w:pPr>
              <w:jc w:val="center"/>
              <w:rPr>
                <w:color w:val="000000"/>
                <w:szCs w:val="24"/>
              </w:rPr>
            </w:pPr>
            <w:r w:rsidRPr="00A52D72">
              <w:rPr>
                <w:color w:val="000000"/>
                <w:szCs w:val="24"/>
              </w:rPr>
              <w:t>1,245</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1C5C8E8E"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25D5B10F" w14:textId="77777777">
            <w:pPr>
              <w:jc w:val="center"/>
              <w:rPr>
                <w:color w:val="000000"/>
                <w:szCs w:val="24"/>
              </w:rPr>
            </w:pPr>
            <w:r w:rsidRPr="00A52D72">
              <w:rPr>
                <w:color w:val="000000"/>
                <w:szCs w:val="24"/>
              </w:rPr>
              <w:t>1</w:t>
            </w:r>
          </w:p>
        </w:tc>
        <w:tc>
          <w:tcPr>
            <w:tcW w:w="1221" w:type="dxa"/>
            <w:gridSpan w:val="2"/>
            <w:tcBorders>
              <w:top w:val="single" w:sz="4" w:space="0" w:color="auto"/>
              <w:left w:val="nil"/>
              <w:bottom w:val="single" w:sz="4" w:space="0" w:color="auto"/>
              <w:right w:val="single" w:sz="4" w:space="0" w:color="auto"/>
            </w:tcBorders>
            <w:shd w:val="clear" w:color="auto" w:fill="auto"/>
            <w:noWrap/>
            <w:vAlign w:val="center"/>
            <w:hideMark/>
          </w:tcPr>
          <w:p w:rsidR="00A52D72" w:rsidRPr="00A52D72" w:rsidP="00A52D72" w14:paraId="11F64D44" w14:textId="77777777">
            <w:pPr>
              <w:jc w:val="center"/>
              <w:rPr>
                <w:color w:val="000000"/>
                <w:szCs w:val="24"/>
              </w:rPr>
            </w:pPr>
            <w:r w:rsidRPr="00A52D72">
              <w:rPr>
                <w:color w:val="000000"/>
                <w:szCs w:val="24"/>
              </w:rPr>
              <w:t>1,245</w:t>
            </w:r>
          </w:p>
        </w:tc>
        <w:tc>
          <w:tcPr>
            <w:tcW w:w="1362" w:type="dxa"/>
            <w:gridSpan w:val="2"/>
            <w:tcBorders>
              <w:top w:val="single" w:sz="4" w:space="0" w:color="auto"/>
              <w:left w:val="nil"/>
              <w:bottom w:val="single" w:sz="4" w:space="0" w:color="auto"/>
              <w:right w:val="single" w:sz="4" w:space="0" w:color="auto"/>
            </w:tcBorders>
            <w:shd w:val="clear" w:color="auto" w:fill="auto"/>
            <w:noWrap/>
            <w:vAlign w:val="center"/>
            <w:hideMark/>
          </w:tcPr>
          <w:p w:rsidR="00A52D72" w:rsidRPr="00A52D72" w:rsidP="00A52D72" w14:paraId="30FEE1C0" w14:textId="77777777">
            <w:pPr>
              <w:jc w:val="center"/>
              <w:rPr>
                <w:color w:val="000000"/>
                <w:szCs w:val="24"/>
              </w:rPr>
            </w:pPr>
            <w:r w:rsidRPr="00A52D72">
              <w:rPr>
                <w:color w:val="000000"/>
                <w:szCs w:val="24"/>
              </w:rPr>
              <w:t xml:space="preserve">$73,455 </w:t>
            </w:r>
          </w:p>
        </w:tc>
      </w:tr>
      <w:tr w14:paraId="0E13701A"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29546753" w14:textId="77777777">
            <w:pPr>
              <w:rPr>
                <w:color w:val="000000"/>
                <w:sz w:val="22"/>
                <w:szCs w:val="22"/>
              </w:rPr>
            </w:pPr>
            <w:r w:rsidRPr="00A52D72">
              <w:rPr>
                <w:color w:val="000000"/>
                <w:sz w:val="22"/>
                <w:szCs w:val="22"/>
              </w:rPr>
              <w:t xml:space="preserve">IC-2: 485.641 </w:t>
            </w:r>
          </w:p>
        </w:tc>
        <w:tc>
          <w:tcPr>
            <w:tcW w:w="1136" w:type="dxa"/>
            <w:tcBorders>
              <w:top w:val="nil"/>
              <w:left w:val="nil"/>
              <w:bottom w:val="single" w:sz="4" w:space="0" w:color="auto"/>
              <w:right w:val="single" w:sz="4" w:space="0" w:color="auto"/>
            </w:tcBorders>
            <w:shd w:val="clear" w:color="auto" w:fill="auto"/>
            <w:vAlign w:val="center"/>
            <w:hideMark/>
          </w:tcPr>
          <w:p w:rsidR="00A52D72" w:rsidRPr="00A52D72" w:rsidP="00A52D72" w14:paraId="260C99DF" w14:textId="77777777">
            <w:pPr>
              <w:jc w:val="center"/>
              <w:rPr>
                <w:color w:val="000000"/>
                <w:szCs w:val="24"/>
              </w:rPr>
            </w:pPr>
            <w:r w:rsidRPr="00A52D72">
              <w:rPr>
                <w:color w:val="000000"/>
                <w:szCs w:val="24"/>
              </w:rPr>
              <w:t>1,245</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4C77B4C3"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275E71E3" w14:textId="77777777">
            <w:pPr>
              <w:jc w:val="center"/>
              <w:rPr>
                <w:color w:val="000000"/>
                <w:szCs w:val="24"/>
              </w:rPr>
            </w:pPr>
            <w:r w:rsidRPr="00A52D72">
              <w:rPr>
                <w:color w:val="000000"/>
                <w:szCs w:val="24"/>
              </w:rPr>
              <w:t>1</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6D43CB28" w14:textId="77777777">
            <w:pPr>
              <w:jc w:val="center"/>
              <w:rPr>
                <w:color w:val="000000"/>
                <w:szCs w:val="24"/>
              </w:rPr>
            </w:pPr>
            <w:r w:rsidRPr="00A52D72">
              <w:rPr>
                <w:color w:val="000000"/>
                <w:szCs w:val="24"/>
              </w:rPr>
              <w:t>1,245</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5CD5B87D" w14:textId="77777777">
            <w:pPr>
              <w:jc w:val="center"/>
              <w:rPr>
                <w:color w:val="000000"/>
                <w:szCs w:val="24"/>
              </w:rPr>
            </w:pPr>
            <w:r w:rsidRPr="00A52D72">
              <w:rPr>
                <w:color w:val="000000"/>
                <w:szCs w:val="24"/>
              </w:rPr>
              <w:t xml:space="preserve">$73,455 </w:t>
            </w:r>
          </w:p>
        </w:tc>
      </w:tr>
      <w:tr w14:paraId="04928EBD"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1AC03D03" w14:textId="77777777">
            <w:pPr>
              <w:rPr>
                <w:color w:val="000000"/>
                <w:sz w:val="22"/>
                <w:szCs w:val="22"/>
              </w:rPr>
            </w:pPr>
            <w:r w:rsidRPr="00A52D72">
              <w:rPr>
                <w:color w:val="000000"/>
                <w:sz w:val="22"/>
                <w:szCs w:val="22"/>
              </w:rPr>
              <w:t>IC-3: 485.640(d)(1) - Initial Review</w:t>
            </w:r>
          </w:p>
        </w:tc>
        <w:tc>
          <w:tcPr>
            <w:tcW w:w="1136" w:type="dxa"/>
            <w:tcBorders>
              <w:top w:val="nil"/>
              <w:left w:val="nil"/>
              <w:bottom w:val="single" w:sz="4" w:space="0" w:color="auto"/>
              <w:right w:val="single" w:sz="4" w:space="0" w:color="auto"/>
            </w:tcBorders>
            <w:shd w:val="clear" w:color="auto" w:fill="auto"/>
            <w:noWrap/>
            <w:vAlign w:val="bottom"/>
            <w:hideMark/>
          </w:tcPr>
          <w:p w:rsidR="00A52D72" w:rsidRPr="00A52D72" w:rsidP="00A52D72" w14:paraId="5BF14BF8" w14:textId="77777777">
            <w:pPr>
              <w:jc w:val="center"/>
              <w:rPr>
                <w:color w:val="000000"/>
                <w:szCs w:val="24"/>
              </w:rPr>
            </w:pPr>
            <w:r w:rsidRPr="00A52D72">
              <w:rPr>
                <w:color w:val="000000"/>
                <w:szCs w:val="24"/>
              </w:rPr>
              <w:t>1,383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52FC458E"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330537F9" w14:textId="77777777">
            <w:pPr>
              <w:jc w:val="center"/>
              <w:rPr>
                <w:color w:val="000000"/>
                <w:szCs w:val="24"/>
              </w:rPr>
            </w:pPr>
            <w:r w:rsidRPr="00A52D72">
              <w:rPr>
                <w:color w:val="000000"/>
                <w:szCs w:val="24"/>
              </w:rPr>
              <w:t>4</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6A4107B2" w14:textId="77777777">
            <w:pPr>
              <w:jc w:val="center"/>
              <w:rPr>
                <w:color w:val="000000"/>
                <w:szCs w:val="24"/>
              </w:rPr>
            </w:pPr>
            <w:r w:rsidRPr="00A52D72">
              <w:rPr>
                <w:color w:val="000000"/>
                <w:szCs w:val="24"/>
              </w:rPr>
              <w:t>5,532</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5BD1395D" w14:textId="77777777">
            <w:pPr>
              <w:jc w:val="center"/>
              <w:rPr>
                <w:color w:val="000000"/>
                <w:szCs w:val="24"/>
              </w:rPr>
            </w:pPr>
            <w:r w:rsidRPr="00A52D72">
              <w:rPr>
                <w:color w:val="000000"/>
                <w:szCs w:val="24"/>
              </w:rPr>
              <w:t xml:space="preserve">$326,388 </w:t>
            </w:r>
          </w:p>
        </w:tc>
      </w:tr>
      <w:tr w14:paraId="6CA47549"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057A95FF" w14:textId="77777777">
            <w:pPr>
              <w:rPr>
                <w:color w:val="000000"/>
                <w:sz w:val="22"/>
                <w:szCs w:val="22"/>
              </w:rPr>
            </w:pPr>
            <w:r w:rsidRPr="00A52D72">
              <w:rPr>
                <w:color w:val="000000"/>
                <w:sz w:val="22"/>
                <w:szCs w:val="22"/>
              </w:rPr>
              <w:t>IC-4: 485.640(d)(2) (High range) - Initial Review</w:t>
            </w:r>
          </w:p>
        </w:tc>
        <w:tc>
          <w:tcPr>
            <w:tcW w:w="1136" w:type="dxa"/>
            <w:tcBorders>
              <w:top w:val="nil"/>
              <w:left w:val="nil"/>
              <w:bottom w:val="single" w:sz="4" w:space="0" w:color="auto"/>
              <w:right w:val="single" w:sz="4" w:space="0" w:color="auto"/>
            </w:tcBorders>
            <w:shd w:val="clear" w:color="auto" w:fill="auto"/>
            <w:noWrap/>
            <w:vAlign w:val="bottom"/>
            <w:hideMark/>
          </w:tcPr>
          <w:p w:rsidR="00A52D72" w:rsidRPr="00A52D72" w:rsidP="00A52D72" w14:paraId="4AD906FE" w14:textId="77777777">
            <w:pPr>
              <w:jc w:val="center"/>
              <w:rPr>
                <w:color w:val="000000"/>
                <w:szCs w:val="24"/>
              </w:rPr>
            </w:pPr>
            <w:r w:rsidRPr="00A52D72">
              <w:rPr>
                <w:color w:val="000000"/>
                <w:szCs w:val="24"/>
              </w:rPr>
              <w:t>1,383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02EE1053"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01F4EFA9" w14:textId="77777777">
            <w:pPr>
              <w:jc w:val="center"/>
              <w:rPr>
                <w:color w:val="000000"/>
                <w:szCs w:val="24"/>
              </w:rPr>
            </w:pPr>
            <w:r w:rsidRPr="00A52D72">
              <w:rPr>
                <w:color w:val="000000"/>
                <w:szCs w:val="24"/>
              </w:rPr>
              <w:t>4</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2C9AE005" w14:textId="77777777">
            <w:pPr>
              <w:jc w:val="center"/>
              <w:rPr>
                <w:color w:val="000000"/>
                <w:szCs w:val="24"/>
              </w:rPr>
            </w:pPr>
            <w:r w:rsidRPr="00A52D72">
              <w:rPr>
                <w:color w:val="000000"/>
                <w:szCs w:val="24"/>
              </w:rPr>
              <w:t>5,532</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4C90DE14" w14:textId="77777777">
            <w:pPr>
              <w:jc w:val="center"/>
              <w:rPr>
                <w:color w:val="000000"/>
                <w:szCs w:val="24"/>
              </w:rPr>
            </w:pPr>
            <w:r w:rsidRPr="00A52D72">
              <w:rPr>
                <w:color w:val="000000"/>
                <w:szCs w:val="24"/>
              </w:rPr>
              <w:t xml:space="preserve">$326,388 </w:t>
            </w:r>
          </w:p>
        </w:tc>
      </w:tr>
      <w:tr w14:paraId="0B9A8968"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7C34716B" w14:textId="77777777">
            <w:pPr>
              <w:rPr>
                <w:color w:val="000000"/>
                <w:sz w:val="22"/>
                <w:szCs w:val="22"/>
              </w:rPr>
            </w:pPr>
            <w:r w:rsidRPr="00A52D72">
              <w:rPr>
                <w:color w:val="000000"/>
                <w:sz w:val="22"/>
                <w:szCs w:val="22"/>
              </w:rPr>
              <w:t>IC-5: 485.618(e)(1) - Initial Review</w:t>
            </w:r>
          </w:p>
        </w:tc>
        <w:tc>
          <w:tcPr>
            <w:tcW w:w="1136" w:type="dxa"/>
            <w:tcBorders>
              <w:top w:val="nil"/>
              <w:left w:val="nil"/>
              <w:bottom w:val="single" w:sz="4" w:space="0" w:color="auto"/>
              <w:right w:val="single" w:sz="4" w:space="0" w:color="auto"/>
            </w:tcBorders>
            <w:shd w:val="clear" w:color="auto" w:fill="auto"/>
            <w:noWrap/>
            <w:vAlign w:val="bottom"/>
            <w:hideMark/>
          </w:tcPr>
          <w:p w:rsidR="00A52D72" w:rsidRPr="00A52D72" w:rsidP="00A52D72" w14:paraId="02F0187A" w14:textId="77777777">
            <w:pPr>
              <w:jc w:val="center"/>
              <w:rPr>
                <w:color w:val="000000"/>
                <w:szCs w:val="24"/>
              </w:rPr>
            </w:pPr>
            <w:r w:rsidRPr="00A52D72">
              <w:rPr>
                <w:color w:val="000000"/>
                <w:szCs w:val="24"/>
              </w:rPr>
              <w:t>1,383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4FE7A483"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049F052C" w14:textId="77777777">
            <w:pPr>
              <w:jc w:val="center"/>
              <w:rPr>
                <w:color w:val="000000"/>
                <w:szCs w:val="24"/>
              </w:rPr>
            </w:pPr>
            <w:r w:rsidRPr="00A52D72">
              <w:rPr>
                <w:color w:val="000000"/>
                <w:szCs w:val="24"/>
              </w:rPr>
              <w:t>4</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6396095A" w14:textId="77777777">
            <w:pPr>
              <w:jc w:val="center"/>
              <w:rPr>
                <w:color w:val="000000"/>
                <w:szCs w:val="24"/>
              </w:rPr>
            </w:pPr>
            <w:r w:rsidRPr="00A52D72">
              <w:rPr>
                <w:color w:val="000000"/>
                <w:szCs w:val="24"/>
              </w:rPr>
              <w:t>5,532</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0DF1AD85" w14:textId="77777777">
            <w:pPr>
              <w:jc w:val="center"/>
              <w:rPr>
                <w:color w:val="000000"/>
                <w:szCs w:val="24"/>
              </w:rPr>
            </w:pPr>
            <w:r w:rsidRPr="00A52D72">
              <w:rPr>
                <w:color w:val="000000"/>
                <w:szCs w:val="24"/>
              </w:rPr>
              <w:t xml:space="preserve">$326,388 </w:t>
            </w:r>
          </w:p>
        </w:tc>
      </w:tr>
      <w:tr w14:paraId="6B7E70D8"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42961633" w14:textId="0E1E90F3">
            <w:pPr>
              <w:rPr>
                <w:color w:val="000000"/>
                <w:sz w:val="22"/>
                <w:szCs w:val="22"/>
              </w:rPr>
            </w:pPr>
            <w:r w:rsidRPr="00A52D72">
              <w:rPr>
                <w:color w:val="000000"/>
                <w:sz w:val="22"/>
                <w:szCs w:val="22"/>
              </w:rPr>
              <w:t xml:space="preserve">IC-6: 485.641(d)(4) - </w:t>
            </w:r>
            <w:r w:rsidRPr="00A52D72" w:rsidR="0060007F">
              <w:rPr>
                <w:color w:val="000000"/>
                <w:sz w:val="22"/>
                <w:szCs w:val="22"/>
              </w:rPr>
              <w:t>Yr.</w:t>
            </w:r>
            <w:r w:rsidRPr="00A52D72">
              <w:rPr>
                <w:color w:val="000000"/>
                <w:sz w:val="22"/>
                <w:szCs w:val="22"/>
              </w:rPr>
              <w:t xml:space="preserve"> 1- IT System Changes/Initial Review</w:t>
            </w:r>
          </w:p>
        </w:tc>
        <w:tc>
          <w:tcPr>
            <w:tcW w:w="1136" w:type="dxa"/>
            <w:tcBorders>
              <w:top w:val="nil"/>
              <w:left w:val="nil"/>
              <w:bottom w:val="single" w:sz="4" w:space="0" w:color="auto"/>
              <w:right w:val="single" w:sz="4" w:space="0" w:color="auto"/>
            </w:tcBorders>
            <w:shd w:val="clear" w:color="auto" w:fill="auto"/>
            <w:vAlign w:val="center"/>
            <w:hideMark/>
          </w:tcPr>
          <w:p w:rsidR="00A52D72" w:rsidRPr="00A52D72" w:rsidP="00A52D72" w14:paraId="12DE7DF1" w14:textId="77777777">
            <w:pPr>
              <w:jc w:val="center"/>
              <w:rPr>
                <w:color w:val="000000"/>
                <w:szCs w:val="24"/>
              </w:rPr>
            </w:pPr>
            <w:r w:rsidRPr="00A52D72">
              <w:rPr>
                <w:color w:val="000000"/>
                <w:szCs w:val="24"/>
              </w:rPr>
              <w:t>513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7C92511A"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143E4863" w14:textId="77777777">
            <w:pPr>
              <w:jc w:val="center"/>
              <w:rPr>
                <w:color w:val="000000"/>
                <w:szCs w:val="24"/>
              </w:rPr>
            </w:pPr>
            <w:r w:rsidRPr="00A52D72">
              <w:rPr>
                <w:color w:val="000000"/>
                <w:szCs w:val="24"/>
              </w:rPr>
              <w:t>4</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346BADD8" w14:textId="77777777">
            <w:pPr>
              <w:jc w:val="center"/>
              <w:rPr>
                <w:color w:val="000000"/>
                <w:szCs w:val="24"/>
              </w:rPr>
            </w:pPr>
            <w:r w:rsidRPr="00A52D72">
              <w:rPr>
                <w:color w:val="000000"/>
                <w:szCs w:val="24"/>
              </w:rPr>
              <w:t>2,052</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21F913EF" w14:textId="77777777">
            <w:pPr>
              <w:jc w:val="center"/>
              <w:rPr>
                <w:color w:val="000000"/>
                <w:szCs w:val="24"/>
              </w:rPr>
            </w:pPr>
            <w:r w:rsidRPr="00A52D72">
              <w:rPr>
                <w:color w:val="000000"/>
                <w:szCs w:val="24"/>
              </w:rPr>
              <w:t xml:space="preserve">$121,068 </w:t>
            </w:r>
          </w:p>
        </w:tc>
      </w:tr>
      <w:tr w14:paraId="02515F6E"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6CBBF112" w14:textId="77777777">
            <w:pPr>
              <w:rPr>
                <w:color w:val="000000"/>
                <w:sz w:val="22"/>
                <w:szCs w:val="22"/>
              </w:rPr>
            </w:pPr>
            <w:r w:rsidRPr="00A52D72">
              <w:rPr>
                <w:color w:val="000000"/>
                <w:sz w:val="22"/>
                <w:szCs w:val="22"/>
              </w:rPr>
              <w:t>IC-6: 485.641(d)(4) - Ongoing IT System Maintenance</w:t>
            </w:r>
          </w:p>
        </w:tc>
        <w:tc>
          <w:tcPr>
            <w:tcW w:w="1136" w:type="dxa"/>
            <w:tcBorders>
              <w:top w:val="nil"/>
              <w:left w:val="nil"/>
              <w:bottom w:val="single" w:sz="4" w:space="0" w:color="auto"/>
              <w:right w:val="single" w:sz="4" w:space="0" w:color="auto"/>
            </w:tcBorders>
            <w:shd w:val="clear" w:color="auto" w:fill="auto"/>
            <w:vAlign w:val="center"/>
            <w:hideMark/>
          </w:tcPr>
          <w:p w:rsidR="00A52D72" w:rsidRPr="00A52D72" w:rsidP="00A52D72" w14:paraId="011C413E" w14:textId="77777777">
            <w:pPr>
              <w:jc w:val="center"/>
              <w:rPr>
                <w:color w:val="000000"/>
                <w:szCs w:val="24"/>
              </w:rPr>
            </w:pPr>
            <w:r w:rsidRPr="00A52D72">
              <w:rPr>
                <w:color w:val="000000"/>
                <w:szCs w:val="24"/>
              </w:rPr>
              <w:t>513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33FFAB2F"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725704BC" w14:textId="77777777">
            <w:pPr>
              <w:jc w:val="center"/>
              <w:rPr>
                <w:color w:val="000000"/>
                <w:szCs w:val="24"/>
              </w:rPr>
            </w:pPr>
            <w:r w:rsidRPr="00A52D72">
              <w:rPr>
                <w:color w:val="000000"/>
                <w:szCs w:val="24"/>
              </w:rPr>
              <w:t>1</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0F5DA3C3" w14:textId="77777777">
            <w:pPr>
              <w:jc w:val="center"/>
              <w:rPr>
                <w:color w:val="000000"/>
                <w:szCs w:val="24"/>
              </w:rPr>
            </w:pPr>
            <w:r w:rsidRPr="00A52D72">
              <w:rPr>
                <w:color w:val="000000"/>
                <w:szCs w:val="24"/>
              </w:rPr>
              <w:t>513</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16602AA9" w14:textId="77777777">
            <w:pPr>
              <w:jc w:val="center"/>
              <w:rPr>
                <w:color w:val="000000"/>
                <w:szCs w:val="24"/>
              </w:rPr>
            </w:pPr>
            <w:r w:rsidRPr="00A52D72">
              <w:rPr>
                <w:color w:val="000000"/>
                <w:szCs w:val="24"/>
              </w:rPr>
              <w:t xml:space="preserve">$30,267 </w:t>
            </w:r>
          </w:p>
        </w:tc>
      </w:tr>
      <w:tr w14:paraId="27E02306"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06C69DC3" w14:textId="77777777">
            <w:pPr>
              <w:rPr>
                <w:color w:val="000000"/>
                <w:sz w:val="22"/>
                <w:szCs w:val="22"/>
              </w:rPr>
            </w:pPr>
            <w:r w:rsidRPr="00A52D72">
              <w:rPr>
                <w:color w:val="000000"/>
                <w:sz w:val="22"/>
                <w:szCs w:val="22"/>
              </w:rPr>
              <w:t>IC-7: 485.641(d)(4) - Data Analysis</w:t>
            </w:r>
          </w:p>
        </w:tc>
        <w:tc>
          <w:tcPr>
            <w:tcW w:w="1136" w:type="dxa"/>
            <w:tcBorders>
              <w:top w:val="nil"/>
              <w:left w:val="nil"/>
              <w:bottom w:val="single" w:sz="4" w:space="0" w:color="auto"/>
              <w:right w:val="single" w:sz="4" w:space="0" w:color="auto"/>
            </w:tcBorders>
            <w:shd w:val="clear" w:color="auto" w:fill="auto"/>
            <w:vAlign w:val="center"/>
            <w:hideMark/>
          </w:tcPr>
          <w:p w:rsidR="00A52D72" w:rsidRPr="00A52D72" w:rsidP="00A52D72" w14:paraId="0C9EE80F" w14:textId="77777777">
            <w:pPr>
              <w:jc w:val="center"/>
              <w:rPr>
                <w:color w:val="000000"/>
                <w:szCs w:val="24"/>
              </w:rPr>
            </w:pPr>
            <w:r w:rsidRPr="00A52D72">
              <w:rPr>
                <w:color w:val="000000"/>
                <w:szCs w:val="24"/>
              </w:rPr>
              <w:t>513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473943FB"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7AF1DC22" w14:textId="77777777">
            <w:pPr>
              <w:jc w:val="center"/>
              <w:rPr>
                <w:color w:val="000000"/>
                <w:szCs w:val="24"/>
              </w:rPr>
            </w:pPr>
            <w:r w:rsidRPr="00A52D72">
              <w:rPr>
                <w:color w:val="000000"/>
                <w:szCs w:val="24"/>
              </w:rPr>
              <w:t>1</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2B970980" w14:textId="77777777">
            <w:pPr>
              <w:jc w:val="center"/>
              <w:rPr>
                <w:color w:val="000000"/>
                <w:szCs w:val="24"/>
              </w:rPr>
            </w:pPr>
            <w:r w:rsidRPr="00A52D72">
              <w:rPr>
                <w:color w:val="000000"/>
                <w:szCs w:val="24"/>
              </w:rPr>
              <w:t>513</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5C5444CC" w14:textId="77777777">
            <w:pPr>
              <w:jc w:val="center"/>
              <w:rPr>
                <w:color w:val="000000"/>
                <w:szCs w:val="24"/>
              </w:rPr>
            </w:pPr>
            <w:r w:rsidRPr="00A52D72">
              <w:rPr>
                <w:color w:val="000000"/>
                <w:szCs w:val="24"/>
              </w:rPr>
              <w:t xml:space="preserve">$30,267 </w:t>
            </w:r>
          </w:p>
        </w:tc>
      </w:tr>
      <w:tr w14:paraId="33317B30"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5CAC59A5" w14:textId="5D9D1757">
            <w:pPr>
              <w:rPr>
                <w:color w:val="000000"/>
                <w:sz w:val="22"/>
                <w:szCs w:val="22"/>
              </w:rPr>
            </w:pPr>
            <w:r w:rsidRPr="00A52D72">
              <w:rPr>
                <w:color w:val="000000"/>
                <w:sz w:val="22"/>
                <w:szCs w:val="22"/>
              </w:rPr>
              <w:t>IC-8: 485.641(</w:t>
            </w:r>
            <w:r w:rsidR="00A42596">
              <w:rPr>
                <w:color w:val="000000"/>
                <w:sz w:val="22"/>
                <w:szCs w:val="22"/>
              </w:rPr>
              <w:t>d</w:t>
            </w:r>
            <w:r w:rsidRPr="00A52D72">
              <w:rPr>
                <w:color w:val="000000"/>
                <w:sz w:val="22"/>
                <w:szCs w:val="22"/>
              </w:rPr>
              <w:t>)</w:t>
            </w:r>
            <w:r w:rsidR="00A42596">
              <w:rPr>
                <w:color w:val="000000"/>
                <w:sz w:val="22"/>
                <w:szCs w:val="22"/>
              </w:rPr>
              <w:t>(4)(ii)</w:t>
            </w:r>
          </w:p>
        </w:tc>
        <w:tc>
          <w:tcPr>
            <w:tcW w:w="1136" w:type="dxa"/>
            <w:tcBorders>
              <w:top w:val="nil"/>
              <w:left w:val="nil"/>
              <w:bottom w:val="single" w:sz="4" w:space="0" w:color="auto"/>
              <w:right w:val="single" w:sz="4" w:space="0" w:color="auto"/>
            </w:tcBorders>
            <w:shd w:val="clear" w:color="auto" w:fill="auto"/>
            <w:vAlign w:val="center"/>
            <w:hideMark/>
          </w:tcPr>
          <w:p w:rsidR="00A52D72" w:rsidRPr="00A52D72" w:rsidP="00A52D72" w14:paraId="5AF7FF2F" w14:textId="77777777">
            <w:pPr>
              <w:jc w:val="center"/>
              <w:rPr>
                <w:color w:val="000000"/>
                <w:szCs w:val="24"/>
              </w:rPr>
            </w:pPr>
            <w:r w:rsidRPr="00A52D72">
              <w:rPr>
                <w:color w:val="000000"/>
                <w:szCs w:val="24"/>
              </w:rPr>
              <w:t>513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77058BA8"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2ACBA737" w14:textId="77777777">
            <w:pPr>
              <w:jc w:val="center"/>
              <w:rPr>
                <w:color w:val="000000"/>
                <w:szCs w:val="24"/>
              </w:rPr>
            </w:pPr>
            <w:r w:rsidRPr="00A52D72">
              <w:rPr>
                <w:color w:val="000000"/>
                <w:szCs w:val="24"/>
              </w:rPr>
              <w:t>1</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61DAB422" w14:textId="77777777">
            <w:pPr>
              <w:jc w:val="center"/>
              <w:rPr>
                <w:color w:val="000000"/>
                <w:szCs w:val="24"/>
              </w:rPr>
            </w:pPr>
            <w:r w:rsidRPr="00A52D72">
              <w:rPr>
                <w:color w:val="000000"/>
                <w:szCs w:val="24"/>
              </w:rPr>
              <w:t>513</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1E3D5D50" w14:textId="77777777">
            <w:pPr>
              <w:jc w:val="center"/>
              <w:rPr>
                <w:color w:val="000000"/>
                <w:szCs w:val="24"/>
              </w:rPr>
            </w:pPr>
            <w:r w:rsidRPr="00A52D72">
              <w:rPr>
                <w:color w:val="000000"/>
                <w:szCs w:val="24"/>
              </w:rPr>
              <w:t xml:space="preserve">$30,267 </w:t>
            </w:r>
          </w:p>
        </w:tc>
      </w:tr>
      <w:tr w14:paraId="23D9981D"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0C4FB1F7" w14:textId="77777777">
            <w:pPr>
              <w:rPr>
                <w:color w:val="000000"/>
                <w:sz w:val="22"/>
                <w:szCs w:val="22"/>
              </w:rPr>
            </w:pPr>
            <w:r w:rsidRPr="00A52D72">
              <w:rPr>
                <w:color w:val="000000"/>
                <w:sz w:val="22"/>
                <w:szCs w:val="22"/>
              </w:rPr>
              <w:t xml:space="preserve">IC-9: 485.649(a)(2) </w:t>
            </w:r>
          </w:p>
        </w:tc>
        <w:tc>
          <w:tcPr>
            <w:tcW w:w="1136" w:type="dxa"/>
            <w:tcBorders>
              <w:top w:val="nil"/>
              <w:left w:val="nil"/>
              <w:bottom w:val="single" w:sz="4" w:space="0" w:color="auto"/>
              <w:right w:val="single" w:sz="4" w:space="0" w:color="auto"/>
            </w:tcBorders>
            <w:shd w:val="clear" w:color="auto" w:fill="auto"/>
            <w:noWrap/>
            <w:vAlign w:val="bottom"/>
            <w:hideMark/>
          </w:tcPr>
          <w:p w:rsidR="00A52D72" w:rsidRPr="00A52D72" w:rsidP="00A52D72" w14:paraId="686AF5D1" w14:textId="77777777">
            <w:pPr>
              <w:jc w:val="center"/>
              <w:rPr>
                <w:color w:val="000000"/>
                <w:szCs w:val="24"/>
              </w:rPr>
            </w:pPr>
            <w:r w:rsidRPr="00A52D72">
              <w:rPr>
                <w:color w:val="000000"/>
                <w:szCs w:val="24"/>
              </w:rPr>
              <w:t>513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6A654FC1"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4BB1907B" w14:textId="77777777">
            <w:pPr>
              <w:jc w:val="center"/>
              <w:rPr>
                <w:color w:val="000000"/>
                <w:szCs w:val="24"/>
              </w:rPr>
            </w:pPr>
            <w:r w:rsidRPr="00A52D72">
              <w:rPr>
                <w:color w:val="000000"/>
                <w:szCs w:val="24"/>
              </w:rPr>
              <w:t>1</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760091B3" w14:textId="77777777">
            <w:pPr>
              <w:jc w:val="center"/>
              <w:rPr>
                <w:color w:val="000000"/>
                <w:szCs w:val="24"/>
              </w:rPr>
            </w:pPr>
            <w:r w:rsidRPr="00A52D72">
              <w:rPr>
                <w:color w:val="000000"/>
                <w:szCs w:val="24"/>
              </w:rPr>
              <w:t>513</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0EE28A20" w14:textId="77777777">
            <w:pPr>
              <w:jc w:val="center"/>
              <w:rPr>
                <w:color w:val="000000"/>
                <w:szCs w:val="24"/>
              </w:rPr>
            </w:pPr>
            <w:r w:rsidRPr="00A52D72">
              <w:rPr>
                <w:color w:val="000000"/>
                <w:szCs w:val="24"/>
              </w:rPr>
              <w:t xml:space="preserve">$30,267 </w:t>
            </w:r>
          </w:p>
        </w:tc>
      </w:tr>
      <w:tr w14:paraId="01CC1316"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2D72" w:rsidRPr="00A52D72" w:rsidP="00A52D72" w14:paraId="6DAD43A2" w14:textId="77777777">
            <w:pPr>
              <w:rPr>
                <w:color w:val="000000"/>
                <w:sz w:val="22"/>
                <w:szCs w:val="22"/>
              </w:rPr>
            </w:pPr>
            <w:r w:rsidRPr="00A52D72">
              <w:rPr>
                <w:color w:val="000000"/>
                <w:sz w:val="22"/>
                <w:szCs w:val="22"/>
              </w:rPr>
              <w:t>IC-10: 485.649(b)(2) - Initial Review</w:t>
            </w:r>
          </w:p>
        </w:tc>
        <w:tc>
          <w:tcPr>
            <w:tcW w:w="1136" w:type="dxa"/>
            <w:tcBorders>
              <w:top w:val="nil"/>
              <w:left w:val="nil"/>
              <w:bottom w:val="single" w:sz="4" w:space="0" w:color="auto"/>
              <w:right w:val="single" w:sz="4" w:space="0" w:color="auto"/>
            </w:tcBorders>
            <w:shd w:val="clear" w:color="auto" w:fill="auto"/>
            <w:noWrap/>
            <w:vAlign w:val="bottom"/>
            <w:hideMark/>
          </w:tcPr>
          <w:p w:rsidR="00A52D72" w:rsidRPr="00A52D72" w:rsidP="00A52D72" w14:paraId="2B089969" w14:textId="77777777">
            <w:pPr>
              <w:jc w:val="center"/>
              <w:rPr>
                <w:color w:val="000000"/>
                <w:szCs w:val="24"/>
              </w:rPr>
            </w:pPr>
            <w:r w:rsidRPr="00A52D72">
              <w:rPr>
                <w:color w:val="000000"/>
                <w:szCs w:val="24"/>
              </w:rPr>
              <w:t>513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03F218DB" w14:textId="77777777">
            <w:pPr>
              <w:jc w:val="center"/>
              <w:rPr>
                <w:color w:val="000000"/>
                <w:szCs w:val="24"/>
              </w:rPr>
            </w:pPr>
            <w:r w:rsidRPr="00A52D72">
              <w:rPr>
                <w:color w:val="000000"/>
                <w:szCs w:val="24"/>
              </w:rPr>
              <w:t>$59</w:t>
            </w:r>
          </w:p>
        </w:tc>
        <w:tc>
          <w:tcPr>
            <w:tcW w:w="923" w:type="dxa"/>
            <w:tcBorders>
              <w:top w:val="nil"/>
              <w:left w:val="nil"/>
              <w:bottom w:val="single" w:sz="4" w:space="0" w:color="auto"/>
              <w:right w:val="single" w:sz="4" w:space="0" w:color="auto"/>
            </w:tcBorders>
            <w:shd w:val="clear" w:color="auto" w:fill="auto"/>
            <w:vAlign w:val="center"/>
            <w:hideMark/>
          </w:tcPr>
          <w:p w:rsidR="00A52D72" w:rsidRPr="00A52D72" w:rsidP="00A52D72" w14:paraId="79B03683" w14:textId="77777777">
            <w:pPr>
              <w:jc w:val="center"/>
              <w:rPr>
                <w:color w:val="000000"/>
                <w:szCs w:val="24"/>
              </w:rPr>
            </w:pPr>
            <w:r w:rsidRPr="00A52D72">
              <w:rPr>
                <w:color w:val="000000"/>
                <w:szCs w:val="24"/>
              </w:rPr>
              <w:t>4</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78283F31" w14:textId="77777777">
            <w:pPr>
              <w:jc w:val="center"/>
              <w:rPr>
                <w:color w:val="000000"/>
                <w:szCs w:val="24"/>
              </w:rPr>
            </w:pPr>
            <w:r w:rsidRPr="00A52D72">
              <w:rPr>
                <w:color w:val="000000"/>
                <w:szCs w:val="24"/>
              </w:rPr>
              <w:t>2,052</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3B0D2187" w14:textId="77777777">
            <w:pPr>
              <w:jc w:val="center"/>
              <w:rPr>
                <w:color w:val="000000"/>
                <w:szCs w:val="24"/>
              </w:rPr>
            </w:pPr>
            <w:r w:rsidRPr="00A52D72">
              <w:rPr>
                <w:color w:val="000000"/>
                <w:szCs w:val="24"/>
              </w:rPr>
              <w:t xml:space="preserve">$121,068 </w:t>
            </w:r>
          </w:p>
        </w:tc>
      </w:tr>
      <w:tr w14:paraId="66C81C0B" w14:textId="77777777" w:rsidTr="00A52D72">
        <w:tblPrEx>
          <w:tblW w:w="10272" w:type="dxa"/>
          <w:tblInd w:w="-280" w:type="dxa"/>
          <w:tblLook w:val="04A0"/>
        </w:tblPrEx>
        <w:trPr>
          <w:trHeight w:val="317"/>
        </w:trPr>
        <w:tc>
          <w:tcPr>
            <w:tcW w:w="468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52D72" w:rsidRPr="00A52D72" w:rsidP="00A52D72" w14:paraId="0D04DAB5" w14:textId="77777777">
            <w:pPr>
              <w:rPr>
                <w:color w:val="000000"/>
                <w:sz w:val="22"/>
                <w:szCs w:val="22"/>
              </w:rPr>
            </w:pPr>
            <w:r w:rsidRPr="00A52D72">
              <w:rPr>
                <w:color w:val="000000"/>
                <w:sz w:val="22"/>
                <w:szCs w:val="22"/>
              </w:rPr>
              <w:t>IC-11: 485.649(c) - Initial Review</w:t>
            </w:r>
          </w:p>
        </w:tc>
        <w:tc>
          <w:tcPr>
            <w:tcW w:w="1136" w:type="dxa"/>
            <w:tcBorders>
              <w:top w:val="nil"/>
              <w:left w:val="nil"/>
              <w:bottom w:val="nil"/>
              <w:right w:val="single" w:sz="4" w:space="0" w:color="auto"/>
            </w:tcBorders>
            <w:shd w:val="clear" w:color="auto" w:fill="auto"/>
            <w:noWrap/>
            <w:vAlign w:val="bottom"/>
            <w:hideMark/>
          </w:tcPr>
          <w:p w:rsidR="00A52D72" w:rsidRPr="00A52D72" w:rsidP="00A52D72" w14:paraId="0E470F93" w14:textId="77777777">
            <w:pPr>
              <w:jc w:val="center"/>
              <w:rPr>
                <w:color w:val="000000"/>
                <w:szCs w:val="24"/>
              </w:rPr>
            </w:pPr>
            <w:r w:rsidRPr="00A52D72">
              <w:rPr>
                <w:color w:val="000000"/>
                <w:szCs w:val="24"/>
              </w:rPr>
              <w:t>513</w:t>
            </w:r>
          </w:p>
        </w:tc>
        <w:tc>
          <w:tcPr>
            <w:tcW w:w="950" w:type="dxa"/>
            <w:tcBorders>
              <w:top w:val="nil"/>
              <w:left w:val="nil"/>
              <w:bottom w:val="single" w:sz="4" w:space="0" w:color="auto"/>
              <w:right w:val="single" w:sz="4" w:space="0" w:color="auto"/>
            </w:tcBorders>
            <w:shd w:val="clear" w:color="auto" w:fill="auto"/>
            <w:vAlign w:val="center"/>
            <w:hideMark/>
          </w:tcPr>
          <w:p w:rsidR="00A52D72" w:rsidRPr="00A52D72" w:rsidP="00A52D72" w14:paraId="572D3F40" w14:textId="77777777">
            <w:pPr>
              <w:jc w:val="center"/>
              <w:rPr>
                <w:color w:val="000000"/>
                <w:szCs w:val="24"/>
              </w:rPr>
            </w:pPr>
            <w:r w:rsidRPr="00A52D72">
              <w:rPr>
                <w:color w:val="000000"/>
                <w:szCs w:val="24"/>
              </w:rPr>
              <w:t>$59</w:t>
            </w:r>
          </w:p>
        </w:tc>
        <w:tc>
          <w:tcPr>
            <w:tcW w:w="923" w:type="dxa"/>
            <w:tcBorders>
              <w:top w:val="nil"/>
              <w:left w:val="nil"/>
              <w:bottom w:val="nil"/>
              <w:right w:val="single" w:sz="4" w:space="0" w:color="auto"/>
            </w:tcBorders>
            <w:shd w:val="clear" w:color="auto" w:fill="auto"/>
            <w:vAlign w:val="center"/>
            <w:hideMark/>
          </w:tcPr>
          <w:p w:rsidR="00A52D72" w:rsidRPr="00A52D72" w:rsidP="00A52D72" w14:paraId="7DE0686E" w14:textId="77777777">
            <w:pPr>
              <w:jc w:val="center"/>
              <w:rPr>
                <w:color w:val="000000"/>
                <w:szCs w:val="24"/>
              </w:rPr>
            </w:pPr>
            <w:r w:rsidRPr="00A52D72">
              <w:rPr>
                <w:color w:val="000000"/>
                <w:szCs w:val="24"/>
              </w:rPr>
              <w:t>4</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251334F4" w14:textId="77777777">
            <w:pPr>
              <w:jc w:val="center"/>
              <w:rPr>
                <w:color w:val="000000"/>
                <w:szCs w:val="24"/>
              </w:rPr>
            </w:pPr>
            <w:r w:rsidRPr="00A52D72">
              <w:rPr>
                <w:color w:val="000000"/>
                <w:szCs w:val="24"/>
              </w:rPr>
              <w:t>2,052</w:t>
            </w:r>
          </w:p>
        </w:tc>
        <w:tc>
          <w:tcPr>
            <w:tcW w:w="1362" w:type="dxa"/>
            <w:gridSpan w:val="2"/>
            <w:tcBorders>
              <w:top w:val="nil"/>
              <w:left w:val="nil"/>
              <w:bottom w:val="single" w:sz="4" w:space="0" w:color="auto"/>
              <w:right w:val="single" w:sz="4" w:space="0" w:color="auto"/>
            </w:tcBorders>
            <w:shd w:val="clear" w:color="auto" w:fill="auto"/>
            <w:noWrap/>
            <w:vAlign w:val="center"/>
            <w:hideMark/>
          </w:tcPr>
          <w:p w:rsidR="00A52D72" w:rsidRPr="00A52D72" w:rsidP="00A52D72" w14:paraId="6CE34B2E" w14:textId="77777777">
            <w:pPr>
              <w:jc w:val="center"/>
              <w:rPr>
                <w:color w:val="000000"/>
                <w:szCs w:val="24"/>
              </w:rPr>
            </w:pPr>
            <w:r w:rsidRPr="00A52D72">
              <w:rPr>
                <w:color w:val="000000"/>
                <w:szCs w:val="24"/>
              </w:rPr>
              <w:t xml:space="preserve">$121,068 </w:t>
            </w:r>
          </w:p>
        </w:tc>
      </w:tr>
      <w:tr w14:paraId="410D1179" w14:textId="77777777" w:rsidTr="00A52D72">
        <w:tblPrEx>
          <w:tblW w:w="10272" w:type="dxa"/>
          <w:tblInd w:w="-280" w:type="dxa"/>
          <w:tblLook w:val="04A0"/>
        </w:tblPrEx>
        <w:trPr>
          <w:gridAfter w:val="1"/>
          <w:wAfter w:w="12" w:type="dxa"/>
          <w:trHeight w:val="317"/>
        </w:trPr>
        <w:tc>
          <w:tcPr>
            <w:tcW w:w="7689" w:type="dxa"/>
            <w:gridSpan w:val="4"/>
            <w:tcBorders>
              <w:top w:val="single" w:sz="8" w:space="0" w:color="auto"/>
              <w:left w:val="single" w:sz="8" w:space="0" w:color="auto"/>
              <w:bottom w:val="single" w:sz="8" w:space="0" w:color="auto"/>
              <w:right w:val="single" w:sz="4" w:space="0" w:color="000000"/>
            </w:tcBorders>
            <w:shd w:val="clear" w:color="000000" w:fill="FDE9D9"/>
            <w:noWrap/>
            <w:vAlign w:val="center"/>
            <w:hideMark/>
          </w:tcPr>
          <w:p w:rsidR="00A52D72" w:rsidRPr="00A52D72" w:rsidP="00A52D72" w14:paraId="25E8C769" w14:textId="77777777">
            <w:pPr>
              <w:jc w:val="right"/>
              <w:rPr>
                <w:b/>
                <w:bCs/>
                <w:color w:val="000000"/>
                <w:szCs w:val="24"/>
              </w:rPr>
            </w:pPr>
            <w:r w:rsidRPr="00A52D72">
              <w:rPr>
                <w:b/>
                <w:bCs/>
                <w:color w:val="000000"/>
                <w:szCs w:val="24"/>
              </w:rPr>
              <w:t>Total</w:t>
            </w:r>
          </w:p>
        </w:tc>
        <w:tc>
          <w:tcPr>
            <w:tcW w:w="1195" w:type="dxa"/>
            <w:tcBorders>
              <w:top w:val="single" w:sz="8" w:space="0" w:color="auto"/>
              <w:left w:val="nil"/>
              <w:bottom w:val="single" w:sz="8" w:space="0" w:color="auto"/>
              <w:right w:val="single" w:sz="4" w:space="0" w:color="auto"/>
            </w:tcBorders>
            <w:shd w:val="clear" w:color="000000" w:fill="FDE9D9"/>
            <w:noWrap/>
            <w:vAlign w:val="center"/>
            <w:hideMark/>
          </w:tcPr>
          <w:p w:rsidR="00A52D72" w:rsidRPr="00A52D72" w:rsidP="00A52D72" w14:paraId="6E36D2D2" w14:textId="77777777">
            <w:pPr>
              <w:jc w:val="center"/>
              <w:rPr>
                <w:b/>
                <w:bCs/>
                <w:color w:val="000000"/>
                <w:szCs w:val="24"/>
              </w:rPr>
            </w:pPr>
            <w:r w:rsidRPr="00A52D72">
              <w:rPr>
                <w:b/>
                <w:bCs/>
                <w:color w:val="000000"/>
                <w:szCs w:val="24"/>
              </w:rPr>
              <w:t>27,294</w:t>
            </w:r>
          </w:p>
        </w:tc>
        <w:tc>
          <w:tcPr>
            <w:tcW w:w="1376" w:type="dxa"/>
            <w:gridSpan w:val="2"/>
            <w:tcBorders>
              <w:top w:val="single" w:sz="8" w:space="0" w:color="auto"/>
              <w:left w:val="nil"/>
              <w:bottom w:val="single" w:sz="8" w:space="0" w:color="auto"/>
              <w:right w:val="single" w:sz="8" w:space="0" w:color="auto"/>
            </w:tcBorders>
            <w:shd w:val="clear" w:color="000000" w:fill="FDE9D9"/>
            <w:noWrap/>
            <w:vAlign w:val="center"/>
            <w:hideMark/>
          </w:tcPr>
          <w:p w:rsidR="00A52D72" w:rsidRPr="00A52D72" w:rsidP="00A52D72" w14:paraId="4842ADA9" w14:textId="77777777">
            <w:pPr>
              <w:jc w:val="center"/>
              <w:rPr>
                <w:b/>
                <w:bCs/>
                <w:color w:val="000000"/>
                <w:szCs w:val="24"/>
              </w:rPr>
            </w:pPr>
            <w:r w:rsidRPr="00A52D72">
              <w:rPr>
                <w:b/>
                <w:bCs/>
                <w:color w:val="000000"/>
                <w:szCs w:val="24"/>
              </w:rPr>
              <w:t xml:space="preserve">$1,610,346 </w:t>
            </w:r>
          </w:p>
        </w:tc>
      </w:tr>
    </w:tbl>
    <w:p w:rsidR="006D28A0" w:rsidRPr="007A6DD8" w:rsidP="001B6A3F" w14:paraId="5AFAEE3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F2D09" w:rsidP="00DF2D09" w14:paraId="59A85D3E"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bookmarkStart w:id="13" w:name="_Hlk173833379"/>
      <w:r>
        <w:rPr>
          <w:color w:val="000000"/>
          <w:u w:val="single"/>
        </w:rPr>
        <w:t>15. Changes to Burden</w:t>
      </w:r>
    </w:p>
    <w:p w:rsidR="00DF2D09" w:rsidP="00DF2D09" w14:paraId="2B0DFCB9"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DF2D09" w:rsidP="00DF2D09" w14:paraId="52A51FF2" w14:textId="732734A8">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7A6DD8">
        <w:rPr>
          <w:color w:val="000000"/>
        </w:rPr>
        <w:t xml:space="preserve">This package has been updated to reflect </w:t>
      </w:r>
      <w:r>
        <w:rPr>
          <w:color w:val="000000"/>
        </w:rPr>
        <w:t xml:space="preserve">changes in information collection requirements related to new or revised Conditions of Participation for CAHs. For this reinstatement, </w:t>
      </w:r>
      <w:r w:rsidRPr="00263536">
        <w:rPr>
          <w:color w:val="000000"/>
        </w:rPr>
        <w:t xml:space="preserve">the </w:t>
      </w:r>
      <w:r>
        <w:rPr>
          <w:color w:val="000000"/>
        </w:rPr>
        <w:t xml:space="preserve">total annual </w:t>
      </w:r>
      <w:r w:rsidRPr="00263536">
        <w:rPr>
          <w:color w:val="000000"/>
        </w:rPr>
        <w:t>burden</w:t>
      </w:r>
      <w:r>
        <w:rPr>
          <w:color w:val="000000"/>
        </w:rPr>
        <w:t xml:space="preserve"> hours</w:t>
      </w:r>
      <w:r w:rsidRPr="00263536">
        <w:rPr>
          <w:color w:val="000000"/>
        </w:rPr>
        <w:t xml:space="preserve"> for industry </w:t>
      </w:r>
      <w:r w:rsidRPr="00263536">
        <w:rPr>
          <w:color w:val="000000"/>
        </w:rPr>
        <w:t>is</w:t>
      </w:r>
      <w:r w:rsidRPr="00263536">
        <w:rPr>
          <w:color w:val="000000"/>
        </w:rPr>
        <w:t xml:space="preserve"> </w:t>
      </w:r>
      <w:r w:rsidRPr="00A52D72">
        <w:rPr>
          <w:b/>
          <w:bCs/>
          <w:color w:val="000000"/>
          <w:szCs w:val="24"/>
        </w:rPr>
        <w:t>89</w:t>
      </w:r>
      <w:r w:rsidR="00B017FD">
        <w:rPr>
          <w:b/>
          <w:bCs/>
          <w:color w:val="000000"/>
          <w:szCs w:val="24"/>
        </w:rPr>
        <w:t>4</w:t>
      </w:r>
      <w:r w:rsidRPr="00A52D72">
        <w:rPr>
          <w:b/>
          <w:bCs/>
          <w:color w:val="000000"/>
          <w:szCs w:val="24"/>
        </w:rPr>
        <w:t>,</w:t>
      </w:r>
      <w:r w:rsidR="00B017FD">
        <w:rPr>
          <w:b/>
          <w:bCs/>
          <w:color w:val="000000"/>
          <w:szCs w:val="24"/>
        </w:rPr>
        <w:t>922</w:t>
      </w:r>
      <w:r w:rsidRPr="00263536">
        <w:rPr>
          <w:color w:val="000000"/>
        </w:rPr>
        <w:t xml:space="preserve"> hours </w:t>
      </w:r>
      <w:r>
        <w:rPr>
          <w:color w:val="000000"/>
        </w:rPr>
        <w:t xml:space="preserve">and the annual burden costs are </w:t>
      </w:r>
      <w:r w:rsidRPr="00263536">
        <w:rPr>
          <w:b/>
          <w:bCs/>
          <w:color w:val="000000"/>
        </w:rPr>
        <w:t>$7</w:t>
      </w:r>
      <w:r w:rsidR="00B017FD">
        <w:rPr>
          <w:b/>
          <w:bCs/>
          <w:color w:val="000000"/>
        </w:rPr>
        <w:t>3</w:t>
      </w:r>
      <w:r w:rsidRPr="00263536">
        <w:rPr>
          <w:b/>
          <w:bCs/>
          <w:color w:val="000000"/>
        </w:rPr>
        <w:t>,</w:t>
      </w:r>
      <w:r w:rsidR="00B017FD">
        <w:rPr>
          <w:b/>
          <w:bCs/>
          <w:color w:val="000000"/>
        </w:rPr>
        <w:t>650,118</w:t>
      </w:r>
      <w:r w:rsidRPr="00263536">
        <w:rPr>
          <w:color w:val="000000"/>
        </w:rPr>
        <w:t>.</w:t>
      </w:r>
      <w:r>
        <w:rPr>
          <w:color w:val="000000"/>
        </w:rPr>
        <w:t xml:space="preserve"> </w:t>
      </w:r>
      <w:bookmarkStart w:id="14" w:name="_Hlk173833467"/>
      <w:r>
        <w:rPr>
          <w:color w:val="000000"/>
        </w:rPr>
        <w:t>The table below provides a summary of the information collections burden hours and costs within this package.</w:t>
      </w:r>
    </w:p>
    <w:p w:rsidR="00DF2D09" w:rsidP="00DF2D09" w14:paraId="23C75F7B"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DF2D09" w:rsidP="00DF2D09" w14:paraId="32A6BFFC" w14:textId="706A7E7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The annual burden to industry increased from 33,905 hours to 89</w:t>
      </w:r>
      <w:r w:rsidR="00C5270F">
        <w:rPr>
          <w:color w:val="000000"/>
        </w:rPr>
        <w:t>4</w:t>
      </w:r>
      <w:r>
        <w:rPr>
          <w:color w:val="000000"/>
        </w:rPr>
        <w:t>,</w:t>
      </w:r>
      <w:r w:rsidR="00C5270F">
        <w:rPr>
          <w:color w:val="000000"/>
        </w:rPr>
        <w:t>922</w:t>
      </w:r>
      <w:r>
        <w:rPr>
          <w:color w:val="000000"/>
        </w:rPr>
        <w:t xml:space="preserve"> hours. </w:t>
      </w:r>
      <w:r>
        <w:t xml:space="preserve">For details regarding this change in annual burden hours, see the </w:t>
      </w:r>
      <w:r w:rsidRPr="003C1DA7">
        <w:rPr>
          <w:b/>
          <w:bCs/>
        </w:rPr>
        <w:t xml:space="preserve">Background </w:t>
      </w:r>
      <w:r>
        <w:t>section above.</w:t>
      </w:r>
    </w:p>
    <w:bookmarkEnd w:id="14"/>
    <w:p w:rsidR="00DF2D09" w:rsidP="00DF2D09" w14:paraId="5FAA93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F2D09" w:rsidRPr="004D4F1B" w:rsidP="00DF2D09" w14:paraId="2DF9A5FE" w14:textId="77777777">
      <w:pPr>
        <w:ind w:left="720" w:firstLine="720"/>
        <w:rPr>
          <w:b/>
          <w:bCs/>
          <w:sz w:val="28"/>
          <w:szCs w:val="28"/>
        </w:rPr>
      </w:pPr>
      <w:r w:rsidRPr="00B52C02">
        <w:rPr>
          <w:b/>
          <w:bCs/>
          <w:sz w:val="28"/>
          <w:szCs w:val="28"/>
        </w:rPr>
        <w:t>Table 1</w:t>
      </w:r>
      <w:r>
        <w:rPr>
          <w:b/>
          <w:bCs/>
          <w:sz w:val="28"/>
          <w:szCs w:val="28"/>
        </w:rPr>
        <w:t>4</w:t>
      </w:r>
      <w:r w:rsidRPr="00DF2D09">
        <w:rPr>
          <w:b/>
          <w:bCs/>
          <w:sz w:val="28"/>
          <w:szCs w:val="28"/>
        </w:rPr>
        <w:t>: Total Burden and Costs for Industry</w:t>
      </w:r>
    </w:p>
    <w:tbl>
      <w:tblPr>
        <w:tblW w:w="8346" w:type="dxa"/>
        <w:tblInd w:w="265" w:type="dxa"/>
        <w:tblLook w:val="04A0"/>
      </w:tblPr>
      <w:tblGrid>
        <w:gridCol w:w="3775"/>
        <w:gridCol w:w="2075"/>
        <w:gridCol w:w="2496"/>
      </w:tblGrid>
      <w:tr w14:paraId="197043E5" w14:textId="77777777" w:rsidTr="00783422">
        <w:tblPrEx>
          <w:tblW w:w="8346" w:type="dxa"/>
          <w:tblInd w:w="265" w:type="dxa"/>
          <w:tblLook w:val="04A0"/>
        </w:tblPrEx>
        <w:trPr>
          <w:trHeight w:val="714"/>
        </w:trPr>
        <w:tc>
          <w:tcPr>
            <w:tcW w:w="3775" w:type="dxa"/>
            <w:tcBorders>
              <w:top w:val="single" w:sz="4" w:space="0" w:color="auto"/>
              <w:left w:val="single" w:sz="4" w:space="0" w:color="auto"/>
              <w:bottom w:val="single" w:sz="4" w:space="0" w:color="auto"/>
              <w:right w:val="nil"/>
            </w:tcBorders>
            <w:shd w:val="clear" w:color="000000" w:fill="B3CEFB"/>
            <w:noWrap/>
            <w:vAlign w:val="bottom"/>
            <w:hideMark/>
          </w:tcPr>
          <w:p w:rsidR="00DF2D09" w:rsidRPr="00A52D72" w:rsidP="00684540" w14:paraId="5D61D245" w14:textId="77777777">
            <w:pPr>
              <w:jc w:val="center"/>
              <w:rPr>
                <w:b/>
                <w:bCs/>
                <w:color w:val="000000"/>
                <w:szCs w:val="24"/>
              </w:rPr>
            </w:pPr>
            <w:r w:rsidRPr="00A52D72">
              <w:rPr>
                <w:b/>
                <w:bCs/>
                <w:color w:val="000000"/>
                <w:szCs w:val="24"/>
              </w:rPr>
              <w:t>I</w:t>
            </w:r>
            <w:r>
              <w:rPr>
                <w:b/>
                <w:bCs/>
                <w:color w:val="000000"/>
                <w:szCs w:val="24"/>
              </w:rPr>
              <w:t>nformation Collection No.</w:t>
            </w:r>
          </w:p>
        </w:tc>
        <w:tc>
          <w:tcPr>
            <w:tcW w:w="2075" w:type="dxa"/>
            <w:tcBorders>
              <w:top w:val="single" w:sz="4" w:space="0" w:color="auto"/>
              <w:left w:val="single" w:sz="4" w:space="0" w:color="auto"/>
              <w:bottom w:val="single" w:sz="4" w:space="0" w:color="auto"/>
              <w:right w:val="single" w:sz="4" w:space="0" w:color="auto"/>
            </w:tcBorders>
            <w:shd w:val="clear" w:color="000000" w:fill="B3CEFB"/>
            <w:vAlign w:val="bottom"/>
            <w:hideMark/>
          </w:tcPr>
          <w:p w:rsidR="00DF2D09" w:rsidP="00684540" w14:paraId="0CCC8879" w14:textId="77777777">
            <w:pPr>
              <w:jc w:val="center"/>
              <w:rPr>
                <w:b/>
                <w:bCs/>
                <w:color w:val="000000"/>
                <w:szCs w:val="24"/>
              </w:rPr>
            </w:pPr>
            <w:r>
              <w:rPr>
                <w:b/>
                <w:bCs/>
                <w:color w:val="000000"/>
                <w:szCs w:val="24"/>
              </w:rPr>
              <w:t xml:space="preserve">Annual </w:t>
            </w:r>
          </w:p>
          <w:p w:rsidR="00DF2D09" w:rsidRPr="00A52D72" w:rsidP="00684540" w14:paraId="1D9C308C" w14:textId="77777777">
            <w:pPr>
              <w:jc w:val="center"/>
              <w:rPr>
                <w:b/>
                <w:bCs/>
                <w:color w:val="000000"/>
                <w:szCs w:val="24"/>
              </w:rPr>
            </w:pPr>
            <w:r w:rsidRPr="00A52D72">
              <w:rPr>
                <w:b/>
                <w:bCs/>
                <w:color w:val="000000"/>
                <w:szCs w:val="24"/>
              </w:rPr>
              <w:t>Burden Hours</w:t>
            </w:r>
          </w:p>
        </w:tc>
        <w:tc>
          <w:tcPr>
            <w:tcW w:w="2496" w:type="dxa"/>
            <w:tcBorders>
              <w:top w:val="single" w:sz="4" w:space="0" w:color="auto"/>
              <w:left w:val="nil"/>
              <w:bottom w:val="single" w:sz="4" w:space="0" w:color="auto"/>
              <w:right w:val="single" w:sz="4" w:space="0" w:color="auto"/>
            </w:tcBorders>
            <w:shd w:val="clear" w:color="000000" w:fill="B3CEFB"/>
            <w:vAlign w:val="bottom"/>
            <w:hideMark/>
          </w:tcPr>
          <w:p w:rsidR="00DF2D09" w:rsidP="00684540" w14:paraId="0BFF333E" w14:textId="77777777">
            <w:pPr>
              <w:jc w:val="center"/>
              <w:rPr>
                <w:b/>
                <w:bCs/>
                <w:color w:val="000000"/>
                <w:szCs w:val="24"/>
              </w:rPr>
            </w:pPr>
            <w:r>
              <w:rPr>
                <w:b/>
                <w:bCs/>
                <w:color w:val="000000"/>
                <w:szCs w:val="24"/>
              </w:rPr>
              <w:t>Annual</w:t>
            </w:r>
          </w:p>
          <w:p w:rsidR="00DF2D09" w:rsidRPr="00A52D72" w:rsidP="00684540" w14:paraId="585D96D5" w14:textId="77777777">
            <w:pPr>
              <w:jc w:val="center"/>
              <w:rPr>
                <w:b/>
                <w:bCs/>
                <w:color w:val="000000"/>
                <w:szCs w:val="24"/>
              </w:rPr>
            </w:pPr>
            <w:r w:rsidRPr="00A52D72">
              <w:rPr>
                <w:b/>
                <w:bCs/>
                <w:color w:val="000000"/>
                <w:szCs w:val="24"/>
              </w:rPr>
              <w:t>Burden Costs</w:t>
            </w:r>
          </w:p>
        </w:tc>
      </w:tr>
      <w:tr w14:paraId="0EAE60BE"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02E96BDB" w14:textId="77777777">
            <w:pPr>
              <w:rPr>
                <w:color w:val="000000"/>
                <w:szCs w:val="24"/>
              </w:rPr>
            </w:pPr>
            <w:r w:rsidRPr="00A52D72">
              <w:rPr>
                <w:color w:val="000000"/>
                <w:szCs w:val="24"/>
              </w:rPr>
              <w:t xml:space="preserve">IC-1: 485.616(c)(4)(iv) </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4FDB64DC" w14:textId="77777777">
            <w:pPr>
              <w:jc w:val="center"/>
              <w:rPr>
                <w:color w:val="000000"/>
                <w:szCs w:val="24"/>
              </w:rPr>
            </w:pPr>
            <w:r w:rsidRPr="00A52D72">
              <w:rPr>
                <w:color w:val="000000"/>
                <w:szCs w:val="24"/>
              </w:rPr>
              <w:t>2,490</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2EB91D86" w14:textId="77777777">
            <w:pPr>
              <w:jc w:val="center"/>
              <w:rPr>
                <w:color w:val="000000"/>
                <w:szCs w:val="24"/>
              </w:rPr>
            </w:pPr>
            <w:r w:rsidRPr="00A52D72">
              <w:rPr>
                <w:color w:val="000000"/>
                <w:szCs w:val="24"/>
              </w:rPr>
              <w:t>$107,070</w:t>
            </w:r>
          </w:p>
        </w:tc>
      </w:tr>
      <w:tr w14:paraId="1AFAA51C"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52C2224D" w14:textId="77777777">
            <w:pPr>
              <w:rPr>
                <w:color w:val="000000"/>
                <w:szCs w:val="24"/>
              </w:rPr>
            </w:pPr>
            <w:r w:rsidRPr="00A52D72">
              <w:rPr>
                <w:color w:val="000000"/>
                <w:szCs w:val="24"/>
              </w:rPr>
              <w:t>IC-2: 485.641</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7CAAD689" w14:textId="77777777">
            <w:pPr>
              <w:jc w:val="center"/>
              <w:rPr>
                <w:color w:val="000000"/>
                <w:szCs w:val="24"/>
              </w:rPr>
            </w:pPr>
            <w:r w:rsidRPr="00A52D72">
              <w:rPr>
                <w:color w:val="000000"/>
                <w:szCs w:val="24"/>
              </w:rPr>
              <w:t>6,225</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40F53B8F" w14:textId="77777777">
            <w:pPr>
              <w:jc w:val="center"/>
              <w:rPr>
                <w:color w:val="000000"/>
                <w:szCs w:val="24"/>
              </w:rPr>
            </w:pPr>
            <w:r w:rsidRPr="00A52D72">
              <w:rPr>
                <w:color w:val="000000"/>
                <w:szCs w:val="24"/>
              </w:rPr>
              <w:t>$502,980</w:t>
            </w:r>
          </w:p>
        </w:tc>
      </w:tr>
      <w:tr w14:paraId="18884488"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1C9CD394" w14:textId="77777777">
            <w:pPr>
              <w:rPr>
                <w:color w:val="000000"/>
                <w:szCs w:val="24"/>
              </w:rPr>
            </w:pPr>
            <w:r w:rsidRPr="00A52D72">
              <w:rPr>
                <w:color w:val="000000"/>
                <w:szCs w:val="24"/>
              </w:rPr>
              <w:t>IC-3: 485.640(d)(1)</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476D9547" w14:textId="77777777">
            <w:pPr>
              <w:jc w:val="center"/>
              <w:rPr>
                <w:color w:val="000000"/>
                <w:szCs w:val="24"/>
              </w:rPr>
            </w:pPr>
            <w:r w:rsidRPr="00A52D72">
              <w:rPr>
                <w:color w:val="000000"/>
                <w:szCs w:val="24"/>
              </w:rPr>
              <w:t>53,937</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5204ADB1" w14:textId="77777777">
            <w:pPr>
              <w:jc w:val="center"/>
              <w:rPr>
                <w:color w:val="000000"/>
                <w:szCs w:val="24"/>
              </w:rPr>
            </w:pPr>
            <w:r w:rsidRPr="00A52D72">
              <w:rPr>
                <w:color w:val="000000"/>
                <w:szCs w:val="24"/>
              </w:rPr>
              <w:t>$4,243,044</w:t>
            </w:r>
          </w:p>
        </w:tc>
      </w:tr>
      <w:tr w14:paraId="7C88512C"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3EB9D818" w14:textId="77777777">
            <w:pPr>
              <w:rPr>
                <w:color w:val="000000"/>
                <w:szCs w:val="24"/>
              </w:rPr>
            </w:pPr>
            <w:r w:rsidRPr="00A52D72">
              <w:rPr>
                <w:color w:val="000000"/>
                <w:szCs w:val="24"/>
              </w:rPr>
              <w:t>IC-4: 485.640(d)(2)(High range)</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7AA3DD84" w14:textId="77777777">
            <w:pPr>
              <w:jc w:val="center"/>
              <w:rPr>
                <w:color w:val="000000"/>
                <w:szCs w:val="24"/>
              </w:rPr>
            </w:pPr>
            <w:r w:rsidRPr="00A52D72">
              <w:rPr>
                <w:color w:val="000000"/>
                <w:szCs w:val="24"/>
              </w:rPr>
              <w:t>757,193</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7B76181F" w14:textId="77777777">
            <w:pPr>
              <w:jc w:val="center"/>
              <w:rPr>
                <w:color w:val="000000"/>
                <w:szCs w:val="24"/>
              </w:rPr>
            </w:pPr>
            <w:r w:rsidRPr="00A52D72">
              <w:rPr>
                <w:color w:val="000000"/>
                <w:szCs w:val="24"/>
              </w:rPr>
              <w:t>$59,061,015</w:t>
            </w:r>
          </w:p>
        </w:tc>
      </w:tr>
      <w:tr w14:paraId="6E2C3F6D"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149F0531" w14:textId="77777777">
            <w:pPr>
              <w:rPr>
                <w:color w:val="000000"/>
                <w:szCs w:val="24"/>
              </w:rPr>
            </w:pPr>
            <w:r w:rsidRPr="00A52D72">
              <w:rPr>
                <w:color w:val="000000"/>
                <w:szCs w:val="24"/>
              </w:rPr>
              <w:t>IC-5: 485.618(e)(1)</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3396D42F" w14:textId="77777777">
            <w:pPr>
              <w:jc w:val="center"/>
              <w:rPr>
                <w:color w:val="000000"/>
                <w:szCs w:val="24"/>
              </w:rPr>
            </w:pPr>
            <w:r w:rsidRPr="00A52D72">
              <w:rPr>
                <w:color w:val="000000"/>
                <w:szCs w:val="24"/>
              </w:rPr>
              <w:t>27,660</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3C56EF6F" w14:textId="77777777">
            <w:pPr>
              <w:jc w:val="center"/>
              <w:rPr>
                <w:color w:val="000000"/>
                <w:szCs w:val="24"/>
              </w:rPr>
            </w:pPr>
            <w:r w:rsidRPr="00A52D72">
              <w:rPr>
                <w:color w:val="000000"/>
                <w:szCs w:val="24"/>
              </w:rPr>
              <w:t>$3,790,526</w:t>
            </w:r>
          </w:p>
        </w:tc>
      </w:tr>
      <w:tr w14:paraId="475E0AFA"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7B32F446" w14:textId="2F628E99">
            <w:pPr>
              <w:rPr>
                <w:color w:val="000000"/>
                <w:szCs w:val="24"/>
              </w:rPr>
            </w:pPr>
            <w:r w:rsidRPr="00A52D72">
              <w:rPr>
                <w:color w:val="000000"/>
                <w:szCs w:val="24"/>
              </w:rPr>
              <w:t>IC-6: 485.641(d)(4)</w:t>
            </w:r>
            <w:r w:rsidR="00196655">
              <w:rPr>
                <w:color w:val="000000"/>
                <w:szCs w:val="24"/>
              </w:rPr>
              <w:t>(annualized)</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6CD216B1" w14:textId="080C3FB7">
            <w:pPr>
              <w:jc w:val="center"/>
              <w:rPr>
                <w:color w:val="000000"/>
                <w:szCs w:val="24"/>
              </w:rPr>
            </w:pPr>
            <w:r>
              <w:rPr>
                <w:color w:val="000000"/>
                <w:szCs w:val="24"/>
              </w:rPr>
              <w:t>2,736</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52BD687B" w14:textId="14A16F26">
            <w:pPr>
              <w:jc w:val="center"/>
              <w:rPr>
                <w:color w:val="000000"/>
                <w:szCs w:val="24"/>
              </w:rPr>
            </w:pPr>
            <w:r w:rsidRPr="00A52D72">
              <w:rPr>
                <w:color w:val="000000"/>
                <w:szCs w:val="24"/>
              </w:rPr>
              <w:t>$</w:t>
            </w:r>
            <w:r w:rsidR="00085F04">
              <w:rPr>
                <w:color w:val="000000"/>
                <w:szCs w:val="24"/>
              </w:rPr>
              <w:t>297,540</w:t>
            </w:r>
          </w:p>
        </w:tc>
      </w:tr>
      <w:tr w14:paraId="360A54AA"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7DD7FFEB" w14:textId="77777777">
            <w:pPr>
              <w:rPr>
                <w:color w:val="000000"/>
                <w:szCs w:val="24"/>
              </w:rPr>
            </w:pPr>
            <w:r w:rsidRPr="00A52D72">
              <w:rPr>
                <w:color w:val="000000"/>
                <w:szCs w:val="24"/>
              </w:rPr>
              <w:t>IC-7: 485.641(d)(4)</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6281D82D" w14:textId="77777777">
            <w:pPr>
              <w:jc w:val="center"/>
              <w:rPr>
                <w:color w:val="000000"/>
                <w:szCs w:val="24"/>
              </w:rPr>
            </w:pPr>
            <w:r w:rsidRPr="00A52D72">
              <w:rPr>
                <w:color w:val="000000"/>
                <w:szCs w:val="24"/>
              </w:rPr>
              <w:t>4,104</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2A4F0F4A" w14:textId="77777777">
            <w:pPr>
              <w:jc w:val="center"/>
              <w:rPr>
                <w:color w:val="000000"/>
                <w:szCs w:val="24"/>
              </w:rPr>
            </w:pPr>
            <w:r w:rsidRPr="00A52D72">
              <w:rPr>
                <w:color w:val="000000"/>
                <w:szCs w:val="24"/>
              </w:rPr>
              <w:t>$469,908</w:t>
            </w:r>
          </w:p>
        </w:tc>
      </w:tr>
      <w:tr w14:paraId="64460E90"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455EBBE0" w14:textId="1A9F6439">
            <w:pPr>
              <w:rPr>
                <w:color w:val="000000"/>
                <w:szCs w:val="24"/>
              </w:rPr>
            </w:pPr>
            <w:r w:rsidRPr="00A52D72">
              <w:rPr>
                <w:color w:val="000000"/>
                <w:szCs w:val="24"/>
              </w:rPr>
              <w:t>IC-8: 485.641(</w:t>
            </w:r>
            <w:r w:rsidR="00783422">
              <w:rPr>
                <w:color w:val="000000"/>
                <w:szCs w:val="24"/>
              </w:rPr>
              <w:t>d</w:t>
            </w:r>
            <w:r w:rsidRPr="00A52D72">
              <w:rPr>
                <w:color w:val="000000"/>
                <w:szCs w:val="24"/>
              </w:rPr>
              <w:t>)</w:t>
            </w:r>
            <w:r w:rsidR="00783422">
              <w:rPr>
                <w:color w:val="000000"/>
                <w:szCs w:val="24"/>
              </w:rPr>
              <w:t>(4)(ii)</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5E5A4A1A" w14:textId="77777777">
            <w:pPr>
              <w:jc w:val="center"/>
              <w:rPr>
                <w:color w:val="000000"/>
                <w:szCs w:val="24"/>
              </w:rPr>
            </w:pPr>
            <w:r w:rsidRPr="00A52D72">
              <w:rPr>
                <w:color w:val="000000"/>
                <w:szCs w:val="24"/>
              </w:rPr>
              <w:t>553</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48D9BD75" w14:textId="77777777">
            <w:pPr>
              <w:jc w:val="center"/>
              <w:rPr>
                <w:color w:val="000000"/>
                <w:szCs w:val="24"/>
              </w:rPr>
            </w:pPr>
            <w:r w:rsidRPr="00A52D72">
              <w:rPr>
                <w:color w:val="000000"/>
                <w:szCs w:val="24"/>
              </w:rPr>
              <w:t>$84,421</w:t>
            </w:r>
          </w:p>
        </w:tc>
      </w:tr>
      <w:tr w14:paraId="2018267C"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6EA99B14" w14:textId="77777777">
            <w:pPr>
              <w:rPr>
                <w:color w:val="000000"/>
                <w:szCs w:val="24"/>
              </w:rPr>
            </w:pPr>
            <w:r w:rsidRPr="00A52D72">
              <w:rPr>
                <w:color w:val="000000"/>
                <w:szCs w:val="24"/>
              </w:rPr>
              <w:t>IC-9: 485.649(a)(2)</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7BAF3643" w14:textId="77777777">
            <w:pPr>
              <w:jc w:val="center"/>
              <w:rPr>
                <w:color w:val="000000"/>
                <w:szCs w:val="24"/>
              </w:rPr>
            </w:pPr>
            <w:r w:rsidRPr="00A52D72">
              <w:rPr>
                <w:color w:val="000000"/>
                <w:szCs w:val="24"/>
              </w:rPr>
              <w:t>4,104</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0BC1AD0B" w14:textId="77777777">
            <w:pPr>
              <w:jc w:val="center"/>
              <w:rPr>
                <w:color w:val="000000"/>
                <w:szCs w:val="24"/>
              </w:rPr>
            </w:pPr>
            <w:r w:rsidRPr="00A52D72">
              <w:rPr>
                <w:color w:val="000000"/>
                <w:szCs w:val="24"/>
              </w:rPr>
              <w:t>$171,137</w:t>
            </w:r>
          </w:p>
        </w:tc>
      </w:tr>
      <w:tr w14:paraId="4F7D9771"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59893252" w14:textId="77777777">
            <w:pPr>
              <w:rPr>
                <w:color w:val="000000"/>
                <w:szCs w:val="24"/>
              </w:rPr>
            </w:pPr>
            <w:r w:rsidRPr="00A52D72">
              <w:rPr>
                <w:color w:val="000000"/>
                <w:szCs w:val="24"/>
              </w:rPr>
              <w:t>IC-10: 485.649(b)(2)</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7F5C545E" w14:textId="40BC9967">
            <w:pPr>
              <w:jc w:val="center"/>
              <w:rPr>
                <w:color w:val="000000"/>
                <w:szCs w:val="24"/>
              </w:rPr>
            </w:pPr>
            <w:r>
              <w:rPr>
                <w:color w:val="000000"/>
                <w:szCs w:val="24"/>
              </w:rPr>
              <w:t>15,400</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141D9F86" w14:textId="3DAC3B84">
            <w:pPr>
              <w:jc w:val="center"/>
              <w:rPr>
                <w:color w:val="000000"/>
                <w:szCs w:val="24"/>
              </w:rPr>
            </w:pPr>
            <w:r w:rsidRPr="00A52D72">
              <w:rPr>
                <w:color w:val="000000"/>
                <w:szCs w:val="24"/>
              </w:rPr>
              <w:t>$2,1</w:t>
            </w:r>
            <w:r w:rsidR="00783422">
              <w:rPr>
                <w:color w:val="000000"/>
                <w:szCs w:val="24"/>
              </w:rPr>
              <w:t>10</w:t>
            </w:r>
            <w:r w:rsidRPr="00A52D72">
              <w:rPr>
                <w:color w:val="000000"/>
                <w:szCs w:val="24"/>
              </w:rPr>
              <w:t>,</w:t>
            </w:r>
            <w:r w:rsidR="00783422">
              <w:rPr>
                <w:color w:val="000000"/>
                <w:szCs w:val="24"/>
              </w:rPr>
              <w:t>416</w:t>
            </w:r>
          </w:p>
        </w:tc>
      </w:tr>
      <w:tr w14:paraId="00D9FAE0"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DF2D09" w:rsidRPr="00A52D72" w:rsidP="00684540" w14:paraId="2027B9FF" w14:textId="77777777">
            <w:pPr>
              <w:rPr>
                <w:color w:val="000000"/>
                <w:szCs w:val="24"/>
              </w:rPr>
            </w:pPr>
            <w:r w:rsidRPr="00A52D72">
              <w:rPr>
                <w:color w:val="000000"/>
                <w:szCs w:val="24"/>
              </w:rPr>
              <w:t>IC-11: 485.649(c)</w:t>
            </w:r>
          </w:p>
        </w:tc>
        <w:tc>
          <w:tcPr>
            <w:tcW w:w="2075"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2F172D5A" w14:textId="77777777">
            <w:pPr>
              <w:jc w:val="center"/>
              <w:rPr>
                <w:color w:val="000000"/>
                <w:szCs w:val="24"/>
              </w:rPr>
            </w:pPr>
            <w:r w:rsidRPr="00A52D72">
              <w:rPr>
                <w:color w:val="000000"/>
                <w:szCs w:val="24"/>
              </w:rPr>
              <w:t>20,520</w:t>
            </w:r>
          </w:p>
        </w:tc>
        <w:tc>
          <w:tcPr>
            <w:tcW w:w="2496" w:type="dxa"/>
            <w:tcBorders>
              <w:top w:val="nil"/>
              <w:left w:val="nil"/>
              <w:bottom w:val="single" w:sz="4" w:space="0" w:color="auto"/>
              <w:right w:val="single" w:sz="4" w:space="0" w:color="auto"/>
            </w:tcBorders>
            <w:shd w:val="clear" w:color="auto" w:fill="auto"/>
            <w:noWrap/>
            <w:vAlign w:val="bottom"/>
            <w:hideMark/>
          </w:tcPr>
          <w:p w:rsidR="00DF2D09" w:rsidRPr="00A52D72" w:rsidP="00684540" w14:paraId="273394A3" w14:textId="77777777">
            <w:pPr>
              <w:jc w:val="center"/>
              <w:rPr>
                <w:color w:val="000000"/>
                <w:szCs w:val="24"/>
              </w:rPr>
            </w:pPr>
            <w:r w:rsidRPr="00A52D72">
              <w:rPr>
                <w:color w:val="000000"/>
                <w:szCs w:val="24"/>
              </w:rPr>
              <w:t>$2,812,061</w:t>
            </w:r>
          </w:p>
        </w:tc>
      </w:tr>
      <w:tr w14:paraId="2F8C0BB7" w14:textId="77777777" w:rsidTr="00783422">
        <w:tblPrEx>
          <w:tblW w:w="8346" w:type="dxa"/>
          <w:tblInd w:w="265" w:type="dxa"/>
          <w:tblLook w:val="04A0"/>
        </w:tblPrEx>
        <w:trPr>
          <w:trHeight w:val="317"/>
        </w:trPr>
        <w:tc>
          <w:tcPr>
            <w:tcW w:w="3775" w:type="dxa"/>
            <w:tcBorders>
              <w:top w:val="nil"/>
              <w:left w:val="single" w:sz="4" w:space="0" w:color="auto"/>
              <w:bottom w:val="single" w:sz="4" w:space="0" w:color="auto"/>
              <w:right w:val="nil"/>
            </w:tcBorders>
            <w:shd w:val="clear" w:color="auto" w:fill="B4C6E7" w:themeFill="accent5" w:themeFillTint="66"/>
            <w:noWrap/>
            <w:vAlign w:val="bottom"/>
            <w:hideMark/>
          </w:tcPr>
          <w:p w:rsidR="00DF2D09" w:rsidRPr="00A52D72" w:rsidP="00684540" w14:paraId="457A05B1" w14:textId="77777777">
            <w:pPr>
              <w:jc w:val="right"/>
              <w:rPr>
                <w:b/>
                <w:bCs/>
                <w:color w:val="000000"/>
                <w:szCs w:val="24"/>
              </w:rPr>
            </w:pPr>
            <w:r w:rsidRPr="00A52D72">
              <w:rPr>
                <w:b/>
                <w:bCs/>
                <w:color w:val="000000"/>
                <w:szCs w:val="24"/>
              </w:rPr>
              <w:t>Total</w:t>
            </w:r>
          </w:p>
        </w:tc>
        <w:tc>
          <w:tcPr>
            <w:tcW w:w="2075" w:type="dxa"/>
            <w:tcBorders>
              <w:top w:val="nil"/>
              <w:left w:val="single" w:sz="4" w:space="0" w:color="auto"/>
              <w:bottom w:val="single" w:sz="4" w:space="0" w:color="auto"/>
              <w:right w:val="single" w:sz="4" w:space="0" w:color="auto"/>
            </w:tcBorders>
            <w:shd w:val="clear" w:color="auto" w:fill="B4C6E7" w:themeFill="accent5" w:themeFillTint="66"/>
            <w:noWrap/>
            <w:vAlign w:val="bottom"/>
            <w:hideMark/>
          </w:tcPr>
          <w:p w:rsidR="00DF2D09" w:rsidRPr="00A52D72" w:rsidP="00684540" w14:paraId="7539387B" w14:textId="72F50CB3">
            <w:pPr>
              <w:jc w:val="center"/>
              <w:rPr>
                <w:b/>
                <w:bCs/>
                <w:color w:val="000000"/>
                <w:szCs w:val="24"/>
              </w:rPr>
            </w:pPr>
            <w:r>
              <w:rPr>
                <w:b/>
                <w:bCs/>
                <w:color w:val="000000"/>
                <w:szCs w:val="24"/>
              </w:rPr>
              <w:t>894,922</w:t>
            </w:r>
          </w:p>
        </w:tc>
        <w:tc>
          <w:tcPr>
            <w:tcW w:w="2496" w:type="dxa"/>
            <w:tcBorders>
              <w:top w:val="nil"/>
              <w:left w:val="nil"/>
              <w:bottom w:val="single" w:sz="4" w:space="0" w:color="auto"/>
              <w:right w:val="single" w:sz="4" w:space="0" w:color="auto"/>
            </w:tcBorders>
            <w:shd w:val="clear" w:color="auto" w:fill="B4C6E7" w:themeFill="accent5" w:themeFillTint="66"/>
            <w:noWrap/>
            <w:vAlign w:val="bottom"/>
            <w:hideMark/>
          </w:tcPr>
          <w:p w:rsidR="00DF2D09" w:rsidRPr="00A52D72" w:rsidP="00684540" w14:paraId="2F38C28B" w14:textId="164F463B">
            <w:pPr>
              <w:jc w:val="center"/>
              <w:rPr>
                <w:b/>
                <w:bCs/>
                <w:color w:val="000000"/>
                <w:szCs w:val="24"/>
              </w:rPr>
            </w:pPr>
            <w:r w:rsidRPr="00A52D72">
              <w:rPr>
                <w:b/>
                <w:bCs/>
                <w:color w:val="000000"/>
                <w:szCs w:val="24"/>
              </w:rPr>
              <w:t>$7</w:t>
            </w:r>
            <w:r w:rsidR="00783422">
              <w:rPr>
                <w:b/>
                <w:bCs/>
                <w:color w:val="000000"/>
                <w:szCs w:val="24"/>
              </w:rPr>
              <w:t>3</w:t>
            </w:r>
            <w:r w:rsidRPr="00A52D72">
              <w:rPr>
                <w:b/>
                <w:bCs/>
                <w:color w:val="000000"/>
                <w:szCs w:val="24"/>
              </w:rPr>
              <w:t>,</w:t>
            </w:r>
            <w:r w:rsidR="00783422">
              <w:rPr>
                <w:b/>
                <w:bCs/>
                <w:color w:val="000000"/>
                <w:szCs w:val="24"/>
              </w:rPr>
              <w:t>650,118</w:t>
            </w:r>
          </w:p>
        </w:tc>
      </w:tr>
    </w:tbl>
    <w:p w:rsidR="00DF2D09" w:rsidP="00A222FC" w14:paraId="0B58E336"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bookmarkEnd w:id="13"/>
    <w:p w:rsidR="00A044C6" w:rsidP="00122828" w14:paraId="6D6C6F13"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1B6A3F" w:rsidRPr="007A6DD8" w:rsidP="00ED6273" w14:paraId="7077C995" w14:textId="4AA81189">
      <w:pPr>
        <w:pStyle w:val="Style0"/>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sidRPr="007A6DD8">
        <w:rPr>
          <w:color w:val="000000"/>
          <w:u w:val="single"/>
        </w:rPr>
        <w:t>Publication/</w:t>
      </w:r>
      <w:r w:rsidRPr="007A6DD8">
        <w:rPr>
          <w:color w:val="000000"/>
          <w:u w:val="single"/>
        </w:rPr>
        <w:t>Tabulation Dat</w:t>
      </w:r>
      <w:r w:rsidRPr="007A6DD8">
        <w:rPr>
          <w:color w:val="000000"/>
          <w:u w:val="single"/>
        </w:rPr>
        <w:t>es</w:t>
      </w:r>
      <w:r w:rsidRPr="007A6DD8">
        <w:rPr>
          <w:color w:val="000000"/>
        </w:rPr>
        <w:t xml:space="preserve"> </w:t>
      </w:r>
    </w:p>
    <w:p w:rsidR="001B6A3F" w:rsidRPr="007A6DD8" w:rsidP="001B6A3F" w14:paraId="3E7D558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B6A3F" w:rsidRPr="007A6DD8" w:rsidP="00EC450C" w14:paraId="69464A25"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r w:rsidRPr="007A6DD8">
        <w:rPr>
          <w:color w:val="000000"/>
        </w:rPr>
        <w:t>We do not plan to publish any of the information collected.</w:t>
      </w:r>
    </w:p>
    <w:p w:rsidR="001B6A3F" w:rsidRPr="007A6DD8" w:rsidP="001B6A3F" w14:paraId="4897593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B6A3F" w:rsidRPr="007A6DD8" w:rsidP="00ED6273" w14:paraId="714567EB" w14:textId="77777777">
      <w:pPr>
        <w:pStyle w:val="Style0"/>
        <w:numPr>
          <w:ilvl w:val="0"/>
          <w:numId w:val="3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u w:val="single"/>
        </w:rPr>
        <w:t>Expiration Date</w:t>
      </w:r>
      <w:r w:rsidRPr="007A6DD8">
        <w:rPr>
          <w:color w:val="000000"/>
        </w:rPr>
        <w:t xml:space="preserve"> </w:t>
      </w:r>
    </w:p>
    <w:p w:rsidR="001B6A3F" w:rsidP="001B6A3F" w14:paraId="0EB0884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E43AD" w:rsidRPr="007A6DD8" w:rsidP="0052578C" w14:paraId="2568C078" w14:textId="314F1B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9E43AD">
        <w:rPr>
          <w:color w:val="000000"/>
        </w:rPr>
        <w:t>CMS will publish a notice in the Federal Register to inform the public of both the approval and the expiration date</w:t>
      </w:r>
      <w:r w:rsidRPr="009E43AD" w:rsidR="0060007F">
        <w:rPr>
          <w:color w:val="000000"/>
        </w:rPr>
        <w:t xml:space="preserve">. </w:t>
      </w:r>
      <w:r w:rsidRPr="009E43AD">
        <w:rPr>
          <w:color w:val="000000"/>
        </w:rPr>
        <w:t>In addition, the public will be able to access the expiration date on OMB’s website by performing a search using the OMB control number</w:t>
      </w:r>
      <w:r w:rsidR="00D10718">
        <w:rPr>
          <w:snapToGrid/>
          <w:szCs w:val="24"/>
        </w:rPr>
        <w:t xml:space="preserve"> </w:t>
      </w:r>
      <w:r w:rsidRPr="005B7A9C" w:rsidR="005B7A9C">
        <w:rPr>
          <w:snapToGrid/>
          <w:szCs w:val="24"/>
        </w:rPr>
        <w:t>0938-1043</w:t>
      </w:r>
      <w:r w:rsidR="00586DBC">
        <w:rPr>
          <w:snapToGrid/>
          <w:szCs w:val="24"/>
        </w:rPr>
        <w:t>.</w:t>
      </w:r>
    </w:p>
    <w:p w:rsidR="00EE19D7" w:rsidP="00DF4116" w14:paraId="3EAC89AB"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A6DD8">
        <w:rPr>
          <w:color w:val="000000"/>
        </w:rPr>
        <w:tab/>
      </w:r>
    </w:p>
    <w:p w:rsidR="006D28A0" w:rsidP="00ED6273" w14:paraId="1BBB697F" w14:textId="547B8D2E">
      <w:pPr>
        <w:pStyle w:val="Style0"/>
        <w:numPr>
          <w:ilvl w:val="0"/>
          <w:numId w:val="3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u w:val="single"/>
        </w:rPr>
        <w:t>Certification</w:t>
      </w:r>
      <w:r w:rsidRPr="007A6DD8">
        <w:rPr>
          <w:color w:val="000000"/>
        </w:rPr>
        <w:t xml:space="preserve"> </w:t>
      </w:r>
    </w:p>
    <w:p w:rsidR="006D28A0" w:rsidP="006D28A0" w14:paraId="7E51E6BD"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D28A0" w:rsidP="00DF4116" w14:paraId="0F879ADD" w14:textId="6586352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r w:rsidRPr="006D28A0">
        <w:rPr>
          <w:color w:val="000000"/>
        </w:rPr>
        <w:t>There is no exception to the certification.</w:t>
      </w:r>
    </w:p>
    <w:sectPr w:rsidSect="0060740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288" w14:paraId="77521B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730288" w14:paraId="23F5A4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288" w14:paraId="3CD21CF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928">
      <w:rPr>
        <w:rStyle w:val="PageNumber"/>
        <w:noProof/>
      </w:rPr>
      <w:t>15</w:t>
    </w:r>
    <w:r>
      <w:rPr>
        <w:rStyle w:val="PageNumber"/>
      </w:rPr>
      <w:fldChar w:fldCharType="end"/>
    </w:r>
  </w:p>
  <w:p w:rsidR="00730288" w14:paraId="63AE09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ED5" w14:paraId="08E6D3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2B40" w14:paraId="6C9AF2E8" w14:textId="77777777">
      <w:r>
        <w:separator/>
      </w:r>
    </w:p>
  </w:footnote>
  <w:footnote w:type="continuationSeparator" w:id="1">
    <w:p w:rsidR="00CE2B40" w14:paraId="487C7878" w14:textId="77777777">
      <w:r>
        <w:continuationSeparator/>
      </w:r>
    </w:p>
  </w:footnote>
  <w:footnote w:id="2">
    <w:p w:rsidR="006353FA" w:rsidP="006353FA" w14:paraId="43A75432" w14:textId="555AE8D6">
      <w:pPr>
        <w:pStyle w:val="FootnoteText"/>
      </w:pPr>
      <w:r w:rsidRPr="00FF1DC0">
        <w:rPr>
          <w:rStyle w:val="FootnoteReference"/>
        </w:rPr>
        <w:footnoteRef/>
      </w:r>
      <w:r w:rsidRPr="00324DC9">
        <w:rPr>
          <w:sz w:val="16"/>
          <w:szCs w:val="16"/>
          <w:vertAlign w:val="superscript"/>
        </w:rPr>
        <w:t xml:space="preserve"> </w:t>
      </w:r>
      <w:r w:rsidR="00FF1DC0">
        <w:rPr>
          <w:sz w:val="16"/>
          <w:szCs w:val="16"/>
          <w:vertAlign w:val="superscript"/>
        </w:rPr>
        <w:t xml:space="preserve"> </w:t>
      </w:r>
      <w:r>
        <w:rPr>
          <w:sz w:val="16"/>
          <w:szCs w:val="16"/>
        </w:rPr>
        <w:t>C</w:t>
      </w:r>
      <w:r w:rsidRPr="006631BB">
        <w:rPr>
          <w:sz w:val="16"/>
          <w:szCs w:val="16"/>
        </w:rPr>
        <w:t xml:space="preserve">ASPER (Certification and Survey Provider Enhanced Reports) </w:t>
      </w:r>
      <w:r w:rsidR="00FF1DC0">
        <w:rPr>
          <w:sz w:val="16"/>
          <w:szCs w:val="16"/>
        </w:rPr>
        <w:t xml:space="preserve">Data for Calendar Year 2023 per </w:t>
      </w:r>
      <w:r w:rsidRPr="006631BB">
        <w:rPr>
          <w:sz w:val="16"/>
          <w:szCs w:val="16"/>
        </w:rPr>
        <w:t xml:space="preserve">Provider of Services File—Hospital &amp; Non-Hospital Facilities. Available at </w:t>
      </w:r>
      <w:r w:rsidRPr="00DD5815">
        <w:rPr>
          <w:i/>
          <w:iCs/>
          <w:sz w:val="16"/>
          <w:szCs w:val="16"/>
        </w:rPr>
        <w:t>https://data.cms.gov/provider-characteristics/hospitalsand-other-facilities/provider-of-services-filehospital-non-hospital-facilities/d</w:t>
      </w:r>
      <w:r>
        <w:rPr>
          <w:i/>
          <w:iCs/>
          <w:sz w:val="16"/>
          <w:szCs w:val="16"/>
        </w:rPr>
        <w:t>ata</w:t>
      </w:r>
      <w:r w:rsidRPr="006631BB">
        <w:rPr>
          <w:sz w:val="16"/>
          <w:szCs w:val="16"/>
        </w:rPr>
        <w:t>. Accessed April 10, 2024</w:t>
      </w:r>
      <w:r>
        <w:t>.</w:t>
      </w:r>
    </w:p>
  </w:footnote>
  <w:footnote w:id="3">
    <w:p w:rsidR="00137EB6" w14:paraId="5670E306" w14:textId="31403765">
      <w:pPr>
        <w:pStyle w:val="FootnoteText"/>
      </w:pPr>
      <w:r>
        <w:rPr>
          <w:rStyle w:val="FootnoteReference"/>
        </w:rPr>
        <w:footnoteRef/>
      </w:r>
      <w:r>
        <w:t xml:space="preserve"> </w:t>
      </w:r>
      <w:r w:rsidRPr="0068781E" w:rsidR="0068781E">
        <w:rPr>
          <w:sz w:val="16"/>
          <w:szCs w:val="16"/>
        </w:rPr>
        <w:t>If the total cost after doubling resulted in 0.50 or more, the cost was rounded up to the next dollar. If it was 0.49 or below, the total cost was rounded down to the next dollar.</w:t>
      </w:r>
    </w:p>
  </w:footnote>
  <w:footnote w:id="4">
    <w:p w:rsidR="001C7F3F" w14:paraId="61FD59D5" w14:textId="2318924D">
      <w:pPr>
        <w:pStyle w:val="FootnoteText"/>
      </w:pPr>
      <w:r>
        <w:rPr>
          <w:rStyle w:val="FootnoteReference"/>
        </w:rPr>
        <w:footnoteRef/>
      </w:r>
      <w:r>
        <w:t xml:space="preserve"> </w:t>
      </w:r>
      <w:r w:rsidRPr="00375B73">
        <w:rPr>
          <w:sz w:val="16"/>
          <w:szCs w:val="16"/>
        </w:rPr>
        <w:t>Note: This package also includes burden estimates from newly released</w:t>
      </w:r>
      <w:r w:rsidR="006D7AD2">
        <w:rPr>
          <w:sz w:val="16"/>
          <w:szCs w:val="16"/>
        </w:rPr>
        <w:t xml:space="preserve"> CMS rules</w:t>
      </w:r>
      <w:r w:rsidRPr="00375B73">
        <w:rPr>
          <w:sz w:val="16"/>
          <w:szCs w:val="16"/>
        </w:rPr>
        <w:t xml:space="preserve"> and </w:t>
      </w:r>
      <w:r>
        <w:rPr>
          <w:sz w:val="16"/>
          <w:szCs w:val="16"/>
        </w:rPr>
        <w:t xml:space="preserve">applies the specific </w:t>
      </w:r>
      <w:r w:rsidRPr="00375B73">
        <w:rPr>
          <w:sz w:val="16"/>
          <w:szCs w:val="16"/>
        </w:rPr>
        <w:t>wage assumptions that were used in the</w:t>
      </w:r>
      <w:r w:rsidR="006D041A">
        <w:rPr>
          <w:sz w:val="16"/>
          <w:szCs w:val="16"/>
        </w:rPr>
        <w:t xml:space="preserve"> respective</w:t>
      </w:r>
      <w:r w:rsidRPr="00375B73">
        <w:rPr>
          <w:sz w:val="16"/>
          <w:szCs w:val="16"/>
        </w:rPr>
        <w:t xml:space="preserve"> rule</w:t>
      </w:r>
      <w:r w:rsidR="006D041A">
        <w:rPr>
          <w:sz w:val="16"/>
          <w:szCs w:val="16"/>
        </w:rPr>
        <w:t>s</w:t>
      </w:r>
      <w:r w:rsidRPr="00375B73">
        <w:rPr>
          <w:sz w:val="16"/>
          <w:szCs w:val="16"/>
        </w:rPr>
        <w:t xml:space="preserve"> for consistenc</w:t>
      </w:r>
      <w:r>
        <w:rPr>
          <w:sz w:val="16"/>
          <w:szCs w:val="16"/>
        </w:rPr>
        <w:t>y.</w:t>
      </w:r>
    </w:p>
  </w:footnote>
  <w:footnote w:id="5">
    <w:p w:rsidR="00E14A24" w:rsidRPr="007432B2" w:rsidP="00E14A24" w14:paraId="14FAA0AF" w14:textId="557083F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0"/>
          <w:szCs w:val="16"/>
          <w:u w:val="single"/>
        </w:rPr>
      </w:pPr>
      <w:r w:rsidRPr="00E14A24">
        <w:rPr>
          <w:rStyle w:val="FootnoteReference"/>
          <w:szCs w:val="16"/>
        </w:rPr>
        <w:footnoteRef/>
      </w:r>
      <w:r w:rsidRPr="00E14A24">
        <w:rPr>
          <w:sz w:val="20"/>
          <w:szCs w:val="16"/>
          <w:vertAlign w:val="superscript"/>
        </w:rPr>
        <w:t xml:space="preserve"> </w:t>
      </w:r>
      <w:r w:rsidRPr="007432B2">
        <w:rPr>
          <w:color w:val="000000"/>
          <w:sz w:val="16"/>
          <w:szCs w:val="12"/>
        </w:rPr>
        <w:t>The requirement is at 42 CFR § 485.623(c)(4) but was incorrectly referenced as § 485.623(d)(4) in the prior package.</w:t>
      </w:r>
    </w:p>
    <w:p w:rsidR="00E14A24" w14:paraId="36C3E6A1" w14:textId="6DF317D6">
      <w:pPr>
        <w:pStyle w:val="FootnoteText"/>
      </w:pPr>
    </w:p>
  </w:footnote>
  <w:footnote w:id="6">
    <w:p w:rsidR="00DD5815" w:rsidP="00DD5815" w14:paraId="5F99E9E4" w14:textId="27FD9D7F">
      <w:pPr>
        <w:pStyle w:val="FootnoteText"/>
        <w:ind w:hanging="2"/>
      </w:pPr>
      <w:r>
        <w:rPr>
          <w:rStyle w:val="FootnoteReference"/>
        </w:rPr>
        <w:footnoteRef/>
      </w:r>
      <w:r>
        <w:t xml:space="preserve"> </w:t>
      </w:r>
      <w:hyperlink r:id="rId1" w:history="1">
        <w:r w:rsidRPr="001E0B22">
          <w:rPr>
            <w:rStyle w:val="Hyperlink"/>
            <w:sz w:val="16"/>
            <w:szCs w:val="16"/>
          </w:rPr>
          <w:t>Medicare and Medicaid Programs: Hospital Outpatient Prospective Payment and Ambulatory Surgical Center Payment Systems; Quality Reporting Programs, Including the Hospital Inpatient Quality Reporting Program; Health and Safety Standards for Obstetrical Services in Hospitals and Critical Access Hospitals; Prior Authorization; Requests for Information; Medicaid and CHIP Continuous Eligibility; Medicaid Clinic Services Four Walls Exceptions; Individuals Currently or Formerly in Custody of Penal Authorities; Revision to Medicare Special Enrollment Period for Formerly Incarcerated Individuals; and All-Inclusive Rate Add-On Payment for High-Cost Drugs Provided by Indian Health Service and Tribal Facilities</w:t>
        </w:r>
      </w:hyperlink>
      <w:r w:rsidRPr="001E0B22">
        <w:rPr>
          <w:sz w:val="16"/>
          <w:szCs w:val="16"/>
        </w:rPr>
        <w:t>, 89 FR 59186</w:t>
      </w:r>
      <w:r w:rsidR="006D041A">
        <w:rPr>
          <w:sz w:val="16"/>
          <w:szCs w:val="16"/>
        </w:rPr>
        <w:t xml:space="preserve">, </w:t>
      </w:r>
      <w:r w:rsidRPr="006D041A" w:rsidR="006D041A">
        <w:rPr>
          <w:sz w:val="16"/>
          <w:szCs w:val="16"/>
        </w:rPr>
        <w:t xml:space="preserve">59488-59500, </w:t>
      </w:r>
      <w:r w:rsidRPr="001E0B22">
        <w:rPr>
          <w:sz w:val="16"/>
          <w:szCs w:val="16"/>
        </w:rPr>
        <w:t>(July 22, 2024)</w:t>
      </w:r>
    </w:p>
  </w:footnote>
  <w:footnote w:id="7">
    <w:p w:rsidR="00DD5815" w:rsidP="00DD5815" w14:paraId="5F2256B0" w14:textId="7A90BCF8">
      <w:pPr>
        <w:pStyle w:val="FootnoteText"/>
      </w:pPr>
      <w:r w:rsidRPr="00324DC9">
        <w:rPr>
          <w:rStyle w:val="FootnoteReference"/>
          <w:sz w:val="16"/>
          <w:szCs w:val="16"/>
        </w:rPr>
        <w:footnoteRef/>
      </w:r>
      <w:r w:rsidRPr="00324DC9">
        <w:rPr>
          <w:sz w:val="16"/>
          <w:szCs w:val="16"/>
          <w:vertAlign w:val="superscript"/>
        </w:rPr>
        <w:t xml:space="preserve"> </w:t>
      </w:r>
      <w:r w:rsidRPr="006631BB">
        <w:rPr>
          <w:sz w:val="16"/>
          <w:szCs w:val="16"/>
        </w:rPr>
        <w:t xml:space="preserve">See 89 FR 59186, 59533. </w:t>
      </w:r>
      <w:r>
        <w:rPr>
          <w:sz w:val="16"/>
          <w:szCs w:val="16"/>
        </w:rPr>
        <w:t>CMS’ C</w:t>
      </w:r>
      <w:r w:rsidRPr="006631BB">
        <w:rPr>
          <w:sz w:val="16"/>
          <w:szCs w:val="16"/>
        </w:rPr>
        <w:t xml:space="preserve">ASPER (Certification and Survey Provider Enhanced Reports) Provider of Services File—Hospital &amp; Non-Hospital Facilities. Available at </w:t>
      </w:r>
      <w:r w:rsidRPr="00DD5815">
        <w:rPr>
          <w:i/>
          <w:iCs/>
          <w:sz w:val="16"/>
          <w:szCs w:val="16"/>
        </w:rPr>
        <w:t>https://data.cms.gov/provider-characteristics/hospitalsand-other-facilities/provider-of-services-filehospital-non-hospital-facilities/d</w:t>
      </w:r>
      <w:r>
        <w:rPr>
          <w:i/>
          <w:iCs/>
          <w:sz w:val="16"/>
          <w:szCs w:val="16"/>
        </w:rPr>
        <w:t>ata</w:t>
      </w:r>
      <w:r w:rsidRPr="006631BB">
        <w:rPr>
          <w:sz w:val="16"/>
          <w:szCs w:val="16"/>
        </w:rPr>
        <w:t>. Accessed April 10, 2024</w:t>
      </w:r>
      <w:r>
        <w:t>.</w:t>
      </w:r>
    </w:p>
  </w:footnote>
  <w:footnote w:id="8">
    <w:p w:rsidR="006631BB" w:rsidP="006631BB" w14:paraId="5CC4AB24" w14:textId="57A02DF9">
      <w:pPr>
        <w:pStyle w:val="FootnoteText"/>
      </w:pPr>
      <w:r>
        <w:rPr>
          <w:rStyle w:val="FootnoteReference"/>
        </w:rPr>
        <w:footnoteRef/>
      </w:r>
      <w:r>
        <w:t xml:space="preserve"> </w:t>
      </w:r>
      <w:r w:rsidRPr="006631BB">
        <w:rPr>
          <w:sz w:val="16"/>
          <w:szCs w:val="16"/>
        </w:rPr>
        <w:t xml:space="preserve">See 89 FR 59186, 59533. </w:t>
      </w:r>
      <w:r w:rsidR="00DD5815">
        <w:rPr>
          <w:sz w:val="16"/>
          <w:szCs w:val="16"/>
        </w:rPr>
        <w:t>CMS’ C</w:t>
      </w:r>
      <w:r w:rsidRPr="006631BB">
        <w:rPr>
          <w:sz w:val="16"/>
          <w:szCs w:val="16"/>
        </w:rPr>
        <w:t>ASPER (Certification and Survey Provider Enhanced Reports) Provider of Services File—Hospital &amp; Non-Hospital Facilities. Available at https://data.cms.gov/provider-characteristics/hospitalsand-other-facilities/provider-of-services-filehospital-non-hospital-facilities/data. Accessed April 10, 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ED5" w14:paraId="683CC0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ED5" w14:paraId="07C258A8" w14:textId="73948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ED5" w14:paraId="543B67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C7595"/>
    <w:multiLevelType w:val="hybridMultilevel"/>
    <w:tmpl w:val="64DE1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A708D"/>
    <w:multiLevelType w:val="hybridMultilevel"/>
    <w:tmpl w:val="01F67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9D1E4B"/>
    <w:multiLevelType w:val="hybridMultilevel"/>
    <w:tmpl w:val="0FE0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2273CE"/>
    <w:multiLevelType w:val="hybridMultilevel"/>
    <w:tmpl w:val="AB1488DE"/>
    <w:lvl w:ilvl="0">
      <w:start w:val="16"/>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DA10DCA"/>
    <w:multiLevelType w:val="hybridMultilevel"/>
    <w:tmpl w:val="B520446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35D1ABB"/>
    <w:multiLevelType w:val="singleLevel"/>
    <w:tmpl w:val="501C92BA"/>
    <w:lvl w:ilvl="0">
      <w:start w:val="1"/>
      <w:numFmt w:val="lowerRoman"/>
      <w:lvlText w:val="(%1)"/>
      <w:lvlJc w:val="left"/>
      <w:pPr>
        <w:tabs>
          <w:tab w:val="num" w:pos="720"/>
        </w:tabs>
        <w:ind w:left="720" w:hanging="720"/>
      </w:pPr>
      <w:rPr>
        <w:rFonts w:hint="default"/>
        <w:u w:val="none"/>
      </w:rPr>
    </w:lvl>
  </w:abstractNum>
  <w:abstractNum w:abstractNumId="6">
    <w:nsid w:val="162E1CA7"/>
    <w:multiLevelType w:val="singleLevel"/>
    <w:tmpl w:val="D8D4CE16"/>
    <w:lvl w:ilvl="0">
      <w:start w:val="2"/>
      <w:numFmt w:val="decimal"/>
      <w:lvlText w:val="%1."/>
      <w:lvlJc w:val="left"/>
      <w:pPr>
        <w:tabs>
          <w:tab w:val="num" w:pos="720"/>
        </w:tabs>
        <w:ind w:left="720" w:hanging="720"/>
      </w:pPr>
      <w:rPr>
        <w:rFonts w:hint="default"/>
      </w:rPr>
    </w:lvl>
  </w:abstractNum>
  <w:abstractNum w:abstractNumId="7">
    <w:nsid w:val="1F426037"/>
    <w:multiLevelType w:val="hybridMultilevel"/>
    <w:tmpl w:val="5682188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13B0A30"/>
    <w:multiLevelType w:val="hybridMultilevel"/>
    <w:tmpl w:val="1E66B3CC"/>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69B2F99"/>
    <w:multiLevelType w:val="hybridMultilevel"/>
    <w:tmpl w:val="7DD6F29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6F25A2B"/>
    <w:multiLevelType w:val="singleLevel"/>
    <w:tmpl w:val="0409000F"/>
    <w:lvl w:ilvl="0">
      <w:start w:val="10"/>
      <w:numFmt w:val="decimal"/>
      <w:lvlText w:val="%1."/>
      <w:lvlJc w:val="left"/>
      <w:pPr>
        <w:tabs>
          <w:tab w:val="num" w:pos="360"/>
        </w:tabs>
        <w:ind w:left="360" w:hanging="360"/>
      </w:pPr>
      <w:rPr>
        <w:rFonts w:hint="default"/>
      </w:rPr>
    </w:lvl>
  </w:abstractNum>
  <w:abstractNum w:abstractNumId="11">
    <w:nsid w:val="2732589D"/>
    <w:multiLevelType w:val="hybridMultilevel"/>
    <w:tmpl w:val="D65E59D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3">
    <w:nsid w:val="2D625193"/>
    <w:multiLevelType w:val="hybridMultilevel"/>
    <w:tmpl w:val="B19C575A"/>
    <w:lvl w:ilvl="0">
      <w:start w:val="1"/>
      <w:numFmt w:val="decimal"/>
      <w:lvlText w:val="%1."/>
      <w:lvlJc w:val="left"/>
      <w:pPr>
        <w:ind w:left="358" w:hanging="360"/>
      </w:pPr>
      <w:rPr>
        <w:rFonts w:hint="default"/>
        <w:b/>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4">
    <w:nsid w:val="2DEE33CF"/>
    <w:multiLevelType w:val="hybridMultilevel"/>
    <w:tmpl w:val="E9842E8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A9386E"/>
    <w:multiLevelType w:val="hybridMultilevel"/>
    <w:tmpl w:val="9E720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935F5A"/>
    <w:multiLevelType w:val="hybridMultilevel"/>
    <w:tmpl w:val="D9A2B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752F5A"/>
    <w:multiLevelType w:val="hybridMultilevel"/>
    <w:tmpl w:val="E9A27B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E12104"/>
    <w:multiLevelType w:val="hybridMultilevel"/>
    <w:tmpl w:val="9FCE308A"/>
    <w:lvl w:ilvl="0">
      <w:start w:val="1"/>
      <w:numFmt w:val="bullet"/>
      <w:lvlText w:val=""/>
      <w:lvlJc w:val="left"/>
      <w:pPr>
        <w:ind w:left="718" w:hanging="360"/>
      </w:pPr>
      <w:rPr>
        <w:rFonts w:ascii="Symbol" w:hAnsi="Symbol"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19">
    <w:nsid w:val="49DD565C"/>
    <w:multiLevelType w:val="hybridMultilevel"/>
    <w:tmpl w:val="095C80A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04D6977"/>
    <w:multiLevelType w:val="singleLevel"/>
    <w:tmpl w:val="8D965E70"/>
    <w:lvl w:ilvl="0">
      <w:start w:val="1"/>
      <w:numFmt w:val="decimal"/>
      <w:lvlText w:val="%1."/>
      <w:lvlJc w:val="left"/>
      <w:pPr>
        <w:tabs>
          <w:tab w:val="num" w:pos="720"/>
        </w:tabs>
        <w:ind w:left="720" w:hanging="720"/>
      </w:pPr>
      <w:rPr>
        <w:rFonts w:hint="default"/>
      </w:rPr>
    </w:lvl>
  </w:abstractNum>
  <w:abstractNum w:abstractNumId="21">
    <w:nsid w:val="53FC4231"/>
    <w:multiLevelType w:val="hybridMultilevel"/>
    <w:tmpl w:val="015438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116F35"/>
    <w:multiLevelType w:val="singleLevel"/>
    <w:tmpl w:val="0409000F"/>
    <w:lvl w:ilvl="0">
      <w:start w:val="3"/>
      <w:numFmt w:val="decimal"/>
      <w:lvlText w:val="%1."/>
      <w:lvlJc w:val="left"/>
      <w:pPr>
        <w:tabs>
          <w:tab w:val="num" w:pos="360"/>
        </w:tabs>
        <w:ind w:left="360" w:hanging="360"/>
      </w:pPr>
      <w:rPr>
        <w:rFonts w:hint="default"/>
      </w:rPr>
    </w:lvl>
  </w:abstractNum>
  <w:abstractNum w:abstractNumId="23">
    <w:nsid w:val="5A3614D3"/>
    <w:multiLevelType w:val="hybridMultilevel"/>
    <w:tmpl w:val="59FA4DFA"/>
    <w:lvl w:ilvl="0">
      <w:start w:val="1"/>
      <w:numFmt w:val="low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3F2165"/>
    <w:multiLevelType w:val="hybridMultilevel"/>
    <w:tmpl w:val="015438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235C69"/>
    <w:multiLevelType w:val="hybridMultilevel"/>
    <w:tmpl w:val="F9FE2788"/>
    <w:lvl w:ilvl="0">
      <w:start w:val="12"/>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EE3A58"/>
    <w:multiLevelType w:val="hybridMultilevel"/>
    <w:tmpl w:val="734A4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45590A"/>
    <w:multiLevelType w:val="hybridMultilevel"/>
    <w:tmpl w:val="E4E4B0E2"/>
    <w:lvl w:ilvl="0">
      <w:start w:val="1"/>
      <w:numFmt w:val="decimal"/>
      <w:lvlText w:val="(%1)"/>
      <w:lvlJc w:val="left"/>
      <w:pPr>
        <w:tabs>
          <w:tab w:val="num" w:pos="2505"/>
        </w:tabs>
        <w:ind w:left="2505" w:hanging="106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nsid w:val="748022A1"/>
    <w:multiLevelType w:val="hybridMultilevel"/>
    <w:tmpl w:val="0FE0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59485C"/>
    <w:multiLevelType w:val="hybridMultilevel"/>
    <w:tmpl w:val="BA96964C"/>
    <w:lvl w:ilvl="0">
      <w:start w:val="10"/>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0">
    <w:nsid w:val="78D56029"/>
    <w:multiLevelType w:val="hybridMultilevel"/>
    <w:tmpl w:val="8F8EA07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1">
    <w:nsid w:val="7A07366D"/>
    <w:multiLevelType w:val="hybridMultilevel"/>
    <w:tmpl w:val="C7466F14"/>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C594581"/>
    <w:multiLevelType w:val="hybridMultilevel"/>
    <w:tmpl w:val="72C457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8248733">
    <w:abstractNumId w:val="5"/>
  </w:num>
  <w:num w:numId="2" w16cid:durableId="1601640566">
    <w:abstractNumId w:val="12"/>
  </w:num>
  <w:num w:numId="3" w16cid:durableId="942420883">
    <w:abstractNumId w:val="20"/>
  </w:num>
  <w:num w:numId="4" w16cid:durableId="499732070">
    <w:abstractNumId w:val="22"/>
  </w:num>
  <w:num w:numId="5" w16cid:durableId="312375053">
    <w:abstractNumId w:val="10"/>
  </w:num>
  <w:num w:numId="6" w16cid:durableId="823161688">
    <w:abstractNumId w:val="6"/>
  </w:num>
  <w:num w:numId="7" w16cid:durableId="1646743650">
    <w:abstractNumId w:val="33"/>
  </w:num>
  <w:num w:numId="8" w16cid:durableId="1719167131">
    <w:abstractNumId w:val="23"/>
  </w:num>
  <w:num w:numId="9" w16cid:durableId="449667929">
    <w:abstractNumId w:val="27"/>
  </w:num>
  <w:num w:numId="10" w16cid:durableId="1424910966">
    <w:abstractNumId w:val="8"/>
  </w:num>
  <w:num w:numId="11" w16cid:durableId="325594659">
    <w:abstractNumId w:val="4"/>
  </w:num>
  <w:num w:numId="12" w16cid:durableId="1990818238">
    <w:abstractNumId w:val="7"/>
  </w:num>
  <w:num w:numId="13" w16cid:durableId="374891210">
    <w:abstractNumId w:val="32"/>
  </w:num>
  <w:num w:numId="14" w16cid:durableId="135032979">
    <w:abstractNumId w:val="9"/>
  </w:num>
  <w:num w:numId="15" w16cid:durableId="406727760">
    <w:abstractNumId w:val="31"/>
  </w:num>
  <w:num w:numId="16" w16cid:durableId="1907493981">
    <w:abstractNumId w:val="30"/>
  </w:num>
  <w:num w:numId="17" w16cid:durableId="305091758">
    <w:abstractNumId w:val="16"/>
  </w:num>
  <w:num w:numId="18" w16cid:durableId="1455520510">
    <w:abstractNumId w:val="15"/>
  </w:num>
  <w:num w:numId="19" w16cid:durableId="1196190670">
    <w:abstractNumId w:val="1"/>
  </w:num>
  <w:num w:numId="20" w16cid:durableId="2070228084">
    <w:abstractNumId w:val="26"/>
  </w:num>
  <w:num w:numId="21" w16cid:durableId="679820411">
    <w:abstractNumId w:val="17"/>
  </w:num>
  <w:num w:numId="22" w16cid:durableId="1021132242">
    <w:abstractNumId w:val="11"/>
  </w:num>
  <w:num w:numId="23" w16cid:durableId="100347720">
    <w:abstractNumId w:val="29"/>
  </w:num>
  <w:num w:numId="24" w16cid:durableId="241375736">
    <w:abstractNumId w:val="25"/>
  </w:num>
  <w:num w:numId="25" w16cid:durableId="163591628">
    <w:abstractNumId w:val="0"/>
  </w:num>
  <w:num w:numId="26" w16cid:durableId="560138875">
    <w:abstractNumId w:val="2"/>
  </w:num>
  <w:num w:numId="27" w16cid:durableId="1209874336">
    <w:abstractNumId w:val="13"/>
  </w:num>
  <w:num w:numId="28" w16cid:durableId="1087574114">
    <w:abstractNumId w:val="28"/>
  </w:num>
  <w:num w:numId="29" w16cid:durableId="726219901">
    <w:abstractNumId w:val="24"/>
  </w:num>
  <w:num w:numId="30" w16cid:durableId="340544507">
    <w:abstractNumId w:val="18"/>
  </w:num>
  <w:num w:numId="31" w16cid:durableId="653798428">
    <w:abstractNumId w:val="14"/>
  </w:num>
  <w:num w:numId="32" w16cid:durableId="1521815257">
    <w:abstractNumId w:val="19"/>
  </w:num>
  <w:num w:numId="33" w16cid:durableId="127826571">
    <w:abstractNumId w:val="21"/>
  </w:num>
  <w:num w:numId="34" w16cid:durableId="654723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46"/>
    <w:rsid w:val="000124A4"/>
    <w:rsid w:val="000141A6"/>
    <w:rsid w:val="00015F1A"/>
    <w:rsid w:val="00016C4A"/>
    <w:rsid w:val="00016CAF"/>
    <w:rsid w:val="0003222A"/>
    <w:rsid w:val="00036444"/>
    <w:rsid w:val="000417A8"/>
    <w:rsid w:val="00051C4E"/>
    <w:rsid w:val="00056FDB"/>
    <w:rsid w:val="0006109A"/>
    <w:rsid w:val="00062416"/>
    <w:rsid w:val="000715BB"/>
    <w:rsid w:val="00073834"/>
    <w:rsid w:val="0007490C"/>
    <w:rsid w:val="00077919"/>
    <w:rsid w:val="00077FA6"/>
    <w:rsid w:val="0008537B"/>
    <w:rsid w:val="00085F04"/>
    <w:rsid w:val="0009112C"/>
    <w:rsid w:val="00091ADB"/>
    <w:rsid w:val="00092EAF"/>
    <w:rsid w:val="000A0E7A"/>
    <w:rsid w:val="000A5ED5"/>
    <w:rsid w:val="000C055B"/>
    <w:rsid w:val="000C580A"/>
    <w:rsid w:val="000C5AED"/>
    <w:rsid w:val="000C69E4"/>
    <w:rsid w:val="000C78B6"/>
    <w:rsid w:val="000D15A3"/>
    <w:rsid w:val="000D54C8"/>
    <w:rsid w:val="000D5FB4"/>
    <w:rsid w:val="000D7A4E"/>
    <w:rsid w:val="000E4379"/>
    <w:rsid w:val="000F0AA4"/>
    <w:rsid w:val="000F299F"/>
    <w:rsid w:val="000F3E54"/>
    <w:rsid w:val="000F400B"/>
    <w:rsid w:val="000F5EA6"/>
    <w:rsid w:val="00102358"/>
    <w:rsid w:val="001033E0"/>
    <w:rsid w:val="001077F2"/>
    <w:rsid w:val="00117A84"/>
    <w:rsid w:val="00121A60"/>
    <w:rsid w:val="00122828"/>
    <w:rsid w:val="00125271"/>
    <w:rsid w:val="00127CF1"/>
    <w:rsid w:val="00137409"/>
    <w:rsid w:val="00137EB6"/>
    <w:rsid w:val="00140544"/>
    <w:rsid w:val="00141AAC"/>
    <w:rsid w:val="00141BB4"/>
    <w:rsid w:val="00141F53"/>
    <w:rsid w:val="00142BEC"/>
    <w:rsid w:val="00143314"/>
    <w:rsid w:val="00143D4C"/>
    <w:rsid w:val="0014745B"/>
    <w:rsid w:val="00157BA5"/>
    <w:rsid w:val="00163EA4"/>
    <w:rsid w:val="00164A0B"/>
    <w:rsid w:val="0017768A"/>
    <w:rsid w:val="00180268"/>
    <w:rsid w:val="0018216B"/>
    <w:rsid w:val="00182DD9"/>
    <w:rsid w:val="00183F71"/>
    <w:rsid w:val="00185CB9"/>
    <w:rsid w:val="00195043"/>
    <w:rsid w:val="00196385"/>
    <w:rsid w:val="00196655"/>
    <w:rsid w:val="001967CD"/>
    <w:rsid w:val="001A1544"/>
    <w:rsid w:val="001B1E9C"/>
    <w:rsid w:val="001B6A3F"/>
    <w:rsid w:val="001C2E20"/>
    <w:rsid w:val="001C6363"/>
    <w:rsid w:val="001C7972"/>
    <w:rsid w:val="001C7F3F"/>
    <w:rsid w:val="001D04FE"/>
    <w:rsid w:val="001D0FE0"/>
    <w:rsid w:val="001D1EE3"/>
    <w:rsid w:val="001E0B22"/>
    <w:rsid w:val="001F3083"/>
    <w:rsid w:val="002049B8"/>
    <w:rsid w:val="00206B47"/>
    <w:rsid w:val="00207ED7"/>
    <w:rsid w:val="00214E10"/>
    <w:rsid w:val="00214F62"/>
    <w:rsid w:val="002224DB"/>
    <w:rsid w:val="00226388"/>
    <w:rsid w:val="00227227"/>
    <w:rsid w:val="00232562"/>
    <w:rsid w:val="0023408B"/>
    <w:rsid w:val="00236003"/>
    <w:rsid w:val="00243644"/>
    <w:rsid w:val="002445D1"/>
    <w:rsid w:val="00246896"/>
    <w:rsid w:val="00246CA4"/>
    <w:rsid w:val="00256AA5"/>
    <w:rsid w:val="00257482"/>
    <w:rsid w:val="00260547"/>
    <w:rsid w:val="00263536"/>
    <w:rsid w:val="0026424E"/>
    <w:rsid w:val="002651B0"/>
    <w:rsid w:val="00275AF6"/>
    <w:rsid w:val="00284811"/>
    <w:rsid w:val="002920C1"/>
    <w:rsid w:val="00292B6F"/>
    <w:rsid w:val="00294C02"/>
    <w:rsid w:val="002A5753"/>
    <w:rsid w:val="002A6431"/>
    <w:rsid w:val="002A768B"/>
    <w:rsid w:val="002B036E"/>
    <w:rsid w:val="002B17F9"/>
    <w:rsid w:val="002B2653"/>
    <w:rsid w:val="002B3E21"/>
    <w:rsid w:val="002B4C8B"/>
    <w:rsid w:val="002B6F2C"/>
    <w:rsid w:val="002C14F2"/>
    <w:rsid w:val="002C3B6C"/>
    <w:rsid w:val="002C6689"/>
    <w:rsid w:val="002C6C87"/>
    <w:rsid w:val="002C7D59"/>
    <w:rsid w:val="002D0F87"/>
    <w:rsid w:val="002D160F"/>
    <w:rsid w:val="002D26B5"/>
    <w:rsid w:val="002D2E6B"/>
    <w:rsid w:val="002D57D9"/>
    <w:rsid w:val="002E05B9"/>
    <w:rsid w:val="002E1B3D"/>
    <w:rsid w:val="002E3054"/>
    <w:rsid w:val="002E5108"/>
    <w:rsid w:val="002F1278"/>
    <w:rsid w:val="002F41FE"/>
    <w:rsid w:val="002F6C0A"/>
    <w:rsid w:val="0030175E"/>
    <w:rsid w:val="0030416F"/>
    <w:rsid w:val="0030491F"/>
    <w:rsid w:val="00307221"/>
    <w:rsid w:val="00310671"/>
    <w:rsid w:val="00320D2D"/>
    <w:rsid w:val="003231A7"/>
    <w:rsid w:val="00324DC9"/>
    <w:rsid w:val="003311FA"/>
    <w:rsid w:val="00332534"/>
    <w:rsid w:val="0033372E"/>
    <w:rsid w:val="00333B62"/>
    <w:rsid w:val="00336C9D"/>
    <w:rsid w:val="00340831"/>
    <w:rsid w:val="00342B06"/>
    <w:rsid w:val="0034568B"/>
    <w:rsid w:val="00345E5F"/>
    <w:rsid w:val="00346350"/>
    <w:rsid w:val="00350CA7"/>
    <w:rsid w:val="003527B6"/>
    <w:rsid w:val="0035673F"/>
    <w:rsid w:val="00357F3E"/>
    <w:rsid w:val="00362FC9"/>
    <w:rsid w:val="00366B56"/>
    <w:rsid w:val="00370A40"/>
    <w:rsid w:val="00372B54"/>
    <w:rsid w:val="0037349E"/>
    <w:rsid w:val="00375B73"/>
    <w:rsid w:val="003833A9"/>
    <w:rsid w:val="00383F3E"/>
    <w:rsid w:val="00390DF1"/>
    <w:rsid w:val="003940BC"/>
    <w:rsid w:val="003944D7"/>
    <w:rsid w:val="003A2594"/>
    <w:rsid w:val="003A7FE0"/>
    <w:rsid w:val="003B39C7"/>
    <w:rsid w:val="003C1DA7"/>
    <w:rsid w:val="003C416E"/>
    <w:rsid w:val="003C5BE7"/>
    <w:rsid w:val="003C6E86"/>
    <w:rsid w:val="003D53B3"/>
    <w:rsid w:val="003D53FF"/>
    <w:rsid w:val="003D682D"/>
    <w:rsid w:val="003E313D"/>
    <w:rsid w:val="003E367E"/>
    <w:rsid w:val="003E6756"/>
    <w:rsid w:val="003E68B3"/>
    <w:rsid w:val="003F52E7"/>
    <w:rsid w:val="00402CF4"/>
    <w:rsid w:val="00407553"/>
    <w:rsid w:val="00410B6D"/>
    <w:rsid w:val="00411E81"/>
    <w:rsid w:val="004125DC"/>
    <w:rsid w:val="00417D79"/>
    <w:rsid w:val="0042184A"/>
    <w:rsid w:val="004230EE"/>
    <w:rsid w:val="00424581"/>
    <w:rsid w:val="004252BB"/>
    <w:rsid w:val="00431223"/>
    <w:rsid w:val="004317BE"/>
    <w:rsid w:val="00431DD8"/>
    <w:rsid w:val="00431F25"/>
    <w:rsid w:val="004347DE"/>
    <w:rsid w:val="00435206"/>
    <w:rsid w:val="00437B0F"/>
    <w:rsid w:val="004459CA"/>
    <w:rsid w:val="00446CE6"/>
    <w:rsid w:val="0044729E"/>
    <w:rsid w:val="00460248"/>
    <w:rsid w:val="00462171"/>
    <w:rsid w:val="00471193"/>
    <w:rsid w:val="00471894"/>
    <w:rsid w:val="00471E7D"/>
    <w:rsid w:val="0047791C"/>
    <w:rsid w:val="00477D3E"/>
    <w:rsid w:val="00482986"/>
    <w:rsid w:val="00482EFD"/>
    <w:rsid w:val="0049496A"/>
    <w:rsid w:val="004A0B78"/>
    <w:rsid w:val="004A12DE"/>
    <w:rsid w:val="004A41F5"/>
    <w:rsid w:val="004A7EFA"/>
    <w:rsid w:val="004B1485"/>
    <w:rsid w:val="004C0A06"/>
    <w:rsid w:val="004C0D40"/>
    <w:rsid w:val="004C139D"/>
    <w:rsid w:val="004C3E56"/>
    <w:rsid w:val="004C55F3"/>
    <w:rsid w:val="004C6479"/>
    <w:rsid w:val="004C7352"/>
    <w:rsid w:val="004C75F1"/>
    <w:rsid w:val="004D011A"/>
    <w:rsid w:val="004D347C"/>
    <w:rsid w:val="004D4F1B"/>
    <w:rsid w:val="004D50DD"/>
    <w:rsid w:val="004D510B"/>
    <w:rsid w:val="004E3A3D"/>
    <w:rsid w:val="004F096A"/>
    <w:rsid w:val="00500607"/>
    <w:rsid w:val="00500F59"/>
    <w:rsid w:val="0050371B"/>
    <w:rsid w:val="00505840"/>
    <w:rsid w:val="00506B54"/>
    <w:rsid w:val="00521C34"/>
    <w:rsid w:val="0052578C"/>
    <w:rsid w:val="00531E05"/>
    <w:rsid w:val="00541383"/>
    <w:rsid w:val="0054260C"/>
    <w:rsid w:val="005433D2"/>
    <w:rsid w:val="0054404A"/>
    <w:rsid w:val="005466F7"/>
    <w:rsid w:val="005477E9"/>
    <w:rsid w:val="00553B12"/>
    <w:rsid w:val="005579DE"/>
    <w:rsid w:val="00557A7E"/>
    <w:rsid w:val="0056094B"/>
    <w:rsid w:val="00561BBA"/>
    <w:rsid w:val="00564AF4"/>
    <w:rsid w:val="00564B7B"/>
    <w:rsid w:val="00565BF1"/>
    <w:rsid w:val="005669EA"/>
    <w:rsid w:val="00566A0D"/>
    <w:rsid w:val="00566C00"/>
    <w:rsid w:val="00567C7F"/>
    <w:rsid w:val="0057046B"/>
    <w:rsid w:val="00574E2C"/>
    <w:rsid w:val="00576CB5"/>
    <w:rsid w:val="005771E3"/>
    <w:rsid w:val="00583B45"/>
    <w:rsid w:val="005853DC"/>
    <w:rsid w:val="00586DBC"/>
    <w:rsid w:val="00591051"/>
    <w:rsid w:val="00595AC2"/>
    <w:rsid w:val="00595CB9"/>
    <w:rsid w:val="0059600B"/>
    <w:rsid w:val="00596907"/>
    <w:rsid w:val="005A38C4"/>
    <w:rsid w:val="005A52FB"/>
    <w:rsid w:val="005A58FC"/>
    <w:rsid w:val="005B177E"/>
    <w:rsid w:val="005B69EE"/>
    <w:rsid w:val="005B7A9C"/>
    <w:rsid w:val="005C71CB"/>
    <w:rsid w:val="005D21A8"/>
    <w:rsid w:val="005E0177"/>
    <w:rsid w:val="005E0D70"/>
    <w:rsid w:val="005E30F0"/>
    <w:rsid w:val="005E3127"/>
    <w:rsid w:val="005E432D"/>
    <w:rsid w:val="005E784D"/>
    <w:rsid w:val="005F001C"/>
    <w:rsid w:val="005F64FB"/>
    <w:rsid w:val="0060007F"/>
    <w:rsid w:val="00600174"/>
    <w:rsid w:val="0060168F"/>
    <w:rsid w:val="00601769"/>
    <w:rsid w:val="00601A3F"/>
    <w:rsid w:val="00601DDD"/>
    <w:rsid w:val="006022A2"/>
    <w:rsid w:val="006026FE"/>
    <w:rsid w:val="0060333D"/>
    <w:rsid w:val="00607404"/>
    <w:rsid w:val="00610C26"/>
    <w:rsid w:val="00613E3C"/>
    <w:rsid w:val="00615423"/>
    <w:rsid w:val="00616A38"/>
    <w:rsid w:val="00617587"/>
    <w:rsid w:val="0062012E"/>
    <w:rsid w:val="0062244F"/>
    <w:rsid w:val="006264B6"/>
    <w:rsid w:val="006273C6"/>
    <w:rsid w:val="00627F13"/>
    <w:rsid w:val="006353FA"/>
    <w:rsid w:val="006376F9"/>
    <w:rsid w:val="00643B3D"/>
    <w:rsid w:val="00645A82"/>
    <w:rsid w:val="00645D00"/>
    <w:rsid w:val="0064690F"/>
    <w:rsid w:val="00655E21"/>
    <w:rsid w:val="0065720D"/>
    <w:rsid w:val="006631BB"/>
    <w:rsid w:val="006635B8"/>
    <w:rsid w:val="00663CA5"/>
    <w:rsid w:val="00670D00"/>
    <w:rsid w:val="00671E31"/>
    <w:rsid w:val="006760C0"/>
    <w:rsid w:val="00680066"/>
    <w:rsid w:val="00684540"/>
    <w:rsid w:val="006870ED"/>
    <w:rsid w:val="0068781E"/>
    <w:rsid w:val="006879DB"/>
    <w:rsid w:val="006915A4"/>
    <w:rsid w:val="00693CB2"/>
    <w:rsid w:val="00694FAA"/>
    <w:rsid w:val="006955EA"/>
    <w:rsid w:val="00696110"/>
    <w:rsid w:val="00697484"/>
    <w:rsid w:val="006A0F0C"/>
    <w:rsid w:val="006A4476"/>
    <w:rsid w:val="006B3F7D"/>
    <w:rsid w:val="006C1E30"/>
    <w:rsid w:val="006C4938"/>
    <w:rsid w:val="006D041A"/>
    <w:rsid w:val="006D28A0"/>
    <w:rsid w:val="006D5E71"/>
    <w:rsid w:val="006D7AD2"/>
    <w:rsid w:val="006E079E"/>
    <w:rsid w:val="006E122F"/>
    <w:rsid w:val="006E43D9"/>
    <w:rsid w:val="006E48E1"/>
    <w:rsid w:val="006F0FC7"/>
    <w:rsid w:val="00700928"/>
    <w:rsid w:val="00700DAB"/>
    <w:rsid w:val="00702172"/>
    <w:rsid w:val="0070266C"/>
    <w:rsid w:val="00704F5C"/>
    <w:rsid w:val="00706A3A"/>
    <w:rsid w:val="00710436"/>
    <w:rsid w:val="00710F80"/>
    <w:rsid w:val="00711189"/>
    <w:rsid w:val="0071386A"/>
    <w:rsid w:val="00717D94"/>
    <w:rsid w:val="00720E53"/>
    <w:rsid w:val="00723707"/>
    <w:rsid w:val="0072470E"/>
    <w:rsid w:val="00725EB4"/>
    <w:rsid w:val="007262C2"/>
    <w:rsid w:val="00727817"/>
    <w:rsid w:val="00727D27"/>
    <w:rsid w:val="00730288"/>
    <w:rsid w:val="00732D1B"/>
    <w:rsid w:val="007432B2"/>
    <w:rsid w:val="00744582"/>
    <w:rsid w:val="0075186A"/>
    <w:rsid w:val="0075206A"/>
    <w:rsid w:val="007536D0"/>
    <w:rsid w:val="00756D13"/>
    <w:rsid w:val="00757010"/>
    <w:rsid w:val="00757C1B"/>
    <w:rsid w:val="0076173D"/>
    <w:rsid w:val="007630AB"/>
    <w:rsid w:val="007632FD"/>
    <w:rsid w:val="00767ACF"/>
    <w:rsid w:val="0077153E"/>
    <w:rsid w:val="00773AA6"/>
    <w:rsid w:val="007748D8"/>
    <w:rsid w:val="0078115D"/>
    <w:rsid w:val="00783422"/>
    <w:rsid w:val="00790500"/>
    <w:rsid w:val="007917D4"/>
    <w:rsid w:val="00791895"/>
    <w:rsid w:val="00795AE3"/>
    <w:rsid w:val="007A400B"/>
    <w:rsid w:val="007A6DD8"/>
    <w:rsid w:val="007A744D"/>
    <w:rsid w:val="007B01FA"/>
    <w:rsid w:val="007B031E"/>
    <w:rsid w:val="007B4D2D"/>
    <w:rsid w:val="007C02B9"/>
    <w:rsid w:val="007C05D5"/>
    <w:rsid w:val="007C4EC1"/>
    <w:rsid w:val="007C59C0"/>
    <w:rsid w:val="007D1E3A"/>
    <w:rsid w:val="007E0A99"/>
    <w:rsid w:val="007E3647"/>
    <w:rsid w:val="007E4424"/>
    <w:rsid w:val="007E7EF8"/>
    <w:rsid w:val="007F04CE"/>
    <w:rsid w:val="007F1665"/>
    <w:rsid w:val="007F42FE"/>
    <w:rsid w:val="007F7A1B"/>
    <w:rsid w:val="0080047C"/>
    <w:rsid w:val="00802768"/>
    <w:rsid w:val="0080712E"/>
    <w:rsid w:val="00815951"/>
    <w:rsid w:val="008177B2"/>
    <w:rsid w:val="00821959"/>
    <w:rsid w:val="0082324E"/>
    <w:rsid w:val="0082693A"/>
    <w:rsid w:val="00827299"/>
    <w:rsid w:val="0082757E"/>
    <w:rsid w:val="008312AE"/>
    <w:rsid w:val="00833BC4"/>
    <w:rsid w:val="008375AD"/>
    <w:rsid w:val="00840CC0"/>
    <w:rsid w:val="0084181E"/>
    <w:rsid w:val="008424EB"/>
    <w:rsid w:val="00854DDD"/>
    <w:rsid w:val="008559AC"/>
    <w:rsid w:val="00857E84"/>
    <w:rsid w:val="00860426"/>
    <w:rsid w:val="008612FD"/>
    <w:rsid w:val="008616A9"/>
    <w:rsid w:val="00867B5A"/>
    <w:rsid w:val="00867DEC"/>
    <w:rsid w:val="008717A3"/>
    <w:rsid w:val="008721CB"/>
    <w:rsid w:val="0087464E"/>
    <w:rsid w:val="00876C34"/>
    <w:rsid w:val="00887F07"/>
    <w:rsid w:val="00892760"/>
    <w:rsid w:val="008936D1"/>
    <w:rsid w:val="00894BDC"/>
    <w:rsid w:val="00895001"/>
    <w:rsid w:val="008957D9"/>
    <w:rsid w:val="00897BB0"/>
    <w:rsid w:val="008A0ED4"/>
    <w:rsid w:val="008A2800"/>
    <w:rsid w:val="008A2D1A"/>
    <w:rsid w:val="008B64AC"/>
    <w:rsid w:val="008C1A94"/>
    <w:rsid w:val="008C2989"/>
    <w:rsid w:val="008C29D9"/>
    <w:rsid w:val="008C5383"/>
    <w:rsid w:val="008C7299"/>
    <w:rsid w:val="008D0229"/>
    <w:rsid w:val="008D6EF5"/>
    <w:rsid w:val="008E24EE"/>
    <w:rsid w:val="008F036B"/>
    <w:rsid w:val="008F1543"/>
    <w:rsid w:val="008F4C61"/>
    <w:rsid w:val="008F7BF5"/>
    <w:rsid w:val="00900C8C"/>
    <w:rsid w:val="0090105D"/>
    <w:rsid w:val="00901351"/>
    <w:rsid w:val="00904B5D"/>
    <w:rsid w:val="009109BE"/>
    <w:rsid w:val="00916DB8"/>
    <w:rsid w:val="0092142E"/>
    <w:rsid w:val="00922353"/>
    <w:rsid w:val="00923C60"/>
    <w:rsid w:val="00924CD4"/>
    <w:rsid w:val="00932399"/>
    <w:rsid w:val="00941535"/>
    <w:rsid w:val="00941705"/>
    <w:rsid w:val="00941D92"/>
    <w:rsid w:val="00942E49"/>
    <w:rsid w:val="009442CE"/>
    <w:rsid w:val="00944554"/>
    <w:rsid w:val="009465F9"/>
    <w:rsid w:val="009512C4"/>
    <w:rsid w:val="0095148B"/>
    <w:rsid w:val="00953E34"/>
    <w:rsid w:val="00954359"/>
    <w:rsid w:val="00961953"/>
    <w:rsid w:val="00963E1A"/>
    <w:rsid w:val="00964806"/>
    <w:rsid w:val="00964A4D"/>
    <w:rsid w:val="0096713A"/>
    <w:rsid w:val="00970B31"/>
    <w:rsid w:val="00971C6B"/>
    <w:rsid w:val="00972F99"/>
    <w:rsid w:val="0097670E"/>
    <w:rsid w:val="00977583"/>
    <w:rsid w:val="009776A5"/>
    <w:rsid w:val="00977945"/>
    <w:rsid w:val="00980188"/>
    <w:rsid w:val="00982026"/>
    <w:rsid w:val="0098249E"/>
    <w:rsid w:val="00990082"/>
    <w:rsid w:val="00990969"/>
    <w:rsid w:val="00992734"/>
    <w:rsid w:val="00992D33"/>
    <w:rsid w:val="00996972"/>
    <w:rsid w:val="00997F8A"/>
    <w:rsid w:val="009A06C1"/>
    <w:rsid w:val="009A1D1D"/>
    <w:rsid w:val="009A484F"/>
    <w:rsid w:val="009A5E17"/>
    <w:rsid w:val="009B16AF"/>
    <w:rsid w:val="009B3FC0"/>
    <w:rsid w:val="009B49EB"/>
    <w:rsid w:val="009B5210"/>
    <w:rsid w:val="009C17B5"/>
    <w:rsid w:val="009C1989"/>
    <w:rsid w:val="009C1D80"/>
    <w:rsid w:val="009C3E26"/>
    <w:rsid w:val="009C44FE"/>
    <w:rsid w:val="009C533E"/>
    <w:rsid w:val="009C6764"/>
    <w:rsid w:val="009D117B"/>
    <w:rsid w:val="009D3E50"/>
    <w:rsid w:val="009D5C4F"/>
    <w:rsid w:val="009D6927"/>
    <w:rsid w:val="009D75F6"/>
    <w:rsid w:val="009E1B54"/>
    <w:rsid w:val="009E43AD"/>
    <w:rsid w:val="009F0D91"/>
    <w:rsid w:val="00A006BD"/>
    <w:rsid w:val="00A018DC"/>
    <w:rsid w:val="00A01CA9"/>
    <w:rsid w:val="00A0255D"/>
    <w:rsid w:val="00A02E90"/>
    <w:rsid w:val="00A044C6"/>
    <w:rsid w:val="00A05028"/>
    <w:rsid w:val="00A05DB0"/>
    <w:rsid w:val="00A10C58"/>
    <w:rsid w:val="00A1105D"/>
    <w:rsid w:val="00A15A4A"/>
    <w:rsid w:val="00A15E24"/>
    <w:rsid w:val="00A20071"/>
    <w:rsid w:val="00A222FC"/>
    <w:rsid w:val="00A25A11"/>
    <w:rsid w:val="00A25D8E"/>
    <w:rsid w:val="00A30C35"/>
    <w:rsid w:val="00A34E8A"/>
    <w:rsid w:val="00A35520"/>
    <w:rsid w:val="00A36947"/>
    <w:rsid w:val="00A42596"/>
    <w:rsid w:val="00A42CED"/>
    <w:rsid w:val="00A4381F"/>
    <w:rsid w:val="00A52D72"/>
    <w:rsid w:val="00A56947"/>
    <w:rsid w:val="00A6085A"/>
    <w:rsid w:val="00A60AEE"/>
    <w:rsid w:val="00A60E88"/>
    <w:rsid w:val="00A63F87"/>
    <w:rsid w:val="00A75A74"/>
    <w:rsid w:val="00A8176D"/>
    <w:rsid w:val="00A86FD6"/>
    <w:rsid w:val="00A90817"/>
    <w:rsid w:val="00A9283C"/>
    <w:rsid w:val="00A93F9D"/>
    <w:rsid w:val="00A94E14"/>
    <w:rsid w:val="00A95F06"/>
    <w:rsid w:val="00A96FB8"/>
    <w:rsid w:val="00A97726"/>
    <w:rsid w:val="00AA1239"/>
    <w:rsid w:val="00AA1DD2"/>
    <w:rsid w:val="00AA39A9"/>
    <w:rsid w:val="00AA48A4"/>
    <w:rsid w:val="00AA6641"/>
    <w:rsid w:val="00AB2467"/>
    <w:rsid w:val="00AB5C99"/>
    <w:rsid w:val="00AB72B9"/>
    <w:rsid w:val="00AC02EF"/>
    <w:rsid w:val="00AC6B11"/>
    <w:rsid w:val="00AC6E1F"/>
    <w:rsid w:val="00AD25FF"/>
    <w:rsid w:val="00AD6A00"/>
    <w:rsid w:val="00AD7827"/>
    <w:rsid w:val="00AE0384"/>
    <w:rsid w:val="00AE1198"/>
    <w:rsid w:val="00AF6343"/>
    <w:rsid w:val="00B00CEB"/>
    <w:rsid w:val="00B017FD"/>
    <w:rsid w:val="00B02232"/>
    <w:rsid w:val="00B044D6"/>
    <w:rsid w:val="00B11752"/>
    <w:rsid w:val="00B11C17"/>
    <w:rsid w:val="00B12D6A"/>
    <w:rsid w:val="00B14CA2"/>
    <w:rsid w:val="00B162EB"/>
    <w:rsid w:val="00B20B45"/>
    <w:rsid w:val="00B21814"/>
    <w:rsid w:val="00B26AFA"/>
    <w:rsid w:val="00B2766E"/>
    <w:rsid w:val="00B42370"/>
    <w:rsid w:val="00B51277"/>
    <w:rsid w:val="00B52C02"/>
    <w:rsid w:val="00B54441"/>
    <w:rsid w:val="00B55907"/>
    <w:rsid w:val="00B61974"/>
    <w:rsid w:val="00B63B02"/>
    <w:rsid w:val="00B73253"/>
    <w:rsid w:val="00B75F62"/>
    <w:rsid w:val="00B8084D"/>
    <w:rsid w:val="00B86E16"/>
    <w:rsid w:val="00B87225"/>
    <w:rsid w:val="00B9325C"/>
    <w:rsid w:val="00BA46A6"/>
    <w:rsid w:val="00BA5942"/>
    <w:rsid w:val="00BC1E7F"/>
    <w:rsid w:val="00BC2B4C"/>
    <w:rsid w:val="00BC4B02"/>
    <w:rsid w:val="00BC6CB1"/>
    <w:rsid w:val="00BD1944"/>
    <w:rsid w:val="00BD45CE"/>
    <w:rsid w:val="00BD6976"/>
    <w:rsid w:val="00BE0379"/>
    <w:rsid w:val="00BE0971"/>
    <w:rsid w:val="00BF3C84"/>
    <w:rsid w:val="00BF60B9"/>
    <w:rsid w:val="00C007DA"/>
    <w:rsid w:val="00C01212"/>
    <w:rsid w:val="00C012C2"/>
    <w:rsid w:val="00C040AC"/>
    <w:rsid w:val="00C05F46"/>
    <w:rsid w:val="00C07B98"/>
    <w:rsid w:val="00C1282F"/>
    <w:rsid w:val="00C13220"/>
    <w:rsid w:val="00C14DD5"/>
    <w:rsid w:val="00C16B46"/>
    <w:rsid w:val="00C21A75"/>
    <w:rsid w:val="00C37FEA"/>
    <w:rsid w:val="00C40096"/>
    <w:rsid w:val="00C44BBC"/>
    <w:rsid w:val="00C459C2"/>
    <w:rsid w:val="00C46080"/>
    <w:rsid w:val="00C46FFE"/>
    <w:rsid w:val="00C5270F"/>
    <w:rsid w:val="00C54CD2"/>
    <w:rsid w:val="00C60C5C"/>
    <w:rsid w:val="00C60CA3"/>
    <w:rsid w:val="00C614CA"/>
    <w:rsid w:val="00C62379"/>
    <w:rsid w:val="00C70E62"/>
    <w:rsid w:val="00C737E9"/>
    <w:rsid w:val="00C75CCD"/>
    <w:rsid w:val="00C7619D"/>
    <w:rsid w:val="00C76633"/>
    <w:rsid w:val="00C81CFA"/>
    <w:rsid w:val="00C9044D"/>
    <w:rsid w:val="00C91B20"/>
    <w:rsid w:val="00C91C22"/>
    <w:rsid w:val="00C929A2"/>
    <w:rsid w:val="00C92EAA"/>
    <w:rsid w:val="00C93CFC"/>
    <w:rsid w:val="00C95982"/>
    <w:rsid w:val="00C97BF8"/>
    <w:rsid w:val="00CA14B3"/>
    <w:rsid w:val="00CB2889"/>
    <w:rsid w:val="00CB2AA3"/>
    <w:rsid w:val="00CB3EE2"/>
    <w:rsid w:val="00CB467C"/>
    <w:rsid w:val="00CB4816"/>
    <w:rsid w:val="00CB6B8D"/>
    <w:rsid w:val="00CB798D"/>
    <w:rsid w:val="00CC2D55"/>
    <w:rsid w:val="00CC60CF"/>
    <w:rsid w:val="00CD17AD"/>
    <w:rsid w:val="00CD1B2B"/>
    <w:rsid w:val="00CD6470"/>
    <w:rsid w:val="00CD7FA6"/>
    <w:rsid w:val="00CE2B40"/>
    <w:rsid w:val="00CE5CF1"/>
    <w:rsid w:val="00CE6147"/>
    <w:rsid w:val="00CF043C"/>
    <w:rsid w:val="00CF13D4"/>
    <w:rsid w:val="00CF5ACC"/>
    <w:rsid w:val="00D02DC9"/>
    <w:rsid w:val="00D065D5"/>
    <w:rsid w:val="00D10718"/>
    <w:rsid w:val="00D11884"/>
    <w:rsid w:val="00D12920"/>
    <w:rsid w:val="00D15498"/>
    <w:rsid w:val="00D1680C"/>
    <w:rsid w:val="00D16D12"/>
    <w:rsid w:val="00D20AF8"/>
    <w:rsid w:val="00D30268"/>
    <w:rsid w:val="00D32F4B"/>
    <w:rsid w:val="00D34F47"/>
    <w:rsid w:val="00D36695"/>
    <w:rsid w:val="00D37641"/>
    <w:rsid w:val="00D44797"/>
    <w:rsid w:val="00D44E74"/>
    <w:rsid w:val="00D45FAE"/>
    <w:rsid w:val="00D473FE"/>
    <w:rsid w:val="00D52676"/>
    <w:rsid w:val="00D54667"/>
    <w:rsid w:val="00D57D08"/>
    <w:rsid w:val="00D638CD"/>
    <w:rsid w:val="00D6435F"/>
    <w:rsid w:val="00D70D46"/>
    <w:rsid w:val="00D75A0C"/>
    <w:rsid w:val="00D77981"/>
    <w:rsid w:val="00D803FC"/>
    <w:rsid w:val="00D818A5"/>
    <w:rsid w:val="00D832EB"/>
    <w:rsid w:val="00D900B1"/>
    <w:rsid w:val="00D93476"/>
    <w:rsid w:val="00DA0B2B"/>
    <w:rsid w:val="00DB20F1"/>
    <w:rsid w:val="00DB2217"/>
    <w:rsid w:val="00DB287B"/>
    <w:rsid w:val="00DB2BDE"/>
    <w:rsid w:val="00DB4FCB"/>
    <w:rsid w:val="00DB5EA8"/>
    <w:rsid w:val="00DB6442"/>
    <w:rsid w:val="00DC0E2D"/>
    <w:rsid w:val="00DC21D0"/>
    <w:rsid w:val="00DC642C"/>
    <w:rsid w:val="00DD1D01"/>
    <w:rsid w:val="00DD3580"/>
    <w:rsid w:val="00DD5815"/>
    <w:rsid w:val="00DE7E11"/>
    <w:rsid w:val="00DF2D09"/>
    <w:rsid w:val="00DF4116"/>
    <w:rsid w:val="00E02F3D"/>
    <w:rsid w:val="00E03A3E"/>
    <w:rsid w:val="00E069B6"/>
    <w:rsid w:val="00E12B0B"/>
    <w:rsid w:val="00E14A24"/>
    <w:rsid w:val="00E17C94"/>
    <w:rsid w:val="00E22D4F"/>
    <w:rsid w:val="00E23E7E"/>
    <w:rsid w:val="00E31696"/>
    <w:rsid w:val="00E32856"/>
    <w:rsid w:val="00E33798"/>
    <w:rsid w:val="00E33A15"/>
    <w:rsid w:val="00E3516C"/>
    <w:rsid w:val="00E37D92"/>
    <w:rsid w:val="00E42BEE"/>
    <w:rsid w:val="00E44377"/>
    <w:rsid w:val="00E518D4"/>
    <w:rsid w:val="00E56C48"/>
    <w:rsid w:val="00E606CD"/>
    <w:rsid w:val="00E60DDE"/>
    <w:rsid w:val="00E63724"/>
    <w:rsid w:val="00E72B07"/>
    <w:rsid w:val="00E72FFB"/>
    <w:rsid w:val="00E744E5"/>
    <w:rsid w:val="00E753AE"/>
    <w:rsid w:val="00E847A7"/>
    <w:rsid w:val="00E85236"/>
    <w:rsid w:val="00E914F3"/>
    <w:rsid w:val="00E9324C"/>
    <w:rsid w:val="00EA30A7"/>
    <w:rsid w:val="00EA6122"/>
    <w:rsid w:val="00EA6B74"/>
    <w:rsid w:val="00EB64B5"/>
    <w:rsid w:val="00EC450C"/>
    <w:rsid w:val="00ED32B7"/>
    <w:rsid w:val="00ED54AB"/>
    <w:rsid w:val="00ED5750"/>
    <w:rsid w:val="00ED6273"/>
    <w:rsid w:val="00EE19D7"/>
    <w:rsid w:val="00EE63A3"/>
    <w:rsid w:val="00EF09D3"/>
    <w:rsid w:val="00EF2BC1"/>
    <w:rsid w:val="00F01C3B"/>
    <w:rsid w:val="00F05094"/>
    <w:rsid w:val="00F05245"/>
    <w:rsid w:val="00F06657"/>
    <w:rsid w:val="00F12539"/>
    <w:rsid w:val="00F255F8"/>
    <w:rsid w:val="00F258E6"/>
    <w:rsid w:val="00F30A78"/>
    <w:rsid w:val="00F30D3E"/>
    <w:rsid w:val="00F41BA8"/>
    <w:rsid w:val="00F42F04"/>
    <w:rsid w:val="00F45BDD"/>
    <w:rsid w:val="00F60705"/>
    <w:rsid w:val="00F66053"/>
    <w:rsid w:val="00F7587E"/>
    <w:rsid w:val="00F764B5"/>
    <w:rsid w:val="00F846A2"/>
    <w:rsid w:val="00F91615"/>
    <w:rsid w:val="00F9474E"/>
    <w:rsid w:val="00F94D21"/>
    <w:rsid w:val="00FA2899"/>
    <w:rsid w:val="00FA2CE6"/>
    <w:rsid w:val="00FA62F5"/>
    <w:rsid w:val="00FB41EF"/>
    <w:rsid w:val="00FB5E47"/>
    <w:rsid w:val="00FB6163"/>
    <w:rsid w:val="00FC023F"/>
    <w:rsid w:val="00FC2B2A"/>
    <w:rsid w:val="00FC5B44"/>
    <w:rsid w:val="00FC6198"/>
    <w:rsid w:val="00FC62A1"/>
    <w:rsid w:val="00FD47A8"/>
    <w:rsid w:val="00FE1DA7"/>
    <w:rsid w:val="00FE2DAD"/>
    <w:rsid w:val="00FE37BF"/>
    <w:rsid w:val="00FF1DC0"/>
    <w:rsid w:val="00FF3616"/>
    <w:rsid w:val="00FF4E40"/>
    <w:rsid w:val="00FF7950"/>
    <w:rsid w:val="00FF7D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BED0D5"/>
  <w15:chartTrackingRefBased/>
  <w15:docId w15:val="{96AC2E50-D184-4F66-AC3F-84017189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44D6"/>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outlineLvl w:val="1"/>
    </w:pPr>
    <w:rPr>
      <w:b/>
    </w:rPr>
  </w:style>
  <w:style w:type="paragraph" w:styleId="Heading3">
    <w:name w:val="heading 3"/>
    <w:basedOn w:val="Normal"/>
    <w:next w:val="Normal"/>
    <w:qFormat/>
    <w:pPr>
      <w:keepNext/>
      <w:tabs>
        <w:tab w:val="left" w:pos="-1440"/>
      </w:tabs>
      <w:ind w:left="4320" w:hanging="3600"/>
      <w:outlineLvl w:val="2"/>
    </w:pPr>
    <w:rPr>
      <w:b/>
      <w:bCs/>
    </w:rPr>
  </w:style>
  <w:style w:type="paragraph" w:styleId="Heading4">
    <w:name w:val="heading 4"/>
    <w:basedOn w:val="Normal"/>
    <w:next w:val="Normal"/>
    <w:link w:val="Heading4Char"/>
    <w:semiHidden/>
    <w:unhideWhenUsed/>
    <w:qFormat/>
    <w:rsid w:val="005477E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477E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Pr>
      <w:snapToGrid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Baskerville Old Face" w:hAnsi="Baskerville Old Face"/>
      <w:snapToGrid w:val="0"/>
      <w:u w:val="single"/>
    </w:rPr>
  </w:style>
  <w:style w:type="character" w:styleId="Hyperlink">
    <w:name w:val="Hyperlink"/>
    <w:rPr>
      <w:color w:val="0000FF"/>
      <w:u w:val="single"/>
    </w:rPr>
  </w:style>
  <w:style w:type="paragraph" w:styleId="BodyTextIndent2">
    <w:name w:val="Body Text Indent 2"/>
    <w:basedOn w:val="Normal"/>
    <w:pPr>
      <w:ind w:left="720"/>
    </w:pPr>
  </w:style>
  <w:style w:type="paragraph" w:styleId="BodyText">
    <w:name w:val="Body Text"/>
    <w:basedOn w:val="Normal"/>
    <w:rPr>
      <w:b/>
      <w:bCs/>
    </w:rPr>
  </w:style>
  <w:style w:type="paragraph" w:styleId="BodyTextIndent3">
    <w:name w:val="Body Text Indent 3"/>
    <w:basedOn w:val="Normal"/>
    <w:pPr>
      <w:tabs>
        <w:tab w:val="left" w:pos="-1440"/>
      </w:tabs>
      <w:ind w:left="720" w:hanging="720"/>
    </w:pPr>
    <w:rPr>
      <w:b/>
      <w:bCs/>
    </w:rPr>
  </w:style>
  <w:style w:type="paragraph" w:styleId="BalloonText">
    <w:name w:val="Balloon Text"/>
    <w:basedOn w:val="Normal"/>
    <w:semiHidden/>
    <w:rsid w:val="008C5383"/>
    <w:rPr>
      <w:rFonts w:ascii="Tahoma" w:hAnsi="Tahoma" w:cs="Tahoma"/>
      <w:sz w:val="16"/>
      <w:szCs w:val="16"/>
    </w:rPr>
  </w:style>
  <w:style w:type="table" w:styleId="TableGrid">
    <w:name w:val="Table Grid"/>
    <w:basedOn w:val="TableNormal"/>
    <w:uiPriority w:val="39"/>
    <w:rsid w:val="00CD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qFormat/>
    <w:rsid w:val="00D32F4B"/>
    <w:rPr>
      <w:rFonts w:ascii="Times New Roman" w:hAnsi="Times New Roman"/>
      <w:caps w:val="0"/>
      <w:smallCaps w:val="0"/>
      <w:strike w:val="0"/>
      <w:dstrike w:val="0"/>
      <w:vanish w:val="0"/>
      <w:sz w:val="20"/>
      <w:vertAlign w:val="superscript"/>
    </w:rPr>
  </w:style>
  <w:style w:type="paragraph" w:styleId="DocumentMap">
    <w:name w:val="Document Map"/>
    <w:basedOn w:val="Normal"/>
    <w:semiHidden/>
    <w:rsid w:val="00CB2AA3"/>
    <w:pPr>
      <w:shd w:val="clear" w:color="auto" w:fill="000080"/>
    </w:pPr>
    <w:rPr>
      <w:rFonts w:ascii="Tahoma" w:hAnsi="Tahoma" w:cs="Tahoma"/>
      <w:sz w:val="20"/>
    </w:rPr>
  </w:style>
  <w:style w:type="character" w:styleId="CommentReference">
    <w:name w:val="annotation reference"/>
    <w:uiPriority w:val="99"/>
    <w:rsid w:val="00292B6F"/>
    <w:rPr>
      <w:sz w:val="16"/>
      <w:szCs w:val="16"/>
    </w:rPr>
  </w:style>
  <w:style w:type="paragraph" w:styleId="CommentText">
    <w:name w:val="annotation text"/>
    <w:basedOn w:val="Normal"/>
    <w:link w:val="CommentTextChar"/>
    <w:uiPriority w:val="99"/>
    <w:rsid w:val="00292B6F"/>
    <w:rPr>
      <w:sz w:val="20"/>
    </w:rPr>
  </w:style>
  <w:style w:type="paragraph" w:styleId="CommentSubject">
    <w:name w:val="annotation subject"/>
    <w:basedOn w:val="CommentText"/>
    <w:next w:val="CommentText"/>
    <w:semiHidden/>
    <w:rsid w:val="00292B6F"/>
    <w:rPr>
      <w:b/>
      <w:bCs/>
    </w:rPr>
  </w:style>
  <w:style w:type="paragraph" w:styleId="Header">
    <w:name w:val="header"/>
    <w:basedOn w:val="Normal"/>
    <w:rsid w:val="00292B6F"/>
    <w:pPr>
      <w:tabs>
        <w:tab w:val="center" w:pos="4320"/>
        <w:tab w:val="right" w:pos="8640"/>
      </w:tabs>
    </w:pPr>
  </w:style>
  <w:style w:type="paragraph" w:styleId="Revision">
    <w:name w:val="Revision"/>
    <w:hidden/>
    <w:uiPriority w:val="99"/>
    <w:semiHidden/>
    <w:rsid w:val="00B55907"/>
    <w:rPr>
      <w:sz w:val="24"/>
    </w:rPr>
  </w:style>
  <w:style w:type="character" w:styleId="PlaceholderText">
    <w:name w:val="Placeholder Text"/>
    <w:basedOn w:val="DefaultParagraphFont"/>
    <w:uiPriority w:val="99"/>
    <w:semiHidden/>
    <w:rsid w:val="009A1D1D"/>
    <w:rPr>
      <w:color w:val="808080"/>
    </w:rPr>
  </w:style>
  <w:style w:type="paragraph" w:styleId="ListParagraph">
    <w:name w:val="List Paragraph"/>
    <w:basedOn w:val="Normal"/>
    <w:uiPriority w:val="34"/>
    <w:qFormat/>
    <w:rsid w:val="00607404"/>
    <w:pPr>
      <w:suppressAutoHyphens/>
      <w:spacing w:line="1" w:lineRule="atLeast"/>
      <w:ind w:left="720" w:hanging="1" w:leftChars="-1" w:hangingChars="1"/>
      <w:contextualSpacing/>
      <w:textDirection w:val="btLr"/>
      <w:textAlignment w:val="top"/>
      <w:outlineLvl w:val="0"/>
    </w:pPr>
    <w:rPr>
      <w:position w:val="-1"/>
      <w:szCs w:val="24"/>
    </w:rPr>
  </w:style>
  <w:style w:type="character" w:styleId="UnresolvedMention">
    <w:name w:val="Unresolved Mention"/>
    <w:basedOn w:val="DefaultParagraphFont"/>
    <w:uiPriority w:val="99"/>
    <w:semiHidden/>
    <w:unhideWhenUsed/>
    <w:rsid w:val="008936D1"/>
    <w:rPr>
      <w:color w:val="605E5C"/>
      <w:shd w:val="clear" w:color="auto" w:fill="E1DFDD"/>
    </w:rPr>
  </w:style>
  <w:style w:type="paragraph" w:styleId="FootnoteText">
    <w:name w:val="footnote text"/>
    <w:basedOn w:val="Normal"/>
    <w:link w:val="FootnoteTextChar"/>
    <w:uiPriority w:val="99"/>
    <w:rsid w:val="002F41FE"/>
    <w:rPr>
      <w:sz w:val="20"/>
    </w:rPr>
  </w:style>
  <w:style w:type="character" w:customStyle="1" w:styleId="FootnoteTextChar">
    <w:name w:val="Footnote Text Char"/>
    <w:basedOn w:val="DefaultParagraphFont"/>
    <w:link w:val="FootnoteText"/>
    <w:uiPriority w:val="99"/>
    <w:rsid w:val="002F41FE"/>
  </w:style>
  <w:style w:type="character" w:styleId="FollowedHyperlink">
    <w:name w:val="FollowedHyperlink"/>
    <w:basedOn w:val="DefaultParagraphFont"/>
    <w:rsid w:val="000A5ED5"/>
    <w:rPr>
      <w:color w:val="954F72" w:themeColor="followedHyperlink"/>
      <w:u w:val="single"/>
    </w:rPr>
  </w:style>
  <w:style w:type="character" w:customStyle="1" w:styleId="CommentTextChar">
    <w:name w:val="Comment Text Char"/>
    <w:basedOn w:val="DefaultParagraphFont"/>
    <w:link w:val="CommentText"/>
    <w:uiPriority w:val="99"/>
    <w:rsid w:val="00A044C6"/>
  </w:style>
  <w:style w:type="character" w:customStyle="1" w:styleId="StyleFootnoteReference11pt">
    <w:name w:val="Style Footnote Reference + 11 pt"/>
    <w:basedOn w:val="FootnoteReference"/>
    <w:qFormat/>
    <w:rsid w:val="00566A0D"/>
    <w:rPr>
      <w:rFonts w:ascii="Times New Roman" w:hAnsi="Times New Roman"/>
      <w:caps w:val="0"/>
      <w:smallCaps w:val="0"/>
      <w:strike w:val="0"/>
      <w:dstrike w:val="0"/>
      <w:vanish w:val="0"/>
      <w:sz w:val="16"/>
      <w:vertAlign w:val="superscript"/>
    </w:rPr>
  </w:style>
  <w:style w:type="character" w:customStyle="1" w:styleId="StyleFootnoteReferenceBlackSuperscript">
    <w:name w:val="Style Footnote Reference + Black Superscript"/>
    <w:basedOn w:val="FootnoteReference"/>
    <w:rsid w:val="00566A0D"/>
    <w:rPr>
      <w:rFonts w:ascii="Times New Roman" w:hAnsi="Times New Roman"/>
      <w:caps w:val="0"/>
      <w:smallCaps w:val="0"/>
      <w:strike w:val="0"/>
      <w:dstrike w:val="0"/>
      <w:vanish w:val="0"/>
      <w:color w:val="auto"/>
      <w:sz w:val="20"/>
      <w:vertAlign w:val="superscript"/>
    </w:rPr>
  </w:style>
  <w:style w:type="character" w:customStyle="1" w:styleId="Heading4Char">
    <w:name w:val="Heading 4 Char"/>
    <w:basedOn w:val="DefaultParagraphFont"/>
    <w:link w:val="Heading4"/>
    <w:semiHidden/>
    <w:rsid w:val="005477E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semiHidden/>
    <w:rsid w:val="005477E9"/>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public-inspection/2024-17021/medicare-medicaid-and-childrens-health-insurance-programs-hospital-inpatient-prospective-payment" TargetMode="External" /><Relationship Id="rId11" Type="http://schemas.openxmlformats.org/officeDocument/2006/relationships/hyperlink" Target="https://www.federalregister.gov/documents/2024/08/13/2024-18031/agency-information-collection-activities-proposed-collection-comment-request" TargetMode="External" /><Relationship Id="rId12" Type="http://schemas.openxmlformats.org/officeDocument/2006/relationships/hyperlink" Target="https://www.bls.gov/oes/current/oes_nat.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4/07/22/2024-15087/medicare-and-medicaid-programs-hospital-outpatient-prospective-payment-and-ambulatory-surgica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7/22/2024-15087/medicare-and-medicaid-programs-hospital-outpatient-prospective-payment-and-ambulatory-surgic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0ABA355ED8024693486E4A5D0C5077" ma:contentTypeVersion="11" ma:contentTypeDescription="Create a new document." ma:contentTypeScope="" ma:versionID="563c13899b4d6584d55b5aef263e2dbf">
  <xsd:schema xmlns:xsd="http://www.w3.org/2001/XMLSchema" xmlns:xs="http://www.w3.org/2001/XMLSchema" xmlns:p="http://schemas.microsoft.com/office/2006/metadata/properties" xmlns:ns3="526e87ce-ee67-4ac0-9d88-03608ce3eb6e" targetNamespace="http://schemas.microsoft.com/office/2006/metadata/properties" ma:root="true" ma:fieldsID="19a8d9393168c8307dc9639b764e9790" ns3:_="">
    <xsd:import namespace="526e87ce-ee67-4ac0-9d88-03608ce3eb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e87ce-ee67-4ac0-9d88-03608ce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26e87ce-ee67-4ac0-9d88-03608ce3eb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81C50-0D1B-4FBC-B7F8-51E349251757}">
  <ds:schemaRefs>
    <ds:schemaRef ds:uri="http://schemas.microsoft.com/sharepoint/v3/contenttype/forms"/>
  </ds:schemaRefs>
</ds:datastoreItem>
</file>

<file path=customXml/itemProps2.xml><?xml version="1.0" encoding="utf-8"?>
<ds:datastoreItem xmlns:ds="http://schemas.openxmlformats.org/officeDocument/2006/customXml" ds:itemID="{18769B3D-490E-4F5A-BD36-B8DAE0D3F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e87ce-ee67-4ac0-9d88-03608ce3e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435B9-194E-4098-B8A7-64233F2112FC}">
  <ds:schemaRefs>
    <ds:schemaRef ds:uri="http://schemas.microsoft.com/office/2006/metadata/properties"/>
    <ds:schemaRef ds:uri="http://schemas.microsoft.com/office/infopath/2007/PartnerControls"/>
    <ds:schemaRef ds:uri="526e87ce-ee67-4ac0-9d88-03608ce3eb6e"/>
  </ds:schemaRefs>
</ds:datastoreItem>
</file>

<file path=customXml/itemProps4.xml><?xml version="1.0" encoding="utf-8"?>
<ds:datastoreItem xmlns:ds="http://schemas.openxmlformats.org/officeDocument/2006/customXml" ds:itemID="{1778D466-FE04-4F36-A61F-3AD37166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6674</Words>
  <Characters>40765</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in 42 CFR</vt:lpstr>
    </vt:vector>
  </TitlesOfParts>
  <Company>HCFA</Company>
  <LinksUpToDate>false</LinksUpToDate>
  <CharactersWithSpaces>47345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in 42 CFR</dc:title>
  <dc:creator>HCFA Software Control</dc:creator>
  <cp:lastModifiedBy>King, Denise (CMS/OSORA)</cp:lastModifiedBy>
  <cp:revision>3</cp:revision>
  <cp:lastPrinted>2019-10-17T16:01:00Z</cp:lastPrinted>
  <dcterms:created xsi:type="dcterms:W3CDTF">2024-10-16T06:34:00Z</dcterms:created>
  <dcterms:modified xsi:type="dcterms:W3CDTF">2024-10-16T11:29:00Z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0x010100650ABA355ED8024693486E4A5D0C5077</vt:lpwstr>
  </property>
  <property fmtid="{D5CDD505-2E9C-101B-9397-08002B2CF9AE}" pid="3" name="_NewReviewCycle">
    <vt:lpwstr/>
  </property>
</Properties>
</file>