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0C90" w14:paraId="6BCF3D68" w14:textId="566D2A55">
      <w:pPr>
        <w:pStyle w:val="Heading1"/>
        <w:spacing w:before="57"/>
        <w:ind w:left="254" w:right="271" w:hanging="3"/>
        <w:jc w:val="center"/>
      </w:pPr>
      <w:r>
        <w:t xml:space="preserve">Supporting Statement </w:t>
      </w:r>
      <w:r w:rsidR="00F76E9C">
        <w:t xml:space="preserve">- </w:t>
      </w:r>
      <w:r w:rsidR="00587927">
        <w:t xml:space="preserve">Part </w:t>
      </w:r>
      <w:r w:rsidR="00DE555F">
        <w:t>A</w:t>
      </w:r>
    </w:p>
    <w:p w:rsidR="009B1F1F" w14:paraId="08739E78" w14:textId="53FCE75E">
      <w:pPr>
        <w:pStyle w:val="Heading1"/>
        <w:spacing w:before="57"/>
        <w:ind w:left="254" w:right="271" w:hanging="3"/>
        <w:jc w:val="center"/>
        <w:rPr>
          <w:b w:val="0"/>
          <w:bCs w:val="0"/>
        </w:rPr>
      </w:pPr>
      <w:r>
        <w:t xml:space="preserve">Submission of Information for the </w:t>
      </w:r>
      <w:r w:rsidR="006254AB">
        <w:t xml:space="preserve">Medicare </w:t>
      </w:r>
      <w:r w:rsidR="0069508E">
        <w:t>Promoting Interoperability Program</w:t>
      </w:r>
      <w:r>
        <w:t xml:space="preserve">: </w:t>
      </w:r>
      <w:r w:rsidRPr="00264D41">
        <w:t xml:space="preserve">FY 2025 IPPS/LTCH PPS </w:t>
      </w:r>
      <w:r w:rsidR="00767AD4">
        <w:t>Final</w:t>
      </w:r>
      <w:r w:rsidRPr="00264D41">
        <w:t xml:space="preserve"> Rule (OMB# 0938-</w:t>
      </w:r>
      <w:r>
        <w:t xml:space="preserve">1278, </w:t>
      </w:r>
      <w:r w:rsidR="005E3697">
        <w:rPr>
          <w:spacing w:val="-6"/>
        </w:rPr>
        <w:t>C</w:t>
      </w:r>
      <w:r>
        <w:rPr>
          <w:spacing w:val="-6"/>
        </w:rPr>
        <w:t>MS-</w:t>
      </w:r>
      <w:r w:rsidR="005E3697">
        <w:rPr>
          <w:spacing w:val="-6"/>
        </w:rPr>
        <w:t>10552)</w:t>
      </w:r>
    </w:p>
    <w:p w:rsidR="009B1F1F" w14:paraId="5693136C" w14:textId="77777777">
      <w:pPr>
        <w:rPr>
          <w:rFonts w:ascii="Times New Roman" w:eastAsia="Times New Roman" w:hAnsi="Times New Roman" w:cs="Times New Roman"/>
          <w:b/>
          <w:bCs/>
          <w:sz w:val="24"/>
          <w:szCs w:val="24"/>
        </w:rPr>
      </w:pPr>
    </w:p>
    <w:p w:rsidR="009B1F1F" w:rsidP="00807F7D" w14:paraId="635CE80E" w14:textId="6A9C4158">
      <w:pPr>
        <w:ind w:right="123"/>
        <w:rPr>
          <w:rFonts w:ascii="Times New Roman" w:eastAsia="Times New Roman" w:hAnsi="Times New Roman" w:cs="Times New Roman"/>
          <w:sz w:val="24"/>
          <w:szCs w:val="24"/>
        </w:rPr>
      </w:pPr>
      <w:r>
        <w:rPr>
          <w:rFonts w:ascii="Times New Roman"/>
          <w:b/>
          <w:sz w:val="24"/>
        </w:rPr>
        <w:t>A.</w:t>
      </w:r>
      <w:r>
        <w:rPr>
          <w:rFonts w:ascii="Times New Roman"/>
          <w:b/>
          <w:sz w:val="24"/>
        </w:rPr>
        <w:tab/>
        <w:t>Background</w:t>
      </w:r>
    </w:p>
    <w:p w:rsidR="009B1F1F" w14:paraId="7E3F4869" w14:textId="77777777">
      <w:pPr>
        <w:spacing w:before="7"/>
        <w:rPr>
          <w:rFonts w:ascii="Times New Roman" w:eastAsia="Times New Roman" w:hAnsi="Times New Roman" w:cs="Times New Roman"/>
          <w:b/>
          <w:bCs/>
          <w:sz w:val="23"/>
          <w:szCs w:val="23"/>
        </w:rPr>
      </w:pPr>
    </w:p>
    <w:p w:rsidR="00497E80" w:rsidP="00497E80" w14:paraId="51498DBD" w14:textId="4A2CBF24">
      <w:pPr>
        <w:pStyle w:val="BodyText"/>
        <w:ind w:left="0" w:right="123"/>
      </w:pPr>
      <w:r>
        <w:t xml:space="preserve">This is a revision of the currently approved information collection request.  This information collection serves to implement the </w:t>
      </w:r>
      <w:r>
        <w:rPr>
          <w:rFonts w:cs="Times New Roman"/>
        </w:rPr>
        <w:t>Health Information Technology for Economic and Clinical Health (HITECH)</w:t>
      </w:r>
      <w:r>
        <w:rPr>
          <w:rFonts w:cs="Times New Roman"/>
          <w:spacing w:val="-4"/>
        </w:rPr>
        <w:t xml:space="preserve"> </w:t>
      </w:r>
      <w:r>
        <w:rPr>
          <w:rFonts w:cs="Times New Roman"/>
        </w:rPr>
        <w:t xml:space="preserve">Act. </w:t>
      </w:r>
      <w:r>
        <w:t xml:space="preserve"> We have developed objectives and measures to collect data and have the healthcare providers attest or report data as applicable to determine that they have met the requirements of the Medicare Promoting Interoperability Program. Eligible hospitals and Critical Access Hospitals (CAHs) must successfully demonstrate meaningful use under the Medicare Promoting Interoperability Program to avoid a downward payment adjustment. </w:t>
      </w:r>
    </w:p>
    <w:p w:rsidR="00497E80" w:rsidP="00497E80" w14:paraId="3D6A4711" w14:textId="77777777">
      <w:pPr>
        <w:pStyle w:val="BodyText"/>
        <w:ind w:left="0" w:right="123"/>
      </w:pPr>
    </w:p>
    <w:p w:rsidR="00DA6DB8" w:rsidP="0066466D" w14:paraId="35A31217" w14:textId="7F3F4CF8">
      <w:pPr>
        <w:pStyle w:val="BodyText"/>
        <w:ind w:left="0" w:right="190"/>
      </w:pPr>
      <w:r>
        <w:t>I</w:t>
      </w:r>
      <w:r w:rsidR="00E453EC">
        <w:t xml:space="preserve">n </w:t>
      </w:r>
      <w:r w:rsidR="00D33DCC">
        <w:t xml:space="preserve">CY </w:t>
      </w:r>
      <w:r w:rsidR="00E453EC">
        <w:t>2017</w:t>
      </w:r>
      <w:r w:rsidR="003D6AB5">
        <w:t>,</w:t>
      </w:r>
      <w:r w:rsidR="0069508E">
        <w:t xml:space="preserve"> we </w:t>
      </w:r>
      <w:r w:rsidR="003D6AB5">
        <w:t>began collecting</w:t>
      </w:r>
      <w:r w:rsidR="00E453EC">
        <w:t xml:space="preserve"> data from eligible hospitals and CAHs to determine the application of the Medicare payment adjustments.  </w:t>
      </w:r>
      <w:r w:rsidR="00126F4B">
        <w:t xml:space="preserve">This information collection was also used to make incentive payments to eligible hospitals in Puerto Rico </w:t>
      </w:r>
      <w:r w:rsidR="009A027C">
        <w:t>from 2016 through 2021</w:t>
      </w:r>
      <w:r w:rsidR="007436BE">
        <w:t>.</w:t>
      </w:r>
      <w:r w:rsidR="00126F4B">
        <w:t xml:space="preserve">  </w:t>
      </w:r>
      <w:r>
        <w:t>At this time, M</w:t>
      </w:r>
      <w:r w:rsidR="00E453EC">
        <w:t xml:space="preserve">edicare eligible professionals </w:t>
      </w:r>
      <w:r w:rsidR="00D33DCC">
        <w:t xml:space="preserve">no </w:t>
      </w:r>
      <w:r w:rsidR="003D6AB5">
        <w:t>longer report</w:t>
      </w:r>
      <w:r>
        <w:t>ed</w:t>
      </w:r>
      <w:r w:rsidR="00E453EC">
        <w:t xml:space="preserve"> to the </w:t>
      </w:r>
      <w:r w:rsidR="001061AA">
        <w:t>Electronic Health Record (</w:t>
      </w:r>
      <w:r w:rsidR="00E453EC">
        <w:t>EHR</w:t>
      </w:r>
      <w:r w:rsidR="001061AA">
        <w:t>)</w:t>
      </w:r>
      <w:r w:rsidR="00E453EC">
        <w:t xml:space="preserve"> Incentive Program</w:t>
      </w:r>
      <w:r w:rsidR="003D6AB5">
        <w:t>,</w:t>
      </w:r>
      <w:r w:rsidR="00E453EC">
        <w:t xml:space="preserve"> as they </w:t>
      </w:r>
      <w:r>
        <w:t xml:space="preserve">began </w:t>
      </w:r>
      <w:r w:rsidR="00E453EC">
        <w:t>report</w:t>
      </w:r>
      <w:r>
        <w:t>ing</w:t>
      </w:r>
      <w:r w:rsidR="00E453EC">
        <w:t xml:space="preserve"> under the Merit-based Incentive Payment System</w:t>
      </w:r>
      <w:r w:rsidR="006666BB">
        <w:t xml:space="preserve"> </w:t>
      </w:r>
      <w:r w:rsidR="0026516B">
        <w:t xml:space="preserve">(MIPS) </w:t>
      </w:r>
      <w:r w:rsidR="006666BB">
        <w:t>Promoting Interoperability Performance Category</w:t>
      </w:r>
      <w:r w:rsidR="00E453EC">
        <w:t>.</w:t>
      </w:r>
      <w:r w:rsidR="00DE795C">
        <w:t xml:space="preserve">  In 2019, the EHR Incentive Program for eligible hospitals and CAHs was subsequently renamed the Medicare Promoting Interoperability Program.</w:t>
      </w:r>
      <w:r w:rsidR="00E453EC">
        <w:t xml:space="preserve">  </w:t>
      </w:r>
      <w:r w:rsidR="00F474F6">
        <w:t xml:space="preserve">In subsequent years, we </w:t>
      </w:r>
      <w:r w:rsidR="00126F4B">
        <w:t xml:space="preserve">have </w:t>
      </w:r>
      <w:r>
        <w:t xml:space="preserve">focused on </w:t>
      </w:r>
      <w:r w:rsidR="00126F4B">
        <w:t xml:space="preserve">balancing reporting </w:t>
      </w:r>
      <w:r>
        <w:t xml:space="preserve">burden </w:t>
      </w:r>
      <w:r w:rsidR="00126F4B">
        <w:t xml:space="preserve">for </w:t>
      </w:r>
      <w:r>
        <w:t>eligible hospitals and CAHs</w:t>
      </w:r>
      <w:r w:rsidR="00F474F6">
        <w:t xml:space="preserve"> </w:t>
      </w:r>
      <w:r w:rsidR="0066466D">
        <w:rPr>
          <w:rFonts w:eastAsia="Calibri" w:cs="Times New Roman"/>
        </w:rPr>
        <w:t>while also implementing changes</w:t>
      </w:r>
      <w:r w:rsidR="00BC1CB9">
        <w:t xml:space="preserve"> designed to</w:t>
      </w:r>
      <w:r w:rsidR="003E4E58">
        <w:t xml:space="preserve"> incentiviz</w:t>
      </w:r>
      <w:r w:rsidR="00BC1CB9">
        <w:t>e</w:t>
      </w:r>
      <w:r w:rsidR="003E4E58">
        <w:t xml:space="preserve"> the advanced use of </w:t>
      </w:r>
      <w:r w:rsidR="00E42390">
        <w:t>certified EHR technology (</w:t>
      </w:r>
      <w:r w:rsidR="003E4E58">
        <w:t>CEHRT</w:t>
      </w:r>
      <w:r w:rsidR="00E42390">
        <w:t>)</w:t>
      </w:r>
      <w:r w:rsidR="003E4E58">
        <w:t xml:space="preserve"> to support health</w:t>
      </w:r>
      <w:r w:rsidR="003E4E58">
        <w:rPr>
          <w:spacing w:val="-5"/>
        </w:rPr>
        <w:t xml:space="preserve"> </w:t>
      </w:r>
      <w:r w:rsidR="003E4E58">
        <w:t>information exchange, interoperability, advanced quality measurement, and</w:t>
      </w:r>
      <w:r w:rsidR="003E4E58">
        <w:rPr>
          <w:spacing w:val="-8"/>
        </w:rPr>
        <w:t xml:space="preserve"> </w:t>
      </w:r>
      <w:r w:rsidR="003E4E58">
        <w:t>maximizing clinical effectiveness and</w:t>
      </w:r>
      <w:r w:rsidR="003E4E58">
        <w:rPr>
          <w:spacing w:val="-8"/>
        </w:rPr>
        <w:t xml:space="preserve"> </w:t>
      </w:r>
      <w:r w:rsidR="003E4E58">
        <w:t>efficienc</w:t>
      </w:r>
      <w:r w:rsidR="00372D8F">
        <w:t>y</w:t>
      </w:r>
      <w:r w:rsidRPr="007B1FE2">
        <w:t>.</w:t>
      </w:r>
    </w:p>
    <w:p w:rsidR="008C293C" w:rsidP="00E45585" w14:paraId="2A11824B" w14:textId="7CC05341">
      <w:pPr>
        <w:pStyle w:val="BodyText"/>
        <w:ind w:left="0" w:right="190"/>
      </w:pPr>
    </w:p>
    <w:p w:rsidR="000E0187" w:rsidRPr="00F76E9C" w:rsidP="00F76E9C" w14:paraId="5ADF44AF" w14:textId="6C8AB462">
      <w:pPr>
        <w:rPr>
          <w:rFonts w:ascii="Times New Roman" w:hAnsi="Times New Roman" w:cs="Times New Roman"/>
          <w:sz w:val="24"/>
          <w:szCs w:val="24"/>
        </w:rPr>
      </w:pPr>
      <w:r w:rsidRPr="00497E80">
        <w:rPr>
          <w:rFonts w:ascii="Times New Roman" w:hAnsi="Times New Roman" w:cs="Times New Roman"/>
          <w:sz w:val="24"/>
          <w:szCs w:val="24"/>
        </w:rPr>
        <w:t xml:space="preserve">The information collection requirements </w:t>
      </w:r>
      <w:r w:rsidR="000659E9">
        <w:rPr>
          <w:rFonts w:ascii="Times New Roman" w:hAnsi="Times New Roman" w:cs="Times New Roman"/>
          <w:sz w:val="24"/>
          <w:szCs w:val="24"/>
        </w:rPr>
        <w:t xml:space="preserve">through </w:t>
      </w:r>
      <w:r w:rsidR="00FA2E19">
        <w:rPr>
          <w:rFonts w:ascii="Times New Roman" w:hAnsi="Times New Roman" w:cs="Times New Roman"/>
          <w:sz w:val="24"/>
          <w:szCs w:val="24"/>
        </w:rPr>
        <w:t xml:space="preserve">the </w:t>
      </w:r>
      <w:r w:rsidR="000659E9">
        <w:rPr>
          <w:rFonts w:ascii="Times New Roman" w:hAnsi="Times New Roman" w:cs="Times New Roman"/>
          <w:sz w:val="24"/>
          <w:szCs w:val="24"/>
        </w:rPr>
        <w:t xml:space="preserve">CY 2026 </w:t>
      </w:r>
      <w:r w:rsidR="00FA2E19">
        <w:rPr>
          <w:rFonts w:ascii="Times New Roman" w:hAnsi="Times New Roman" w:cs="Times New Roman"/>
          <w:sz w:val="24"/>
          <w:szCs w:val="24"/>
        </w:rPr>
        <w:t xml:space="preserve">EHR reporting period </w:t>
      </w:r>
      <w:r w:rsidRPr="00497E80">
        <w:rPr>
          <w:rFonts w:ascii="Times New Roman" w:hAnsi="Times New Roman" w:cs="Times New Roman"/>
          <w:sz w:val="24"/>
          <w:szCs w:val="24"/>
        </w:rPr>
        <w:t>are currently approved under OMB control number 0938-1</w:t>
      </w:r>
      <w:r w:rsidR="001517B7">
        <w:rPr>
          <w:rFonts w:ascii="Times New Roman" w:hAnsi="Times New Roman" w:cs="Times New Roman"/>
          <w:sz w:val="24"/>
          <w:szCs w:val="24"/>
        </w:rPr>
        <w:t>278</w:t>
      </w:r>
      <w:r w:rsidRPr="00497E80">
        <w:rPr>
          <w:rFonts w:ascii="Times New Roman" w:hAnsi="Times New Roman" w:cs="Times New Roman"/>
          <w:sz w:val="24"/>
          <w:szCs w:val="24"/>
        </w:rPr>
        <w:t xml:space="preserve"> (expiration date </w:t>
      </w:r>
      <w:r w:rsidR="00767AD4">
        <w:rPr>
          <w:rFonts w:ascii="Times New Roman" w:hAnsi="Times New Roman" w:cs="Times New Roman"/>
          <w:sz w:val="24"/>
          <w:szCs w:val="24"/>
        </w:rPr>
        <w:t>April 30</w:t>
      </w:r>
      <w:r w:rsidRPr="00497E80">
        <w:rPr>
          <w:rFonts w:ascii="Times New Roman" w:hAnsi="Times New Roman" w:cs="Times New Roman"/>
          <w:sz w:val="24"/>
          <w:szCs w:val="24"/>
        </w:rPr>
        <w:t>, 202</w:t>
      </w:r>
      <w:r w:rsidR="00767AD4">
        <w:rPr>
          <w:rFonts w:ascii="Times New Roman" w:hAnsi="Times New Roman" w:cs="Times New Roman"/>
          <w:sz w:val="24"/>
          <w:szCs w:val="24"/>
        </w:rPr>
        <w:t>7</w:t>
      </w:r>
      <w:r w:rsidRPr="00497E80">
        <w:rPr>
          <w:rFonts w:ascii="Times New Roman" w:hAnsi="Times New Roman" w:cs="Times New Roman"/>
          <w:sz w:val="24"/>
          <w:szCs w:val="24"/>
        </w:rPr>
        <w:t xml:space="preserve">). This request covers data collection requirements for </w:t>
      </w:r>
      <w:r w:rsidR="00E42390">
        <w:rPr>
          <w:rFonts w:ascii="Times New Roman" w:hAnsi="Times New Roman" w:cs="Times New Roman"/>
          <w:sz w:val="24"/>
          <w:szCs w:val="24"/>
        </w:rPr>
        <w:t xml:space="preserve">the </w:t>
      </w:r>
      <w:r w:rsidR="001517B7">
        <w:rPr>
          <w:rFonts w:ascii="Times New Roman" w:hAnsi="Times New Roman" w:cs="Times New Roman"/>
          <w:sz w:val="24"/>
          <w:szCs w:val="24"/>
        </w:rPr>
        <w:t>EHR reporting period</w:t>
      </w:r>
      <w:r w:rsidRPr="00497E80">
        <w:rPr>
          <w:rFonts w:ascii="Times New Roman" w:hAnsi="Times New Roman" w:cs="Times New Roman"/>
          <w:sz w:val="24"/>
          <w:szCs w:val="24"/>
        </w:rPr>
        <w:t xml:space="preserve"> </w:t>
      </w:r>
      <w:r w:rsidR="000659E9">
        <w:rPr>
          <w:rFonts w:ascii="Times New Roman" w:hAnsi="Times New Roman" w:cs="Times New Roman"/>
          <w:sz w:val="24"/>
          <w:szCs w:val="24"/>
        </w:rPr>
        <w:t xml:space="preserve">in CY 2025 </w:t>
      </w:r>
      <w:r w:rsidRPr="00497E80">
        <w:rPr>
          <w:rFonts w:ascii="Times New Roman" w:hAnsi="Times New Roman" w:cs="Times New Roman"/>
          <w:sz w:val="24"/>
          <w:szCs w:val="24"/>
        </w:rPr>
        <w:t>and subsequent years.</w:t>
      </w:r>
      <w:r w:rsidR="001517B7">
        <w:rPr>
          <w:rFonts w:ascii="Times New Roman" w:hAnsi="Times New Roman" w:cs="Times New Roman"/>
          <w:sz w:val="24"/>
          <w:szCs w:val="24"/>
        </w:rPr>
        <w:t xml:space="preserve">  </w:t>
      </w:r>
      <w:r w:rsidR="00FA2E19">
        <w:rPr>
          <w:rFonts w:ascii="Times New Roman" w:hAnsi="Times New Roman" w:cs="Times New Roman"/>
          <w:sz w:val="24"/>
          <w:szCs w:val="24"/>
        </w:rPr>
        <w:t xml:space="preserve">The revised information collection request includes burden for the modification to the </w:t>
      </w:r>
      <w:r w:rsidRPr="00FA2E19" w:rsidR="00FA2E19">
        <w:rPr>
          <w:rFonts w:ascii="Times New Roman" w:hAnsi="Times New Roman" w:cs="Times New Roman"/>
          <w:sz w:val="24"/>
          <w:szCs w:val="24"/>
        </w:rPr>
        <w:t xml:space="preserve">Antimicrobial Use and Antimicrobial Resistance (AUR) </w:t>
      </w:r>
      <w:r w:rsidR="00FA2E19">
        <w:rPr>
          <w:rFonts w:ascii="Times New Roman" w:hAnsi="Times New Roman" w:cs="Times New Roman"/>
          <w:sz w:val="24"/>
          <w:szCs w:val="24"/>
        </w:rPr>
        <w:t>measure</w:t>
      </w:r>
      <w:r w:rsidR="001A3A15">
        <w:rPr>
          <w:rFonts w:ascii="Times New Roman" w:hAnsi="Times New Roman" w:cs="Times New Roman"/>
          <w:sz w:val="24"/>
          <w:szCs w:val="24"/>
        </w:rPr>
        <w:t xml:space="preserve">, the </w:t>
      </w:r>
      <w:r w:rsidRPr="00CC5857" w:rsidR="001A3A15">
        <w:rPr>
          <w:rFonts w:ascii="Times New Roman" w:hAnsi="Times New Roman" w:cs="Times New Roman"/>
          <w:sz w:val="24"/>
          <w:szCs w:val="24"/>
        </w:rPr>
        <w:t>Actions to Limit or Restrict the Compatibility or Interoperability of CEHRT</w:t>
      </w:r>
      <w:r w:rsidR="001A3A15">
        <w:rPr>
          <w:rFonts w:ascii="Times New Roman" w:hAnsi="Times New Roman" w:cs="Times New Roman"/>
          <w:sz w:val="24"/>
          <w:szCs w:val="24"/>
        </w:rPr>
        <w:t xml:space="preserve"> measure, the </w:t>
      </w:r>
      <w:r w:rsidRPr="00DB4FD3" w:rsidR="001A3A15">
        <w:rPr>
          <w:rFonts w:ascii="Times New Roman" w:hAnsi="Times New Roman" w:cs="Times New Roman"/>
          <w:sz w:val="24"/>
          <w:szCs w:val="24"/>
        </w:rPr>
        <w:t>Office of the National Coordinator for Health IT (ONC)</w:t>
      </w:r>
      <w:r w:rsidRPr="00CC5857" w:rsidR="001A3A15">
        <w:rPr>
          <w:rFonts w:ascii="Times New Roman" w:hAnsi="Times New Roman" w:cs="Times New Roman"/>
          <w:sz w:val="24"/>
          <w:szCs w:val="24"/>
        </w:rPr>
        <w:t xml:space="preserve"> Direct Review</w:t>
      </w:r>
      <w:r w:rsidR="001A3A15">
        <w:rPr>
          <w:rFonts w:ascii="Times New Roman" w:hAnsi="Times New Roman" w:cs="Times New Roman"/>
          <w:sz w:val="24"/>
          <w:szCs w:val="24"/>
        </w:rPr>
        <w:t xml:space="preserve"> measure, the </w:t>
      </w:r>
      <w:r w:rsidR="00FA2E19">
        <w:rPr>
          <w:rFonts w:ascii="Times New Roman" w:hAnsi="Times New Roman" w:cs="Times New Roman"/>
          <w:sz w:val="24"/>
          <w:szCs w:val="24"/>
        </w:rPr>
        <w:t>submission of hardship applications</w:t>
      </w:r>
      <w:r w:rsidR="00047596">
        <w:rPr>
          <w:rFonts w:ascii="Times New Roman" w:hAnsi="Times New Roman" w:cs="Times New Roman"/>
          <w:sz w:val="24"/>
          <w:szCs w:val="24"/>
        </w:rPr>
        <w:t>,</w:t>
      </w:r>
      <w:r w:rsidR="00FA2E19">
        <w:rPr>
          <w:rFonts w:ascii="Times New Roman" w:hAnsi="Times New Roman" w:cs="Times New Roman"/>
          <w:sz w:val="24"/>
          <w:szCs w:val="24"/>
        </w:rPr>
        <w:t xml:space="preserve"> </w:t>
      </w:r>
      <w:r w:rsidR="00307336">
        <w:rPr>
          <w:rFonts w:ascii="Times New Roman" w:hAnsi="Times New Roman" w:cs="Times New Roman"/>
          <w:sz w:val="24"/>
          <w:szCs w:val="24"/>
        </w:rPr>
        <w:t>as well as</w:t>
      </w:r>
      <w:r w:rsidR="00FA2E19">
        <w:rPr>
          <w:rFonts w:ascii="Times New Roman" w:hAnsi="Times New Roman" w:cs="Times New Roman"/>
          <w:sz w:val="24"/>
          <w:szCs w:val="24"/>
        </w:rPr>
        <w:t xml:space="preserve"> updated data and wage rates impacting previously approved burden calculations.</w:t>
      </w:r>
      <w:r w:rsidR="00307336">
        <w:rPr>
          <w:rFonts w:ascii="Times New Roman" w:hAnsi="Times New Roman" w:cs="Times New Roman"/>
          <w:sz w:val="24"/>
          <w:szCs w:val="24"/>
        </w:rPr>
        <w:t xml:space="preserve">  It also includes the Electronic Prior Authorization measure which was previously finalized i</w:t>
      </w:r>
      <w:r w:rsidRPr="00307336" w:rsidR="00307336">
        <w:rPr>
          <w:rFonts w:ascii="Times New Roman" w:hAnsi="Times New Roman" w:cs="Times New Roman"/>
          <w:sz w:val="24"/>
          <w:szCs w:val="24"/>
        </w:rPr>
        <w:t xml:space="preserve">n the Advancing Interoperability and Improving Prior Authorization Processes for MA Organizations and Medicaid Managed Care Plans, State Medicaid Agencies, State CHIP Agencies, CHIP Managed Care Entities, and Issuers of QHPs in the </w:t>
      </w:r>
      <w:r w:rsidRPr="00307336" w:rsidR="00307336">
        <w:rPr>
          <w:rFonts w:ascii="Times New Roman" w:hAnsi="Times New Roman" w:cs="Times New Roman"/>
          <w:sz w:val="24"/>
          <w:szCs w:val="24"/>
        </w:rPr>
        <w:t>Federally-Facilitated</w:t>
      </w:r>
      <w:r w:rsidRPr="00307336" w:rsidR="00307336">
        <w:rPr>
          <w:rFonts w:ascii="Times New Roman" w:hAnsi="Times New Roman" w:cs="Times New Roman"/>
          <w:sz w:val="24"/>
          <w:szCs w:val="24"/>
        </w:rPr>
        <w:t xml:space="preserve"> Exchanges Final Rule published on February 8, 2024 (89 FR 8758).  </w:t>
      </w:r>
    </w:p>
    <w:p w:rsidR="00376731" w14:paraId="26738427" w14:textId="77777777">
      <w:pPr>
        <w:spacing w:before="5"/>
        <w:rPr>
          <w:rFonts w:ascii="Times New Roman" w:eastAsia="Times New Roman" w:hAnsi="Times New Roman" w:cs="Times New Roman"/>
          <w:sz w:val="24"/>
          <w:szCs w:val="24"/>
        </w:rPr>
      </w:pPr>
    </w:p>
    <w:p w:rsidR="009B1F1F" w:rsidP="00556A9B" w14:paraId="4777DC19" w14:textId="274052AE">
      <w:pPr>
        <w:pStyle w:val="Heading1"/>
        <w:tabs>
          <w:tab w:val="left" w:pos="821"/>
        </w:tabs>
        <w:ind w:left="720" w:right="123"/>
        <w:rPr>
          <w:b w:val="0"/>
          <w:bCs w:val="0"/>
        </w:rPr>
      </w:pPr>
      <w:r>
        <w:t>B.</w:t>
      </w:r>
      <w:r>
        <w:tab/>
        <w:t>Justification</w:t>
      </w:r>
    </w:p>
    <w:p w:rsidR="009B1F1F" w14:paraId="5C43776F" w14:textId="77777777">
      <w:pPr>
        <w:spacing w:before="7"/>
        <w:rPr>
          <w:rFonts w:ascii="Times New Roman" w:eastAsia="Times New Roman" w:hAnsi="Times New Roman" w:cs="Times New Roman"/>
          <w:b/>
          <w:bCs/>
          <w:sz w:val="23"/>
          <w:szCs w:val="23"/>
        </w:rPr>
      </w:pPr>
    </w:p>
    <w:p w:rsidR="009B1F1F" w:rsidRPr="00556A9B" w:rsidP="00556A9B" w14:paraId="2349BAB0" w14:textId="035F4D87">
      <w:pPr>
        <w:pStyle w:val="ListParagraph"/>
        <w:numPr>
          <w:ilvl w:val="0"/>
          <w:numId w:val="10"/>
        </w:numPr>
        <w:tabs>
          <w:tab w:val="left" w:pos="1181"/>
        </w:tabs>
        <w:ind w:right="123" w:hanging="720"/>
        <w:rPr>
          <w:rFonts w:ascii="Times New Roman" w:eastAsia="Times New Roman" w:hAnsi="Times New Roman" w:cs="Times New Roman"/>
          <w:b/>
          <w:bCs/>
          <w:sz w:val="24"/>
          <w:szCs w:val="24"/>
        </w:rPr>
      </w:pPr>
      <w:r w:rsidRPr="00556A9B">
        <w:rPr>
          <w:rFonts w:ascii="Times New Roman"/>
          <w:b/>
          <w:bCs/>
          <w:sz w:val="24"/>
        </w:rPr>
        <w:t>Need and Legal</w:t>
      </w:r>
      <w:r w:rsidRPr="00556A9B">
        <w:rPr>
          <w:rFonts w:ascii="Times New Roman"/>
          <w:b/>
          <w:bCs/>
          <w:spacing w:val="3"/>
          <w:sz w:val="24"/>
        </w:rPr>
        <w:t xml:space="preserve"> </w:t>
      </w:r>
      <w:r w:rsidRPr="00556A9B">
        <w:rPr>
          <w:rFonts w:ascii="Times New Roman"/>
          <w:b/>
          <w:bCs/>
          <w:sz w:val="24"/>
        </w:rPr>
        <w:t>Basis</w:t>
      </w:r>
    </w:p>
    <w:p w:rsidR="003A2F3D" w:rsidP="003A2F3D" w14:paraId="5E8BB1DA" w14:textId="77777777">
      <w:pPr>
        <w:pStyle w:val="ListParagraph"/>
        <w:tabs>
          <w:tab w:val="left" w:pos="1181"/>
        </w:tabs>
        <w:ind w:left="820" w:right="123"/>
        <w:rPr>
          <w:rFonts w:ascii="Times New Roman" w:eastAsia="Times New Roman" w:hAnsi="Times New Roman" w:cs="Times New Roman"/>
          <w:sz w:val="24"/>
          <w:szCs w:val="24"/>
        </w:rPr>
      </w:pPr>
    </w:p>
    <w:p w:rsidR="00497E80" w:rsidP="00497E80" w14:paraId="29E15B86" w14:textId="695209D9">
      <w:pPr>
        <w:pStyle w:val="BodyText"/>
        <w:ind w:left="0" w:right="301"/>
        <w:rPr>
          <w:rFonts w:cs="Times New Roman"/>
        </w:rPr>
      </w:pPr>
      <w:r>
        <w:t>The American Recovery and Reinvestment Act of 2009 (Recovery Act) (</w:t>
      </w:r>
      <w:hyperlink r:id="rId9">
        <w:r w:rsidRPr="78EC8848">
          <w:rPr>
            <w:rStyle w:val="Hyperlink"/>
          </w:rPr>
          <w:t>Pub. L.</w:t>
        </w:r>
      </w:hyperlink>
      <w:r>
        <w:rPr>
          <w:color w:val="0000FF"/>
        </w:rPr>
        <w:t xml:space="preserve"> </w:t>
      </w:r>
      <w:hyperlink r:id="rId9">
        <w:r w:rsidRPr="78EC8848">
          <w:rPr>
            <w:rStyle w:val="Hyperlink"/>
          </w:rPr>
          <w:t>111-5</w:t>
        </w:r>
      </w:hyperlink>
      <w:r>
        <w:t xml:space="preserve">) </w:t>
      </w:r>
      <w:r>
        <w:t xml:space="preserve">was enacted on February 17, 2009. Title </w:t>
      </w:r>
      <w:r>
        <w:rPr>
          <w:spacing w:val="-3"/>
        </w:rPr>
        <w:t xml:space="preserve">IV </w:t>
      </w:r>
      <w:r>
        <w:t>of Division B of the Recovery Act amended</w:t>
      </w:r>
      <w:r>
        <w:rPr>
          <w:spacing w:val="-5"/>
        </w:rPr>
        <w:t xml:space="preserve"> </w:t>
      </w:r>
      <w:r>
        <w:t>Titles XVIII and XIX of the Social Security Act by establishing</w:t>
      </w:r>
      <w:r>
        <w:rPr>
          <w:spacing w:val="-15"/>
        </w:rPr>
        <w:t xml:space="preserve"> </w:t>
      </w:r>
      <w:r>
        <w:t>incentive payments to eligible professionals (EPs), eligible hospitals and CAHs, and Medicare Advantage (MA) organizations participating</w:t>
      </w:r>
      <w:r>
        <w:rPr>
          <w:spacing w:val="-7"/>
        </w:rPr>
        <w:t xml:space="preserve"> </w:t>
      </w:r>
      <w:r>
        <w:t>in the Medicare and Medicaid programs that adopt and successfully</w:t>
      </w:r>
      <w:r>
        <w:rPr>
          <w:spacing w:val="-10"/>
        </w:rPr>
        <w:t xml:space="preserve"> </w:t>
      </w:r>
      <w:r>
        <w:t>demonstrate meaningful use of CEHRT. These Recovery Act</w:t>
      </w:r>
      <w:r>
        <w:rPr>
          <w:spacing w:val="-10"/>
        </w:rPr>
        <w:t xml:space="preserve"> </w:t>
      </w:r>
      <w:r>
        <w:t>provisions, together with Title XIII of Division A of the Recovery Act, may be cited as</w:t>
      </w:r>
      <w:r>
        <w:rPr>
          <w:spacing w:val="-18"/>
        </w:rPr>
        <w:t xml:space="preserve"> </w:t>
      </w:r>
      <w:r>
        <w:t xml:space="preserve">the </w:t>
      </w:r>
      <w:r w:rsidR="00755279">
        <w:rPr>
          <w:rFonts w:cs="Times New Roman"/>
        </w:rPr>
        <w:t>HITECH Act.</w:t>
      </w:r>
    </w:p>
    <w:p w:rsidR="00497E80" w:rsidP="00497E80" w14:paraId="4580EFBB" w14:textId="77777777">
      <w:pPr>
        <w:rPr>
          <w:rFonts w:ascii="Times New Roman" w:eastAsia="Times New Roman" w:hAnsi="Times New Roman" w:cs="Times New Roman"/>
          <w:sz w:val="24"/>
          <w:szCs w:val="24"/>
        </w:rPr>
      </w:pPr>
    </w:p>
    <w:p w:rsidR="00451AA4" w:rsidRPr="00451AA4" w:rsidP="00451AA4" w14:paraId="19FDC484" w14:textId="7D7D9CBE">
      <w:pPr>
        <w:rPr>
          <w:rFonts w:ascii="Times New Roman" w:eastAsia="Times New Roman" w:hAnsi="Times New Roman"/>
          <w:sz w:val="24"/>
          <w:szCs w:val="24"/>
        </w:rPr>
      </w:pPr>
      <w:r w:rsidRPr="00451AA4">
        <w:rPr>
          <w:rFonts w:ascii="Times New Roman" w:eastAsia="Times New Roman" w:hAnsi="Times New Roman"/>
          <w:sz w:val="24"/>
          <w:szCs w:val="24"/>
        </w:rPr>
        <w:t xml:space="preserve">The HITECH Act created incentive programs for EPs, eligible hospitals </w:t>
      </w:r>
      <w:r w:rsidR="006A24AD">
        <w:rPr>
          <w:rFonts w:ascii="Times New Roman" w:eastAsia="Times New Roman" w:hAnsi="Times New Roman"/>
          <w:sz w:val="24"/>
          <w:szCs w:val="24"/>
        </w:rPr>
        <w:t>and</w:t>
      </w:r>
      <w:r w:rsidRPr="00451AA4" w:rsidR="006A24AD">
        <w:rPr>
          <w:rFonts w:ascii="Times New Roman" w:eastAsia="Times New Roman" w:hAnsi="Times New Roman"/>
          <w:sz w:val="24"/>
          <w:szCs w:val="24"/>
        </w:rPr>
        <w:t xml:space="preserve"> </w:t>
      </w:r>
      <w:r w:rsidRPr="00451AA4">
        <w:rPr>
          <w:rFonts w:ascii="Times New Roman" w:eastAsia="Times New Roman" w:hAnsi="Times New Roman"/>
          <w:sz w:val="24"/>
          <w:szCs w:val="24"/>
        </w:rPr>
        <w:t>CAHs</w:t>
      </w:r>
      <w:r>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under sections 1886(n) and 1814(l) of the </w:t>
      </w:r>
      <w:r w:rsidR="00EB025E">
        <w:rPr>
          <w:rFonts w:ascii="Times New Roman" w:eastAsia="Times New Roman" w:hAnsi="Times New Roman"/>
          <w:sz w:val="24"/>
          <w:szCs w:val="24"/>
        </w:rPr>
        <w:t xml:space="preserve">Social Security </w:t>
      </w:r>
      <w:r w:rsidRPr="005C0C54">
        <w:rPr>
          <w:rFonts w:ascii="Times New Roman" w:eastAsia="Times New Roman" w:hAnsi="Times New Roman"/>
          <w:sz w:val="24"/>
          <w:szCs w:val="24"/>
        </w:rPr>
        <w:t>Act</w:t>
      </w:r>
      <w:r>
        <w:rPr>
          <w:rFonts w:ascii="Times New Roman" w:eastAsia="Times New Roman" w:hAnsi="Times New Roman"/>
          <w:sz w:val="24"/>
          <w:szCs w:val="24"/>
        </w:rPr>
        <w:t>)</w:t>
      </w:r>
      <w:r w:rsidRPr="00451AA4">
        <w:rPr>
          <w:rFonts w:ascii="Times New Roman" w:eastAsia="Times New Roman" w:hAnsi="Times New Roman"/>
          <w:sz w:val="24"/>
          <w:szCs w:val="24"/>
        </w:rPr>
        <w:t xml:space="preserve">, and MA organizations in the Medicare and Medicaid programs </w:t>
      </w:r>
      <w:r w:rsidR="005B0267">
        <w:rPr>
          <w:rFonts w:ascii="Times New Roman" w:eastAsia="Times New Roman" w:hAnsi="Times New Roman"/>
          <w:sz w:val="24"/>
          <w:szCs w:val="24"/>
        </w:rPr>
        <w:t xml:space="preserve">(under section 1853(m)(3) of the </w:t>
      </w:r>
      <w:r w:rsidRPr="006F0F78" w:rsidR="006F0F78">
        <w:rPr>
          <w:rFonts w:ascii="Times New Roman" w:eastAsia="Times New Roman" w:hAnsi="Times New Roman"/>
          <w:sz w:val="24"/>
          <w:szCs w:val="24"/>
        </w:rPr>
        <w:t xml:space="preserve">Social Security </w:t>
      </w:r>
      <w:r w:rsidR="005B0267">
        <w:rPr>
          <w:rFonts w:ascii="Times New Roman" w:eastAsia="Times New Roman" w:hAnsi="Times New Roman"/>
          <w:sz w:val="24"/>
          <w:szCs w:val="24"/>
        </w:rPr>
        <w:t xml:space="preserve">Act) </w:t>
      </w:r>
      <w:r w:rsidRPr="00451AA4">
        <w:rPr>
          <w:rFonts w:ascii="Times New Roman" w:eastAsia="Times New Roman" w:hAnsi="Times New Roman"/>
          <w:sz w:val="24"/>
          <w:szCs w:val="24"/>
        </w:rPr>
        <w:t>that successfully demonstrated meaningful use of CEHRT</w:t>
      </w:r>
      <w:r w:rsidR="005B0267">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which included reporting on </w:t>
      </w:r>
      <w:r w:rsidR="00E42390">
        <w:rPr>
          <w:rFonts w:ascii="Times New Roman" w:eastAsia="Times New Roman" w:hAnsi="Times New Roman"/>
          <w:sz w:val="24"/>
          <w:szCs w:val="24"/>
        </w:rPr>
        <w:t>electronic clinical quality measures (</w:t>
      </w:r>
      <w:r w:rsidRPr="005C0C54">
        <w:rPr>
          <w:rFonts w:ascii="Times New Roman" w:eastAsia="Times New Roman" w:hAnsi="Times New Roman"/>
          <w:sz w:val="24"/>
          <w:szCs w:val="24"/>
        </w:rPr>
        <w:t>eCQMs</w:t>
      </w:r>
      <w:r w:rsidR="00E42390">
        <w:rPr>
          <w:rFonts w:ascii="Times New Roman" w:eastAsia="Times New Roman" w:hAnsi="Times New Roman"/>
          <w:sz w:val="24"/>
          <w:szCs w:val="24"/>
        </w:rPr>
        <w:t>)</w:t>
      </w:r>
      <w:r w:rsidRPr="005C0C54">
        <w:rPr>
          <w:rFonts w:ascii="Times New Roman" w:eastAsia="Times New Roman" w:hAnsi="Times New Roman"/>
          <w:sz w:val="24"/>
          <w:szCs w:val="24"/>
        </w:rPr>
        <w:t xml:space="preserve">. </w:t>
      </w:r>
      <w:r w:rsidRPr="00451AA4">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In accordance with the timeframe set forth in the statute, these incentive payments under Medicare are no longer available.  </w:t>
      </w:r>
      <w:r w:rsidR="005B0267">
        <w:rPr>
          <w:rFonts w:ascii="Times New Roman" w:eastAsia="Times New Roman" w:hAnsi="Times New Roman"/>
          <w:sz w:val="24"/>
          <w:szCs w:val="24"/>
        </w:rPr>
        <w:t>The Act</w:t>
      </w:r>
      <w:r w:rsidRPr="00451AA4" w:rsidR="005B0267">
        <w:rPr>
          <w:rFonts w:ascii="Times New Roman" w:eastAsia="Times New Roman" w:hAnsi="Times New Roman"/>
          <w:sz w:val="24"/>
          <w:szCs w:val="24"/>
        </w:rPr>
        <w:t xml:space="preserve"> also allowed for negative payment adjustments in the Medicare FFS and MA programs starting in 2015 for EPs, eligible hospitals, CAHs</w:t>
      </w:r>
      <w:r w:rsidR="00B37F23">
        <w:rPr>
          <w:rFonts w:ascii="Times New Roman" w:eastAsia="Times New Roman" w:hAnsi="Times New Roman"/>
          <w:sz w:val="24"/>
          <w:szCs w:val="24"/>
        </w:rPr>
        <w:t>, and MA organizations</w:t>
      </w:r>
      <w:r w:rsidRPr="00451AA4" w:rsidR="005B0267">
        <w:rPr>
          <w:rFonts w:ascii="Times New Roman" w:eastAsia="Times New Roman" w:hAnsi="Times New Roman"/>
          <w:sz w:val="24"/>
          <w:szCs w:val="24"/>
        </w:rPr>
        <w:t xml:space="preserve"> participating in Medicare that are not meaningful users of CEHRT. </w:t>
      </w:r>
      <w:r w:rsidR="005B0267">
        <w:rPr>
          <w:rFonts w:ascii="Times New Roman" w:eastAsia="Times New Roman" w:hAnsi="Times New Roman"/>
          <w:sz w:val="24"/>
          <w:szCs w:val="24"/>
        </w:rPr>
        <w:t xml:space="preserve"> </w:t>
      </w:r>
      <w:r>
        <w:rPr>
          <w:rFonts w:ascii="Times New Roman" w:eastAsia="Times New Roman" w:hAnsi="Times New Roman"/>
          <w:sz w:val="24"/>
          <w:szCs w:val="24"/>
        </w:rPr>
        <w:t xml:space="preserve">The last </w:t>
      </w:r>
      <w:r w:rsidR="00AF02C8">
        <w:rPr>
          <w:rFonts w:ascii="Times New Roman" w:eastAsia="Times New Roman" w:hAnsi="Times New Roman"/>
          <w:sz w:val="24"/>
          <w:szCs w:val="24"/>
        </w:rPr>
        <w:t xml:space="preserve">EHR </w:t>
      </w:r>
      <w:r>
        <w:rPr>
          <w:rFonts w:ascii="Times New Roman" w:eastAsia="Times New Roman" w:hAnsi="Times New Roman"/>
          <w:sz w:val="24"/>
          <w:szCs w:val="24"/>
        </w:rPr>
        <w:t xml:space="preserve">reporting </w:t>
      </w:r>
      <w:r w:rsidR="00F27D30">
        <w:rPr>
          <w:rFonts w:ascii="Times New Roman" w:eastAsia="Times New Roman" w:hAnsi="Times New Roman"/>
          <w:sz w:val="24"/>
          <w:szCs w:val="24"/>
        </w:rPr>
        <w:t>period</w:t>
      </w:r>
      <w:r>
        <w:rPr>
          <w:rFonts w:ascii="Times New Roman" w:eastAsia="Times New Roman" w:hAnsi="Times New Roman"/>
          <w:sz w:val="24"/>
          <w:szCs w:val="24"/>
        </w:rPr>
        <w:t xml:space="preserve"> that eligible hospitals </w:t>
      </w:r>
      <w:r w:rsidR="00E42390">
        <w:rPr>
          <w:rFonts w:ascii="Times New Roman" w:eastAsia="Times New Roman" w:hAnsi="Times New Roman"/>
          <w:sz w:val="24"/>
          <w:szCs w:val="24"/>
        </w:rPr>
        <w:t xml:space="preserve">in Puerto Rico </w:t>
      </w:r>
      <w:r>
        <w:rPr>
          <w:rFonts w:ascii="Times New Roman" w:eastAsia="Times New Roman" w:hAnsi="Times New Roman"/>
          <w:sz w:val="24"/>
          <w:szCs w:val="24"/>
        </w:rPr>
        <w:t>could receive an incentive payment was in</w:t>
      </w:r>
      <w:r w:rsidR="00AF02C8">
        <w:rPr>
          <w:rFonts w:ascii="Times New Roman" w:eastAsia="Times New Roman" w:hAnsi="Times New Roman"/>
          <w:sz w:val="24"/>
          <w:szCs w:val="24"/>
        </w:rPr>
        <w:t xml:space="preserve"> CY</w:t>
      </w:r>
      <w:r>
        <w:rPr>
          <w:rFonts w:ascii="Times New Roman" w:eastAsia="Times New Roman" w:hAnsi="Times New Roman"/>
          <w:sz w:val="24"/>
          <w:szCs w:val="24"/>
        </w:rPr>
        <w:t xml:space="preserve"> 20</w:t>
      </w:r>
      <w:r w:rsidR="00307336">
        <w:rPr>
          <w:rFonts w:ascii="Times New Roman" w:eastAsia="Times New Roman" w:hAnsi="Times New Roman"/>
          <w:sz w:val="24"/>
          <w:szCs w:val="24"/>
        </w:rPr>
        <w:t>19</w:t>
      </w:r>
      <w:r>
        <w:rPr>
          <w:rFonts w:ascii="Times New Roman" w:eastAsia="Times New Roman" w:hAnsi="Times New Roman"/>
          <w:sz w:val="24"/>
          <w:szCs w:val="24"/>
        </w:rPr>
        <w:t xml:space="preserve"> (FY 2021 payment year), and </w:t>
      </w:r>
      <w:r w:rsidR="00AF02C8">
        <w:rPr>
          <w:rFonts w:ascii="Times New Roman" w:eastAsia="Times New Roman" w:hAnsi="Times New Roman"/>
          <w:sz w:val="24"/>
          <w:szCs w:val="24"/>
        </w:rPr>
        <w:t xml:space="preserve">the EHR </w:t>
      </w:r>
      <w:r>
        <w:rPr>
          <w:rFonts w:ascii="Times New Roman" w:eastAsia="Times New Roman" w:hAnsi="Times New Roman"/>
          <w:sz w:val="24"/>
          <w:szCs w:val="24"/>
        </w:rPr>
        <w:t xml:space="preserve">reporting </w:t>
      </w:r>
      <w:r w:rsidR="000B7DC1">
        <w:rPr>
          <w:rFonts w:ascii="Times New Roman" w:eastAsia="Times New Roman" w:hAnsi="Times New Roman"/>
          <w:sz w:val="24"/>
          <w:szCs w:val="24"/>
        </w:rPr>
        <w:t>period in CY 202</w:t>
      </w:r>
      <w:r w:rsidR="00307336">
        <w:rPr>
          <w:rFonts w:ascii="Times New Roman" w:eastAsia="Times New Roman" w:hAnsi="Times New Roman"/>
          <w:sz w:val="24"/>
          <w:szCs w:val="24"/>
        </w:rPr>
        <w:t>0</w:t>
      </w:r>
      <w:r>
        <w:rPr>
          <w:rFonts w:ascii="Times New Roman" w:eastAsia="Times New Roman" w:hAnsi="Times New Roman"/>
          <w:sz w:val="24"/>
          <w:szCs w:val="24"/>
        </w:rPr>
        <w:t xml:space="preserve"> (FY 2022 payment year) was the first year where they would be subject to a downward payment adjustment for failing to demonstrate meaningful use of CEHRT.  </w:t>
      </w:r>
      <w:r w:rsidRPr="00451AA4">
        <w:rPr>
          <w:rFonts w:ascii="Times New Roman" w:eastAsia="Times New Roman" w:hAnsi="Times New Roman"/>
          <w:sz w:val="24"/>
          <w:szCs w:val="24"/>
        </w:rPr>
        <w:t xml:space="preserve">The Medicaid Promoting Interoperability Program did not authorize </w:t>
      </w:r>
      <w:r w:rsidR="00AF02C8">
        <w:rPr>
          <w:rFonts w:ascii="Times New Roman" w:eastAsia="Times New Roman" w:hAnsi="Times New Roman"/>
          <w:sz w:val="24"/>
          <w:szCs w:val="24"/>
        </w:rPr>
        <w:t>down</w:t>
      </w:r>
      <w:r w:rsidR="00443BE9">
        <w:rPr>
          <w:rFonts w:ascii="Times New Roman" w:eastAsia="Times New Roman" w:hAnsi="Times New Roman"/>
          <w:sz w:val="24"/>
          <w:szCs w:val="24"/>
        </w:rPr>
        <w:t>w</w:t>
      </w:r>
      <w:r w:rsidR="00AF02C8">
        <w:rPr>
          <w:rFonts w:ascii="Times New Roman" w:eastAsia="Times New Roman" w:hAnsi="Times New Roman"/>
          <w:sz w:val="24"/>
          <w:szCs w:val="24"/>
        </w:rPr>
        <w:t>ard</w:t>
      </w:r>
      <w:r w:rsidRPr="00451AA4" w:rsidR="00AF02C8">
        <w:rPr>
          <w:rFonts w:ascii="Times New Roman" w:eastAsia="Times New Roman" w:hAnsi="Times New Roman"/>
          <w:sz w:val="24"/>
          <w:szCs w:val="24"/>
        </w:rPr>
        <w:t xml:space="preserve"> </w:t>
      </w:r>
      <w:r w:rsidRPr="00451AA4">
        <w:rPr>
          <w:rFonts w:ascii="Times New Roman" w:eastAsia="Times New Roman" w:hAnsi="Times New Roman"/>
          <w:sz w:val="24"/>
          <w:szCs w:val="24"/>
        </w:rPr>
        <w:t>payment adjustments, but its participants were eligible for incentive payments until December 31, 2021</w:t>
      </w:r>
      <w:r w:rsidR="001452DD">
        <w:rPr>
          <w:rFonts w:ascii="Times New Roman" w:eastAsia="Times New Roman" w:hAnsi="Times New Roman"/>
          <w:sz w:val="24"/>
          <w:szCs w:val="24"/>
        </w:rPr>
        <w:t>,</w:t>
      </w:r>
      <w:r w:rsidRPr="00451AA4">
        <w:rPr>
          <w:rFonts w:ascii="Times New Roman" w:eastAsia="Times New Roman" w:hAnsi="Times New Roman"/>
          <w:sz w:val="24"/>
          <w:szCs w:val="24"/>
        </w:rPr>
        <w:t xml:space="preserve"> when the program ended.</w:t>
      </w:r>
    </w:p>
    <w:p w:rsidR="006F206B" w:rsidP="00497E80" w14:paraId="10CC781C" w14:textId="77777777">
      <w:pPr>
        <w:pStyle w:val="BodyText"/>
        <w:ind w:left="0" w:right="123"/>
      </w:pPr>
    </w:p>
    <w:p w:rsidR="00A94298" w:rsidRPr="00A94298" w:rsidP="00A94298" w14:paraId="70512CD6" w14:textId="77777777">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Medicare Promoting Interoperability</w:t>
      </w:r>
      <w:r w:rsidRPr="006F206B">
        <w:rPr>
          <w:rFonts w:ascii="Times New Roman" w:hAnsi="Times New Roman" w:cs="Times New Roman"/>
          <w:b/>
          <w:sz w:val="24"/>
          <w:szCs w:val="24"/>
        </w:rPr>
        <w:t xml:space="preserve"> Program Measures</w:t>
      </w:r>
    </w:p>
    <w:p w:rsidR="00A94298" w:rsidP="00A94298" w14:paraId="0480DDAB" w14:textId="77777777">
      <w:pPr>
        <w:widowControl/>
        <w:contextualSpacing/>
      </w:pPr>
    </w:p>
    <w:p w:rsidR="003339D9" w:rsidP="00A94298" w14:paraId="7292272F" w14:textId="20371022">
      <w:pPr>
        <w:widowControl/>
        <w:contextualSpacing/>
        <w:rPr>
          <w:rFonts w:ascii="Times New Roman" w:hAnsi="Times New Roman" w:cs="Times New Roman"/>
          <w:sz w:val="24"/>
          <w:szCs w:val="24"/>
        </w:rPr>
      </w:pPr>
      <w:r>
        <w:rPr>
          <w:rFonts w:ascii="Times New Roman" w:hAnsi="Times New Roman" w:cs="Times New Roman"/>
          <w:sz w:val="24"/>
          <w:szCs w:val="24"/>
        </w:rPr>
        <w:t xml:space="preserve">For the EHR reporting period </w:t>
      </w:r>
      <w:r w:rsidR="000659E9">
        <w:rPr>
          <w:rFonts w:ascii="Times New Roman" w:hAnsi="Times New Roman" w:cs="Times New Roman"/>
          <w:sz w:val="24"/>
          <w:szCs w:val="24"/>
        </w:rPr>
        <w:t>in CY 202</w:t>
      </w:r>
      <w:r w:rsidR="00FC658E">
        <w:rPr>
          <w:rFonts w:ascii="Times New Roman" w:hAnsi="Times New Roman" w:cs="Times New Roman"/>
          <w:sz w:val="24"/>
          <w:szCs w:val="24"/>
        </w:rPr>
        <w:t>5</w:t>
      </w:r>
      <w:r w:rsidR="000659E9">
        <w:rPr>
          <w:rFonts w:ascii="Times New Roman" w:hAnsi="Times New Roman" w:cs="Times New Roman"/>
          <w:sz w:val="24"/>
          <w:szCs w:val="24"/>
        </w:rPr>
        <w:t xml:space="preserve"> </w:t>
      </w:r>
      <w:r>
        <w:rPr>
          <w:rFonts w:ascii="Times New Roman" w:hAnsi="Times New Roman" w:cs="Times New Roman"/>
          <w:sz w:val="24"/>
          <w:szCs w:val="24"/>
        </w:rPr>
        <w:t>and subsequent years, e</w:t>
      </w:r>
      <w:r w:rsidRPr="00A94298">
        <w:rPr>
          <w:rFonts w:ascii="Times New Roman" w:hAnsi="Times New Roman" w:cs="Times New Roman"/>
          <w:sz w:val="24"/>
          <w:szCs w:val="24"/>
        </w:rPr>
        <w:t xml:space="preserve">ligible hospitals and CAHs are </w:t>
      </w:r>
      <w:r>
        <w:rPr>
          <w:rFonts w:ascii="Times New Roman" w:hAnsi="Times New Roman" w:cs="Times New Roman"/>
          <w:sz w:val="24"/>
          <w:szCs w:val="24"/>
        </w:rPr>
        <w:t xml:space="preserve">required to report data </w:t>
      </w:r>
      <w:r w:rsidR="001452DD">
        <w:rPr>
          <w:rFonts w:ascii="Times New Roman" w:hAnsi="Times New Roman" w:cs="Times New Roman"/>
          <w:sz w:val="24"/>
          <w:szCs w:val="24"/>
        </w:rPr>
        <w:t xml:space="preserve">for </w:t>
      </w:r>
      <w:r>
        <w:rPr>
          <w:rFonts w:ascii="Times New Roman" w:hAnsi="Times New Roman" w:cs="Times New Roman"/>
          <w:sz w:val="24"/>
          <w:szCs w:val="24"/>
        </w:rPr>
        <w:t xml:space="preserve">or attest </w:t>
      </w:r>
      <w:r w:rsidR="001452DD">
        <w:rPr>
          <w:rFonts w:ascii="Times New Roman" w:hAnsi="Times New Roman" w:cs="Times New Roman"/>
          <w:sz w:val="24"/>
          <w:szCs w:val="24"/>
        </w:rPr>
        <w:t xml:space="preserve">to </w:t>
      </w:r>
      <w:r>
        <w:rPr>
          <w:rFonts w:ascii="Times New Roman" w:hAnsi="Times New Roman" w:cs="Times New Roman"/>
          <w:sz w:val="24"/>
          <w:szCs w:val="24"/>
        </w:rPr>
        <w:t>the measures shown in Table 1, as applicable, annually via an online submission form.</w:t>
      </w:r>
    </w:p>
    <w:p w:rsidR="003339D9" w:rsidP="003339D9" w14:paraId="52831C35" w14:textId="77777777">
      <w:pPr>
        <w:pStyle w:val="BodyText"/>
        <w:spacing w:before="69"/>
        <w:ind w:left="0" w:right="259"/>
      </w:pPr>
    </w:p>
    <w:p w:rsidR="003339D9" w:rsidRPr="00B66511" w:rsidP="003339D9" w14:paraId="0ADDF380" w14:textId="7B72BDFE">
      <w:pPr>
        <w:pStyle w:val="BodyText"/>
        <w:spacing w:before="69"/>
        <w:ind w:left="0" w:right="259"/>
        <w:jc w:val="center"/>
        <w:rPr>
          <w:b/>
          <w:bCs/>
        </w:rPr>
      </w:pPr>
      <w:r>
        <w:rPr>
          <w:b/>
          <w:bCs/>
        </w:rPr>
        <w:t>Table 1: Currently Approved Medicare Promoting Interoperability Program Measures for the EHR Reporting Period</w:t>
      </w:r>
      <w:r w:rsidR="000659E9">
        <w:rPr>
          <w:b/>
          <w:bCs/>
        </w:rPr>
        <w:t xml:space="preserve"> in CY 202</w:t>
      </w:r>
      <w:r w:rsidR="00FC658E">
        <w:rPr>
          <w:b/>
          <w:bCs/>
        </w:rPr>
        <w:t>5</w:t>
      </w:r>
      <w:r w:rsidR="00164C26">
        <w:rPr>
          <w:b/>
          <w:bCs/>
        </w:rPr>
        <w:t xml:space="preserve"> and Subsequent Years</w:t>
      </w:r>
    </w:p>
    <w:p w:rsidR="003339D9" w:rsidP="003339D9" w14:paraId="7FD32B98" w14:textId="77777777">
      <w:pPr>
        <w:pStyle w:val="BodyText"/>
        <w:spacing w:before="69"/>
        <w:ind w:left="0" w:right="259"/>
      </w:pPr>
    </w:p>
    <w:tbl>
      <w:tblPr>
        <w:tblStyle w:val="TableGrid"/>
        <w:tblCaption w:val="Medicare Promoting Interoperability Program Estimated Annual Information Collection Burden Per Respondent for the CY 2024, 2025, and 2026 EHR Reporting Period"/>
        <w:tblDescription w:val="Medicare Promoting Interoperability Program Estimated Annual Information Collection Burden Per Respondent for the CY 2024, 2025, and 2026 EHR Reporting Period"/>
        <w:tblW w:w="7555" w:type="dxa"/>
        <w:jc w:val="center"/>
        <w:tblLook w:val="04A0"/>
      </w:tblPr>
      <w:tblGrid>
        <w:gridCol w:w="2950"/>
        <w:gridCol w:w="4605"/>
      </w:tblGrid>
      <w:tr w14:paraId="53B9349B" w14:textId="77777777" w:rsidTr="003339D9">
        <w:tblPrEx>
          <w:tblW w:w="7555" w:type="dxa"/>
          <w:jc w:val="center"/>
          <w:tblLook w:val="04A0"/>
        </w:tblPrEx>
        <w:trPr>
          <w:cantSplit/>
          <w:tblHeader/>
          <w:jc w:val="center"/>
        </w:trPr>
        <w:tc>
          <w:tcPr>
            <w:tcW w:w="2950" w:type="dxa"/>
            <w:vAlign w:val="center"/>
          </w:tcPr>
          <w:p w:rsidR="003339D9" w:rsidRPr="009A402A" w:rsidP="0036215F" w14:paraId="633C6BF7" w14:textId="77777777">
            <w:pPr>
              <w:pStyle w:val="BodyText"/>
              <w:spacing w:before="69"/>
              <w:ind w:left="0" w:right="259"/>
              <w:jc w:val="center"/>
              <w:rPr>
                <w:b/>
                <w:bCs/>
              </w:rPr>
            </w:pPr>
            <w:r w:rsidRPr="009A402A">
              <w:rPr>
                <w:b/>
                <w:bCs/>
              </w:rPr>
              <w:t>Objective</w:t>
            </w:r>
          </w:p>
        </w:tc>
        <w:tc>
          <w:tcPr>
            <w:tcW w:w="4605" w:type="dxa"/>
            <w:vAlign w:val="center"/>
          </w:tcPr>
          <w:p w:rsidR="003339D9" w:rsidRPr="009A402A" w:rsidP="0036215F" w14:paraId="2006C56A" w14:textId="77777777">
            <w:pPr>
              <w:pStyle w:val="BodyText"/>
              <w:spacing w:before="69"/>
              <w:ind w:left="0" w:right="259"/>
              <w:jc w:val="center"/>
              <w:rPr>
                <w:b/>
                <w:bCs/>
              </w:rPr>
            </w:pPr>
            <w:r w:rsidRPr="009A402A">
              <w:rPr>
                <w:b/>
                <w:bCs/>
              </w:rPr>
              <w:t>Measure</w:t>
            </w:r>
          </w:p>
        </w:tc>
      </w:tr>
      <w:tr w14:paraId="511CBBBB" w14:textId="77777777" w:rsidTr="003339D9">
        <w:tblPrEx>
          <w:tblW w:w="7555" w:type="dxa"/>
          <w:jc w:val="center"/>
          <w:tblLook w:val="04A0"/>
        </w:tblPrEx>
        <w:trPr>
          <w:cantSplit/>
          <w:jc w:val="center"/>
        </w:trPr>
        <w:tc>
          <w:tcPr>
            <w:tcW w:w="2950" w:type="dxa"/>
            <w:vMerge w:val="restart"/>
            <w:vAlign w:val="center"/>
          </w:tcPr>
          <w:p w:rsidR="00A95CCB" w:rsidRPr="009A402A" w:rsidP="0036215F" w14:paraId="0323F262" w14:textId="77777777">
            <w:pPr>
              <w:pStyle w:val="BodyText"/>
              <w:spacing w:before="69"/>
              <w:ind w:left="0" w:right="259"/>
            </w:pPr>
            <w:r w:rsidRPr="009A402A">
              <w:t>Protect Patient Health Information</w:t>
            </w:r>
          </w:p>
        </w:tc>
        <w:tc>
          <w:tcPr>
            <w:tcW w:w="4605" w:type="dxa"/>
          </w:tcPr>
          <w:p w:rsidR="00A95CCB" w:rsidRPr="009A402A" w:rsidP="0036215F" w14:paraId="15164570" w14:textId="77777777">
            <w:pPr>
              <w:pStyle w:val="BodyText"/>
              <w:spacing w:before="69"/>
              <w:ind w:left="0" w:right="259"/>
            </w:pPr>
            <w:r w:rsidRPr="009A402A">
              <w:t>Security Risk Analysis</w:t>
            </w:r>
          </w:p>
        </w:tc>
      </w:tr>
      <w:tr w14:paraId="3DA285CD" w14:textId="77777777" w:rsidTr="003339D9">
        <w:tblPrEx>
          <w:tblW w:w="7555" w:type="dxa"/>
          <w:jc w:val="center"/>
          <w:tblLook w:val="04A0"/>
        </w:tblPrEx>
        <w:trPr>
          <w:cantSplit/>
          <w:jc w:val="center"/>
        </w:trPr>
        <w:tc>
          <w:tcPr>
            <w:tcW w:w="2950" w:type="dxa"/>
            <w:vMerge/>
            <w:vAlign w:val="center"/>
          </w:tcPr>
          <w:p w:rsidR="00A95CCB" w:rsidRPr="009A402A" w:rsidP="0036215F" w14:paraId="565AE09B" w14:textId="77777777">
            <w:pPr>
              <w:pStyle w:val="BodyText"/>
              <w:spacing w:before="69"/>
              <w:ind w:left="0" w:right="259"/>
            </w:pPr>
          </w:p>
        </w:tc>
        <w:tc>
          <w:tcPr>
            <w:tcW w:w="4605" w:type="dxa"/>
          </w:tcPr>
          <w:p w:rsidR="00A95CCB" w:rsidRPr="009A402A" w:rsidP="0036215F" w14:paraId="776774D2" w14:textId="4FE120AB">
            <w:pPr>
              <w:pStyle w:val="BodyText"/>
              <w:spacing w:before="69"/>
              <w:ind w:left="0" w:right="259"/>
            </w:pPr>
            <w:r w:rsidRPr="009A402A">
              <w:t>S</w:t>
            </w:r>
            <w:r>
              <w:t>afety Assurance Factors for EHR Resilience (S</w:t>
            </w:r>
            <w:r w:rsidRPr="009A402A">
              <w:t>AFER</w:t>
            </w:r>
            <w:r>
              <w:t>)</w:t>
            </w:r>
            <w:r w:rsidRPr="009A402A">
              <w:t xml:space="preserve"> Guides</w:t>
            </w:r>
          </w:p>
        </w:tc>
      </w:tr>
      <w:tr w14:paraId="7DA238B1" w14:textId="77777777" w:rsidTr="003339D9">
        <w:tblPrEx>
          <w:tblW w:w="7555" w:type="dxa"/>
          <w:jc w:val="center"/>
          <w:tblLook w:val="04A0"/>
        </w:tblPrEx>
        <w:trPr>
          <w:cantSplit/>
          <w:jc w:val="center"/>
        </w:trPr>
        <w:tc>
          <w:tcPr>
            <w:tcW w:w="2950" w:type="dxa"/>
            <w:vMerge/>
            <w:vAlign w:val="center"/>
          </w:tcPr>
          <w:p w:rsidR="00A95CCB" w:rsidRPr="009A402A" w:rsidP="0036215F" w14:paraId="091AAD64" w14:textId="77777777">
            <w:pPr>
              <w:pStyle w:val="BodyText"/>
              <w:spacing w:before="69"/>
              <w:ind w:left="0" w:right="259"/>
            </w:pPr>
          </w:p>
        </w:tc>
        <w:tc>
          <w:tcPr>
            <w:tcW w:w="4605" w:type="dxa"/>
          </w:tcPr>
          <w:p w:rsidR="00A95CCB" w:rsidRPr="009A402A" w:rsidP="0036215F" w14:paraId="5F7A9B3C" w14:textId="511661BC">
            <w:pPr>
              <w:pStyle w:val="BodyText"/>
              <w:spacing w:before="69"/>
              <w:ind w:left="0" w:right="259"/>
            </w:pPr>
            <w:r w:rsidRPr="00A95CCB">
              <w:t xml:space="preserve">Actions to </w:t>
            </w:r>
            <w:r>
              <w:t>L</w:t>
            </w:r>
            <w:r w:rsidRPr="00A95CCB">
              <w:t xml:space="preserve">imit or </w:t>
            </w:r>
            <w:r>
              <w:t>R</w:t>
            </w:r>
            <w:r w:rsidRPr="00A95CCB">
              <w:t xml:space="preserve">estrict the </w:t>
            </w:r>
            <w:r>
              <w:t>C</w:t>
            </w:r>
            <w:r w:rsidRPr="00A95CCB">
              <w:t xml:space="preserve">ompatibility or </w:t>
            </w:r>
            <w:r>
              <w:t>I</w:t>
            </w:r>
            <w:r w:rsidRPr="00A95CCB">
              <w:t>nteroperability of CEHRT</w:t>
            </w:r>
          </w:p>
        </w:tc>
      </w:tr>
      <w:tr w14:paraId="25D0D113" w14:textId="77777777" w:rsidTr="003339D9">
        <w:tblPrEx>
          <w:tblW w:w="7555" w:type="dxa"/>
          <w:jc w:val="center"/>
          <w:tblLook w:val="04A0"/>
        </w:tblPrEx>
        <w:trPr>
          <w:cantSplit/>
          <w:jc w:val="center"/>
        </w:trPr>
        <w:tc>
          <w:tcPr>
            <w:tcW w:w="2950" w:type="dxa"/>
            <w:vMerge/>
            <w:vAlign w:val="center"/>
          </w:tcPr>
          <w:p w:rsidR="00A95CCB" w:rsidRPr="009A402A" w:rsidP="0036215F" w14:paraId="6A3AA39B" w14:textId="77777777">
            <w:pPr>
              <w:pStyle w:val="BodyText"/>
              <w:spacing w:before="69"/>
              <w:ind w:left="0" w:right="259"/>
            </w:pPr>
          </w:p>
        </w:tc>
        <w:tc>
          <w:tcPr>
            <w:tcW w:w="4605" w:type="dxa"/>
          </w:tcPr>
          <w:p w:rsidR="00A95CCB" w:rsidRPr="009A402A" w:rsidP="0036215F" w14:paraId="66A367C5" w14:textId="674E0789">
            <w:pPr>
              <w:pStyle w:val="BodyText"/>
              <w:spacing w:before="69"/>
              <w:ind w:left="0" w:right="259"/>
            </w:pPr>
            <w:r>
              <w:t>ONC</w:t>
            </w:r>
            <w:r w:rsidRPr="00A95CCB">
              <w:t xml:space="preserve"> </w:t>
            </w:r>
            <w:r>
              <w:t>D</w:t>
            </w:r>
            <w:r w:rsidRPr="00A95CCB">
              <w:t xml:space="preserve">irect </w:t>
            </w:r>
            <w:r>
              <w:t>R</w:t>
            </w:r>
            <w:r w:rsidRPr="00A95CCB">
              <w:t>eview</w:t>
            </w:r>
          </w:p>
        </w:tc>
      </w:tr>
      <w:tr w14:paraId="5D65D8B7" w14:textId="77777777" w:rsidTr="003339D9">
        <w:tblPrEx>
          <w:tblW w:w="7555" w:type="dxa"/>
          <w:jc w:val="center"/>
          <w:tblLook w:val="04A0"/>
        </w:tblPrEx>
        <w:trPr>
          <w:cantSplit/>
          <w:jc w:val="center"/>
        </w:trPr>
        <w:tc>
          <w:tcPr>
            <w:tcW w:w="2950" w:type="dxa"/>
            <w:vMerge w:val="restart"/>
            <w:vAlign w:val="center"/>
          </w:tcPr>
          <w:p w:rsidR="003339D9" w:rsidRPr="009A402A" w:rsidP="0036215F" w14:paraId="1EF3E20A" w14:textId="77777777">
            <w:pPr>
              <w:pStyle w:val="BodyText"/>
              <w:spacing w:before="69"/>
              <w:ind w:left="0" w:right="259"/>
            </w:pPr>
            <w:r w:rsidRPr="009A402A">
              <w:t>Electronic Prescribing</w:t>
            </w:r>
          </w:p>
        </w:tc>
        <w:tc>
          <w:tcPr>
            <w:tcW w:w="4605" w:type="dxa"/>
          </w:tcPr>
          <w:p w:rsidR="003339D9" w:rsidRPr="009A402A" w:rsidP="0036215F" w14:paraId="0D3367F0" w14:textId="77777777">
            <w:pPr>
              <w:pStyle w:val="BodyText"/>
              <w:spacing w:before="69"/>
              <w:ind w:left="0" w:right="259"/>
            </w:pPr>
            <w:r w:rsidRPr="009A402A">
              <w:t>e-Prescribing</w:t>
            </w:r>
          </w:p>
        </w:tc>
      </w:tr>
      <w:tr w14:paraId="230D0747" w14:textId="77777777" w:rsidTr="003339D9">
        <w:tblPrEx>
          <w:tblW w:w="7555" w:type="dxa"/>
          <w:jc w:val="center"/>
          <w:tblLook w:val="04A0"/>
        </w:tblPrEx>
        <w:trPr>
          <w:cantSplit/>
          <w:jc w:val="center"/>
        </w:trPr>
        <w:tc>
          <w:tcPr>
            <w:tcW w:w="2950" w:type="dxa"/>
            <w:vMerge/>
            <w:vAlign w:val="center"/>
          </w:tcPr>
          <w:p w:rsidR="003339D9" w:rsidRPr="009A402A" w:rsidP="0036215F" w14:paraId="2737C5BD" w14:textId="77777777">
            <w:pPr>
              <w:pStyle w:val="BodyText"/>
              <w:spacing w:before="69"/>
              <w:ind w:left="0" w:right="259"/>
            </w:pPr>
          </w:p>
        </w:tc>
        <w:tc>
          <w:tcPr>
            <w:tcW w:w="4605" w:type="dxa"/>
          </w:tcPr>
          <w:p w:rsidR="003339D9" w:rsidRPr="009A402A" w:rsidP="0036215F" w14:paraId="21A9B4A9" w14:textId="77777777">
            <w:pPr>
              <w:pStyle w:val="BodyText"/>
              <w:spacing w:before="69"/>
              <w:ind w:left="0" w:right="259"/>
            </w:pPr>
            <w:r w:rsidRPr="009A402A">
              <w:t>Query of Prescription Drug Monitoring Program (PDMP)</w:t>
            </w:r>
          </w:p>
        </w:tc>
      </w:tr>
      <w:tr w14:paraId="174DF786" w14:textId="77777777" w:rsidTr="003339D9">
        <w:tblPrEx>
          <w:tblW w:w="7555" w:type="dxa"/>
          <w:jc w:val="center"/>
          <w:tblLook w:val="04A0"/>
        </w:tblPrEx>
        <w:trPr>
          <w:cantSplit/>
          <w:jc w:val="center"/>
        </w:trPr>
        <w:tc>
          <w:tcPr>
            <w:tcW w:w="2950" w:type="dxa"/>
            <w:vMerge w:val="restart"/>
            <w:vAlign w:val="center"/>
          </w:tcPr>
          <w:p w:rsidR="0053330B" w:rsidRPr="009A402A" w:rsidP="0036215F" w14:paraId="45DCF72C" w14:textId="77777777">
            <w:pPr>
              <w:pStyle w:val="BodyText"/>
              <w:spacing w:before="69"/>
              <w:ind w:left="0" w:right="259"/>
            </w:pPr>
            <w:r w:rsidRPr="009A402A">
              <w:t>Health Information Exchange</w:t>
            </w:r>
          </w:p>
        </w:tc>
        <w:tc>
          <w:tcPr>
            <w:tcW w:w="4605" w:type="dxa"/>
          </w:tcPr>
          <w:p w:rsidR="0053330B" w:rsidRPr="009A402A" w:rsidP="0036215F" w14:paraId="49033EA8" w14:textId="77777777">
            <w:pPr>
              <w:pStyle w:val="BodyText"/>
              <w:spacing w:before="69"/>
              <w:ind w:left="0" w:right="259"/>
            </w:pPr>
            <w:r w:rsidRPr="009A402A">
              <w:t>Support Electronic Referral Loops by Sending Health Information</w:t>
            </w:r>
          </w:p>
        </w:tc>
      </w:tr>
      <w:tr w14:paraId="3C777D9D" w14:textId="77777777" w:rsidTr="003339D9">
        <w:tblPrEx>
          <w:tblW w:w="7555" w:type="dxa"/>
          <w:jc w:val="center"/>
          <w:tblLook w:val="04A0"/>
        </w:tblPrEx>
        <w:trPr>
          <w:cantSplit/>
          <w:jc w:val="center"/>
        </w:trPr>
        <w:tc>
          <w:tcPr>
            <w:tcW w:w="2950" w:type="dxa"/>
            <w:vMerge/>
            <w:vAlign w:val="center"/>
          </w:tcPr>
          <w:p w:rsidR="0053330B" w:rsidRPr="009A402A" w:rsidP="0036215F" w14:paraId="251D83FB" w14:textId="77777777">
            <w:pPr>
              <w:pStyle w:val="BodyText"/>
              <w:spacing w:before="69"/>
              <w:ind w:left="0" w:right="259"/>
            </w:pPr>
          </w:p>
        </w:tc>
        <w:tc>
          <w:tcPr>
            <w:tcW w:w="4605" w:type="dxa"/>
          </w:tcPr>
          <w:p w:rsidR="0053330B" w:rsidRPr="009A402A" w:rsidP="0036215F" w14:paraId="785D05C7" w14:textId="77777777">
            <w:pPr>
              <w:pStyle w:val="BodyText"/>
              <w:spacing w:before="69"/>
              <w:ind w:left="0" w:right="259"/>
            </w:pPr>
            <w:r w:rsidRPr="009A402A">
              <w:t>Support Electronic Referral Loops by Receiving and Reconciling Health Information</w:t>
            </w:r>
          </w:p>
        </w:tc>
      </w:tr>
      <w:tr w14:paraId="3681B5D8" w14:textId="77777777" w:rsidTr="003339D9">
        <w:tblPrEx>
          <w:tblW w:w="7555" w:type="dxa"/>
          <w:jc w:val="center"/>
          <w:tblLook w:val="04A0"/>
        </w:tblPrEx>
        <w:trPr>
          <w:cantSplit/>
          <w:jc w:val="center"/>
        </w:trPr>
        <w:tc>
          <w:tcPr>
            <w:tcW w:w="2950" w:type="dxa"/>
            <w:vMerge/>
            <w:vAlign w:val="center"/>
          </w:tcPr>
          <w:p w:rsidR="0053330B" w:rsidRPr="009A402A" w:rsidP="0036215F" w14:paraId="4F1ABB6A" w14:textId="77777777">
            <w:pPr>
              <w:pStyle w:val="BodyText"/>
              <w:spacing w:before="69"/>
              <w:ind w:left="0" w:right="259"/>
            </w:pPr>
          </w:p>
        </w:tc>
        <w:tc>
          <w:tcPr>
            <w:tcW w:w="4605" w:type="dxa"/>
          </w:tcPr>
          <w:p w:rsidR="0053330B" w:rsidRPr="009A402A" w:rsidP="0036215F" w14:paraId="4F94A102" w14:textId="77777777">
            <w:pPr>
              <w:pStyle w:val="BodyText"/>
              <w:spacing w:before="69"/>
              <w:ind w:left="0" w:right="259"/>
              <w:jc w:val="center"/>
            </w:pPr>
            <w:r w:rsidRPr="009A402A">
              <w:t>OR</w:t>
            </w:r>
          </w:p>
        </w:tc>
      </w:tr>
      <w:tr w14:paraId="549D7E9F" w14:textId="77777777" w:rsidTr="003339D9">
        <w:tblPrEx>
          <w:tblW w:w="7555" w:type="dxa"/>
          <w:jc w:val="center"/>
          <w:tblLook w:val="04A0"/>
        </w:tblPrEx>
        <w:trPr>
          <w:cantSplit/>
          <w:jc w:val="center"/>
        </w:trPr>
        <w:tc>
          <w:tcPr>
            <w:tcW w:w="2950" w:type="dxa"/>
            <w:vMerge/>
            <w:vAlign w:val="center"/>
          </w:tcPr>
          <w:p w:rsidR="0053330B" w:rsidRPr="009A402A" w:rsidP="0036215F" w14:paraId="2929E05C" w14:textId="77777777">
            <w:pPr>
              <w:pStyle w:val="BodyText"/>
              <w:spacing w:before="69"/>
              <w:ind w:left="0" w:right="259"/>
            </w:pPr>
          </w:p>
        </w:tc>
        <w:tc>
          <w:tcPr>
            <w:tcW w:w="4605" w:type="dxa"/>
          </w:tcPr>
          <w:p w:rsidR="0053330B" w:rsidRPr="009A402A" w:rsidP="0036215F" w14:paraId="4690E870" w14:textId="2FE55EF0">
            <w:pPr>
              <w:pStyle w:val="BodyText"/>
              <w:spacing w:before="69"/>
              <w:ind w:left="0" w:right="259"/>
            </w:pPr>
            <w:r w:rsidRPr="009A402A">
              <w:t xml:space="preserve">Health Information Exchange </w:t>
            </w:r>
            <w:r>
              <w:t xml:space="preserve">(HIE) </w:t>
            </w:r>
            <w:r w:rsidRPr="009A402A">
              <w:t>Bi-Directional Exchange</w:t>
            </w:r>
          </w:p>
        </w:tc>
      </w:tr>
      <w:tr w14:paraId="596D127E" w14:textId="77777777" w:rsidTr="003339D9">
        <w:tblPrEx>
          <w:tblW w:w="7555" w:type="dxa"/>
          <w:jc w:val="center"/>
          <w:tblLook w:val="04A0"/>
        </w:tblPrEx>
        <w:trPr>
          <w:cantSplit/>
          <w:jc w:val="center"/>
        </w:trPr>
        <w:tc>
          <w:tcPr>
            <w:tcW w:w="2950" w:type="dxa"/>
            <w:vMerge/>
            <w:vAlign w:val="center"/>
          </w:tcPr>
          <w:p w:rsidR="0053330B" w:rsidRPr="009A402A" w:rsidP="0036215F" w14:paraId="390F7B52" w14:textId="77777777">
            <w:pPr>
              <w:pStyle w:val="BodyText"/>
              <w:spacing w:before="69"/>
              <w:ind w:left="0" w:right="259"/>
            </w:pPr>
          </w:p>
        </w:tc>
        <w:tc>
          <w:tcPr>
            <w:tcW w:w="4605" w:type="dxa"/>
          </w:tcPr>
          <w:p w:rsidR="0053330B" w:rsidRPr="009A402A" w:rsidP="0036215F" w14:paraId="21FABF4C" w14:textId="77777777">
            <w:pPr>
              <w:pStyle w:val="BodyText"/>
              <w:spacing w:before="69"/>
              <w:ind w:left="0" w:right="259"/>
              <w:jc w:val="center"/>
            </w:pPr>
            <w:r w:rsidRPr="009A402A">
              <w:t>OR</w:t>
            </w:r>
          </w:p>
        </w:tc>
      </w:tr>
      <w:tr w14:paraId="772FC21E" w14:textId="77777777" w:rsidTr="003339D9">
        <w:tblPrEx>
          <w:tblW w:w="7555" w:type="dxa"/>
          <w:jc w:val="center"/>
          <w:tblLook w:val="04A0"/>
        </w:tblPrEx>
        <w:trPr>
          <w:cantSplit/>
          <w:jc w:val="center"/>
        </w:trPr>
        <w:tc>
          <w:tcPr>
            <w:tcW w:w="2950" w:type="dxa"/>
            <w:vMerge/>
            <w:vAlign w:val="center"/>
          </w:tcPr>
          <w:p w:rsidR="0053330B" w:rsidRPr="009A402A" w:rsidP="0036215F" w14:paraId="486B4C6E" w14:textId="77777777">
            <w:pPr>
              <w:pStyle w:val="BodyText"/>
              <w:spacing w:before="69"/>
              <w:ind w:left="0" w:right="259"/>
            </w:pPr>
          </w:p>
        </w:tc>
        <w:tc>
          <w:tcPr>
            <w:tcW w:w="4605" w:type="dxa"/>
          </w:tcPr>
          <w:p w:rsidR="0053330B" w:rsidRPr="009A402A" w:rsidP="0036215F" w14:paraId="575FFDF0" w14:textId="77777777">
            <w:pPr>
              <w:pStyle w:val="BodyText"/>
              <w:spacing w:before="69"/>
              <w:ind w:left="0" w:right="259"/>
            </w:pPr>
            <w:r w:rsidRPr="009A402A">
              <w:t xml:space="preserve">Enabling Information </w:t>
            </w:r>
            <w:r w:rsidRPr="009A402A">
              <w:t>Exchange Under</w:t>
            </w:r>
            <w:r w:rsidRPr="009A402A">
              <w:t xml:space="preserve"> the Trusted Exchange Framework and Common Agreement (TEFCA) measure</w:t>
            </w:r>
          </w:p>
        </w:tc>
      </w:tr>
      <w:tr w14:paraId="4223D8A1" w14:textId="77777777" w:rsidTr="003339D9">
        <w:tblPrEx>
          <w:tblW w:w="7555" w:type="dxa"/>
          <w:jc w:val="center"/>
          <w:tblLook w:val="04A0"/>
        </w:tblPrEx>
        <w:trPr>
          <w:cantSplit/>
          <w:jc w:val="center"/>
        </w:trPr>
        <w:tc>
          <w:tcPr>
            <w:tcW w:w="2950" w:type="dxa"/>
            <w:vMerge/>
            <w:vAlign w:val="center"/>
          </w:tcPr>
          <w:p w:rsidR="0053330B" w:rsidRPr="009A402A" w:rsidP="0036215F" w14:paraId="41F8896C" w14:textId="77777777">
            <w:pPr>
              <w:pStyle w:val="BodyText"/>
              <w:spacing w:before="69"/>
              <w:ind w:left="0" w:right="259"/>
            </w:pPr>
          </w:p>
        </w:tc>
        <w:tc>
          <w:tcPr>
            <w:tcW w:w="4605" w:type="dxa"/>
          </w:tcPr>
          <w:p w:rsidR="0053330B" w:rsidRPr="009A402A" w:rsidP="00CC5857" w14:paraId="76BCC022" w14:textId="2F224CFE">
            <w:pPr>
              <w:pStyle w:val="BodyText"/>
              <w:spacing w:before="69"/>
              <w:ind w:left="0" w:right="259"/>
              <w:jc w:val="center"/>
            </w:pPr>
            <w:r>
              <w:t>AND</w:t>
            </w:r>
          </w:p>
        </w:tc>
      </w:tr>
      <w:tr w14:paraId="4A65B6BA" w14:textId="77777777" w:rsidTr="003339D9">
        <w:tblPrEx>
          <w:tblW w:w="7555" w:type="dxa"/>
          <w:jc w:val="center"/>
          <w:tblLook w:val="04A0"/>
        </w:tblPrEx>
        <w:trPr>
          <w:cantSplit/>
          <w:jc w:val="center"/>
        </w:trPr>
        <w:tc>
          <w:tcPr>
            <w:tcW w:w="2950" w:type="dxa"/>
            <w:vMerge/>
            <w:vAlign w:val="center"/>
          </w:tcPr>
          <w:p w:rsidR="0053330B" w:rsidRPr="009A402A" w:rsidP="0036215F" w14:paraId="743A7120" w14:textId="77777777">
            <w:pPr>
              <w:pStyle w:val="BodyText"/>
              <w:spacing w:before="69"/>
              <w:ind w:left="0" w:right="259"/>
            </w:pPr>
          </w:p>
        </w:tc>
        <w:tc>
          <w:tcPr>
            <w:tcW w:w="4605" w:type="dxa"/>
          </w:tcPr>
          <w:p w:rsidR="0053330B" w:rsidRPr="009A402A" w:rsidP="0036215F" w14:paraId="0112D443" w14:textId="2626C614">
            <w:pPr>
              <w:pStyle w:val="BodyText"/>
              <w:spacing w:before="69"/>
              <w:ind w:left="0" w:right="259"/>
            </w:pPr>
            <w:r>
              <w:rPr>
                <w:rFonts w:cs="Times New Roman"/>
              </w:rPr>
              <w:t>Electronic Prior Authorization measure*</w:t>
            </w:r>
          </w:p>
        </w:tc>
      </w:tr>
      <w:tr w14:paraId="63DA81F0" w14:textId="77777777" w:rsidTr="003339D9">
        <w:tblPrEx>
          <w:tblW w:w="7555" w:type="dxa"/>
          <w:jc w:val="center"/>
          <w:tblLook w:val="04A0"/>
        </w:tblPrEx>
        <w:trPr>
          <w:cantSplit/>
          <w:jc w:val="center"/>
        </w:trPr>
        <w:tc>
          <w:tcPr>
            <w:tcW w:w="2950" w:type="dxa"/>
            <w:vAlign w:val="center"/>
          </w:tcPr>
          <w:p w:rsidR="003339D9" w:rsidRPr="009A402A" w:rsidP="0036215F" w14:paraId="7E36DD73" w14:textId="77777777">
            <w:pPr>
              <w:pStyle w:val="BodyText"/>
              <w:spacing w:before="69"/>
              <w:ind w:left="0" w:right="259"/>
            </w:pPr>
            <w:r w:rsidRPr="009A402A">
              <w:t>Provider to Patient Exchange</w:t>
            </w:r>
          </w:p>
        </w:tc>
        <w:tc>
          <w:tcPr>
            <w:tcW w:w="4605" w:type="dxa"/>
          </w:tcPr>
          <w:p w:rsidR="003339D9" w:rsidRPr="009A402A" w:rsidP="0036215F" w14:paraId="19DA7BFE" w14:textId="77777777">
            <w:pPr>
              <w:pStyle w:val="BodyText"/>
              <w:spacing w:before="69"/>
              <w:ind w:left="0" w:right="259"/>
            </w:pPr>
            <w:r w:rsidRPr="009A402A">
              <w:t>Provide Patients Electronic Access to Their Health Information</w:t>
            </w:r>
          </w:p>
        </w:tc>
      </w:tr>
      <w:tr w14:paraId="05C8BD41" w14:textId="77777777" w:rsidTr="003339D9">
        <w:tblPrEx>
          <w:tblW w:w="7555" w:type="dxa"/>
          <w:jc w:val="center"/>
          <w:tblLook w:val="04A0"/>
        </w:tblPrEx>
        <w:trPr>
          <w:cantSplit/>
          <w:jc w:val="center"/>
        </w:trPr>
        <w:tc>
          <w:tcPr>
            <w:tcW w:w="2950" w:type="dxa"/>
            <w:vMerge w:val="restart"/>
            <w:vAlign w:val="center"/>
          </w:tcPr>
          <w:p w:rsidR="003339D9" w:rsidRPr="009A402A" w:rsidP="0036215F" w14:paraId="50B7BE36" w14:textId="77777777">
            <w:pPr>
              <w:pStyle w:val="BodyText"/>
              <w:spacing w:before="69"/>
              <w:ind w:left="0" w:right="259"/>
            </w:pPr>
            <w:r w:rsidRPr="009A402A">
              <w:t>Public Health and Clinical Data Exchange</w:t>
            </w:r>
          </w:p>
        </w:tc>
        <w:tc>
          <w:tcPr>
            <w:tcW w:w="4605" w:type="dxa"/>
          </w:tcPr>
          <w:p w:rsidR="003339D9" w:rsidRPr="009A402A" w:rsidP="0036215F" w14:paraId="3408F848" w14:textId="75C1FF8D">
            <w:pPr>
              <w:pStyle w:val="BodyText"/>
              <w:spacing w:before="69"/>
              <w:ind w:left="0" w:right="259"/>
            </w:pPr>
            <w:r w:rsidRPr="009A402A">
              <w:t>Report the following 5 measures:</w:t>
            </w:r>
          </w:p>
          <w:p w:rsidR="003339D9" w:rsidRPr="009A402A" w:rsidP="0036215F" w14:paraId="5729B3C1" w14:textId="77777777">
            <w:pPr>
              <w:pStyle w:val="BodyText"/>
              <w:numPr>
                <w:ilvl w:val="0"/>
                <w:numId w:val="3"/>
              </w:numPr>
              <w:spacing w:before="69"/>
              <w:ind w:right="259"/>
            </w:pPr>
            <w:r w:rsidRPr="009A402A">
              <w:t>Syndromic Surveillance Reporting</w:t>
            </w:r>
          </w:p>
          <w:p w:rsidR="003339D9" w:rsidRPr="009A402A" w:rsidP="0036215F" w14:paraId="75E1C588" w14:textId="77777777">
            <w:pPr>
              <w:pStyle w:val="BodyText"/>
              <w:numPr>
                <w:ilvl w:val="0"/>
                <w:numId w:val="3"/>
              </w:numPr>
              <w:spacing w:before="69"/>
              <w:ind w:right="259"/>
            </w:pPr>
            <w:r w:rsidRPr="009A402A">
              <w:t>Immunization Registry Reporting</w:t>
            </w:r>
          </w:p>
          <w:p w:rsidR="003339D9" w:rsidRPr="009A402A" w:rsidP="0036215F" w14:paraId="7163EB1D" w14:textId="77777777">
            <w:pPr>
              <w:pStyle w:val="BodyText"/>
              <w:numPr>
                <w:ilvl w:val="0"/>
                <w:numId w:val="3"/>
              </w:numPr>
              <w:spacing w:before="69"/>
              <w:ind w:right="259"/>
            </w:pPr>
            <w:r w:rsidRPr="009A402A">
              <w:t>Electronic Case Reporting</w:t>
            </w:r>
          </w:p>
          <w:p w:rsidR="003339D9" w:rsidRPr="009A402A" w:rsidP="0036215F" w14:paraId="213FA95A" w14:textId="77777777">
            <w:pPr>
              <w:pStyle w:val="BodyText"/>
              <w:numPr>
                <w:ilvl w:val="0"/>
                <w:numId w:val="4"/>
              </w:numPr>
              <w:spacing w:before="69"/>
              <w:ind w:right="259"/>
            </w:pPr>
            <w:r w:rsidRPr="009A402A">
              <w:t>Electronic Reportable Laboratory Result Reporting</w:t>
            </w:r>
          </w:p>
          <w:p w:rsidR="003339D9" w:rsidRPr="009A402A" w:rsidP="0036215F" w14:paraId="2250B83D" w14:textId="0E1D48B0">
            <w:pPr>
              <w:pStyle w:val="BodyText"/>
              <w:numPr>
                <w:ilvl w:val="0"/>
                <w:numId w:val="4"/>
              </w:numPr>
              <w:spacing w:before="69"/>
              <w:ind w:right="259"/>
            </w:pPr>
            <w:r w:rsidRPr="009A402A">
              <w:t>Antimicrobial Use and Antimicrobial Resistance (AUR) Surveillance Measure</w:t>
            </w:r>
            <w:r w:rsidR="00E842AC">
              <w:t>**</w:t>
            </w:r>
          </w:p>
        </w:tc>
      </w:tr>
      <w:tr w14:paraId="10B0AD55" w14:textId="77777777" w:rsidTr="003339D9">
        <w:tblPrEx>
          <w:tblW w:w="7555" w:type="dxa"/>
          <w:jc w:val="center"/>
          <w:tblLook w:val="04A0"/>
        </w:tblPrEx>
        <w:trPr>
          <w:cantSplit/>
          <w:jc w:val="center"/>
        </w:trPr>
        <w:tc>
          <w:tcPr>
            <w:tcW w:w="2950" w:type="dxa"/>
            <w:vMerge/>
            <w:vAlign w:val="center"/>
          </w:tcPr>
          <w:p w:rsidR="003339D9" w:rsidRPr="009A402A" w:rsidP="0036215F" w14:paraId="0111245C" w14:textId="77777777">
            <w:pPr>
              <w:pStyle w:val="BodyText"/>
              <w:spacing w:before="69"/>
              <w:ind w:left="0" w:right="259"/>
            </w:pPr>
          </w:p>
        </w:tc>
        <w:tc>
          <w:tcPr>
            <w:tcW w:w="4605" w:type="dxa"/>
          </w:tcPr>
          <w:p w:rsidR="003339D9" w:rsidRPr="009A402A" w:rsidP="0036215F" w14:paraId="09AC8450" w14:textId="77777777">
            <w:pPr>
              <w:pStyle w:val="BodyText"/>
              <w:spacing w:before="69"/>
              <w:ind w:left="0" w:right="259"/>
            </w:pPr>
            <w:r w:rsidRPr="009A402A">
              <w:t>Submit Level of Active Engagement</w:t>
            </w:r>
          </w:p>
        </w:tc>
      </w:tr>
      <w:tr w14:paraId="4BF78033" w14:textId="77777777" w:rsidTr="003339D9">
        <w:tblPrEx>
          <w:tblW w:w="7555" w:type="dxa"/>
          <w:jc w:val="center"/>
          <w:tblLook w:val="04A0"/>
        </w:tblPrEx>
        <w:trPr>
          <w:cantSplit/>
          <w:jc w:val="center"/>
        </w:trPr>
        <w:tc>
          <w:tcPr>
            <w:tcW w:w="2950" w:type="dxa"/>
            <w:vMerge/>
          </w:tcPr>
          <w:p w:rsidR="003339D9" w:rsidRPr="009A402A" w:rsidP="0036215F" w14:paraId="64F65A36" w14:textId="77777777">
            <w:pPr>
              <w:pStyle w:val="BodyText"/>
              <w:spacing w:before="69"/>
              <w:ind w:left="0" w:right="259"/>
            </w:pPr>
          </w:p>
        </w:tc>
        <w:tc>
          <w:tcPr>
            <w:tcW w:w="4605" w:type="dxa"/>
          </w:tcPr>
          <w:p w:rsidR="003339D9" w:rsidRPr="009A402A" w:rsidP="0036215F" w14:paraId="59EFBCA1" w14:textId="77777777">
            <w:pPr>
              <w:pStyle w:val="BodyText"/>
              <w:spacing w:before="69"/>
              <w:ind w:left="0" w:right="259"/>
            </w:pPr>
            <w:r w:rsidRPr="009A402A">
              <w:t>Report one of the following measures (BONUS):</w:t>
            </w:r>
          </w:p>
          <w:p w:rsidR="003339D9" w:rsidRPr="009A402A" w:rsidP="0036215F" w14:paraId="5D2465B9" w14:textId="77777777">
            <w:pPr>
              <w:pStyle w:val="BodyText"/>
              <w:numPr>
                <w:ilvl w:val="0"/>
                <w:numId w:val="4"/>
              </w:numPr>
              <w:spacing w:before="69"/>
              <w:ind w:right="259"/>
            </w:pPr>
            <w:r w:rsidRPr="009A402A">
              <w:t>Public Heath Registry Reporting</w:t>
            </w:r>
          </w:p>
          <w:p w:rsidR="003339D9" w:rsidRPr="009A402A" w:rsidP="0036215F" w14:paraId="585F4000" w14:textId="77777777">
            <w:pPr>
              <w:pStyle w:val="BodyText"/>
              <w:numPr>
                <w:ilvl w:val="0"/>
                <w:numId w:val="4"/>
              </w:numPr>
              <w:spacing w:before="69"/>
              <w:ind w:right="259"/>
            </w:pPr>
            <w:r w:rsidRPr="009A402A">
              <w:t>Clinical Data Registry Reporting</w:t>
            </w:r>
          </w:p>
        </w:tc>
      </w:tr>
    </w:tbl>
    <w:p w:rsidR="003339D9" w:rsidP="00A94298" w14:paraId="2DE23B98" w14:textId="416B283D">
      <w:pPr>
        <w:widowControl/>
        <w:contextualSpacing/>
        <w:rPr>
          <w:rFonts w:ascii="Times New Roman" w:hAnsi="Times New Roman" w:cs="Times New Roman"/>
          <w:sz w:val="20"/>
          <w:szCs w:val="20"/>
        </w:rPr>
      </w:pPr>
      <w:r>
        <w:rPr>
          <w:rFonts w:ascii="Times New Roman" w:hAnsi="Times New Roman" w:cs="Times New Roman"/>
          <w:sz w:val="24"/>
          <w:szCs w:val="24"/>
        </w:rPr>
        <w:tab/>
      </w:r>
      <w:r w:rsidRPr="00CC5857">
        <w:rPr>
          <w:rFonts w:ascii="Times New Roman" w:hAnsi="Times New Roman" w:cs="Times New Roman"/>
          <w:sz w:val="20"/>
          <w:szCs w:val="20"/>
        </w:rPr>
        <w:t>* Required beginning with the EHR reporting period in CY 2027</w:t>
      </w:r>
    </w:p>
    <w:p w:rsidR="00E842AC" w:rsidP="00DD2F38" w14:paraId="41BBA733" w14:textId="3475089F">
      <w:pPr>
        <w:widowControl/>
        <w:ind w:left="720"/>
        <w:contextualSpacing/>
        <w:rPr>
          <w:rFonts w:ascii="Times New Roman" w:hAnsi="Times New Roman" w:cs="Times New Roman"/>
          <w:sz w:val="24"/>
          <w:szCs w:val="24"/>
        </w:rPr>
      </w:pPr>
      <w:r>
        <w:rPr>
          <w:rFonts w:ascii="Times New Roman" w:hAnsi="Times New Roman" w:cs="Times New Roman"/>
          <w:sz w:val="20"/>
          <w:szCs w:val="20"/>
        </w:rPr>
        <w:t>** We finaliz</w:t>
      </w:r>
      <w:r w:rsidR="00EF7877">
        <w:rPr>
          <w:rFonts w:ascii="Times New Roman" w:hAnsi="Times New Roman" w:cs="Times New Roman"/>
          <w:sz w:val="20"/>
          <w:szCs w:val="20"/>
        </w:rPr>
        <w:t>ed</w:t>
      </w:r>
      <w:r>
        <w:rPr>
          <w:rFonts w:ascii="Times New Roman" w:hAnsi="Times New Roman" w:cs="Times New Roman"/>
          <w:sz w:val="20"/>
          <w:szCs w:val="20"/>
        </w:rPr>
        <w:t xml:space="preserve"> </w:t>
      </w:r>
      <w:r w:rsidR="00E5179E">
        <w:rPr>
          <w:rFonts w:ascii="Times New Roman" w:hAnsi="Times New Roman" w:cs="Times New Roman"/>
          <w:sz w:val="20"/>
          <w:szCs w:val="20"/>
        </w:rPr>
        <w:t xml:space="preserve">in the FY 2025 IPPS/LTCH PPS final rule that the AUR Surveillance </w:t>
      </w:r>
      <w:r w:rsidR="00A23E0B">
        <w:rPr>
          <w:rFonts w:ascii="Times New Roman" w:hAnsi="Times New Roman" w:cs="Times New Roman"/>
          <w:sz w:val="20"/>
          <w:szCs w:val="20"/>
        </w:rPr>
        <w:t>measure will be separated into the Antimicrobial Use Surveillance measure and Antimicrobial Resistance Surveillance measure beginning with the EHR reporting period in CY 2025.</w:t>
      </w:r>
    </w:p>
    <w:p w:rsidR="0053330B" w:rsidP="00A94298" w14:paraId="1CC76F6D" w14:textId="77777777">
      <w:pPr>
        <w:widowControl/>
        <w:contextualSpacing/>
        <w:rPr>
          <w:rFonts w:ascii="Times New Roman" w:hAnsi="Times New Roman" w:cs="Times New Roman"/>
          <w:sz w:val="24"/>
          <w:szCs w:val="24"/>
        </w:rPr>
      </w:pPr>
    </w:p>
    <w:p w:rsidR="009A402A" w:rsidP="00A94298" w14:paraId="7541B0D5" w14:textId="08D88306">
      <w:pPr>
        <w:widowControl/>
        <w:contextualSpacing/>
        <w:rPr>
          <w:rFonts w:ascii="Times New Roman" w:hAnsi="Times New Roman" w:cs="Times New Roman"/>
          <w:sz w:val="24"/>
          <w:szCs w:val="24"/>
        </w:rPr>
      </w:pPr>
      <w:r>
        <w:rPr>
          <w:rFonts w:ascii="Times New Roman" w:hAnsi="Times New Roman" w:cs="Times New Roman"/>
          <w:sz w:val="24"/>
          <w:szCs w:val="24"/>
        </w:rPr>
        <w:t xml:space="preserve">In addition, eligible hospitals and CAHs are required to report data for </w:t>
      </w:r>
      <w:r w:rsidRPr="009A402A">
        <w:rPr>
          <w:rFonts w:ascii="Times New Roman" w:hAnsi="Times New Roman" w:cs="Times New Roman"/>
          <w:sz w:val="24"/>
          <w:szCs w:val="24"/>
        </w:rPr>
        <w:t>eCQMs</w:t>
      </w:r>
      <w:r>
        <w:rPr>
          <w:rFonts w:ascii="Times New Roman" w:hAnsi="Times New Roman" w:cs="Times New Roman"/>
          <w:sz w:val="24"/>
          <w:szCs w:val="24"/>
        </w:rPr>
        <w:t xml:space="preserve"> annually.  For eCQMs, i</w:t>
      </w:r>
      <w:r w:rsidRPr="009A402A">
        <w:rPr>
          <w:rFonts w:ascii="Times New Roman" w:hAnsi="Times New Roman" w:cs="Times New Roman"/>
          <w:sz w:val="24"/>
          <w:szCs w:val="24"/>
        </w:rPr>
        <w:t>nformation is electronically extracted from EHRs and/or health information technology (HIT) systems.  Because patient data are already entered into EHRs and HITs as part of clinical practice, only the time associated with electronically submitting data to CMS is accounted for in our burden estimates</w:t>
      </w:r>
      <w:r>
        <w:rPr>
          <w:rFonts w:ascii="Times New Roman" w:hAnsi="Times New Roman" w:cs="Times New Roman"/>
          <w:sz w:val="24"/>
          <w:szCs w:val="24"/>
        </w:rPr>
        <w:t xml:space="preserve"> </w:t>
      </w:r>
      <w:r w:rsidRPr="009A402A">
        <w:rPr>
          <w:rFonts w:ascii="Times New Roman" w:hAnsi="Times New Roman" w:cs="Times New Roman"/>
          <w:sz w:val="24"/>
          <w:szCs w:val="24"/>
        </w:rPr>
        <w:t xml:space="preserve">as part of the Hospital Inpatient Quality Reporting </w:t>
      </w:r>
      <w:r w:rsidR="00382B5B">
        <w:rPr>
          <w:rFonts w:ascii="Times New Roman" w:hAnsi="Times New Roman" w:cs="Times New Roman"/>
          <w:sz w:val="24"/>
          <w:szCs w:val="24"/>
        </w:rPr>
        <w:t xml:space="preserve">(IQR) </w:t>
      </w:r>
      <w:r w:rsidRPr="009A402A">
        <w:rPr>
          <w:rFonts w:ascii="Times New Roman" w:hAnsi="Times New Roman" w:cs="Times New Roman"/>
          <w:sz w:val="24"/>
          <w:szCs w:val="24"/>
        </w:rPr>
        <w:t xml:space="preserve">Program under OMB control number 0938-1022 </w:t>
      </w:r>
      <w:r>
        <w:rPr>
          <w:rFonts w:ascii="Times New Roman" w:hAnsi="Times New Roman" w:cs="Times New Roman"/>
          <w:sz w:val="24"/>
          <w:szCs w:val="24"/>
        </w:rPr>
        <w:t xml:space="preserve">(expiration date January </w:t>
      </w:r>
      <w:r>
        <w:rPr>
          <w:rFonts w:ascii="Times New Roman" w:hAnsi="Times New Roman" w:cs="Times New Roman"/>
          <w:sz w:val="24"/>
          <w:szCs w:val="24"/>
        </w:rPr>
        <w:t xml:space="preserve">31, 2026).  The currently approved eCQMs for the </w:t>
      </w:r>
      <w:r w:rsidR="00CE0340">
        <w:rPr>
          <w:rFonts w:ascii="Times New Roman" w:hAnsi="Times New Roman" w:cs="Times New Roman"/>
          <w:sz w:val="24"/>
          <w:szCs w:val="24"/>
        </w:rPr>
        <w:t>CY 202</w:t>
      </w:r>
      <w:r w:rsidR="00BF5B00">
        <w:rPr>
          <w:rFonts w:ascii="Times New Roman" w:hAnsi="Times New Roman" w:cs="Times New Roman"/>
          <w:sz w:val="24"/>
          <w:szCs w:val="24"/>
        </w:rPr>
        <w:t>5</w:t>
      </w:r>
      <w:r w:rsidR="00CE0340">
        <w:rPr>
          <w:rFonts w:ascii="Times New Roman" w:hAnsi="Times New Roman" w:cs="Times New Roman"/>
          <w:sz w:val="24"/>
          <w:szCs w:val="24"/>
        </w:rPr>
        <w:t xml:space="preserve"> </w:t>
      </w:r>
      <w:r>
        <w:rPr>
          <w:rFonts w:ascii="Times New Roman" w:hAnsi="Times New Roman" w:cs="Times New Roman"/>
          <w:sz w:val="24"/>
          <w:szCs w:val="24"/>
        </w:rPr>
        <w:t>reporting period</w:t>
      </w:r>
      <w:r w:rsidR="000659E9">
        <w:rPr>
          <w:rFonts w:ascii="Times New Roman" w:hAnsi="Times New Roman" w:cs="Times New Roman"/>
          <w:sz w:val="24"/>
          <w:szCs w:val="24"/>
        </w:rPr>
        <w:t xml:space="preserve"> </w:t>
      </w:r>
      <w:r>
        <w:rPr>
          <w:rFonts w:ascii="Times New Roman" w:hAnsi="Times New Roman" w:cs="Times New Roman"/>
          <w:sz w:val="24"/>
          <w:szCs w:val="24"/>
        </w:rPr>
        <w:t>are shown in Table 2.</w:t>
      </w:r>
    </w:p>
    <w:p w:rsidR="009A402A" w:rsidP="00A94298" w14:paraId="57F9F46C" w14:textId="77777777">
      <w:pPr>
        <w:widowControl/>
        <w:contextualSpacing/>
        <w:rPr>
          <w:rFonts w:ascii="Times New Roman" w:hAnsi="Times New Roman" w:cs="Times New Roman"/>
          <w:sz w:val="24"/>
          <w:szCs w:val="24"/>
        </w:rPr>
      </w:pPr>
    </w:p>
    <w:p w:rsidR="009A402A" w:rsidRPr="009A402A" w:rsidP="009A402A" w14:paraId="458D1BCA" w14:textId="752726B0">
      <w:pPr>
        <w:ind w:left="1440" w:hanging="1440"/>
        <w:jc w:val="center"/>
        <w:rPr>
          <w:rFonts w:ascii="Times New Roman" w:hAnsi="Times New Roman" w:cs="Times New Roman"/>
          <w:b/>
          <w:bCs/>
          <w:sz w:val="24"/>
          <w:szCs w:val="24"/>
        </w:rPr>
      </w:pPr>
      <w:r w:rsidRPr="009A402A">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9A402A">
        <w:rPr>
          <w:rFonts w:ascii="Times New Roman" w:hAnsi="Times New Roman" w:cs="Times New Roman"/>
          <w:b/>
          <w:bCs/>
          <w:sz w:val="24"/>
          <w:szCs w:val="24"/>
        </w:rPr>
        <w:t xml:space="preserve">. Currently Approved </w:t>
      </w:r>
      <w:r>
        <w:rPr>
          <w:rFonts w:ascii="Times New Roman" w:hAnsi="Times New Roman" w:cs="Times New Roman"/>
          <w:b/>
          <w:bCs/>
          <w:sz w:val="24"/>
          <w:szCs w:val="24"/>
        </w:rPr>
        <w:t>Medicare Promoting Interoperability Program</w:t>
      </w:r>
      <w:r w:rsidRPr="009A402A">
        <w:rPr>
          <w:rFonts w:ascii="Times New Roman" w:hAnsi="Times New Roman" w:cs="Times New Roman"/>
          <w:b/>
          <w:bCs/>
          <w:sz w:val="24"/>
          <w:szCs w:val="24"/>
        </w:rPr>
        <w:t xml:space="preserve"> </w:t>
      </w:r>
      <w:r>
        <w:rPr>
          <w:rFonts w:ascii="Times New Roman" w:hAnsi="Times New Roman" w:cs="Times New Roman"/>
          <w:b/>
          <w:bCs/>
          <w:sz w:val="24"/>
          <w:szCs w:val="24"/>
        </w:rPr>
        <w:t xml:space="preserve">eCQMs </w:t>
      </w:r>
      <w:r w:rsidRPr="009A402A">
        <w:rPr>
          <w:rFonts w:ascii="Times New Roman" w:hAnsi="Times New Roman" w:cs="Times New Roman"/>
          <w:b/>
          <w:bCs/>
          <w:sz w:val="24"/>
          <w:szCs w:val="24"/>
        </w:rPr>
        <w:t xml:space="preserve">for the </w:t>
      </w:r>
      <w:r w:rsidR="00CE0340">
        <w:rPr>
          <w:rFonts w:ascii="Times New Roman" w:hAnsi="Times New Roman" w:cs="Times New Roman"/>
          <w:b/>
          <w:bCs/>
          <w:sz w:val="24"/>
          <w:szCs w:val="24"/>
        </w:rPr>
        <w:t>CY 202</w:t>
      </w:r>
      <w:r w:rsidR="00BF5B00">
        <w:rPr>
          <w:rFonts w:ascii="Times New Roman" w:hAnsi="Times New Roman" w:cs="Times New Roman"/>
          <w:b/>
          <w:bCs/>
          <w:sz w:val="24"/>
          <w:szCs w:val="24"/>
        </w:rPr>
        <w:t>5</w:t>
      </w:r>
      <w:r w:rsidR="00CE0340">
        <w:rPr>
          <w:rFonts w:ascii="Times New Roman" w:hAnsi="Times New Roman" w:cs="Times New Roman"/>
          <w:b/>
          <w:bCs/>
          <w:sz w:val="24"/>
          <w:szCs w:val="24"/>
        </w:rPr>
        <w:t xml:space="preserve"> </w:t>
      </w:r>
      <w:r>
        <w:rPr>
          <w:rFonts w:ascii="Times New Roman" w:hAnsi="Times New Roman" w:cs="Times New Roman"/>
          <w:b/>
          <w:bCs/>
          <w:sz w:val="24"/>
          <w:szCs w:val="24"/>
        </w:rPr>
        <w:t>Reporting Period</w:t>
      </w:r>
      <w:r w:rsidR="00164C26">
        <w:rPr>
          <w:rFonts w:ascii="Times New Roman" w:hAnsi="Times New Roman" w:cs="Times New Roman"/>
          <w:b/>
          <w:bCs/>
          <w:sz w:val="24"/>
          <w:szCs w:val="24"/>
        </w:rPr>
        <w:t xml:space="preserve"> and Subsequent Years</w:t>
      </w:r>
    </w:p>
    <w:p w:rsidR="009A402A" w:rsidP="009A402A" w14:paraId="516FE408" w14:textId="77777777">
      <w:pPr>
        <w:ind w:left="1440" w:hanging="1440"/>
        <w:jc w:val="center"/>
        <w:rPr>
          <w:b/>
        </w:rPr>
      </w:pPr>
    </w:p>
    <w:tbl>
      <w:tblPr>
        <w:tblW w:w="97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7"/>
        <w:gridCol w:w="6277"/>
        <w:gridCol w:w="1256"/>
      </w:tblGrid>
      <w:tr w14:paraId="09956CF8" w14:textId="77777777" w:rsidTr="004154DB">
        <w:tblPrEx>
          <w:tblW w:w="97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27" w:type="dxa"/>
          </w:tcPr>
          <w:p w:rsidR="00BD795C" w:rsidRPr="00A641B1" w:rsidP="004154DB" w14:paraId="3CA6EF87" w14:textId="77777777">
            <w:pPr>
              <w:widowControl/>
              <w:rPr>
                <w:rFonts w:ascii="Times New Roman" w:eastAsia="Calibri" w:hAnsi="Times New Roman" w:cs="Times New Roman"/>
                <w:b/>
              </w:rPr>
            </w:pPr>
            <w:r w:rsidRPr="00A641B1">
              <w:rPr>
                <w:rFonts w:ascii="Times New Roman" w:eastAsia="Calibri" w:hAnsi="Times New Roman" w:cs="Times New Roman"/>
                <w:b/>
              </w:rPr>
              <w:t>Short Name</w:t>
            </w:r>
          </w:p>
        </w:tc>
        <w:tc>
          <w:tcPr>
            <w:tcW w:w="6277" w:type="dxa"/>
          </w:tcPr>
          <w:p w:rsidR="00BD795C" w:rsidRPr="00A641B1" w:rsidP="004154DB" w14:paraId="6B3FDA78" w14:textId="77777777">
            <w:pPr>
              <w:widowControl/>
              <w:rPr>
                <w:rFonts w:ascii="Times New Roman" w:eastAsia="Calibri" w:hAnsi="Times New Roman" w:cs="Times New Roman"/>
                <w:b/>
              </w:rPr>
            </w:pPr>
            <w:r w:rsidRPr="00A641B1">
              <w:rPr>
                <w:rFonts w:ascii="Times New Roman" w:eastAsia="Calibri" w:hAnsi="Times New Roman" w:cs="Times New Roman"/>
                <w:b/>
              </w:rPr>
              <w:t>Measure Name</w:t>
            </w:r>
          </w:p>
        </w:tc>
        <w:tc>
          <w:tcPr>
            <w:tcW w:w="1256" w:type="dxa"/>
          </w:tcPr>
          <w:p w:rsidR="00BD795C" w:rsidRPr="00A641B1" w:rsidP="004154DB" w14:paraId="0BAD11ED" w14:textId="77777777">
            <w:pPr>
              <w:widowControl/>
              <w:rPr>
                <w:rFonts w:ascii="Times New Roman" w:eastAsia="Calibri" w:hAnsi="Times New Roman" w:cs="Times New Roman"/>
                <w:b/>
              </w:rPr>
            </w:pPr>
            <w:r w:rsidRPr="00A641B1">
              <w:rPr>
                <w:rFonts w:ascii="Times New Roman" w:eastAsia="Calibri" w:hAnsi="Times New Roman" w:cs="Times New Roman"/>
                <w:b/>
              </w:rPr>
              <w:t>CBE #</w:t>
            </w:r>
          </w:p>
        </w:tc>
      </w:tr>
      <w:tr w14:paraId="1900C90A" w14:textId="77777777" w:rsidTr="004154DB">
        <w:tblPrEx>
          <w:tblW w:w="9760" w:type="dxa"/>
          <w:tblInd w:w="-185" w:type="dxa"/>
          <w:tblLook w:val="04A0"/>
        </w:tblPrEx>
        <w:tc>
          <w:tcPr>
            <w:tcW w:w="2227" w:type="dxa"/>
          </w:tcPr>
          <w:p w:rsidR="00BD795C" w:rsidRPr="00A641B1" w:rsidP="004154DB" w14:paraId="44821E97" w14:textId="77777777">
            <w:pPr>
              <w:widowControl/>
              <w:rPr>
                <w:rFonts w:ascii="Times New Roman" w:eastAsia="Calibri" w:hAnsi="Times New Roman" w:cs="Times New Roman"/>
              </w:rPr>
            </w:pPr>
            <w:r w:rsidRPr="00A641B1">
              <w:rPr>
                <w:rFonts w:ascii="Times New Roman" w:eastAsia="Calibri" w:hAnsi="Times New Roman" w:cs="Times New Roman"/>
              </w:rPr>
              <w:t>Safe Use of Opioids</w:t>
            </w:r>
          </w:p>
        </w:tc>
        <w:tc>
          <w:tcPr>
            <w:tcW w:w="6277" w:type="dxa"/>
          </w:tcPr>
          <w:p w:rsidR="00BD795C" w:rsidRPr="00A641B1" w:rsidP="004154DB" w14:paraId="4EDC5F0C" w14:textId="77777777">
            <w:pPr>
              <w:widowControl/>
              <w:rPr>
                <w:rFonts w:ascii="Times New Roman" w:eastAsia="Calibri" w:hAnsi="Times New Roman" w:cs="Times New Roman"/>
              </w:rPr>
            </w:pPr>
            <w:r w:rsidRPr="00A641B1">
              <w:rPr>
                <w:rFonts w:ascii="Times New Roman" w:eastAsia="Calibri" w:hAnsi="Times New Roman" w:cs="Times New Roman"/>
              </w:rPr>
              <w:t>Safe Use of Opioids – Concurrent Prescribing</w:t>
            </w:r>
          </w:p>
        </w:tc>
        <w:tc>
          <w:tcPr>
            <w:tcW w:w="1256" w:type="dxa"/>
          </w:tcPr>
          <w:p w:rsidR="00BD795C" w:rsidRPr="00A641B1" w:rsidP="004154DB" w14:paraId="7737212E" w14:textId="77777777">
            <w:pPr>
              <w:widowControl/>
              <w:rPr>
                <w:rFonts w:ascii="Times New Roman" w:eastAsia="Calibri" w:hAnsi="Times New Roman" w:cs="Times New Roman"/>
              </w:rPr>
            </w:pPr>
            <w:r w:rsidRPr="00A641B1">
              <w:rPr>
                <w:rFonts w:ascii="Times New Roman" w:eastAsia="Calibri" w:hAnsi="Times New Roman" w:cs="Times New Roman"/>
              </w:rPr>
              <w:t>3316e</w:t>
            </w:r>
          </w:p>
        </w:tc>
      </w:tr>
      <w:tr w14:paraId="71E6E66E" w14:textId="77777777" w:rsidTr="004154DB">
        <w:tblPrEx>
          <w:tblW w:w="9760" w:type="dxa"/>
          <w:tblInd w:w="-185" w:type="dxa"/>
          <w:tblLook w:val="04A0"/>
        </w:tblPrEx>
        <w:tc>
          <w:tcPr>
            <w:tcW w:w="2227" w:type="dxa"/>
          </w:tcPr>
          <w:p w:rsidR="00BD795C" w:rsidRPr="00A641B1" w:rsidP="004154DB" w14:paraId="4E2D4AB1" w14:textId="77777777">
            <w:pPr>
              <w:widowControl/>
              <w:rPr>
                <w:rFonts w:ascii="Times New Roman" w:eastAsia="Calibri" w:hAnsi="Times New Roman" w:cs="Times New Roman"/>
              </w:rPr>
            </w:pPr>
            <w:r w:rsidRPr="00A641B1">
              <w:rPr>
                <w:rFonts w:ascii="Times New Roman" w:eastAsia="Calibri" w:hAnsi="Times New Roman" w:cs="Times New Roman"/>
              </w:rPr>
              <w:t>PC-02</w:t>
            </w:r>
          </w:p>
        </w:tc>
        <w:tc>
          <w:tcPr>
            <w:tcW w:w="6277" w:type="dxa"/>
          </w:tcPr>
          <w:p w:rsidR="00BD795C" w:rsidRPr="00A641B1" w:rsidP="004154DB" w14:paraId="3A973BC6" w14:textId="77777777">
            <w:pPr>
              <w:widowControl/>
              <w:rPr>
                <w:rFonts w:ascii="Times New Roman" w:eastAsia="Calibri" w:hAnsi="Times New Roman" w:cs="Times New Roman"/>
              </w:rPr>
            </w:pPr>
            <w:r w:rsidRPr="00A641B1">
              <w:rPr>
                <w:rFonts w:ascii="Times New Roman" w:eastAsia="Calibri" w:hAnsi="Times New Roman" w:cs="Times New Roman"/>
              </w:rPr>
              <w:t>Cesarean Birth</w:t>
            </w:r>
          </w:p>
        </w:tc>
        <w:tc>
          <w:tcPr>
            <w:tcW w:w="1256" w:type="dxa"/>
          </w:tcPr>
          <w:p w:rsidR="00BD795C" w:rsidRPr="00A641B1" w:rsidP="004154DB" w14:paraId="56DCDBBE" w14:textId="77777777">
            <w:pPr>
              <w:widowControl/>
              <w:spacing w:after="160"/>
              <w:rPr>
                <w:rFonts w:ascii="Times New Roman" w:eastAsia="Calibri" w:hAnsi="Times New Roman" w:cs="Times New Roman"/>
              </w:rPr>
            </w:pPr>
            <w:r w:rsidRPr="00A641B1">
              <w:rPr>
                <w:rFonts w:ascii="Times New Roman" w:eastAsia="Calibri" w:hAnsi="Times New Roman" w:cs="Times New Roman"/>
              </w:rPr>
              <w:t>0471e</w:t>
            </w:r>
          </w:p>
        </w:tc>
      </w:tr>
      <w:tr w14:paraId="676C5A85" w14:textId="77777777" w:rsidTr="004154DB">
        <w:tblPrEx>
          <w:tblW w:w="9760" w:type="dxa"/>
          <w:tblInd w:w="-185" w:type="dxa"/>
          <w:tblLook w:val="04A0"/>
        </w:tblPrEx>
        <w:tc>
          <w:tcPr>
            <w:tcW w:w="2227" w:type="dxa"/>
          </w:tcPr>
          <w:p w:rsidR="00BD795C" w:rsidRPr="00A641B1" w:rsidP="004154DB" w14:paraId="42230511" w14:textId="77777777">
            <w:pPr>
              <w:widowControl/>
              <w:rPr>
                <w:rFonts w:ascii="Times New Roman" w:eastAsia="Calibri" w:hAnsi="Times New Roman" w:cs="Times New Roman"/>
              </w:rPr>
            </w:pPr>
            <w:r w:rsidRPr="00A641B1">
              <w:rPr>
                <w:rFonts w:ascii="Times New Roman" w:eastAsia="Calibri" w:hAnsi="Times New Roman" w:cs="Times New Roman"/>
              </w:rPr>
              <w:t>PC-07</w:t>
            </w:r>
          </w:p>
        </w:tc>
        <w:tc>
          <w:tcPr>
            <w:tcW w:w="6277" w:type="dxa"/>
          </w:tcPr>
          <w:p w:rsidR="00BD795C" w:rsidRPr="00A641B1" w:rsidP="004154DB" w14:paraId="548647CC" w14:textId="77777777">
            <w:pPr>
              <w:widowControl/>
              <w:rPr>
                <w:rFonts w:ascii="Times New Roman" w:eastAsia="Calibri" w:hAnsi="Times New Roman" w:cs="Times New Roman"/>
              </w:rPr>
            </w:pPr>
            <w:r w:rsidRPr="00A641B1">
              <w:rPr>
                <w:rFonts w:ascii="Times New Roman" w:eastAsia="Calibri" w:hAnsi="Times New Roman" w:cs="Times New Roman"/>
              </w:rPr>
              <w:t>Severe Obstetric Complications</w:t>
            </w:r>
          </w:p>
        </w:tc>
        <w:tc>
          <w:tcPr>
            <w:tcW w:w="1256" w:type="dxa"/>
          </w:tcPr>
          <w:p w:rsidR="00BD795C" w:rsidRPr="00A641B1" w:rsidP="004154DB" w14:paraId="3E7D4928" w14:textId="77777777">
            <w:pPr>
              <w:widowControl/>
              <w:spacing w:after="160"/>
              <w:rPr>
                <w:rFonts w:ascii="Times New Roman" w:eastAsia="Calibri" w:hAnsi="Times New Roman" w:cs="Times New Roman"/>
              </w:rPr>
            </w:pPr>
            <w:r w:rsidRPr="00A641B1">
              <w:rPr>
                <w:rFonts w:ascii="Times New Roman" w:eastAsia="Calibri" w:hAnsi="Times New Roman" w:cs="Times New Roman"/>
              </w:rPr>
              <w:t>3687e</w:t>
            </w:r>
          </w:p>
        </w:tc>
      </w:tr>
      <w:tr w14:paraId="70DDCA3B" w14:textId="77777777" w:rsidTr="004154DB">
        <w:tblPrEx>
          <w:tblW w:w="9760" w:type="dxa"/>
          <w:tblInd w:w="-185" w:type="dxa"/>
          <w:tblLook w:val="04A0"/>
        </w:tblPrEx>
        <w:tc>
          <w:tcPr>
            <w:tcW w:w="2227" w:type="dxa"/>
          </w:tcPr>
          <w:p w:rsidR="00BD795C" w:rsidRPr="00A641B1" w:rsidP="004154DB" w14:paraId="42D99C19" w14:textId="77777777">
            <w:pPr>
              <w:widowControl/>
              <w:rPr>
                <w:rFonts w:ascii="Times New Roman" w:eastAsia="Calibri" w:hAnsi="Times New Roman" w:cs="Times New Roman"/>
              </w:rPr>
            </w:pPr>
            <w:r w:rsidRPr="00A641B1">
              <w:rPr>
                <w:rFonts w:ascii="Times New Roman" w:eastAsia="Calibri" w:hAnsi="Times New Roman" w:cs="Times New Roman"/>
              </w:rPr>
              <w:t>STK-2</w:t>
            </w:r>
          </w:p>
        </w:tc>
        <w:tc>
          <w:tcPr>
            <w:tcW w:w="6277" w:type="dxa"/>
          </w:tcPr>
          <w:p w:rsidR="00BD795C" w:rsidRPr="00A641B1" w:rsidP="004154DB" w14:paraId="3146479F" w14:textId="77777777">
            <w:pPr>
              <w:widowControl/>
              <w:rPr>
                <w:rFonts w:ascii="Times New Roman" w:eastAsia="Calibri" w:hAnsi="Times New Roman" w:cs="Times New Roman"/>
              </w:rPr>
            </w:pPr>
            <w:r w:rsidRPr="00A641B1">
              <w:rPr>
                <w:rFonts w:ascii="Times New Roman" w:eastAsia="Calibri" w:hAnsi="Times New Roman" w:cs="Times New Roman"/>
              </w:rPr>
              <w:t>Discharged on Antithrombotic Therapy</w:t>
            </w:r>
          </w:p>
        </w:tc>
        <w:tc>
          <w:tcPr>
            <w:tcW w:w="1256" w:type="dxa"/>
          </w:tcPr>
          <w:p w:rsidR="00BD795C" w:rsidRPr="00A641B1" w:rsidP="004154DB" w14:paraId="70365EBF" w14:textId="77777777">
            <w:pPr>
              <w:widowControl/>
              <w:rPr>
                <w:rFonts w:ascii="Times New Roman" w:eastAsia="Calibri" w:hAnsi="Times New Roman" w:cs="Times New Roman"/>
              </w:rPr>
            </w:pPr>
            <w:r w:rsidRPr="00A641B1">
              <w:rPr>
                <w:rFonts w:ascii="Times New Roman" w:eastAsia="Calibri" w:hAnsi="Times New Roman" w:cs="Times New Roman"/>
              </w:rPr>
              <w:t>0435e</w:t>
            </w:r>
          </w:p>
        </w:tc>
      </w:tr>
      <w:tr w14:paraId="32C942F3" w14:textId="77777777" w:rsidTr="004154DB">
        <w:tblPrEx>
          <w:tblW w:w="9760" w:type="dxa"/>
          <w:tblInd w:w="-185" w:type="dxa"/>
          <w:tblLook w:val="04A0"/>
        </w:tblPrEx>
        <w:tc>
          <w:tcPr>
            <w:tcW w:w="2227" w:type="dxa"/>
          </w:tcPr>
          <w:p w:rsidR="00BD795C" w:rsidRPr="00A641B1" w:rsidP="004154DB" w14:paraId="07A43B96" w14:textId="77777777">
            <w:pPr>
              <w:widowControl/>
              <w:rPr>
                <w:rFonts w:ascii="Times New Roman" w:eastAsia="Calibri" w:hAnsi="Times New Roman" w:cs="Times New Roman"/>
              </w:rPr>
            </w:pPr>
            <w:r w:rsidRPr="00A641B1">
              <w:rPr>
                <w:rFonts w:ascii="Times New Roman" w:eastAsia="Calibri" w:hAnsi="Times New Roman" w:cs="Times New Roman"/>
              </w:rPr>
              <w:t>STK-3</w:t>
            </w:r>
          </w:p>
        </w:tc>
        <w:tc>
          <w:tcPr>
            <w:tcW w:w="6277" w:type="dxa"/>
          </w:tcPr>
          <w:p w:rsidR="00BD795C" w:rsidRPr="00A641B1" w:rsidP="004154DB" w14:paraId="428EB099" w14:textId="77777777">
            <w:pPr>
              <w:widowControl/>
              <w:rPr>
                <w:rFonts w:ascii="Times New Roman" w:eastAsia="Calibri" w:hAnsi="Times New Roman" w:cs="Times New Roman"/>
              </w:rPr>
            </w:pPr>
            <w:r w:rsidRPr="00A641B1">
              <w:rPr>
                <w:rFonts w:ascii="Times New Roman" w:eastAsia="Calibri" w:hAnsi="Times New Roman" w:cs="Times New Roman"/>
              </w:rPr>
              <w:t>Anticoagulation Therapy for Atrial Fibrillation/Flutter</w:t>
            </w:r>
          </w:p>
        </w:tc>
        <w:tc>
          <w:tcPr>
            <w:tcW w:w="1256" w:type="dxa"/>
          </w:tcPr>
          <w:p w:rsidR="00BD795C" w:rsidRPr="00A641B1" w:rsidP="004154DB" w14:paraId="7719C5E1" w14:textId="77777777">
            <w:pPr>
              <w:widowControl/>
              <w:rPr>
                <w:rFonts w:ascii="Times New Roman" w:eastAsia="Calibri" w:hAnsi="Times New Roman" w:cs="Times New Roman"/>
              </w:rPr>
            </w:pPr>
            <w:r w:rsidRPr="00A641B1">
              <w:rPr>
                <w:rFonts w:ascii="Times New Roman" w:eastAsia="Calibri" w:hAnsi="Times New Roman" w:cs="Times New Roman"/>
              </w:rPr>
              <w:t>0436e</w:t>
            </w:r>
          </w:p>
        </w:tc>
      </w:tr>
      <w:tr w14:paraId="32B094F4" w14:textId="77777777" w:rsidTr="004154DB">
        <w:tblPrEx>
          <w:tblW w:w="9760" w:type="dxa"/>
          <w:tblInd w:w="-185" w:type="dxa"/>
          <w:tblLook w:val="04A0"/>
        </w:tblPrEx>
        <w:tc>
          <w:tcPr>
            <w:tcW w:w="2227" w:type="dxa"/>
          </w:tcPr>
          <w:p w:rsidR="00BD795C" w:rsidRPr="00A641B1" w:rsidP="004154DB" w14:paraId="6E1A21A4" w14:textId="77777777">
            <w:pPr>
              <w:widowControl/>
              <w:rPr>
                <w:rFonts w:ascii="Times New Roman" w:eastAsia="Calibri" w:hAnsi="Times New Roman" w:cs="Times New Roman"/>
              </w:rPr>
            </w:pPr>
            <w:r w:rsidRPr="00A641B1">
              <w:rPr>
                <w:rFonts w:ascii="Times New Roman" w:eastAsia="Calibri" w:hAnsi="Times New Roman" w:cs="Times New Roman"/>
              </w:rPr>
              <w:t>STK-5</w:t>
            </w:r>
          </w:p>
        </w:tc>
        <w:tc>
          <w:tcPr>
            <w:tcW w:w="6277" w:type="dxa"/>
          </w:tcPr>
          <w:p w:rsidR="00BD795C" w:rsidRPr="00A641B1" w:rsidP="004154DB" w14:paraId="7B8987B6" w14:textId="77777777">
            <w:pPr>
              <w:widowControl/>
              <w:rPr>
                <w:rFonts w:ascii="Times New Roman" w:eastAsia="Calibri" w:hAnsi="Times New Roman" w:cs="Times New Roman"/>
              </w:rPr>
            </w:pPr>
            <w:r w:rsidRPr="00A641B1">
              <w:rPr>
                <w:rFonts w:ascii="Times New Roman" w:eastAsia="Calibri" w:hAnsi="Times New Roman" w:cs="Times New Roman"/>
              </w:rPr>
              <w:t>Antithrombotic Therapy by End of Hospital Day Two</w:t>
            </w:r>
          </w:p>
        </w:tc>
        <w:tc>
          <w:tcPr>
            <w:tcW w:w="1256" w:type="dxa"/>
          </w:tcPr>
          <w:p w:rsidR="00BD795C" w:rsidRPr="00A641B1" w:rsidP="004154DB" w14:paraId="66284A20" w14:textId="77777777">
            <w:pPr>
              <w:widowControl/>
              <w:rPr>
                <w:rFonts w:ascii="Times New Roman" w:eastAsia="Calibri" w:hAnsi="Times New Roman" w:cs="Times New Roman"/>
              </w:rPr>
            </w:pPr>
            <w:r w:rsidRPr="00A641B1">
              <w:rPr>
                <w:rFonts w:ascii="Times New Roman" w:eastAsia="Calibri" w:hAnsi="Times New Roman" w:cs="Times New Roman"/>
              </w:rPr>
              <w:t>0438e</w:t>
            </w:r>
          </w:p>
        </w:tc>
      </w:tr>
      <w:tr w14:paraId="046B3646" w14:textId="77777777" w:rsidTr="004154DB">
        <w:tblPrEx>
          <w:tblW w:w="9760" w:type="dxa"/>
          <w:tblInd w:w="-185" w:type="dxa"/>
          <w:tblLook w:val="04A0"/>
        </w:tblPrEx>
        <w:tc>
          <w:tcPr>
            <w:tcW w:w="2227" w:type="dxa"/>
          </w:tcPr>
          <w:p w:rsidR="00BD795C" w:rsidRPr="00A641B1" w:rsidP="004154DB" w14:paraId="3B4F1AA0" w14:textId="77777777">
            <w:pPr>
              <w:widowControl/>
              <w:rPr>
                <w:rFonts w:ascii="Times New Roman" w:eastAsia="Calibri" w:hAnsi="Times New Roman" w:cs="Times New Roman"/>
              </w:rPr>
            </w:pPr>
            <w:r w:rsidRPr="00A641B1">
              <w:rPr>
                <w:rFonts w:ascii="Times New Roman" w:eastAsia="Calibri" w:hAnsi="Times New Roman" w:cs="Times New Roman"/>
              </w:rPr>
              <w:t>VTE-1</w:t>
            </w:r>
          </w:p>
        </w:tc>
        <w:tc>
          <w:tcPr>
            <w:tcW w:w="6277" w:type="dxa"/>
          </w:tcPr>
          <w:p w:rsidR="00BD795C" w:rsidRPr="00A641B1" w:rsidP="004154DB" w14:paraId="64BD38A0" w14:textId="77777777">
            <w:pPr>
              <w:widowControl/>
              <w:rPr>
                <w:rFonts w:ascii="Times New Roman" w:eastAsia="Calibri" w:hAnsi="Times New Roman" w:cs="Times New Roman"/>
              </w:rPr>
            </w:pPr>
            <w:r w:rsidRPr="00A641B1">
              <w:rPr>
                <w:rFonts w:ascii="Times New Roman" w:eastAsia="Calibri" w:hAnsi="Times New Roman" w:cs="Times New Roman"/>
              </w:rPr>
              <w:t>Venous Thromboembolism Prophylaxis</w:t>
            </w:r>
          </w:p>
        </w:tc>
        <w:tc>
          <w:tcPr>
            <w:tcW w:w="1256" w:type="dxa"/>
          </w:tcPr>
          <w:p w:rsidR="00BD795C" w:rsidRPr="00A641B1" w:rsidP="004154DB" w14:paraId="4A323D6C" w14:textId="77777777">
            <w:pPr>
              <w:widowControl/>
              <w:rPr>
                <w:rFonts w:ascii="Times New Roman" w:eastAsia="Calibri" w:hAnsi="Times New Roman" w:cs="Times New Roman"/>
              </w:rPr>
            </w:pPr>
            <w:r w:rsidRPr="00A641B1">
              <w:rPr>
                <w:rFonts w:ascii="Times New Roman" w:eastAsia="Calibri" w:hAnsi="Times New Roman" w:cs="Times New Roman"/>
              </w:rPr>
              <w:t>0371</w:t>
            </w:r>
          </w:p>
        </w:tc>
      </w:tr>
      <w:tr w14:paraId="640CF1DF" w14:textId="77777777" w:rsidTr="004154DB">
        <w:tblPrEx>
          <w:tblW w:w="9760" w:type="dxa"/>
          <w:tblInd w:w="-185" w:type="dxa"/>
          <w:tblLook w:val="04A0"/>
        </w:tblPrEx>
        <w:tc>
          <w:tcPr>
            <w:tcW w:w="2227" w:type="dxa"/>
          </w:tcPr>
          <w:p w:rsidR="00BD795C" w:rsidRPr="00A641B1" w:rsidP="004154DB" w14:paraId="200DCD56" w14:textId="77777777">
            <w:pPr>
              <w:widowControl/>
              <w:rPr>
                <w:rFonts w:ascii="Times New Roman" w:eastAsia="Calibri" w:hAnsi="Times New Roman" w:cs="Times New Roman"/>
              </w:rPr>
            </w:pPr>
            <w:r w:rsidRPr="00A641B1">
              <w:rPr>
                <w:rFonts w:ascii="Times New Roman" w:eastAsia="Calibri" w:hAnsi="Times New Roman" w:cs="Times New Roman"/>
              </w:rPr>
              <w:t>VTE-2</w:t>
            </w:r>
          </w:p>
        </w:tc>
        <w:tc>
          <w:tcPr>
            <w:tcW w:w="6277" w:type="dxa"/>
          </w:tcPr>
          <w:p w:rsidR="00BD795C" w:rsidRPr="00A641B1" w:rsidP="004154DB" w14:paraId="4C8B0EAB" w14:textId="77777777">
            <w:pPr>
              <w:widowControl/>
              <w:rPr>
                <w:rFonts w:ascii="Times New Roman" w:eastAsia="Calibri" w:hAnsi="Times New Roman" w:cs="Times New Roman"/>
              </w:rPr>
            </w:pPr>
            <w:r w:rsidRPr="00A641B1">
              <w:rPr>
                <w:rFonts w:ascii="Times New Roman" w:eastAsia="Calibri" w:hAnsi="Times New Roman" w:cs="Times New Roman"/>
              </w:rPr>
              <w:t>Intensive Care Unit Venous Thromboembolism Prophylaxis</w:t>
            </w:r>
          </w:p>
        </w:tc>
        <w:tc>
          <w:tcPr>
            <w:tcW w:w="1256" w:type="dxa"/>
          </w:tcPr>
          <w:p w:rsidR="00BD795C" w:rsidRPr="00A641B1" w:rsidP="004154DB" w14:paraId="0DBE9954" w14:textId="77777777">
            <w:pPr>
              <w:widowControl/>
              <w:rPr>
                <w:rFonts w:ascii="Times New Roman" w:eastAsia="Calibri" w:hAnsi="Times New Roman" w:cs="Times New Roman"/>
              </w:rPr>
            </w:pPr>
            <w:r w:rsidRPr="00A641B1">
              <w:rPr>
                <w:rFonts w:ascii="Times New Roman" w:eastAsia="Calibri" w:hAnsi="Times New Roman" w:cs="Times New Roman"/>
              </w:rPr>
              <w:t>0372</w:t>
            </w:r>
          </w:p>
        </w:tc>
      </w:tr>
      <w:tr w14:paraId="31A28F0E" w14:textId="77777777" w:rsidTr="004154DB">
        <w:tblPrEx>
          <w:tblW w:w="9760" w:type="dxa"/>
          <w:tblInd w:w="-185" w:type="dxa"/>
          <w:tblLook w:val="04A0"/>
        </w:tblPrEx>
        <w:tc>
          <w:tcPr>
            <w:tcW w:w="2227" w:type="dxa"/>
            <w:vAlign w:val="bottom"/>
          </w:tcPr>
          <w:p w:rsidR="00BD795C" w:rsidRPr="00A641B1" w:rsidP="004154DB" w14:paraId="5FA7E75B" w14:textId="77777777">
            <w:pPr>
              <w:widowControl/>
              <w:rPr>
                <w:rFonts w:ascii="Times New Roman" w:eastAsia="Calibri" w:hAnsi="Times New Roman" w:cs="Times New Roman"/>
              </w:rPr>
            </w:pPr>
            <w:r w:rsidRPr="00A641B1">
              <w:rPr>
                <w:rFonts w:ascii="Times New Roman" w:eastAsia="Calibri" w:hAnsi="Times New Roman" w:cs="Times New Roman"/>
              </w:rPr>
              <w:t>HH-HYPO</w:t>
            </w:r>
          </w:p>
        </w:tc>
        <w:tc>
          <w:tcPr>
            <w:tcW w:w="6277" w:type="dxa"/>
            <w:vAlign w:val="bottom"/>
          </w:tcPr>
          <w:p w:rsidR="00BD795C" w:rsidRPr="00A641B1" w:rsidP="004154DB" w14:paraId="476364C0" w14:textId="77777777">
            <w:pPr>
              <w:widowControl/>
              <w:rPr>
                <w:rFonts w:ascii="Times New Roman" w:eastAsia="Calibri" w:hAnsi="Times New Roman" w:cs="Times New Roman"/>
              </w:rPr>
            </w:pPr>
            <w:r w:rsidRPr="00A641B1">
              <w:rPr>
                <w:rFonts w:ascii="Times New Roman" w:eastAsia="Calibri" w:hAnsi="Times New Roman" w:cs="Times New Roman"/>
              </w:rPr>
              <w:t>Hospital Harm - Severe Hypoglycemia</w:t>
            </w:r>
          </w:p>
        </w:tc>
        <w:tc>
          <w:tcPr>
            <w:tcW w:w="1256" w:type="dxa"/>
            <w:vAlign w:val="bottom"/>
          </w:tcPr>
          <w:p w:rsidR="00BD795C" w:rsidRPr="00A641B1" w:rsidP="004154DB" w14:paraId="4B1CF9A8" w14:textId="77777777">
            <w:pPr>
              <w:widowControl/>
              <w:rPr>
                <w:rFonts w:ascii="Times New Roman" w:eastAsia="Calibri" w:hAnsi="Times New Roman" w:cs="Times New Roman"/>
              </w:rPr>
            </w:pPr>
            <w:r w:rsidRPr="00A641B1">
              <w:rPr>
                <w:rFonts w:ascii="Times New Roman" w:eastAsia="Calibri" w:hAnsi="Times New Roman" w:cs="Times New Roman"/>
              </w:rPr>
              <w:t>3503e</w:t>
            </w:r>
          </w:p>
        </w:tc>
      </w:tr>
      <w:tr w14:paraId="7A098737" w14:textId="77777777" w:rsidTr="004154DB">
        <w:tblPrEx>
          <w:tblW w:w="9760" w:type="dxa"/>
          <w:tblInd w:w="-185" w:type="dxa"/>
          <w:tblLook w:val="04A0"/>
        </w:tblPrEx>
        <w:tc>
          <w:tcPr>
            <w:tcW w:w="2227" w:type="dxa"/>
            <w:vAlign w:val="bottom"/>
          </w:tcPr>
          <w:p w:rsidR="00BD795C" w:rsidRPr="00A641B1" w:rsidP="004154DB" w14:paraId="4456CA94" w14:textId="77777777">
            <w:pPr>
              <w:widowControl/>
              <w:rPr>
                <w:rFonts w:ascii="Times New Roman" w:eastAsia="Calibri" w:hAnsi="Times New Roman" w:cs="Times New Roman"/>
              </w:rPr>
            </w:pPr>
            <w:r w:rsidRPr="00A641B1">
              <w:rPr>
                <w:rFonts w:ascii="Times New Roman" w:eastAsia="Calibri" w:hAnsi="Times New Roman" w:cs="Times New Roman"/>
              </w:rPr>
              <w:t>HH-HYPER</w:t>
            </w:r>
          </w:p>
        </w:tc>
        <w:tc>
          <w:tcPr>
            <w:tcW w:w="6277" w:type="dxa"/>
            <w:vAlign w:val="bottom"/>
          </w:tcPr>
          <w:p w:rsidR="00BD795C" w:rsidRPr="00A641B1" w:rsidP="004154DB" w14:paraId="50A655F9" w14:textId="77777777">
            <w:pPr>
              <w:widowControl/>
              <w:rPr>
                <w:rFonts w:ascii="Times New Roman" w:eastAsia="Calibri" w:hAnsi="Times New Roman" w:cs="Times New Roman"/>
              </w:rPr>
            </w:pPr>
            <w:r w:rsidRPr="00A641B1">
              <w:rPr>
                <w:rFonts w:ascii="Times New Roman" w:eastAsia="Calibri" w:hAnsi="Times New Roman" w:cs="Times New Roman"/>
              </w:rPr>
              <w:t>Hospital Harm - Severe Hyperglycemia</w:t>
            </w:r>
          </w:p>
        </w:tc>
        <w:tc>
          <w:tcPr>
            <w:tcW w:w="1256" w:type="dxa"/>
            <w:vAlign w:val="bottom"/>
          </w:tcPr>
          <w:p w:rsidR="00BD795C" w:rsidRPr="00A641B1" w:rsidP="004154DB" w14:paraId="183D12DE" w14:textId="77777777">
            <w:pPr>
              <w:widowControl/>
              <w:rPr>
                <w:rFonts w:ascii="Times New Roman" w:eastAsia="Calibri" w:hAnsi="Times New Roman" w:cs="Times New Roman"/>
              </w:rPr>
            </w:pPr>
            <w:r w:rsidRPr="00A641B1">
              <w:rPr>
                <w:rFonts w:ascii="Times New Roman" w:eastAsia="Calibri" w:hAnsi="Times New Roman" w:cs="Times New Roman"/>
              </w:rPr>
              <w:t>3533e</w:t>
            </w:r>
          </w:p>
        </w:tc>
      </w:tr>
      <w:tr w14:paraId="08B873B3" w14:textId="77777777" w:rsidTr="004154DB">
        <w:tblPrEx>
          <w:tblW w:w="9760" w:type="dxa"/>
          <w:tblInd w:w="-185" w:type="dxa"/>
          <w:tblLook w:val="04A0"/>
        </w:tblPrEx>
        <w:tc>
          <w:tcPr>
            <w:tcW w:w="2227" w:type="dxa"/>
            <w:vAlign w:val="bottom"/>
          </w:tcPr>
          <w:p w:rsidR="00BD795C" w:rsidRPr="00A641B1" w:rsidP="004154DB" w14:paraId="5A954E80" w14:textId="77777777">
            <w:pPr>
              <w:widowControl/>
              <w:rPr>
                <w:rFonts w:ascii="Times New Roman" w:eastAsia="Calibri" w:hAnsi="Times New Roman" w:cs="Times New Roman"/>
              </w:rPr>
            </w:pPr>
            <w:r w:rsidRPr="00A641B1">
              <w:rPr>
                <w:rFonts w:ascii="Times New Roman" w:hAnsi="Times New Roman" w:cs="Times New Roman"/>
              </w:rPr>
              <w:t>HH-OREA</w:t>
            </w:r>
          </w:p>
        </w:tc>
        <w:tc>
          <w:tcPr>
            <w:tcW w:w="6277" w:type="dxa"/>
            <w:vAlign w:val="bottom"/>
          </w:tcPr>
          <w:p w:rsidR="00BD795C" w:rsidRPr="00A641B1" w:rsidP="004154DB" w14:paraId="2CF178B7" w14:textId="77777777">
            <w:pPr>
              <w:widowControl/>
              <w:rPr>
                <w:rFonts w:ascii="Times New Roman" w:eastAsia="Calibri" w:hAnsi="Times New Roman" w:cs="Times New Roman"/>
              </w:rPr>
            </w:pPr>
            <w:r w:rsidRPr="00A641B1">
              <w:rPr>
                <w:rFonts w:ascii="Times New Roman" w:hAnsi="Times New Roman" w:cs="Times New Roman"/>
              </w:rPr>
              <w:t>Hospital Harm - Opioid-Related Adverse Events</w:t>
            </w:r>
          </w:p>
        </w:tc>
        <w:tc>
          <w:tcPr>
            <w:tcW w:w="1256" w:type="dxa"/>
            <w:vAlign w:val="bottom"/>
          </w:tcPr>
          <w:p w:rsidR="00BD795C" w:rsidRPr="00A641B1" w:rsidP="004154DB" w14:paraId="46B0D3C1" w14:textId="77777777">
            <w:pPr>
              <w:widowControl/>
              <w:rPr>
                <w:rFonts w:ascii="Times New Roman" w:eastAsia="Calibri" w:hAnsi="Times New Roman" w:cs="Times New Roman"/>
              </w:rPr>
            </w:pPr>
            <w:r w:rsidRPr="00A641B1">
              <w:rPr>
                <w:rFonts w:ascii="Times New Roman" w:hAnsi="Times New Roman" w:cs="Times New Roman"/>
              </w:rPr>
              <w:t>3501e</w:t>
            </w:r>
          </w:p>
        </w:tc>
      </w:tr>
      <w:tr w14:paraId="3FC7251C" w14:textId="77777777" w:rsidTr="004154DB">
        <w:tblPrEx>
          <w:tblW w:w="9760" w:type="dxa"/>
          <w:tblInd w:w="-185" w:type="dxa"/>
          <w:tblLook w:val="04A0"/>
        </w:tblPrEx>
        <w:tc>
          <w:tcPr>
            <w:tcW w:w="2227" w:type="dxa"/>
          </w:tcPr>
          <w:p w:rsidR="00BD795C" w:rsidRPr="00A641B1" w:rsidP="004154DB" w14:paraId="273B52AD" w14:textId="77777777">
            <w:pPr>
              <w:widowControl/>
              <w:rPr>
                <w:rFonts w:ascii="Times New Roman" w:eastAsia="Calibri" w:hAnsi="Times New Roman" w:cs="Times New Roman"/>
              </w:rPr>
            </w:pPr>
            <w:r w:rsidRPr="00A641B1">
              <w:rPr>
                <w:rFonts w:ascii="Times New Roman" w:eastAsia="Calibri" w:hAnsi="Times New Roman" w:cs="Times New Roman"/>
              </w:rPr>
              <w:t xml:space="preserve">HH-PI </w:t>
            </w:r>
          </w:p>
        </w:tc>
        <w:tc>
          <w:tcPr>
            <w:tcW w:w="6277" w:type="dxa"/>
          </w:tcPr>
          <w:p w:rsidR="00BD795C" w:rsidRPr="00A641B1" w:rsidP="004154DB" w14:paraId="29DF769D" w14:textId="77777777">
            <w:pPr>
              <w:widowControl/>
              <w:rPr>
                <w:rFonts w:ascii="Times New Roman" w:eastAsia="Calibri" w:hAnsi="Times New Roman" w:cs="Times New Roman"/>
              </w:rPr>
            </w:pPr>
            <w:r w:rsidRPr="00A641B1">
              <w:rPr>
                <w:rFonts w:ascii="Times New Roman" w:hAnsi="Times New Roman" w:cs="Times New Roman"/>
              </w:rPr>
              <w:t>Hospital Harm - Pressure Injury</w:t>
            </w:r>
          </w:p>
        </w:tc>
        <w:tc>
          <w:tcPr>
            <w:tcW w:w="1256" w:type="dxa"/>
          </w:tcPr>
          <w:p w:rsidR="00BD795C" w:rsidRPr="00A641B1" w:rsidP="004154DB" w14:paraId="7CD62E9D" w14:textId="77777777">
            <w:pPr>
              <w:widowControl/>
              <w:rPr>
                <w:rFonts w:ascii="Times New Roman" w:eastAsia="Calibri" w:hAnsi="Times New Roman" w:cs="Times New Roman"/>
              </w:rPr>
            </w:pPr>
            <w:r w:rsidRPr="00A641B1">
              <w:rPr>
                <w:rFonts w:ascii="Times New Roman" w:eastAsia="Times New Roman" w:hAnsi="Times New Roman" w:cs="Times New Roman"/>
              </w:rPr>
              <w:t>3498e</w:t>
            </w:r>
          </w:p>
        </w:tc>
      </w:tr>
      <w:tr w14:paraId="06BE43E3" w14:textId="77777777" w:rsidTr="004154DB">
        <w:tblPrEx>
          <w:tblW w:w="9760" w:type="dxa"/>
          <w:tblInd w:w="-185" w:type="dxa"/>
          <w:tblLook w:val="04A0"/>
        </w:tblPrEx>
        <w:tc>
          <w:tcPr>
            <w:tcW w:w="2227" w:type="dxa"/>
          </w:tcPr>
          <w:p w:rsidR="00BD795C" w:rsidRPr="00A641B1" w:rsidP="004154DB" w14:paraId="55E7888D" w14:textId="77777777">
            <w:pPr>
              <w:widowControl/>
              <w:rPr>
                <w:rFonts w:ascii="Times New Roman" w:eastAsia="Calibri" w:hAnsi="Times New Roman" w:cs="Times New Roman"/>
              </w:rPr>
            </w:pPr>
            <w:r w:rsidRPr="00A641B1">
              <w:rPr>
                <w:rFonts w:ascii="Times New Roman" w:eastAsia="Calibri" w:hAnsi="Times New Roman" w:cs="Times New Roman"/>
              </w:rPr>
              <w:t xml:space="preserve">HH-AKI </w:t>
            </w:r>
          </w:p>
        </w:tc>
        <w:tc>
          <w:tcPr>
            <w:tcW w:w="6277" w:type="dxa"/>
          </w:tcPr>
          <w:p w:rsidR="00BD795C" w:rsidRPr="00A641B1" w:rsidP="004154DB" w14:paraId="2E6E59D9" w14:textId="77777777">
            <w:pPr>
              <w:widowControl/>
              <w:rPr>
                <w:rFonts w:ascii="Times New Roman" w:eastAsia="Calibri" w:hAnsi="Times New Roman" w:cs="Times New Roman"/>
              </w:rPr>
            </w:pPr>
            <w:r w:rsidRPr="00A641B1">
              <w:rPr>
                <w:rFonts w:ascii="Times New Roman" w:hAnsi="Times New Roman" w:cs="Times New Roman"/>
              </w:rPr>
              <w:t>Hospital Harm - Acute Kidney Injury</w:t>
            </w:r>
          </w:p>
        </w:tc>
        <w:tc>
          <w:tcPr>
            <w:tcW w:w="1256" w:type="dxa"/>
          </w:tcPr>
          <w:p w:rsidR="00BD795C" w:rsidRPr="00A641B1" w:rsidP="004154DB" w14:paraId="5A799E64" w14:textId="77777777">
            <w:pPr>
              <w:widowControl/>
              <w:rPr>
                <w:rFonts w:ascii="Times New Roman" w:eastAsia="Calibri" w:hAnsi="Times New Roman" w:cs="Times New Roman"/>
              </w:rPr>
            </w:pPr>
            <w:r w:rsidRPr="00A641B1">
              <w:rPr>
                <w:rFonts w:ascii="Times New Roman" w:eastAsia="Times New Roman" w:hAnsi="Times New Roman" w:cs="Times New Roman"/>
              </w:rPr>
              <w:t>3713e</w:t>
            </w:r>
          </w:p>
        </w:tc>
      </w:tr>
      <w:tr w14:paraId="796F61CF" w14:textId="77777777" w:rsidTr="004154DB">
        <w:tblPrEx>
          <w:tblW w:w="9760" w:type="dxa"/>
          <w:tblInd w:w="-185" w:type="dxa"/>
          <w:tblLook w:val="04A0"/>
        </w:tblPrEx>
        <w:tc>
          <w:tcPr>
            <w:tcW w:w="2227" w:type="dxa"/>
          </w:tcPr>
          <w:p w:rsidR="00BD795C" w:rsidRPr="00A641B1" w:rsidP="004154DB" w14:paraId="4C3F21F9" w14:textId="77777777">
            <w:pPr>
              <w:widowControl/>
              <w:rPr>
                <w:rFonts w:ascii="Times New Roman" w:eastAsia="Calibri" w:hAnsi="Times New Roman" w:cs="Times New Roman"/>
              </w:rPr>
            </w:pPr>
            <w:r w:rsidRPr="00A641B1">
              <w:rPr>
                <w:rFonts w:ascii="Times New Roman" w:hAnsi="Times New Roman" w:cs="Times New Roman"/>
              </w:rPr>
              <w:t xml:space="preserve">GMCS </w:t>
            </w:r>
          </w:p>
        </w:tc>
        <w:tc>
          <w:tcPr>
            <w:tcW w:w="6277" w:type="dxa"/>
          </w:tcPr>
          <w:p w:rsidR="00BD795C" w:rsidRPr="00A641B1" w:rsidP="004154DB" w14:paraId="2D072460" w14:textId="77777777">
            <w:pPr>
              <w:widowControl/>
              <w:rPr>
                <w:rFonts w:ascii="Times New Roman" w:eastAsia="Calibri" w:hAnsi="Times New Roman" w:cs="Times New Roman"/>
              </w:rPr>
            </w:pPr>
            <w:r w:rsidRPr="00A641B1">
              <w:rPr>
                <w:rFonts w:ascii="Times New Roman" w:hAnsi="Times New Roman" w:cs="Times New Roman"/>
              </w:rPr>
              <w:t>Global Malnutrition Composite Score</w:t>
            </w:r>
          </w:p>
        </w:tc>
        <w:tc>
          <w:tcPr>
            <w:tcW w:w="1256" w:type="dxa"/>
          </w:tcPr>
          <w:p w:rsidR="00BD795C" w:rsidRPr="00A641B1" w:rsidP="004154DB" w14:paraId="060B4554" w14:textId="77777777">
            <w:pPr>
              <w:widowControl/>
              <w:rPr>
                <w:rFonts w:ascii="Times New Roman" w:eastAsia="Times New Roman" w:hAnsi="Times New Roman" w:cs="Times New Roman"/>
              </w:rPr>
            </w:pPr>
            <w:r w:rsidRPr="00A641B1">
              <w:rPr>
                <w:rFonts w:ascii="Times New Roman" w:hAnsi="Times New Roman" w:cs="Times New Roman"/>
              </w:rPr>
              <w:t>3592e</w:t>
            </w:r>
          </w:p>
        </w:tc>
      </w:tr>
      <w:tr w14:paraId="0A0CC28A" w14:textId="77777777" w:rsidTr="004154DB">
        <w:tblPrEx>
          <w:tblW w:w="9760" w:type="dxa"/>
          <w:tblInd w:w="-185" w:type="dxa"/>
          <w:tblLook w:val="04A0"/>
        </w:tblPrEx>
        <w:tc>
          <w:tcPr>
            <w:tcW w:w="2227" w:type="dxa"/>
          </w:tcPr>
          <w:p w:rsidR="00BD795C" w:rsidRPr="00BD795C" w:rsidP="004154DB" w14:paraId="4108282D" w14:textId="77777777">
            <w:pPr>
              <w:widowControl/>
              <w:rPr>
                <w:rFonts w:ascii="Times New Roman" w:eastAsia="Calibri" w:hAnsi="Times New Roman" w:cs="Times New Roman"/>
              </w:rPr>
            </w:pPr>
            <w:r w:rsidRPr="00BD795C">
              <w:rPr>
                <w:rFonts w:ascii="Times New Roman" w:eastAsia="Times New Roman" w:hAnsi="Times New Roman" w:cs="Times New Roman"/>
              </w:rPr>
              <w:t>IP-</w:t>
            </w:r>
            <w:r w:rsidRPr="00BD795C">
              <w:rPr>
                <w:rFonts w:ascii="Times New Roman" w:eastAsia="Times New Roman" w:hAnsi="Times New Roman" w:cs="Times New Roman"/>
              </w:rPr>
              <w:t>Ex</w:t>
            </w:r>
            <w:r w:rsidRPr="00BD795C">
              <w:rPr>
                <w:rFonts w:ascii="Times New Roman" w:eastAsia="Calibri" w:hAnsi="Times New Roman" w:cs="Times New Roman"/>
              </w:rPr>
              <w:t>Rad</w:t>
            </w:r>
          </w:p>
        </w:tc>
        <w:tc>
          <w:tcPr>
            <w:tcW w:w="6277" w:type="dxa"/>
          </w:tcPr>
          <w:p w:rsidR="00BD795C" w:rsidRPr="00BD795C" w:rsidP="004154DB" w14:paraId="70FA286D" w14:textId="77777777">
            <w:pPr>
              <w:widowControl/>
              <w:rPr>
                <w:rFonts w:ascii="Times New Roman" w:eastAsia="Calibri" w:hAnsi="Times New Roman" w:cs="Times New Roman"/>
              </w:rPr>
            </w:pPr>
            <w:r w:rsidRPr="00BD795C">
              <w:rPr>
                <w:rFonts w:ascii="Times New Roman" w:hAnsi="Times New Roman" w:cs="Times New Roman"/>
                <w:bdr w:val="none" w:sz="0" w:space="0" w:color="auto" w:frame="1"/>
              </w:rPr>
              <w:t>Excessive Radiation Dose or Inadequate Image Quality for Diagnostic Computed Tomography (CT) in Adults (Hospital Level – Inpatient)</w:t>
            </w:r>
          </w:p>
        </w:tc>
        <w:tc>
          <w:tcPr>
            <w:tcW w:w="1256" w:type="dxa"/>
          </w:tcPr>
          <w:p w:rsidR="00BD795C" w:rsidRPr="00BD795C" w:rsidP="004154DB" w14:paraId="47EDD4E2" w14:textId="77777777">
            <w:pPr>
              <w:widowControl/>
              <w:rPr>
                <w:rFonts w:ascii="Times New Roman" w:eastAsia="Calibri" w:hAnsi="Times New Roman" w:cs="Times New Roman"/>
              </w:rPr>
            </w:pPr>
            <w:r w:rsidRPr="00BD795C">
              <w:rPr>
                <w:rFonts w:ascii="Times New Roman" w:eastAsia="Calibri" w:hAnsi="Times New Roman" w:cs="Times New Roman"/>
              </w:rPr>
              <w:t>3663e</w:t>
            </w:r>
          </w:p>
        </w:tc>
      </w:tr>
    </w:tbl>
    <w:p w:rsidR="00BD795C" w:rsidP="00BD795C" w14:paraId="5EAEF031" w14:textId="77777777">
      <w:pPr>
        <w:rPr>
          <w:b/>
        </w:rPr>
      </w:pPr>
    </w:p>
    <w:p w:rsidR="009A402A" w:rsidP="00A94298" w14:paraId="0C4B588D" w14:textId="77777777">
      <w:pPr>
        <w:widowControl/>
        <w:contextualSpacing/>
        <w:rPr>
          <w:rFonts w:ascii="Times New Roman" w:hAnsi="Times New Roman" w:cs="Times New Roman"/>
          <w:sz w:val="24"/>
          <w:szCs w:val="24"/>
        </w:rPr>
      </w:pPr>
    </w:p>
    <w:p w:rsidR="00FA2E19" w:rsidRPr="002C3EAD" w:rsidP="00FA2E19" w14:paraId="6E54BAF1" w14:textId="7A041FE6">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 xml:space="preserve">Summary of </w:t>
      </w:r>
      <w:r w:rsidR="003A5BA5">
        <w:rPr>
          <w:rFonts w:ascii="Times New Roman" w:hAnsi="Times New Roman" w:cs="Times New Roman"/>
          <w:b/>
          <w:sz w:val="24"/>
          <w:szCs w:val="24"/>
        </w:rPr>
        <w:t>Finaliz</w:t>
      </w:r>
      <w:r>
        <w:rPr>
          <w:rFonts w:ascii="Times New Roman" w:hAnsi="Times New Roman" w:cs="Times New Roman"/>
          <w:b/>
          <w:sz w:val="24"/>
          <w:szCs w:val="24"/>
        </w:rPr>
        <w:t>ed Medicare Promoting Interoperability Program Changes</w:t>
      </w:r>
    </w:p>
    <w:p w:rsidR="00FA2E19" w:rsidP="00A94298" w14:paraId="09BDEEBC" w14:textId="77777777">
      <w:pPr>
        <w:widowControl/>
        <w:contextualSpacing/>
        <w:rPr>
          <w:rFonts w:ascii="Times New Roman" w:hAnsi="Times New Roman" w:cs="Times New Roman"/>
          <w:sz w:val="24"/>
          <w:szCs w:val="24"/>
        </w:rPr>
      </w:pPr>
    </w:p>
    <w:p w:rsidR="00556A9B" w:rsidP="00A94298" w14:paraId="0E312D39" w14:textId="784542FC">
      <w:pPr>
        <w:widowControl/>
        <w:contextualSpacing/>
        <w:rPr>
          <w:rFonts w:ascii="Times New Roman" w:hAnsi="Times New Roman" w:cs="Times New Roman"/>
          <w:sz w:val="24"/>
          <w:szCs w:val="24"/>
        </w:rPr>
      </w:pPr>
      <w:r>
        <w:rPr>
          <w:rFonts w:ascii="Times New Roman" w:hAnsi="Times New Roman" w:cs="Times New Roman"/>
          <w:sz w:val="24"/>
          <w:szCs w:val="24"/>
        </w:rPr>
        <w:t xml:space="preserve">In the FY 2025 IPPS/LTCH PPS </w:t>
      </w:r>
      <w:r w:rsidR="00767AD4">
        <w:rPr>
          <w:rFonts w:ascii="Times New Roman" w:hAnsi="Times New Roman" w:cs="Times New Roman"/>
          <w:sz w:val="24"/>
          <w:szCs w:val="24"/>
        </w:rPr>
        <w:t>final</w:t>
      </w:r>
      <w:r>
        <w:rPr>
          <w:rFonts w:ascii="Times New Roman" w:hAnsi="Times New Roman" w:cs="Times New Roman"/>
          <w:sz w:val="24"/>
          <w:szCs w:val="24"/>
        </w:rPr>
        <w:t xml:space="preserve"> rule, we are</w:t>
      </w:r>
      <w:r w:rsidRPr="00556A9B">
        <w:rPr>
          <w:rFonts w:ascii="Times New Roman" w:hAnsi="Times New Roman" w:cs="Times New Roman"/>
          <w:sz w:val="24"/>
          <w:szCs w:val="24"/>
        </w:rPr>
        <w:t xml:space="preserve"> separat</w:t>
      </w:r>
      <w:r w:rsidR="00767AD4">
        <w:rPr>
          <w:rFonts w:ascii="Times New Roman" w:hAnsi="Times New Roman" w:cs="Times New Roman"/>
          <w:sz w:val="24"/>
          <w:szCs w:val="24"/>
        </w:rPr>
        <w:t>ing</w:t>
      </w:r>
      <w:r w:rsidRPr="00556A9B">
        <w:rPr>
          <w:rFonts w:ascii="Times New Roman" w:hAnsi="Times New Roman" w:cs="Times New Roman"/>
          <w:sz w:val="24"/>
          <w:szCs w:val="24"/>
        </w:rPr>
        <w:t xml:space="preserve"> the previously finalized AUR Surveillance measure into two separate measures, beginning with the EHR reporting period</w:t>
      </w:r>
      <w:r w:rsidR="000659E9">
        <w:rPr>
          <w:rFonts w:ascii="Times New Roman" w:hAnsi="Times New Roman" w:cs="Times New Roman"/>
          <w:sz w:val="24"/>
          <w:szCs w:val="24"/>
        </w:rPr>
        <w:t xml:space="preserve"> in CY 2025</w:t>
      </w:r>
      <w:r w:rsidRPr="00556A9B">
        <w:rPr>
          <w:rFonts w:ascii="Times New Roman" w:hAnsi="Times New Roman" w:cs="Times New Roman"/>
          <w:sz w:val="24"/>
          <w:szCs w:val="24"/>
        </w:rPr>
        <w:t>:  (</w:t>
      </w:r>
      <w:r w:rsidRPr="00556A9B">
        <w:rPr>
          <w:rFonts w:ascii="Times New Roman" w:hAnsi="Times New Roman" w:cs="Times New Roman"/>
          <w:sz w:val="24"/>
          <w:szCs w:val="24"/>
        </w:rPr>
        <w:t>1) the Antimicrobial Use (AU) Surveillance measure</w:t>
      </w:r>
      <w:r w:rsidR="00CD412B">
        <w:rPr>
          <w:rFonts w:ascii="Times New Roman" w:hAnsi="Times New Roman" w:cs="Times New Roman"/>
          <w:sz w:val="24"/>
          <w:szCs w:val="24"/>
        </w:rPr>
        <w:t>,</w:t>
      </w:r>
      <w:r w:rsidRPr="00556A9B">
        <w:rPr>
          <w:rFonts w:ascii="Times New Roman" w:hAnsi="Times New Roman" w:cs="Times New Roman"/>
          <w:sz w:val="24"/>
          <w:szCs w:val="24"/>
        </w:rPr>
        <w:t xml:space="preserve"> and (2) the Antimicrobial Resistance (AR) Surveillance </w:t>
      </w:r>
      <w:r w:rsidR="00777631">
        <w:rPr>
          <w:rFonts w:ascii="Times New Roman" w:hAnsi="Times New Roman" w:cs="Times New Roman"/>
          <w:sz w:val="24"/>
          <w:szCs w:val="24"/>
        </w:rPr>
        <w:t>m</w:t>
      </w:r>
      <w:r w:rsidRPr="00556A9B" w:rsidR="00777631">
        <w:rPr>
          <w:rFonts w:ascii="Times New Roman" w:hAnsi="Times New Roman" w:cs="Times New Roman"/>
          <w:sz w:val="24"/>
          <w:szCs w:val="24"/>
        </w:rPr>
        <w:t>easure</w:t>
      </w:r>
      <w:r w:rsidRPr="00556A9B">
        <w:rPr>
          <w:rFonts w:ascii="Times New Roman" w:hAnsi="Times New Roman" w:cs="Times New Roman"/>
          <w:sz w:val="24"/>
          <w:szCs w:val="24"/>
        </w:rPr>
        <w:t>.</w:t>
      </w:r>
      <w:r>
        <w:rPr>
          <w:rFonts w:ascii="Times New Roman" w:hAnsi="Times New Roman" w:cs="Times New Roman"/>
          <w:sz w:val="24"/>
          <w:szCs w:val="24"/>
        </w:rPr>
        <w:t xml:space="preserve"> </w:t>
      </w:r>
      <w:r w:rsidRPr="00556A9B">
        <w:rPr>
          <w:rFonts w:ascii="Times New Roman" w:hAnsi="Times New Roman" w:cs="Times New Roman"/>
          <w:sz w:val="24"/>
          <w:szCs w:val="24"/>
        </w:rPr>
        <w:t xml:space="preserve"> </w:t>
      </w:r>
      <w:r>
        <w:rPr>
          <w:rFonts w:ascii="Times New Roman" w:hAnsi="Times New Roman" w:cs="Times New Roman"/>
          <w:sz w:val="24"/>
          <w:szCs w:val="24"/>
        </w:rPr>
        <w:t>W</w:t>
      </w:r>
      <w:r w:rsidRPr="00556A9B">
        <w:rPr>
          <w:rFonts w:ascii="Times New Roman" w:hAnsi="Times New Roman" w:cs="Times New Roman"/>
          <w:sz w:val="24"/>
          <w:szCs w:val="24"/>
        </w:rPr>
        <w:t xml:space="preserve">e are </w:t>
      </w:r>
      <w:r>
        <w:rPr>
          <w:rFonts w:ascii="Times New Roman" w:hAnsi="Times New Roman" w:cs="Times New Roman"/>
          <w:sz w:val="24"/>
          <w:szCs w:val="24"/>
        </w:rPr>
        <w:t>also</w:t>
      </w:r>
      <w:r w:rsidRPr="00556A9B">
        <w:rPr>
          <w:rFonts w:ascii="Times New Roman" w:hAnsi="Times New Roman" w:cs="Times New Roman"/>
          <w:sz w:val="24"/>
          <w:szCs w:val="24"/>
        </w:rPr>
        <w:t xml:space="preserve"> increas</w:t>
      </w:r>
      <w:r w:rsidR="00767AD4">
        <w:rPr>
          <w:rFonts w:ascii="Times New Roman" w:hAnsi="Times New Roman" w:cs="Times New Roman"/>
          <w:sz w:val="24"/>
          <w:szCs w:val="24"/>
        </w:rPr>
        <w:t>ing</w:t>
      </w:r>
      <w:r w:rsidRPr="00556A9B">
        <w:rPr>
          <w:rFonts w:ascii="Times New Roman" w:hAnsi="Times New Roman" w:cs="Times New Roman"/>
          <w:sz w:val="24"/>
          <w:szCs w:val="24"/>
        </w:rPr>
        <w:t xml:space="preserve"> the total number of eCQMs eligible hospitals and CAHs report from six to </w:t>
      </w:r>
      <w:r w:rsidR="00767AD4">
        <w:rPr>
          <w:rFonts w:ascii="Times New Roman" w:hAnsi="Times New Roman" w:cs="Times New Roman"/>
          <w:sz w:val="24"/>
          <w:szCs w:val="24"/>
        </w:rPr>
        <w:t>eight</w:t>
      </w:r>
      <w:r w:rsidRPr="00556A9B">
        <w:rPr>
          <w:rFonts w:ascii="Times New Roman" w:hAnsi="Times New Roman" w:cs="Times New Roman"/>
          <w:sz w:val="24"/>
          <w:szCs w:val="24"/>
        </w:rPr>
        <w:t xml:space="preserve"> </w:t>
      </w:r>
      <w:r w:rsidR="00767AD4">
        <w:rPr>
          <w:rFonts w:ascii="Times New Roman" w:hAnsi="Times New Roman" w:cs="Times New Roman"/>
          <w:sz w:val="24"/>
          <w:szCs w:val="24"/>
        </w:rPr>
        <w:t>eCQMs</w:t>
      </w:r>
      <w:r w:rsidR="00767AD4">
        <w:rPr>
          <w:rFonts w:ascii="Times New Roman" w:hAnsi="Times New Roman" w:cs="Times New Roman"/>
          <w:sz w:val="24"/>
          <w:szCs w:val="24"/>
        </w:rPr>
        <w:t xml:space="preserve"> </w:t>
      </w:r>
      <w:r w:rsidRPr="00556A9B">
        <w:rPr>
          <w:rFonts w:ascii="Times New Roman" w:hAnsi="Times New Roman" w:cs="Times New Roman"/>
          <w:sz w:val="24"/>
          <w:szCs w:val="24"/>
        </w:rPr>
        <w:t xml:space="preserve">for the </w:t>
      </w:r>
      <w:r w:rsidR="002658C9">
        <w:rPr>
          <w:rFonts w:ascii="Times New Roman" w:hAnsi="Times New Roman" w:cs="Times New Roman"/>
          <w:sz w:val="24"/>
          <w:szCs w:val="24"/>
        </w:rPr>
        <w:t xml:space="preserve">CY 2026 </w:t>
      </w:r>
      <w:r w:rsidRPr="00556A9B">
        <w:rPr>
          <w:rFonts w:ascii="Times New Roman" w:hAnsi="Times New Roman" w:cs="Times New Roman"/>
          <w:sz w:val="24"/>
          <w:szCs w:val="24"/>
        </w:rPr>
        <w:t xml:space="preserve">reporting period, </w:t>
      </w:r>
      <w:r w:rsidR="00767AD4">
        <w:rPr>
          <w:rFonts w:ascii="Times New Roman" w:hAnsi="Times New Roman" w:cs="Times New Roman"/>
          <w:sz w:val="24"/>
          <w:szCs w:val="24"/>
        </w:rPr>
        <w:t xml:space="preserve">from eight to nine eCQMs for the CY 2027 reporting period, </w:t>
      </w:r>
      <w:r w:rsidRPr="00556A9B">
        <w:rPr>
          <w:rFonts w:ascii="Times New Roman" w:hAnsi="Times New Roman" w:cs="Times New Roman"/>
          <w:sz w:val="24"/>
          <w:szCs w:val="24"/>
        </w:rPr>
        <w:t xml:space="preserve">and then from nine to eleven </w:t>
      </w:r>
      <w:r w:rsidR="00767AD4">
        <w:rPr>
          <w:rFonts w:ascii="Times New Roman" w:hAnsi="Times New Roman" w:cs="Times New Roman"/>
          <w:sz w:val="24"/>
          <w:szCs w:val="24"/>
        </w:rPr>
        <w:t xml:space="preserve">eCQMs </w:t>
      </w:r>
      <w:r w:rsidRPr="00556A9B">
        <w:rPr>
          <w:rFonts w:ascii="Times New Roman" w:hAnsi="Times New Roman" w:cs="Times New Roman"/>
          <w:sz w:val="24"/>
          <w:szCs w:val="24"/>
        </w:rPr>
        <w:t xml:space="preserve">beginning with the </w:t>
      </w:r>
      <w:r w:rsidR="002658C9">
        <w:rPr>
          <w:rFonts w:ascii="Times New Roman" w:hAnsi="Times New Roman" w:cs="Times New Roman"/>
          <w:sz w:val="24"/>
          <w:szCs w:val="24"/>
        </w:rPr>
        <w:t>CY 202</w:t>
      </w:r>
      <w:r w:rsidR="00767AD4">
        <w:rPr>
          <w:rFonts w:ascii="Times New Roman" w:hAnsi="Times New Roman" w:cs="Times New Roman"/>
          <w:sz w:val="24"/>
          <w:szCs w:val="24"/>
        </w:rPr>
        <w:t>8</w:t>
      </w:r>
      <w:r w:rsidR="002658C9">
        <w:rPr>
          <w:rFonts w:ascii="Times New Roman" w:hAnsi="Times New Roman" w:cs="Times New Roman"/>
          <w:sz w:val="24"/>
          <w:szCs w:val="24"/>
        </w:rPr>
        <w:t xml:space="preserve"> </w:t>
      </w:r>
      <w:r w:rsidRPr="00556A9B">
        <w:rPr>
          <w:rFonts w:ascii="Times New Roman" w:hAnsi="Times New Roman" w:cs="Times New Roman"/>
          <w:sz w:val="24"/>
          <w:szCs w:val="24"/>
        </w:rPr>
        <w:t xml:space="preserve">reporting period.  </w:t>
      </w:r>
    </w:p>
    <w:p w:rsidR="00556A9B" w:rsidP="00A94298" w14:paraId="1DF481D6" w14:textId="77777777">
      <w:pPr>
        <w:widowControl/>
        <w:contextualSpacing/>
        <w:rPr>
          <w:rFonts w:ascii="Times New Roman" w:hAnsi="Times New Roman" w:cs="Times New Roman"/>
          <w:sz w:val="24"/>
          <w:szCs w:val="24"/>
        </w:rPr>
      </w:pPr>
    </w:p>
    <w:p w:rsidR="00556A9B" w:rsidP="00A94298" w14:paraId="251CE415" w14:textId="33C02F89">
      <w:pPr>
        <w:widowControl/>
        <w:contextualSpacing/>
        <w:rPr>
          <w:rFonts w:ascii="Times New Roman" w:hAnsi="Times New Roman" w:cs="Times New Roman"/>
          <w:sz w:val="24"/>
          <w:szCs w:val="24"/>
        </w:rPr>
      </w:pPr>
      <w:r>
        <w:rPr>
          <w:rFonts w:ascii="Times New Roman" w:hAnsi="Times New Roman" w:cs="Times New Roman"/>
          <w:sz w:val="24"/>
          <w:szCs w:val="24"/>
        </w:rPr>
        <w:t xml:space="preserve">We are also </w:t>
      </w:r>
      <w:r w:rsidR="00767AD4">
        <w:rPr>
          <w:rFonts w:ascii="Times New Roman" w:hAnsi="Times New Roman" w:cs="Times New Roman"/>
          <w:sz w:val="24"/>
          <w:szCs w:val="24"/>
        </w:rPr>
        <w:t xml:space="preserve">finalizing </w:t>
      </w:r>
      <w:r>
        <w:rPr>
          <w:rFonts w:ascii="Times New Roman" w:hAnsi="Times New Roman" w:cs="Times New Roman"/>
          <w:sz w:val="24"/>
          <w:szCs w:val="24"/>
        </w:rPr>
        <w:t>several p</w:t>
      </w:r>
      <w:r w:rsidR="00767AD4">
        <w:rPr>
          <w:rFonts w:ascii="Times New Roman" w:hAnsi="Times New Roman" w:cs="Times New Roman"/>
          <w:sz w:val="24"/>
          <w:szCs w:val="24"/>
        </w:rPr>
        <w:t>olicies</w:t>
      </w:r>
      <w:r>
        <w:rPr>
          <w:rFonts w:ascii="Times New Roman" w:hAnsi="Times New Roman" w:cs="Times New Roman"/>
          <w:sz w:val="24"/>
          <w:szCs w:val="24"/>
        </w:rPr>
        <w:t xml:space="preserve"> in the FY 2025 IPPS/LTCH PPS </w:t>
      </w:r>
      <w:r w:rsidR="00767AD4">
        <w:rPr>
          <w:rFonts w:ascii="Times New Roman" w:hAnsi="Times New Roman" w:cs="Times New Roman"/>
          <w:sz w:val="24"/>
          <w:szCs w:val="24"/>
        </w:rPr>
        <w:t>final</w:t>
      </w:r>
      <w:r>
        <w:rPr>
          <w:rFonts w:ascii="Times New Roman" w:hAnsi="Times New Roman" w:cs="Times New Roman"/>
          <w:sz w:val="24"/>
          <w:szCs w:val="24"/>
        </w:rPr>
        <w:t xml:space="preserve"> rule which will not affect information collection burden.  </w:t>
      </w:r>
      <w:r w:rsidRPr="00556A9B">
        <w:rPr>
          <w:rFonts w:ascii="Times New Roman" w:hAnsi="Times New Roman" w:cs="Times New Roman"/>
          <w:sz w:val="24"/>
          <w:szCs w:val="24"/>
        </w:rPr>
        <w:t>We are adopt</w:t>
      </w:r>
      <w:r w:rsidR="00767AD4">
        <w:rPr>
          <w:rFonts w:ascii="Times New Roman" w:hAnsi="Times New Roman" w:cs="Times New Roman"/>
          <w:sz w:val="24"/>
          <w:szCs w:val="24"/>
        </w:rPr>
        <w:t>ing</w:t>
      </w:r>
      <w:r w:rsidRPr="00556A9B">
        <w:rPr>
          <w:rFonts w:ascii="Times New Roman" w:hAnsi="Times New Roman" w:cs="Times New Roman"/>
          <w:sz w:val="24"/>
          <w:szCs w:val="24"/>
        </w:rPr>
        <w:t xml:space="preserve"> two new </w:t>
      </w:r>
      <w:r w:rsidRPr="00556A9B">
        <w:rPr>
          <w:rFonts w:ascii="Times New Roman" w:hAnsi="Times New Roman" w:cs="Times New Roman"/>
          <w:sz w:val="24"/>
          <w:szCs w:val="24"/>
        </w:rPr>
        <w:t>eCQMs</w:t>
      </w:r>
      <w:r w:rsidRPr="00556A9B">
        <w:rPr>
          <w:rFonts w:ascii="Times New Roman" w:hAnsi="Times New Roman" w:cs="Times New Roman"/>
          <w:sz w:val="24"/>
          <w:szCs w:val="24"/>
        </w:rPr>
        <w:t xml:space="preserve"> </w:t>
      </w:r>
      <w:r w:rsidR="000659E9">
        <w:rPr>
          <w:rFonts w:ascii="Times New Roman" w:hAnsi="Times New Roman" w:cs="Times New Roman"/>
          <w:sz w:val="24"/>
          <w:szCs w:val="24"/>
        </w:rPr>
        <w:t>and modify</w:t>
      </w:r>
      <w:r w:rsidR="00767AD4">
        <w:rPr>
          <w:rFonts w:ascii="Times New Roman" w:hAnsi="Times New Roman" w:cs="Times New Roman"/>
          <w:sz w:val="24"/>
          <w:szCs w:val="24"/>
        </w:rPr>
        <w:t>ing</w:t>
      </w:r>
      <w:r w:rsidR="000659E9">
        <w:rPr>
          <w:rFonts w:ascii="Times New Roman" w:hAnsi="Times New Roman" w:cs="Times New Roman"/>
          <w:sz w:val="24"/>
          <w:szCs w:val="24"/>
        </w:rPr>
        <w:t xml:space="preserve"> one eCQM </w:t>
      </w:r>
      <w:r w:rsidRPr="00556A9B">
        <w:rPr>
          <w:rFonts w:ascii="Times New Roman" w:hAnsi="Times New Roman" w:cs="Times New Roman"/>
          <w:sz w:val="24"/>
          <w:szCs w:val="24"/>
        </w:rPr>
        <w:t xml:space="preserve">beginning with the </w:t>
      </w:r>
      <w:r w:rsidR="002658C9">
        <w:rPr>
          <w:rFonts w:ascii="Times New Roman" w:hAnsi="Times New Roman" w:cs="Times New Roman"/>
          <w:sz w:val="24"/>
          <w:szCs w:val="24"/>
        </w:rPr>
        <w:t xml:space="preserve">CY 2026 </w:t>
      </w:r>
      <w:r w:rsidR="000659E9">
        <w:rPr>
          <w:rFonts w:ascii="Times New Roman" w:hAnsi="Times New Roman" w:cs="Times New Roman"/>
          <w:sz w:val="24"/>
          <w:szCs w:val="24"/>
        </w:rPr>
        <w:t>r</w:t>
      </w:r>
      <w:r w:rsidRPr="00556A9B">
        <w:rPr>
          <w:rFonts w:ascii="Times New Roman" w:hAnsi="Times New Roman" w:cs="Times New Roman"/>
          <w:sz w:val="24"/>
          <w:szCs w:val="24"/>
        </w:rPr>
        <w:t>eporting period</w:t>
      </w:r>
      <w:r w:rsidRPr="00556A9B">
        <w:rPr>
          <w:rFonts w:ascii="Times New Roman" w:hAnsi="Times New Roman" w:cs="Times New Roman"/>
          <w:sz w:val="24"/>
          <w:szCs w:val="24"/>
        </w:rPr>
        <w:t>:  (</w:t>
      </w:r>
      <w:r w:rsidRPr="00556A9B">
        <w:rPr>
          <w:rFonts w:ascii="Times New Roman" w:hAnsi="Times New Roman" w:cs="Times New Roman"/>
          <w:sz w:val="24"/>
          <w:szCs w:val="24"/>
        </w:rPr>
        <w:t xml:space="preserve">1) the </w:t>
      </w:r>
      <w:r w:rsidR="000659E9">
        <w:rPr>
          <w:rFonts w:ascii="Times New Roman" w:hAnsi="Times New Roman" w:cs="Times New Roman"/>
          <w:sz w:val="24"/>
          <w:szCs w:val="24"/>
        </w:rPr>
        <w:t xml:space="preserve">new </w:t>
      </w:r>
      <w:r w:rsidRPr="00556A9B">
        <w:rPr>
          <w:rFonts w:ascii="Times New Roman" w:hAnsi="Times New Roman" w:cs="Times New Roman"/>
          <w:sz w:val="24"/>
          <w:szCs w:val="24"/>
        </w:rPr>
        <w:t>Hospital Harm - Falls with Injury eCQM</w:t>
      </w:r>
      <w:r w:rsidR="000659E9">
        <w:rPr>
          <w:rFonts w:ascii="Times New Roman" w:hAnsi="Times New Roman" w:cs="Times New Roman"/>
          <w:sz w:val="24"/>
          <w:szCs w:val="24"/>
        </w:rPr>
        <w:t>;</w:t>
      </w:r>
      <w:r w:rsidRPr="00556A9B">
        <w:rPr>
          <w:rFonts w:ascii="Times New Roman" w:hAnsi="Times New Roman" w:cs="Times New Roman"/>
          <w:sz w:val="24"/>
          <w:szCs w:val="24"/>
        </w:rPr>
        <w:t xml:space="preserve"> (2) the </w:t>
      </w:r>
      <w:r w:rsidR="000659E9">
        <w:rPr>
          <w:rFonts w:ascii="Times New Roman" w:hAnsi="Times New Roman" w:cs="Times New Roman"/>
          <w:sz w:val="24"/>
          <w:szCs w:val="24"/>
        </w:rPr>
        <w:t xml:space="preserve">new </w:t>
      </w:r>
      <w:r w:rsidRPr="00556A9B">
        <w:rPr>
          <w:rFonts w:ascii="Times New Roman" w:hAnsi="Times New Roman" w:cs="Times New Roman"/>
          <w:sz w:val="24"/>
          <w:szCs w:val="24"/>
        </w:rPr>
        <w:t>Hospital Harm - Postoperative Respiratory Failure eCQM</w:t>
      </w:r>
      <w:r w:rsidR="000659E9">
        <w:rPr>
          <w:rFonts w:ascii="Times New Roman" w:hAnsi="Times New Roman" w:cs="Times New Roman"/>
          <w:sz w:val="24"/>
          <w:szCs w:val="24"/>
        </w:rPr>
        <w:t>; and (3) the</w:t>
      </w:r>
      <w:r w:rsidRPr="00556A9B">
        <w:rPr>
          <w:rFonts w:ascii="Times New Roman" w:hAnsi="Times New Roman" w:cs="Times New Roman"/>
          <w:sz w:val="24"/>
          <w:szCs w:val="24"/>
        </w:rPr>
        <w:t xml:space="preserve"> modif</w:t>
      </w:r>
      <w:r w:rsidR="000659E9">
        <w:rPr>
          <w:rFonts w:ascii="Times New Roman" w:hAnsi="Times New Roman" w:cs="Times New Roman"/>
          <w:sz w:val="24"/>
          <w:szCs w:val="24"/>
        </w:rPr>
        <w:t>ied</w:t>
      </w:r>
      <w:r w:rsidRPr="00556A9B">
        <w:rPr>
          <w:rFonts w:ascii="Times New Roman" w:hAnsi="Times New Roman" w:cs="Times New Roman"/>
          <w:sz w:val="24"/>
          <w:szCs w:val="24"/>
        </w:rPr>
        <w:t xml:space="preserve"> GMCS eCQM.</w:t>
      </w:r>
      <w:r>
        <w:rPr>
          <w:rFonts w:ascii="Times New Roman" w:hAnsi="Times New Roman" w:cs="Times New Roman"/>
          <w:sz w:val="24"/>
          <w:szCs w:val="24"/>
        </w:rPr>
        <w:t xml:space="preserve">  Lastly, w</w:t>
      </w:r>
      <w:r w:rsidRPr="00556A9B">
        <w:rPr>
          <w:rFonts w:ascii="Times New Roman" w:hAnsi="Times New Roman" w:cs="Times New Roman"/>
          <w:sz w:val="24"/>
          <w:szCs w:val="24"/>
        </w:rPr>
        <w:t>e are increas</w:t>
      </w:r>
      <w:r w:rsidR="00767AD4">
        <w:rPr>
          <w:rFonts w:ascii="Times New Roman" w:hAnsi="Times New Roman" w:cs="Times New Roman"/>
          <w:sz w:val="24"/>
          <w:szCs w:val="24"/>
        </w:rPr>
        <w:t>ing</w:t>
      </w:r>
      <w:r w:rsidRPr="00556A9B">
        <w:rPr>
          <w:rFonts w:ascii="Times New Roman" w:hAnsi="Times New Roman" w:cs="Times New Roman"/>
          <w:sz w:val="24"/>
          <w:szCs w:val="24"/>
        </w:rPr>
        <w:t xml:space="preserve"> the minimum scoring threshold from 60 points to </w:t>
      </w:r>
      <w:r w:rsidR="00767AD4">
        <w:rPr>
          <w:rFonts w:ascii="Times New Roman" w:hAnsi="Times New Roman" w:cs="Times New Roman"/>
          <w:sz w:val="24"/>
          <w:szCs w:val="24"/>
        </w:rPr>
        <w:t xml:space="preserve">70 points for the EHR reporting period in CY 2025 and then from 70 points to </w:t>
      </w:r>
      <w:r w:rsidRPr="00556A9B">
        <w:rPr>
          <w:rFonts w:ascii="Times New Roman" w:hAnsi="Times New Roman" w:cs="Times New Roman"/>
          <w:sz w:val="24"/>
          <w:szCs w:val="24"/>
        </w:rPr>
        <w:t>80 points beginning with the EHR reporting period</w:t>
      </w:r>
      <w:r w:rsidR="000659E9">
        <w:rPr>
          <w:rFonts w:ascii="Times New Roman" w:hAnsi="Times New Roman" w:cs="Times New Roman"/>
          <w:sz w:val="24"/>
          <w:szCs w:val="24"/>
        </w:rPr>
        <w:t xml:space="preserve"> in CY 202</w:t>
      </w:r>
      <w:r w:rsidR="00767AD4">
        <w:rPr>
          <w:rFonts w:ascii="Times New Roman" w:hAnsi="Times New Roman" w:cs="Times New Roman"/>
          <w:sz w:val="24"/>
          <w:szCs w:val="24"/>
        </w:rPr>
        <w:t>6</w:t>
      </w:r>
      <w:r>
        <w:rPr>
          <w:rFonts w:ascii="Times New Roman" w:hAnsi="Times New Roman" w:cs="Times New Roman"/>
          <w:sz w:val="24"/>
          <w:szCs w:val="24"/>
        </w:rPr>
        <w:t xml:space="preserve">.  </w:t>
      </w:r>
      <w:r w:rsidRPr="00307336" w:rsidR="00307336">
        <w:rPr>
          <w:rFonts w:ascii="Times New Roman" w:hAnsi="Times New Roman" w:cs="Times New Roman"/>
          <w:sz w:val="24"/>
          <w:szCs w:val="24"/>
        </w:rPr>
        <w:t>Because we are not requiring eligible hospitals or CAHs to collect or submit any additional data, we do not estimate any change in information collection burden associated with th</w:t>
      </w:r>
      <w:r w:rsidR="00307336">
        <w:rPr>
          <w:rFonts w:ascii="Times New Roman" w:hAnsi="Times New Roman" w:cs="Times New Roman"/>
          <w:sz w:val="24"/>
          <w:szCs w:val="24"/>
        </w:rPr>
        <w:t xml:space="preserve">is </w:t>
      </w:r>
      <w:r w:rsidRPr="00307336" w:rsidR="00307336">
        <w:rPr>
          <w:rFonts w:ascii="Times New Roman" w:hAnsi="Times New Roman" w:cs="Times New Roman"/>
          <w:sz w:val="24"/>
          <w:szCs w:val="24"/>
        </w:rPr>
        <w:t>p</w:t>
      </w:r>
      <w:r w:rsidR="00767AD4">
        <w:rPr>
          <w:rFonts w:ascii="Times New Roman" w:hAnsi="Times New Roman" w:cs="Times New Roman"/>
          <w:sz w:val="24"/>
          <w:szCs w:val="24"/>
        </w:rPr>
        <w:t>olicy</w:t>
      </w:r>
      <w:r w:rsidRPr="00307336" w:rsidR="00307336">
        <w:rPr>
          <w:rFonts w:ascii="Times New Roman" w:hAnsi="Times New Roman" w:cs="Times New Roman"/>
          <w:sz w:val="24"/>
          <w:szCs w:val="24"/>
        </w:rPr>
        <w:t>.</w:t>
      </w:r>
    </w:p>
    <w:p w:rsidR="00556A9B" w:rsidP="00A94298" w14:paraId="70A3B098" w14:textId="77777777">
      <w:pPr>
        <w:widowControl/>
        <w:contextualSpacing/>
        <w:rPr>
          <w:rFonts w:ascii="Times New Roman" w:hAnsi="Times New Roman" w:cs="Times New Roman"/>
          <w:sz w:val="24"/>
          <w:szCs w:val="24"/>
        </w:rPr>
      </w:pPr>
    </w:p>
    <w:p w:rsidR="00556A9B" w:rsidRPr="002C3EAD" w:rsidP="00FA2E19" w14:paraId="60CDB3F6" w14:textId="217E450E">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Medicare Promoting Interoperability</w:t>
      </w:r>
      <w:r w:rsidRPr="006F206B">
        <w:rPr>
          <w:rFonts w:ascii="Times New Roman" w:hAnsi="Times New Roman" w:cs="Times New Roman"/>
          <w:b/>
          <w:sz w:val="24"/>
          <w:szCs w:val="24"/>
        </w:rPr>
        <w:t xml:space="preserve"> Program </w:t>
      </w:r>
      <w:r>
        <w:rPr>
          <w:rFonts w:ascii="Times New Roman" w:hAnsi="Times New Roman" w:cs="Times New Roman"/>
          <w:b/>
          <w:sz w:val="24"/>
          <w:szCs w:val="24"/>
        </w:rPr>
        <w:t>Forms</w:t>
      </w:r>
    </w:p>
    <w:p w:rsidR="002C3EAD" w:rsidP="002C3EAD" w14:paraId="16E376B6" w14:textId="77777777">
      <w:pPr>
        <w:widowControl/>
        <w:contextualSpacing/>
        <w:rPr>
          <w:rFonts w:ascii="Times New Roman" w:hAnsi="Times New Roman" w:cs="Times New Roman"/>
          <w:bCs/>
          <w:sz w:val="24"/>
          <w:szCs w:val="24"/>
        </w:rPr>
      </w:pPr>
    </w:p>
    <w:p w:rsidR="002C3EAD" w:rsidRPr="002C3EAD" w:rsidP="002C3EAD" w14:paraId="17AC60E6" w14:textId="4B65AC5A">
      <w:pPr>
        <w:widowControl/>
        <w:contextualSpacing/>
        <w:rPr>
          <w:rFonts w:ascii="Times New Roman" w:hAnsi="Times New Roman" w:cs="Times New Roman"/>
          <w:bCs/>
          <w:sz w:val="24"/>
          <w:szCs w:val="24"/>
        </w:rPr>
      </w:pPr>
      <w:r>
        <w:rPr>
          <w:rFonts w:ascii="Times New Roman" w:hAnsi="Times New Roman" w:cs="Times New Roman"/>
          <w:bCs/>
          <w:sz w:val="24"/>
          <w:szCs w:val="24"/>
        </w:rPr>
        <w:t xml:space="preserve">The Medicare Promoting Interoperability Program allows eligible hospitals and CAHs to apply for a Hardship Exception and avoid a downward payment adjustment in circumstances out of the hospital’s control that make it difficult to meet program requirements.  To be considered for an exception, </w:t>
      </w:r>
      <w:r w:rsidRPr="002C3EAD">
        <w:rPr>
          <w:rFonts w:ascii="Times New Roman" w:hAnsi="Times New Roman" w:cs="Times New Roman"/>
          <w:bCs/>
          <w:sz w:val="24"/>
          <w:szCs w:val="24"/>
        </w:rPr>
        <w:t>eligible</w:t>
      </w:r>
      <w:r>
        <w:rPr>
          <w:rFonts w:ascii="Times New Roman" w:hAnsi="Times New Roman" w:cs="Times New Roman"/>
          <w:bCs/>
          <w:sz w:val="24"/>
          <w:szCs w:val="24"/>
        </w:rPr>
        <w:t xml:space="preserve"> </w:t>
      </w:r>
      <w:r w:rsidRPr="002C3EAD">
        <w:rPr>
          <w:rFonts w:ascii="Times New Roman" w:hAnsi="Times New Roman" w:cs="Times New Roman"/>
          <w:bCs/>
          <w:sz w:val="24"/>
          <w:szCs w:val="24"/>
        </w:rPr>
        <w:t>hospitals and CAHs must complete and submit a Hardship Exception application. If approved,</w:t>
      </w:r>
      <w:r>
        <w:rPr>
          <w:rFonts w:ascii="Times New Roman" w:hAnsi="Times New Roman" w:cs="Times New Roman"/>
          <w:bCs/>
          <w:sz w:val="24"/>
          <w:szCs w:val="24"/>
        </w:rPr>
        <w:t xml:space="preserve"> </w:t>
      </w:r>
      <w:r w:rsidRPr="002C3EAD">
        <w:rPr>
          <w:rFonts w:ascii="Times New Roman" w:hAnsi="Times New Roman" w:cs="Times New Roman"/>
          <w:bCs/>
          <w:sz w:val="24"/>
          <w:szCs w:val="24"/>
        </w:rPr>
        <w:t>the Hardship Exception is valid for only one payment adjustment year. Eligible hospitals and</w:t>
      </w:r>
      <w:r>
        <w:rPr>
          <w:rFonts w:ascii="Times New Roman" w:hAnsi="Times New Roman" w:cs="Times New Roman"/>
          <w:bCs/>
          <w:sz w:val="24"/>
          <w:szCs w:val="24"/>
        </w:rPr>
        <w:t xml:space="preserve"> </w:t>
      </w:r>
      <w:r w:rsidRPr="002C3EAD">
        <w:rPr>
          <w:rFonts w:ascii="Times New Roman" w:hAnsi="Times New Roman" w:cs="Times New Roman"/>
          <w:bCs/>
          <w:sz w:val="24"/>
          <w:szCs w:val="24"/>
        </w:rPr>
        <w:t>CAHs would need to submit a new application for subsequent years and no eligible hospital or</w:t>
      </w:r>
    </w:p>
    <w:p w:rsidR="002C3EAD" w:rsidP="002C3EAD" w14:paraId="5E82A99D" w14:textId="320C1C6D">
      <w:pPr>
        <w:widowControl/>
        <w:contextualSpacing/>
        <w:rPr>
          <w:rFonts w:ascii="Times New Roman" w:hAnsi="Times New Roman" w:cs="Times New Roman"/>
          <w:bCs/>
          <w:sz w:val="24"/>
          <w:szCs w:val="24"/>
        </w:rPr>
      </w:pPr>
      <w:r w:rsidRPr="002C3EAD">
        <w:rPr>
          <w:rFonts w:ascii="Times New Roman" w:hAnsi="Times New Roman" w:cs="Times New Roman"/>
          <w:bCs/>
          <w:sz w:val="24"/>
          <w:szCs w:val="24"/>
        </w:rPr>
        <w:t>CAH can be granted more than five exceptions</w:t>
      </w:r>
      <w:r w:rsidR="00183125">
        <w:rPr>
          <w:rFonts w:ascii="Times New Roman" w:hAnsi="Times New Roman" w:cs="Times New Roman"/>
          <w:bCs/>
          <w:sz w:val="24"/>
          <w:szCs w:val="24"/>
        </w:rPr>
        <w:t xml:space="preserve">, per section </w:t>
      </w:r>
      <w:r w:rsidR="00B37F23">
        <w:rPr>
          <w:rFonts w:ascii="Times New Roman" w:hAnsi="Times New Roman" w:cs="Times New Roman"/>
          <w:bCs/>
          <w:sz w:val="24"/>
          <w:szCs w:val="24"/>
        </w:rPr>
        <w:t>1886</w:t>
      </w:r>
      <w:r w:rsidRPr="00B37F23" w:rsidR="00B37F23">
        <w:rPr>
          <w:rFonts w:ascii="Times New Roman" w:hAnsi="Times New Roman" w:cs="Times New Roman"/>
          <w:bCs/>
          <w:sz w:val="24"/>
          <w:szCs w:val="24"/>
        </w:rPr>
        <w:t>(b)(3)(B)(ix)(II)</w:t>
      </w:r>
      <w:r w:rsidR="00183125">
        <w:rPr>
          <w:rFonts w:ascii="Times New Roman" w:hAnsi="Times New Roman" w:cs="Times New Roman"/>
          <w:bCs/>
          <w:sz w:val="24"/>
          <w:szCs w:val="24"/>
        </w:rPr>
        <w:t xml:space="preserve"> of the Social Security Act</w:t>
      </w:r>
      <w:r w:rsidRPr="002C3EAD">
        <w:rPr>
          <w:rFonts w:ascii="Times New Roman" w:hAnsi="Times New Roman" w:cs="Times New Roman"/>
          <w:bCs/>
          <w:sz w:val="24"/>
          <w:szCs w:val="24"/>
        </w:rPr>
        <w:t>.</w:t>
      </w:r>
      <w:r>
        <w:rPr>
          <w:rFonts w:ascii="Times New Roman" w:hAnsi="Times New Roman" w:cs="Times New Roman"/>
          <w:bCs/>
          <w:sz w:val="24"/>
          <w:szCs w:val="24"/>
        </w:rPr>
        <w:t xml:space="preserve">  Hospitals may cite</w:t>
      </w:r>
      <w:r w:rsidRPr="002C3EAD">
        <w:rPr>
          <w:rFonts w:ascii="Times New Roman" w:hAnsi="Times New Roman" w:cs="Times New Roman"/>
          <w:bCs/>
          <w:sz w:val="24"/>
          <w:szCs w:val="24"/>
        </w:rPr>
        <w:t xml:space="preserve"> one of the following specified reasons for review and</w:t>
      </w:r>
      <w:r>
        <w:rPr>
          <w:rFonts w:ascii="Times New Roman" w:hAnsi="Times New Roman" w:cs="Times New Roman"/>
          <w:bCs/>
          <w:sz w:val="24"/>
          <w:szCs w:val="24"/>
        </w:rPr>
        <w:t xml:space="preserve"> </w:t>
      </w:r>
      <w:r w:rsidRPr="002C3EAD">
        <w:rPr>
          <w:rFonts w:ascii="Times New Roman" w:hAnsi="Times New Roman" w:cs="Times New Roman"/>
          <w:bCs/>
          <w:sz w:val="24"/>
          <w:szCs w:val="24"/>
        </w:rPr>
        <w:t>approval:</w:t>
      </w:r>
      <w:r>
        <w:rPr>
          <w:rFonts w:ascii="Times New Roman" w:hAnsi="Times New Roman" w:cs="Times New Roman"/>
          <w:bCs/>
          <w:sz w:val="24"/>
          <w:szCs w:val="24"/>
        </w:rPr>
        <w:t xml:space="preserve"> (1)</w:t>
      </w:r>
      <w:r w:rsidRPr="002C3EAD">
        <w:rPr>
          <w:rFonts w:ascii="Times New Roman" w:hAnsi="Times New Roman" w:cs="Times New Roman"/>
          <w:bCs/>
          <w:sz w:val="24"/>
          <w:szCs w:val="24"/>
        </w:rPr>
        <w:t xml:space="preserve"> </w:t>
      </w:r>
      <w:r w:rsidR="00E42390">
        <w:rPr>
          <w:rFonts w:ascii="Times New Roman" w:hAnsi="Times New Roman" w:cs="Times New Roman"/>
          <w:bCs/>
          <w:sz w:val="24"/>
          <w:szCs w:val="24"/>
        </w:rPr>
        <w:t>u</w:t>
      </w:r>
      <w:r w:rsidRPr="002C3EAD">
        <w:rPr>
          <w:rFonts w:ascii="Times New Roman" w:hAnsi="Times New Roman" w:cs="Times New Roman"/>
          <w:bCs/>
          <w:sz w:val="24"/>
          <w:szCs w:val="24"/>
        </w:rPr>
        <w:t>sing decertified EHR technology</w:t>
      </w:r>
      <w:r>
        <w:rPr>
          <w:rFonts w:ascii="Times New Roman" w:hAnsi="Times New Roman" w:cs="Times New Roman"/>
          <w:bCs/>
          <w:sz w:val="24"/>
          <w:szCs w:val="24"/>
        </w:rPr>
        <w:t xml:space="preserve">, (2) </w:t>
      </w:r>
      <w:r w:rsidR="00E42390">
        <w:rPr>
          <w:rFonts w:ascii="Times New Roman" w:hAnsi="Times New Roman" w:cs="Times New Roman"/>
          <w:bCs/>
          <w:sz w:val="24"/>
          <w:szCs w:val="24"/>
        </w:rPr>
        <w:t>i</w:t>
      </w:r>
      <w:r w:rsidRPr="002C3EAD">
        <w:rPr>
          <w:rFonts w:ascii="Times New Roman" w:hAnsi="Times New Roman" w:cs="Times New Roman"/>
          <w:bCs/>
          <w:sz w:val="24"/>
          <w:szCs w:val="24"/>
        </w:rPr>
        <w:t>nsufficient internet connectivity</w:t>
      </w:r>
      <w:r>
        <w:rPr>
          <w:rFonts w:ascii="Times New Roman" w:hAnsi="Times New Roman" w:cs="Times New Roman"/>
          <w:bCs/>
          <w:sz w:val="24"/>
          <w:szCs w:val="24"/>
        </w:rPr>
        <w:t>; or (3)</w:t>
      </w:r>
      <w:r w:rsidRPr="002C3EAD">
        <w:rPr>
          <w:rFonts w:ascii="Times New Roman" w:hAnsi="Times New Roman" w:cs="Times New Roman"/>
          <w:bCs/>
          <w:sz w:val="24"/>
          <w:szCs w:val="24"/>
        </w:rPr>
        <w:t xml:space="preserve"> </w:t>
      </w:r>
      <w:r w:rsidR="00E42390">
        <w:rPr>
          <w:rFonts w:ascii="Times New Roman" w:hAnsi="Times New Roman" w:cs="Times New Roman"/>
          <w:bCs/>
          <w:sz w:val="24"/>
          <w:szCs w:val="24"/>
        </w:rPr>
        <w:t>e</w:t>
      </w:r>
      <w:r w:rsidRPr="002C3EAD">
        <w:rPr>
          <w:rFonts w:ascii="Times New Roman" w:hAnsi="Times New Roman" w:cs="Times New Roman"/>
          <w:bCs/>
          <w:sz w:val="24"/>
          <w:szCs w:val="24"/>
        </w:rPr>
        <w:t>xtreme and uncontrollable circumstances</w:t>
      </w:r>
      <w:r>
        <w:rPr>
          <w:rFonts w:ascii="Times New Roman" w:hAnsi="Times New Roman" w:cs="Times New Roman"/>
          <w:bCs/>
          <w:sz w:val="24"/>
          <w:szCs w:val="24"/>
        </w:rPr>
        <w:t xml:space="preserve">.  The Hardship Exception form is only available electronically at </w:t>
      </w:r>
      <w:hyperlink r:id="rId10" w:history="1">
        <w:r w:rsidRPr="00AD18E1">
          <w:rPr>
            <w:rStyle w:val="Hyperlink"/>
            <w:rFonts w:ascii="Times New Roman" w:hAnsi="Times New Roman" w:cs="Times New Roman"/>
            <w:bCs/>
            <w:sz w:val="24"/>
            <w:szCs w:val="24"/>
          </w:rPr>
          <w:t>https://cmsqualitysupport.servicenowservices.com/cms_hh</w:t>
        </w:r>
      </w:hyperlink>
      <w:r>
        <w:rPr>
          <w:rFonts w:ascii="Times New Roman" w:hAnsi="Times New Roman" w:cs="Times New Roman"/>
          <w:bCs/>
          <w:sz w:val="24"/>
          <w:szCs w:val="24"/>
        </w:rPr>
        <w:t>.</w:t>
      </w:r>
    </w:p>
    <w:p w:rsidR="00556A9B" w:rsidRPr="003339D9" w:rsidP="00A94298" w14:paraId="60AF4397" w14:textId="77777777">
      <w:pPr>
        <w:widowControl/>
        <w:contextualSpacing/>
        <w:rPr>
          <w:rFonts w:ascii="Times New Roman" w:hAnsi="Times New Roman" w:cs="Times New Roman"/>
          <w:sz w:val="24"/>
          <w:szCs w:val="24"/>
        </w:rPr>
      </w:pPr>
    </w:p>
    <w:p w:rsidR="009B1F1F" w:rsidRPr="00C64579" w:rsidP="00C64579" w14:paraId="4819A05A" w14:textId="77777777">
      <w:pPr>
        <w:pStyle w:val="ListParagraph"/>
        <w:numPr>
          <w:ilvl w:val="0"/>
          <w:numId w:val="7"/>
        </w:numPr>
        <w:tabs>
          <w:tab w:val="left" w:pos="1161"/>
        </w:tabs>
        <w:ind w:left="720" w:right="157" w:hanging="720"/>
        <w:rPr>
          <w:rFonts w:ascii="Times New Roman" w:eastAsia="Times New Roman" w:hAnsi="Times New Roman" w:cs="Times New Roman"/>
          <w:b/>
          <w:bCs/>
          <w:sz w:val="24"/>
          <w:szCs w:val="24"/>
        </w:rPr>
      </w:pPr>
      <w:r w:rsidRPr="00C64579">
        <w:rPr>
          <w:rFonts w:ascii="Times New Roman"/>
          <w:b/>
          <w:bCs/>
          <w:sz w:val="24"/>
        </w:rPr>
        <w:t>Information</w:t>
      </w:r>
      <w:r w:rsidRPr="00C64579">
        <w:rPr>
          <w:rFonts w:ascii="Times New Roman"/>
          <w:b/>
          <w:bCs/>
          <w:spacing w:val="-1"/>
          <w:sz w:val="24"/>
        </w:rPr>
        <w:t xml:space="preserve"> </w:t>
      </w:r>
      <w:r w:rsidRPr="00C64579">
        <w:rPr>
          <w:rFonts w:ascii="Times New Roman"/>
          <w:b/>
          <w:bCs/>
          <w:sz w:val="24"/>
        </w:rPr>
        <w:t>Users</w:t>
      </w:r>
    </w:p>
    <w:p w:rsidR="009B1F1F" w:rsidRPr="00467B82" w14:paraId="1A297856" w14:textId="77777777">
      <w:pPr>
        <w:spacing w:before="11"/>
        <w:rPr>
          <w:rFonts w:ascii="Times New Roman" w:eastAsia="Times New Roman" w:hAnsi="Times New Roman" w:cs="Times New Roman"/>
          <w:sz w:val="24"/>
          <w:szCs w:val="24"/>
        </w:rPr>
      </w:pPr>
    </w:p>
    <w:p w:rsidR="000A4AA2" w:rsidP="00467B82" w14:paraId="33D2FA93" w14:textId="6EEC5968">
      <w:pPr>
        <w:pStyle w:val="BodyText"/>
        <w:ind w:left="0" w:right="157"/>
      </w:pPr>
      <w:r>
        <w:t xml:space="preserve">The </w:t>
      </w:r>
      <w:r w:rsidR="00E42390">
        <w:t>data collected under this information collection request</w:t>
      </w:r>
      <w:r>
        <w:t xml:space="preserve"> is used to</w:t>
      </w:r>
      <w:r>
        <w:rPr>
          <w:spacing w:val="-10"/>
        </w:rPr>
        <w:t xml:space="preserve"> </w:t>
      </w:r>
      <w:r>
        <w:t xml:space="preserve">validate compliance with the requirements for being a successful </w:t>
      </w:r>
      <w:r w:rsidR="00E42390">
        <w:t>M</w:t>
      </w:r>
      <w:r>
        <w:t>eaningful</w:t>
      </w:r>
      <w:r>
        <w:rPr>
          <w:spacing w:val="-10"/>
        </w:rPr>
        <w:t xml:space="preserve"> </w:t>
      </w:r>
      <w:r w:rsidR="00E42390">
        <w:t>U</w:t>
      </w:r>
      <w:r>
        <w:t>ser under the Medicare</w:t>
      </w:r>
      <w:r w:rsidR="003A3A07">
        <w:t xml:space="preserve"> </w:t>
      </w:r>
      <w:r>
        <w:t xml:space="preserve">Promoting Interoperability Program.  Participants attest </w:t>
      </w:r>
      <w:r w:rsidR="00D2530A">
        <w:t xml:space="preserve">or report data as applicable </w:t>
      </w:r>
      <w:r>
        <w:t>to the required objectives and measures to meet the required threshold for being considered a Meaningful User.  They must also electronically submit measure data for eCQMs.  If it</w:t>
      </w:r>
      <w:r>
        <w:rPr>
          <w:spacing w:val="-3"/>
        </w:rPr>
        <w:t xml:space="preserve"> </w:t>
      </w:r>
      <w:r>
        <w:t>is determined that the participant is a not a Meaningful User, they would be subject to a downward payment</w:t>
      </w:r>
      <w:r>
        <w:rPr>
          <w:spacing w:val="-9"/>
        </w:rPr>
        <w:t xml:space="preserve"> </w:t>
      </w:r>
      <w:r>
        <w:t xml:space="preserve">adjustment. </w:t>
      </w:r>
      <w:r w:rsidRPr="005C0C54">
        <w:t>The collection of information burden analysis in th</w:t>
      </w:r>
      <w:r>
        <w:t>e</w:t>
      </w:r>
      <w:r w:rsidRPr="005C0C54">
        <w:t xml:space="preserve"> </w:t>
      </w:r>
      <w:r>
        <w:t xml:space="preserve">FY 2025 IPPS/LTCH PPS </w:t>
      </w:r>
      <w:r w:rsidR="00767AD4">
        <w:t>final</w:t>
      </w:r>
      <w:r w:rsidRPr="005C0C54" w:rsidR="00E768DB">
        <w:t xml:space="preserve"> </w:t>
      </w:r>
      <w:r w:rsidRPr="005C0C54">
        <w:t>rule</w:t>
      </w:r>
      <w:r>
        <w:t xml:space="preserve"> </w:t>
      </w:r>
      <w:r w:rsidRPr="005C0C54">
        <w:t>focus</w:t>
      </w:r>
      <w:r w:rsidR="003A3A07">
        <w:t>es</w:t>
      </w:r>
      <w:r w:rsidRPr="005C0C54">
        <w:t xml:space="preserve"> on eligible hospitals and CAHs that </w:t>
      </w:r>
      <w:r w:rsidR="00D2530A">
        <w:t>report on</w:t>
      </w:r>
      <w:r w:rsidRPr="005C0C54">
        <w:t xml:space="preserve"> the objectives</w:t>
      </w:r>
      <w:r w:rsidR="00D2530A">
        <w:t>,</w:t>
      </w:r>
      <w:r w:rsidRPr="005C0C54">
        <w:t xml:space="preserve"> measures, and </w:t>
      </w:r>
      <w:r>
        <w:t>e</w:t>
      </w:r>
      <w:r w:rsidRPr="005C0C54">
        <w:t>CQMs under the Medicare Promoting Interoperability Program.</w:t>
      </w:r>
    </w:p>
    <w:p w:rsidR="000A4AA2" w:rsidP="00467B82" w14:paraId="1AAB625E" w14:textId="77777777">
      <w:pPr>
        <w:pStyle w:val="BodyText"/>
        <w:ind w:left="0" w:right="157"/>
      </w:pPr>
    </w:p>
    <w:p w:rsidR="00F823B4" w:rsidP="00467B82" w14:paraId="5FB51E60" w14:textId="3FE3A12F">
      <w:pPr>
        <w:pStyle w:val="BodyText"/>
        <w:ind w:left="0" w:right="157"/>
      </w:pPr>
      <w:r>
        <w:t xml:space="preserve">We use the information collected from measure submissions to gain a better understanding of how eligible hospitals and CAHs are utilizing CEHRT and its functionality. We use the information collected from </w:t>
      </w:r>
      <w:r w:rsidR="00D2530A">
        <w:t>eCQM</w:t>
      </w:r>
      <w:r>
        <w:t xml:space="preserve"> data to determine its impact on care delivery for Medicare beneficiaries.  Our goal is to continue to advance the meaningful use of health information technology with our priority to continue promoting interoperability through health information exchange among various health systems’ EHRs.</w:t>
      </w:r>
    </w:p>
    <w:p w:rsidR="000E1AED" w:rsidP="00467B82" w14:paraId="12320CB6" w14:textId="77777777">
      <w:pPr>
        <w:pStyle w:val="BodyText"/>
        <w:ind w:left="0" w:right="157"/>
      </w:pPr>
    </w:p>
    <w:p w:rsidR="000E1AED" w:rsidRPr="000E1AED" w:rsidP="000E1AED" w14:paraId="0D69E598" w14:textId="376C718E">
      <w:pPr>
        <w:rPr>
          <w:rFonts w:ascii="Times New Roman" w:hAnsi="Times New Roman" w:cs="Times New Roman"/>
          <w:sz w:val="24"/>
          <w:szCs w:val="24"/>
        </w:rPr>
      </w:pPr>
      <w:r w:rsidRPr="000E1AED">
        <w:rPr>
          <w:rFonts w:ascii="Times New Roman" w:hAnsi="Times New Roman" w:cs="Times New Roman"/>
          <w:sz w:val="24"/>
          <w:szCs w:val="24"/>
        </w:rPr>
        <w:t xml:space="preserve">This information is also available to Medicare beneficiaries, as well as to the </w:t>
      </w:r>
      <w:r w:rsidRPr="000E1AED">
        <w:rPr>
          <w:rFonts w:ascii="Times New Roman" w:hAnsi="Times New Roman" w:cs="Times New Roman"/>
          <w:sz w:val="24"/>
          <w:szCs w:val="24"/>
        </w:rPr>
        <w:t>general public</w:t>
      </w:r>
      <w:r w:rsidRPr="000E1AED">
        <w:rPr>
          <w:rFonts w:ascii="Times New Roman" w:hAnsi="Times New Roman" w:cs="Times New Roman"/>
          <w:sz w:val="24"/>
          <w:szCs w:val="24"/>
        </w:rPr>
        <w:t xml:space="preserve">, by providing hospital information on the </w:t>
      </w:r>
      <w:r w:rsidRPr="000E1AED">
        <w:rPr>
          <w:rFonts w:ascii="Times New Roman" w:hAnsi="Times New Roman" w:cs="Times New Roman"/>
          <w:i/>
          <w:iCs/>
          <w:sz w:val="24"/>
          <w:szCs w:val="24"/>
        </w:rPr>
        <w:t>Care Compare</w:t>
      </w:r>
      <w:r w:rsidRPr="000E1AED">
        <w:rPr>
          <w:rFonts w:ascii="Times New Roman" w:hAnsi="Times New Roman" w:cs="Times New Roman"/>
          <w:sz w:val="24"/>
          <w:szCs w:val="24"/>
        </w:rPr>
        <w:t xml:space="preserve"> website and to assist them in making decisions about their healthcare.  CMS sometimes conducts focus groups or market testing prior to publicly reporting hospital quality data on the Compare tool hosted by HHS or its successor website(s) to get feedback on ways to make the website more user-friendly.  Feedback from these focus groups </w:t>
      </w:r>
      <w:r w:rsidRPr="000E1AED" w:rsidR="00D61ED8">
        <w:rPr>
          <w:rFonts w:ascii="Times New Roman" w:hAnsi="Times New Roman" w:cs="Times New Roman"/>
          <w:sz w:val="24"/>
          <w:szCs w:val="24"/>
        </w:rPr>
        <w:t>ha</w:t>
      </w:r>
      <w:r w:rsidR="00D61ED8">
        <w:rPr>
          <w:rFonts w:ascii="Times New Roman" w:hAnsi="Times New Roman" w:cs="Times New Roman"/>
          <w:sz w:val="24"/>
          <w:szCs w:val="24"/>
        </w:rPr>
        <w:t>s</w:t>
      </w:r>
      <w:r w:rsidRPr="000E1AED" w:rsidR="00D61ED8">
        <w:rPr>
          <w:rFonts w:ascii="Times New Roman" w:hAnsi="Times New Roman" w:cs="Times New Roman"/>
          <w:sz w:val="24"/>
          <w:szCs w:val="24"/>
        </w:rPr>
        <w:t xml:space="preserve"> </w:t>
      </w:r>
      <w:r w:rsidRPr="000E1AED">
        <w:rPr>
          <w:rFonts w:ascii="Times New Roman" w:hAnsi="Times New Roman" w:cs="Times New Roman"/>
          <w:sz w:val="24"/>
          <w:szCs w:val="24"/>
        </w:rPr>
        <w:t xml:space="preserve">helped CMS understand how beneficiaries and consumers use </w:t>
      </w:r>
      <w:r w:rsidRPr="000E1AED">
        <w:rPr>
          <w:rFonts w:ascii="Times New Roman" w:hAnsi="Times New Roman" w:cs="Times New Roman"/>
          <w:iCs/>
          <w:sz w:val="24"/>
          <w:szCs w:val="24"/>
        </w:rPr>
        <w:t>the Compare tool hosted by HHS or its successor website(s)</w:t>
      </w:r>
      <w:r w:rsidRPr="000E1AED">
        <w:rPr>
          <w:rFonts w:ascii="Times New Roman" w:hAnsi="Times New Roman" w:cs="Times New Roman"/>
          <w:sz w:val="24"/>
          <w:szCs w:val="24"/>
        </w:rPr>
        <w:t xml:space="preserve">.  </w:t>
      </w:r>
    </w:p>
    <w:p w:rsidR="000E1AED" w:rsidP="00F823B4" w14:paraId="28D89ECA" w14:textId="77777777">
      <w:pPr>
        <w:pStyle w:val="BodyText"/>
        <w:spacing w:before="69"/>
        <w:ind w:left="0" w:right="157"/>
      </w:pPr>
    </w:p>
    <w:p w:rsidR="000E1AED" w:rsidRPr="000E1AED" w:rsidP="000E1AED" w14:paraId="4A76D331" w14:textId="2B961216">
      <w:pPr>
        <w:rPr>
          <w:rFonts w:ascii="Times New Roman" w:eastAsia="Times New Roman" w:hAnsi="Times New Roman"/>
          <w:sz w:val="24"/>
          <w:szCs w:val="24"/>
        </w:rPr>
      </w:pPr>
      <w:r w:rsidRPr="000E1AED">
        <w:rPr>
          <w:rFonts w:ascii="Times New Roman" w:eastAsia="Times New Roman" w:hAnsi="Times New Roman"/>
          <w:sz w:val="24"/>
          <w:szCs w:val="24"/>
        </w:rPr>
        <w:t xml:space="preserve">Under section 3014 of the </w:t>
      </w:r>
      <w:bookmarkStart w:id="0" w:name="_Hlk143153561"/>
      <w:r w:rsidRPr="000E1AED">
        <w:rPr>
          <w:rFonts w:ascii="Times New Roman" w:eastAsia="Times New Roman" w:hAnsi="Times New Roman"/>
          <w:sz w:val="24"/>
          <w:szCs w:val="24"/>
        </w:rPr>
        <w:t xml:space="preserve">Patient Protection and Affordable Care Act of 2010 </w:t>
      </w:r>
      <w:bookmarkEnd w:id="0"/>
      <w:r w:rsidRPr="000E1AED">
        <w:rPr>
          <w:rFonts w:ascii="Times New Roman" w:eastAsia="Times New Roman" w:hAnsi="Times New Roman"/>
          <w:sz w:val="24"/>
          <w:szCs w:val="24"/>
        </w:rPr>
        <w:t xml:space="preserve">(ACA), CMS is required to evaluate the impact and efficiency of CMS measures in quality reporting programs and to post the report every three years.  Following the compilation of </w:t>
      </w:r>
      <w:r w:rsidR="00CD505C">
        <w:rPr>
          <w:rFonts w:ascii="Times New Roman" w:eastAsia="Times New Roman" w:hAnsi="Times New Roman"/>
          <w:sz w:val="24"/>
          <w:szCs w:val="24"/>
        </w:rPr>
        <w:t xml:space="preserve">eCQM </w:t>
      </w:r>
      <w:r w:rsidRPr="000E1AED">
        <w:rPr>
          <w:rFonts w:ascii="Times New Roman" w:eastAsia="Times New Roman" w:hAnsi="Times New Roman"/>
          <w:sz w:val="24"/>
          <w:szCs w:val="24"/>
        </w:rPr>
        <w:t xml:space="preserve">data from the </w:t>
      </w:r>
      <w:r>
        <w:rPr>
          <w:rFonts w:ascii="Times New Roman" w:eastAsia="Times New Roman" w:hAnsi="Times New Roman"/>
          <w:sz w:val="24"/>
          <w:szCs w:val="24"/>
        </w:rPr>
        <w:t>Medicare Promoting Interoperability</w:t>
      </w:r>
      <w:r w:rsidRPr="000E1AED">
        <w:rPr>
          <w:rFonts w:ascii="Times New Roman" w:eastAsia="Times New Roman" w:hAnsi="Times New Roman"/>
          <w:sz w:val="24"/>
          <w:szCs w:val="24"/>
        </w:rPr>
        <w:t xml:space="preserve"> Program and other CMS programs, </w:t>
      </w:r>
      <w:r w:rsidRPr="000E1AED">
        <w:rPr>
          <w:rFonts w:ascii="Times New Roman" w:eastAsia="Times New Roman" w:hAnsi="Times New Roman"/>
          <w:sz w:val="24"/>
          <w:szCs w:val="24"/>
        </w:rPr>
        <w:t>CMS’ findings were formally written into the latest triennial National Impact Assessment Report, which was released in CY 2024.</w:t>
      </w:r>
      <w:r>
        <w:rPr>
          <w:rFonts w:ascii="Times New Roman" w:eastAsia="Times New Roman" w:hAnsi="Times New Roman"/>
          <w:sz w:val="24"/>
          <w:szCs w:val="24"/>
          <w:vertAlign w:val="superscript"/>
        </w:rPr>
        <w:footnoteReference w:id="3"/>
      </w:r>
    </w:p>
    <w:p w:rsidR="009B1F1F" w14:paraId="37936467" w14:textId="77777777">
      <w:pPr>
        <w:rPr>
          <w:rFonts w:ascii="Times New Roman" w:eastAsia="Times New Roman" w:hAnsi="Times New Roman" w:cs="Times New Roman"/>
          <w:sz w:val="24"/>
          <w:szCs w:val="24"/>
        </w:rPr>
      </w:pPr>
    </w:p>
    <w:p w:rsidR="009B1F1F" w:rsidRPr="00C64579" w:rsidP="00C64579" w14:paraId="2C7F9398" w14:textId="41E64579">
      <w:pPr>
        <w:pStyle w:val="ListParagraph"/>
        <w:numPr>
          <w:ilvl w:val="0"/>
          <w:numId w:val="7"/>
        </w:numPr>
        <w:tabs>
          <w:tab w:val="left" w:pos="1161"/>
        </w:tabs>
        <w:ind w:left="720" w:right="157" w:hanging="720"/>
        <w:rPr>
          <w:rFonts w:ascii="Times New Roman" w:eastAsia="Times New Roman" w:hAnsi="Times New Roman" w:cs="Times New Roman"/>
          <w:b/>
          <w:bCs/>
          <w:sz w:val="24"/>
          <w:szCs w:val="24"/>
        </w:rPr>
      </w:pPr>
      <w:r>
        <w:rPr>
          <w:rFonts w:ascii="Times New Roman"/>
          <w:b/>
          <w:bCs/>
          <w:sz w:val="24"/>
        </w:rPr>
        <w:t>Use of</w:t>
      </w:r>
      <w:r w:rsidRPr="00C64579">
        <w:rPr>
          <w:rFonts w:ascii="Times New Roman"/>
          <w:b/>
          <w:bCs/>
          <w:sz w:val="24"/>
        </w:rPr>
        <w:t xml:space="preserve"> Information</w:t>
      </w:r>
      <w:r w:rsidRPr="00C64579">
        <w:rPr>
          <w:rFonts w:ascii="Times New Roman"/>
          <w:b/>
          <w:bCs/>
          <w:spacing w:val="1"/>
          <w:sz w:val="24"/>
        </w:rPr>
        <w:t xml:space="preserve"> </w:t>
      </w:r>
      <w:r w:rsidRPr="00C64579">
        <w:rPr>
          <w:rFonts w:ascii="Times New Roman"/>
          <w:b/>
          <w:bCs/>
          <w:sz w:val="24"/>
        </w:rPr>
        <w:t>Technology</w:t>
      </w:r>
    </w:p>
    <w:p w:rsidR="009B1F1F" w:rsidRPr="00467B82" w14:paraId="354DEF55" w14:textId="77777777">
      <w:pPr>
        <w:spacing w:before="1"/>
        <w:rPr>
          <w:rFonts w:ascii="Times New Roman" w:eastAsia="Times New Roman" w:hAnsi="Times New Roman" w:cs="Times New Roman"/>
          <w:sz w:val="24"/>
          <w:szCs w:val="24"/>
        </w:rPr>
      </w:pPr>
    </w:p>
    <w:p w:rsidR="004B459B" w:rsidP="008D16DD" w14:paraId="3A234D67" w14:textId="50F8BE33">
      <w:pPr>
        <w:rPr>
          <w:rFonts w:ascii="Times New Roman" w:eastAsia="Times New Roman" w:hAnsi="Times New Roman"/>
          <w:sz w:val="24"/>
          <w:szCs w:val="24"/>
        </w:rPr>
      </w:pPr>
      <w:r w:rsidRPr="004B459B">
        <w:rPr>
          <w:rFonts w:ascii="Times New Roman" w:eastAsia="Times New Roman" w:hAnsi="Times New Roman"/>
          <w:sz w:val="24"/>
          <w:szCs w:val="24"/>
        </w:rPr>
        <w:t xml:space="preserve">To assist </w:t>
      </w:r>
      <w:r>
        <w:rPr>
          <w:rFonts w:ascii="Times New Roman" w:eastAsia="Times New Roman" w:hAnsi="Times New Roman"/>
          <w:sz w:val="24"/>
          <w:szCs w:val="24"/>
        </w:rPr>
        <w:t xml:space="preserve">eligible </w:t>
      </w:r>
      <w:r w:rsidRPr="004B459B">
        <w:rPr>
          <w:rFonts w:ascii="Times New Roman" w:eastAsia="Times New Roman" w:hAnsi="Times New Roman"/>
          <w:sz w:val="24"/>
          <w:szCs w:val="24"/>
        </w:rPr>
        <w:t xml:space="preserve">hospitals </w:t>
      </w:r>
      <w:r>
        <w:rPr>
          <w:rFonts w:ascii="Times New Roman" w:eastAsia="Times New Roman" w:hAnsi="Times New Roman"/>
          <w:sz w:val="24"/>
          <w:szCs w:val="24"/>
        </w:rPr>
        <w:t xml:space="preserve">and CAHs </w:t>
      </w:r>
      <w:r w:rsidRPr="004B459B">
        <w:rPr>
          <w:rFonts w:ascii="Times New Roman" w:eastAsia="Times New Roman" w:hAnsi="Times New Roman"/>
          <w:sz w:val="24"/>
          <w:szCs w:val="24"/>
        </w:rPr>
        <w:t xml:space="preserve">in </w:t>
      </w:r>
      <w:r w:rsidR="0047313B">
        <w:rPr>
          <w:rFonts w:ascii="Times New Roman" w:eastAsia="Times New Roman" w:hAnsi="Times New Roman"/>
          <w:sz w:val="24"/>
          <w:szCs w:val="24"/>
        </w:rPr>
        <w:t xml:space="preserve">participating </w:t>
      </w:r>
      <w:r w:rsidR="00B33F85">
        <w:rPr>
          <w:rFonts w:ascii="Times New Roman" w:eastAsia="Times New Roman" w:hAnsi="Times New Roman"/>
          <w:sz w:val="24"/>
          <w:szCs w:val="24"/>
        </w:rPr>
        <w:t xml:space="preserve">in </w:t>
      </w:r>
      <w:r w:rsidRPr="004B459B">
        <w:rPr>
          <w:rFonts w:ascii="Times New Roman" w:eastAsia="Times New Roman" w:hAnsi="Times New Roman"/>
          <w:sz w:val="24"/>
          <w:szCs w:val="24"/>
        </w:rPr>
        <w:t>standardiz</w:t>
      </w:r>
      <w:r w:rsidR="00B33F85">
        <w:rPr>
          <w:rFonts w:ascii="Times New Roman" w:eastAsia="Times New Roman" w:hAnsi="Times New Roman"/>
          <w:sz w:val="24"/>
          <w:szCs w:val="24"/>
        </w:rPr>
        <w:t>ed</w:t>
      </w:r>
      <w:r w:rsidR="008F7C30">
        <w:rPr>
          <w:rFonts w:ascii="Times New Roman" w:eastAsia="Times New Roman" w:hAnsi="Times New Roman"/>
          <w:sz w:val="24"/>
          <w:szCs w:val="24"/>
        </w:rPr>
        <w:t xml:space="preserve"> </w:t>
      </w:r>
      <w:r w:rsidRPr="004B459B">
        <w:rPr>
          <w:rFonts w:ascii="Times New Roman" w:eastAsia="Times New Roman" w:hAnsi="Times New Roman"/>
          <w:sz w:val="24"/>
          <w:szCs w:val="24"/>
        </w:rPr>
        <w:t xml:space="preserve">data collection initiatives across the industry, CMS continues to improve data collection tools </w:t>
      </w:r>
      <w:r w:rsidR="00B33F85">
        <w:rPr>
          <w:rFonts w:ascii="Times New Roman" w:eastAsia="Times New Roman" w:hAnsi="Times New Roman"/>
          <w:sz w:val="24"/>
          <w:szCs w:val="24"/>
        </w:rPr>
        <w:t>with the goal of making</w:t>
      </w:r>
      <w:r w:rsidRPr="004B459B">
        <w:rPr>
          <w:rFonts w:ascii="Times New Roman" w:eastAsia="Times New Roman" w:hAnsi="Times New Roman"/>
          <w:sz w:val="24"/>
          <w:szCs w:val="24"/>
        </w:rPr>
        <w:t xml:space="preserve"> data submission easier (e.g., the automated collection of electronic patient data in EHRs for eCQMs), a</w:t>
      </w:r>
      <w:r w:rsidR="00B33F85">
        <w:rPr>
          <w:rFonts w:ascii="Times New Roman" w:eastAsia="Times New Roman" w:hAnsi="Times New Roman"/>
          <w:sz w:val="24"/>
          <w:szCs w:val="24"/>
        </w:rPr>
        <w:t>nd</w:t>
      </w:r>
      <w:r w:rsidRPr="004B459B">
        <w:rPr>
          <w:rFonts w:ascii="Times New Roman" w:eastAsia="Times New Roman" w:hAnsi="Times New Roman"/>
          <w:sz w:val="24"/>
          <w:szCs w:val="24"/>
        </w:rPr>
        <w:t xml:space="preserve"> to increase the utility of the data provided</w:t>
      </w:r>
      <w:r>
        <w:rPr>
          <w:rFonts w:ascii="Times New Roman" w:eastAsia="Times New Roman" w:hAnsi="Times New Roman"/>
          <w:sz w:val="24"/>
          <w:szCs w:val="24"/>
        </w:rPr>
        <w:t xml:space="preserve"> by participants</w:t>
      </w:r>
      <w:r w:rsidRPr="004B459B">
        <w:rPr>
          <w:rFonts w:ascii="Times New Roman" w:eastAsia="Times New Roman" w:hAnsi="Times New Roman"/>
          <w:sz w:val="24"/>
          <w:szCs w:val="24"/>
        </w:rPr>
        <w:t xml:space="preserve">.  CMS also provides a secure data warehouse via </w:t>
      </w:r>
      <w:r>
        <w:rPr>
          <w:rFonts w:ascii="Times New Roman" w:eastAsia="Times New Roman" w:hAnsi="Times New Roman"/>
          <w:sz w:val="24"/>
          <w:szCs w:val="24"/>
        </w:rPr>
        <w:t>CMS’ Hospital Quality Reporting (</w:t>
      </w:r>
      <w:r w:rsidRPr="004B459B">
        <w:rPr>
          <w:rFonts w:ascii="Times New Roman" w:eastAsia="Times New Roman" w:hAnsi="Times New Roman"/>
          <w:sz w:val="24"/>
          <w:szCs w:val="24"/>
        </w:rPr>
        <w:t>HQR</w:t>
      </w:r>
      <w:r>
        <w:rPr>
          <w:rFonts w:ascii="Times New Roman" w:eastAsia="Times New Roman" w:hAnsi="Times New Roman"/>
          <w:sz w:val="24"/>
          <w:szCs w:val="24"/>
        </w:rPr>
        <w:t>)</w:t>
      </w:r>
      <w:r w:rsidRPr="004B459B">
        <w:rPr>
          <w:rFonts w:ascii="Times New Roman" w:eastAsia="Times New Roman" w:hAnsi="Times New Roman"/>
          <w:sz w:val="24"/>
          <w:szCs w:val="24"/>
        </w:rPr>
        <w:t xml:space="preserve"> system for storage and transmittal of data. </w:t>
      </w:r>
      <w:r>
        <w:rPr>
          <w:rFonts w:ascii="Times New Roman" w:eastAsia="Times New Roman" w:hAnsi="Times New Roman"/>
          <w:sz w:val="24"/>
          <w:szCs w:val="24"/>
        </w:rPr>
        <w:t xml:space="preserve"> Participant</w:t>
      </w:r>
      <w:r w:rsidRPr="004B459B">
        <w:rPr>
          <w:rFonts w:ascii="Times New Roman" w:eastAsia="Times New Roman" w:hAnsi="Times New Roman"/>
          <w:sz w:val="24"/>
          <w:szCs w:val="24"/>
        </w:rPr>
        <w:t xml:space="preserve">s have the option of using vendors to transmit the data.  CMS has engaged a national support contractor to provide technical assistance with program requirements and to provide education to support program participants.  </w:t>
      </w:r>
    </w:p>
    <w:p w:rsidR="004B459B" w:rsidP="008D16DD" w14:paraId="4EF1D917" w14:textId="77777777">
      <w:pPr>
        <w:rPr>
          <w:rFonts w:ascii="Times New Roman" w:eastAsia="Times New Roman" w:hAnsi="Times New Roman"/>
          <w:sz w:val="24"/>
          <w:szCs w:val="24"/>
        </w:rPr>
      </w:pPr>
    </w:p>
    <w:p w:rsidR="008D16DD" w:rsidRPr="005C0C54" w:rsidP="008D16DD" w14:paraId="3E8086D4" w14:textId="71A58EA1">
      <w:pPr>
        <w:rPr>
          <w:rFonts w:ascii="Times New Roman" w:eastAsia="Times New Roman" w:hAnsi="Times New Roman"/>
          <w:sz w:val="24"/>
          <w:szCs w:val="24"/>
        </w:rPr>
      </w:pPr>
      <w:r>
        <w:rPr>
          <w:rFonts w:ascii="Times New Roman" w:eastAsia="Times New Roman" w:hAnsi="Times New Roman"/>
          <w:sz w:val="24"/>
          <w:szCs w:val="24"/>
        </w:rPr>
        <w:t>A</w:t>
      </w:r>
      <w:r w:rsidRPr="005C0C54">
        <w:rPr>
          <w:rFonts w:ascii="Times New Roman" w:eastAsia="Times New Roman" w:hAnsi="Times New Roman"/>
          <w:sz w:val="24"/>
          <w:szCs w:val="24"/>
        </w:rPr>
        <w:t>ttestation</w:t>
      </w:r>
      <w:r>
        <w:rPr>
          <w:rFonts w:ascii="Times New Roman" w:eastAsia="Times New Roman" w:hAnsi="Times New Roman"/>
          <w:sz w:val="24"/>
          <w:szCs w:val="24"/>
        </w:rPr>
        <w:t xml:space="preserve"> </w:t>
      </w:r>
      <w:r w:rsidR="00047F8C">
        <w:rPr>
          <w:rFonts w:ascii="Times New Roman" w:eastAsia="Times New Roman" w:hAnsi="Times New Roman"/>
          <w:sz w:val="24"/>
          <w:szCs w:val="24"/>
        </w:rPr>
        <w:t>and</w:t>
      </w:r>
      <w:r>
        <w:rPr>
          <w:rFonts w:ascii="Times New Roman" w:eastAsia="Times New Roman" w:hAnsi="Times New Roman"/>
          <w:sz w:val="24"/>
          <w:szCs w:val="24"/>
        </w:rPr>
        <w:t xml:space="preserve"> data reporting</w:t>
      </w:r>
      <w:r w:rsidRPr="005C0C54">
        <w:rPr>
          <w:rFonts w:ascii="Times New Roman" w:eastAsia="Times New Roman" w:hAnsi="Times New Roman"/>
          <w:sz w:val="24"/>
          <w:szCs w:val="24"/>
        </w:rPr>
        <w:t xml:space="preserve"> </w:t>
      </w:r>
      <w:r w:rsidR="00047F8C">
        <w:rPr>
          <w:rFonts w:ascii="Times New Roman" w:eastAsia="Times New Roman" w:hAnsi="Times New Roman"/>
          <w:sz w:val="24"/>
          <w:szCs w:val="24"/>
        </w:rPr>
        <w:t>are</w:t>
      </w:r>
      <w:r w:rsidRPr="005C0C54">
        <w:rPr>
          <w:rFonts w:ascii="Times New Roman" w:eastAsia="Times New Roman" w:hAnsi="Times New Roman"/>
          <w:sz w:val="24"/>
          <w:szCs w:val="24"/>
        </w:rPr>
        <w:t xml:space="preserve"> completed </w:t>
      </w:r>
      <w:r>
        <w:rPr>
          <w:rFonts w:ascii="Times New Roman" w:eastAsia="Times New Roman" w:hAnsi="Times New Roman"/>
          <w:sz w:val="24"/>
          <w:szCs w:val="24"/>
        </w:rPr>
        <w:t xml:space="preserve">on an annual basis </w:t>
      </w:r>
      <w:r w:rsidRPr="005C0C54">
        <w:rPr>
          <w:rFonts w:ascii="Times New Roman" w:eastAsia="Times New Roman" w:hAnsi="Times New Roman"/>
          <w:sz w:val="24"/>
          <w:szCs w:val="24"/>
        </w:rPr>
        <w:t xml:space="preserve">via an online submission form. </w:t>
      </w:r>
      <w:r w:rsidR="003A3A07">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Outside of this online attestation, there are no physical nor additional forms used. </w:t>
      </w:r>
      <w:r w:rsidR="003A3A07">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Developers and CMS commonly refer to this program-specific format as the Attestation Screens, which are only open for completion by eligible hospitals and CAHs between January and March (exact dates may vary </w:t>
      </w:r>
      <w:r w:rsidR="003E00ED">
        <w:rPr>
          <w:rFonts w:ascii="Times New Roman" w:eastAsia="Times New Roman" w:hAnsi="Times New Roman"/>
          <w:sz w:val="24"/>
          <w:szCs w:val="24"/>
        </w:rPr>
        <w:t>slightly year to year</w:t>
      </w:r>
      <w:r w:rsidRPr="005C0C54">
        <w:rPr>
          <w:rFonts w:ascii="Times New Roman" w:eastAsia="Times New Roman" w:hAnsi="Times New Roman"/>
          <w:sz w:val="24"/>
          <w:szCs w:val="24"/>
        </w:rPr>
        <w:t xml:space="preserve">). </w:t>
      </w:r>
    </w:p>
    <w:p w:rsidR="009B1F1F" w14:paraId="737873BB" w14:textId="77777777">
      <w:pPr>
        <w:rPr>
          <w:rFonts w:ascii="Times New Roman" w:eastAsia="Times New Roman" w:hAnsi="Times New Roman" w:cs="Times New Roman"/>
          <w:sz w:val="24"/>
          <w:szCs w:val="24"/>
        </w:rPr>
      </w:pPr>
    </w:p>
    <w:p w:rsidR="009B1F1F" w:rsidRPr="00C64579" w:rsidP="00C64579" w14:paraId="6EFCB8FA" w14:textId="16F8D404">
      <w:pPr>
        <w:pStyle w:val="ListParagraph"/>
        <w:numPr>
          <w:ilvl w:val="1"/>
          <w:numId w:val="1"/>
        </w:numPr>
        <w:tabs>
          <w:tab w:val="left" w:pos="1161"/>
        </w:tabs>
        <w:ind w:left="720" w:right="157" w:hanging="720"/>
        <w:rPr>
          <w:rFonts w:ascii="Times New Roman" w:eastAsia="Times New Roman" w:hAnsi="Times New Roman" w:cs="Times New Roman"/>
          <w:b/>
          <w:bCs/>
          <w:sz w:val="24"/>
          <w:szCs w:val="24"/>
        </w:rPr>
      </w:pPr>
      <w:r w:rsidRPr="00C64579">
        <w:rPr>
          <w:rFonts w:ascii="Times New Roman"/>
          <w:b/>
          <w:bCs/>
          <w:sz w:val="24"/>
        </w:rPr>
        <w:t xml:space="preserve">Duplication of </w:t>
      </w:r>
      <w:r w:rsidRPr="00C64579" w:rsidR="00C64579">
        <w:rPr>
          <w:rFonts w:ascii="Times New Roman"/>
          <w:b/>
          <w:bCs/>
          <w:sz w:val="24"/>
        </w:rPr>
        <w:t>Efforts</w:t>
      </w:r>
    </w:p>
    <w:p w:rsidR="009B1F1F" w:rsidRPr="00467B82" w14:paraId="70514C53" w14:textId="77777777">
      <w:pPr>
        <w:spacing w:before="11"/>
        <w:rPr>
          <w:rFonts w:ascii="Times New Roman" w:eastAsia="Times New Roman" w:hAnsi="Times New Roman" w:cs="Times New Roman"/>
          <w:sz w:val="24"/>
          <w:szCs w:val="24"/>
        </w:rPr>
      </w:pPr>
    </w:p>
    <w:p w:rsidR="009B1F1F" w14:paraId="1E990278" w14:textId="1A3228BA">
      <w:pPr>
        <w:rPr>
          <w:rFonts w:ascii="Times New Roman" w:eastAsia="Times New Roman" w:hAnsi="Times New Roman"/>
          <w:sz w:val="24"/>
          <w:szCs w:val="24"/>
        </w:rPr>
      </w:pPr>
      <w:r w:rsidRPr="00382B5B">
        <w:rPr>
          <w:rFonts w:ascii="Times New Roman" w:eastAsia="Times New Roman" w:hAnsi="Times New Roman"/>
          <w:sz w:val="24"/>
          <w:szCs w:val="24"/>
        </w:rPr>
        <w:t xml:space="preserve">The information to be collected is not duplicative of similar information collected by CMS or other efforts to collect data </w:t>
      </w:r>
      <w:r>
        <w:rPr>
          <w:rFonts w:ascii="Times New Roman" w:eastAsia="Times New Roman" w:hAnsi="Times New Roman"/>
          <w:sz w:val="24"/>
          <w:szCs w:val="24"/>
        </w:rPr>
        <w:t>from eligible hospitals or CAHs</w:t>
      </w:r>
      <w:r w:rsidRPr="00382B5B">
        <w:rPr>
          <w:rFonts w:ascii="Times New Roman" w:eastAsia="Times New Roman" w:hAnsi="Times New Roman"/>
          <w:sz w:val="24"/>
          <w:szCs w:val="24"/>
        </w:rPr>
        <w:t>.  We prioritize efforts to reduce reporting burden for the collection of information by utilizing electronic data t</w:t>
      </w:r>
      <w:r>
        <w:rPr>
          <w:rFonts w:ascii="Times New Roman" w:eastAsia="Times New Roman" w:hAnsi="Times New Roman"/>
          <w:sz w:val="24"/>
          <w:szCs w:val="24"/>
        </w:rPr>
        <w:t>o the extent possible</w:t>
      </w:r>
      <w:r w:rsidRPr="00382B5B">
        <w:rPr>
          <w:rFonts w:ascii="Times New Roman" w:eastAsia="Times New Roman" w:hAnsi="Times New Roman"/>
          <w:sz w:val="24"/>
          <w:szCs w:val="24"/>
        </w:rPr>
        <w:t xml:space="preserve">, as well as aligning eCQMs and related reporting requirements with the </w:t>
      </w:r>
      <w:r>
        <w:rPr>
          <w:rFonts w:ascii="Times New Roman" w:eastAsia="Times New Roman" w:hAnsi="Times New Roman"/>
          <w:sz w:val="24"/>
          <w:szCs w:val="24"/>
        </w:rPr>
        <w:t>Hospital IQR Program</w:t>
      </w:r>
      <w:r w:rsidRPr="00382B5B">
        <w:rPr>
          <w:rFonts w:ascii="Times New Roman" w:eastAsia="Times New Roman" w:hAnsi="Times New Roman"/>
          <w:sz w:val="24"/>
          <w:szCs w:val="24"/>
        </w:rPr>
        <w:t xml:space="preserve"> for </w:t>
      </w:r>
      <w:r>
        <w:rPr>
          <w:rFonts w:ascii="Times New Roman" w:eastAsia="Times New Roman" w:hAnsi="Times New Roman"/>
          <w:sz w:val="24"/>
          <w:szCs w:val="24"/>
        </w:rPr>
        <w:t>e</w:t>
      </w:r>
      <w:r w:rsidRPr="00382B5B">
        <w:rPr>
          <w:rFonts w:ascii="Times New Roman" w:eastAsia="Times New Roman" w:hAnsi="Times New Roman"/>
          <w:sz w:val="24"/>
          <w:szCs w:val="24"/>
        </w:rPr>
        <w:t xml:space="preserve">ligible </w:t>
      </w:r>
      <w:r>
        <w:rPr>
          <w:rFonts w:ascii="Times New Roman" w:eastAsia="Times New Roman" w:hAnsi="Times New Roman"/>
          <w:sz w:val="24"/>
          <w:szCs w:val="24"/>
        </w:rPr>
        <w:t>h</w:t>
      </w:r>
      <w:r w:rsidRPr="00382B5B">
        <w:rPr>
          <w:rFonts w:ascii="Times New Roman" w:eastAsia="Times New Roman" w:hAnsi="Times New Roman"/>
          <w:sz w:val="24"/>
          <w:szCs w:val="24"/>
        </w:rPr>
        <w:t xml:space="preserve">ospitals and CAHs.  </w:t>
      </w:r>
    </w:p>
    <w:p w:rsidR="00382B5B" w14:paraId="6C4F1301" w14:textId="77777777">
      <w:pPr>
        <w:rPr>
          <w:rFonts w:ascii="Times New Roman" w:eastAsia="Times New Roman" w:hAnsi="Times New Roman" w:cs="Times New Roman"/>
          <w:sz w:val="24"/>
          <w:szCs w:val="24"/>
        </w:rPr>
      </w:pPr>
    </w:p>
    <w:p w:rsidR="009B1F1F" w:rsidRPr="00C64579" w:rsidP="00C64579" w14:paraId="6F007940"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Small Businesses</w:t>
      </w:r>
    </w:p>
    <w:p w:rsidR="009B1F1F" w:rsidRPr="00467B82" w14:paraId="00388D48" w14:textId="77777777">
      <w:pPr>
        <w:spacing w:before="11"/>
        <w:rPr>
          <w:rFonts w:ascii="Times New Roman" w:eastAsia="Times New Roman" w:hAnsi="Times New Roman" w:cs="Times New Roman"/>
          <w:sz w:val="24"/>
          <w:szCs w:val="24"/>
        </w:rPr>
      </w:pPr>
    </w:p>
    <w:p w:rsidR="00DC324E" w:rsidRPr="00DC324E" w:rsidP="00DC324E" w14:paraId="1DA61922" w14:textId="5AFD08CB">
      <w:pPr>
        <w:keepNext/>
        <w:rPr>
          <w:rFonts w:ascii="Times New Roman" w:hAnsi="Times New Roman" w:cs="Times New Roman"/>
          <w:sz w:val="24"/>
          <w:szCs w:val="24"/>
        </w:rPr>
      </w:pPr>
      <w:r w:rsidRPr="00DC324E">
        <w:rPr>
          <w:rFonts w:ascii="Times New Roman" w:hAnsi="Times New Roman" w:cs="Times New Roman"/>
          <w:sz w:val="24"/>
          <w:szCs w:val="24"/>
        </w:rPr>
        <w:t xml:space="preserve">Information collection requirements are designed to allow maximum flexibility specifically to small hospitals wishing to participate in hospital reporting.  This effort will assist small hospitals in gathering information for their own quality improvement efforts.  We define a “small hospital” as one with 1-99 inpatient beds.  The </w:t>
      </w:r>
      <w:r>
        <w:rPr>
          <w:rFonts w:ascii="Times New Roman" w:hAnsi="Times New Roman" w:cs="Times New Roman"/>
          <w:sz w:val="24"/>
          <w:szCs w:val="24"/>
        </w:rPr>
        <w:t>Medicare Promoting Interoperability</w:t>
      </w:r>
      <w:r w:rsidRPr="00DC324E">
        <w:rPr>
          <w:rFonts w:ascii="Times New Roman" w:hAnsi="Times New Roman" w:cs="Times New Roman"/>
          <w:sz w:val="24"/>
          <w:szCs w:val="24"/>
        </w:rPr>
        <w:t xml:space="preserve"> Program included approximately 9</w:t>
      </w:r>
      <w:r>
        <w:rPr>
          <w:rFonts w:ascii="Times New Roman" w:hAnsi="Times New Roman" w:cs="Times New Roman"/>
          <w:sz w:val="24"/>
          <w:szCs w:val="24"/>
        </w:rPr>
        <w:t>31</w:t>
      </w:r>
      <w:r w:rsidRPr="00DC324E">
        <w:rPr>
          <w:rFonts w:ascii="Times New Roman" w:hAnsi="Times New Roman" w:cs="Times New Roman"/>
          <w:sz w:val="24"/>
          <w:szCs w:val="24"/>
        </w:rPr>
        <w:t xml:space="preserve"> </w:t>
      </w:r>
      <w:r>
        <w:rPr>
          <w:rFonts w:ascii="Times New Roman" w:hAnsi="Times New Roman" w:cs="Times New Roman"/>
          <w:sz w:val="24"/>
          <w:szCs w:val="24"/>
        </w:rPr>
        <w:t>eligible</w:t>
      </w:r>
      <w:r w:rsidRPr="00DC324E">
        <w:rPr>
          <w:rFonts w:ascii="Times New Roman" w:hAnsi="Times New Roman" w:cs="Times New Roman"/>
          <w:sz w:val="24"/>
          <w:szCs w:val="24"/>
        </w:rPr>
        <w:t xml:space="preserve"> hospitals </w:t>
      </w:r>
      <w:r>
        <w:rPr>
          <w:rFonts w:ascii="Times New Roman" w:hAnsi="Times New Roman" w:cs="Times New Roman"/>
          <w:sz w:val="24"/>
          <w:szCs w:val="24"/>
        </w:rPr>
        <w:t>for the EHR reporting period in C</w:t>
      </w:r>
      <w:r w:rsidRPr="00DC324E">
        <w:rPr>
          <w:rStyle w:val="normaltextrun"/>
          <w:rFonts w:ascii="Times New Roman" w:hAnsi="Times New Roman" w:cs="Times New Roman"/>
          <w:color w:val="000000"/>
          <w:sz w:val="24"/>
          <w:szCs w:val="24"/>
          <w:shd w:val="clear" w:color="auto" w:fill="FFFFFF"/>
        </w:rPr>
        <w:t>Y 202</w:t>
      </w:r>
      <w:r>
        <w:rPr>
          <w:rStyle w:val="normaltextrun"/>
          <w:rFonts w:ascii="Times New Roman" w:hAnsi="Times New Roman" w:cs="Times New Roman"/>
          <w:color w:val="000000"/>
          <w:sz w:val="24"/>
          <w:szCs w:val="24"/>
          <w:shd w:val="clear" w:color="auto" w:fill="FFFFFF"/>
        </w:rPr>
        <w:t>2</w:t>
      </w:r>
      <w:r w:rsidRPr="00DC324E">
        <w:rPr>
          <w:rFonts w:ascii="Times New Roman" w:hAnsi="Times New Roman" w:cs="Times New Roman"/>
          <w:sz w:val="24"/>
          <w:szCs w:val="24"/>
        </w:rPr>
        <w:t>.  In addition, as defined under 42 CFR Part 485 subpart F, a CAH may have no more than 25 inpatient beds</w:t>
      </w:r>
      <w:r>
        <w:rPr>
          <w:rFonts w:ascii="Times New Roman" w:hAnsi="Times New Roman" w:cs="Times New Roman"/>
          <w:sz w:val="24"/>
          <w:szCs w:val="24"/>
        </w:rPr>
        <w:t xml:space="preserve"> and </w:t>
      </w:r>
      <w:r w:rsidRPr="00DC324E">
        <w:rPr>
          <w:rFonts w:ascii="Times New Roman" w:hAnsi="Times New Roman" w:cs="Times New Roman"/>
          <w:sz w:val="24"/>
          <w:szCs w:val="24"/>
        </w:rPr>
        <w:t>therefore,</w:t>
      </w:r>
      <w:r>
        <w:rPr>
          <w:rFonts w:ascii="Times New Roman" w:hAnsi="Times New Roman" w:cs="Times New Roman"/>
          <w:sz w:val="24"/>
          <w:szCs w:val="24"/>
        </w:rPr>
        <w:t xml:space="preserve"> we</w:t>
      </w:r>
      <w:r w:rsidRPr="00DC324E">
        <w:rPr>
          <w:rFonts w:ascii="Times New Roman" w:hAnsi="Times New Roman" w:cs="Times New Roman"/>
          <w:sz w:val="24"/>
          <w:szCs w:val="24"/>
        </w:rPr>
        <w:t xml:space="preserve"> assume all 1,</w:t>
      </w:r>
      <w:r w:rsidR="009F5F13">
        <w:rPr>
          <w:rFonts w:ascii="Times New Roman" w:hAnsi="Times New Roman" w:cs="Times New Roman"/>
          <w:sz w:val="24"/>
          <w:szCs w:val="24"/>
        </w:rPr>
        <w:t>4</w:t>
      </w:r>
      <w:r w:rsidRPr="00DC324E">
        <w:rPr>
          <w:rFonts w:ascii="Times New Roman" w:hAnsi="Times New Roman" w:cs="Times New Roman"/>
          <w:sz w:val="24"/>
          <w:szCs w:val="24"/>
        </w:rPr>
        <w:t>00 CAHs would qualify as small hospitals.  As a result, we estimate a total of 2,</w:t>
      </w:r>
      <w:r w:rsidR="009F5F13">
        <w:rPr>
          <w:rFonts w:ascii="Times New Roman" w:hAnsi="Times New Roman" w:cs="Times New Roman"/>
          <w:sz w:val="24"/>
          <w:szCs w:val="24"/>
        </w:rPr>
        <w:t>3</w:t>
      </w:r>
      <w:r w:rsidRPr="00DC324E">
        <w:rPr>
          <w:rFonts w:ascii="Times New Roman" w:hAnsi="Times New Roman" w:cs="Times New Roman"/>
          <w:sz w:val="24"/>
          <w:szCs w:val="24"/>
        </w:rPr>
        <w:t>31 small hospitals (</w:t>
      </w:r>
      <w:r>
        <w:rPr>
          <w:rFonts w:ascii="Times New Roman" w:hAnsi="Times New Roman" w:cs="Times New Roman"/>
          <w:sz w:val="24"/>
          <w:szCs w:val="24"/>
        </w:rPr>
        <w:t>931 eligible hospitals +</w:t>
      </w:r>
      <w:r w:rsidRPr="00DC324E">
        <w:rPr>
          <w:rFonts w:ascii="Times New Roman" w:hAnsi="Times New Roman" w:cs="Times New Roman"/>
          <w:sz w:val="24"/>
          <w:szCs w:val="24"/>
        </w:rPr>
        <w:t xml:space="preserve"> 1,</w:t>
      </w:r>
      <w:r w:rsidR="009F5F13">
        <w:rPr>
          <w:rFonts w:ascii="Times New Roman" w:hAnsi="Times New Roman" w:cs="Times New Roman"/>
          <w:sz w:val="24"/>
          <w:szCs w:val="24"/>
        </w:rPr>
        <w:t>4</w:t>
      </w:r>
      <w:r w:rsidRPr="00DC324E">
        <w:rPr>
          <w:rFonts w:ascii="Times New Roman" w:hAnsi="Times New Roman" w:cs="Times New Roman"/>
          <w:sz w:val="24"/>
          <w:szCs w:val="24"/>
        </w:rPr>
        <w:t xml:space="preserve">00 CAHs) will submit data for the </w:t>
      </w:r>
      <w:r>
        <w:rPr>
          <w:rFonts w:ascii="Times New Roman" w:hAnsi="Times New Roman" w:cs="Times New Roman"/>
          <w:sz w:val="24"/>
          <w:szCs w:val="24"/>
        </w:rPr>
        <w:t>Medicare Promoting Interoperability</w:t>
      </w:r>
      <w:r w:rsidRPr="00DC324E">
        <w:rPr>
          <w:rFonts w:ascii="Times New Roman" w:hAnsi="Times New Roman" w:cs="Times New Roman"/>
          <w:sz w:val="24"/>
          <w:szCs w:val="24"/>
        </w:rPr>
        <w:t xml:space="preserve"> Program for the </w:t>
      </w:r>
      <w:r>
        <w:rPr>
          <w:rFonts w:ascii="Times New Roman" w:hAnsi="Times New Roman" w:cs="Times New Roman"/>
          <w:sz w:val="24"/>
          <w:szCs w:val="24"/>
        </w:rPr>
        <w:t xml:space="preserve">EHR </w:t>
      </w:r>
      <w:r w:rsidRPr="00DC324E">
        <w:rPr>
          <w:rFonts w:ascii="Times New Roman" w:hAnsi="Times New Roman" w:cs="Times New Roman"/>
          <w:sz w:val="24"/>
          <w:szCs w:val="24"/>
        </w:rPr>
        <w:t>reporting period</w:t>
      </w:r>
      <w:r>
        <w:rPr>
          <w:rFonts w:ascii="Times New Roman" w:hAnsi="Times New Roman" w:cs="Times New Roman"/>
          <w:sz w:val="24"/>
          <w:szCs w:val="24"/>
        </w:rPr>
        <w:t xml:space="preserve"> in CY 2025</w:t>
      </w:r>
      <w:r w:rsidRPr="00DC324E">
        <w:rPr>
          <w:rFonts w:ascii="Times New Roman" w:hAnsi="Times New Roman" w:cs="Times New Roman"/>
          <w:sz w:val="24"/>
          <w:szCs w:val="24"/>
        </w:rPr>
        <w:t>.</w:t>
      </w:r>
    </w:p>
    <w:p w:rsidR="00CE16BF" w:rsidP="00467B82" w14:paraId="5F9D47E1" w14:textId="77777777">
      <w:pPr>
        <w:pStyle w:val="BodyText"/>
        <w:ind w:left="0" w:right="768"/>
      </w:pPr>
      <w:bookmarkStart w:id="1" w:name="_Hlk160633738"/>
      <w:bookmarkStart w:id="2" w:name="_Hlk160104569"/>
    </w:p>
    <w:bookmarkEnd w:id="1"/>
    <w:p w:rsidR="001C6181" w:rsidRPr="001C6181" w:rsidP="001C6181" w14:paraId="1164F6A7" w14:textId="6A2D005E">
      <w:pPr>
        <w:pStyle w:val="ListParagraph"/>
        <w:numPr>
          <w:ilvl w:val="1"/>
          <w:numId w:val="1"/>
        </w:numPr>
        <w:tabs>
          <w:tab w:val="left" w:pos="1161"/>
        </w:tabs>
        <w:ind w:left="720" w:right="157" w:hanging="720"/>
        <w:rPr>
          <w:rFonts w:ascii="Times New Roman" w:eastAsia="Times New Roman" w:hAnsi="Times New Roman" w:cs="Times New Roman"/>
          <w:sz w:val="24"/>
          <w:szCs w:val="24"/>
        </w:rPr>
      </w:pPr>
      <w:r w:rsidRPr="00C64579">
        <w:rPr>
          <w:rFonts w:ascii="Times New Roman"/>
          <w:b/>
          <w:bCs/>
          <w:sz w:val="24"/>
        </w:rPr>
        <w:t>Less Frequent Collection</w:t>
      </w:r>
    </w:p>
    <w:p w:rsidR="001C6181" w:rsidP="001C6181" w14:paraId="6EEC55F4" w14:textId="77777777">
      <w:pPr>
        <w:tabs>
          <w:tab w:val="left" w:pos="1161"/>
        </w:tabs>
        <w:ind w:right="157"/>
        <w:rPr>
          <w:rFonts w:ascii="Times New Roman" w:hAnsi="Times New Roman" w:cs="Times New Roman"/>
          <w:sz w:val="24"/>
          <w:szCs w:val="24"/>
        </w:rPr>
      </w:pPr>
    </w:p>
    <w:p w:rsidR="001C6181" w:rsidRPr="001C6181" w:rsidP="001C6181" w14:paraId="4796A815" w14:textId="68D282AF">
      <w:pPr>
        <w:tabs>
          <w:tab w:val="left" w:pos="1161"/>
        </w:tabs>
        <w:ind w:right="157"/>
        <w:rPr>
          <w:rFonts w:ascii="Times New Roman" w:eastAsia="Times New Roman" w:hAnsi="Times New Roman" w:cs="Times New Roman"/>
          <w:sz w:val="24"/>
          <w:szCs w:val="24"/>
        </w:rPr>
      </w:pPr>
      <w:r w:rsidRPr="001C6181">
        <w:rPr>
          <w:rFonts w:ascii="Times New Roman" w:hAnsi="Times New Roman" w:cs="Times New Roman"/>
          <w:sz w:val="24"/>
          <w:szCs w:val="24"/>
        </w:rPr>
        <w:t>The Health Services &amp; Resources Administration’s Medicare Rural Hospital Flexibility Program (Flex) and Medicare Beneficiary Quality Improvement Project, as well as CMS’ Quality Improvement Organizations, provide technical assistance to small hospitals to reduce burden and improve healthcare quality. We also provide a help-desk hotline for troubleshooting purposes and 24/7 free information available on the QualityNet website through a Questions and Answers function.</w:t>
      </w:r>
      <w:bookmarkEnd w:id="2"/>
    </w:p>
    <w:p w:rsidR="001C6181" w:rsidRPr="001C6181" w:rsidP="001C6181" w14:paraId="1559F7E8" w14:textId="77777777">
      <w:pPr>
        <w:pStyle w:val="ListParagraph"/>
        <w:tabs>
          <w:tab w:val="left" w:pos="1161"/>
        </w:tabs>
        <w:ind w:left="720" w:right="157"/>
        <w:rPr>
          <w:rFonts w:ascii="Times New Roman" w:eastAsia="Times New Roman" w:hAnsi="Times New Roman" w:cs="Times New Roman"/>
          <w:sz w:val="24"/>
          <w:szCs w:val="24"/>
        </w:rPr>
      </w:pPr>
    </w:p>
    <w:p w:rsidR="00CA6180" w:rsidP="00B66511" w14:paraId="65F9E45C" w14:textId="3E4EACF9">
      <w:pPr>
        <w:pStyle w:val="BodyText"/>
        <w:spacing w:before="69"/>
        <w:ind w:left="0" w:right="119"/>
      </w:pPr>
      <w:r>
        <w:t>CMS has</w:t>
      </w:r>
      <w:r w:rsidRPr="00792D0B">
        <w:t xml:space="preserve"> designed the collection of </w:t>
      </w:r>
      <w:r>
        <w:t>information under the Medicare Promoting Interoperability Program</w:t>
      </w:r>
      <w:r w:rsidRPr="00792D0B">
        <w:t xml:space="preserve"> to be the minimum necessary for </w:t>
      </w:r>
      <w:r>
        <w:t xml:space="preserve">eligible hospitals </w:t>
      </w:r>
      <w:r w:rsidR="00DF0B29">
        <w:t>and</w:t>
      </w:r>
      <w:r>
        <w:t xml:space="preserve"> CAHs to demonstrate the meaningful use of CEHRT. To implement the meaningful use provisions of the HITECH</w:t>
      </w:r>
      <w:r>
        <w:rPr>
          <w:spacing w:val="-9"/>
        </w:rPr>
        <w:t xml:space="preserve"> </w:t>
      </w:r>
      <w:r>
        <w:t>Act</w:t>
      </w:r>
      <w:r w:rsidR="00451AA4">
        <w:t xml:space="preserve"> </w:t>
      </w:r>
      <w:r>
        <w:t>under the Medicare Promoting Interoperability Program, eligible hospitals and CAHs are required to attest to the identification of the</w:t>
      </w:r>
      <w:r>
        <w:rPr>
          <w:spacing w:val="28"/>
        </w:rPr>
        <w:t xml:space="preserve"> </w:t>
      </w:r>
      <w:r>
        <w:t>CEHRT used, satisfaction of the applicable objectives and measures,</w:t>
      </w:r>
      <w:r>
        <w:rPr>
          <w:spacing w:val="-12"/>
        </w:rPr>
        <w:t xml:space="preserve"> </w:t>
      </w:r>
      <w:r>
        <w:t xml:space="preserve">and electronic reporting of </w:t>
      </w:r>
      <w:r w:rsidR="00677A39">
        <w:t xml:space="preserve">clinical </w:t>
      </w:r>
      <w:r>
        <w:t>quality measures annually. Less frequent information</w:t>
      </w:r>
      <w:r>
        <w:rPr>
          <w:spacing w:val="-5"/>
        </w:rPr>
        <w:t xml:space="preserve"> </w:t>
      </w:r>
      <w:r>
        <w:t>collection would impede efforts to establish compliance with the HITECH</w:t>
      </w:r>
      <w:r>
        <w:rPr>
          <w:spacing w:val="-11"/>
        </w:rPr>
        <w:t xml:space="preserve"> </w:t>
      </w:r>
      <w:r>
        <w:t>Act.</w:t>
      </w:r>
    </w:p>
    <w:p w:rsidR="009B1F1F" w14:paraId="140AC52B" w14:textId="77777777">
      <w:pPr>
        <w:rPr>
          <w:rFonts w:ascii="Times New Roman" w:eastAsia="Times New Roman" w:hAnsi="Times New Roman" w:cs="Times New Roman"/>
          <w:sz w:val="24"/>
          <w:szCs w:val="24"/>
        </w:rPr>
      </w:pPr>
    </w:p>
    <w:p w:rsidR="009B1F1F" w:rsidP="00C64579" w14:paraId="7C3ABC63" w14:textId="77777777">
      <w:pPr>
        <w:pStyle w:val="ListParagraph"/>
        <w:numPr>
          <w:ilvl w:val="1"/>
          <w:numId w:val="1"/>
        </w:numPr>
        <w:tabs>
          <w:tab w:val="left" w:pos="1161"/>
        </w:tabs>
        <w:ind w:left="720" w:right="157" w:hanging="720"/>
        <w:rPr>
          <w:rFonts w:ascii="Times New Roman" w:eastAsia="Times New Roman" w:hAnsi="Times New Roman" w:cs="Times New Roman"/>
          <w:sz w:val="24"/>
          <w:szCs w:val="24"/>
        </w:rPr>
      </w:pPr>
      <w:r w:rsidRPr="00C64579">
        <w:rPr>
          <w:rFonts w:ascii="Times New Roman"/>
          <w:b/>
          <w:bCs/>
          <w:sz w:val="24"/>
        </w:rPr>
        <w:t>Special Circumstances</w:t>
      </w:r>
    </w:p>
    <w:p w:rsidR="009B1F1F" w:rsidRPr="00467B82" w14:paraId="745A23E3" w14:textId="77777777">
      <w:pPr>
        <w:spacing w:before="11"/>
        <w:rPr>
          <w:rFonts w:ascii="Times New Roman" w:eastAsia="Times New Roman" w:hAnsi="Times New Roman" w:cs="Times New Roman"/>
          <w:sz w:val="24"/>
          <w:szCs w:val="24"/>
        </w:rPr>
      </w:pPr>
    </w:p>
    <w:p w:rsidR="00372D8F" w:rsidP="00467B82" w14:paraId="0BCEC355" w14:textId="5D777A7C">
      <w:pPr>
        <w:pStyle w:val="BodyText"/>
        <w:ind w:left="0" w:right="157"/>
      </w:pPr>
      <w:r w:rsidRPr="00372D8F">
        <w:t xml:space="preserve">There are no special circumstances.  </w:t>
      </w:r>
    </w:p>
    <w:p w:rsidR="00796DA5" w14:paraId="5C7D66C1" w14:textId="77777777">
      <w:pPr>
        <w:rPr>
          <w:rFonts w:ascii="Times New Roman" w:eastAsia="Times New Roman" w:hAnsi="Times New Roman" w:cs="Times New Roman"/>
          <w:sz w:val="24"/>
          <w:szCs w:val="24"/>
        </w:rPr>
      </w:pPr>
    </w:p>
    <w:p w:rsidR="009B1F1F" w:rsidRPr="00C64579" w:rsidP="00C64579" w14:paraId="51DBE4BC"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Federal Register Notice/Outside Consultation</w:t>
      </w:r>
    </w:p>
    <w:p w:rsidR="009B1F1F" w14:paraId="7BE2EC57" w14:textId="77777777">
      <w:pPr>
        <w:spacing w:before="11"/>
        <w:rPr>
          <w:rFonts w:ascii="Times New Roman" w:eastAsia="Times New Roman" w:hAnsi="Times New Roman" w:cs="Times New Roman"/>
          <w:sz w:val="17"/>
          <w:szCs w:val="17"/>
        </w:rPr>
      </w:pPr>
    </w:p>
    <w:p w:rsidR="00451AA4" w:rsidRPr="00767AD4" w:rsidP="00767AD4" w14:paraId="4F4295FE" w14:textId="7BB01401">
      <w:pPr>
        <w:rPr>
          <w:rFonts w:ascii="Times New Roman" w:eastAsia="Times New Roman" w:hAnsi="Times New Roman"/>
          <w:sz w:val="24"/>
          <w:szCs w:val="24"/>
        </w:rPr>
      </w:pPr>
      <w:r w:rsidRPr="00767AD4">
        <w:rPr>
          <w:rFonts w:ascii="Times New Roman" w:eastAsia="Times New Roman" w:hAnsi="Times New Roman"/>
          <w:sz w:val="24"/>
          <w:szCs w:val="24"/>
        </w:rPr>
        <w:t>The 60-day Federal Register notice for the FY 2025 IPPS/LTCH PPS proposed rule (RIN 0938-AV34, CMS-1808-P) was published on May 2, 2024 (89 FR 35934).</w:t>
      </w:r>
      <w:r w:rsidRPr="00767AD4" w:rsidR="00767AD4">
        <w:rPr>
          <w:rFonts w:ascii="Times New Roman" w:eastAsia="Times New Roman" w:hAnsi="Times New Roman"/>
          <w:sz w:val="24"/>
          <w:szCs w:val="24"/>
        </w:rPr>
        <w:t xml:space="preserve">  No comments were received regarding the burden estimates included in this PRA package.  The FY 2025 IPPS/LTCH PPS final rule (RIN 0938-AV34, CMS-1808-F) was published on August </w:t>
      </w:r>
      <w:r w:rsidR="002B3A6A">
        <w:rPr>
          <w:rFonts w:ascii="Times New Roman" w:eastAsia="Times New Roman" w:hAnsi="Times New Roman"/>
          <w:sz w:val="24"/>
          <w:szCs w:val="24"/>
        </w:rPr>
        <w:t>28</w:t>
      </w:r>
      <w:r w:rsidRPr="00767AD4" w:rsidR="00767AD4">
        <w:rPr>
          <w:rFonts w:ascii="Times New Roman" w:eastAsia="Times New Roman" w:hAnsi="Times New Roman"/>
          <w:sz w:val="24"/>
          <w:szCs w:val="24"/>
        </w:rPr>
        <w:t>, 2024 (89 FR</w:t>
      </w:r>
      <w:r w:rsidR="00DB4FD3">
        <w:rPr>
          <w:rFonts w:ascii="Times New Roman" w:eastAsia="Times New Roman" w:hAnsi="Times New Roman"/>
          <w:sz w:val="24"/>
          <w:szCs w:val="24"/>
        </w:rPr>
        <w:t xml:space="preserve"> </w:t>
      </w:r>
      <w:r w:rsidR="002B3A6A">
        <w:rPr>
          <w:rFonts w:ascii="Times New Roman" w:eastAsia="Times New Roman" w:hAnsi="Times New Roman"/>
          <w:sz w:val="24"/>
          <w:szCs w:val="24"/>
        </w:rPr>
        <w:t>6</w:t>
      </w:r>
      <w:r w:rsidR="000057ED">
        <w:rPr>
          <w:rFonts w:ascii="Times New Roman" w:eastAsia="Times New Roman" w:hAnsi="Times New Roman"/>
          <w:sz w:val="24"/>
          <w:szCs w:val="24"/>
        </w:rPr>
        <w:t>8986</w:t>
      </w:r>
      <w:r w:rsidRPr="00767AD4" w:rsidR="00767AD4">
        <w:rPr>
          <w:rFonts w:ascii="Times New Roman" w:eastAsia="Times New Roman" w:hAnsi="Times New Roman"/>
          <w:sz w:val="24"/>
          <w:szCs w:val="24"/>
        </w:rPr>
        <w:t>).</w:t>
      </w:r>
    </w:p>
    <w:p w:rsidR="008D16DD" w:rsidRPr="00C64579" w:rsidP="00C64579" w14:paraId="6F8DFFBD" w14:textId="488119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B1F1F" w:rsidRPr="00C64579" w:rsidP="00C64579" w14:paraId="0C52D76E" w14:textId="7E1D1771">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 xml:space="preserve">Payment/Gift </w:t>
      </w:r>
      <w:r w:rsidRPr="00C64579" w:rsidR="00350E48">
        <w:rPr>
          <w:rFonts w:ascii="Times New Roman"/>
          <w:b/>
          <w:bCs/>
          <w:sz w:val="24"/>
        </w:rPr>
        <w:t>to</w:t>
      </w:r>
      <w:r w:rsidRPr="00C64579">
        <w:rPr>
          <w:rFonts w:ascii="Times New Roman"/>
          <w:b/>
          <w:bCs/>
          <w:sz w:val="24"/>
        </w:rPr>
        <w:t xml:space="preserve"> Respondent</w:t>
      </w:r>
    </w:p>
    <w:p w:rsidR="009B1F1F" w:rsidRPr="00467B82" w14:paraId="611F52D4" w14:textId="77777777">
      <w:pPr>
        <w:spacing w:before="11"/>
        <w:rPr>
          <w:rFonts w:ascii="Times New Roman" w:eastAsia="Times New Roman" w:hAnsi="Times New Roman" w:cs="Times New Roman"/>
          <w:sz w:val="24"/>
          <w:szCs w:val="24"/>
        </w:rPr>
      </w:pPr>
    </w:p>
    <w:p w:rsidR="005C0C54" w:rsidRPr="005C0C54" w:rsidP="005C0C54" w14:paraId="148BAA72" w14:textId="0F34E0A9">
      <w:pPr>
        <w:rPr>
          <w:rFonts w:ascii="Times New Roman" w:eastAsia="Times New Roman" w:hAnsi="Times New Roman"/>
          <w:sz w:val="24"/>
          <w:szCs w:val="24"/>
        </w:rPr>
      </w:pPr>
      <w:r>
        <w:rPr>
          <w:rFonts w:ascii="Times New Roman" w:eastAsia="Times New Roman" w:hAnsi="Times New Roman"/>
          <w:sz w:val="24"/>
          <w:szCs w:val="24"/>
        </w:rPr>
        <w:t>N</w:t>
      </w:r>
      <w:r w:rsidRPr="005C0C54">
        <w:rPr>
          <w:rFonts w:ascii="Times New Roman" w:eastAsia="Times New Roman" w:hAnsi="Times New Roman"/>
          <w:sz w:val="24"/>
          <w:szCs w:val="24"/>
        </w:rPr>
        <w:t>o gifts will be given to respondents for participation</w:t>
      </w:r>
      <w:r>
        <w:rPr>
          <w:rFonts w:ascii="Times New Roman" w:eastAsia="Times New Roman" w:hAnsi="Times New Roman"/>
          <w:sz w:val="24"/>
          <w:szCs w:val="24"/>
        </w:rPr>
        <w:t>. T</w:t>
      </w:r>
      <w:r w:rsidRPr="005C0C54">
        <w:rPr>
          <w:rFonts w:ascii="Times New Roman" w:eastAsia="Times New Roman" w:hAnsi="Times New Roman"/>
          <w:sz w:val="24"/>
          <w:szCs w:val="24"/>
        </w:rPr>
        <w:t xml:space="preserve">he program </w:t>
      </w:r>
      <w:r w:rsidR="00677A39">
        <w:rPr>
          <w:rFonts w:ascii="Times New Roman" w:eastAsia="Times New Roman" w:hAnsi="Times New Roman"/>
          <w:sz w:val="24"/>
          <w:szCs w:val="24"/>
        </w:rPr>
        <w:t>had previously</w:t>
      </w:r>
      <w:r w:rsidRPr="005C0C54">
        <w:rPr>
          <w:rFonts w:ascii="Times New Roman" w:eastAsia="Times New Roman" w:hAnsi="Times New Roman"/>
          <w:sz w:val="24"/>
          <w:szCs w:val="24"/>
        </w:rPr>
        <w:t xml:space="preserve"> utilized incentive payments to Medicare and Medicaid providers who successfully demonstrated meaningful use</w:t>
      </w:r>
      <w:r>
        <w:rPr>
          <w:rFonts w:ascii="Times New Roman" w:eastAsia="Times New Roman" w:hAnsi="Times New Roman"/>
          <w:sz w:val="24"/>
          <w:szCs w:val="24"/>
        </w:rPr>
        <w:t>, h</w:t>
      </w:r>
      <w:r w:rsidRPr="005C0C54">
        <w:rPr>
          <w:rFonts w:ascii="Times New Roman" w:eastAsia="Times New Roman" w:hAnsi="Times New Roman"/>
          <w:sz w:val="24"/>
          <w:szCs w:val="24"/>
        </w:rPr>
        <w:t xml:space="preserve">owever, these positive incentive adjustments </w:t>
      </w:r>
      <w:r>
        <w:rPr>
          <w:rFonts w:ascii="Times New Roman" w:eastAsia="Times New Roman" w:hAnsi="Times New Roman"/>
          <w:sz w:val="24"/>
          <w:szCs w:val="24"/>
        </w:rPr>
        <w:t>ended in</w:t>
      </w:r>
      <w:r w:rsidRPr="005C0C54">
        <w:rPr>
          <w:rFonts w:ascii="Times New Roman" w:eastAsia="Times New Roman" w:hAnsi="Times New Roman"/>
          <w:sz w:val="24"/>
          <w:szCs w:val="24"/>
        </w:rPr>
        <w:t xml:space="preserve"> CY 2021</w:t>
      </w:r>
      <w:r>
        <w:rPr>
          <w:rFonts w:ascii="Times New Roman" w:eastAsia="Times New Roman" w:hAnsi="Times New Roman"/>
          <w:sz w:val="24"/>
          <w:szCs w:val="24"/>
        </w:rPr>
        <w:t xml:space="preserve">. </w:t>
      </w:r>
    </w:p>
    <w:p w:rsidR="005C0C54" w:rsidRPr="005C0C54" w:rsidP="005C0C54" w14:paraId="4D168725" w14:textId="77777777">
      <w:pPr>
        <w:rPr>
          <w:rFonts w:ascii="Times New Roman" w:eastAsia="Times New Roman" w:hAnsi="Times New Roman"/>
          <w:sz w:val="24"/>
          <w:szCs w:val="24"/>
        </w:rPr>
      </w:pPr>
    </w:p>
    <w:p w:rsidR="009B1F1F" w:rsidRPr="00C64579" w:rsidP="00C64579" w14:paraId="39A44680"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Confidentiality</w:t>
      </w:r>
    </w:p>
    <w:p w:rsidR="009B1F1F" w:rsidRPr="00467B82" w14:paraId="6E315D76" w14:textId="77777777">
      <w:pPr>
        <w:spacing w:before="11"/>
        <w:rPr>
          <w:rFonts w:ascii="Times New Roman" w:eastAsia="Times New Roman" w:hAnsi="Times New Roman" w:cs="Times New Roman"/>
          <w:sz w:val="24"/>
          <w:szCs w:val="24"/>
        </w:rPr>
      </w:pPr>
    </w:p>
    <w:p w:rsidR="000E4E0F" w:rsidP="00467B82" w14:paraId="1AFCD53E" w14:textId="77777777">
      <w:pPr>
        <w:pStyle w:val="BodyText"/>
        <w:ind w:left="0" w:right="157"/>
      </w:pPr>
      <w:bookmarkStart w:id="3" w:name="_Hlk160109323"/>
      <w:r>
        <w:t>We pledge privacy to the extent provided by law. As a matter of policy, CMS will prevent the disclosure of</w:t>
      </w:r>
      <w:r>
        <w:rPr>
          <w:spacing w:val="-8"/>
        </w:rPr>
        <w:t xml:space="preserve"> </w:t>
      </w:r>
      <w:r>
        <w:t xml:space="preserve">personally identifiable information contained in the data submitted. </w:t>
      </w:r>
      <w:bookmarkEnd w:id="3"/>
      <w:r w:rsidRPr="000E4E0F">
        <w:t xml:space="preserve">All information collected under the </w:t>
      </w:r>
      <w:r>
        <w:t>Medicare Promoting Interoperability</w:t>
      </w:r>
      <w:r w:rsidRPr="000E4E0F">
        <w:t xml:space="preserve">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4" w:name="_Hlk159925180"/>
      <w:r w:rsidRPr="000E4E0F">
        <w:t xml:space="preserve">In addition, the tools used for transmission of data are considered confidential forms of communication, and there are safeguards in place in accordance with HIPAA Privacy and Security Rules to protect the submission of patient information, at 45 CFR Part 160 and 164, Subparts A, C and E.  </w:t>
      </w:r>
      <w:bookmarkEnd w:id="4"/>
      <w:r w:rsidRPr="000E4E0F">
        <w:t>Only hospital-specific data will be made publicly available as mandated by statute.</w:t>
      </w:r>
      <w:r>
        <w:t xml:space="preserve">  </w:t>
      </w:r>
      <w:bookmarkStart w:id="5" w:name="_Hlk160109358"/>
      <w:r>
        <w:t>The data</w:t>
      </w:r>
      <w:r>
        <w:rPr>
          <w:spacing w:val="-10"/>
        </w:rPr>
        <w:t xml:space="preserve"> </w:t>
      </w:r>
      <w:r>
        <w:t>collected will be for CMS internal use only and will not be</w:t>
      </w:r>
      <w:r>
        <w:rPr>
          <w:spacing w:val="-9"/>
        </w:rPr>
        <w:t xml:space="preserve"> </w:t>
      </w:r>
      <w:r>
        <w:t xml:space="preserve">published, except as finalized for public display under section </w:t>
      </w:r>
      <w:r w:rsidRPr="00A75528">
        <w:rPr>
          <w:rFonts w:cs="Times New Roman"/>
        </w:rPr>
        <w:t>1886(</w:t>
      </w:r>
      <w:r>
        <w:rPr>
          <w:rFonts w:cs="Times New Roman"/>
        </w:rPr>
        <w:t>n</w:t>
      </w:r>
      <w:r w:rsidRPr="00C02D4C">
        <w:rPr>
          <w:rFonts w:cs="Times New Roman"/>
        </w:rPr>
        <w:t>)(4)(B)</w:t>
      </w:r>
      <w:r>
        <w:rPr>
          <w:rFonts w:cs="Times New Roman"/>
        </w:rPr>
        <w:t xml:space="preserve"> of the Act, which </w:t>
      </w:r>
      <w:r w:rsidRPr="00C02D4C">
        <w:rPr>
          <w:rFonts w:cs="Times New Roman"/>
        </w:rPr>
        <w:t>requires the Secretary to post on the CMS website, in an easily understandable format, a list of the names of the eligible</w:t>
      </w:r>
      <w:r>
        <w:rPr>
          <w:rFonts w:cs="Times New Roman"/>
        </w:rPr>
        <w:t xml:space="preserve"> hospitals and CAHs that are meaningful EHR users, and other relevant data as determined appropriate by the Secretary</w:t>
      </w:r>
      <w:r>
        <w:t>.</w:t>
      </w:r>
      <w:bookmarkEnd w:id="5"/>
    </w:p>
    <w:p w:rsidR="000E4E0F" w:rsidRPr="000E4E0F" w:rsidP="000E4E0F" w14:paraId="1C09D9BD" w14:textId="77777777">
      <w:pPr>
        <w:rPr>
          <w:rFonts w:ascii="Times New Roman" w:eastAsia="Times New Roman" w:hAnsi="Times New Roman"/>
          <w:sz w:val="24"/>
          <w:szCs w:val="24"/>
        </w:rPr>
      </w:pPr>
    </w:p>
    <w:p w:rsidR="000E4E0F" w:rsidRPr="000E4E0F" w:rsidP="000E4E0F" w14:paraId="40F2EDB8" w14:textId="640CD010">
      <w:pPr>
        <w:rPr>
          <w:rFonts w:ascii="Times New Roman" w:eastAsia="Times New Roman" w:hAnsi="Times New Roman"/>
          <w:sz w:val="24"/>
          <w:szCs w:val="24"/>
        </w:rPr>
      </w:pPr>
      <w:r w:rsidRPr="000E4E0F">
        <w:rPr>
          <w:rFonts w:ascii="Times New Roman" w:eastAsia="Times New Roman" w:hAnsi="Times New Roman"/>
          <w:sz w:val="24"/>
          <w:szCs w:val="24"/>
        </w:rPr>
        <w:t xml:space="preserve">Data related to the </w:t>
      </w:r>
      <w:r>
        <w:rPr>
          <w:rFonts w:ascii="Times New Roman" w:eastAsia="Times New Roman" w:hAnsi="Times New Roman"/>
          <w:sz w:val="24"/>
          <w:szCs w:val="24"/>
        </w:rPr>
        <w:t>Medicare Promoting Interoperability</w:t>
      </w:r>
      <w:r w:rsidRPr="000E4E0F">
        <w:rPr>
          <w:rFonts w:ascii="Times New Roman" w:eastAsia="Times New Roman" w:hAnsi="Times New Roman"/>
          <w:sz w:val="24"/>
          <w:szCs w:val="24"/>
        </w:rPr>
        <w:t xml:space="preserve">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w:t>
      </w:r>
      <w:r>
        <w:rPr>
          <w:rFonts w:ascii="Times New Roman" w:eastAsia="Times New Roman" w:hAnsi="Times New Roman"/>
          <w:sz w:val="24"/>
          <w:szCs w:val="24"/>
        </w:rPr>
        <w:t>Medicare Promoting Interoperability</w:t>
      </w:r>
      <w:r w:rsidRPr="000E4E0F">
        <w:rPr>
          <w:rFonts w:ascii="Times New Roman" w:eastAsia="Times New Roman" w:hAnsi="Times New Roman"/>
          <w:sz w:val="24"/>
          <w:szCs w:val="24"/>
        </w:rPr>
        <w:t xml:space="preserve"> Program is MBD 09-70-0536</w:t>
      </w:r>
      <w:r w:rsidRPr="000C2825" w:rsidR="000C2825">
        <w:rPr>
          <w:rFonts w:ascii="Times New Roman" w:eastAsia="Times New Roman" w:hAnsi="Times New Roman"/>
          <w:sz w:val="24"/>
          <w:szCs w:val="24"/>
        </w:rPr>
        <w:t>, as modified on February 14, 2018 (83 FR 6591)</w:t>
      </w:r>
      <w:r w:rsidRPr="000E4E0F">
        <w:rPr>
          <w:rFonts w:ascii="Times New Roman" w:eastAsia="Times New Roman" w:hAnsi="Times New Roman"/>
          <w:sz w:val="24"/>
          <w:szCs w:val="24"/>
        </w:rPr>
        <w:t>.</w:t>
      </w:r>
    </w:p>
    <w:p w:rsidR="000E4E0F" w:rsidP="000E4E0F" w14:paraId="04AE8680" w14:textId="77777777">
      <w:pPr>
        <w:rPr>
          <w:color w:val="000000"/>
        </w:rPr>
      </w:pPr>
    </w:p>
    <w:p w:rsidR="009B1F1F" w:rsidRPr="00C64579" w:rsidP="00C64579" w14:paraId="5FAB51DE"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Sensitive Questions</w:t>
      </w:r>
    </w:p>
    <w:p w:rsidR="009B1F1F" w:rsidRPr="00467B82" w14:paraId="4A70AD0E" w14:textId="77777777">
      <w:pPr>
        <w:spacing w:before="11"/>
        <w:rPr>
          <w:rFonts w:ascii="Times New Roman" w:eastAsia="Times New Roman" w:hAnsi="Times New Roman" w:cs="Times New Roman"/>
          <w:sz w:val="24"/>
          <w:szCs w:val="24"/>
        </w:rPr>
      </w:pPr>
    </w:p>
    <w:p w:rsidR="009B1F1F" w:rsidP="00467B82" w14:paraId="5FABD224" w14:textId="1362EAD8">
      <w:pPr>
        <w:pStyle w:val="BodyText"/>
        <w:ind w:left="0" w:right="157"/>
      </w:pPr>
      <w:r>
        <w:t>There are no questions of a sensitive nature associated with these</w:t>
      </w:r>
      <w:r>
        <w:rPr>
          <w:spacing w:val="-14"/>
        </w:rPr>
        <w:t xml:space="preserve"> </w:t>
      </w:r>
      <w:r>
        <w:t>forms.</w:t>
      </w:r>
    </w:p>
    <w:p w:rsidR="00807F7D" w:rsidP="00467B82" w14:paraId="54D81FC8" w14:textId="77777777">
      <w:pPr>
        <w:pStyle w:val="BodyText"/>
        <w:ind w:left="0" w:right="157"/>
      </w:pPr>
    </w:p>
    <w:p w:rsidR="009B1F1F" w:rsidRPr="00C64579" w:rsidP="00C64579" w14:paraId="50ECF7E1" w14:textId="77777777">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Burden Estimate (Total Hours and Wages)</w:t>
      </w:r>
    </w:p>
    <w:p w:rsidR="009B1F1F" w:rsidRPr="00467B82" w14:paraId="2DEE600F" w14:textId="77777777">
      <w:pPr>
        <w:spacing w:before="11"/>
        <w:rPr>
          <w:rFonts w:ascii="Times New Roman" w:eastAsia="Times New Roman" w:hAnsi="Times New Roman" w:cs="Times New Roman"/>
          <w:sz w:val="24"/>
          <w:szCs w:val="24"/>
        </w:rPr>
      </w:pPr>
    </w:p>
    <w:p w:rsidR="00541973" w:rsidP="000547F5" w14:paraId="748A830F" w14:textId="50DA0E7C">
      <w:pPr>
        <w:pStyle w:val="ListParagraph"/>
        <w:widowControl/>
        <w:numPr>
          <w:ilvl w:val="0"/>
          <w:numId w:val="9"/>
        </w:numPr>
        <w:contextualSpacing/>
        <w:rPr>
          <w:rFonts w:ascii="Times New Roman" w:hAnsi="Times New Roman" w:cs="Times New Roman"/>
          <w:b/>
          <w:sz w:val="24"/>
          <w:szCs w:val="24"/>
        </w:rPr>
      </w:pPr>
      <w:r w:rsidRPr="000547F5">
        <w:rPr>
          <w:rFonts w:ascii="Times New Roman" w:hAnsi="Times New Roman" w:cs="Times New Roman"/>
          <w:b/>
          <w:sz w:val="24"/>
          <w:szCs w:val="24"/>
        </w:rPr>
        <w:t>Background</w:t>
      </w:r>
    </w:p>
    <w:p w:rsidR="000547F5" w:rsidRPr="000547F5" w:rsidP="000547F5" w14:paraId="53EC8E39" w14:textId="77777777">
      <w:pPr>
        <w:pStyle w:val="ListParagraph"/>
        <w:widowControl/>
        <w:ind w:left="1440"/>
        <w:contextualSpacing/>
        <w:rPr>
          <w:rFonts w:ascii="Times New Roman" w:hAnsi="Times New Roman" w:cs="Times New Roman"/>
          <w:b/>
          <w:sz w:val="24"/>
          <w:szCs w:val="24"/>
        </w:rPr>
      </w:pPr>
    </w:p>
    <w:p w:rsidR="00556A9B" w:rsidP="00556A9B" w14:paraId="1270B8EE" w14:textId="6448D9BE">
      <w:pPr>
        <w:rPr>
          <w:rFonts w:ascii="Times New Roman" w:hAnsi="Times New Roman" w:cs="Times New Roman"/>
          <w:sz w:val="24"/>
          <w:szCs w:val="24"/>
        </w:rPr>
      </w:pPr>
      <w:r w:rsidRPr="00556A9B">
        <w:rPr>
          <w:rFonts w:ascii="Times New Roman" w:eastAsia="Times New Roman" w:hAnsi="Times New Roman"/>
          <w:bCs/>
          <w:color w:val="000000"/>
          <w:sz w:val="24"/>
          <w:szCs w:val="24"/>
        </w:rPr>
        <w:t xml:space="preserve">In the FY 2025 IPPS/LTCH PPS </w:t>
      </w:r>
      <w:r w:rsidR="00767AD4">
        <w:rPr>
          <w:rFonts w:ascii="Times New Roman" w:eastAsia="Times New Roman" w:hAnsi="Times New Roman"/>
          <w:bCs/>
          <w:color w:val="000000"/>
          <w:sz w:val="24"/>
          <w:szCs w:val="24"/>
        </w:rPr>
        <w:t>final</w:t>
      </w:r>
      <w:r w:rsidRPr="00556A9B">
        <w:rPr>
          <w:rFonts w:ascii="Times New Roman" w:eastAsia="Times New Roman" w:hAnsi="Times New Roman"/>
          <w:bCs/>
          <w:color w:val="000000"/>
          <w:sz w:val="24"/>
          <w:szCs w:val="24"/>
        </w:rPr>
        <w:t xml:space="preserve"> rule, we are </w:t>
      </w:r>
      <w:r w:rsidR="00E72613">
        <w:rPr>
          <w:rFonts w:ascii="Times New Roman" w:eastAsia="Times New Roman" w:hAnsi="Times New Roman"/>
          <w:bCs/>
          <w:color w:val="000000"/>
          <w:sz w:val="24"/>
          <w:szCs w:val="24"/>
        </w:rPr>
        <w:t xml:space="preserve">finalizing </w:t>
      </w:r>
      <w:r w:rsidRPr="00556A9B">
        <w:rPr>
          <w:rFonts w:ascii="Times New Roman" w:eastAsia="Times New Roman" w:hAnsi="Times New Roman"/>
          <w:bCs/>
          <w:color w:val="000000"/>
          <w:sz w:val="24"/>
          <w:szCs w:val="24"/>
        </w:rPr>
        <w:t>two p</w:t>
      </w:r>
      <w:r w:rsidR="00E72613">
        <w:rPr>
          <w:rFonts w:ascii="Times New Roman" w:eastAsia="Times New Roman" w:hAnsi="Times New Roman"/>
          <w:bCs/>
          <w:color w:val="000000"/>
          <w:sz w:val="24"/>
          <w:szCs w:val="24"/>
        </w:rPr>
        <w:t>olicies</w:t>
      </w:r>
      <w:r w:rsidRPr="00556A9B">
        <w:rPr>
          <w:rFonts w:ascii="Times New Roman" w:eastAsia="Times New Roman" w:hAnsi="Times New Roman"/>
          <w:bCs/>
          <w:color w:val="000000"/>
          <w:sz w:val="24"/>
          <w:szCs w:val="24"/>
        </w:rPr>
        <w:t xml:space="preserve"> which w</w:t>
      </w:r>
      <w:r w:rsidR="00E72613">
        <w:rPr>
          <w:rFonts w:ascii="Times New Roman" w:eastAsia="Times New Roman" w:hAnsi="Times New Roman"/>
          <w:bCs/>
          <w:color w:val="000000"/>
          <w:sz w:val="24"/>
          <w:szCs w:val="24"/>
        </w:rPr>
        <w:t>ill</w:t>
      </w:r>
      <w:r w:rsidRPr="00556A9B">
        <w:rPr>
          <w:rFonts w:ascii="Times New Roman" w:eastAsia="Times New Roman" w:hAnsi="Times New Roman"/>
          <w:bCs/>
          <w:color w:val="000000"/>
          <w:sz w:val="24"/>
          <w:szCs w:val="24"/>
        </w:rPr>
        <w:t xml:space="preserve"> affect information collection burden.  </w:t>
      </w:r>
      <w:r>
        <w:rPr>
          <w:rFonts w:ascii="Times New Roman" w:hAnsi="Times New Roman" w:cs="Times New Roman"/>
          <w:sz w:val="24"/>
          <w:szCs w:val="24"/>
        </w:rPr>
        <w:t xml:space="preserve">We are </w:t>
      </w:r>
      <w:r w:rsidRPr="00556A9B">
        <w:rPr>
          <w:rFonts w:ascii="Times New Roman" w:hAnsi="Times New Roman" w:cs="Times New Roman"/>
          <w:sz w:val="24"/>
          <w:szCs w:val="24"/>
        </w:rPr>
        <w:t>separat</w:t>
      </w:r>
      <w:r w:rsidR="00E72613">
        <w:rPr>
          <w:rFonts w:ascii="Times New Roman" w:hAnsi="Times New Roman" w:cs="Times New Roman"/>
          <w:sz w:val="24"/>
          <w:szCs w:val="24"/>
        </w:rPr>
        <w:t>ing</w:t>
      </w:r>
      <w:r w:rsidRPr="00556A9B">
        <w:rPr>
          <w:rFonts w:ascii="Times New Roman" w:hAnsi="Times New Roman" w:cs="Times New Roman"/>
          <w:sz w:val="24"/>
          <w:szCs w:val="24"/>
        </w:rPr>
        <w:t xml:space="preserve"> the previously finalized AUR Surveillance measure into two separate measures, beginning with the EHR reporting period</w:t>
      </w:r>
      <w:r w:rsidR="000659E9">
        <w:rPr>
          <w:rFonts w:ascii="Times New Roman" w:hAnsi="Times New Roman" w:cs="Times New Roman"/>
          <w:sz w:val="24"/>
          <w:szCs w:val="24"/>
        </w:rPr>
        <w:t xml:space="preserve"> in CY 2025</w:t>
      </w:r>
      <w:r w:rsidRPr="00556A9B">
        <w:rPr>
          <w:rFonts w:ascii="Times New Roman" w:hAnsi="Times New Roman" w:cs="Times New Roman"/>
          <w:sz w:val="24"/>
          <w:szCs w:val="24"/>
        </w:rPr>
        <w:t>:  (</w:t>
      </w:r>
      <w:r w:rsidRPr="00556A9B">
        <w:rPr>
          <w:rFonts w:ascii="Times New Roman" w:hAnsi="Times New Roman" w:cs="Times New Roman"/>
          <w:sz w:val="24"/>
          <w:szCs w:val="24"/>
        </w:rPr>
        <w:t>1) the AU Surveillance measure</w:t>
      </w:r>
      <w:r w:rsidR="009B54EA">
        <w:rPr>
          <w:rFonts w:ascii="Times New Roman" w:hAnsi="Times New Roman" w:cs="Times New Roman"/>
          <w:sz w:val="24"/>
          <w:szCs w:val="24"/>
        </w:rPr>
        <w:t>,</w:t>
      </w:r>
      <w:r w:rsidRPr="00556A9B">
        <w:rPr>
          <w:rFonts w:ascii="Times New Roman" w:hAnsi="Times New Roman" w:cs="Times New Roman"/>
          <w:sz w:val="24"/>
          <w:szCs w:val="24"/>
        </w:rPr>
        <w:t xml:space="preserve"> and (2) the AR Surveillance </w:t>
      </w:r>
      <w:r w:rsidR="00F82361">
        <w:rPr>
          <w:rFonts w:ascii="Times New Roman" w:hAnsi="Times New Roman" w:cs="Times New Roman"/>
          <w:sz w:val="24"/>
          <w:szCs w:val="24"/>
        </w:rPr>
        <w:t>m</w:t>
      </w:r>
      <w:r w:rsidRPr="00556A9B" w:rsidR="00F82361">
        <w:rPr>
          <w:rFonts w:ascii="Times New Roman" w:hAnsi="Times New Roman" w:cs="Times New Roman"/>
          <w:sz w:val="24"/>
          <w:szCs w:val="24"/>
        </w:rPr>
        <w:t>easure</w:t>
      </w:r>
      <w:r w:rsidRPr="00556A9B">
        <w:rPr>
          <w:rFonts w:ascii="Times New Roman" w:hAnsi="Times New Roman" w:cs="Times New Roman"/>
          <w:sz w:val="24"/>
          <w:szCs w:val="24"/>
        </w:rPr>
        <w:t>.</w:t>
      </w:r>
      <w:r>
        <w:rPr>
          <w:rFonts w:ascii="Times New Roman" w:hAnsi="Times New Roman" w:cs="Times New Roman"/>
          <w:sz w:val="24"/>
          <w:szCs w:val="24"/>
        </w:rPr>
        <w:t xml:space="preserve"> </w:t>
      </w:r>
      <w:r w:rsidRPr="00556A9B">
        <w:rPr>
          <w:rFonts w:ascii="Times New Roman" w:hAnsi="Times New Roman" w:cs="Times New Roman"/>
          <w:sz w:val="24"/>
          <w:szCs w:val="24"/>
        </w:rPr>
        <w:t xml:space="preserve"> </w:t>
      </w:r>
      <w:r>
        <w:rPr>
          <w:rFonts w:ascii="Times New Roman" w:hAnsi="Times New Roman" w:cs="Times New Roman"/>
          <w:sz w:val="24"/>
          <w:szCs w:val="24"/>
        </w:rPr>
        <w:t>W</w:t>
      </w:r>
      <w:r w:rsidRPr="00556A9B">
        <w:rPr>
          <w:rFonts w:ascii="Times New Roman" w:hAnsi="Times New Roman" w:cs="Times New Roman"/>
          <w:sz w:val="24"/>
          <w:szCs w:val="24"/>
        </w:rPr>
        <w:t xml:space="preserve">e are </w:t>
      </w:r>
      <w:r>
        <w:rPr>
          <w:rFonts w:ascii="Times New Roman" w:hAnsi="Times New Roman" w:cs="Times New Roman"/>
          <w:sz w:val="24"/>
          <w:szCs w:val="24"/>
        </w:rPr>
        <w:t xml:space="preserve">also </w:t>
      </w:r>
      <w:r w:rsidRPr="00556A9B">
        <w:rPr>
          <w:rFonts w:ascii="Times New Roman" w:hAnsi="Times New Roman" w:cs="Times New Roman"/>
          <w:sz w:val="24"/>
          <w:szCs w:val="24"/>
        </w:rPr>
        <w:t>increas</w:t>
      </w:r>
      <w:r w:rsidR="00E72613">
        <w:rPr>
          <w:rFonts w:ascii="Times New Roman" w:hAnsi="Times New Roman" w:cs="Times New Roman"/>
          <w:sz w:val="24"/>
          <w:szCs w:val="24"/>
        </w:rPr>
        <w:t>ing</w:t>
      </w:r>
      <w:r w:rsidRPr="00556A9B">
        <w:rPr>
          <w:rFonts w:ascii="Times New Roman" w:hAnsi="Times New Roman" w:cs="Times New Roman"/>
          <w:sz w:val="24"/>
          <w:szCs w:val="24"/>
        </w:rPr>
        <w:t xml:space="preserve"> the total number of eCQMs eligible hospitals and CAHs report from six to </w:t>
      </w:r>
      <w:r w:rsidR="00E72613">
        <w:rPr>
          <w:rFonts w:ascii="Times New Roman" w:hAnsi="Times New Roman" w:cs="Times New Roman"/>
          <w:sz w:val="24"/>
          <w:szCs w:val="24"/>
        </w:rPr>
        <w:t xml:space="preserve">eight </w:t>
      </w:r>
      <w:r w:rsidR="00E72613">
        <w:rPr>
          <w:rFonts w:ascii="Times New Roman" w:hAnsi="Times New Roman" w:cs="Times New Roman"/>
          <w:sz w:val="24"/>
          <w:szCs w:val="24"/>
        </w:rPr>
        <w:t>eCQMs</w:t>
      </w:r>
      <w:r w:rsidR="00E72613">
        <w:rPr>
          <w:rFonts w:ascii="Times New Roman" w:hAnsi="Times New Roman" w:cs="Times New Roman"/>
          <w:sz w:val="24"/>
          <w:szCs w:val="24"/>
        </w:rPr>
        <w:t xml:space="preserve"> </w:t>
      </w:r>
      <w:r w:rsidRPr="00556A9B">
        <w:rPr>
          <w:rFonts w:ascii="Times New Roman" w:hAnsi="Times New Roman" w:cs="Times New Roman"/>
          <w:sz w:val="24"/>
          <w:szCs w:val="24"/>
        </w:rPr>
        <w:t xml:space="preserve">for the </w:t>
      </w:r>
      <w:r w:rsidR="00F142D9">
        <w:rPr>
          <w:rFonts w:ascii="Times New Roman" w:hAnsi="Times New Roman" w:cs="Times New Roman"/>
          <w:sz w:val="24"/>
          <w:szCs w:val="24"/>
        </w:rPr>
        <w:t xml:space="preserve">CY 2026 </w:t>
      </w:r>
      <w:r w:rsidRPr="00556A9B">
        <w:rPr>
          <w:rFonts w:ascii="Times New Roman" w:hAnsi="Times New Roman" w:cs="Times New Roman"/>
          <w:sz w:val="24"/>
          <w:szCs w:val="24"/>
        </w:rPr>
        <w:t xml:space="preserve">reporting period, </w:t>
      </w:r>
      <w:r w:rsidR="00E72613">
        <w:rPr>
          <w:rFonts w:ascii="Times New Roman" w:hAnsi="Times New Roman" w:cs="Times New Roman"/>
          <w:sz w:val="24"/>
          <w:szCs w:val="24"/>
        </w:rPr>
        <w:t xml:space="preserve">from eight to nine eCQMs for the CY 2027 reporting period, </w:t>
      </w:r>
      <w:r w:rsidRPr="00556A9B">
        <w:rPr>
          <w:rFonts w:ascii="Times New Roman" w:hAnsi="Times New Roman" w:cs="Times New Roman"/>
          <w:sz w:val="24"/>
          <w:szCs w:val="24"/>
        </w:rPr>
        <w:t xml:space="preserve">and then from nine to eleven beginning with the </w:t>
      </w:r>
      <w:r w:rsidR="00F142D9">
        <w:rPr>
          <w:rFonts w:ascii="Times New Roman" w:hAnsi="Times New Roman" w:cs="Times New Roman"/>
          <w:sz w:val="24"/>
          <w:szCs w:val="24"/>
        </w:rPr>
        <w:t>CY 202</w:t>
      </w:r>
      <w:r w:rsidR="00E72613">
        <w:rPr>
          <w:rFonts w:ascii="Times New Roman" w:hAnsi="Times New Roman" w:cs="Times New Roman"/>
          <w:sz w:val="24"/>
          <w:szCs w:val="24"/>
        </w:rPr>
        <w:t>8</w:t>
      </w:r>
      <w:r w:rsidR="00F142D9">
        <w:rPr>
          <w:rFonts w:ascii="Times New Roman" w:hAnsi="Times New Roman" w:cs="Times New Roman"/>
          <w:sz w:val="24"/>
          <w:szCs w:val="24"/>
        </w:rPr>
        <w:t xml:space="preserve"> </w:t>
      </w:r>
      <w:r w:rsidRPr="00556A9B">
        <w:rPr>
          <w:rFonts w:ascii="Times New Roman" w:hAnsi="Times New Roman" w:cs="Times New Roman"/>
          <w:sz w:val="24"/>
          <w:szCs w:val="24"/>
        </w:rPr>
        <w:t>reporting period.</w:t>
      </w:r>
    </w:p>
    <w:p w:rsidR="00556A9B" w:rsidRPr="00556A9B" w:rsidP="00556A9B" w14:paraId="253D182B" w14:textId="77777777">
      <w:pPr>
        <w:rPr>
          <w:rFonts w:ascii="Times New Roman" w:eastAsia="Times New Roman" w:hAnsi="Times New Roman"/>
          <w:bCs/>
          <w:color w:val="000000"/>
          <w:sz w:val="24"/>
          <w:szCs w:val="24"/>
        </w:rPr>
      </w:pPr>
    </w:p>
    <w:p w:rsidR="00556A9B" w:rsidRPr="00556A9B" w:rsidP="00556A9B" w14:paraId="09734740" w14:textId="262FB6AD">
      <w:pPr>
        <w:rPr>
          <w:rFonts w:ascii="Times New Roman" w:eastAsia="Times New Roman" w:hAnsi="Times New Roman"/>
          <w:bCs/>
          <w:color w:val="000000"/>
          <w:sz w:val="24"/>
          <w:szCs w:val="24"/>
        </w:rPr>
      </w:pPr>
      <w:r w:rsidRPr="00556A9B">
        <w:rPr>
          <w:rFonts w:ascii="Times New Roman" w:eastAsia="Times New Roman" w:hAnsi="Times New Roman"/>
          <w:bCs/>
          <w:color w:val="000000"/>
          <w:sz w:val="24"/>
          <w:szCs w:val="24"/>
        </w:rPr>
        <w:t>We discuss other p</w:t>
      </w:r>
      <w:r w:rsidR="00E72613">
        <w:rPr>
          <w:rFonts w:ascii="Times New Roman" w:eastAsia="Times New Roman" w:hAnsi="Times New Roman"/>
          <w:bCs/>
          <w:color w:val="000000"/>
          <w:sz w:val="24"/>
          <w:szCs w:val="24"/>
        </w:rPr>
        <w:t>olicies</w:t>
      </w:r>
      <w:r w:rsidRPr="00556A9B">
        <w:rPr>
          <w:rFonts w:ascii="Times New Roman" w:eastAsia="Times New Roman" w:hAnsi="Times New Roman"/>
          <w:bCs/>
          <w:color w:val="000000"/>
          <w:sz w:val="24"/>
          <w:szCs w:val="24"/>
        </w:rPr>
        <w:t xml:space="preserve"> promulgated in the FY 2025 IPPS/LTCH PPS </w:t>
      </w:r>
      <w:r w:rsidR="00E72613">
        <w:rPr>
          <w:rFonts w:ascii="Times New Roman" w:eastAsia="Times New Roman" w:hAnsi="Times New Roman"/>
          <w:bCs/>
          <w:color w:val="000000"/>
          <w:sz w:val="24"/>
          <w:szCs w:val="24"/>
        </w:rPr>
        <w:t>final</w:t>
      </w:r>
      <w:r w:rsidRPr="00556A9B">
        <w:rPr>
          <w:rFonts w:ascii="Times New Roman" w:eastAsia="Times New Roman" w:hAnsi="Times New Roman"/>
          <w:bCs/>
          <w:color w:val="000000"/>
          <w:sz w:val="24"/>
          <w:szCs w:val="24"/>
        </w:rPr>
        <w:t xml:space="preserve"> rule which w</w:t>
      </w:r>
      <w:r w:rsidR="00E72613">
        <w:rPr>
          <w:rFonts w:ascii="Times New Roman" w:eastAsia="Times New Roman" w:hAnsi="Times New Roman"/>
          <w:bCs/>
          <w:color w:val="000000"/>
          <w:sz w:val="24"/>
          <w:szCs w:val="24"/>
        </w:rPr>
        <w:t>ill</w:t>
      </w:r>
      <w:r w:rsidRPr="00556A9B">
        <w:rPr>
          <w:rFonts w:ascii="Times New Roman" w:eastAsia="Times New Roman" w:hAnsi="Times New Roman"/>
          <w:bCs/>
          <w:color w:val="000000"/>
          <w:sz w:val="24"/>
          <w:szCs w:val="24"/>
        </w:rPr>
        <w:t xml:space="preserve"> not affect information collection burden </w:t>
      </w:r>
      <w:r w:rsidR="000C2825">
        <w:rPr>
          <w:rFonts w:ascii="Times New Roman" w:eastAsia="Times New Roman" w:hAnsi="Times New Roman"/>
          <w:bCs/>
          <w:color w:val="000000"/>
          <w:sz w:val="24"/>
          <w:szCs w:val="24"/>
        </w:rPr>
        <w:t xml:space="preserve">under OMB control number 0938-1278 </w:t>
      </w:r>
      <w:r w:rsidRPr="00556A9B">
        <w:rPr>
          <w:rFonts w:ascii="Times New Roman" w:eastAsia="Times New Roman" w:hAnsi="Times New Roman"/>
          <w:bCs/>
          <w:color w:val="000000"/>
          <w:sz w:val="24"/>
          <w:szCs w:val="24"/>
        </w:rPr>
        <w:t>in section B.1.a.</w:t>
      </w:r>
    </w:p>
    <w:p w:rsidR="00556A9B" w:rsidP="00556A9B" w14:paraId="640B3890" w14:textId="77777777"/>
    <w:p w:rsidR="00556A9B" w:rsidRPr="00556A9B" w:rsidP="00556A9B" w14:paraId="2A09AF8B" w14:textId="53CA3B44">
      <w:pPr>
        <w:pStyle w:val="ListParagraph"/>
        <w:widowControl/>
        <w:numPr>
          <w:ilvl w:val="0"/>
          <w:numId w:val="9"/>
        </w:numPr>
        <w:contextualSpacing/>
        <w:rPr>
          <w:rFonts w:ascii="Times New Roman" w:hAnsi="Times New Roman" w:cs="Times New Roman"/>
          <w:b/>
          <w:sz w:val="24"/>
          <w:szCs w:val="24"/>
        </w:rPr>
      </w:pPr>
      <w:r w:rsidRPr="000547F5">
        <w:rPr>
          <w:rFonts w:ascii="Times New Roman" w:hAnsi="Times New Roman" w:cs="Times New Roman"/>
          <w:b/>
          <w:sz w:val="24"/>
          <w:szCs w:val="24"/>
        </w:rPr>
        <w:t>B</w:t>
      </w:r>
      <w:r>
        <w:rPr>
          <w:rFonts w:ascii="Times New Roman" w:hAnsi="Times New Roman" w:cs="Times New Roman"/>
          <w:b/>
          <w:sz w:val="24"/>
          <w:szCs w:val="24"/>
        </w:rPr>
        <w:t>urden for the EHR Reporting Period</w:t>
      </w:r>
      <w:r w:rsidR="000659E9">
        <w:rPr>
          <w:rFonts w:ascii="Times New Roman" w:hAnsi="Times New Roman" w:cs="Times New Roman"/>
          <w:b/>
          <w:sz w:val="24"/>
          <w:szCs w:val="24"/>
        </w:rPr>
        <w:t xml:space="preserve"> in FY 2025</w:t>
      </w:r>
    </w:p>
    <w:p w:rsidR="00D20B3B" w:rsidP="00467B82" w14:paraId="5520A8A7" w14:textId="77777777">
      <w:pPr>
        <w:pStyle w:val="BodyText"/>
        <w:ind w:left="0" w:right="259"/>
        <w:rPr>
          <w:bCs/>
          <w:color w:val="000000"/>
        </w:rPr>
      </w:pPr>
    </w:p>
    <w:p w:rsidR="00B61436" w:rsidP="00467B82" w14:paraId="02EFEC4A" w14:textId="0F7FC0E0">
      <w:pPr>
        <w:pStyle w:val="BodyText"/>
        <w:ind w:left="0" w:right="259"/>
        <w:rPr>
          <w:bCs/>
          <w:color w:val="000000"/>
        </w:rPr>
      </w:pPr>
      <w:r>
        <w:rPr>
          <w:bCs/>
          <w:color w:val="000000"/>
        </w:rPr>
        <w:t>O</w:t>
      </w:r>
      <w:r w:rsidRPr="00B61436">
        <w:rPr>
          <w:bCs/>
          <w:color w:val="000000"/>
        </w:rPr>
        <w:t xml:space="preserve">ur </w:t>
      </w:r>
      <w:r w:rsidR="00D20B3B">
        <w:rPr>
          <w:bCs/>
          <w:color w:val="000000"/>
        </w:rPr>
        <w:t xml:space="preserve">currently approved </w:t>
      </w:r>
      <w:r w:rsidRPr="00B61436">
        <w:rPr>
          <w:bCs/>
          <w:color w:val="000000"/>
        </w:rPr>
        <w:t xml:space="preserve">burden estimates </w:t>
      </w:r>
      <w:r>
        <w:rPr>
          <w:bCs/>
          <w:color w:val="000000"/>
        </w:rPr>
        <w:t>a</w:t>
      </w:r>
      <w:r w:rsidRPr="00B61436">
        <w:rPr>
          <w:bCs/>
          <w:color w:val="000000"/>
        </w:rPr>
        <w:t>re based on an assumption</w:t>
      </w:r>
      <w:r w:rsidRPr="00B61436">
        <w:rPr>
          <w:bCs/>
          <w:color w:val="000000"/>
        </w:rPr>
        <w:t xml:space="preserve"> of 3,150 eligible hospitals and 1,350 CAHs, for a total number of 4,500 respondents.  </w:t>
      </w:r>
      <w:r w:rsidR="00D20B3B">
        <w:rPr>
          <w:bCs/>
          <w:color w:val="000000"/>
        </w:rPr>
        <w:t>B</w:t>
      </w:r>
      <w:r w:rsidRPr="00D20B3B" w:rsidR="00D20B3B">
        <w:rPr>
          <w:bCs/>
          <w:color w:val="000000"/>
        </w:rPr>
        <w:t>ased on data from the EHR reporting period</w:t>
      </w:r>
      <w:r w:rsidR="000659E9">
        <w:rPr>
          <w:bCs/>
          <w:color w:val="000000"/>
        </w:rPr>
        <w:t xml:space="preserve"> in CY 2022</w:t>
      </w:r>
      <w:r w:rsidRPr="00D20B3B" w:rsidR="00D20B3B">
        <w:rPr>
          <w:bCs/>
          <w:color w:val="000000"/>
        </w:rPr>
        <w:t>, we are updating our assumption and estimate approximately 3,150 eligible hospitals and 1,400 CAHs will report data to the Medicare Promoting Interoperability Program for the EHR reporting period</w:t>
      </w:r>
      <w:r w:rsidR="00D20B3B">
        <w:rPr>
          <w:bCs/>
          <w:color w:val="000000"/>
        </w:rPr>
        <w:t xml:space="preserve"> </w:t>
      </w:r>
      <w:r w:rsidR="000659E9">
        <w:rPr>
          <w:bCs/>
          <w:color w:val="000000"/>
        </w:rPr>
        <w:t xml:space="preserve">in CY 2025 </w:t>
      </w:r>
      <w:r w:rsidR="00D20B3B">
        <w:rPr>
          <w:bCs/>
          <w:color w:val="000000"/>
        </w:rPr>
        <w:t>and subsequent years</w:t>
      </w:r>
      <w:r w:rsidRPr="00D20B3B" w:rsidR="00D20B3B">
        <w:rPr>
          <w:bCs/>
          <w:color w:val="000000"/>
        </w:rPr>
        <w:t xml:space="preserve">, for a total number of 4,550 respondents.  </w:t>
      </w:r>
      <w:r w:rsidRPr="00FA31B5" w:rsidR="006B5603">
        <w:rPr>
          <w:rFonts w:cs="Times New Roman"/>
        </w:rPr>
        <w:t xml:space="preserve">In the FY 2024 IPPS/LTCH PPS final rule, the Medicare Promoting Interoperability Program and Hospital IQR Program used </w:t>
      </w:r>
      <w:r w:rsidR="006B5603">
        <w:rPr>
          <w:rFonts w:cs="Times New Roman"/>
        </w:rPr>
        <w:t>the same</w:t>
      </w:r>
      <w:r w:rsidRPr="00FA31B5" w:rsidR="006B5603">
        <w:rPr>
          <w:rFonts w:cs="Times New Roman"/>
        </w:rPr>
        <w:t xml:space="preserve"> estimate for the number of eligible hospitals and IPPS hospitals for both programs (88 FR 59325).  </w:t>
      </w:r>
      <w:r w:rsidR="006B5603">
        <w:rPr>
          <w:rFonts w:cs="Times New Roman"/>
        </w:rPr>
        <w:t xml:space="preserve">In the FY 2025 IPPS/LTCH PPS </w:t>
      </w:r>
      <w:r w:rsidR="00E72613">
        <w:rPr>
          <w:rFonts w:cs="Times New Roman"/>
        </w:rPr>
        <w:t>final</w:t>
      </w:r>
      <w:r w:rsidR="006B5603">
        <w:rPr>
          <w:rFonts w:cs="Times New Roman"/>
        </w:rPr>
        <w:t xml:space="preserve"> rule, we updated our </w:t>
      </w:r>
      <w:r w:rsidRPr="00FA7F93" w:rsidR="006B5603">
        <w:rPr>
          <w:rFonts w:cs="Times New Roman"/>
        </w:rPr>
        <w:t xml:space="preserve">estimate </w:t>
      </w:r>
      <w:r w:rsidR="006B5603">
        <w:rPr>
          <w:rFonts w:cs="Times New Roman"/>
        </w:rPr>
        <w:t>of hospitals for</w:t>
      </w:r>
      <w:r w:rsidRPr="00FA7F93" w:rsidR="006B5603">
        <w:rPr>
          <w:rFonts w:cs="Times New Roman"/>
        </w:rPr>
        <w:t xml:space="preserve"> the Hospital IQR Program </w:t>
      </w:r>
      <w:r w:rsidR="006B5603">
        <w:rPr>
          <w:rFonts w:cs="Times New Roman"/>
        </w:rPr>
        <w:t xml:space="preserve">to 3,050 IPPS hospitals and 1,500 non-IPPS hospitals </w:t>
      </w:r>
      <w:r w:rsidRPr="00FA7F93" w:rsidR="006B5603">
        <w:rPr>
          <w:rFonts w:cs="Times New Roman"/>
        </w:rPr>
        <w:t>for the CY 2025 reporting period.</w:t>
      </w:r>
      <w:r w:rsidR="006B5603">
        <w:rPr>
          <w:rFonts w:cs="Times New Roman"/>
        </w:rPr>
        <w:t xml:space="preserve">  </w:t>
      </w:r>
      <w:r w:rsidRPr="00FA31B5" w:rsidR="006B5603">
        <w:rPr>
          <w:rFonts w:cs="Times New Roman"/>
        </w:rPr>
        <w:t xml:space="preserve">Upon further analysis, we believe it is </w:t>
      </w:r>
      <w:r w:rsidR="006B5603">
        <w:rPr>
          <w:rFonts w:cs="Times New Roman"/>
        </w:rPr>
        <w:t xml:space="preserve">no longer appropriate to use the same estimate for both the Hospital IQR </w:t>
      </w:r>
      <w:r w:rsidR="006B5603">
        <w:rPr>
          <w:rFonts w:cs="Times New Roman"/>
        </w:rPr>
        <w:t xml:space="preserve">and Medicare Promoting Interoperability programs </w:t>
      </w:r>
      <w:r w:rsidRPr="00FA31B5" w:rsidR="006B5603">
        <w:rPr>
          <w:rFonts w:cs="Times New Roman"/>
        </w:rPr>
        <w:t xml:space="preserve">as the approximately 100 eligible hospitals located in Maryland and Puerto Rico which were previously excluded from our estimate of IPPS hospitals and included in our estimate of </w:t>
      </w:r>
      <w:r w:rsidR="006B5603">
        <w:rPr>
          <w:rFonts w:cs="Times New Roman"/>
        </w:rPr>
        <w:t>n</w:t>
      </w:r>
      <w:r w:rsidRPr="00FA31B5" w:rsidR="006B5603">
        <w:rPr>
          <w:rFonts w:cs="Times New Roman"/>
        </w:rPr>
        <w:t>on-IPPS hospitals should be included as eligible hospitals for the Medicare Promoting Interoperability Program.</w:t>
      </w:r>
      <w:r w:rsidR="006B5603">
        <w:rPr>
          <w:rFonts w:cs="Times New Roman"/>
        </w:rPr>
        <w:t xml:space="preserve"> </w:t>
      </w:r>
      <w:r w:rsidRPr="00FA31B5" w:rsidR="006B5603">
        <w:rPr>
          <w:rFonts w:cs="Times New Roman"/>
        </w:rPr>
        <w:t xml:space="preserve"> </w:t>
      </w:r>
    </w:p>
    <w:p w:rsidR="007E6CCF" w:rsidP="00467B82" w14:paraId="3355A331" w14:textId="77777777">
      <w:pPr>
        <w:pStyle w:val="BodyText"/>
        <w:ind w:left="0" w:right="259"/>
        <w:rPr>
          <w:bCs/>
          <w:color w:val="000000"/>
        </w:rPr>
      </w:pPr>
    </w:p>
    <w:p w:rsidR="00BB0C74" w:rsidRPr="00BB0C74" w:rsidP="00BB0C74" w14:paraId="4F728496" w14:textId="1F26423B">
      <w:pPr>
        <w:rPr>
          <w:rFonts w:ascii="Times New Roman" w:eastAsia="Times New Roman" w:hAnsi="Times New Roman"/>
          <w:bCs/>
          <w:color w:val="000000"/>
          <w:sz w:val="24"/>
          <w:szCs w:val="24"/>
        </w:rPr>
      </w:pPr>
      <w:r w:rsidRPr="00BB0C74">
        <w:rPr>
          <w:rFonts w:ascii="Times New Roman" w:eastAsia="Times New Roman" w:hAnsi="Times New Roman"/>
          <w:bCs/>
          <w:color w:val="000000"/>
          <w:sz w:val="24"/>
          <w:szCs w:val="24"/>
        </w:rPr>
        <w:t xml:space="preserve">OMB </w:t>
      </w:r>
      <w:r w:rsidR="006B5603">
        <w:rPr>
          <w:rFonts w:ascii="Times New Roman" w:eastAsia="Times New Roman" w:hAnsi="Times New Roman"/>
          <w:bCs/>
          <w:color w:val="000000"/>
          <w:sz w:val="24"/>
          <w:szCs w:val="24"/>
        </w:rPr>
        <w:t>has currently approved</w:t>
      </w:r>
      <w:r>
        <w:rPr>
          <w:rFonts w:ascii="Times New Roman" w:eastAsia="Times New Roman" w:hAnsi="Times New Roman"/>
          <w:bCs/>
          <w:color w:val="000000"/>
          <w:sz w:val="24"/>
          <w:szCs w:val="24"/>
        </w:rPr>
        <w:t xml:space="preserve"> burden of</w:t>
      </w:r>
      <w:r w:rsidRPr="00BB0C74">
        <w:rPr>
          <w:rFonts w:ascii="Times New Roman" w:eastAsia="Times New Roman" w:hAnsi="Times New Roman"/>
          <w:bCs/>
          <w:color w:val="000000"/>
          <w:sz w:val="24"/>
          <w:szCs w:val="24"/>
        </w:rPr>
        <w:t xml:space="preserve"> 2</w:t>
      </w:r>
      <w:r>
        <w:rPr>
          <w:rFonts w:ascii="Times New Roman" w:eastAsia="Times New Roman" w:hAnsi="Times New Roman"/>
          <w:bCs/>
          <w:color w:val="000000"/>
          <w:sz w:val="24"/>
          <w:szCs w:val="24"/>
        </w:rPr>
        <w:t>9,625</w:t>
      </w:r>
      <w:r w:rsidRPr="00BB0C74">
        <w:rPr>
          <w:rFonts w:ascii="Times New Roman" w:eastAsia="Times New Roman" w:hAnsi="Times New Roman"/>
          <w:bCs/>
          <w:color w:val="000000"/>
          <w:sz w:val="24"/>
          <w:szCs w:val="24"/>
        </w:rPr>
        <w:t xml:space="preserve"> hours at a cost of </w:t>
      </w:r>
      <w:r>
        <w:rPr>
          <w:rFonts w:ascii="Times New Roman" w:eastAsia="Times New Roman" w:hAnsi="Times New Roman"/>
          <w:bCs/>
          <w:color w:val="000000"/>
          <w:sz w:val="24"/>
          <w:szCs w:val="24"/>
        </w:rPr>
        <w:t>$1,328,978</w:t>
      </w:r>
      <w:r w:rsidRPr="00BB0C74">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u</w:t>
      </w:r>
      <w:r w:rsidRPr="00BB0C74">
        <w:rPr>
          <w:rFonts w:ascii="Times New Roman" w:eastAsia="Times New Roman" w:hAnsi="Times New Roman"/>
          <w:bCs/>
          <w:color w:val="000000"/>
          <w:sz w:val="24"/>
          <w:szCs w:val="24"/>
        </w:rPr>
        <w:t>nder OMB control number 0938-1</w:t>
      </w:r>
      <w:r>
        <w:rPr>
          <w:rFonts w:ascii="Times New Roman" w:eastAsia="Times New Roman" w:hAnsi="Times New Roman"/>
          <w:bCs/>
          <w:color w:val="000000"/>
          <w:sz w:val="24"/>
          <w:szCs w:val="24"/>
        </w:rPr>
        <w:t>278</w:t>
      </w:r>
      <w:r w:rsidRPr="00BB0C74">
        <w:rPr>
          <w:rFonts w:ascii="Times New Roman" w:eastAsia="Times New Roman" w:hAnsi="Times New Roman"/>
          <w:bCs/>
          <w:color w:val="000000"/>
          <w:sz w:val="24"/>
          <w:szCs w:val="24"/>
        </w:rPr>
        <w:t xml:space="preserve">, accounting for information collection burden experienced by approximately 3,150 IPPS hospitals and 1,350 </w:t>
      </w:r>
      <w:r w:rsidRPr="00BB0C74">
        <w:rPr>
          <w:rFonts w:ascii="Times New Roman" w:eastAsia="Times New Roman" w:hAnsi="Times New Roman"/>
          <w:bCs/>
          <w:color w:val="000000"/>
          <w:sz w:val="24"/>
          <w:szCs w:val="24"/>
        </w:rPr>
        <w:t>Non-IPPS</w:t>
      </w:r>
      <w:r w:rsidRPr="00BB0C74">
        <w:rPr>
          <w:rFonts w:ascii="Times New Roman" w:eastAsia="Times New Roman" w:hAnsi="Times New Roman"/>
          <w:bCs/>
          <w:color w:val="000000"/>
          <w:sz w:val="24"/>
          <w:szCs w:val="24"/>
        </w:rPr>
        <w:t xml:space="preserve"> hospitals for the </w:t>
      </w:r>
      <w:r>
        <w:rPr>
          <w:rFonts w:ascii="Times New Roman" w:eastAsia="Times New Roman" w:hAnsi="Times New Roman"/>
          <w:bCs/>
          <w:color w:val="000000"/>
          <w:sz w:val="24"/>
          <w:szCs w:val="24"/>
        </w:rPr>
        <w:t xml:space="preserve">EHR </w:t>
      </w:r>
      <w:r w:rsidR="0067289A">
        <w:rPr>
          <w:rFonts w:ascii="Times New Roman" w:eastAsia="Times New Roman" w:hAnsi="Times New Roman"/>
          <w:bCs/>
          <w:color w:val="000000"/>
          <w:sz w:val="24"/>
          <w:szCs w:val="24"/>
        </w:rPr>
        <w:t>r</w:t>
      </w:r>
      <w:r>
        <w:rPr>
          <w:rFonts w:ascii="Times New Roman" w:eastAsia="Times New Roman" w:hAnsi="Times New Roman"/>
          <w:bCs/>
          <w:color w:val="000000"/>
          <w:sz w:val="24"/>
          <w:szCs w:val="24"/>
        </w:rPr>
        <w:t xml:space="preserve">eporting </w:t>
      </w:r>
      <w:r w:rsidR="0067289A">
        <w:rPr>
          <w:rFonts w:ascii="Times New Roman" w:eastAsia="Times New Roman" w:hAnsi="Times New Roman"/>
          <w:bCs/>
          <w:color w:val="000000"/>
          <w:sz w:val="24"/>
          <w:szCs w:val="24"/>
        </w:rPr>
        <w:t>p</w:t>
      </w:r>
      <w:r>
        <w:rPr>
          <w:rFonts w:ascii="Times New Roman" w:eastAsia="Times New Roman" w:hAnsi="Times New Roman"/>
          <w:bCs/>
          <w:color w:val="000000"/>
          <w:sz w:val="24"/>
          <w:szCs w:val="24"/>
        </w:rPr>
        <w:t>eriod</w:t>
      </w:r>
      <w:r w:rsidR="000659E9">
        <w:rPr>
          <w:rFonts w:ascii="Times New Roman" w:eastAsia="Times New Roman" w:hAnsi="Times New Roman"/>
          <w:bCs/>
          <w:color w:val="000000"/>
          <w:sz w:val="24"/>
          <w:szCs w:val="24"/>
        </w:rPr>
        <w:t xml:space="preserve"> in CY 2024</w:t>
      </w:r>
      <w:r w:rsidRPr="00BB0C74">
        <w:rPr>
          <w:rFonts w:ascii="Times New Roman" w:eastAsia="Times New Roman" w:hAnsi="Times New Roman"/>
          <w:bCs/>
          <w:color w:val="000000"/>
          <w:sz w:val="24"/>
          <w:szCs w:val="24"/>
        </w:rPr>
        <w:t>.  As shown in Table 3, using our updated assumption of 3,</w:t>
      </w:r>
      <w:r>
        <w:rPr>
          <w:rFonts w:ascii="Times New Roman" w:eastAsia="Times New Roman" w:hAnsi="Times New Roman"/>
          <w:bCs/>
          <w:color w:val="000000"/>
          <w:sz w:val="24"/>
          <w:szCs w:val="24"/>
        </w:rPr>
        <w:t>1</w:t>
      </w:r>
      <w:r w:rsidRPr="00BB0C74">
        <w:rPr>
          <w:rFonts w:ascii="Times New Roman" w:eastAsia="Times New Roman" w:hAnsi="Times New Roman"/>
          <w:bCs/>
          <w:color w:val="000000"/>
          <w:sz w:val="24"/>
          <w:szCs w:val="24"/>
        </w:rPr>
        <w:t xml:space="preserve">50 </w:t>
      </w:r>
      <w:r>
        <w:rPr>
          <w:rFonts w:ascii="Times New Roman" w:eastAsia="Times New Roman" w:hAnsi="Times New Roman"/>
          <w:bCs/>
          <w:color w:val="000000"/>
          <w:sz w:val="24"/>
          <w:szCs w:val="24"/>
        </w:rPr>
        <w:t>eligible hospitals</w:t>
      </w:r>
      <w:r w:rsidRPr="00BB0C74">
        <w:rPr>
          <w:rFonts w:ascii="Times New Roman" w:eastAsia="Times New Roman" w:hAnsi="Times New Roman"/>
          <w:bCs/>
          <w:color w:val="000000"/>
          <w:sz w:val="24"/>
          <w:szCs w:val="24"/>
        </w:rPr>
        <w:t xml:space="preserve"> and 1,</w:t>
      </w:r>
      <w:r>
        <w:rPr>
          <w:rFonts w:ascii="Times New Roman" w:eastAsia="Times New Roman" w:hAnsi="Times New Roman"/>
          <w:bCs/>
          <w:color w:val="000000"/>
          <w:sz w:val="24"/>
          <w:szCs w:val="24"/>
        </w:rPr>
        <w:t>4</w:t>
      </w:r>
      <w:r w:rsidRPr="00BB0C74">
        <w:rPr>
          <w:rFonts w:ascii="Times New Roman" w:eastAsia="Times New Roman" w:hAnsi="Times New Roman"/>
          <w:bCs/>
          <w:color w:val="000000"/>
          <w:sz w:val="24"/>
          <w:szCs w:val="24"/>
        </w:rPr>
        <w:t>00</w:t>
      </w:r>
      <w:r>
        <w:rPr>
          <w:rFonts w:ascii="Times New Roman" w:eastAsia="Times New Roman" w:hAnsi="Times New Roman"/>
          <w:bCs/>
          <w:color w:val="000000"/>
          <w:sz w:val="24"/>
          <w:szCs w:val="24"/>
        </w:rPr>
        <w:t xml:space="preserve"> CAH</w:t>
      </w:r>
      <w:r w:rsidRPr="00BB0C74">
        <w:rPr>
          <w:rFonts w:ascii="Times New Roman" w:eastAsia="Times New Roman" w:hAnsi="Times New Roman"/>
          <w:bCs/>
          <w:color w:val="000000"/>
          <w:sz w:val="24"/>
          <w:szCs w:val="24"/>
        </w:rPr>
        <w:t xml:space="preserve">s and updated wage rates, we estimate a revised baseline burden of </w:t>
      </w:r>
      <w:r>
        <w:rPr>
          <w:rFonts w:ascii="Times New Roman" w:eastAsia="Times New Roman" w:hAnsi="Times New Roman"/>
          <w:bCs/>
          <w:color w:val="000000"/>
          <w:sz w:val="24"/>
          <w:szCs w:val="24"/>
        </w:rPr>
        <w:t>29,954</w:t>
      </w:r>
      <w:r w:rsidRPr="00BB0C74">
        <w:rPr>
          <w:rFonts w:ascii="Times New Roman" w:eastAsia="Times New Roman" w:hAnsi="Times New Roman"/>
          <w:bCs/>
          <w:color w:val="000000"/>
          <w:sz w:val="24"/>
          <w:szCs w:val="24"/>
        </w:rPr>
        <w:t xml:space="preserve"> hours at a cost of $</w:t>
      </w:r>
      <w:r>
        <w:rPr>
          <w:rFonts w:ascii="Times New Roman" w:eastAsia="Times New Roman" w:hAnsi="Times New Roman"/>
          <w:bCs/>
          <w:color w:val="000000"/>
          <w:sz w:val="24"/>
          <w:szCs w:val="24"/>
        </w:rPr>
        <w:t>1,561,211</w:t>
      </w:r>
      <w:r w:rsidRPr="00BB0C74">
        <w:rPr>
          <w:rFonts w:ascii="Times New Roman" w:eastAsia="Times New Roman" w:hAnsi="Times New Roman"/>
          <w:bCs/>
          <w:color w:val="000000"/>
          <w:sz w:val="24"/>
          <w:szCs w:val="24"/>
        </w:rPr>
        <w:t xml:space="preserve"> for the </w:t>
      </w:r>
      <w:r>
        <w:rPr>
          <w:rFonts w:ascii="Times New Roman" w:eastAsia="Times New Roman" w:hAnsi="Times New Roman"/>
          <w:bCs/>
          <w:color w:val="000000"/>
          <w:sz w:val="24"/>
          <w:szCs w:val="24"/>
        </w:rPr>
        <w:t xml:space="preserve">EHR </w:t>
      </w:r>
      <w:r w:rsidR="00A1092F">
        <w:rPr>
          <w:rFonts w:ascii="Times New Roman" w:eastAsia="Times New Roman" w:hAnsi="Times New Roman"/>
          <w:bCs/>
          <w:color w:val="000000"/>
          <w:sz w:val="24"/>
          <w:szCs w:val="24"/>
        </w:rPr>
        <w:t>r</w:t>
      </w:r>
      <w:r>
        <w:rPr>
          <w:rFonts w:ascii="Times New Roman" w:eastAsia="Times New Roman" w:hAnsi="Times New Roman"/>
          <w:bCs/>
          <w:color w:val="000000"/>
          <w:sz w:val="24"/>
          <w:szCs w:val="24"/>
        </w:rPr>
        <w:t xml:space="preserve">eporting </w:t>
      </w:r>
      <w:r w:rsidR="00A1092F">
        <w:rPr>
          <w:rFonts w:ascii="Times New Roman" w:eastAsia="Times New Roman" w:hAnsi="Times New Roman"/>
          <w:bCs/>
          <w:color w:val="000000"/>
          <w:sz w:val="24"/>
          <w:szCs w:val="24"/>
        </w:rPr>
        <w:t>p</w:t>
      </w:r>
      <w:r>
        <w:rPr>
          <w:rFonts w:ascii="Times New Roman" w:eastAsia="Times New Roman" w:hAnsi="Times New Roman"/>
          <w:bCs/>
          <w:color w:val="000000"/>
          <w:sz w:val="24"/>
          <w:szCs w:val="24"/>
        </w:rPr>
        <w:t>eriod</w:t>
      </w:r>
      <w:r w:rsidR="000659E9">
        <w:rPr>
          <w:rFonts w:ascii="Times New Roman" w:eastAsia="Times New Roman" w:hAnsi="Times New Roman"/>
          <w:bCs/>
          <w:color w:val="000000"/>
          <w:sz w:val="24"/>
          <w:szCs w:val="24"/>
        </w:rPr>
        <w:t xml:space="preserve"> in CY 2024</w:t>
      </w:r>
      <w:r w:rsidR="00C45557">
        <w:rPr>
          <w:rFonts w:ascii="Times New Roman" w:eastAsia="Times New Roman" w:hAnsi="Times New Roman"/>
          <w:bCs/>
          <w:color w:val="000000"/>
          <w:sz w:val="24"/>
          <w:szCs w:val="24"/>
        </w:rPr>
        <w:t>, an increase of 329 hours and $17,156</w:t>
      </w:r>
      <w:r w:rsidRPr="00BB0C74">
        <w:rPr>
          <w:rFonts w:ascii="Times New Roman" w:eastAsia="Times New Roman" w:hAnsi="Times New Roman"/>
          <w:bCs/>
          <w:color w:val="000000"/>
          <w:sz w:val="24"/>
          <w:szCs w:val="24"/>
        </w:rPr>
        <w:t xml:space="preserve">.  As previously stated, our burden estimates exclude burden associated with </w:t>
      </w:r>
      <w:r>
        <w:rPr>
          <w:rFonts w:ascii="Times New Roman" w:eastAsia="Times New Roman" w:hAnsi="Times New Roman"/>
          <w:bCs/>
          <w:color w:val="000000"/>
          <w:sz w:val="24"/>
          <w:szCs w:val="24"/>
        </w:rPr>
        <w:t xml:space="preserve">eCQM reporting for CAHs which </w:t>
      </w:r>
      <w:r w:rsidRPr="009A402A">
        <w:rPr>
          <w:rFonts w:ascii="Times New Roman" w:hAnsi="Times New Roman" w:cs="Times New Roman"/>
          <w:sz w:val="24"/>
          <w:szCs w:val="24"/>
        </w:rPr>
        <w:t>is accounted for in our burden estimates</w:t>
      </w:r>
      <w:r>
        <w:rPr>
          <w:rFonts w:ascii="Times New Roman" w:hAnsi="Times New Roman" w:cs="Times New Roman"/>
          <w:sz w:val="24"/>
          <w:szCs w:val="24"/>
        </w:rPr>
        <w:t xml:space="preserve"> </w:t>
      </w:r>
      <w:r w:rsidRPr="009A402A">
        <w:rPr>
          <w:rFonts w:ascii="Times New Roman" w:hAnsi="Times New Roman" w:cs="Times New Roman"/>
          <w:sz w:val="24"/>
          <w:szCs w:val="24"/>
        </w:rPr>
        <w:t xml:space="preserve">as part of the Hospital </w:t>
      </w:r>
      <w:r>
        <w:rPr>
          <w:rFonts w:ascii="Times New Roman" w:hAnsi="Times New Roman" w:cs="Times New Roman"/>
          <w:sz w:val="24"/>
          <w:szCs w:val="24"/>
        </w:rPr>
        <w:t xml:space="preserve">IQR </w:t>
      </w:r>
      <w:r w:rsidRPr="009A402A">
        <w:rPr>
          <w:rFonts w:ascii="Times New Roman" w:hAnsi="Times New Roman" w:cs="Times New Roman"/>
          <w:sz w:val="24"/>
          <w:szCs w:val="24"/>
        </w:rPr>
        <w:t xml:space="preserve">Program under OMB control number 0938-1022 </w:t>
      </w:r>
      <w:r>
        <w:rPr>
          <w:rFonts w:ascii="Times New Roman" w:hAnsi="Times New Roman" w:cs="Times New Roman"/>
          <w:sz w:val="24"/>
          <w:szCs w:val="24"/>
        </w:rPr>
        <w:t xml:space="preserve">(expiration date January 31, 2026).  </w:t>
      </w:r>
    </w:p>
    <w:p w:rsidR="00BB0C74" w:rsidP="00467B82" w14:paraId="1E65AF50" w14:textId="77777777">
      <w:pPr>
        <w:pStyle w:val="BodyText"/>
        <w:ind w:left="0" w:right="259"/>
        <w:rPr>
          <w:bCs/>
          <w:color w:val="000000"/>
        </w:rPr>
      </w:pPr>
    </w:p>
    <w:p w:rsidR="003339D9" w:rsidRPr="00B66511" w:rsidP="00467B82" w14:paraId="76780C2F" w14:textId="3EAC75F3">
      <w:pPr>
        <w:pStyle w:val="BodyText"/>
        <w:ind w:left="0" w:right="259"/>
        <w:jc w:val="center"/>
        <w:rPr>
          <w:b/>
          <w:bCs/>
        </w:rPr>
      </w:pPr>
      <w:r>
        <w:rPr>
          <w:b/>
          <w:bCs/>
        </w:rPr>
        <w:t xml:space="preserve">Table </w:t>
      </w:r>
      <w:r w:rsidR="001C0C5F">
        <w:rPr>
          <w:b/>
          <w:bCs/>
        </w:rPr>
        <w:t>3</w:t>
      </w:r>
      <w:r>
        <w:rPr>
          <w:b/>
          <w:bCs/>
        </w:rPr>
        <w:t xml:space="preserve">: Currently Approved </w:t>
      </w:r>
      <w:r w:rsidR="001C0C5F">
        <w:rPr>
          <w:b/>
          <w:bCs/>
        </w:rPr>
        <w:t>Burden Estimates for the Medicare</w:t>
      </w:r>
      <w:r>
        <w:rPr>
          <w:b/>
          <w:bCs/>
        </w:rPr>
        <w:t xml:space="preserve"> Promoting Interoperability Program for the EHR Reporting Period</w:t>
      </w:r>
      <w:r w:rsidR="000659E9">
        <w:rPr>
          <w:b/>
          <w:bCs/>
        </w:rPr>
        <w:t xml:space="preserve"> in CY 2024</w:t>
      </w:r>
    </w:p>
    <w:p w:rsidR="003339D9" w:rsidP="003339D9" w14:paraId="76786EEB" w14:textId="77777777">
      <w:pPr>
        <w:pStyle w:val="BodyText"/>
        <w:spacing w:before="69"/>
        <w:ind w:left="0" w:right="259"/>
      </w:pPr>
    </w:p>
    <w:tbl>
      <w:tblPr>
        <w:tblStyle w:val="TableGrid"/>
        <w:tblW w:w="11160" w:type="dxa"/>
        <w:tblInd w:w="-905" w:type="dxa"/>
        <w:tblLook w:val="04A0"/>
      </w:tblPr>
      <w:tblGrid>
        <w:gridCol w:w="3646"/>
        <w:gridCol w:w="1638"/>
        <w:gridCol w:w="16"/>
        <w:gridCol w:w="1412"/>
        <w:gridCol w:w="1440"/>
        <w:gridCol w:w="1568"/>
        <w:gridCol w:w="22"/>
        <w:gridCol w:w="1418"/>
      </w:tblGrid>
      <w:tr w14:paraId="47EA0E13" w14:textId="77777777" w:rsidTr="004367A4">
        <w:tblPrEx>
          <w:tblW w:w="11160" w:type="dxa"/>
          <w:tblInd w:w="-905" w:type="dxa"/>
          <w:tblLook w:val="04A0"/>
        </w:tblPrEx>
        <w:tc>
          <w:tcPr>
            <w:tcW w:w="3646" w:type="dxa"/>
          </w:tcPr>
          <w:p w:rsidR="009C2E92" w:rsidRPr="009C2E92" w:rsidP="003339D9" w14:paraId="1FC9ED2A" w14:textId="3975CCCA">
            <w:pPr>
              <w:pStyle w:val="BodyText"/>
              <w:spacing w:before="69"/>
              <w:ind w:left="0" w:right="259"/>
              <w:rPr>
                <w:rFonts w:cs="Times New Roman"/>
                <w:b/>
                <w:bCs/>
                <w:i/>
                <w:iCs/>
                <w:sz w:val="20"/>
                <w:szCs w:val="20"/>
              </w:rPr>
            </w:pPr>
            <w:r w:rsidRPr="009C2E92">
              <w:rPr>
                <w:rFonts w:cs="Times New Roman"/>
                <w:b/>
                <w:bCs/>
                <w:i/>
                <w:iCs/>
                <w:sz w:val="20"/>
                <w:szCs w:val="20"/>
              </w:rPr>
              <w:t>Objective/Measure</w:t>
            </w:r>
          </w:p>
        </w:tc>
        <w:tc>
          <w:tcPr>
            <w:tcW w:w="1654" w:type="dxa"/>
            <w:gridSpan w:val="2"/>
          </w:tcPr>
          <w:p w:rsidR="009C2E92" w:rsidRPr="009C2E92" w:rsidP="003339D9" w14:paraId="209C1CC2" w14:textId="2792BC2A">
            <w:pPr>
              <w:pStyle w:val="BodyText"/>
              <w:spacing w:before="69"/>
              <w:ind w:left="0" w:right="259"/>
              <w:rPr>
                <w:rFonts w:cs="Times New Roman"/>
                <w:b/>
                <w:bCs/>
                <w:i/>
                <w:iCs/>
                <w:sz w:val="20"/>
                <w:szCs w:val="20"/>
              </w:rPr>
            </w:pPr>
            <w:r w:rsidRPr="009C2E92">
              <w:rPr>
                <w:rFonts w:cs="Times New Roman"/>
                <w:b/>
                <w:bCs/>
                <w:i/>
                <w:iCs/>
                <w:sz w:val="20"/>
                <w:szCs w:val="20"/>
              </w:rPr>
              <w:t>Estimated Time per Eligible Hospital/CAH (minutes)</w:t>
            </w:r>
          </w:p>
        </w:tc>
        <w:tc>
          <w:tcPr>
            <w:tcW w:w="1412" w:type="dxa"/>
          </w:tcPr>
          <w:p w:rsidR="009C2E92" w:rsidRPr="009C2E92" w:rsidP="003339D9" w14:paraId="13A97C5A" w14:textId="483A4B6D">
            <w:pPr>
              <w:pStyle w:val="BodyText"/>
              <w:spacing w:before="69"/>
              <w:ind w:left="0" w:right="259"/>
              <w:rPr>
                <w:rFonts w:cs="Times New Roman"/>
                <w:b/>
                <w:bCs/>
                <w:i/>
                <w:iCs/>
                <w:sz w:val="20"/>
                <w:szCs w:val="20"/>
              </w:rPr>
            </w:pPr>
            <w:r w:rsidRPr="009C2E92">
              <w:rPr>
                <w:rFonts w:cs="Times New Roman"/>
                <w:b/>
                <w:bCs/>
                <w:i/>
                <w:iCs/>
                <w:sz w:val="20"/>
                <w:szCs w:val="20"/>
              </w:rPr>
              <w:t>Number reporting quarters per year</w:t>
            </w:r>
          </w:p>
        </w:tc>
        <w:tc>
          <w:tcPr>
            <w:tcW w:w="1440" w:type="dxa"/>
          </w:tcPr>
          <w:p w:rsidR="009C2E92" w:rsidRPr="009C2E92" w:rsidP="003339D9" w14:paraId="2007FBCF" w14:textId="76D8107F">
            <w:pPr>
              <w:pStyle w:val="BodyText"/>
              <w:spacing w:before="69"/>
              <w:ind w:left="0" w:right="259"/>
              <w:rPr>
                <w:rFonts w:cs="Times New Roman"/>
                <w:b/>
                <w:bCs/>
                <w:i/>
                <w:iCs/>
                <w:sz w:val="20"/>
                <w:szCs w:val="20"/>
              </w:rPr>
            </w:pPr>
            <w:r w:rsidRPr="009C2E92">
              <w:rPr>
                <w:rFonts w:cs="Times New Roman"/>
                <w:b/>
                <w:bCs/>
                <w:i/>
                <w:iCs/>
                <w:sz w:val="20"/>
                <w:szCs w:val="20"/>
              </w:rPr>
              <w:t>Number of eligible hospitals/</w:t>
            </w:r>
            <w:r w:rsidR="004367A4">
              <w:rPr>
                <w:rFonts w:cs="Times New Roman"/>
                <w:b/>
                <w:bCs/>
                <w:i/>
                <w:iCs/>
                <w:sz w:val="20"/>
                <w:szCs w:val="20"/>
              </w:rPr>
              <w:t xml:space="preserve"> </w:t>
            </w:r>
            <w:r w:rsidRPr="009C2E92">
              <w:rPr>
                <w:rFonts w:cs="Times New Roman"/>
                <w:b/>
                <w:bCs/>
                <w:i/>
                <w:iCs/>
                <w:sz w:val="20"/>
                <w:szCs w:val="20"/>
              </w:rPr>
              <w:t>CAHs</w:t>
            </w:r>
          </w:p>
        </w:tc>
        <w:tc>
          <w:tcPr>
            <w:tcW w:w="1590" w:type="dxa"/>
            <w:gridSpan w:val="2"/>
          </w:tcPr>
          <w:p w:rsidR="009C2E92" w:rsidRPr="009C2E92" w:rsidP="003339D9" w14:paraId="5DB9C462" w14:textId="0D42F442">
            <w:pPr>
              <w:pStyle w:val="BodyText"/>
              <w:spacing w:before="69"/>
              <w:ind w:left="0" w:right="259"/>
              <w:rPr>
                <w:rFonts w:cs="Times New Roman"/>
                <w:b/>
                <w:bCs/>
                <w:i/>
                <w:iCs/>
                <w:sz w:val="20"/>
                <w:szCs w:val="20"/>
              </w:rPr>
            </w:pPr>
            <w:r>
              <w:rPr>
                <w:rFonts w:cs="Times New Roman"/>
                <w:b/>
                <w:bCs/>
                <w:i/>
                <w:iCs/>
                <w:sz w:val="20"/>
                <w:szCs w:val="20"/>
              </w:rPr>
              <w:t>N</w:t>
            </w:r>
            <w:r w:rsidRPr="009C2E92">
              <w:rPr>
                <w:rFonts w:cs="Times New Roman"/>
                <w:b/>
                <w:bCs/>
                <w:i/>
                <w:iCs/>
                <w:sz w:val="20"/>
                <w:szCs w:val="20"/>
              </w:rPr>
              <w:t>umber records per hospital per quarter</w:t>
            </w:r>
          </w:p>
        </w:tc>
        <w:tc>
          <w:tcPr>
            <w:tcW w:w="1418" w:type="dxa"/>
          </w:tcPr>
          <w:p w:rsidR="009C2E92" w:rsidRPr="009C2E92" w:rsidP="003339D9" w14:paraId="6D53EE4E" w14:textId="2D487A06">
            <w:pPr>
              <w:pStyle w:val="BodyText"/>
              <w:spacing w:before="69"/>
              <w:ind w:left="0" w:right="259"/>
              <w:rPr>
                <w:rFonts w:cs="Times New Roman"/>
                <w:b/>
                <w:bCs/>
                <w:i/>
                <w:iCs/>
                <w:sz w:val="20"/>
                <w:szCs w:val="20"/>
              </w:rPr>
            </w:pPr>
            <w:r w:rsidRPr="009C2E92">
              <w:rPr>
                <w:rFonts w:cs="Times New Roman"/>
                <w:b/>
                <w:bCs/>
                <w:i/>
                <w:iCs/>
                <w:sz w:val="20"/>
                <w:szCs w:val="20"/>
              </w:rPr>
              <w:t>Total Burden Hours for EHR Reporting Period</w:t>
            </w:r>
            <w:r w:rsidR="000659E9">
              <w:rPr>
                <w:rFonts w:cs="Times New Roman"/>
                <w:b/>
                <w:bCs/>
                <w:i/>
                <w:iCs/>
                <w:sz w:val="20"/>
                <w:szCs w:val="20"/>
              </w:rPr>
              <w:t xml:space="preserve"> in CY 2024</w:t>
            </w:r>
          </w:p>
        </w:tc>
      </w:tr>
      <w:tr w14:paraId="314F9C84" w14:textId="77777777" w:rsidTr="004367A4">
        <w:tblPrEx>
          <w:tblW w:w="11160" w:type="dxa"/>
          <w:tblInd w:w="-905" w:type="dxa"/>
          <w:tblLook w:val="04A0"/>
        </w:tblPrEx>
        <w:tc>
          <w:tcPr>
            <w:tcW w:w="11160" w:type="dxa"/>
            <w:gridSpan w:val="8"/>
          </w:tcPr>
          <w:p w:rsidR="009C2E92" w:rsidRPr="00323490" w:rsidP="004367A4" w14:paraId="6314D581" w14:textId="3AAFD39F">
            <w:pPr>
              <w:pStyle w:val="BodyText"/>
              <w:spacing w:before="69"/>
              <w:ind w:left="0" w:right="2508"/>
              <w:rPr>
                <w:rFonts w:cs="Times New Roman"/>
                <w:b/>
                <w:bCs/>
                <w:sz w:val="20"/>
                <w:szCs w:val="20"/>
              </w:rPr>
            </w:pPr>
            <w:r w:rsidRPr="00323490">
              <w:rPr>
                <w:rFonts w:cs="Times New Roman"/>
                <w:b/>
                <w:bCs/>
                <w:sz w:val="20"/>
                <w:szCs w:val="20"/>
              </w:rPr>
              <w:t xml:space="preserve">PROTECT PATIENT HEALTH INFORMATION </w:t>
            </w:r>
          </w:p>
        </w:tc>
      </w:tr>
      <w:tr w14:paraId="2E32DFA6" w14:textId="77777777" w:rsidTr="004367A4">
        <w:tblPrEx>
          <w:tblW w:w="11160" w:type="dxa"/>
          <w:tblInd w:w="-905" w:type="dxa"/>
          <w:tblLook w:val="04A0"/>
        </w:tblPrEx>
        <w:tc>
          <w:tcPr>
            <w:tcW w:w="3646" w:type="dxa"/>
          </w:tcPr>
          <w:p w:rsidR="009C2E92" w:rsidRPr="00323490" w:rsidP="003339D9" w14:paraId="563447F2" w14:textId="0A48CD6F">
            <w:pPr>
              <w:pStyle w:val="BodyText"/>
              <w:spacing w:before="69"/>
              <w:ind w:left="0" w:right="259"/>
              <w:rPr>
                <w:rFonts w:cs="Times New Roman"/>
                <w:sz w:val="20"/>
                <w:szCs w:val="20"/>
              </w:rPr>
            </w:pPr>
            <w:r w:rsidRPr="00323490">
              <w:rPr>
                <w:rFonts w:cs="Times New Roman"/>
                <w:sz w:val="20"/>
                <w:szCs w:val="20"/>
              </w:rPr>
              <w:t>Security Risk Analysis Measure</w:t>
            </w:r>
          </w:p>
        </w:tc>
        <w:tc>
          <w:tcPr>
            <w:tcW w:w="1638" w:type="dxa"/>
          </w:tcPr>
          <w:p w:rsidR="009C2E92" w:rsidRPr="00323490" w:rsidP="009C2E92" w14:paraId="2EB90082" w14:textId="1E6AE7FD">
            <w:pPr>
              <w:pStyle w:val="BodyText"/>
              <w:spacing w:before="69"/>
              <w:ind w:left="0" w:right="259"/>
              <w:jc w:val="center"/>
              <w:rPr>
                <w:rFonts w:cs="Times New Roman"/>
                <w:sz w:val="20"/>
                <w:szCs w:val="20"/>
              </w:rPr>
            </w:pPr>
            <w:r>
              <w:rPr>
                <w:rFonts w:cs="Times New Roman"/>
                <w:sz w:val="20"/>
                <w:szCs w:val="20"/>
              </w:rPr>
              <w:t>360</w:t>
            </w:r>
          </w:p>
        </w:tc>
        <w:tc>
          <w:tcPr>
            <w:tcW w:w="1428" w:type="dxa"/>
            <w:gridSpan w:val="2"/>
          </w:tcPr>
          <w:p w:rsidR="009C2E92" w:rsidP="004367A4" w14:paraId="1522F44C" w14:textId="78F4A4EF">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0A553CCB" w14:textId="3AEC4514">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07FBF2D4" w14:textId="58B77D5C">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0309E8C1" w14:textId="5B2D0114">
            <w:pPr>
              <w:pStyle w:val="BodyText"/>
              <w:spacing w:before="69"/>
              <w:ind w:left="0" w:right="259"/>
              <w:jc w:val="center"/>
              <w:rPr>
                <w:rFonts w:cs="Times New Roman"/>
                <w:sz w:val="20"/>
                <w:szCs w:val="20"/>
              </w:rPr>
            </w:pPr>
            <w:r>
              <w:rPr>
                <w:rFonts w:cs="Times New Roman"/>
                <w:sz w:val="20"/>
                <w:szCs w:val="20"/>
              </w:rPr>
              <w:t>27,300</w:t>
            </w:r>
          </w:p>
        </w:tc>
      </w:tr>
      <w:tr w14:paraId="1AEA8DC0" w14:textId="77777777" w:rsidTr="004367A4">
        <w:tblPrEx>
          <w:tblW w:w="11160" w:type="dxa"/>
          <w:tblInd w:w="-905" w:type="dxa"/>
          <w:tblLook w:val="04A0"/>
        </w:tblPrEx>
        <w:tc>
          <w:tcPr>
            <w:tcW w:w="3646" w:type="dxa"/>
          </w:tcPr>
          <w:p w:rsidR="009C2E92" w:rsidRPr="00323490" w:rsidP="003339D9" w14:paraId="70BAAB3C" w14:textId="69B24B8A">
            <w:pPr>
              <w:pStyle w:val="BodyText"/>
              <w:spacing w:before="69"/>
              <w:ind w:left="0" w:right="259"/>
              <w:rPr>
                <w:rFonts w:cs="Times New Roman"/>
                <w:sz w:val="20"/>
                <w:szCs w:val="20"/>
              </w:rPr>
            </w:pPr>
            <w:r w:rsidRPr="00323490">
              <w:rPr>
                <w:rFonts w:cs="Times New Roman"/>
                <w:sz w:val="20"/>
                <w:szCs w:val="20"/>
              </w:rPr>
              <w:t>SAFER Guides Measure</w:t>
            </w:r>
          </w:p>
        </w:tc>
        <w:tc>
          <w:tcPr>
            <w:tcW w:w="1638" w:type="dxa"/>
          </w:tcPr>
          <w:p w:rsidR="009C2E92" w:rsidRPr="00323490" w:rsidP="009C2E92" w14:paraId="44481C06" w14:textId="06528E29">
            <w:pPr>
              <w:pStyle w:val="BodyText"/>
              <w:spacing w:before="69"/>
              <w:ind w:left="0" w:right="259"/>
              <w:jc w:val="center"/>
              <w:rPr>
                <w:rFonts w:cs="Times New Roman"/>
                <w:sz w:val="20"/>
                <w:szCs w:val="20"/>
              </w:rPr>
            </w:pPr>
            <w:r>
              <w:rPr>
                <w:rFonts w:cs="Times New Roman"/>
                <w:sz w:val="20"/>
                <w:szCs w:val="20"/>
              </w:rPr>
              <w:t>1</w:t>
            </w:r>
          </w:p>
        </w:tc>
        <w:tc>
          <w:tcPr>
            <w:tcW w:w="1428" w:type="dxa"/>
            <w:gridSpan w:val="2"/>
          </w:tcPr>
          <w:p w:rsidR="009C2E92" w:rsidP="009C2E92" w14:paraId="7BA18C33" w14:textId="5C685657">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1D67FC81" w14:textId="7902CDE4">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6B38AEEC" w14:textId="125111BC">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394EB10A" w14:textId="5EEDEB3C">
            <w:pPr>
              <w:pStyle w:val="BodyText"/>
              <w:spacing w:before="69"/>
              <w:ind w:left="0" w:right="259"/>
              <w:jc w:val="center"/>
              <w:rPr>
                <w:rFonts w:cs="Times New Roman"/>
                <w:sz w:val="20"/>
                <w:szCs w:val="20"/>
              </w:rPr>
            </w:pPr>
            <w:r>
              <w:rPr>
                <w:rFonts w:cs="Times New Roman"/>
                <w:sz w:val="20"/>
                <w:szCs w:val="20"/>
              </w:rPr>
              <w:t>76</w:t>
            </w:r>
          </w:p>
        </w:tc>
      </w:tr>
      <w:tr w14:paraId="2644AFE7" w14:textId="77777777" w:rsidTr="004367A4">
        <w:tblPrEx>
          <w:tblW w:w="11160" w:type="dxa"/>
          <w:tblInd w:w="-905" w:type="dxa"/>
          <w:tblLook w:val="04A0"/>
        </w:tblPrEx>
        <w:tc>
          <w:tcPr>
            <w:tcW w:w="11160" w:type="dxa"/>
            <w:gridSpan w:val="8"/>
            <w:shd w:val="clear" w:color="auto" w:fill="D9D9D9" w:themeFill="background1" w:themeFillShade="D9"/>
          </w:tcPr>
          <w:p w:rsidR="009C2E92" w:rsidRPr="00323490" w:rsidP="003339D9" w14:paraId="5B2B46B7" w14:textId="789B85FF">
            <w:pPr>
              <w:pStyle w:val="BodyText"/>
              <w:spacing w:before="69"/>
              <w:ind w:left="0" w:right="259"/>
              <w:rPr>
                <w:rFonts w:cs="Times New Roman"/>
                <w:sz w:val="20"/>
                <w:szCs w:val="20"/>
              </w:rPr>
            </w:pPr>
          </w:p>
        </w:tc>
      </w:tr>
      <w:tr w14:paraId="718DB170" w14:textId="77777777" w:rsidTr="004367A4">
        <w:tblPrEx>
          <w:tblW w:w="11160" w:type="dxa"/>
          <w:tblInd w:w="-905" w:type="dxa"/>
          <w:tblLook w:val="04A0"/>
        </w:tblPrEx>
        <w:tc>
          <w:tcPr>
            <w:tcW w:w="11160" w:type="dxa"/>
            <w:gridSpan w:val="8"/>
          </w:tcPr>
          <w:p w:rsidR="009C2E92" w:rsidRPr="00323490" w:rsidP="003339D9" w14:paraId="5F26E0DF" w14:textId="551DD498">
            <w:pPr>
              <w:pStyle w:val="BodyText"/>
              <w:spacing w:before="69"/>
              <w:ind w:left="0" w:right="259"/>
              <w:rPr>
                <w:rFonts w:cs="Times New Roman"/>
                <w:b/>
                <w:bCs/>
                <w:sz w:val="20"/>
                <w:szCs w:val="20"/>
              </w:rPr>
            </w:pPr>
            <w:r w:rsidRPr="00323490">
              <w:rPr>
                <w:rFonts w:cs="Times New Roman"/>
                <w:b/>
                <w:bCs/>
                <w:sz w:val="20"/>
                <w:szCs w:val="20"/>
              </w:rPr>
              <w:t>ELECTRONIC PRESCRIBING</w:t>
            </w:r>
          </w:p>
        </w:tc>
      </w:tr>
      <w:tr w14:paraId="726E3396" w14:textId="77777777" w:rsidTr="004367A4">
        <w:tblPrEx>
          <w:tblW w:w="11160" w:type="dxa"/>
          <w:tblInd w:w="-905" w:type="dxa"/>
          <w:tblLook w:val="04A0"/>
        </w:tblPrEx>
        <w:tc>
          <w:tcPr>
            <w:tcW w:w="3646" w:type="dxa"/>
          </w:tcPr>
          <w:p w:rsidR="009C2E92" w:rsidRPr="00323490" w:rsidP="003339D9" w14:paraId="63DCFB23" w14:textId="2A22FC57">
            <w:pPr>
              <w:pStyle w:val="BodyText"/>
              <w:spacing w:before="69"/>
              <w:ind w:left="0" w:right="259"/>
              <w:rPr>
                <w:rFonts w:cs="Times New Roman"/>
                <w:sz w:val="20"/>
                <w:szCs w:val="20"/>
              </w:rPr>
            </w:pPr>
            <w:r w:rsidRPr="00323490">
              <w:rPr>
                <w:rFonts w:cs="Times New Roman"/>
                <w:sz w:val="20"/>
                <w:szCs w:val="20"/>
              </w:rPr>
              <w:t>e-Prescribing Measure</w:t>
            </w:r>
          </w:p>
        </w:tc>
        <w:tc>
          <w:tcPr>
            <w:tcW w:w="1638" w:type="dxa"/>
          </w:tcPr>
          <w:p w:rsidR="009C2E92" w:rsidRPr="00323490" w:rsidP="009C2E92" w14:paraId="2F9B6BD2" w14:textId="175D9330">
            <w:pPr>
              <w:pStyle w:val="BodyText"/>
              <w:spacing w:before="69"/>
              <w:ind w:left="0" w:right="259"/>
              <w:jc w:val="center"/>
              <w:rPr>
                <w:rFonts w:cs="Times New Roman"/>
                <w:sz w:val="20"/>
                <w:szCs w:val="20"/>
              </w:rPr>
            </w:pPr>
            <w:r>
              <w:rPr>
                <w:rFonts w:cs="Times New Roman"/>
                <w:sz w:val="20"/>
                <w:szCs w:val="20"/>
              </w:rPr>
              <w:t>10</w:t>
            </w:r>
          </w:p>
        </w:tc>
        <w:tc>
          <w:tcPr>
            <w:tcW w:w="1428" w:type="dxa"/>
            <w:gridSpan w:val="2"/>
          </w:tcPr>
          <w:p w:rsidR="009C2E92" w:rsidP="009C2E92" w14:paraId="1A974664" w14:textId="29C528A4">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788425A9" w14:textId="151325A1">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34808161" w14:textId="4B220E92">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00A5C474" w14:textId="3EC37738">
            <w:pPr>
              <w:pStyle w:val="BodyText"/>
              <w:spacing w:before="69"/>
              <w:ind w:left="0" w:right="259"/>
              <w:jc w:val="center"/>
              <w:rPr>
                <w:rFonts w:cs="Times New Roman"/>
                <w:sz w:val="20"/>
                <w:szCs w:val="20"/>
              </w:rPr>
            </w:pPr>
            <w:r>
              <w:rPr>
                <w:rFonts w:cs="Times New Roman"/>
                <w:sz w:val="20"/>
                <w:szCs w:val="20"/>
              </w:rPr>
              <w:t>758</w:t>
            </w:r>
          </w:p>
        </w:tc>
      </w:tr>
      <w:tr w14:paraId="49618D03" w14:textId="77777777" w:rsidTr="004367A4">
        <w:tblPrEx>
          <w:tblW w:w="11160" w:type="dxa"/>
          <w:tblInd w:w="-905" w:type="dxa"/>
          <w:tblLook w:val="04A0"/>
        </w:tblPrEx>
        <w:tc>
          <w:tcPr>
            <w:tcW w:w="3646" w:type="dxa"/>
          </w:tcPr>
          <w:p w:rsidR="009C2E92" w:rsidRPr="00323490" w:rsidP="003339D9" w14:paraId="08BDEA19" w14:textId="28AA082F">
            <w:pPr>
              <w:pStyle w:val="BodyText"/>
              <w:spacing w:before="69"/>
              <w:ind w:left="0" w:right="259"/>
              <w:rPr>
                <w:rFonts w:cs="Times New Roman"/>
                <w:sz w:val="20"/>
                <w:szCs w:val="20"/>
              </w:rPr>
            </w:pPr>
            <w:r w:rsidRPr="00323490">
              <w:rPr>
                <w:rFonts w:cs="Times New Roman"/>
                <w:sz w:val="20"/>
                <w:szCs w:val="20"/>
              </w:rPr>
              <w:t xml:space="preserve">Query of </w:t>
            </w:r>
            <w:r w:rsidR="003A104D">
              <w:rPr>
                <w:rFonts w:cs="Times New Roman"/>
                <w:sz w:val="20"/>
                <w:szCs w:val="20"/>
              </w:rPr>
              <w:t>PDMP</w:t>
            </w:r>
            <w:r w:rsidRPr="00323490">
              <w:rPr>
                <w:rFonts w:cs="Times New Roman"/>
                <w:sz w:val="20"/>
                <w:szCs w:val="20"/>
              </w:rPr>
              <w:t xml:space="preserve"> Measure</w:t>
            </w:r>
          </w:p>
        </w:tc>
        <w:tc>
          <w:tcPr>
            <w:tcW w:w="1638" w:type="dxa"/>
          </w:tcPr>
          <w:p w:rsidR="009C2E92" w:rsidRPr="00323490" w:rsidP="009C2E92" w14:paraId="78CA6F9C" w14:textId="70F90C73">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5B06E9BB" w14:textId="0BB4D7AD">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0928AC29" w14:textId="387426F2">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5C0DAE7B" w14:textId="7495D67F">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7861575D" w14:textId="7544F4EB">
            <w:pPr>
              <w:pStyle w:val="BodyText"/>
              <w:spacing w:before="69"/>
              <w:ind w:left="0" w:right="259"/>
              <w:jc w:val="center"/>
              <w:rPr>
                <w:rFonts w:cs="Times New Roman"/>
                <w:sz w:val="20"/>
                <w:szCs w:val="20"/>
              </w:rPr>
            </w:pPr>
            <w:r>
              <w:rPr>
                <w:rFonts w:cs="Times New Roman"/>
                <w:sz w:val="20"/>
                <w:szCs w:val="20"/>
              </w:rPr>
              <w:t>38</w:t>
            </w:r>
          </w:p>
        </w:tc>
      </w:tr>
      <w:tr w14:paraId="400C5BB7" w14:textId="77777777" w:rsidTr="004367A4">
        <w:tblPrEx>
          <w:tblW w:w="11160" w:type="dxa"/>
          <w:tblInd w:w="-905" w:type="dxa"/>
          <w:tblLook w:val="04A0"/>
        </w:tblPrEx>
        <w:tc>
          <w:tcPr>
            <w:tcW w:w="11160" w:type="dxa"/>
            <w:gridSpan w:val="8"/>
            <w:shd w:val="clear" w:color="auto" w:fill="D9D9D9" w:themeFill="background1" w:themeFillShade="D9"/>
          </w:tcPr>
          <w:p w:rsidR="009C2E92" w:rsidRPr="00323490" w:rsidP="003339D9" w14:paraId="102A4100" w14:textId="13EB7C81">
            <w:pPr>
              <w:pStyle w:val="BodyText"/>
              <w:spacing w:before="69"/>
              <w:ind w:left="0" w:right="259"/>
              <w:rPr>
                <w:rFonts w:cs="Times New Roman"/>
                <w:sz w:val="20"/>
                <w:szCs w:val="20"/>
              </w:rPr>
            </w:pPr>
          </w:p>
        </w:tc>
      </w:tr>
      <w:tr w14:paraId="4171DF8F" w14:textId="77777777" w:rsidTr="004367A4">
        <w:tblPrEx>
          <w:tblW w:w="11160" w:type="dxa"/>
          <w:tblInd w:w="-905" w:type="dxa"/>
          <w:tblLook w:val="04A0"/>
        </w:tblPrEx>
        <w:tc>
          <w:tcPr>
            <w:tcW w:w="11160" w:type="dxa"/>
            <w:gridSpan w:val="8"/>
          </w:tcPr>
          <w:p w:rsidR="009C2E92" w:rsidRPr="00323490" w:rsidP="003339D9" w14:paraId="2088F6D4" w14:textId="38B0A70A">
            <w:pPr>
              <w:pStyle w:val="BodyText"/>
              <w:spacing w:before="69"/>
              <w:ind w:left="0" w:right="259"/>
              <w:rPr>
                <w:rFonts w:cs="Times New Roman"/>
                <w:b/>
                <w:bCs/>
                <w:sz w:val="20"/>
                <w:szCs w:val="20"/>
              </w:rPr>
            </w:pPr>
            <w:r w:rsidRPr="00323490">
              <w:rPr>
                <w:rFonts w:cs="Times New Roman"/>
                <w:b/>
                <w:bCs/>
                <w:sz w:val="20"/>
                <w:szCs w:val="20"/>
              </w:rPr>
              <w:t>HEALTH INFORMATION EXCHANGE</w:t>
            </w:r>
          </w:p>
        </w:tc>
      </w:tr>
      <w:tr w14:paraId="50DC85B9" w14:textId="77777777" w:rsidTr="004367A4">
        <w:tblPrEx>
          <w:tblW w:w="11160" w:type="dxa"/>
          <w:tblInd w:w="-905" w:type="dxa"/>
          <w:tblLook w:val="04A0"/>
        </w:tblPrEx>
        <w:tc>
          <w:tcPr>
            <w:tcW w:w="3646" w:type="dxa"/>
          </w:tcPr>
          <w:p w:rsidR="009C2E92" w:rsidRPr="00323490" w:rsidP="003339D9" w14:paraId="14C93554" w14:textId="77777777">
            <w:pPr>
              <w:pStyle w:val="BodyText"/>
              <w:spacing w:before="69"/>
              <w:ind w:left="0" w:right="259"/>
              <w:rPr>
                <w:rFonts w:cs="Times New Roman"/>
                <w:sz w:val="20"/>
                <w:szCs w:val="20"/>
              </w:rPr>
            </w:pPr>
            <w:r w:rsidRPr="00323490">
              <w:rPr>
                <w:rFonts w:cs="Times New Roman"/>
                <w:sz w:val="20"/>
                <w:szCs w:val="20"/>
              </w:rPr>
              <w:t>Support Electronic Referral Loops by Sending Health Information and Support Electronic Referral Loops by Receiving and Reconciling Health Information Measures</w:t>
            </w:r>
          </w:p>
          <w:p w:rsidR="009C2E92" w:rsidRPr="00323490" w:rsidP="003339D9" w14:paraId="5080FEE4" w14:textId="77777777">
            <w:pPr>
              <w:pStyle w:val="BodyText"/>
              <w:spacing w:before="69"/>
              <w:ind w:left="0" w:right="259"/>
              <w:rPr>
                <w:rFonts w:cs="Times New Roman"/>
                <w:sz w:val="20"/>
                <w:szCs w:val="20"/>
              </w:rPr>
            </w:pPr>
            <w:r w:rsidRPr="00323490">
              <w:rPr>
                <w:rFonts w:cs="Times New Roman"/>
                <w:sz w:val="20"/>
                <w:szCs w:val="20"/>
              </w:rPr>
              <w:t>OR</w:t>
            </w:r>
          </w:p>
          <w:p w:rsidR="009C2E92" w:rsidRPr="00323490" w:rsidP="003339D9" w14:paraId="27DC6B85" w14:textId="1DEFDD5E">
            <w:pPr>
              <w:pStyle w:val="BodyText"/>
              <w:spacing w:before="69"/>
              <w:ind w:left="0" w:right="259"/>
              <w:rPr>
                <w:rFonts w:cs="Times New Roman"/>
                <w:sz w:val="20"/>
                <w:szCs w:val="20"/>
              </w:rPr>
            </w:pPr>
            <w:r>
              <w:rPr>
                <w:rFonts w:cs="Times New Roman"/>
                <w:sz w:val="20"/>
                <w:szCs w:val="20"/>
              </w:rPr>
              <w:t xml:space="preserve">HIE </w:t>
            </w:r>
            <w:r w:rsidRPr="00323490">
              <w:rPr>
                <w:rFonts w:cs="Times New Roman"/>
                <w:sz w:val="20"/>
                <w:szCs w:val="20"/>
              </w:rPr>
              <w:t>Bi-Directional Exchange Measure</w:t>
            </w:r>
          </w:p>
          <w:p w:rsidR="009C2E92" w:rsidRPr="00323490" w:rsidP="003339D9" w14:paraId="3542A499" w14:textId="77777777">
            <w:pPr>
              <w:pStyle w:val="BodyText"/>
              <w:spacing w:before="69"/>
              <w:ind w:left="0" w:right="259"/>
              <w:rPr>
                <w:rFonts w:cs="Times New Roman"/>
                <w:sz w:val="20"/>
                <w:szCs w:val="20"/>
              </w:rPr>
            </w:pPr>
            <w:r w:rsidRPr="00323490">
              <w:rPr>
                <w:rFonts w:cs="Times New Roman"/>
                <w:sz w:val="20"/>
                <w:szCs w:val="20"/>
              </w:rPr>
              <w:t>OR</w:t>
            </w:r>
          </w:p>
          <w:p w:rsidR="009C2E92" w:rsidRPr="00323490" w:rsidP="003339D9" w14:paraId="0D3DAF56" w14:textId="6A8CC572">
            <w:pPr>
              <w:pStyle w:val="BodyText"/>
              <w:spacing w:before="69"/>
              <w:ind w:left="0" w:right="259"/>
              <w:rPr>
                <w:rFonts w:cs="Times New Roman"/>
                <w:sz w:val="20"/>
                <w:szCs w:val="20"/>
              </w:rPr>
            </w:pPr>
            <w:r w:rsidRPr="00323490">
              <w:rPr>
                <w:rFonts w:cs="Times New Roman"/>
                <w:sz w:val="20"/>
                <w:szCs w:val="20"/>
              </w:rPr>
              <w:t>Enabling Information Exchange Under the TEFCA Measure</w:t>
            </w:r>
          </w:p>
        </w:tc>
        <w:tc>
          <w:tcPr>
            <w:tcW w:w="1638" w:type="dxa"/>
          </w:tcPr>
          <w:p w:rsidR="009C2E92" w:rsidRPr="00323490" w:rsidP="009C2E92" w14:paraId="127C2D3E" w14:textId="770304AE">
            <w:pPr>
              <w:pStyle w:val="BodyText"/>
              <w:spacing w:before="69"/>
              <w:ind w:left="0" w:right="259"/>
              <w:jc w:val="center"/>
              <w:rPr>
                <w:rFonts w:cs="Times New Roman"/>
                <w:sz w:val="20"/>
                <w:szCs w:val="20"/>
              </w:rPr>
            </w:pPr>
            <w:r>
              <w:rPr>
                <w:rFonts w:cs="Times New Roman"/>
                <w:sz w:val="20"/>
                <w:szCs w:val="20"/>
              </w:rPr>
              <w:t>10</w:t>
            </w:r>
          </w:p>
        </w:tc>
        <w:tc>
          <w:tcPr>
            <w:tcW w:w="1428" w:type="dxa"/>
            <w:gridSpan w:val="2"/>
          </w:tcPr>
          <w:p w:rsidR="009C2E92" w:rsidP="009C2E92" w14:paraId="696803D0" w14:textId="33C2AEE3">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40E06370" w14:textId="534DC414">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21957096" w14:textId="3352AFB6">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7B539733" w14:textId="6815066D">
            <w:pPr>
              <w:pStyle w:val="BodyText"/>
              <w:spacing w:before="69"/>
              <w:ind w:left="0" w:right="259"/>
              <w:jc w:val="center"/>
              <w:rPr>
                <w:rFonts w:cs="Times New Roman"/>
                <w:sz w:val="20"/>
                <w:szCs w:val="20"/>
              </w:rPr>
            </w:pPr>
            <w:r>
              <w:rPr>
                <w:rFonts w:cs="Times New Roman"/>
                <w:sz w:val="20"/>
                <w:szCs w:val="20"/>
              </w:rPr>
              <w:t>758</w:t>
            </w:r>
          </w:p>
        </w:tc>
      </w:tr>
      <w:tr w14:paraId="4EF586D1" w14:textId="77777777" w:rsidTr="004367A4">
        <w:tblPrEx>
          <w:tblW w:w="11160" w:type="dxa"/>
          <w:tblInd w:w="-905" w:type="dxa"/>
          <w:tblLook w:val="04A0"/>
        </w:tblPrEx>
        <w:tc>
          <w:tcPr>
            <w:tcW w:w="11160" w:type="dxa"/>
            <w:gridSpan w:val="8"/>
            <w:shd w:val="clear" w:color="auto" w:fill="D9D9D9" w:themeFill="background1" w:themeFillShade="D9"/>
          </w:tcPr>
          <w:p w:rsidR="009C2E92" w:rsidRPr="00323490" w:rsidP="003339D9" w14:paraId="49975DC7" w14:textId="551B7712">
            <w:pPr>
              <w:pStyle w:val="BodyText"/>
              <w:spacing w:before="69"/>
              <w:ind w:left="0" w:right="259"/>
              <w:rPr>
                <w:rFonts w:cs="Times New Roman"/>
                <w:b/>
                <w:bCs/>
                <w:sz w:val="20"/>
                <w:szCs w:val="20"/>
              </w:rPr>
            </w:pPr>
          </w:p>
        </w:tc>
      </w:tr>
      <w:tr w14:paraId="7C1B3679" w14:textId="77777777" w:rsidTr="004367A4">
        <w:tblPrEx>
          <w:tblW w:w="11160" w:type="dxa"/>
          <w:tblInd w:w="-905" w:type="dxa"/>
          <w:tblLook w:val="04A0"/>
        </w:tblPrEx>
        <w:tc>
          <w:tcPr>
            <w:tcW w:w="11160" w:type="dxa"/>
            <w:gridSpan w:val="8"/>
          </w:tcPr>
          <w:p w:rsidR="009C2E92" w:rsidRPr="00323490" w:rsidP="003339D9" w14:paraId="7DB3F717" w14:textId="4CB02A3B">
            <w:pPr>
              <w:pStyle w:val="BodyText"/>
              <w:spacing w:before="69"/>
              <w:ind w:left="0" w:right="259"/>
              <w:rPr>
                <w:rFonts w:cs="Times New Roman"/>
                <w:b/>
                <w:bCs/>
                <w:sz w:val="20"/>
                <w:szCs w:val="20"/>
              </w:rPr>
            </w:pPr>
            <w:r w:rsidRPr="00323490">
              <w:rPr>
                <w:rFonts w:cs="Times New Roman"/>
                <w:b/>
                <w:bCs/>
                <w:sz w:val="20"/>
                <w:szCs w:val="20"/>
              </w:rPr>
              <w:t>PROVIDER TO PATIENT EXCHANGE</w:t>
            </w:r>
          </w:p>
        </w:tc>
      </w:tr>
      <w:tr w14:paraId="08CB0099" w14:textId="77777777" w:rsidTr="004367A4">
        <w:tblPrEx>
          <w:tblW w:w="11160" w:type="dxa"/>
          <w:tblInd w:w="-905" w:type="dxa"/>
          <w:tblLook w:val="04A0"/>
        </w:tblPrEx>
        <w:tc>
          <w:tcPr>
            <w:tcW w:w="3646" w:type="dxa"/>
          </w:tcPr>
          <w:p w:rsidR="009C2E92" w:rsidRPr="00323490" w:rsidP="003339D9" w14:paraId="36433F33" w14:textId="1FC6F959">
            <w:pPr>
              <w:pStyle w:val="BodyText"/>
              <w:spacing w:before="69"/>
              <w:ind w:left="0" w:right="259"/>
              <w:rPr>
                <w:rFonts w:cs="Times New Roman"/>
                <w:sz w:val="20"/>
                <w:szCs w:val="20"/>
              </w:rPr>
            </w:pPr>
            <w:r w:rsidRPr="00323490">
              <w:rPr>
                <w:sz w:val="20"/>
                <w:szCs w:val="20"/>
              </w:rPr>
              <w:t xml:space="preserve">Provide Patients Electronic Access to </w:t>
            </w:r>
            <w:r w:rsidRPr="00323490">
              <w:rPr>
                <w:sz w:val="20"/>
                <w:szCs w:val="20"/>
              </w:rPr>
              <w:t>Their Health Information Measure</w:t>
            </w:r>
          </w:p>
        </w:tc>
        <w:tc>
          <w:tcPr>
            <w:tcW w:w="1638" w:type="dxa"/>
          </w:tcPr>
          <w:p w:rsidR="009C2E92" w:rsidRPr="00323490" w:rsidP="009C2E92" w14:paraId="4CDC5AC6" w14:textId="6CBA9BF2">
            <w:pPr>
              <w:pStyle w:val="BodyText"/>
              <w:spacing w:before="69"/>
              <w:ind w:left="0" w:right="259"/>
              <w:jc w:val="center"/>
              <w:rPr>
                <w:rFonts w:cs="Times New Roman"/>
                <w:sz w:val="20"/>
                <w:szCs w:val="20"/>
              </w:rPr>
            </w:pPr>
            <w:r>
              <w:rPr>
                <w:rFonts w:cs="Times New Roman"/>
                <w:sz w:val="20"/>
                <w:szCs w:val="20"/>
              </w:rPr>
              <w:t>10</w:t>
            </w:r>
          </w:p>
        </w:tc>
        <w:tc>
          <w:tcPr>
            <w:tcW w:w="1428" w:type="dxa"/>
            <w:gridSpan w:val="2"/>
          </w:tcPr>
          <w:p w:rsidR="009C2E92" w:rsidP="009C2E92" w14:paraId="369C2CBB" w14:textId="4EBC064B">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3C933034" w14:textId="0E21829B">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2660153F" w14:textId="19B3DFF5">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75ACFF4C" w14:textId="5DC6918F">
            <w:pPr>
              <w:pStyle w:val="BodyText"/>
              <w:spacing w:before="69"/>
              <w:ind w:left="0" w:right="259"/>
              <w:jc w:val="center"/>
              <w:rPr>
                <w:rFonts w:cs="Times New Roman"/>
                <w:sz w:val="20"/>
                <w:szCs w:val="20"/>
              </w:rPr>
            </w:pPr>
            <w:r>
              <w:rPr>
                <w:rFonts w:cs="Times New Roman"/>
                <w:sz w:val="20"/>
                <w:szCs w:val="20"/>
              </w:rPr>
              <w:t>758</w:t>
            </w:r>
          </w:p>
        </w:tc>
      </w:tr>
      <w:tr w14:paraId="7BF0DF9B" w14:textId="77777777" w:rsidTr="004367A4">
        <w:tblPrEx>
          <w:tblW w:w="11160" w:type="dxa"/>
          <w:tblInd w:w="-905" w:type="dxa"/>
          <w:tblLook w:val="04A0"/>
        </w:tblPrEx>
        <w:tc>
          <w:tcPr>
            <w:tcW w:w="11160" w:type="dxa"/>
            <w:gridSpan w:val="8"/>
            <w:shd w:val="clear" w:color="auto" w:fill="D9D9D9" w:themeFill="background1" w:themeFillShade="D9"/>
          </w:tcPr>
          <w:p w:rsidR="009C2E92" w:rsidRPr="00323490" w:rsidP="003339D9" w14:paraId="0315F1FB" w14:textId="4F1BE176">
            <w:pPr>
              <w:pStyle w:val="BodyText"/>
              <w:spacing w:before="69"/>
              <w:ind w:left="0" w:right="259"/>
              <w:rPr>
                <w:rFonts w:cs="Times New Roman"/>
                <w:sz w:val="20"/>
                <w:szCs w:val="20"/>
              </w:rPr>
            </w:pPr>
          </w:p>
        </w:tc>
      </w:tr>
      <w:tr w14:paraId="0F88B8F3" w14:textId="77777777" w:rsidTr="004367A4">
        <w:tblPrEx>
          <w:tblW w:w="11160" w:type="dxa"/>
          <w:tblInd w:w="-905" w:type="dxa"/>
          <w:tblLook w:val="04A0"/>
        </w:tblPrEx>
        <w:tc>
          <w:tcPr>
            <w:tcW w:w="11160" w:type="dxa"/>
            <w:gridSpan w:val="8"/>
          </w:tcPr>
          <w:p w:rsidR="009C2E92" w:rsidRPr="00323490" w:rsidP="003339D9" w14:paraId="30B44A07" w14:textId="0DE048E5">
            <w:pPr>
              <w:pStyle w:val="BodyText"/>
              <w:spacing w:before="69"/>
              <w:ind w:left="0" w:right="259"/>
              <w:rPr>
                <w:rFonts w:cs="Times New Roman"/>
                <w:b/>
                <w:bCs/>
                <w:sz w:val="20"/>
                <w:szCs w:val="20"/>
              </w:rPr>
            </w:pPr>
            <w:r w:rsidRPr="00323490">
              <w:rPr>
                <w:rFonts w:cs="Times New Roman"/>
                <w:b/>
                <w:bCs/>
                <w:sz w:val="20"/>
                <w:szCs w:val="20"/>
              </w:rPr>
              <w:t>PUBLIC HEALTH AND CLINICAL DATA EXCHANGE</w:t>
            </w:r>
          </w:p>
        </w:tc>
      </w:tr>
      <w:tr w14:paraId="57BF9255" w14:textId="77777777" w:rsidTr="004367A4">
        <w:tblPrEx>
          <w:tblW w:w="11160" w:type="dxa"/>
          <w:tblInd w:w="-905" w:type="dxa"/>
          <w:tblLook w:val="04A0"/>
        </w:tblPrEx>
        <w:tc>
          <w:tcPr>
            <w:tcW w:w="3646" w:type="dxa"/>
          </w:tcPr>
          <w:p w:rsidR="009C2E92" w:rsidRPr="00323490" w:rsidP="003339D9" w14:paraId="04779902" w14:textId="3E03E56A">
            <w:pPr>
              <w:pStyle w:val="BodyText"/>
              <w:spacing w:before="69"/>
              <w:ind w:left="0" w:right="259"/>
              <w:rPr>
                <w:rFonts w:cs="Times New Roman"/>
                <w:sz w:val="20"/>
                <w:szCs w:val="20"/>
              </w:rPr>
            </w:pPr>
            <w:r>
              <w:rPr>
                <w:rFonts w:cs="Times New Roman"/>
                <w:sz w:val="20"/>
                <w:szCs w:val="20"/>
              </w:rPr>
              <w:t>Syndromic Surveillance Reporting Measure</w:t>
            </w:r>
          </w:p>
        </w:tc>
        <w:tc>
          <w:tcPr>
            <w:tcW w:w="1638" w:type="dxa"/>
          </w:tcPr>
          <w:p w:rsidR="009C2E92" w:rsidRPr="00323490" w:rsidP="009C2E92" w14:paraId="7B3599FF" w14:textId="58C04A34">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742FA503" w14:textId="1E4A3E32">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5261B549" w14:textId="571FA5FC">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4F03FA2B" w14:textId="24A37B7E">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09748FDC" w14:textId="7AE08438">
            <w:pPr>
              <w:pStyle w:val="BodyText"/>
              <w:spacing w:before="69"/>
              <w:ind w:left="0" w:right="259"/>
              <w:jc w:val="center"/>
              <w:rPr>
                <w:rFonts w:cs="Times New Roman"/>
                <w:sz w:val="20"/>
                <w:szCs w:val="20"/>
              </w:rPr>
            </w:pPr>
            <w:r>
              <w:rPr>
                <w:rFonts w:cs="Times New Roman"/>
                <w:sz w:val="20"/>
                <w:szCs w:val="20"/>
              </w:rPr>
              <w:t>38</w:t>
            </w:r>
          </w:p>
        </w:tc>
      </w:tr>
      <w:tr w14:paraId="1061A3F2" w14:textId="77777777" w:rsidTr="004367A4">
        <w:tblPrEx>
          <w:tblW w:w="11160" w:type="dxa"/>
          <w:tblInd w:w="-905" w:type="dxa"/>
          <w:tblLook w:val="04A0"/>
        </w:tblPrEx>
        <w:tc>
          <w:tcPr>
            <w:tcW w:w="3646" w:type="dxa"/>
          </w:tcPr>
          <w:p w:rsidR="009C2E92" w:rsidRPr="00323490" w:rsidP="003339D9" w14:paraId="59186D7F" w14:textId="6655E279">
            <w:pPr>
              <w:pStyle w:val="BodyText"/>
              <w:spacing w:before="69"/>
              <w:ind w:left="0" w:right="259"/>
              <w:rPr>
                <w:rFonts w:cs="Times New Roman"/>
                <w:sz w:val="20"/>
                <w:szCs w:val="20"/>
              </w:rPr>
            </w:pPr>
            <w:r>
              <w:rPr>
                <w:rFonts w:cs="Times New Roman"/>
                <w:sz w:val="20"/>
                <w:szCs w:val="20"/>
              </w:rPr>
              <w:t>Immunization Registry Reporting Measure</w:t>
            </w:r>
          </w:p>
        </w:tc>
        <w:tc>
          <w:tcPr>
            <w:tcW w:w="1638" w:type="dxa"/>
          </w:tcPr>
          <w:p w:rsidR="009C2E92" w:rsidRPr="00323490" w:rsidP="009C2E92" w14:paraId="192D8757" w14:textId="7C3190EA">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6D385A95" w14:textId="2140BA90">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02ADE528" w14:textId="62DA5694">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4D2232FB" w14:textId="2EC5612C">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643CED1F" w14:textId="5344A998">
            <w:pPr>
              <w:pStyle w:val="BodyText"/>
              <w:spacing w:before="69"/>
              <w:ind w:left="0" w:right="259"/>
              <w:jc w:val="center"/>
              <w:rPr>
                <w:rFonts w:cs="Times New Roman"/>
                <w:sz w:val="20"/>
                <w:szCs w:val="20"/>
              </w:rPr>
            </w:pPr>
            <w:r>
              <w:rPr>
                <w:rFonts w:cs="Times New Roman"/>
                <w:sz w:val="20"/>
                <w:szCs w:val="20"/>
              </w:rPr>
              <w:t>38</w:t>
            </w:r>
          </w:p>
        </w:tc>
      </w:tr>
      <w:tr w14:paraId="5FC2D06B" w14:textId="77777777" w:rsidTr="004367A4">
        <w:tblPrEx>
          <w:tblW w:w="11160" w:type="dxa"/>
          <w:tblInd w:w="-905" w:type="dxa"/>
          <w:tblLook w:val="04A0"/>
        </w:tblPrEx>
        <w:tc>
          <w:tcPr>
            <w:tcW w:w="3646" w:type="dxa"/>
          </w:tcPr>
          <w:p w:rsidR="009C2E92" w:rsidRPr="00323490" w:rsidP="003339D9" w14:paraId="51146E93" w14:textId="29D846B8">
            <w:pPr>
              <w:pStyle w:val="BodyText"/>
              <w:spacing w:before="69"/>
              <w:ind w:left="0" w:right="259"/>
              <w:rPr>
                <w:rFonts w:cs="Times New Roman"/>
                <w:sz w:val="20"/>
                <w:szCs w:val="20"/>
              </w:rPr>
            </w:pPr>
            <w:r>
              <w:rPr>
                <w:rFonts w:cs="Times New Roman"/>
                <w:sz w:val="20"/>
                <w:szCs w:val="20"/>
              </w:rPr>
              <w:t>Electronic Case Reporting Measure</w:t>
            </w:r>
          </w:p>
        </w:tc>
        <w:tc>
          <w:tcPr>
            <w:tcW w:w="1638" w:type="dxa"/>
          </w:tcPr>
          <w:p w:rsidR="009C2E92" w:rsidRPr="00323490" w:rsidP="009C2E92" w14:paraId="17E2D778" w14:textId="149154DA">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350F741C" w14:textId="4B41FB35">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7470D6CE" w14:textId="25F7F8C5">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15D6201B" w14:textId="652DAB00">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27ED903A" w14:textId="68F6263B">
            <w:pPr>
              <w:pStyle w:val="BodyText"/>
              <w:spacing w:before="69"/>
              <w:ind w:left="0" w:right="259"/>
              <w:jc w:val="center"/>
              <w:rPr>
                <w:rFonts w:cs="Times New Roman"/>
                <w:sz w:val="20"/>
                <w:szCs w:val="20"/>
              </w:rPr>
            </w:pPr>
            <w:r>
              <w:rPr>
                <w:rFonts w:cs="Times New Roman"/>
                <w:sz w:val="20"/>
                <w:szCs w:val="20"/>
              </w:rPr>
              <w:t>38</w:t>
            </w:r>
          </w:p>
        </w:tc>
      </w:tr>
      <w:tr w14:paraId="60FD48FB" w14:textId="77777777" w:rsidTr="004367A4">
        <w:tblPrEx>
          <w:tblW w:w="11160" w:type="dxa"/>
          <w:tblInd w:w="-905" w:type="dxa"/>
          <w:tblLook w:val="04A0"/>
        </w:tblPrEx>
        <w:tc>
          <w:tcPr>
            <w:tcW w:w="3646" w:type="dxa"/>
          </w:tcPr>
          <w:p w:rsidR="009C2E92" w:rsidRPr="00323490" w:rsidP="003339D9" w14:paraId="78F523E2" w14:textId="65C11B35">
            <w:pPr>
              <w:pStyle w:val="BodyText"/>
              <w:spacing w:before="69"/>
              <w:ind w:left="0" w:right="259"/>
              <w:rPr>
                <w:rFonts w:cs="Times New Roman"/>
                <w:sz w:val="20"/>
                <w:szCs w:val="20"/>
              </w:rPr>
            </w:pPr>
            <w:r>
              <w:rPr>
                <w:rFonts w:cs="Times New Roman"/>
                <w:sz w:val="20"/>
                <w:szCs w:val="20"/>
              </w:rPr>
              <w:t>Electronic Reportable Laboratory Result Reporting Measure</w:t>
            </w:r>
          </w:p>
        </w:tc>
        <w:tc>
          <w:tcPr>
            <w:tcW w:w="1638" w:type="dxa"/>
          </w:tcPr>
          <w:p w:rsidR="009C2E92" w:rsidRPr="00323490" w:rsidP="009C2E92" w14:paraId="6F6E833E" w14:textId="2670DBC8">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149EE258" w14:textId="3D4EF260">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7DADE252" w14:textId="2CE62825">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0931CF15" w14:textId="24060CEC">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12D06D49" w14:textId="2CB7D6BE">
            <w:pPr>
              <w:pStyle w:val="BodyText"/>
              <w:spacing w:before="69"/>
              <w:ind w:left="0" w:right="259"/>
              <w:jc w:val="center"/>
              <w:rPr>
                <w:rFonts w:cs="Times New Roman"/>
                <w:sz w:val="20"/>
                <w:szCs w:val="20"/>
              </w:rPr>
            </w:pPr>
            <w:r>
              <w:rPr>
                <w:rFonts w:cs="Times New Roman"/>
                <w:sz w:val="20"/>
                <w:szCs w:val="20"/>
              </w:rPr>
              <w:t>38</w:t>
            </w:r>
          </w:p>
        </w:tc>
      </w:tr>
      <w:tr w14:paraId="731889B4" w14:textId="77777777" w:rsidTr="004367A4">
        <w:tblPrEx>
          <w:tblW w:w="11160" w:type="dxa"/>
          <w:tblInd w:w="-905" w:type="dxa"/>
          <w:tblLook w:val="04A0"/>
        </w:tblPrEx>
        <w:tc>
          <w:tcPr>
            <w:tcW w:w="3646" w:type="dxa"/>
          </w:tcPr>
          <w:p w:rsidR="009C2E92" w:rsidRPr="00323490" w:rsidP="003339D9" w14:paraId="031AEC01" w14:textId="64068F83">
            <w:pPr>
              <w:pStyle w:val="BodyText"/>
              <w:spacing w:before="69"/>
              <w:ind w:left="0" w:right="259"/>
              <w:rPr>
                <w:rFonts w:cs="Times New Roman"/>
                <w:sz w:val="20"/>
                <w:szCs w:val="20"/>
              </w:rPr>
            </w:pPr>
            <w:r w:rsidRPr="00323490">
              <w:rPr>
                <w:sz w:val="20"/>
                <w:szCs w:val="20"/>
              </w:rPr>
              <w:t>AUR Surveillance Measure</w:t>
            </w:r>
          </w:p>
        </w:tc>
        <w:tc>
          <w:tcPr>
            <w:tcW w:w="1638" w:type="dxa"/>
          </w:tcPr>
          <w:p w:rsidR="009C2E92" w:rsidRPr="00323490" w:rsidP="009C2E92" w14:paraId="3ADC9610" w14:textId="52AC3E0E">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685A9E5E" w14:textId="18B529B7">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3B75CA64" w14:textId="2E5E07B6">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36C6B2B3" w14:textId="172A7F1F">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30E2425C" w14:textId="18DD350A">
            <w:pPr>
              <w:pStyle w:val="BodyText"/>
              <w:spacing w:before="69"/>
              <w:ind w:left="0" w:right="259"/>
              <w:jc w:val="center"/>
              <w:rPr>
                <w:rFonts w:cs="Times New Roman"/>
                <w:sz w:val="20"/>
                <w:szCs w:val="20"/>
              </w:rPr>
            </w:pPr>
            <w:r>
              <w:rPr>
                <w:rFonts w:cs="Times New Roman"/>
                <w:sz w:val="20"/>
                <w:szCs w:val="20"/>
              </w:rPr>
              <w:t>38</w:t>
            </w:r>
          </w:p>
        </w:tc>
      </w:tr>
      <w:tr w14:paraId="599C1B3B" w14:textId="77777777" w:rsidTr="004367A4">
        <w:tblPrEx>
          <w:tblW w:w="11160" w:type="dxa"/>
          <w:tblInd w:w="-905" w:type="dxa"/>
          <w:tblLook w:val="04A0"/>
        </w:tblPrEx>
        <w:tc>
          <w:tcPr>
            <w:tcW w:w="3646" w:type="dxa"/>
          </w:tcPr>
          <w:p w:rsidR="009C2E92" w:rsidRPr="00323490" w:rsidP="003339D9" w14:paraId="1836D9A8" w14:textId="4463E0C3">
            <w:pPr>
              <w:pStyle w:val="BodyText"/>
              <w:spacing w:before="69"/>
              <w:ind w:left="0" w:right="259"/>
              <w:rPr>
                <w:rFonts w:cs="Times New Roman"/>
                <w:sz w:val="20"/>
                <w:szCs w:val="20"/>
              </w:rPr>
            </w:pPr>
            <w:r w:rsidRPr="00856A0F">
              <w:rPr>
                <w:rFonts w:cs="Times New Roman"/>
                <w:sz w:val="20"/>
                <w:szCs w:val="20"/>
              </w:rPr>
              <w:t>Submit Level of Active Engagement</w:t>
            </w:r>
          </w:p>
        </w:tc>
        <w:tc>
          <w:tcPr>
            <w:tcW w:w="1638" w:type="dxa"/>
          </w:tcPr>
          <w:p w:rsidR="009C2E92" w:rsidRPr="00323490" w:rsidP="009C2E92" w14:paraId="0B48C2D9" w14:textId="34D573FB">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2CD12A9B" w14:textId="790E06FA">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0167B6E2" w14:textId="777A6066">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5D2C7896" w14:textId="545B8361">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02DFAA7C" w14:textId="6E7826DD">
            <w:pPr>
              <w:pStyle w:val="BodyText"/>
              <w:spacing w:before="69"/>
              <w:ind w:left="0" w:right="259"/>
              <w:jc w:val="center"/>
              <w:rPr>
                <w:rFonts w:cs="Times New Roman"/>
                <w:sz w:val="20"/>
                <w:szCs w:val="20"/>
              </w:rPr>
            </w:pPr>
            <w:r>
              <w:rPr>
                <w:rFonts w:cs="Times New Roman"/>
                <w:sz w:val="20"/>
                <w:szCs w:val="20"/>
              </w:rPr>
              <w:t>38</w:t>
            </w:r>
          </w:p>
        </w:tc>
      </w:tr>
      <w:tr w14:paraId="2C961CA4" w14:textId="77777777" w:rsidTr="004367A4">
        <w:tblPrEx>
          <w:tblW w:w="11160" w:type="dxa"/>
          <w:tblInd w:w="-905" w:type="dxa"/>
          <w:tblLook w:val="04A0"/>
        </w:tblPrEx>
        <w:tc>
          <w:tcPr>
            <w:tcW w:w="3646" w:type="dxa"/>
          </w:tcPr>
          <w:p w:rsidR="009C2E92" w:rsidP="00856A0F" w14:paraId="18766335" w14:textId="3BAE8EDB">
            <w:pPr>
              <w:pStyle w:val="BodyText"/>
              <w:spacing w:before="69"/>
              <w:ind w:left="0" w:right="259"/>
              <w:rPr>
                <w:sz w:val="20"/>
                <w:szCs w:val="20"/>
              </w:rPr>
            </w:pPr>
            <w:r>
              <w:rPr>
                <w:sz w:val="20"/>
                <w:szCs w:val="20"/>
              </w:rPr>
              <w:t>Bonus Measures:</w:t>
            </w:r>
          </w:p>
          <w:p w:rsidR="009C2E92" w:rsidP="00856A0F" w14:paraId="0EBB77FA" w14:textId="77777777">
            <w:pPr>
              <w:pStyle w:val="BodyText"/>
              <w:spacing w:before="69"/>
              <w:ind w:left="0" w:right="259"/>
              <w:rPr>
                <w:sz w:val="20"/>
                <w:szCs w:val="20"/>
              </w:rPr>
            </w:pPr>
            <w:r w:rsidRPr="00856A0F">
              <w:rPr>
                <w:sz w:val="20"/>
                <w:szCs w:val="20"/>
              </w:rPr>
              <w:t>Public Heath Registry Reporting</w:t>
            </w:r>
            <w:r>
              <w:rPr>
                <w:sz w:val="20"/>
                <w:szCs w:val="20"/>
              </w:rPr>
              <w:t xml:space="preserve"> Measure</w:t>
            </w:r>
          </w:p>
          <w:p w:rsidR="009C2E92" w:rsidP="00856A0F" w14:paraId="5731F086" w14:textId="77777777">
            <w:pPr>
              <w:pStyle w:val="BodyText"/>
              <w:spacing w:before="69"/>
              <w:ind w:left="0" w:right="259"/>
              <w:rPr>
                <w:sz w:val="20"/>
                <w:szCs w:val="20"/>
              </w:rPr>
            </w:pPr>
            <w:r>
              <w:rPr>
                <w:sz w:val="20"/>
                <w:szCs w:val="20"/>
              </w:rPr>
              <w:t>OR</w:t>
            </w:r>
          </w:p>
          <w:p w:rsidR="009C2E92" w:rsidRPr="00856A0F" w:rsidP="00856A0F" w14:paraId="7363A3F9" w14:textId="3B0202CB">
            <w:pPr>
              <w:pStyle w:val="BodyText"/>
              <w:spacing w:before="69"/>
              <w:ind w:left="0" w:right="259"/>
              <w:rPr>
                <w:rFonts w:cs="Times New Roman"/>
                <w:sz w:val="20"/>
                <w:szCs w:val="20"/>
              </w:rPr>
            </w:pPr>
            <w:r w:rsidRPr="00856A0F">
              <w:rPr>
                <w:sz w:val="20"/>
                <w:szCs w:val="20"/>
              </w:rPr>
              <w:t>Clinical Data Registry Reporting</w:t>
            </w:r>
            <w:r>
              <w:rPr>
                <w:sz w:val="20"/>
                <w:szCs w:val="20"/>
              </w:rPr>
              <w:t xml:space="preserve"> Measure</w:t>
            </w:r>
          </w:p>
        </w:tc>
        <w:tc>
          <w:tcPr>
            <w:tcW w:w="1638" w:type="dxa"/>
          </w:tcPr>
          <w:p w:rsidR="009C2E92" w:rsidRPr="00323490" w:rsidP="009C2E92" w14:paraId="50967347" w14:textId="7BCF364D">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44B7FD99" w14:textId="2A2E9930">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36D15352" w14:textId="6F5C5865">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3CFCE71E" w14:textId="55CC0624">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1776332E" w14:textId="1B6823CD">
            <w:pPr>
              <w:pStyle w:val="BodyText"/>
              <w:spacing w:before="69"/>
              <w:ind w:left="0" w:right="259"/>
              <w:jc w:val="center"/>
              <w:rPr>
                <w:rFonts w:cs="Times New Roman"/>
                <w:sz w:val="20"/>
                <w:szCs w:val="20"/>
              </w:rPr>
            </w:pPr>
            <w:r>
              <w:rPr>
                <w:rFonts w:cs="Times New Roman"/>
                <w:sz w:val="20"/>
                <w:szCs w:val="20"/>
              </w:rPr>
              <w:t>38</w:t>
            </w:r>
          </w:p>
        </w:tc>
      </w:tr>
      <w:tr w14:paraId="6FB25868" w14:textId="77777777" w:rsidTr="00FE5804">
        <w:tblPrEx>
          <w:tblW w:w="11160" w:type="dxa"/>
          <w:tblInd w:w="-905" w:type="dxa"/>
          <w:tblLook w:val="04A0"/>
        </w:tblPrEx>
        <w:tc>
          <w:tcPr>
            <w:tcW w:w="9720" w:type="dxa"/>
            <w:gridSpan w:val="6"/>
          </w:tcPr>
          <w:p w:rsidR="00FE5804" w:rsidRPr="009C1A3A" w:rsidP="009C1A3A" w14:paraId="28C1A104" w14:textId="66B2D06B">
            <w:pPr>
              <w:pStyle w:val="BodyText"/>
              <w:spacing w:before="69"/>
              <w:ind w:left="0" w:right="259"/>
              <w:rPr>
                <w:rFonts w:cs="Times New Roman"/>
                <w:b/>
                <w:bCs/>
                <w:sz w:val="20"/>
                <w:szCs w:val="20"/>
              </w:rPr>
            </w:pPr>
            <w:r w:rsidRPr="009C1A3A">
              <w:rPr>
                <w:rFonts w:cs="Times New Roman"/>
                <w:b/>
                <w:bCs/>
                <w:sz w:val="20"/>
                <w:szCs w:val="20"/>
              </w:rPr>
              <w:t>T</w:t>
            </w:r>
            <w:r>
              <w:rPr>
                <w:rFonts w:cs="Times New Roman"/>
                <w:b/>
                <w:bCs/>
                <w:sz w:val="20"/>
                <w:szCs w:val="20"/>
              </w:rPr>
              <w:t>otal Burden Hours</w:t>
            </w:r>
          </w:p>
        </w:tc>
        <w:tc>
          <w:tcPr>
            <w:tcW w:w="1440" w:type="dxa"/>
            <w:gridSpan w:val="2"/>
          </w:tcPr>
          <w:p w:rsidR="00FE5804" w:rsidRPr="009C1A3A" w:rsidP="00716E2D" w14:paraId="3EC6E7AB" w14:textId="5A93ACD8">
            <w:pPr>
              <w:pStyle w:val="BodyText"/>
              <w:spacing w:before="69"/>
              <w:ind w:left="0" w:right="259"/>
              <w:jc w:val="right"/>
              <w:rPr>
                <w:rFonts w:cs="Times New Roman"/>
                <w:b/>
                <w:bCs/>
                <w:sz w:val="20"/>
                <w:szCs w:val="20"/>
              </w:rPr>
            </w:pPr>
            <w:r>
              <w:rPr>
                <w:rFonts w:cs="Times New Roman"/>
                <w:b/>
                <w:bCs/>
                <w:sz w:val="20"/>
                <w:szCs w:val="20"/>
              </w:rPr>
              <w:t>29,954</w:t>
            </w:r>
          </w:p>
        </w:tc>
      </w:tr>
      <w:tr w14:paraId="3D598A10" w14:textId="77777777" w:rsidTr="00FE5804">
        <w:tblPrEx>
          <w:tblW w:w="11160" w:type="dxa"/>
          <w:tblInd w:w="-905" w:type="dxa"/>
          <w:tblLook w:val="04A0"/>
        </w:tblPrEx>
        <w:tc>
          <w:tcPr>
            <w:tcW w:w="9720" w:type="dxa"/>
            <w:gridSpan w:val="6"/>
          </w:tcPr>
          <w:p w:rsidR="00FE5804" w:rsidRPr="009C1A3A" w:rsidP="009C1A3A" w14:paraId="7F7A66ED" w14:textId="120D9E50">
            <w:pPr>
              <w:pStyle w:val="BodyText"/>
              <w:spacing w:before="69"/>
              <w:ind w:left="0" w:right="259"/>
              <w:rPr>
                <w:rFonts w:cs="Times New Roman"/>
                <w:b/>
                <w:bCs/>
                <w:sz w:val="20"/>
                <w:szCs w:val="20"/>
              </w:rPr>
            </w:pPr>
            <w:r w:rsidRPr="0ED09818">
              <w:rPr>
                <w:b/>
                <w:bCs/>
                <w:sz w:val="20"/>
                <w:szCs w:val="20"/>
              </w:rPr>
              <w:t xml:space="preserve">Total Burden @ Medical Records </w:t>
            </w:r>
            <w:r>
              <w:rPr>
                <w:b/>
                <w:bCs/>
                <w:sz w:val="20"/>
                <w:szCs w:val="20"/>
              </w:rPr>
              <w:t>Specialist</w:t>
            </w:r>
            <w:r w:rsidRPr="0ED09818">
              <w:rPr>
                <w:b/>
                <w:bCs/>
                <w:sz w:val="20"/>
                <w:szCs w:val="20"/>
              </w:rPr>
              <w:t xml:space="preserve"> labor rate ($</w:t>
            </w:r>
            <w:r>
              <w:rPr>
                <w:b/>
                <w:bCs/>
                <w:sz w:val="20"/>
                <w:szCs w:val="20"/>
              </w:rPr>
              <w:t>52.12</w:t>
            </w:r>
            <w:r w:rsidRPr="0ED09818">
              <w:rPr>
                <w:b/>
                <w:bCs/>
                <w:sz w:val="20"/>
                <w:szCs w:val="20"/>
              </w:rPr>
              <w:t>/</w:t>
            </w:r>
            <w:r w:rsidRPr="0ED09818">
              <w:rPr>
                <w:b/>
                <w:bCs/>
                <w:sz w:val="20"/>
                <w:szCs w:val="20"/>
              </w:rPr>
              <w:t>hr</w:t>
            </w:r>
            <w:r>
              <w:rPr>
                <w:b/>
                <w:bCs/>
                <w:sz w:val="20"/>
                <w:szCs w:val="20"/>
              </w:rPr>
              <w:t>)</w:t>
            </w:r>
          </w:p>
        </w:tc>
        <w:tc>
          <w:tcPr>
            <w:tcW w:w="1440" w:type="dxa"/>
            <w:gridSpan w:val="2"/>
          </w:tcPr>
          <w:p w:rsidR="00FE5804" w:rsidP="00716E2D" w14:paraId="15CB8FD5" w14:textId="781A14CF">
            <w:pPr>
              <w:pStyle w:val="BodyText"/>
              <w:spacing w:before="69"/>
              <w:ind w:left="0" w:right="259"/>
              <w:jc w:val="right"/>
              <w:rPr>
                <w:rFonts w:cs="Times New Roman"/>
                <w:b/>
                <w:bCs/>
                <w:sz w:val="20"/>
                <w:szCs w:val="20"/>
              </w:rPr>
            </w:pPr>
            <w:r>
              <w:rPr>
                <w:rFonts w:cs="Times New Roman"/>
                <w:b/>
                <w:bCs/>
                <w:sz w:val="20"/>
                <w:szCs w:val="20"/>
              </w:rPr>
              <w:t>$1,561,211</w:t>
            </w:r>
          </w:p>
        </w:tc>
      </w:tr>
    </w:tbl>
    <w:p w:rsidR="004C5BBE" w:rsidP="00467B82" w14:paraId="34A6ED46" w14:textId="77777777">
      <w:pPr>
        <w:pStyle w:val="BodyText"/>
        <w:ind w:left="0" w:right="259"/>
      </w:pPr>
    </w:p>
    <w:p w:rsidR="00BB0C74" w:rsidP="00467B82" w14:paraId="0A573BC0" w14:textId="7D67F522">
      <w:pPr>
        <w:pStyle w:val="BodyText"/>
        <w:numPr>
          <w:ilvl w:val="0"/>
          <w:numId w:val="9"/>
        </w:numPr>
        <w:ind w:right="259"/>
        <w:rPr>
          <w:b/>
          <w:bCs/>
        </w:rPr>
      </w:pPr>
      <w:r w:rsidRPr="00BB0C74">
        <w:rPr>
          <w:b/>
          <w:bCs/>
        </w:rPr>
        <w:t>Updated Hourly Wage Rate</w:t>
      </w:r>
    </w:p>
    <w:p w:rsidR="00BB0C74" w:rsidP="00467B82" w14:paraId="46C63F28" w14:textId="77777777">
      <w:pPr>
        <w:pStyle w:val="BodyText"/>
        <w:ind w:left="0" w:right="259"/>
        <w:rPr>
          <w:b/>
          <w:bCs/>
        </w:rPr>
      </w:pPr>
    </w:p>
    <w:p w:rsidR="00BB0C74" w:rsidP="00467B82" w14:paraId="474FB995" w14:textId="2A516E7F">
      <w:pPr>
        <w:pStyle w:val="BodyText"/>
        <w:ind w:left="0" w:right="259"/>
        <w:rPr>
          <w:bCs/>
          <w:color w:val="000000"/>
        </w:rPr>
      </w:pPr>
      <w:r w:rsidRPr="00913A5F">
        <w:t xml:space="preserve">While the most recent data from the </w:t>
      </w:r>
      <w:r w:rsidR="00A1092F">
        <w:t>Bureau of Labor Statistics (</w:t>
      </w:r>
      <w:r w:rsidRPr="00913A5F">
        <w:t>BLS</w:t>
      </w:r>
      <w:r w:rsidR="00A1092F">
        <w:t>)</w:t>
      </w:r>
      <w:r w:rsidRPr="00913A5F">
        <w:t xml:space="preserve"> reflects a median hourly wage of $22.69 per hour for all medical records specialists, $26.06 is the mean hourly wage for “general medical and surgical hospitals,” which is an industry within medical records specialists (we note that BLS does not provide median occupation wage rates for individual industries).</w:t>
      </w:r>
      <w:r>
        <w:rPr>
          <w:vertAlign w:val="superscript"/>
        </w:rPr>
        <w:footnoteReference w:id="4"/>
      </w:r>
      <w:r>
        <w:rPr>
          <w:bCs/>
        </w:rPr>
        <w:t xml:space="preserve"> </w:t>
      </w:r>
      <w:r>
        <w:t xml:space="preserve">  </w:t>
      </w:r>
      <w:r w:rsidRPr="00913A5F">
        <w:t xml:space="preserve">We believe the industry of “general medical and surgical hospitals” is more specific to our settings for use in our calculations than other industries that fall under medical records specialists, such as “office of physicians” or “nursing care facilities.”  We calculate the cost of overhead, including fringe benefits, at 100 percent of the mean hourly wage, consistent with previous years.  This is necessarily a rough adjustment, both because fringe benefits and overhead costs vary significantly by employer and methods of estimating these costs vary widely in the literature.  Nonetheless, we believe that doubling the hourly wage rate ($26.06 × 2 = $52.12) to estimate total cost is a reasonably accurate estimation method.  </w:t>
      </w:r>
      <w:r w:rsidRPr="00D20B3B">
        <w:rPr>
          <w:bCs/>
          <w:color w:val="000000"/>
        </w:rPr>
        <w:t>Accordingly, we will calculate cost burden to hospitals using a wage plus benefits estimate of $52.12 per hour throughout the discussion in this section of this rule for the Medicare Promoting Interoperability Program.</w:t>
      </w:r>
    </w:p>
    <w:p w:rsidR="00BB0C74" w:rsidRPr="00BB0C74" w:rsidP="00467B82" w14:paraId="2D6FEEB3" w14:textId="77777777">
      <w:pPr>
        <w:pStyle w:val="BodyText"/>
        <w:ind w:left="0" w:right="259"/>
        <w:rPr>
          <w:b/>
          <w:bCs/>
        </w:rPr>
      </w:pPr>
    </w:p>
    <w:p w:rsidR="00FC5859" w:rsidRPr="00964881" w:rsidP="00467B82" w14:paraId="6B0F09AB" w14:textId="3FC3BCC6">
      <w:pPr>
        <w:pStyle w:val="BodyText"/>
        <w:numPr>
          <w:ilvl w:val="0"/>
          <w:numId w:val="9"/>
        </w:numPr>
        <w:ind w:right="259"/>
        <w:rPr>
          <w:b/>
          <w:bCs/>
        </w:rPr>
      </w:pPr>
      <w:r w:rsidRPr="00964881">
        <w:rPr>
          <w:b/>
          <w:bCs/>
        </w:rPr>
        <w:t>Protect Patient Health Information Objective</w:t>
      </w:r>
      <w:r w:rsidR="00964881">
        <w:rPr>
          <w:b/>
          <w:bCs/>
        </w:rPr>
        <w:t xml:space="preserve"> Reporting and Submission Burden</w:t>
      </w:r>
    </w:p>
    <w:p w:rsidR="00FF2F0F" w:rsidP="00467B82" w14:paraId="46D9E114" w14:textId="791BA18C">
      <w:pPr>
        <w:pStyle w:val="BodyText"/>
        <w:ind w:left="0" w:right="259"/>
        <w:rPr>
          <w:i/>
          <w:iCs/>
        </w:rPr>
      </w:pPr>
    </w:p>
    <w:p w:rsidR="00D75609" w:rsidP="00467B82" w14:paraId="3E377E62" w14:textId="5F789756">
      <w:pPr>
        <w:pStyle w:val="BodyText"/>
        <w:widowControl/>
        <w:ind w:left="0" w:right="259"/>
      </w:pPr>
      <w:r>
        <w:t xml:space="preserve">As shown in Table 3, under the Protect Patient Health Information Objective, eligible hospitals and CAHs are required to conduct or review a security risk analysis including </w:t>
      </w:r>
      <w:r>
        <w:t xml:space="preserve">addressing the security (to include encryption) of data created or maintained by CEHRT, implement security updates as necessary, and correct identified security deficiencies as part of the provider’s risk management process.  Eligible hospitals and CAHs are also required to complete an annual self-assessment on each of the nine SAFER Guides at any point during the calendar year in which their EHR reporting period occurs.  Eligible hospitals and CAHs must then submit “yes” attestations for both the </w:t>
      </w:r>
      <w:r w:rsidRPr="0027460C">
        <w:t xml:space="preserve">Security Risk Analysis </w:t>
      </w:r>
      <w:r>
        <w:t>and SAFER Guides Reporting measures.</w:t>
      </w:r>
      <w:r w:rsidR="001A3A15">
        <w:t xml:space="preserve">  </w:t>
      </w:r>
      <w:r>
        <w:t>We continue to estimate it will require eligible hospitals and CAHs approximately 6 hours to fulfill the requirements of the Security Risk Analysis measure</w:t>
      </w:r>
      <w:r w:rsidR="003776DB">
        <w:t xml:space="preserve"> and 1 minute to attest to the SAFER Guides Reporting measure</w:t>
      </w:r>
      <w:r w:rsidR="001A3A15">
        <w:t xml:space="preserve"> annually.</w:t>
      </w:r>
      <w:r w:rsidR="003776DB">
        <w:t xml:space="preserve"> </w:t>
      </w:r>
    </w:p>
    <w:p w:rsidR="00A95CCB" w:rsidP="00467B82" w14:paraId="7345A82A" w14:textId="77777777">
      <w:pPr>
        <w:pStyle w:val="BodyText"/>
        <w:widowControl/>
        <w:ind w:left="0" w:right="259"/>
      </w:pPr>
    </w:p>
    <w:p w:rsidR="00A95CCB" w:rsidP="00A95CCB" w14:paraId="7E23B474" w14:textId="67BC3EE1">
      <w:pPr>
        <w:pStyle w:val="BodyText"/>
        <w:ind w:left="0" w:right="259"/>
      </w:pPr>
      <w:r w:rsidRPr="00C17910">
        <w:rPr>
          <w:rFonts w:cs="Times New Roman"/>
        </w:rPr>
        <w:t xml:space="preserve">In the </w:t>
      </w:r>
      <w:r w:rsidRPr="00A95CCB">
        <w:rPr>
          <w:rFonts w:cs="Times New Roman"/>
        </w:rPr>
        <w:t>Medicare and Medicaid Programs; Patient Protection and Affordable Care Act; Interoperability and Patient Access for Medicare Advantage Organization and Medicaid Managed Care Plans, State Medicaid Agencies, CHIP Agencies and CHIP Managed Care Entities, Issuers of Qualified Health Plans on the Federally-facilitated Exchanges and Health Care Provider</w:t>
      </w:r>
      <w:r w:rsidRPr="00C17910">
        <w:rPr>
          <w:rFonts w:cs="Times New Roman"/>
        </w:rPr>
        <w:t xml:space="preserve"> </w:t>
      </w:r>
      <w:r>
        <w:rPr>
          <w:rFonts w:cs="Times New Roman"/>
        </w:rPr>
        <w:t>Final</w:t>
      </w:r>
      <w:r w:rsidRPr="00C17910">
        <w:rPr>
          <w:rFonts w:cs="Times New Roman"/>
        </w:rPr>
        <w:t xml:space="preserve"> Rule</w:t>
      </w:r>
      <w:r>
        <w:rPr>
          <w:rFonts w:cs="Times New Roman"/>
        </w:rPr>
        <w:t xml:space="preserve"> published on May 1, 2020</w:t>
      </w:r>
      <w:r w:rsidRPr="00C17910">
        <w:rPr>
          <w:rFonts w:cs="Times New Roman"/>
        </w:rPr>
        <w:t xml:space="preserve"> (</w:t>
      </w:r>
      <w:r>
        <w:rPr>
          <w:rFonts w:cs="Times New Roman"/>
        </w:rPr>
        <w:t>85 FR 25580</w:t>
      </w:r>
      <w:r w:rsidRPr="00C17910">
        <w:rPr>
          <w:rFonts w:cs="Times New Roman"/>
        </w:rPr>
        <w:t xml:space="preserve">), we </w:t>
      </w:r>
      <w:r>
        <w:rPr>
          <w:rFonts w:cs="Times New Roman"/>
        </w:rPr>
        <w:t>finalized</w:t>
      </w:r>
      <w:r w:rsidRPr="00C17910">
        <w:rPr>
          <w:rFonts w:cs="Times New Roman"/>
        </w:rPr>
        <w:t xml:space="preserve"> </w:t>
      </w:r>
      <w:r>
        <w:rPr>
          <w:rFonts w:cs="Times New Roman"/>
        </w:rPr>
        <w:t xml:space="preserve">the </w:t>
      </w:r>
      <w:r w:rsidRPr="00A95CCB">
        <w:t xml:space="preserve">Actions to </w:t>
      </w:r>
      <w:r>
        <w:t>L</w:t>
      </w:r>
      <w:r w:rsidRPr="00A95CCB">
        <w:t xml:space="preserve">imit or </w:t>
      </w:r>
      <w:r>
        <w:t>R</w:t>
      </w:r>
      <w:r w:rsidRPr="00A95CCB">
        <w:t xml:space="preserve">estrict the </w:t>
      </w:r>
      <w:r>
        <w:t>C</w:t>
      </w:r>
      <w:r w:rsidRPr="00A95CCB">
        <w:t xml:space="preserve">ompatibility or </w:t>
      </w:r>
      <w:r>
        <w:t>I</w:t>
      </w:r>
      <w:r w:rsidRPr="00A95CCB">
        <w:t>nteroperability of CEHRT</w:t>
      </w:r>
      <w:r w:rsidRPr="00C17910">
        <w:rPr>
          <w:rFonts w:cs="Times New Roman"/>
        </w:rPr>
        <w:t xml:space="preserve"> measure</w:t>
      </w:r>
      <w:r>
        <w:rPr>
          <w:rFonts w:cs="Times New Roman"/>
        </w:rPr>
        <w:t xml:space="preserve">. </w:t>
      </w:r>
      <w:r w:rsidR="001A3A15">
        <w:t>In th</w:t>
      </w:r>
      <w:r w:rsidR="000E0973">
        <w:t>e CY 2017 Medicare Program; Merit-Based Incentive Payment System and Alternative Payment Model Incentive Under the Physician Fee Schedule, and Criteria for Physician-Focused Payment Models</w:t>
      </w:r>
      <w:r w:rsidR="001A3A15">
        <w:t xml:space="preserve"> final rule</w:t>
      </w:r>
      <w:r w:rsidR="000E0973">
        <w:t xml:space="preserve"> published on November 4, 2016</w:t>
      </w:r>
      <w:r w:rsidR="001A3A15">
        <w:t>, we finalized the ONC Direct Review measure</w:t>
      </w:r>
      <w:r w:rsidR="000E0973">
        <w:t xml:space="preserve"> (81 FR 77027 and 77028)</w:t>
      </w:r>
      <w:r w:rsidR="001A3A15">
        <w:t xml:space="preserve">.  </w:t>
      </w:r>
      <w:r>
        <w:t>As attestation measure</w:t>
      </w:r>
      <w:r w:rsidR="001A3A15">
        <w:t>s</w:t>
      </w:r>
      <w:r>
        <w:t>, eligible hospitals and CAHs are required to report a “yes” or “no” response</w:t>
      </w:r>
      <w:r w:rsidR="001A3A15">
        <w:t xml:space="preserve"> for each measure</w:t>
      </w:r>
      <w:r>
        <w:t xml:space="preserve">.  </w:t>
      </w:r>
      <w:r w:rsidR="001A3A15">
        <w:t>Similar to</w:t>
      </w:r>
      <w:r w:rsidR="001A3A15">
        <w:t xml:space="preserve"> the SAFER Guides measure, w</w:t>
      </w:r>
      <w:r>
        <w:t xml:space="preserve">e estimate an information collection burden for each eligible hospital and CAH of </w:t>
      </w:r>
      <w:r w:rsidR="001A3A15">
        <w:t>1</w:t>
      </w:r>
      <w:r>
        <w:t xml:space="preserve"> minute to report </w:t>
      </w:r>
      <w:r w:rsidR="001A3A15">
        <w:t>each</w:t>
      </w:r>
      <w:r>
        <w:t xml:space="preserve"> measure</w:t>
      </w:r>
      <w:r w:rsidR="009E6D87">
        <w:t>.</w:t>
      </w:r>
    </w:p>
    <w:p w:rsidR="001A3A15" w:rsidP="00A95CCB" w14:paraId="16BE46CF" w14:textId="77777777">
      <w:pPr>
        <w:pStyle w:val="BodyText"/>
        <w:ind w:left="0" w:right="259"/>
      </w:pPr>
    </w:p>
    <w:p w:rsidR="001A3A15" w:rsidP="00CC5857" w14:paraId="4BB2EAC1" w14:textId="0FCD28E9">
      <w:pPr>
        <w:pStyle w:val="BodyText"/>
        <w:widowControl/>
        <w:ind w:left="0" w:right="259"/>
      </w:pPr>
      <w:r>
        <w:t xml:space="preserve">We estimate </w:t>
      </w:r>
      <w:r w:rsidR="003C3148">
        <w:t>a</w:t>
      </w:r>
      <w:r>
        <w:t xml:space="preserve"> total burden for this Objective of 363 minutes (6.05 hours) to successfully meet the requirements of this Objective.  We estimate </w:t>
      </w:r>
      <w:r w:rsidR="003C3148">
        <w:t>a</w:t>
      </w:r>
      <w:r>
        <w:t xml:space="preserve"> total burden </w:t>
      </w:r>
      <w:r w:rsidR="003C3148">
        <w:t xml:space="preserve">for this Objective of 27,528 hours (6.05 hours </w:t>
      </w:r>
      <w:r w:rsidR="003C3148">
        <w:rPr>
          <w:rFonts w:cs="Times New Roman"/>
        </w:rPr>
        <w:t>×</w:t>
      </w:r>
      <w:r w:rsidR="003C3148">
        <w:t xml:space="preserve"> 4,550 eligible hospitals and CAHs) annually </w:t>
      </w:r>
      <w:r>
        <w:t>at a cost of $1,4</w:t>
      </w:r>
      <w:r w:rsidR="003C3148">
        <w:t>34,759</w:t>
      </w:r>
      <w:r>
        <w:t xml:space="preserve"> (27,</w:t>
      </w:r>
      <w:r w:rsidR="003C3148">
        <w:t>528</w:t>
      </w:r>
      <w:r>
        <w:t xml:space="preserve"> hours x $52.12).</w:t>
      </w:r>
    </w:p>
    <w:p w:rsidR="004F5F47" w:rsidRPr="00467B82" w:rsidP="00467B82" w14:paraId="4AEC202F" w14:textId="77777777">
      <w:pPr>
        <w:pStyle w:val="BodyText"/>
        <w:ind w:left="0" w:right="259"/>
      </w:pPr>
    </w:p>
    <w:p w:rsidR="00AE0867" w:rsidRPr="00EB762F" w:rsidP="00467B82" w14:paraId="04B3457C" w14:textId="2E18D4EF">
      <w:pPr>
        <w:pStyle w:val="BodyText"/>
        <w:numPr>
          <w:ilvl w:val="0"/>
          <w:numId w:val="9"/>
        </w:numPr>
        <w:ind w:right="259"/>
        <w:rPr>
          <w:b/>
          <w:bCs/>
        </w:rPr>
      </w:pPr>
      <w:r w:rsidRPr="00EB762F">
        <w:rPr>
          <w:b/>
          <w:bCs/>
        </w:rPr>
        <w:t>Electronic Prescribing Objective</w:t>
      </w:r>
      <w:r w:rsidRPr="00EB762F" w:rsidR="00EB762F">
        <w:rPr>
          <w:b/>
          <w:bCs/>
        </w:rPr>
        <w:t xml:space="preserve"> Reporting and Submission Burden</w:t>
      </w:r>
    </w:p>
    <w:p w:rsidR="00D93D22" w:rsidRPr="00467B82" w:rsidP="00467B82" w14:paraId="400375A1" w14:textId="77777777">
      <w:pPr>
        <w:pStyle w:val="BodyText"/>
        <w:ind w:left="0" w:right="259"/>
      </w:pPr>
    </w:p>
    <w:p w:rsidR="00D93D22" w:rsidRPr="00BC52FC" w:rsidP="00467B82" w14:paraId="437E2DD6" w14:textId="6AF5B8A8">
      <w:pPr>
        <w:pStyle w:val="BodyText"/>
        <w:ind w:left="0" w:right="259"/>
        <w:rPr>
          <w:rFonts w:cs="Times New Roman"/>
          <w:color w:val="000000" w:themeColor="text1"/>
        </w:rPr>
      </w:pPr>
      <w:r>
        <w:t xml:space="preserve">As shown in Table 3, for the Electronic Prescribing Objective, eligible hospitals and CAHs are required to report both the Electronic Prescribing and Query of PDMP measures.  We continue to estimate that eligible hospitals and CAHs </w:t>
      </w:r>
      <w:r w:rsidR="00565240">
        <w:t xml:space="preserve">will </w:t>
      </w:r>
      <w:r>
        <w:t>require 10 minutes to report the Electronic Prescribing measure and</w:t>
      </w:r>
      <w:r w:rsidR="00382F0D">
        <w:t xml:space="preserve"> 0.5 minutes to report the Query of PDMP measure</w:t>
      </w:r>
      <w:r>
        <w:t xml:space="preserve"> for a total of </w:t>
      </w:r>
      <w:r>
        <w:rPr>
          <w:rFonts w:cs="Times New Roman"/>
          <w:color w:val="000000" w:themeColor="text1"/>
        </w:rPr>
        <w:t>1</w:t>
      </w:r>
      <w:r w:rsidR="00FB65A3">
        <w:rPr>
          <w:rFonts w:cs="Times New Roman"/>
          <w:color w:val="000000" w:themeColor="text1"/>
        </w:rPr>
        <w:t>0.5</w:t>
      </w:r>
      <w:r>
        <w:rPr>
          <w:rFonts w:cs="Times New Roman"/>
          <w:color w:val="000000" w:themeColor="text1"/>
        </w:rPr>
        <w:t xml:space="preserve"> </w:t>
      </w:r>
      <w:r w:rsidRPr="00B2476D">
        <w:rPr>
          <w:rFonts w:cs="Times New Roman"/>
          <w:color w:val="000000" w:themeColor="text1"/>
        </w:rPr>
        <w:t>minute</w:t>
      </w:r>
      <w:r w:rsidR="00FB65A3">
        <w:rPr>
          <w:rFonts w:cs="Times New Roman"/>
          <w:color w:val="000000" w:themeColor="text1"/>
        </w:rPr>
        <w:t>s</w:t>
      </w:r>
      <w:r w:rsidRPr="00B2476D">
        <w:rPr>
          <w:rFonts w:cs="Times New Roman"/>
          <w:color w:val="000000" w:themeColor="text1"/>
        </w:rPr>
        <w:t xml:space="preserve"> </w:t>
      </w:r>
      <w:r w:rsidR="00824F85">
        <w:rPr>
          <w:rFonts w:cs="Times New Roman"/>
          <w:color w:val="000000" w:themeColor="text1"/>
        </w:rPr>
        <w:t>(</w:t>
      </w:r>
      <w:r w:rsidR="00D737E1">
        <w:rPr>
          <w:rFonts w:cs="Times New Roman"/>
          <w:color w:val="000000" w:themeColor="text1"/>
        </w:rPr>
        <w:t xml:space="preserve">0.175 hours) </w:t>
      </w:r>
      <w:r w:rsidRPr="00B2476D">
        <w:rPr>
          <w:rFonts w:cs="Times New Roman"/>
          <w:color w:val="000000" w:themeColor="text1"/>
        </w:rPr>
        <w:t>to report both measures.</w:t>
      </w:r>
      <w:r w:rsidR="00BC52FC">
        <w:rPr>
          <w:rFonts w:cs="Times New Roman"/>
          <w:color w:val="000000" w:themeColor="text1"/>
        </w:rPr>
        <w:t xml:space="preserve">  </w:t>
      </w:r>
      <w:r>
        <w:t xml:space="preserve">We estimate </w:t>
      </w:r>
      <w:r w:rsidR="003C3148">
        <w:t>a</w:t>
      </w:r>
      <w:r>
        <w:t xml:space="preserve"> total burden for this Objective of </w:t>
      </w:r>
      <w:r w:rsidR="006C1391">
        <w:rPr>
          <w:rFonts w:cs="Times New Roman"/>
        </w:rPr>
        <w:t>7</w:t>
      </w:r>
      <w:r w:rsidR="00EB762F">
        <w:rPr>
          <w:rFonts w:cs="Times New Roman"/>
        </w:rPr>
        <w:t>96</w:t>
      </w:r>
      <w:r w:rsidRPr="00B2476D">
        <w:rPr>
          <w:rFonts w:cs="Times New Roman"/>
        </w:rPr>
        <w:t xml:space="preserve"> hours across all eligible hospitals and CAHs </w:t>
      </w:r>
      <w:r w:rsidR="00824F85">
        <w:rPr>
          <w:rFonts w:cs="Times New Roman"/>
        </w:rPr>
        <w:t>(</w:t>
      </w:r>
      <w:r w:rsidR="00D737E1">
        <w:rPr>
          <w:rFonts w:cs="Times New Roman"/>
        </w:rPr>
        <w:t>0.175</w:t>
      </w:r>
      <w:r>
        <w:rPr>
          <w:rFonts w:cs="Times New Roman"/>
        </w:rPr>
        <w:t xml:space="preserve"> hour</w:t>
      </w:r>
      <w:r w:rsidR="00D20257">
        <w:rPr>
          <w:rFonts w:cs="Times New Roman"/>
        </w:rPr>
        <w:t>s</w:t>
      </w:r>
      <w:r w:rsidRPr="00B2476D">
        <w:rPr>
          <w:rFonts w:cs="Times New Roman"/>
        </w:rPr>
        <w:t xml:space="preserve"> × </w:t>
      </w:r>
      <w:r>
        <w:rPr>
          <w:rFonts w:cs="Times New Roman"/>
        </w:rPr>
        <w:t>4,5</w:t>
      </w:r>
      <w:r w:rsidR="00EB762F">
        <w:rPr>
          <w:rFonts w:cs="Times New Roman"/>
        </w:rPr>
        <w:t>5</w:t>
      </w:r>
      <w:r>
        <w:rPr>
          <w:rFonts w:cs="Times New Roman"/>
        </w:rPr>
        <w:t>0</w:t>
      </w:r>
      <w:r w:rsidRPr="00B2476D">
        <w:rPr>
          <w:rFonts w:cs="Times New Roman"/>
        </w:rPr>
        <w:t xml:space="preserve"> </w:t>
      </w:r>
      <w:r>
        <w:rPr>
          <w:rFonts w:cs="Times New Roman"/>
        </w:rPr>
        <w:t>eligible</w:t>
      </w:r>
      <w:r w:rsidRPr="00B2476D">
        <w:rPr>
          <w:rFonts w:cs="Times New Roman"/>
        </w:rPr>
        <w:t xml:space="preserve"> hospitals</w:t>
      </w:r>
      <w:r>
        <w:rPr>
          <w:rFonts w:cs="Times New Roman"/>
        </w:rPr>
        <w:t xml:space="preserve"> and CAHs</w:t>
      </w:r>
      <w:r w:rsidRPr="00B2476D">
        <w:rPr>
          <w:rFonts w:cs="Times New Roman"/>
        </w:rPr>
        <w:t xml:space="preserve">) annually at a cost of </w:t>
      </w:r>
      <w:r w:rsidR="008B5098">
        <w:rPr>
          <w:rFonts w:cs="Times New Roman"/>
        </w:rPr>
        <w:t>$</w:t>
      </w:r>
      <w:r w:rsidR="00EB762F">
        <w:rPr>
          <w:rFonts w:cs="Times New Roman"/>
        </w:rPr>
        <w:t>41,488</w:t>
      </w:r>
      <w:r w:rsidRPr="00B2476D">
        <w:rPr>
          <w:rFonts w:cs="Times New Roman"/>
        </w:rPr>
        <w:t xml:space="preserve"> (</w:t>
      </w:r>
      <w:r w:rsidR="006C1391">
        <w:rPr>
          <w:rFonts w:cs="Times New Roman"/>
        </w:rPr>
        <w:t>7</w:t>
      </w:r>
      <w:r w:rsidR="00EB762F">
        <w:rPr>
          <w:rFonts w:cs="Times New Roman"/>
        </w:rPr>
        <w:t>96</w:t>
      </w:r>
      <w:r w:rsidRPr="00B2476D">
        <w:rPr>
          <w:rFonts w:cs="Times New Roman"/>
        </w:rPr>
        <w:t xml:space="preserve"> hours x $</w:t>
      </w:r>
      <w:r w:rsidR="00EB762F">
        <w:rPr>
          <w:rFonts w:cs="Times New Roman"/>
        </w:rPr>
        <w:t>52.12</w:t>
      </w:r>
      <w:r w:rsidRPr="00B2476D">
        <w:rPr>
          <w:rFonts w:cs="Times New Roman"/>
        </w:rPr>
        <w:t>).</w:t>
      </w:r>
    </w:p>
    <w:p w:rsidR="00D75609" w:rsidRPr="00467B82" w:rsidP="00467B82" w14:paraId="6B59CE9F" w14:textId="77777777">
      <w:pPr>
        <w:pStyle w:val="BodyText"/>
        <w:ind w:left="0" w:right="259"/>
        <w:rPr>
          <w:i/>
          <w:iCs/>
        </w:rPr>
      </w:pPr>
    </w:p>
    <w:p w:rsidR="00AE0867" w:rsidRPr="00EB762F" w:rsidP="00467B82" w14:paraId="0F4C9B73" w14:textId="295DCDC3">
      <w:pPr>
        <w:pStyle w:val="BodyText"/>
        <w:numPr>
          <w:ilvl w:val="0"/>
          <w:numId w:val="9"/>
        </w:numPr>
        <w:ind w:right="259"/>
        <w:rPr>
          <w:b/>
          <w:bCs/>
        </w:rPr>
      </w:pPr>
      <w:r w:rsidRPr="00EB762F">
        <w:rPr>
          <w:b/>
          <w:bCs/>
        </w:rPr>
        <w:t>Health Information Exchange</w:t>
      </w:r>
      <w:r w:rsidR="003A104D">
        <w:rPr>
          <w:b/>
          <w:bCs/>
        </w:rPr>
        <w:t xml:space="preserve"> </w:t>
      </w:r>
      <w:r w:rsidRPr="00EB762F">
        <w:rPr>
          <w:b/>
          <w:bCs/>
        </w:rPr>
        <w:t>Objective</w:t>
      </w:r>
      <w:r w:rsidRPr="00EB762F" w:rsidR="00EB762F">
        <w:rPr>
          <w:b/>
          <w:bCs/>
        </w:rPr>
        <w:t xml:space="preserve"> Reporting and Submission Burden</w:t>
      </w:r>
    </w:p>
    <w:p w:rsidR="00522E69" w:rsidRPr="00467B82" w:rsidP="00467B82" w14:paraId="7B7B866F" w14:textId="68BBF25D">
      <w:pPr>
        <w:pStyle w:val="BodyText"/>
        <w:ind w:left="0" w:right="259"/>
        <w:rPr>
          <w:i/>
          <w:iCs/>
        </w:rPr>
      </w:pPr>
    </w:p>
    <w:p w:rsidR="006212E6" w:rsidP="00467B82" w14:paraId="4F891690" w14:textId="77777777">
      <w:pPr>
        <w:pStyle w:val="BodyText"/>
        <w:ind w:left="0" w:right="259"/>
      </w:pPr>
      <w:r>
        <w:t xml:space="preserve">As shown in Table 3, for the Health Information Exchange Objective, eligible hospitals and CAHs are required to report one of three alternatives: (1) the </w:t>
      </w:r>
      <w:r w:rsidRPr="00F146BF">
        <w:t>Support Electronic Referral Loops by Sending Health Information</w:t>
      </w:r>
      <w:r>
        <w:t xml:space="preserve"> and </w:t>
      </w:r>
      <w:r w:rsidRPr="00F146BF">
        <w:t xml:space="preserve">Support Electronic Referral Loops by </w:t>
      </w:r>
      <w:r w:rsidRPr="00F146BF">
        <w:t>Receiving and Reconciling Health Information</w:t>
      </w:r>
      <w:r>
        <w:t xml:space="preserve"> measures; (2) the HIE Bi-Directional Exchange measure; or (3)</w:t>
      </w:r>
      <w:r w:rsidRPr="000C10DD">
        <w:t xml:space="preserve"> the </w:t>
      </w:r>
      <w:r>
        <w:t>Enabling Exchange Under the T</w:t>
      </w:r>
      <w:r w:rsidRPr="000C10DD">
        <w:t>EFCA measure</w:t>
      </w:r>
      <w:r>
        <w:t xml:space="preserve">. We continue to estimate eligible hospitals and CAHs will require 10 minutes (0.167 hours) to report one of the three alternatives.  </w:t>
      </w:r>
    </w:p>
    <w:p w:rsidR="006212E6" w:rsidP="00467B82" w14:paraId="267AF250" w14:textId="77777777">
      <w:pPr>
        <w:pStyle w:val="BodyText"/>
        <w:ind w:left="0" w:right="259"/>
      </w:pPr>
    </w:p>
    <w:p w:rsidR="00497E80" w:rsidP="00467B82" w14:paraId="72AAF59D" w14:textId="1F86F02A">
      <w:pPr>
        <w:pStyle w:val="BodyText"/>
        <w:ind w:left="0" w:right="259"/>
      </w:pPr>
      <w:r w:rsidRPr="00C17910">
        <w:rPr>
          <w:rFonts w:cs="Times New Roman"/>
        </w:rPr>
        <w:t xml:space="preserve">In the Advancing Interoperability and Improving Prior Authorization Processes for MA Organizations and Medicaid Managed Care Plans, State Medicaid Agencies, State CHIP Agencies, CHIP Managed Care Entities, and Issuers of QHPs in the </w:t>
      </w:r>
      <w:r w:rsidRPr="00C17910">
        <w:rPr>
          <w:rFonts w:cs="Times New Roman"/>
        </w:rPr>
        <w:t>Federally-Facilitated</w:t>
      </w:r>
      <w:r w:rsidRPr="00C17910">
        <w:rPr>
          <w:rFonts w:cs="Times New Roman"/>
        </w:rPr>
        <w:t xml:space="preserve"> Exchanges </w:t>
      </w:r>
      <w:r>
        <w:rPr>
          <w:rFonts w:cs="Times New Roman"/>
        </w:rPr>
        <w:t>Final</w:t>
      </w:r>
      <w:r w:rsidRPr="00C17910">
        <w:rPr>
          <w:rFonts w:cs="Times New Roman"/>
        </w:rPr>
        <w:t xml:space="preserve"> Rule</w:t>
      </w:r>
      <w:r>
        <w:rPr>
          <w:rFonts w:cs="Times New Roman"/>
        </w:rPr>
        <w:t xml:space="preserve"> published on February 8, 2024</w:t>
      </w:r>
      <w:r w:rsidRPr="00C17910">
        <w:rPr>
          <w:rFonts w:cs="Times New Roman"/>
        </w:rPr>
        <w:t xml:space="preserve"> (</w:t>
      </w:r>
      <w:r>
        <w:rPr>
          <w:rFonts w:cs="Times New Roman"/>
        </w:rPr>
        <w:t>89 FR 8758</w:t>
      </w:r>
      <w:r w:rsidRPr="00C17910">
        <w:rPr>
          <w:rFonts w:cs="Times New Roman"/>
        </w:rPr>
        <w:t xml:space="preserve">), we </w:t>
      </w:r>
      <w:r>
        <w:rPr>
          <w:rFonts w:cs="Times New Roman"/>
        </w:rPr>
        <w:t>finalized</w:t>
      </w:r>
      <w:r w:rsidRPr="00C17910">
        <w:rPr>
          <w:rFonts w:cs="Times New Roman"/>
        </w:rPr>
        <w:t xml:space="preserve"> </w:t>
      </w:r>
      <w:r>
        <w:rPr>
          <w:rFonts w:cs="Times New Roman"/>
        </w:rPr>
        <w:t>the Electronic Prior Authorization</w:t>
      </w:r>
      <w:r w:rsidRPr="00C17910">
        <w:rPr>
          <w:rFonts w:cs="Times New Roman"/>
        </w:rPr>
        <w:t xml:space="preserve"> measure</w:t>
      </w:r>
      <w:r>
        <w:rPr>
          <w:rFonts w:cs="Times New Roman"/>
        </w:rPr>
        <w:t xml:space="preserve"> beginning with the EHR reporting period</w:t>
      </w:r>
      <w:r w:rsidR="000659E9">
        <w:rPr>
          <w:rFonts w:cs="Times New Roman"/>
        </w:rPr>
        <w:t xml:space="preserve"> in CY 2027</w:t>
      </w:r>
      <w:r>
        <w:rPr>
          <w:rFonts w:cs="Times New Roman"/>
        </w:rPr>
        <w:t>.</w:t>
      </w:r>
      <w:r w:rsidR="00705BB6">
        <w:rPr>
          <w:rFonts w:cs="Times New Roman"/>
        </w:rPr>
        <w:t xml:space="preserve"> </w:t>
      </w:r>
      <w:r w:rsidR="00705BB6">
        <w:t xml:space="preserve">As an attestation measure, eligible hospitals and CAHs are required to report a “yes” or “no” response.  As finalized in the </w:t>
      </w:r>
      <w:r w:rsidR="00705BB6">
        <w:t>aforementioned final</w:t>
      </w:r>
      <w:r w:rsidR="00705BB6">
        <w:t xml:space="preserve"> rule, we estimate an information collection burden for each eligible hospital and CAH of 0.5 minutes to report this measure (89 FR 8955).</w:t>
      </w:r>
    </w:p>
    <w:p w:rsidR="00705BB6" w:rsidP="00467B82" w14:paraId="316A268E" w14:textId="77777777">
      <w:pPr>
        <w:pStyle w:val="BodyText"/>
        <w:ind w:left="0" w:right="259"/>
      </w:pPr>
    </w:p>
    <w:p w:rsidR="003A2C66" w:rsidP="00467B82" w14:paraId="7D35FA50" w14:textId="6B33A8ED">
      <w:pPr>
        <w:pStyle w:val="BodyText"/>
        <w:ind w:left="0" w:right="259"/>
        <w:rPr>
          <w:rFonts w:cs="Times New Roman"/>
        </w:rPr>
      </w:pPr>
      <w:r>
        <w:t>In aggregate, for the EHR reporting periods</w:t>
      </w:r>
      <w:r w:rsidR="000659E9">
        <w:t xml:space="preserve"> in CY 2025 and CY 2026</w:t>
      </w:r>
      <w:r>
        <w:t>, w</w:t>
      </w:r>
      <w:r w:rsidRPr="00B2476D">
        <w:rPr>
          <w:rFonts w:cs="Times New Roman"/>
        </w:rPr>
        <w:t>e estimate</w:t>
      </w:r>
      <w:r w:rsidR="0027460C">
        <w:rPr>
          <w:rFonts w:cs="Times New Roman"/>
        </w:rPr>
        <w:t xml:space="preserve"> a</w:t>
      </w:r>
      <w:r w:rsidRPr="00B2476D">
        <w:rPr>
          <w:rFonts w:cs="Times New Roman"/>
        </w:rPr>
        <w:t xml:space="preserve"> total</w:t>
      </w:r>
      <w:r>
        <w:rPr>
          <w:rFonts w:cs="Times New Roman"/>
        </w:rPr>
        <w:t xml:space="preserve"> </w:t>
      </w:r>
      <w:r w:rsidR="0027460C">
        <w:rPr>
          <w:rFonts w:cs="Times New Roman"/>
        </w:rPr>
        <w:t xml:space="preserve">burden </w:t>
      </w:r>
      <w:r>
        <w:rPr>
          <w:rFonts w:cs="Times New Roman"/>
        </w:rPr>
        <w:t xml:space="preserve">for this Objective </w:t>
      </w:r>
      <w:r w:rsidR="0027460C">
        <w:rPr>
          <w:rFonts w:cs="Times New Roman"/>
        </w:rPr>
        <w:t>across all eligible hospitals and CAHs</w:t>
      </w:r>
      <w:r>
        <w:rPr>
          <w:rFonts w:cs="Times New Roman"/>
        </w:rPr>
        <w:t xml:space="preserve"> </w:t>
      </w:r>
      <w:r w:rsidR="0027460C">
        <w:rPr>
          <w:rFonts w:cs="Times New Roman"/>
        </w:rPr>
        <w:t xml:space="preserve">of </w:t>
      </w:r>
      <w:r>
        <w:rPr>
          <w:rFonts w:cs="Times New Roman"/>
        </w:rPr>
        <w:t>75</w:t>
      </w:r>
      <w:r w:rsidR="0027460C">
        <w:rPr>
          <w:rFonts w:cs="Times New Roman"/>
        </w:rPr>
        <w:t>8</w:t>
      </w:r>
      <w:r>
        <w:rPr>
          <w:rFonts w:cs="Times New Roman"/>
        </w:rPr>
        <w:t xml:space="preserve"> hours (0.167 hours x 4,5</w:t>
      </w:r>
      <w:r w:rsidR="0027460C">
        <w:rPr>
          <w:rFonts w:cs="Times New Roman"/>
        </w:rPr>
        <w:t>5</w:t>
      </w:r>
      <w:r>
        <w:rPr>
          <w:rFonts w:cs="Times New Roman"/>
        </w:rPr>
        <w:t>0 hospitals) at a cost of $3</w:t>
      </w:r>
      <w:r w:rsidR="0027460C">
        <w:rPr>
          <w:rFonts w:cs="Times New Roman"/>
        </w:rPr>
        <w:t>9,507</w:t>
      </w:r>
      <w:r>
        <w:rPr>
          <w:rFonts w:cs="Times New Roman"/>
        </w:rPr>
        <w:t xml:space="preserve"> (75</w:t>
      </w:r>
      <w:r w:rsidR="0027460C">
        <w:rPr>
          <w:rFonts w:cs="Times New Roman"/>
        </w:rPr>
        <w:t>8</w:t>
      </w:r>
      <w:r>
        <w:rPr>
          <w:rFonts w:cs="Times New Roman"/>
        </w:rPr>
        <w:t xml:space="preserve"> hours x $</w:t>
      </w:r>
      <w:r w:rsidR="0027460C">
        <w:rPr>
          <w:rFonts w:cs="Times New Roman"/>
        </w:rPr>
        <w:t>52.12</w:t>
      </w:r>
      <w:r>
        <w:rPr>
          <w:rFonts w:cs="Times New Roman"/>
        </w:rPr>
        <w:t>). Beginning with the EHR reporting period</w:t>
      </w:r>
      <w:r w:rsidR="000659E9">
        <w:rPr>
          <w:rFonts w:cs="Times New Roman"/>
        </w:rPr>
        <w:t xml:space="preserve"> in CY 2027</w:t>
      </w:r>
      <w:r>
        <w:rPr>
          <w:rFonts w:cs="Times New Roman"/>
        </w:rPr>
        <w:t xml:space="preserve">, </w:t>
      </w:r>
      <w:r>
        <w:t>w</w:t>
      </w:r>
      <w:r w:rsidRPr="00B2476D">
        <w:rPr>
          <w:rFonts w:cs="Times New Roman"/>
        </w:rPr>
        <w:t>e estimate</w:t>
      </w:r>
      <w:r>
        <w:rPr>
          <w:rFonts w:cs="Times New Roman"/>
        </w:rPr>
        <w:t xml:space="preserve"> a</w:t>
      </w:r>
      <w:r w:rsidRPr="00B2476D">
        <w:rPr>
          <w:rFonts w:cs="Times New Roman"/>
        </w:rPr>
        <w:t xml:space="preserve"> total</w:t>
      </w:r>
      <w:r>
        <w:rPr>
          <w:rFonts w:cs="Times New Roman"/>
        </w:rPr>
        <w:t xml:space="preserve"> burden for this Objective across all eligible hospitals and CAHs of 796 hours (0.175 hours x 4,550 hospitals) at a cost of $41,488 (796 hours x $52.12).</w:t>
      </w:r>
    </w:p>
    <w:p w:rsidR="00705BB6" w:rsidRPr="00467B82" w:rsidP="00467B82" w14:paraId="366F871F" w14:textId="77777777">
      <w:pPr>
        <w:pStyle w:val="BodyText"/>
        <w:ind w:left="0" w:right="259"/>
      </w:pPr>
    </w:p>
    <w:p w:rsidR="003A2C66" w:rsidRPr="0027460C" w:rsidP="00467B82" w14:paraId="003CA920" w14:textId="77EBB3F4">
      <w:pPr>
        <w:pStyle w:val="BodyText"/>
        <w:numPr>
          <w:ilvl w:val="0"/>
          <w:numId w:val="9"/>
        </w:numPr>
        <w:ind w:right="259"/>
        <w:rPr>
          <w:b/>
          <w:bCs/>
        </w:rPr>
      </w:pPr>
      <w:r w:rsidRPr="0027460C">
        <w:rPr>
          <w:b/>
          <w:bCs/>
        </w:rPr>
        <w:t>Provider to Patient Exchange Objective</w:t>
      </w:r>
      <w:r w:rsidRPr="0027460C" w:rsidR="0027460C">
        <w:rPr>
          <w:b/>
          <w:bCs/>
        </w:rPr>
        <w:t xml:space="preserve"> Reporting and Submission Burden</w:t>
      </w:r>
    </w:p>
    <w:p w:rsidR="005477EA" w:rsidRPr="00467B82" w:rsidP="00467B82" w14:paraId="794D5CC2" w14:textId="3BBB89C8">
      <w:pPr>
        <w:pStyle w:val="BodyText"/>
        <w:ind w:left="0" w:right="259"/>
        <w:rPr>
          <w:i/>
          <w:iCs/>
        </w:rPr>
      </w:pPr>
    </w:p>
    <w:p w:rsidR="005477EA" w:rsidRPr="00B66511" w:rsidP="00467B82" w14:paraId="24A19EC4" w14:textId="3A22E024">
      <w:pPr>
        <w:pStyle w:val="BodyText"/>
        <w:ind w:left="0" w:right="259"/>
      </w:pPr>
      <w:r>
        <w:t xml:space="preserve">As shown in Table 3, we continue to estimate eligible hospitals and CAHs will require 10 minutes (0.167 hours) to report </w:t>
      </w:r>
      <w:r w:rsidRPr="003E4133">
        <w:t xml:space="preserve">the </w:t>
      </w:r>
      <w:r w:rsidRPr="00B66511">
        <w:t xml:space="preserve">Provide Patients Electronic Access to Their Health Information </w:t>
      </w:r>
      <w:r>
        <w:t xml:space="preserve">measure.  </w:t>
      </w:r>
      <w:r w:rsidR="00565240">
        <w:t xml:space="preserve">Therefore, </w:t>
      </w:r>
      <w:r w:rsidR="00565240">
        <w:rPr>
          <w:rFonts w:cs="Times New Roman"/>
          <w:color w:val="000000" w:themeColor="text1"/>
        </w:rPr>
        <w:t>w</w:t>
      </w:r>
      <w:r w:rsidRPr="00B2476D">
        <w:rPr>
          <w:rFonts w:cs="Times New Roman"/>
        </w:rPr>
        <w:t>e estimate a total</w:t>
      </w:r>
      <w:r>
        <w:rPr>
          <w:rFonts w:cs="Times New Roman"/>
        </w:rPr>
        <w:t xml:space="preserve"> information collection burden for this Objective of 758 hours (0.167 hours x 4,550 hospitals) at a cost of $39,507 (758 hours x $52.12).</w:t>
      </w:r>
    </w:p>
    <w:p w:rsidR="005477EA" w:rsidRPr="00467B82" w:rsidP="00467B82" w14:paraId="2FDD3520" w14:textId="77777777">
      <w:pPr>
        <w:pStyle w:val="BodyText"/>
        <w:ind w:left="0" w:right="259"/>
        <w:rPr>
          <w:i/>
          <w:iCs/>
        </w:rPr>
      </w:pPr>
    </w:p>
    <w:p w:rsidR="00AE0867" w:rsidRPr="003776DB" w:rsidP="00467B82" w14:paraId="351587BD" w14:textId="35C2901A">
      <w:pPr>
        <w:pStyle w:val="BodyText"/>
        <w:numPr>
          <w:ilvl w:val="0"/>
          <w:numId w:val="9"/>
        </w:numPr>
        <w:ind w:right="259"/>
        <w:rPr>
          <w:b/>
          <w:bCs/>
        </w:rPr>
      </w:pPr>
      <w:bookmarkStart w:id="6" w:name="_Hlk139888622"/>
      <w:r w:rsidRPr="003776DB">
        <w:rPr>
          <w:b/>
          <w:bCs/>
        </w:rPr>
        <w:t>Public Health and Clinical Data Exchange Objective</w:t>
      </w:r>
      <w:r w:rsidRPr="003776DB" w:rsidR="003776DB">
        <w:rPr>
          <w:b/>
          <w:bCs/>
        </w:rPr>
        <w:t xml:space="preserve"> Reporting and Submission Burden</w:t>
      </w:r>
    </w:p>
    <w:bookmarkEnd w:id="6"/>
    <w:p w:rsidR="00A95E96" w:rsidRPr="00467B82" w:rsidP="00467B82" w14:paraId="56632FF8" w14:textId="67C109C6">
      <w:pPr>
        <w:pStyle w:val="BodyText"/>
        <w:ind w:left="0" w:right="259"/>
        <w:rPr>
          <w:i/>
          <w:iCs/>
        </w:rPr>
      </w:pPr>
    </w:p>
    <w:p w:rsidR="003A2C66" w:rsidP="00467B82" w14:paraId="55033CB8" w14:textId="4C8BDBCC">
      <w:pPr>
        <w:pStyle w:val="BodyText"/>
        <w:ind w:left="0" w:right="259"/>
      </w:pPr>
      <w:r>
        <w:t xml:space="preserve">As shown in Table 3, for the </w:t>
      </w:r>
      <w:r w:rsidRPr="007C3F7E">
        <w:t>Public Health and Clinical Data Exchange Objective</w:t>
      </w:r>
      <w:r>
        <w:t xml:space="preserve">, eligible hospitals and CAHs are required to </w:t>
      </w:r>
      <w:r w:rsidR="00E37719">
        <w:t>attest to</w:t>
      </w:r>
      <w:r>
        <w:t xml:space="preserve"> their level of active engagement </w:t>
      </w:r>
      <w:r w:rsidRPr="00C57985" w:rsidR="00E37719">
        <w:t>for the measures under th</w:t>
      </w:r>
      <w:r w:rsidR="00E37719">
        <w:t xml:space="preserve">is </w:t>
      </w:r>
      <w:r w:rsidRPr="00C57985" w:rsidR="00E37719">
        <w:t>Objective, either Pre-production and Validation or Validated Data Production</w:t>
      </w:r>
      <w:r w:rsidR="00E37719">
        <w:t xml:space="preserve">.  Eligible hospitals and CAHs must also attest to </w:t>
      </w:r>
      <w:r>
        <w:t>five measures: (1)</w:t>
      </w:r>
      <w:r w:rsidR="00E37719">
        <w:t xml:space="preserve"> </w:t>
      </w:r>
      <w:r>
        <w:t>the Syndromic Surveillance Reporting Measure, (2) the Immunization Registry Reporting Measure, (3) the Electronic Case Reporting Measure, (4) the Electronic Reportable Laboratory Result Reporting Measure,</w:t>
      </w:r>
      <w:r w:rsidR="00E37719">
        <w:t xml:space="preserve"> and (5) the</w:t>
      </w:r>
      <w:r>
        <w:t xml:space="preserve"> AUR Surveillance Measure</w:t>
      </w:r>
      <w:r w:rsidR="00E37719">
        <w:t xml:space="preserve">.  In addition, eligible hospitals and CAHs may attest to one of the optional bonus Public Heath Registry Reporting or Clinical Data Registry Reporting measures.  </w:t>
      </w:r>
      <w:r w:rsidR="00000261">
        <w:t xml:space="preserve">We estimate the burden associated with each of the seven attestations required under this Objective to be 0.5 minutes/measure for a total of 3.5 minutes in aggregate (0.5 minutes x 7 attestations).  </w:t>
      </w:r>
      <w:r w:rsidR="00E37719">
        <w:t xml:space="preserve">We note that under the AUR Surveillance Measure, while eligible hospitals are required to </w:t>
      </w:r>
      <w:r w:rsidRPr="00066565" w:rsidR="00E37719">
        <w:t xml:space="preserve">attest to active engagement with CDC’s National Healthcare Safety Network (NHSN) to submit AUR data and receive a report from NHSN indicating their </w:t>
      </w:r>
      <w:r w:rsidRPr="00066565" w:rsidR="00E37719">
        <w:t>successful submission of AUR data for the EHR reporting period</w:t>
      </w:r>
      <w:r w:rsidR="00000261">
        <w:t>, t</w:t>
      </w:r>
      <w:r w:rsidRPr="003E4133" w:rsidR="00E37719">
        <w:t>he burden associated with the actual submission of AUR data to NHSN is accounted for under OMB control number 0920-0666.</w:t>
      </w:r>
      <w:r w:rsidR="00000261">
        <w:t xml:space="preserve">  </w:t>
      </w:r>
    </w:p>
    <w:p w:rsidR="00000261" w:rsidRPr="00B57D7E" w:rsidP="00A95E96" w14:paraId="348AD179" w14:textId="77777777">
      <w:pPr>
        <w:pStyle w:val="BodyText"/>
        <w:spacing w:before="69"/>
        <w:ind w:left="0" w:right="259"/>
        <w:rPr>
          <w:sz w:val="16"/>
          <w:szCs w:val="16"/>
        </w:rPr>
      </w:pPr>
    </w:p>
    <w:p w:rsidR="00000261" w:rsidP="009A7C09" w14:paraId="486643B8" w14:textId="4A6EB001">
      <w:pPr>
        <w:pStyle w:val="BodyText"/>
        <w:widowControl/>
        <w:spacing w:before="69"/>
        <w:ind w:left="0" w:right="259"/>
        <w:rPr>
          <w:rFonts w:cs="Times New Roman"/>
          <w:color w:val="000000" w:themeColor="text1"/>
        </w:rPr>
      </w:pPr>
      <w:r w:rsidRPr="00000261">
        <w:t xml:space="preserve">In </w:t>
      </w:r>
      <w:r>
        <w:t>the FY 2025 IPPS/LTCH PPS</w:t>
      </w:r>
      <w:r w:rsidRPr="00000261">
        <w:t xml:space="preserve"> </w:t>
      </w:r>
      <w:r w:rsidR="00E72613">
        <w:t>final</w:t>
      </w:r>
      <w:r w:rsidRPr="00000261">
        <w:t xml:space="preserve"> rule, we are modify</w:t>
      </w:r>
      <w:r w:rsidR="00E72613">
        <w:t>ing</w:t>
      </w:r>
      <w:r w:rsidRPr="00000261">
        <w:t xml:space="preserve"> the AUR Surveillance measure by separating the single measure into two measures</w:t>
      </w:r>
      <w:r w:rsidRPr="00000261">
        <w:t>:  (</w:t>
      </w:r>
      <w:r w:rsidRPr="00000261">
        <w:t>1) AU Surveillance and (2) AR Surveillance, beginning with the EHR reporting period</w:t>
      </w:r>
      <w:r w:rsidR="000659E9">
        <w:t xml:space="preserve"> in CY 2025</w:t>
      </w:r>
      <w:r w:rsidRPr="00000261">
        <w:t xml:space="preserve">.  In the CY 2023 IPPS/LTCH PPS final rule, we finalized a burden estimate of 0.5 minutes per eligible hospital and CAH to attest </w:t>
      </w:r>
      <w:r w:rsidR="00522E46">
        <w:t xml:space="preserve">to </w:t>
      </w:r>
      <w:r w:rsidRPr="00000261">
        <w:t xml:space="preserve">the AUR Surveillance Measure (87 FR 49394).  </w:t>
      </w:r>
      <w:r w:rsidRPr="00874413">
        <w:rPr>
          <w:rFonts w:cs="Times New Roman"/>
          <w:color w:val="000000" w:themeColor="text1"/>
        </w:rPr>
        <w:t xml:space="preserve">In association with this </w:t>
      </w:r>
      <w:r w:rsidR="00E72613">
        <w:rPr>
          <w:rFonts w:cs="Times New Roman"/>
          <w:color w:val="000000" w:themeColor="text1"/>
        </w:rPr>
        <w:t>modification</w:t>
      </w:r>
      <w:r w:rsidRPr="00874413">
        <w:rPr>
          <w:rFonts w:cs="Times New Roman"/>
          <w:color w:val="000000" w:themeColor="text1"/>
        </w:rPr>
        <w:t>, we estimate an annual increase in burden for each eligible hospital and CAH to attest to both measures of 0.5 minutes.</w:t>
      </w:r>
      <w:r>
        <w:rPr>
          <w:rFonts w:cs="Times New Roman"/>
          <w:color w:val="000000" w:themeColor="text1"/>
        </w:rPr>
        <w:t xml:space="preserve">  </w:t>
      </w:r>
    </w:p>
    <w:p w:rsidR="00000261" w:rsidRPr="00467B82" w:rsidP="00467B82" w14:paraId="4CAB8D3D" w14:textId="77777777">
      <w:pPr>
        <w:pStyle w:val="BodyText"/>
        <w:widowControl/>
        <w:ind w:left="0" w:right="259"/>
        <w:rPr>
          <w:rFonts w:cs="Times New Roman"/>
          <w:color w:val="000000" w:themeColor="text1"/>
        </w:rPr>
      </w:pPr>
    </w:p>
    <w:p w:rsidR="00A95E96" w:rsidRPr="00B66511" w:rsidP="00467B82" w14:paraId="73A0DF99" w14:textId="516C0E97">
      <w:pPr>
        <w:pStyle w:val="BodyText"/>
        <w:widowControl/>
        <w:ind w:left="0" w:right="259"/>
      </w:pPr>
      <w:r>
        <w:rPr>
          <w:rFonts w:cs="Times New Roman"/>
          <w:color w:val="000000" w:themeColor="text1"/>
        </w:rPr>
        <w:t>In aggregate, we estimate t</w:t>
      </w:r>
      <w:r>
        <w:t xml:space="preserve">he total </w:t>
      </w:r>
      <w:r w:rsidR="00C57985">
        <w:t xml:space="preserve">annual </w:t>
      </w:r>
      <w:r>
        <w:t xml:space="preserve">burden </w:t>
      </w:r>
      <w:r w:rsidR="00C57985">
        <w:t xml:space="preserve">per eligible hospital and CAH </w:t>
      </w:r>
      <w:r>
        <w:t xml:space="preserve">for this Objective </w:t>
      </w:r>
      <w:r w:rsidR="00C57985">
        <w:t xml:space="preserve">to be </w:t>
      </w:r>
      <w:r>
        <w:t>4</w:t>
      </w:r>
      <w:r w:rsidR="00C57985">
        <w:t xml:space="preserve"> minutes (0.0</w:t>
      </w:r>
      <w:r>
        <w:t>6</w:t>
      </w:r>
      <w:r w:rsidR="003E7B85">
        <w:t>6</w:t>
      </w:r>
      <w:r>
        <w:t>7</w:t>
      </w:r>
      <w:r w:rsidR="00C57985">
        <w:t xml:space="preserve"> hours)</w:t>
      </w:r>
      <w:r w:rsidR="009134B9">
        <w:t xml:space="preserve"> beginning with the EHR reporting period</w:t>
      </w:r>
      <w:r w:rsidR="000659E9">
        <w:t xml:space="preserve"> in CY 2025</w:t>
      </w:r>
      <w:r w:rsidR="00C57985">
        <w:t>.  Across all eligible hospitals and CAHs, we estimate a total annual burden of</w:t>
      </w:r>
      <w:r>
        <w:t xml:space="preserve"> </w:t>
      </w:r>
      <w:r w:rsidR="0001595E">
        <w:t>30</w:t>
      </w:r>
      <w:r w:rsidR="003E7B85">
        <w:t>3</w:t>
      </w:r>
      <w:r>
        <w:t xml:space="preserve"> hours (</w:t>
      </w:r>
      <w:r w:rsidR="00C57985">
        <w:t>0.0</w:t>
      </w:r>
      <w:r w:rsidR="0001595E">
        <w:t>6</w:t>
      </w:r>
      <w:r w:rsidR="003E7B85">
        <w:t>6</w:t>
      </w:r>
      <w:r w:rsidR="0001595E">
        <w:t>7</w:t>
      </w:r>
      <w:r w:rsidR="00C57985">
        <w:t xml:space="preserve"> hours x 4,5</w:t>
      </w:r>
      <w:r w:rsidR="0001595E">
        <w:t>5</w:t>
      </w:r>
      <w:r w:rsidR="00C57985">
        <w:t>0 hospitals</w:t>
      </w:r>
      <w:r w:rsidR="00D75609">
        <w:t>) at a cost of $</w:t>
      </w:r>
      <w:r w:rsidR="001E5F10">
        <w:t>1</w:t>
      </w:r>
      <w:r w:rsidR="0001595E">
        <w:t>5,</w:t>
      </w:r>
      <w:r w:rsidR="003E7B85">
        <w:t>792</w:t>
      </w:r>
      <w:r w:rsidR="00D75609">
        <w:t xml:space="preserve"> (</w:t>
      </w:r>
      <w:r w:rsidR="0001595E">
        <w:t>30</w:t>
      </w:r>
      <w:r w:rsidR="003E7B85">
        <w:t>3</w:t>
      </w:r>
      <w:r w:rsidR="00D75609">
        <w:t xml:space="preserve"> hours x $</w:t>
      </w:r>
      <w:r w:rsidR="0001595E">
        <w:t>52.12</w:t>
      </w:r>
      <w:r w:rsidR="00D75609">
        <w:t>).</w:t>
      </w:r>
    </w:p>
    <w:p w:rsidR="00A95E96" w:rsidRPr="00467B82" w:rsidP="00467B82" w14:paraId="43BFFB3E" w14:textId="77777777">
      <w:pPr>
        <w:pStyle w:val="BodyText"/>
        <w:ind w:left="0" w:right="259"/>
        <w:rPr>
          <w:i/>
          <w:iCs/>
        </w:rPr>
      </w:pPr>
    </w:p>
    <w:p w:rsidR="00E65EB3" w:rsidRPr="0001595E" w:rsidP="00467B82" w14:paraId="170EA52C" w14:textId="65447447">
      <w:pPr>
        <w:pStyle w:val="BodyText"/>
        <w:numPr>
          <w:ilvl w:val="0"/>
          <w:numId w:val="9"/>
        </w:numPr>
        <w:ind w:right="259"/>
        <w:rPr>
          <w:b/>
          <w:bCs/>
        </w:rPr>
      </w:pPr>
      <w:r w:rsidRPr="0001595E">
        <w:rPr>
          <w:b/>
          <w:bCs/>
        </w:rPr>
        <w:t>eCQM Measure Reporting and Submission Requirements</w:t>
      </w:r>
    </w:p>
    <w:p w:rsidR="00E65EB3" w:rsidRPr="00467B82" w:rsidP="00467B82" w14:paraId="0E2DB198" w14:textId="6816347D">
      <w:pPr>
        <w:pStyle w:val="BodyText"/>
        <w:ind w:left="0" w:right="259"/>
        <w:rPr>
          <w:i/>
          <w:iCs/>
        </w:rPr>
      </w:pPr>
    </w:p>
    <w:p w:rsidR="0001595E" w:rsidP="00467B82" w14:paraId="2DE8E1BB" w14:textId="4CADCB7A">
      <w:pPr>
        <w:pStyle w:val="BodyText"/>
        <w:ind w:left="0" w:right="259"/>
      </w:pPr>
      <w:r w:rsidRPr="0001595E">
        <w:t>We previously finalized in the FY 2023 IPPS/LTCH PPS final rule that, for the</w:t>
      </w:r>
      <w:r>
        <w:t xml:space="preserve"> </w:t>
      </w:r>
      <w:r w:rsidR="00652B4E">
        <w:t xml:space="preserve">CY 2024 </w:t>
      </w:r>
      <w:r w:rsidRPr="0001595E">
        <w:t>reporting period, CAHs are required to submit data quarterly for six eCQMs each year which must consist of the Safe Use of Opioids-Concurrent Prescribing, Cesarean Birth, and Severe Obstetric Complications eCQMs in addition to three self-selected eCQMs (87 FR 49394 through 49395).  In th</w:t>
      </w:r>
      <w:r>
        <w:t>e FY 2025 IPPS/LTCH PPS</w:t>
      </w:r>
      <w:r w:rsidRPr="0001595E">
        <w:t xml:space="preserve"> </w:t>
      </w:r>
      <w:r w:rsidR="00E72613">
        <w:t>final</w:t>
      </w:r>
      <w:r w:rsidRPr="0001595E">
        <w:t xml:space="preserve"> rule, we are </w:t>
      </w:r>
      <w:r w:rsidR="00E72613">
        <w:t>finalizing</w:t>
      </w:r>
      <w:r w:rsidRPr="0001595E">
        <w:t xml:space="preserve"> that, for the </w:t>
      </w:r>
      <w:r w:rsidR="00652B4E">
        <w:t xml:space="preserve">CY 2026 </w:t>
      </w:r>
      <w:r w:rsidRPr="0001595E">
        <w:t>reporting period, CAHs w</w:t>
      </w:r>
      <w:r w:rsidR="003A5BA5">
        <w:t>ill</w:t>
      </w:r>
      <w:r w:rsidRPr="0001595E">
        <w:t xml:space="preserve"> be required to submit data for </w:t>
      </w:r>
      <w:r w:rsidR="00E72613">
        <w:t>eight</w:t>
      </w:r>
      <w:r w:rsidRPr="0001595E">
        <w:t xml:space="preserve"> total </w:t>
      </w:r>
      <w:r w:rsidRPr="0001595E">
        <w:t>eCQMs</w:t>
      </w:r>
      <w:r w:rsidRPr="0001595E">
        <w:t>: three self-selected, Safe Use of Opioids, Severe Obstetric Complications, Cesarean Birth Rate, Hospital Harm – Severe Hypoglycemia,</w:t>
      </w:r>
      <w:r w:rsidR="00E72613">
        <w:t xml:space="preserve"> and</w:t>
      </w:r>
      <w:r w:rsidRPr="0001595E">
        <w:t xml:space="preserve"> Hospital Harm – Severe Hyperglycemia</w:t>
      </w:r>
      <w:r w:rsidR="00E72613">
        <w:t>.  We are also finalizing that, for the CY 2027 reporting period, CAHs w</w:t>
      </w:r>
      <w:r w:rsidR="003A5BA5">
        <w:t>ill</w:t>
      </w:r>
      <w:r w:rsidR="00E72613">
        <w:t xml:space="preserve"> be required to submit data for these eight eCQMs in addition to the</w:t>
      </w:r>
      <w:r w:rsidRPr="0001595E">
        <w:t xml:space="preserve"> Hospital Harm – Opioid-Related Adverse Events</w:t>
      </w:r>
      <w:r w:rsidR="00E72613">
        <w:t xml:space="preserve"> eCQM</w:t>
      </w:r>
      <w:r w:rsidRPr="0001595E">
        <w:t xml:space="preserve">.  </w:t>
      </w:r>
      <w:r w:rsidR="00E72613">
        <w:t>Lastly, w</w:t>
      </w:r>
      <w:r w:rsidRPr="0001595E">
        <w:t xml:space="preserve">e are also </w:t>
      </w:r>
      <w:r w:rsidR="00E72613">
        <w:t>finalizing</w:t>
      </w:r>
      <w:r w:rsidRPr="0001595E">
        <w:t xml:space="preserve"> that, beginning with the </w:t>
      </w:r>
      <w:r w:rsidR="00652B4E">
        <w:t>CY 202</w:t>
      </w:r>
      <w:r w:rsidR="00E72613">
        <w:t>8</w:t>
      </w:r>
      <w:r w:rsidR="00652B4E">
        <w:t xml:space="preserve"> </w:t>
      </w:r>
      <w:r w:rsidRPr="0001595E">
        <w:t>reporting period, CAHs w</w:t>
      </w:r>
      <w:r w:rsidR="003A5BA5">
        <w:t>ill</w:t>
      </w:r>
      <w:r w:rsidRPr="0001595E">
        <w:t xml:space="preserve"> be required to submit data for these nine eCQMs as well as the Hospital Harm – Pressure Injury and Hospital Harm – Acute Kidney Injury eCQMs.</w:t>
      </w:r>
    </w:p>
    <w:p w:rsidR="0001595E" w:rsidRPr="00467B82" w:rsidP="00467B82" w14:paraId="695607DD" w14:textId="77777777">
      <w:pPr>
        <w:pStyle w:val="BodyText"/>
        <w:ind w:left="0" w:right="259"/>
      </w:pPr>
    </w:p>
    <w:p w:rsidR="00753C39" w:rsidP="00467B82" w14:paraId="436B2E81" w14:textId="5B6A80F0">
      <w:pPr>
        <w:pStyle w:val="BodyText"/>
        <w:ind w:left="0" w:right="259"/>
      </w:pPr>
      <w:r>
        <w:t>Also</w:t>
      </w:r>
      <w:r w:rsidRPr="00753C39" w:rsidR="0033634C">
        <w:t xml:space="preserve"> </w:t>
      </w:r>
      <w:r w:rsidR="0033634C">
        <w:t xml:space="preserve">in the </w:t>
      </w:r>
      <w:r>
        <w:t>F</w:t>
      </w:r>
      <w:r w:rsidR="0033634C">
        <w:t xml:space="preserve">Y 2025 IPPS/LTCH PPS </w:t>
      </w:r>
      <w:r>
        <w:t>final</w:t>
      </w:r>
      <w:r w:rsidR="0033634C">
        <w:t xml:space="preserve"> rule</w:t>
      </w:r>
      <w:r>
        <w:t>, we are</w:t>
      </w:r>
      <w:r w:rsidRPr="00753C39" w:rsidR="0033634C">
        <w:t xml:space="preserve"> adopt</w:t>
      </w:r>
      <w:r>
        <w:t>ing</w:t>
      </w:r>
      <w:r w:rsidRPr="00753C39" w:rsidR="0033634C">
        <w:t xml:space="preserve"> two new eCQMs </w:t>
      </w:r>
      <w:r w:rsidRPr="00753C39" w:rsidR="003A104D">
        <w:t>to the set of eCQMs from which hospitals may self-select in order to meet their eCQM reporting requirements</w:t>
      </w:r>
      <w:r w:rsidR="003A104D">
        <w:t xml:space="preserve"> and modify</w:t>
      </w:r>
      <w:r>
        <w:t>ing</w:t>
      </w:r>
      <w:r w:rsidR="003A104D">
        <w:t xml:space="preserve"> one existing eCQM </w:t>
      </w:r>
      <w:r w:rsidRPr="00753C39" w:rsidR="0033634C">
        <w:t xml:space="preserve">beginning with the </w:t>
      </w:r>
      <w:r w:rsidR="00765D8F">
        <w:t xml:space="preserve">CY 2026 </w:t>
      </w:r>
      <w:r w:rsidRPr="00753C39" w:rsidR="0033634C">
        <w:t xml:space="preserve">reporting period:  (1) the Hospital Harm – Falls With Injury </w:t>
      </w:r>
      <w:r w:rsidRPr="00753C39" w:rsidR="0033634C">
        <w:t>eCQM</w:t>
      </w:r>
      <w:r w:rsidR="003A104D">
        <w:t xml:space="preserve">; </w:t>
      </w:r>
      <w:r w:rsidRPr="00753C39" w:rsidR="0033634C">
        <w:t>(2) the</w:t>
      </w:r>
      <w:r w:rsidR="003A104D">
        <w:t xml:space="preserve"> </w:t>
      </w:r>
      <w:r w:rsidRPr="00753C39" w:rsidR="0033634C">
        <w:t>Hospital Harm – Postoperative Respiratory Failure eCQM</w:t>
      </w:r>
      <w:r w:rsidR="003A104D">
        <w:t>; and (3) the modified GMCS</w:t>
      </w:r>
      <w:r w:rsidR="00292213">
        <w:t xml:space="preserve"> eCQM</w:t>
      </w:r>
      <w:r w:rsidRPr="00753C39" w:rsidR="0033634C">
        <w:t xml:space="preserve">.  </w:t>
      </w:r>
      <w:r w:rsidRPr="00473ECD" w:rsidR="0033634C">
        <w:rPr>
          <w:rFonts w:cs="Times New Roman"/>
          <w:color w:val="000000" w:themeColor="text1"/>
        </w:rPr>
        <w:t xml:space="preserve">While this results in new eCQMs being added to the measure set, </w:t>
      </w:r>
      <w:r w:rsidR="0033634C">
        <w:rPr>
          <w:rFonts w:cs="Times New Roman"/>
          <w:color w:val="000000" w:themeColor="text1"/>
        </w:rPr>
        <w:t xml:space="preserve">eligible </w:t>
      </w:r>
      <w:r w:rsidRPr="00473ECD" w:rsidR="0033634C">
        <w:rPr>
          <w:rFonts w:cs="Times New Roman"/>
          <w:color w:val="000000" w:themeColor="text1"/>
        </w:rPr>
        <w:t xml:space="preserve">hospitals </w:t>
      </w:r>
      <w:r w:rsidR="0033634C">
        <w:rPr>
          <w:rFonts w:cs="Times New Roman"/>
          <w:color w:val="000000" w:themeColor="text1"/>
        </w:rPr>
        <w:t>and CAHs w</w:t>
      </w:r>
      <w:r>
        <w:rPr>
          <w:rFonts w:cs="Times New Roman"/>
          <w:color w:val="000000" w:themeColor="text1"/>
        </w:rPr>
        <w:t>ill</w:t>
      </w:r>
      <w:r w:rsidRPr="00473ECD" w:rsidR="0033634C">
        <w:rPr>
          <w:rFonts w:cs="Times New Roman"/>
          <w:color w:val="000000" w:themeColor="text1"/>
        </w:rPr>
        <w:t xml:space="preserve"> not be required to report more than </w:t>
      </w:r>
      <w:r w:rsidR="000C1FB6">
        <w:rPr>
          <w:rFonts w:cs="Times New Roman"/>
          <w:color w:val="000000" w:themeColor="text1"/>
        </w:rPr>
        <w:t>eight</w:t>
      </w:r>
      <w:r w:rsidR="0033634C">
        <w:rPr>
          <w:rFonts w:cs="Times New Roman"/>
          <w:color w:val="000000" w:themeColor="text1"/>
        </w:rPr>
        <w:t xml:space="preserve"> </w:t>
      </w:r>
      <w:r w:rsidR="0033634C">
        <w:rPr>
          <w:rFonts w:cs="Times New Roman"/>
          <w:color w:val="000000" w:themeColor="text1"/>
        </w:rPr>
        <w:t>eCQMs</w:t>
      </w:r>
      <w:r w:rsidR="0033634C">
        <w:rPr>
          <w:rFonts w:cs="Times New Roman"/>
          <w:color w:val="000000" w:themeColor="text1"/>
        </w:rPr>
        <w:t xml:space="preserve"> for the </w:t>
      </w:r>
      <w:r w:rsidR="00765D8F">
        <w:rPr>
          <w:rFonts w:cs="Times New Roman"/>
          <w:color w:val="000000" w:themeColor="text1"/>
        </w:rPr>
        <w:t xml:space="preserve">CY 2026 </w:t>
      </w:r>
      <w:r w:rsidR="0033634C">
        <w:rPr>
          <w:rFonts w:cs="Times New Roman"/>
          <w:color w:val="000000" w:themeColor="text1"/>
        </w:rPr>
        <w:t>reporting period</w:t>
      </w:r>
      <w:r w:rsidR="000C1FB6">
        <w:rPr>
          <w:rFonts w:cs="Times New Roman"/>
          <w:color w:val="000000" w:themeColor="text1"/>
        </w:rPr>
        <w:t>, nine eCQMs for the CY 2027 reporting period,</w:t>
      </w:r>
      <w:r w:rsidR="000659E9">
        <w:rPr>
          <w:rFonts w:cs="Times New Roman"/>
          <w:color w:val="000000" w:themeColor="text1"/>
        </w:rPr>
        <w:t xml:space="preserve"> </w:t>
      </w:r>
      <w:r w:rsidR="0033634C">
        <w:rPr>
          <w:rFonts w:cs="Times New Roman"/>
          <w:color w:val="000000" w:themeColor="text1"/>
        </w:rPr>
        <w:t xml:space="preserve">and eleven eCQMs for the </w:t>
      </w:r>
      <w:r w:rsidR="00765D8F">
        <w:rPr>
          <w:rFonts w:cs="Times New Roman"/>
          <w:color w:val="000000" w:themeColor="text1"/>
        </w:rPr>
        <w:t>CY 202</w:t>
      </w:r>
      <w:r w:rsidR="000C1FB6">
        <w:rPr>
          <w:rFonts w:cs="Times New Roman"/>
          <w:color w:val="000000" w:themeColor="text1"/>
        </w:rPr>
        <w:t>8</w:t>
      </w:r>
      <w:r w:rsidR="00765D8F">
        <w:rPr>
          <w:rFonts w:cs="Times New Roman"/>
          <w:color w:val="000000" w:themeColor="text1"/>
        </w:rPr>
        <w:t xml:space="preserve"> </w:t>
      </w:r>
      <w:r w:rsidR="0033634C">
        <w:rPr>
          <w:rFonts w:cs="Times New Roman"/>
          <w:color w:val="000000" w:themeColor="text1"/>
        </w:rPr>
        <w:t>reporting period.</w:t>
      </w:r>
    </w:p>
    <w:p w:rsidR="00753C39" w:rsidRPr="00B57D7E" w:rsidP="00467B82" w14:paraId="2E9AF26A" w14:textId="77777777">
      <w:pPr>
        <w:pStyle w:val="BodyText"/>
        <w:ind w:left="0" w:right="259"/>
        <w:rPr>
          <w:sz w:val="16"/>
          <w:szCs w:val="16"/>
        </w:rPr>
      </w:pPr>
    </w:p>
    <w:p w:rsidR="00E65EB3" w:rsidRPr="00B66511" w:rsidP="00467B82" w14:paraId="36E88DA1" w14:textId="6041C76E">
      <w:pPr>
        <w:pStyle w:val="BodyText"/>
        <w:ind w:left="0" w:right="259"/>
      </w:pPr>
      <w:r>
        <w:t xml:space="preserve">We continue to estimate the information collection burden associated with the eCQM reporting and submission requirements to be 10 minutes per measure per quarter.  The burden associated with the reporting of eCQM measures for eligible hospitals </w:t>
      </w:r>
      <w:r w:rsidR="000F5568">
        <w:t xml:space="preserve">and CAHs </w:t>
      </w:r>
      <w:r>
        <w:t xml:space="preserve">as part of the Hospital </w:t>
      </w:r>
      <w:r w:rsidR="00753C39">
        <w:t>IQR</w:t>
      </w:r>
      <w:r>
        <w:t xml:space="preserve"> </w:t>
      </w:r>
      <w:r w:rsidR="00D2530A">
        <w:t>P</w:t>
      </w:r>
      <w:r>
        <w:t>rogram is included under OMB control number 0938-1022.</w:t>
      </w:r>
      <w:r w:rsidR="00753C39">
        <w:t xml:space="preserve">  </w:t>
      </w:r>
    </w:p>
    <w:p w:rsidR="003A2C66" w:rsidRPr="00467B82" w:rsidP="00467B82" w14:paraId="32C8CADC" w14:textId="29AE807E">
      <w:pPr>
        <w:pStyle w:val="BodyText"/>
        <w:ind w:left="0" w:right="259"/>
        <w:rPr>
          <w:i/>
          <w:iCs/>
        </w:rPr>
      </w:pPr>
    </w:p>
    <w:p w:rsidR="00F9331E" w:rsidP="00467B82" w14:paraId="28F06F1B" w14:textId="189F6A8A">
      <w:pPr>
        <w:pStyle w:val="BodyText"/>
        <w:numPr>
          <w:ilvl w:val="0"/>
          <w:numId w:val="9"/>
        </w:numPr>
        <w:ind w:right="259"/>
        <w:rPr>
          <w:b/>
          <w:bCs/>
        </w:rPr>
      </w:pPr>
      <w:r>
        <w:rPr>
          <w:b/>
          <w:bCs/>
        </w:rPr>
        <w:t xml:space="preserve">Hardship </w:t>
      </w:r>
      <w:r w:rsidR="006212E6">
        <w:rPr>
          <w:b/>
          <w:bCs/>
        </w:rPr>
        <w:t>Exception</w:t>
      </w:r>
    </w:p>
    <w:p w:rsidR="002C3EAD" w:rsidP="00467B82" w14:paraId="5E149951" w14:textId="77777777">
      <w:pPr>
        <w:pStyle w:val="BodyText"/>
        <w:ind w:left="0" w:right="259"/>
      </w:pPr>
    </w:p>
    <w:p w:rsidR="00F9331E" w:rsidP="00467B82" w14:paraId="140C2AFB" w14:textId="7F5B7BF8">
      <w:pPr>
        <w:pStyle w:val="BodyText"/>
        <w:ind w:left="0" w:right="259"/>
      </w:pPr>
      <w:r>
        <w:t xml:space="preserve">As discussed in section B.1.b, </w:t>
      </w:r>
      <w:r w:rsidR="006212E6">
        <w:t xml:space="preserve">eligible hospitals and CAHs may </w:t>
      </w:r>
      <w:r w:rsidR="006212E6">
        <w:rPr>
          <w:rFonts w:cs="Times New Roman"/>
          <w:bCs/>
        </w:rPr>
        <w:t xml:space="preserve">apply electronically for a Hardship Exception and avoid a downward payment adjustment in circumstances out of the hospital’s control that make it difficult to meet program requirements.  Based on the number of Hardship Exception applications received in prior EHR reporting periods, we estimate approximately </w:t>
      </w:r>
      <w:r>
        <w:t xml:space="preserve">400 eligible hospitals and CAHs </w:t>
      </w:r>
      <w:r w:rsidR="006212E6">
        <w:t xml:space="preserve">will </w:t>
      </w:r>
      <w:r>
        <w:t>apply annually</w:t>
      </w:r>
      <w:r w:rsidR="006212E6">
        <w:t xml:space="preserve"> and estimate the application requires approximately </w:t>
      </w:r>
      <w:r>
        <w:t xml:space="preserve">1 minute </w:t>
      </w:r>
      <w:r w:rsidR="006212E6">
        <w:t>(0.0167 hours) to complete. Therefore, we estimate an annual information collection burden of 7 hours (0.0167 hours x 400 applications) at a cost of $365 (7 hours x $52.12).</w:t>
      </w:r>
    </w:p>
    <w:p w:rsidR="00F9331E" w:rsidRPr="00F9331E" w:rsidP="00467B82" w14:paraId="5DA299FC" w14:textId="77777777">
      <w:pPr>
        <w:pStyle w:val="BodyText"/>
        <w:ind w:left="0" w:right="259"/>
      </w:pPr>
    </w:p>
    <w:p w:rsidR="004F5F47" w:rsidRPr="00753C39" w:rsidP="00467B82" w14:paraId="298C4353" w14:textId="3AD21806">
      <w:pPr>
        <w:pStyle w:val="BodyText"/>
        <w:numPr>
          <w:ilvl w:val="0"/>
          <w:numId w:val="9"/>
        </w:numPr>
        <w:ind w:right="259"/>
        <w:rPr>
          <w:b/>
          <w:bCs/>
        </w:rPr>
      </w:pPr>
      <w:r w:rsidRPr="00753C39">
        <w:rPr>
          <w:b/>
          <w:bCs/>
        </w:rPr>
        <w:t>Burden Estimate</w:t>
      </w:r>
      <w:r w:rsidRPr="00753C39" w:rsidR="00050B32">
        <w:rPr>
          <w:b/>
          <w:bCs/>
        </w:rPr>
        <w:t xml:space="preserve"> Summary</w:t>
      </w:r>
    </w:p>
    <w:p w:rsidR="00FC5859" w:rsidRPr="00467B82" w:rsidP="00467B82" w14:paraId="629663A2" w14:textId="77777777">
      <w:pPr>
        <w:pStyle w:val="BodyText"/>
        <w:ind w:left="0" w:right="259"/>
      </w:pPr>
    </w:p>
    <w:p w:rsidR="009134B9" w:rsidP="00467B82" w14:paraId="49F66BBF" w14:textId="25D69E36">
      <w:pPr>
        <w:pStyle w:val="BodyText"/>
        <w:ind w:left="0" w:right="259"/>
      </w:pPr>
      <w:r>
        <w:t xml:space="preserve">As shown in Table </w:t>
      </w:r>
      <w:r w:rsidR="00B57D7E">
        <w:t>4</w:t>
      </w:r>
      <w:r>
        <w:t>, i</w:t>
      </w:r>
      <w:r w:rsidRPr="00644086">
        <w:t>n summary, under OMB control number 0938-1</w:t>
      </w:r>
      <w:r>
        <w:t>278</w:t>
      </w:r>
      <w:r w:rsidRPr="00644086">
        <w:t xml:space="preserve">, we estimate a total </w:t>
      </w:r>
      <w:r>
        <w:t xml:space="preserve">annual </w:t>
      </w:r>
      <w:r w:rsidRPr="00644086">
        <w:t>information collection burden</w:t>
      </w:r>
      <w:r>
        <w:t xml:space="preserve"> increase</w:t>
      </w:r>
      <w:r w:rsidRPr="00644086">
        <w:t xml:space="preserve"> for </w:t>
      </w:r>
      <w:r>
        <w:t>4,55</w:t>
      </w:r>
      <w:r w:rsidRPr="00644086">
        <w:t xml:space="preserve">0 </w:t>
      </w:r>
      <w:r>
        <w:t>eligible hospitals and CAHs</w:t>
      </w:r>
      <w:r w:rsidRPr="00644086">
        <w:t xml:space="preserve"> of</w:t>
      </w:r>
      <w:r>
        <w:t xml:space="preserve"> </w:t>
      </w:r>
      <w:r w:rsidR="003C3148">
        <w:t>564</w:t>
      </w:r>
      <w:r w:rsidRPr="00326B0A">
        <w:t xml:space="preserve"> hours </w:t>
      </w:r>
      <w:r>
        <w:t xml:space="preserve">at a cost of </w:t>
      </w:r>
      <w:r w:rsidR="00C45557">
        <w:t>$</w:t>
      </w:r>
      <w:r w:rsidR="00292213">
        <w:t>2</w:t>
      </w:r>
      <w:r w:rsidR="003C3148">
        <w:t>9,400</w:t>
      </w:r>
      <w:r w:rsidR="00C45557">
        <w:t xml:space="preserve"> </w:t>
      </w:r>
      <w:r w:rsidRPr="00644086">
        <w:t xml:space="preserve">associated with our </w:t>
      </w:r>
      <w:r w:rsidR="000C1FB6">
        <w:t xml:space="preserve">finalized </w:t>
      </w:r>
      <w:r w:rsidRPr="00644086">
        <w:t>policies and updated burden estimates described above</w:t>
      </w:r>
      <w:r w:rsidR="00C45557">
        <w:t xml:space="preserve"> (</w:t>
      </w:r>
      <w:r w:rsidRPr="00644086">
        <w:t>which also reflects use of updated hourly wage rate</w:t>
      </w:r>
      <w:r>
        <w:t>s</w:t>
      </w:r>
      <w:r w:rsidRPr="00644086">
        <w:t xml:space="preserve"> as previously discussed), from the </w:t>
      </w:r>
      <w:r>
        <w:t xml:space="preserve">EHR </w:t>
      </w:r>
      <w:r w:rsidRPr="00644086">
        <w:t>reporting period</w:t>
      </w:r>
      <w:r>
        <w:t xml:space="preserve"> </w:t>
      </w:r>
      <w:r w:rsidR="003C18F7">
        <w:t xml:space="preserve">in CY 2025 </w:t>
      </w:r>
      <w:r>
        <w:t>through the EHR reporting period</w:t>
      </w:r>
      <w:r w:rsidR="003C18F7">
        <w:t xml:space="preserve"> in CY 2027</w:t>
      </w:r>
      <w:r w:rsidRPr="00644086">
        <w:t xml:space="preserve">, compared to our </w:t>
      </w:r>
      <w:r w:rsidR="000C1FB6">
        <w:t xml:space="preserve">currently approved </w:t>
      </w:r>
      <w:r w:rsidRPr="00644086">
        <w:t>information collection burden estimates.  The table below summarize</w:t>
      </w:r>
      <w:r>
        <w:t>s</w:t>
      </w:r>
      <w:r w:rsidRPr="00644086">
        <w:t xml:space="preserve"> the total burden changes for each respective </w:t>
      </w:r>
      <w:r>
        <w:t>EHR reporting period</w:t>
      </w:r>
      <w:r w:rsidRPr="00644086">
        <w:t xml:space="preserve"> compared to our currently approved information collection burden estimates (the </w:t>
      </w:r>
      <w:r>
        <w:t>column</w:t>
      </w:r>
      <w:r w:rsidRPr="00644086">
        <w:t xml:space="preserve"> for the </w:t>
      </w:r>
      <w:r>
        <w:t>EHR reporting period</w:t>
      </w:r>
      <w:r w:rsidRPr="00644086">
        <w:t xml:space="preserve"> </w:t>
      </w:r>
      <w:r w:rsidR="003C18F7">
        <w:t xml:space="preserve">in CY 2027 </w:t>
      </w:r>
      <w:r w:rsidRPr="00644086">
        <w:t>reflects the cumulative burde</w:t>
      </w:r>
      <w:r>
        <w:t xml:space="preserve">n </w:t>
      </w:r>
      <w:r w:rsidRPr="00644086">
        <w:t>changes</w:t>
      </w:r>
      <w:r>
        <w:t>)</w:t>
      </w:r>
      <w:r w:rsidRPr="00644086">
        <w:t xml:space="preserve">.  </w:t>
      </w:r>
    </w:p>
    <w:p w:rsidR="00C45557" w:rsidP="00467B82" w14:paraId="54DD5D00" w14:textId="77777777">
      <w:pPr>
        <w:pStyle w:val="BodyText"/>
        <w:ind w:left="0" w:right="259"/>
        <w:rPr>
          <w:rFonts w:cs="Times New Roman"/>
          <w:b/>
          <w:bCs/>
        </w:rPr>
      </w:pPr>
    </w:p>
    <w:p w:rsidR="00891CBD" w:rsidRPr="00CC2858" w:rsidP="00C45557" w14:paraId="4CDBA6D1" w14:textId="47814F5F">
      <w:pPr>
        <w:pStyle w:val="BodyText"/>
        <w:spacing w:before="69"/>
        <w:ind w:left="0" w:right="259"/>
        <w:jc w:val="center"/>
        <w:rPr>
          <w:rFonts w:cs="Times New Roman"/>
          <w:b/>
          <w:bCs/>
        </w:rPr>
      </w:pPr>
      <w:r w:rsidRPr="00C8475E">
        <w:rPr>
          <w:rFonts w:cs="Times New Roman"/>
          <w:b/>
          <w:bCs/>
        </w:rPr>
        <w:t xml:space="preserve">Table </w:t>
      </w:r>
      <w:r w:rsidR="00B57D7E">
        <w:rPr>
          <w:rFonts w:cs="Times New Roman"/>
          <w:b/>
          <w:bCs/>
        </w:rPr>
        <w:t>4</w:t>
      </w:r>
      <w:r w:rsidRPr="00C8475E">
        <w:rPr>
          <w:rFonts w:cs="Times New Roman"/>
          <w:b/>
          <w:bCs/>
        </w:rPr>
        <w:t xml:space="preserve">.  </w:t>
      </w:r>
      <w:r w:rsidRPr="00891CBD">
        <w:rPr>
          <w:rFonts w:cs="Times New Roman"/>
          <w:b/>
          <w:bCs/>
        </w:rPr>
        <w:t xml:space="preserve">Summary of Annual Burden Estimates for the </w:t>
      </w:r>
      <w:r>
        <w:rPr>
          <w:rFonts w:cs="Times New Roman"/>
          <w:b/>
          <w:bCs/>
        </w:rPr>
        <w:t>EHR Reporting Periods</w:t>
      </w:r>
      <w:r w:rsidR="003C18F7">
        <w:rPr>
          <w:rFonts w:cs="Times New Roman"/>
          <w:b/>
          <w:bCs/>
        </w:rPr>
        <w:t xml:space="preserve"> in CY 2024 through CY 2027</w:t>
      </w:r>
    </w:p>
    <w:tbl>
      <w:tblPr>
        <w:tblStyle w:val="TableGrid"/>
        <w:tblCaption w:val="Summary of Annual Burden Estimates for the CY 2023 through CY 2026 EHR Reporting Periods"/>
        <w:tblDescription w:val="Summary of Annual Burden Estimates for the CY 2023 through CY 2026 EHR Reporting Periods"/>
        <w:tblW w:w="10128" w:type="dxa"/>
        <w:jc w:val="center"/>
        <w:tblLook w:val="04A0"/>
      </w:tblPr>
      <w:tblGrid>
        <w:gridCol w:w="2448"/>
        <w:gridCol w:w="1285"/>
        <w:gridCol w:w="1275"/>
        <w:gridCol w:w="1285"/>
        <w:gridCol w:w="1275"/>
        <w:gridCol w:w="1285"/>
        <w:gridCol w:w="1275"/>
      </w:tblGrid>
      <w:tr w14:paraId="01B80510" w14:textId="7189E0A2" w:rsidTr="00D601E0">
        <w:tblPrEx>
          <w:tblW w:w="10128" w:type="dxa"/>
          <w:jc w:val="center"/>
          <w:tblLook w:val="04A0"/>
        </w:tblPrEx>
        <w:trPr>
          <w:cantSplit/>
          <w:tblHeader/>
          <w:jc w:val="center"/>
        </w:trPr>
        <w:tc>
          <w:tcPr>
            <w:tcW w:w="2448" w:type="dxa"/>
          </w:tcPr>
          <w:p w:rsidR="006212E6" w:rsidRPr="00B57D7E" w:rsidP="006212E6" w14:paraId="47CDE513" w14:textId="2A395F4B">
            <w:pPr>
              <w:pStyle w:val="BodyText"/>
              <w:spacing w:before="69"/>
              <w:ind w:left="0" w:right="259"/>
              <w:jc w:val="center"/>
              <w:rPr>
                <w:rFonts w:cs="Times New Roman"/>
                <w:b/>
                <w:color w:val="000000"/>
                <w:sz w:val="18"/>
                <w:szCs w:val="18"/>
              </w:rPr>
            </w:pPr>
            <w:r w:rsidRPr="00B57D7E">
              <w:rPr>
                <w:rFonts w:cs="Times New Roman"/>
                <w:b/>
                <w:color w:val="000000"/>
                <w:sz w:val="18"/>
                <w:szCs w:val="18"/>
              </w:rPr>
              <w:t>Objective</w:t>
            </w:r>
          </w:p>
        </w:tc>
        <w:tc>
          <w:tcPr>
            <w:tcW w:w="1285" w:type="dxa"/>
            <w:vAlign w:val="center"/>
          </w:tcPr>
          <w:p w:rsidR="006212E6" w:rsidRPr="00B57D7E" w:rsidP="006212E6" w14:paraId="40D9E1CB" w14:textId="421C2AD4">
            <w:pPr>
              <w:pStyle w:val="BodyText"/>
              <w:spacing w:before="69"/>
              <w:ind w:left="0" w:right="259"/>
              <w:jc w:val="center"/>
              <w:rPr>
                <w:rFonts w:cs="Times New Roman"/>
                <w:b/>
                <w:color w:val="000000"/>
                <w:sz w:val="18"/>
                <w:szCs w:val="18"/>
              </w:rPr>
            </w:pPr>
            <w:r w:rsidRPr="00B57D7E">
              <w:rPr>
                <w:rFonts w:cs="Times New Roman"/>
                <w:b/>
                <w:color w:val="000000"/>
                <w:sz w:val="18"/>
                <w:szCs w:val="18"/>
              </w:rPr>
              <w:t>EHR Reporting Period</w:t>
            </w:r>
            <w:r w:rsidR="003C18F7">
              <w:rPr>
                <w:rFonts w:cs="Times New Roman"/>
                <w:b/>
                <w:color w:val="000000"/>
                <w:sz w:val="18"/>
                <w:szCs w:val="18"/>
              </w:rPr>
              <w:t xml:space="preserve"> in CY 2024</w:t>
            </w:r>
          </w:p>
        </w:tc>
        <w:tc>
          <w:tcPr>
            <w:tcW w:w="1275" w:type="dxa"/>
            <w:vAlign w:val="center"/>
          </w:tcPr>
          <w:p w:rsidR="006212E6" w:rsidRPr="00B57D7E" w:rsidP="006212E6" w14:paraId="69D1C96F" w14:textId="796C03E6">
            <w:pPr>
              <w:pStyle w:val="BodyText"/>
              <w:spacing w:before="69"/>
              <w:ind w:left="0" w:right="259"/>
              <w:jc w:val="center"/>
              <w:rPr>
                <w:rFonts w:cs="Times New Roman"/>
                <w:b/>
                <w:color w:val="000000"/>
                <w:sz w:val="18"/>
                <w:szCs w:val="18"/>
              </w:rPr>
            </w:pPr>
            <w:r w:rsidRPr="00B57D7E">
              <w:rPr>
                <w:rFonts w:cs="Times New Roman"/>
                <w:b/>
                <w:color w:val="000000"/>
                <w:sz w:val="18"/>
                <w:szCs w:val="18"/>
              </w:rPr>
              <w:t>Difference From Currently Approved</w:t>
            </w:r>
          </w:p>
        </w:tc>
        <w:tc>
          <w:tcPr>
            <w:tcW w:w="1285" w:type="dxa"/>
            <w:vAlign w:val="center"/>
          </w:tcPr>
          <w:p w:rsidR="006212E6" w:rsidRPr="00B57D7E" w:rsidP="006212E6" w14:paraId="2A897556" w14:textId="38FA9CB4">
            <w:pPr>
              <w:pStyle w:val="BodyText"/>
              <w:spacing w:before="69"/>
              <w:ind w:left="0" w:right="259"/>
              <w:jc w:val="center"/>
              <w:rPr>
                <w:rFonts w:cs="Times New Roman"/>
                <w:b/>
                <w:color w:val="000000"/>
                <w:sz w:val="18"/>
                <w:szCs w:val="18"/>
              </w:rPr>
            </w:pPr>
            <w:r w:rsidRPr="00B57D7E">
              <w:rPr>
                <w:rFonts w:cs="Times New Roman"/>
                <w:b/>
                <w:color w:val="000000"/>
                <w:sz w:val="18"/>
                <w:szCs w:val="18"/>
              </w:rPr>
              <w:t>EHR Reporting Period</w:t>
            </w:r>
            <w:r>
              <w:rPr>
                <w:rFonts w:cs="Times New Roman"/>
                <w:b/>
                <w:color w:val="000000"/>
                <w:sz w:val="18"/>
                <w:szCs w:val="18"/>
              </w:rPr>
              <w:t>s</w:t>
            </w:r>
            <w:r w:rsidR="003C18F7">
              <w:rPr>
                <w:rFonts w:cs="Times New Roman"/>
                <w:b/>
                <w:color w:val="000000"/>
                <w:sz w:val="18"/>
                <w:szCs w:val="18"/>
              </w:rPr>
              <w:t xml:space="preserve"> in CY 2025-2026</w:t>
            </w:r>
          </w:p>
        </w:tc>
        <w:tc>
          <w:tcPr>
            <w:tcW w:w="1275" w:type="dxa"/>
            <w:vAlign w:val="center"/>
          </w:tcPr>
          <w:p w:rsidR="006212E6" w:rsidRPr="00B57D7E" w:rsidP="006212E6" w14:paraId="72296368" w14:textId="52E42DD8">
            <w:pPr>
              <w:pStyle w:val="BodyText"/>
              <w:spacing w:before="69"/>
              <w:ind w:left="0" w:right="259"/>
              <w:jc w:val="center"/>
              <w:rPr>
                <w:rFonts w:cs="Times New Roman"/>
                <w:b/>
                <w:color w:val="000000"/>
                <w:sz w:val="18"/>
                <w:szCs w:val="18"/>
              </w:rPr>
            </w:pPr>
            <w:r w:rsidRPr="00B57D7E">
              <w:rPr>
                <w:rFonts w:cs="Times New Roman"/>
                <w:b/>
                <w:color w:val="000000"/>
                <w:sz w:val="18"/>
                <w:szCs w:val="18"/>
              </w:rPr>
              <w:t>Difference From Currently Approved</w:t>
            </w:r>
          </w:p>
        </w:tc>
        <w:tc>
          <w:tcPr>
            <w:tcW w:w="1285" w:type="dxa"/>
            <w:vAlign w:val="center"/>
          </w:tcPr>
          <w:p w:rsidR="006212E6" w:rsidRPr="00B57D7E" w:rsidP="006212E6" w14:paraId="6BF697CB" w14:textId="399ABF20">
            <w:pPr>
              <w:pStyle w:val="BodyText"/>
              <w:spacing w:before="69"/>
              <w:ind w:left="0" w:right="259"/>
              <w:jc w:val="center"/>
              <w:rPr>
                <w:rFonts w:cs="Times New Roman"/>
                <w:b/>
                <w:color w:val="000000"/>
                <w:sz w:val="18"/>
                <w:szCs w:val="18"/>
              </w:rPr>
            </w:pPr>
            <w:r w:rsidRPr="00B57D7E">
              <w:rPr>
                <w:rFonts w:cs="Times New Roman"/>
                <w:b/>
                <w:color w:val="000000"/>
                <w:sz w:val="18"/>
                <w:szCs w:val="18"/>
              </w:rPr>
              <w:t>EHR Reporting Period</w:t>
            </w:r>
            <w:r w:rsidR="003C18F7">
              <w:rPr>
                <w:rFonts w:cs="Times New Roman"/>
                <w:b/>
                <w:color w:val="000000"/>
                <w:sz w:val="18"/>
                <w:szCs w:val="18"/>
              </w:rPr>
              <w:t xml:space="preserve"> in CY 2027</w:t>
            </w:r>
          </w:p>
        </w:tc>
        <w:tc>
          <w:tcPr>
            <w:tcW w:w="1275" w:type="dxa"/>
            <w:vAlign w:val="center"/>
          </w:tcPr>
          <w:p w:rsidR="006212E6" w:rsidRPr="00B57D7E" w:rsidP="006212E6" w14:paraId="6E2A484B" w14:textId="134BD88A">
            <w:pPr>
              <w:pStyle w:val="BodyText"/>
              <w:spacing w:before="69"/>
              <w:ind w:left="0" w:right="259"/>
              <w:jc w:val="center"/>
              <w:rPr>
                <w:rFonts w:cs="Times New Roman"/>
                <w:b/>
                <w:color w:val="000000"/>
                <w:sz w:val="18"/>
                <w:szCs w:val="18"/>
              </w:rPr>
            </w:pPr>
            <w:r w:rsidRPr="00B57D7E">
              <w:rPr>
                <w:rFonts w:cs="Times New Roman"/>
                <w:b/>
                <w:color w:val="000000"/>
                <w:sz w:val="18"/>
                <w:szCs w:val="18"/>
              </w:rPr>
              <w:t>Difference From Currently Approved</w:t>
            </w:r>
          </w:p>
        </w:tc>
      </w:tr>
      <w:tr w14:paraId="2272DD0B" w14:textId="0F37BC3F" w:rsidTr="00D601E0">
        <w:tblPrEx>
          <w:tblW w:w="10128" w:type="dxa"/>
          <w:jc w:val="center"/>
          <w:tblLook w:val="04A0"/>
        </w:tblPrEx>
        <w:trPr>
          <w:cantSplit/>
          <w:jc w:val="center"/>
        </w:trPr>
        <w:tc>
          <w:tcPr>
            <w:tcW w:w="2448" w:type="dxa"/>
          </w:tcPr>
          <w:p w:rsidR="006212E6" w:rsidRPr="00B57D7E" w:rsidP="006212E6" w14:paraId="0BA6E1E6" w14:textId="41B0AD9F">
            <w:pPr>
              <w:pStyle w:val="BodyText"/>
              <w:spacing w:before="69"/>
              <w:ind w:left="0" w:right="259"/>
              <w:rPr>
                <w:rFonts w:cs="Times New Roman"/>
                <w:bCs/>
                <w:color w:val="000000"/>
                <w:sz w:val="18"/>
                <w:szCs w:val="18"/>
              </w:rPr>
            </w:pPr>
            <w:r w:rsidRPr="00B57D7E">
              <w:rPr>
                <w:rFonts w:cs="Times New Roman"/>
                <w:bCs/>
                <w:color w:val="000000"/>
                <w:sz w:val="18"/>
                <w:szCs w:val="18"/>
              </w:rPr>
              <w:t>Protecting Patient Health Information</w:t>
            </w:r>
          </w:p>
        </w:tc>
        <w:tc>
          <w:tcPr>
            <w:tcW w:w="1285" w:type="dxa"/>
          </w:tcPr>
          <w:p w:rsidR="006212E6" w:rsidRPr="00B57D7E" w:rsidP="006212E6" w14:paraId="1C34F90B" w14:textId="1A7174F4">
            <w:pPr>
              <w:pStyle w:val="BodyText"/>
              <w:spacing w:before="69"/>
              <w:ind w:left="0" w:right="259"/>
              <w:jc w:val="right"/>
              <w:rPr>
                <w:rFonts w:cs="Times New Roman"/>
                <w:bCs/>
                <w:color w:val="000000"/>
                <w:sz w:val="18"/>
                <w:szCs w:val="18"/>
              </w:rPr>
            </w:pPr>
            <w:r w:rsidRPr="00B57D7E">
              <w:rPr>
                <w:rFonts w:cs="Times New Roman"/>
                <w:bCs/>
                <w:color w:val="000000"/>
                <w:sz w:val="18"/>
                <w:szCs w:val="18"/>
              </w:rPr>
              <w:t>27,</w:t>
            </w:r>
            <w:r>
              <w:rPr>
                <w:rFonts w:cs="Times New Roman"/>
                <w:bCs/>
                <w:color w:val="000000"/>
                <w:sz w:val="18"/>
                <w:szCs w:val="18"/>
              </w:rPr>
              <w:t>376</w:t>
            </w:r>
          </w:p>
        </w:tc>
        <w:tc>
          <w:tcPr>
            <w:tcW w:w="1275" w:type="dxa"/>
          </w:tcPr>
          <w:p w:rsidR="006212E6" w:rsidRPr="00B57D7E" w:rsidP="006212E6" w14:paraId="490CB7B7" w14:textId="184DCAB3">
            <w:pPr>
              <w:pStyle w:val="BodyText"/>
              <w:spacing w:before="69"/>
              <w:ind w:left="0" w:right="259"/>
              <w:jc w:val="right"/>
              <w:rPr>
                <w:rFonts w:cs="Times New Roman"/>
                <w:bCs/>
                <w:color w:val="000000"/>
                <w:sz w:val="18"/>
                <w:szCs w:val="18"/>
              </w:rPr>
            </w:pPr>
            <w:r>
              <w:rPr>
                <w:rFonts w:cs="Times New Roman"/>
                <w:bCs/>
                <w:color w:val="000000"/>
                <w:sz w:val="18"/>
                <w:szCs w:val="18"/>
              </w:rPr>
              <w:t>+301</w:t>
            </w:r>
          </w:p>
        </w:tc>
        <w:tc>
          <w:tcPr>
            <w:tcW w:w="1285" w:type="dxa"/>
          </w:tcPr>
          <w:p w:rsidR="006212E6" w:rsidRPr="00B57D7E" w:rsidP="006212E6" w14:paraId="70ABC9F9" w14:textId="694FB46A">
            <w:pPr>
              <w:pStyle w:val="BodyText"/>
              <w:spacing w:before="69"/>
              <w:ind w:left="0" w:right="259"/>
              <w:jc w:val="right"/>
              <w:rPr>
                <w:rFonts w:cs="Times New Roman"/>
                <w:bCs/>
                <w:color w:val="000000"/>
                <w:sz w:val="18"/>
                <w:szCs w:val="18"/>
              </w:rPr>
            </w:pPr>
            <w:r w:rsidRPr="00B57D7E">
              <w:rPr>
                <w:rFonts w:cs="Times New Roman"/>
                <w:bCs/>
                <w:color w:val="000000"/>
                <w:sz w:val="18"/>
                <w:szCs w:val="18"/>
              </w:rPr>
              <w:t>27,</w:t>
            </w:r>
            <w:r w:rsidR="003C3148">
              <w:rPr>
                <w:rFonts w:cs="Times New Roman"/>
                <w:bCs/>
                <w:color w:val="000000"/>
                <w:sz w:val="18"/>
                <w:szCs w:val="18"/>
              </w:rPr>
              <w:t>528</w:t>
            </w:r>
          </w:p>
        </w:tc>
        <w:tc>
          <w:tcPr>
            <w:tcW w:w="1275" w:type="dxa"/>
          </w:tcPr>
          <w:p w:rsidR="006212E6" w:rsidRPr="00B57D7E" w:rsidP="006212E6" w14:paraId="40A46D28" w14:textId="31C94523">
            <w:pPr>
              <w:pStyle w:val="BodyText"/>
              <w:spacing w:before="69"/>
              <w:ind w:left="0" w:right="259"/>
              <w:jc w:val="right"/>
              <w:rPr>
                <w:rFonts w:cs="Times New Roman"/>
                <w:bCs/>
                <w:color w:val="000000"/>
                <w:sz w:val="18"/>
                <w:szCs w:val="18"/>
              </w:rPr>
            </w:pPr>
            <w:r>
              <w:rPr>
                <w:rFonts w:cs="Times New Roman"/>
                <w:bCs/>
                <w:color w:val="000000"/>
                <w:sz w:val="18"/>
                <w:szCs w:val="18"/>
              </w:rPr>
              <w:t>+</w:t>
            </w:r>
            <w:r w:rsidR="003C3148">
              <w:rPr>
                <w:rFonts w:cs="Times New Roman"/>
                <w:bCs/>
                <w:color w:val="000000"/>
                <w:sz w:val="18"/>
                <w:szCs w:val="18"/>
              </w:rPr>
              <w:t>453</w:t>
            </w:r>
          </w:p>
        </w:tc>
        <w:tc>
          <w:tcPr>
            <w:tcW w:w="1285" w:type="dxa"/>
          </w:tcPr>
          <w:p w:rsidR="006212E6" w:rsidP="006212E6" w14:paraId="7AAAFAA4" w14:textId="116E2882">
            <w:pPr>
              <w:pStyle w:val="BodyText"/>
              <w:spacing w:before="69"/>
              <w:ind w:left="0" w:right="259"/>
              <w:jc w:val="right"/>
              <w:rPr>
                <w:rFonts w:cs="Times New Roman"/>
                <w:bCs/>
                <w:color w:val="000000"/>
                <w:sz w:val="18"/>
                <w:szCs w:val="18"/>
              </w:rPr>
            </w:pPr>
            <w:r w:rsidRPr="00B57D7E">
              <w:rPr>
                <w:rFonts w:cs="Times New Roman"/>
                <w:bCs/>
                <w:color w:val="000000"/>
                <w:sz w:val="18"/>
                <w:szCs w:val="18"/>
              </w:rPr>
              <w:t>27,</w:t>
            </w:r>
            <w:r w:rsidR="003C3148">
              <w:rPr>
                <w:rFonts w:cs="Times New Roman"/>
                <w:bCs/>
                <w:color w:val="000000"/>
                <w:sz w:val="18"/>
                <w:szCs w:val="18"/>
              </w:rPr>
              <w:t>528</w:t>
            </w:r>
          </w:p>
        </w:tc>
        <w:tc>
          <w:tcPr>
            <w:tcW w:w="1275" w:type="dxa"/>
          </w:tcPr>
          <w:p w:rsidR="006212E6" w:rsidP="006212E6" w14:paraId="0C5E63C3" w14:textId="4A14C011">
            <w:pPr>
              <w:pStyle w:val="BodyText"/>
              <w:spacing w:before="69"/>
              <w:ind w:left="0" w:right="259"/>
              <w:jc w:val="right"/>
              <w:rPr>
                <w:rFonts w:cs="Times New Roman"/>
                <w:bCs/>
                <w:color w:val="000000"/>
                <w:sz w:val="18"/>
                <w:szCs w:val="18"/>
              </w:rPr>
            </w:pPr>
            <w:r>
              <w:rPr>
                <w:rFonts w:cs="Times New Roman"/>
                <w:bCs/>
                <w:color w:val="000000"/>
                <w:sz w:val="18"/>
                <w:szCs w:val="18"/>
              </w:rPr>
              <w:t>+453</w:t>
            </w:r>
          </w:p>
        </w:tc>
      </w:tr>
      <w:tr w14:paraId="71FAC0A0" w14:textId="1B95E8B9" w:rsidTr="00D601E0">
        <w:tblPrEx>
          <w:tblW w:w="10128" w:type="dxa"/>
          <w:jc w:val="center"/>
          <w:tblLook w:val="04A0"/>
        </w:tblPrEx>
        <w:trPr>
          <w:cantSplit/>
          <w:jc w:val="center"/>
        </w:trPr>
        <w:tc>
          <w:tcPr>
            <w:tcW w:w="2448" w:type="dxa"/>
          </w:tcPr>
          <w:p w:rsidR="006212E6" w:rsidRPr="00B57D7E" w:rsidP="006212E6" w14:paraId="1C86A4A9" w14:textId="696BF5EC">
            <w:pPr>
              <w:pStyle w:val="BodyText"/>
              <w:spacing w:before="69"/>
              <w:ind w:left="0" w:right="259"/>
              <w:rPr>
                <w:rFonts w:cs="Times New Roman"/>
                <w:bCs/>
                <w:color w:val="000000"/>
                <w:sz w:val="18"/>
                <w:szCs w:val="18"/>
              </w:rPr>
            </w:pPr>
            <w:r w:rsidRPr="00B57D7E">
              <w:rPr>
                <w:rFonts w:cs="Times New Roman"/>
                <w:bCs/>
                <w:color w:val="000000"/>
                <w:sz w:val="18"/>
                <w:szCs w:val="18"/>
              </w:rPr>
              <w:t>Electronic Prescribing</w:t>
            </w:r>
          </w:p>
        </w:tc>
        <w:tc>
          <w:tcPr>
            <w:tcW w:w="1285" w:type="dxa"/>
          </w:tcPr>
          <w:p w:rsidR="006212E6" w:rsidRPr="00B57D7E" w:rsidP="006212E6" w14:paraId="7467ACED" w14:textId="47868FE0">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275" w:type="dxa"/>
          </w:tcPr>
          <w:p w:rsidR="006212E6" w:rsidRPr="00B57D7E" w:rsidP="006212E6" w14:paraId="3A23F93D" w14:textId="041F0177">
            <w:pPr>
              <w:pStyle w:val="BodyText"/>
              <w:spacing w:before="69"/>
              <w:ind w:left="0" w:right="259"/>
              <w:jc w:val="right"/>
              <w:rPr>
                <w:rFonts w:cs="Times New Roman"/>
                <w:bCs/>
                <w:color w:val="000000"/>
                <w:sz w:val="18"/>
                <w:szCs w:val="18"/>
              </w:rPr>
            </w:pPr>
            <w:r>
              <w:rPr>
                <w:rFonts w:cs="Times New Roman"/>
                <w:bCs/>
                <w:color w:val="000000"/>
                <w:sz w:val="18"/>
                <w:szCs w:val="18"/>
              </w:rPr>
              <w:t>+8</w:t>
            </w:r>
          </w:p>
        </w:tc>
        <w:tc>
          <w:tcPr>
            <w:tcW w:w="1285" w:type="dxa"/>
          </w:tcPr>
          <w:p w:rsidR="006212E6" w:rsidRPr="00B57D7E" w:rsidP="006212E6" w14:paraId="32CA2637" w14:textId="522506E8">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275" w:type="dxa"/>
          </w:tcPr>
          <w:p w:rsidR="006212E6" w:rsidRPr="00B57D7E" w:rsidP="006212E6" w14:paraId="340C4CE7" w14:textId="3AE7034E">
            <w:pPr>
              <w:pStyle w:val="BodyText"/>
              <w:spacing w:before="69"/>
              <w:ind w:left="0" w:right="259"/>
              <w:jc w:val="right"/>
              <w:rPr>
                <w:rFonts w:cs="Times New Roman"/>
                <w:bCs/>
                <w:color w:val="000000"/>
                <w:sz w:val="18"/>
                <w:szCs w:val="18"/>
              </w:rPr>
            </w:pPr>
            <w:r>
              <w:rPr>
                <w:rFonts w:cs="Times New Roman"/>
                <w:bCs/>
                <w:color w:val="000000"/>
                <w:sz w:val="18"/>
                <w:szCs w:val="18"/>
              </w:rPr>
              <w:t>+8</w:t>
            </w:r>
          </w:p>
        </w:tc>
        <w:tc>
          <w:tcPr>
            <w:tcW w:w="1285" w:type="dxa"/>
          </w:tcPr>
          <w:p w:rsidR="006212E6" w:rsidP="006212E6" w14:paraId="73E1F3DB" w14:textId="3AF3FBE8">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275" w:type="dxa"/>
          </w:tcPr>
          <w:p w:rsidR="006212E6" w:rsidP="006212E6" w14:paraId="3E550308" w14:textId="3D13D79C">
            <w:pPr>
              <w:pStyle w:val="BodyText"/>
              <w:spacing w:before="69"/>
              <w:ind w:left="0" w:right="259"/>
              <w:jc w:val="right"/>
              <w:rPr>
                <w:rFonts w:cs="Times New Roman"/>
                <w:bCs/>
                <w:color w:val="000000"/>
                <w:sz w:val="18"/>
                <w:szCs w:val="18"/>
              </w:rPr>
            </w:pPr>
            <w:r>
              <w:rPr>
                <w:rFonts w:cs="Times New Roman"/>
                <w:bCs/>
                <w:color w:val="000000"/>
                <w:sz w:val="18"/>
                <w:szCs w:val="18"/>
              </w:rPr>
              <w:t>+8</w:t>
            </w:r>
          </w:p>
        </w:tc>
      </w:tr>
      <w:tr w14:paraId="78B72815" w14:textId="66B6C549" w:rsidTr="00D601E0">
        <w:tblPrEx>
          <w:tblW w:w="10128" w:type="dxa"/>
          <w:jc w:val="center"/>
          <w:tblLook w:val="04A0"/>
        </w:tblPrEx>
        <w:trPr>
          <w:cantSplit/>
          <w:jc w:val="center"/>
        </w:trPr>
        <w:tc>
          <w:tcPr>
            <w:tcW w:w="2448" w:type="dxa"/>
          </w:tcPr>
          <w:p w:rsidR="006212E6" w:rsidRPr="00B57D7E" w:rsidP="006212E6" w14:paraId="702E78B0" w14:textId="7657E137">
            <w:pPr>
              <w:pStyle w:val="BodyText"/>
              <w:spacing w:before="69"/>
              <w:ind w:left="0" w:right="259"/>
              <w:rPr>
                <w:rFonts w:cs="Times New Roman"/>
                <w:bCs/>
                <w:color w:val="000000"/>
                <w:sz w:val="18"/>
                <w:szCs w:val="18"/>
              </w:rPr>
            </w:pPr>
            <w:r w:rsidRPr="00B57D7E">
              <w:rPr>
                <w:rFonts w:cs="Times New Roman"/>
                <w:bCs/>
                <w:color w:val="000000"/>
                <w:sz w:val="18"/>
                <w:szCs w:val="18"/>
              </w:rPr>
              <w:t>Health Information Exchange</w:t>
            </w:r>
          </w:p>
        </w:tc>
        <w:tc>
          <w:tcPr>
            <w:tcW w:w="1285" w:type="dxa"/>
          </w:tcPr>
          <w:p w:rsidR="006212E6" w:rsidRPr="00B57D7E" w:rsidP="006212E6" w14:paraId="41D8DAB1" w14:textId="12D055D7">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275" w:type="dxa"/>
          </w:tcPr>
          <w:p w:rsidR="006212E6" w:rsidRPr="00B57D7E" w:rsidP="006212E6" w14:paraId="2FB530FD" w14:textId="41E24F60">
            <w:pPr>
              <w:pStyle w:val="BodyText"/>
              <w:spacing w:before="69"/>
              <w:ind w:left="0" w:right="259"/>
              <w:jc w:val="right"/>
              <w:rPr>
                <w:rFonts w:cs="Times New Roman"/>
                <w:bCs/>
                <w:color w:val="000000"/>
                <w:sz w:val="18"/>
                <w:szCs w:val="18"/>
              </w:rPr>
            </w:pPr>
            <w:r>
              <w:rPr>
                <w:rFonts w:cs="Times New Roman"/>
                <w:bCs/>
                <w:color w:val="000000"/>
                <w:sz w:val="18"/>
                <w:szCs w:val="18"/>
              </w:rPr>
              <w:t>+8</w:t>
            </w:r>
          </w:p>
        </w:tc>
        <w:tc>
          <w:tcPr>
            <w:tcW w:w="1285" w:type="dxa"/>
          </w:tcPr>
          <w:p w:rsidR="006212E6" w:rsidRPr="00B57D7E" w:rsidP="006212E6" w14:paraId="0AEEA782" w14:textId="5B09B62A">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275" w:type="dxa"/>
          </w:tcPr>
          <w:p w:rsidR="006212E6" w:rsidRPr="00B57D7E" w:rsidP="006212E6" w14:paraId="2B269E8D" w14:textId="02146BDC">
            <w:pPr>
              <w:pStyle w:val="BodyText"/>
              <w:spacing w:before="69"/>
              <w:ind w:left="0" w:right="259"/>
              <w:jc w:val="right"/>
              <w:rPr>
                <w:rFonts w:cs="Times New Roman"/>
                <w:bCs/>
                <w:color w:val="000000"/>
                <w:sz w:val="18"/>
                <w:szCs w:val="18"/>
              </w:rPr>
            </w:pPr>
            <w:r>
              <w:rPr>
                <w:rFonts w:cs="Times New Roman"/>
                <w:bCs/>
                <w:color w:val="000000"/>
                <w:sz w:val="18"/>
                <w:szCs w:val="18"/>
              </w:rPr>
              <w:t>+8</w:t>
            </w:r>
          </w:p>
        </w:tc>
        <w:tc>
          <w:tcPr>
            <w:tcW w:w="1285" w:type="dxa"/>
          </w:tcPr>
          <w:p w:rsidR="006212E6" w:rsidP="006212E6" w14:paraId="76A8E08E" w14:textId="53372FFB">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275" w:type="dxa"/>
          </w:tcPr>
          <w:p w:rsidR="006212E6" w:rsidP="006212E6" w14:paraId="47BB9E7F" w14:textId="1BFD3C6D">
            <w:pPr>
              <w:pStyle w:val="BodyText"/>
              <w:spacing w:before="69"/>
              <w:ind w:left="0" w:right="259"/>
              <w:jc w:val="right"/>
              <w:rPr>
                <w:rFonts w:cs="Times New Roman"/>
                <w:bCs/>
                <w:color w:val="000000"/>
                <w:sz w:val="18"/>
                <w:szCs w:val="18"/>
              </w:rPr>
            </w:pPr>
            <w:r>
              <w:rPr>
                <w:rFonts w:cs="Times New Roman"/>
                <w:bCs/>
                <w:color w:val="000000"/>
                <w:sz w:val="18"/>
                <w:szCs w:val="18"/>
              </w:rPr>
              <w:t>+46</w:t>
            </w:r>
          </w:p>
        </w:tc>
      </w:tr>
      <w:tr w14:paraId="659B9A45" w14:textId="0ECB9AA2" w:rsidTr="00D601E0">
        <w:tblPrEx>
          <w:tblW w:w="10128" w:type="dxa"/>
          <w:jc w:val="center"/>
          <w:tblLook w:val="04A0"/>
        </w:tblPrEx>
        <w:trPr>
          <w:cantSplit/>
          <w:jc w:val="center"/>
        </w:trPr>
        <w:tc>
          <w:tcPr>
            <w:tcW w:w="2448" w:type="dxa"/>
          </w:tcPr>
          <w:p w:rsidR="006212E6" w:rsidRPr="00B57D7E" w:rsidP="006212E6" w14:paraId="452B25DA" w14:textId="4D73F1AD">
            <w:pPr>
              <w:pStyle w:val="BodyText"/>
              <w:spacing w:before="69"/>
              <w:ind w:left="0" w:right="259"/>
              <w:rPr>
                <w:rFonts w:cs="Times New Roman"/>
                <w:bCs/>
                <w:color w:val="000000"/>
                <w:sz w:val="18"/>
                <w:szCs w:val="18"/>
              </w:rPr>
            </w:pPr>
            <w:r w:rsidRPr="00B57D7E">
              <w:rPr>
                <w:rFonts w:cs="Times New Roman"/>
                <w:bCs/>
                <w:color w:val="000000"/>
                <w:sz w:val="18"/>
                <w:szCs w:val="18"/>
              </w:rPr>
              <w:t>Provider to Patient Exchange</w:t>
            </w:r>
          </w:p>
        </w:tc>
        <w:tc>
          <w:tcPr>
            <w:tcW w:w="1285" w:type="dxa"/>
          </w:tcPr>
          <w:p w:rsidR="006212E6" w:rsidRPr="00B57D7E" w:rsidP="006212E6" w14:paraId="2357E866" w14:textId="3C26919D">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275" w:type="dxa"/>
          </w:tcPr>
          <w:p w:rsidR="006212E6" w:rsidRPr="00B57D7E" w:rsidP="006212E6" w14:paraId="0A8D947C" w14:textId="34327A7C">
            <w:pPr>
              <w:pStyle w:val="BodyText"/>
              <w:spacing w:before="69"/>
              <w:ind w:left="0" w:right="259"/>
              <w:jc w:val="right"/>
              <w:rPr>
                <w:rFonts w:cs="Times New Roman"/>
                <w:bCs/>
                <w:color w:val="000000"/>
                <w:sz w:val="18"/>
                <w:szCs w:val="18"/>
              </w:rPr>
            </w:pPr>
            <w:r>
              <w:rPr>
                <w:rFonts w:cs="Times New Roman"/>
                <w:bCs/>
                <w:color w:val="000000"/>
                <w:sz w:val="18"/>
                <w:szCs w:val="18"/>
              </w:rPr>
              <w:t>+8</w:t>
            </w:r>
          </w:p>
        </w:tc>
        <w:tc>
          <w:tcPr>
            <w:tcW w:w="1285" w:type="dxa"/>
          </w:tcPr>
          <w:p w:rsidR="006212E6" w:rsidRPr="00B57D7E" w:rsidP="006212E6" w14:paraId="1EB16509" w14:textId="3C637B02">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275" w:type="dxa"/>
          </w:tcPr>
          <w:p w:rsidR="006212E6" w:rsidRPr="00B57D7E" w:rsidP="006212E6" w14:paraId="42772FF9" w14:textId="530A8F31">
            <w:pPr>
              <w:pStyle w:val="BodyText"/>
              <w:spacing w:before="69"/>
              <w:ind w:left="0" w:right="259"/>
              <w:jc w:val="right"/>
              <w:rPr>
                <w:rFonts w:cs="Times New Roman"/>
                <w:bCs/>
                <w:color w:val="000000"/>
                <w:sz w:val="18"/>
                <w:szCs w:val="18"/>
              </w:rPr>
            </w:pPr>
            <w:r>
              <w:rPr>
                <w:rFonts w:cs="Times New Roman"/>
                <w:bCs/>
                <w:color w:val="000000"/>
                <w:sz w:val="18"/>
                <w:szCs w:val="18"/>
              </w:rPr>
              <w:t>+8</w:t>
            </w:r>
          </w:p>
        </w:tc>
        <w:tc>
          <w:tcPr>
            <w:tcW w:w="1285" w:type="dxa"/>
          </w:tcPr>
          <w:p w:rsidR="006212E6" w:rsidP="006212E6" w14:paraId="6AA901E7" w14:textId="52195198">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275" w:type="dxa"/>
          </w:tcPr>
          <w:p w:rsidR="006212E6" w:rsidP="006212E6" w14:paraId="70BAE34A" w14:textId="305C05AB">
            <w:pPr>
              <w:pStyle w:val="BodyText"/>
              <w:spacing w:before="69"/>
              <w:ind w:left="0" w:right="259"/>
              <w:jc w:val="right"/>
              <w:rPr>
                <w:rFonts w:cs="Times New Roman"/>
                <w:bCs/>
                <w:color w:val="000000"/>
                <w:sz w:val="18"/>
                <w:szCs w:val="18"/>
              </w:rPr>
            </w:pPr>
            <w:r>
              <w:rPr>
                <w:rFonts w:cs="Times New Roman"/>
                <w:bCs/>
                <w:color w:val="000000"/>
                <w:sz w:val="18"/>
                <w:szCs w:val="18"/>
              </w:rPr>
              <w:t>+8</w:t>
            </w:r>
          </w:p>
        </w:tc>
      </w:tr>
      <w:tr w14:paraId="2E44A540" w14:textId="4C70DED0" w:rsidTr="00D601E0">
        <w:tblPrEx>
          <w:tblW w:w="10128" w:type="dxa"/>
          <w:jc w:val="center"/>
          <w:tblLook w:val="04A0"/>
        </w:tblPrEx>
        <w:trPr>
          <w:cantSplit/>
          <w:jc w:val="center"/>
        </w:trPr>
        <w:tc>
          <w:tcPr>
            <w:tcW w:w="2448" w:type="dxa"/>
          </w:tcPr>
          <w:p w:rsidR="006212E6" w:rsidRPr="00B57D7E" w:rsidP="006212E6" w14:paraId="5E3116D7" w14:textId="02BDE36C">
            <w:pPr>
              <w:pStyle w:val="BodyText"/>
              <w:spacing w:before="69"/>
              <w:ind w:left="0" w:right="259"/>
              <w:rPr>
                <w:rFonts w:cs="Times New Roman"/>
                <w:bCs/>
                <w:color w:val="000000"/>
                <w:sz w:val="18"/>
                <w:szCs w:val="18"/>
              </w:rPr>
            </w:pPr>
            <w:r w:rsidRPr="00B57D7E">
              <w:rPr>
                <w:rFonts w:cs="Times New Roman"/>
                <w:bCs/>
                <w:color w:val="000000"/>
                <w:sz w:val="18"/>
                <w:szCs w:val="18"/>
              </w:rPr>
              <w:t>Public Health and Clinician Data Exchange</w:t>
            </w:r>
          </w:p>
        </w:tc>
        <w:tc>
          <w:tcPr>
            <w:tcW w:w="1285" w:type="dxa"/>
          </w:tcPr>
          <w:p w:rsidR="006212E6" w:rsidRPr="00B57D7E" w:rsidP="006212E6" w14:paraId="1C460CF3" w14:textId="10E28DB5">
            <w:pPr>
              <w:pStyle w:val="BodyText"/>
              <w:spacing w:before="69"/>
              <w:ind w:left="0" w:right="259"/>
              <w:jc w:val="right"/>
              <w:rPr>
                <w:rFonts w:cs="Times New Roman"/>
                <w:bCs/>
                <w:color w:val="000000"/>
                <w:sz w:val="18"/>
                <w:szCs w:val="18"/>
              </w:rPr>
            </w:pPr>
            <w:r w:rsidRPr="00B57D7E">
              <w:rPr>
                <w:rFonts w:cs="Times New Roman"/>
                <w:bCs/>
                <w:color w:val="000000"/>
                <w:sz w:val="18"/>
                <w:szCs w:val="18"/>
              </w:rPr>
              <w:t>26</w:t>
            </w:r>
            <w:r>
              <w:rPr>
                <w:rFonts w:cs="Times New Roman"/>
                <w:bCs/>
                <w:color w:val="000000"/>
                <w:sz w:val="18"/>
                <w:szCs w:val="18"/>
              </w:rPr>
              <w:t>5</w:t>
            </w:r>
          </w:p>
        </w:tc>
        <w:tc>
          <w:tcPr>
            <w:tcW w:w="1275" w:type="dxa"/>
          </w:tcPr>
          <w:p w:rsidR="006212E6" w:rsidRPr="00B57D7E" w:rsidP="006212E6" w14:paraId="54FA4998" w14:textId="6605C4B7">
            <w:pPr>
              <w:pStyle w:val="BodyText"/>
              <w:spacing w:before="69"/>
              <w:ind w:left="0" w:right="259"/>
              <w:jc w:val="right"/>
              <w:rPr>
                <w:rFonts w:cs="Times New Roman"/>
                <w:bCs/>
                <w:color w:val="000000"/>
                <w:sz w:val="18"/>
                <w:szCs w:val="18"/>
              </w:rPr>
            </w:pPr>
            <w:r>
              <w:rPr>
                <w:rFonts w:cs="Times New Roman"/>
                <w:bCs/>
                <w:color w:val="000000"/>
                <w:sz w:val="18"/>
                <w:szCs w:val="18"/>
              </w:rPr>
              <w:t>+3</w:t>
            </w:r>
          </w:p>
        </w:tc>
        <w:tc>
          <w:tcPr>
            <w:tcW w:w="1285" w:type="dxa"/>
          </w:tcPr>
          <w:p w:rsidR="006212E6" w:rsidRPr="00B57D7E" w:rsidP="006212E6" w14:paraId="73FBA1FE" w14:textId="13DBDE24">
            <w:pPr>
              <w:pStyle w:val="BodyText"/>
              <w:spacing w:before="69"/>
              <w:ind w:left="0" w:right="259"/>
              <w:jc w:val="right"/>
              <w:rPr>
                <w:rFonts w:cs="Times New Roman"/>
                <w:bCs/>
                <w:color w:val="000000"/>
                <w:sz w:val="18"/>
                <w:szCs w:val="18"/>
              </w:rPr>
            </w:pPr>
            <w:r>
              <w:rPr>
                <w:rFonts w:cs="Times New Roman"/>
                <w:bCs/>
                <w:color w:val="000000"/>
                <w:sz w:val="18"/>
                <w:szCs w:val="18"/>
              </w:rPr>
              <w:t>303</w:t>
            </w:r>
          </w:p>
        </w:tc>
        <w:tc>
          <w:tcPr>
            <w:tcW w:w="1275" w:type="dxa"/>
          </w:tcPr>
          <w:p w:rsidR="006212E6" w:rsidRPr="00B57D7E" w:rsidP="006212E6" w14:paraId="2F2483A4" w14:textId="5772BD0C">
            <w:pPr>
              <w:pStyle w:val="BodyText"/>
              <w:spacing w:before="69"/>
              <w:ind w:left="0" w:right="259"/>
              <w:jc w:val="right"/>
              <w:rPr>
                <w:rFonts w:cs="Times New Roman"/>
                <w:bCs/>
                <w:color w:val="000000"/>
                <w:sz w:val="18"/>
                <w:szCs w:val="18"/>
              </w:rPr>
            </w:pPr>
            <w:r w:rsidRPr="00B57D7E">
              <w:rPr>
                <w:rFonts w:cs="Times New Roman"/>
                <w:bCs/>
                <w:color w:val="000000"/>
                <w:sz w:val="18"/>
                <w:szCs w:val="18"/>
              </w:rPr>
              <w:t>+3</w:t>
            </w:r>
            <w:r>
              <w:rPr>
                <w:rFonts w:cs="Times New Roman"/>
                <w:bCs/>
                <w:color w:val="000000"/>
                <w:sz w:val="18"/>
                <w:szCs w:val="18"/>
              </w:rPr>
              <w:t>8</w:t>
            </w:r>
          </w:p>
        </w:tc>
        <w:tc>
          <w:tcPr>
            <w:tcW w:w="1285" w:type="dxa"/>
          </w:tcPr>
          <w:p w:rsidR="006212E6" w:rsidRPr="00B57D7E" w:rsidP="006212E6" w14:paraId="5FB311FB" w14:textId="5552359B">
            <w:pPr>
              <w:pStyle w:val="BodyText"/>
              <w:spacing w:before="69"/>
              <w:ind w:left="0" w:right="259"/>
              <w:jc w:val="right"/>
              <w:rPr>
                <w:rFonts w:cs="Times New Roman"/>
                <w:bCs/>
                <w:color w:val="000000"/>
                <w:sz w:val="18"/>
                <w:szCs w:val="18"/>
              </w:rPr>
            </w:pPr>
            <w:r>
              <w:rPr>
                <w:rFonts w:cs="Times New Roman"/>
                <w:bCs/>
                <w:color w:val="000000"/>
                <w:sz w:val="18"/>
                <w:szCs w:val="18"/>
              </w:rPr>
              <w:t>303</w:t>
            </w:r>
          </w:p>
        </w:tc>
        <w:tc>
          <w:tcPr>
            <w:tcW w:w="1275" w:type="dxa"/>
          </w:tcPr>
          <w:p w:rsidR="006212E6" w:rsidRPr="00B57D7E" w:rsidP="006212E6" w14:paraId="73C5BAB9" w14:textId="4DDF55E5">
            <w:pPr>
              <w:pStyle w:val="BodyText"/>
              <w:spacing w:before="69"/>
              <w:ind w:left="0" w:right="259"/>
              <w:jc w:val="right"/>
              <w:rPr>
                <w:rFonts w:cs="Times New Roman"/>
                <w:bCs/>
                <w:color w:val="000000"/>
                <w:sz w:val="18"/>
                <w:szCs w:val="18"/>
              </w:rPr>
            </w:pPr>
            <w:r w:rsidRPr="00B57D7E">
              <w:rPr>
                <w:rFonts w:cs="Times New Roman"/>
                <w:bCs/>
                <w:color w:val="000000"/>
                <w:sz w:val="18"/>
                <w:szCs w:val="18"/>
              </w:rPr>
              <w:t>+3</w:t>
            </w:r>
            <w:r>
              <w:rPr>
                <w:rFonts w:cs="Times New Roman"/>
                <w:bCs/>
                <w:color w:val="000000"/>
                <w:sz w:val="18"/>
                <w:szCs w:val="18"/>
              </w:rPr>
              <w:t>8</w:t>
            </w:r>
          </w:p>
        </w:tc>
      </w:tr>
      <w:tr w14:paraId="73D59A55" w14:textId="77777777" w:rsidTr="00D601E0">
        <w:tblPrEx>
          <w:tblW w:w="10128" w:type="dxa"/>
          <w:jc w:val="center"/>
          <w:tblLook w:val="04A0"/>
        </w:tblPrEx>
        <w:trPr>
          <w:cantSplit/>
          <w:jc w:val="center"/>
        </w:trPr>
        <w:tc>
          <w:tcPr>
            <w:tcW w:w="2448" w:type="dxa"/>
          </w:tcPr>
          <w:p w:rsidR="006212E6" w:rsidRPr="006212E6" w:rsidP="006212E6" w14:paraId="5C61CCC7" w14:textId="36FCD44A">
            <w:pPr>
              <w:pStyle w:val="BodyText"/>
              <w:spacing w:before="69"/>
              <w:ind w:left="0" w:right="259"/>
              <w:rPr>
                <w:rFonts w:cs="Times New Roman"/>
                <w:bCs/>
                <w:color w:val="000000"/>
                <w:sz w:val="18"/>
                <w:szCs w:val="18"/>
              </w:rPr>
            </w:pPr>
            <w:r>
              <w:rPr>
                <w:rFonts w:cs="Times New Roman"/>
                <w:bCs/>
                <w:color w:val="000000"/>
                <w:sz w:val="18"/>
                <w:szCs w:val="18"/>
              </w:rPr>
              <w:t>Hardship Exception</w:t>
            </w:r>
          </w:p>
        </w:tc>
        <w:tc>
          <w:tcPr>
            <w:tcW w:w="1285" w:type="dxa"/>
          </w:tcPr>
          <w:p w:rsidR="006212E6" w:rsidRPr="006212E6" w:rsidP="006212E6" w14:paraId="2EF9DAF1" w14:textId="1C68E5E3">
            <w:pPr>
              <w:pStyle w:val="BodyText"/>
              <w:spacing w:before="69"/>
              <w:ind w:left="0" w:right="259"/>
              <w:jc w:val="right"/>
              <w:rPr>
                <w:rFonts w:cs="Times New Roman"/>
                <w:bCs/>
                <w:color w:val="000000"/>
                <w:sz w:val="18"/>
                <w:szCs w:val="18"/>
              </w:rPr>
            </w:pPr>
            <w:r w:rsidRPr="006212E6">
              <w:rPr>
                <w:rFonts w:cs="Times New Roman"/>
                <w:bCs/>
                <w:color w:val="000000"/>
                <w:sz w:val="18"/>
                <w:szCs w:val="18"/>
              </w:rPr>
              <w:t>7</w:t>
            </w:r>
          </w:p>
        </w:tc>
        <w:tc>
          <w:tcPr>
            <w:tcW w:w="1275" w:type="dxa"/>
          </w:tcPr>
          <w:p w:rsidR="006212E6" w:rsidRPr="006212E6" w:rsidP="006212E6" w14:paraId="42511190" w14:textId="097A60C8">
            <w:pPr>
              <w:pStyle w:val="BodyText"/>
              <w:spacing w:before="69"/>
              <w:ind w:left="0" w:right="259"/>
              <w:jc w:val="right"/>
              <w:rPr>
                <w:rFonts w:cs="Times New Roman"/>
                <w:bCs/>
                <w:color w:val="000000"/>
                <w:sz w:val="18"/>
                <w:szCs w:val="18"/>
              </w:rPr>
            </w:pPr>
            <w:r>
              <w:rPr>
                <w:rFonts w:cs="Times New Roman"/>
                <w:bCs/>
                <w:color w:val="000000"/>
                <w:sz w:val="18"/>
                <w:szCs w:val="18"/>
              </w:rPr>
              <w:t>+7</w:t>
            </w:r>
          </w:p>
        </w:tc>
        <w:tc>
          <w:tcPr>
            <w:tcW w:w="1285" w:type="dxa"/>
          </w:tcPr>
          <w:p w:rsidR="006212E6" w:rsidRPr="006212E6" w:rsidP="006212E6" w14:paraId="3B1B9C20" w14:textId="36DF8324">
            <w:pPr>
              <w:pStyle w:val="BodyText"/>
              <w:spacing w:before="69"/>
              <w:ind w:left="0" w:right="259"/>
              <w:jc w:val="right"/>
              <w:rPr>
                <w:rFonts w:cs="Times New Roman"/>
                <w:bCs/>
                <w:color w:val="000000"/>
                <w:sz w:val="18"/>
                <w:szCs w:val="18"/>
              </w:rPr>
            </w:pPr>
            <w:r>
              <w:rPr>
                <w:rFonts w:cs="Times New Roman"/>
                <w:bCs/>
                <w:color w:val="000000"/>
                <w:sz w:val="18"/>
                <w:szCs w:val="18"/>
              </w:rPr>
              <w:t>7</w:t>
            </w:r>
          </w:p>
        </w:tc>
        <w:tc>
          <w:tcPr>
            <w:tcW w:w="1275" w:type="dxa"/>
          </w:tcPr>
          <w:p w:rsidR="006212E6" w:rsidRPr="006212E6" w:rsidP="006212E6" w14:paraId="2D415729" w14:textId="7C2B0AB0">
            <w:pPr>
              <w:pStyle w:val="BodyText"/>
              <w:spacing w:before="69"/>
              <w:ind w:left="0" w:right="259"/>
              <w:jc w:val="right"/>
              <w:rPr>
                <w:rFonts w:cs="Times New Roman"/>
                <w:bCs/>
                <w:color w:val="000000"/>
                <w:sz w:val="18"/>
                <w:szCs w:val="18"/>
              </w:rPr>
            </w:pPr>
            <w:r>
              <w:rPr>
                <w:rFonts w:cs="Times New Roman"/>
                <w:bCs/>
                <w:color w:val="000000"/>
                <w:sz w:val="18"/>
                <w:szCs w:val="18"/>
              </w:rPr>
              <w:t>+7</w:t>
            </w:r>
          </w:p>
        </w:tc>
        <w:tc>
          <w:tcPr>
            <w:tcW w:w="1285" w:type="dxa"/>
          </w:tcPr>
          <w:p w:rsidR="006212E6" w:rsidRPr="006212E6" w:rsidP="006212E6" w14:paraId="3EB98A13" w14:textId="1A45EFEF">
            <w:pPr>
              <w:pStyle w:val="BodyText"/>
              <w:spacing w:before="69"/>
              <w:ind w:left="0" w:right="259"/>
              <w:jc w:val="right"/>
              <w:rPr>
                <w:rFonts w:cs="Times New Roman"/>
                <w:bCs/>
                <w:color w:val="000000"/>
                <w:sz w:val="18"/>
                <w:szCs w:val="18"/>
              </w:rPr>
            </w:pPr>
            <w:r>
              <w:rPr>
                <w:rFonts w:cs="Times New Roman"/>
                <w:bCs/>
                <w:color w:val="000000"/>
                <w:sz w:val="18"/>
                <w:szCs w:val="18"/>
              </w:rPr>
              <w:t>7</w:t>
            </w:r>
          </w:p>
        </w:tc>
        <w:tc>
          <w:tcPr>
            <w:tcW w:w="1275" w:type="dxa"/>
          </w:tcPr>
          <w:p w:rsidR="006212E6" w:rsidRPr="006212E6" w:rsidP="006212E6" w14:paraId="6EF2CDFF" w14:textId="46664BB5">
            <w:pPr>
              <w:pStyle w:val="BodyText"/>
              <w:spacing w:before="69"/>
              <w:ind w:left="0" w:right="259"/>
              <w:jc w:val="right"/>
              <w:rPr>
                <w:rFonts w:cs="Times New Roman"/>
                <w:bCs/>
                <w:color w:val="000000"/>
                <w:sz w:val="18"/>
                <w:szCs w:val="18"/>
              </w:rPr>
            </w:pPr>
            <w:r>
              <w:rPr>
                <w:rFonts w:cs="Times New Roman"/>
                <w:bCs/>
                <w:color w:val="000000"/>
                <w:sz w:val="18"/>
                <w:szCs w:val="18"/>
              </w:rPr>
              <w:t>+7</w:t>
            </w:r>
          </w:p>
        </w:tc>
      </w:tr>
      <w:tr w14:paraId="7BAED118" w14:textId="7D0903D6" w:rsidTr="00D601E0">
        <w:tblPrEx>
          <w:tblW w:w="10128" w:type="dxa"/>
          <w:jc w:val="center"/>
          <w:tblLook w:val="04A0"/>
        </w:tblPrEx>
        <w:trPr>
          <w:cantSplit/>
          <w:jc w:val="center"/>
        </w:trPr>
        <w:tc>
          <w:tcPr>
            <w:tcW w:w="2448" w:type="dxa"/>
          </w:tcPr>
          <w:p w:rsidR="006212E6" w:rsidRPr="00B57D7E" w:rsidP="006212E6" w14:paraId="272A3042" w14:textId="74E5D960">
            <w:pPr>
              <w:pStyle w:val="BodyText"/>
              <w:spacing w:before="69"/>
              <w:ind w:left="0" w:right="259"/>
              <w:rPr>
                <w:rFonts w:cs="Times New Roman"/>
                <w:b/>
                <w:color w:val="000000"/>
                <w:sz w:val="18"/>
                <w:szCs w:val="18"/>
              </w:rPr>
            </w:pPr>
            <w:r w:rsidRPr="00B57D7E">
              <w:rPr>
                <w:rFonts w:cs="Times New Roman"/>
                <w:b/>
                <w:color w:val="000000"/>
                <w:sz w:val="18"/>
                <w:szCs w:val="18"/>
              </w:rPr>
              <w:t>Total Burden Hour Estimate</w:t>
            </w:r>
            <w:r>
              <w:rPr>
                <w:rFonts w:cs="Times New Roman"/>
                <w:b/>
                <w:color w:val="000000"/>
                <w:sz w:val="18"/>
                <w:szCs w:val="18"/>
              </w:rPr>
              <w:t>*</w:t>
            </w:r>
          </w:p>
        </w:tc>
        <w:tc>
          <w:tcPr>
            <w:tcW w:w="1285" w:type="dxa"/>
          </w:tcPr>
          <w:p w:rsidR="006212E6" w:rsidRPr="00B57D7E" w:rsidP="006212E6" w14:paraId="188A1338" w14:textId="0E86F1D8">
            <w:pPr>
              <w:pStyle w:val="BodyText"/>
              <w:spacing w:before="69"/>
              <w:ind w:left="0" w:right="259"/>
              <w:jc w:val="right"/>
              <w:rPr>
                <w:rFonts w:cs="Times New Roman"/>
                <w:b/>
                <w:color w:val="000000"/>
                <w:sz w:val="18"/>
                <w:szCs w:val="18"/>
              </w:rPr>
            </w:pPr>
            <w:r w:rsidRPr="00B57D7E">
              <w:rPr>
                <w:rFonts w:cs="Times New Roman"/>
                <w:b/>
                <w:color w:val="000000"/>
                <w:sz w:val="18"/>
                <w:szCs w:val="18"/>
              </w:rPr>
              <w:t>29,</w:t>
            </w:r>
            <w:r>
              <w:rPr>
                <w:rFonts w:cs="Times New Roman"/>
                <w:b/>
                <w:color w:val="000000"/>
                <w:sz w:val="18"/>
                <w:szCs w:val="18"/>
              </w:rPr>
              <w:t>9</w:t>
            </w:r>
            <w:r w:rsidR="00D601E0">
              <w:rPr>
                <w:rFonts w:cs="Times New Roman"/>
                <w:b/>
                <w:color w:val="000000"/>
                <w:sz w:val="18"/>
                <w:szCs w:val="18"/>
              </w:rPr>
              <w:t>61</w:t>
            </w:r>
          </w:p>
        </w:tc>
        <w:tc>
          <w:tcPr>
            <w:tcW w:w="1275" w:type="dxa"/>
          </w:tcPr>
          <w:p w:rsidR="006212E6" w:rsidRPr="00B57D7E" w:rsidP="006212E6" w14:paraId="385A5E9B" w14:textId="0F696729">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Pr>
                <w:rFonts w:cs="Times New Roman"/>
                <w:b/>
                <w:color w:val="000000"/>
                <w:sz w:val="18"/>
                <w:szCs w:val="18"/>
              </w:rPr>
              <w:t>3</w:t>
            </w:r>
            <w:r w:rsidR="00D601E0">
              <w:rPr>
                <w:rFonts w:cs="Times New Roman"/>
                <w:b/>
                <w:color w:val="000000"/>
                <w:sz w:val="18"/>
                <w:szCs w:val="18"/>
              </w:rPr>
              <w:t>36</w:t>
            </w:r>
          </w:p>
        </w:tc>
        <w:tc>
          <w:tcPr>
            <w:tcW w:w="1285" w:type="dxa"/>
          </w:tcPr>
          <w:p w:rsidR="006212E6" w:rsidRPr="00B57D7E" w:rsidP="006212E6" w14:paraId="057ECE59" w14:textId="19F09677">
            <w:pPr>
              <w:pStyle w:val="BodyText"/>
              <w:spacing w:before="69"/>
              <w:ind w:left="0" w:right="259"/>
              <w:jc w:val="right"/>
              <w:rPr>
                <w:rFonts w:cs="Times New Roman"/>
                <w:b/>
                <w:color w:val="000000"/>
                <w:sz w:val="18"/>
                <w:szCs w:val="18"/>
              </w:rPr>
            </w:pPr>
            <w:r>
              <w:rPr>
                <w:rFonts w:cs="Times New Roman"/>
                <w:b/>
                <w:color w:val="000000"/>
                <w:sz w:val="18"/>
                <w:szCs w:val="18"/>
              </w:rPr>
              <w:t>30,151</w:t>
            </w:r>
          </w:p>
        </w:tc>
        <w:tc>
          <w:tcPr>
            <w:tcW w:w="1275" w:type="dxa"/>
          </w:tcPr>
          <w:p w:rsidR="006212E6" w:rsidRPr="00B57D7E" w:rsidP="006212E6" w14:paraId="3A7657DB" w14:textId="64FED4D2">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sidR="003C3148">
              <w:rPr>
                <w:rFonts w:cs="Times New Roman"/>
                <w:b/>
                <w:color w:val="000000"/>
                <w:sz w:val="18"/>
                <w:szCs w:val="18"/>
              </w:rPr>
              <w:t>526</w:t>
            </w:r>
          </w:p>
        </w:tc>
        <w:tc>
          <w:tcPr>
            <w:tcW w:w="1285" w:type="dxa"/>
          </w:tcPr>
          <w:p w:rsidR="006212E6" w:rsidRPr="00B57D7E" w:rsidP="006212E6" w14:paraId="29EC1888" w14:textId="1F375D06">
            <w:pPr>
              <w:pStyle w:val="BodyText"/>
              <w:spacing w:before="69"/>
              <w:ind w:left="0" w:right="259"/>
              <w:jc w:val="right"/>
              <w:rPr>
                <w:rFonts w:cs="Times New Roman"/>
                <w:b/>
                <w:color w:val="000000"/>
                <w:sz w:val="18"/>
                <w:szCs w:val="18"/>
              </w:rPr>
            </w:pPr>
            <w:r>
              <w:rPr>
                <w:rFonts w:cs="Times New Roman"/>
                <w:b/>
                <w:color w:val="000000"/>
                <w:sz w:val="18"/>
                <w:szCs w:val="18"/>
              </w:rPr>
              <w:t>30,</w:t>
            </w:r>
            <w:r w:rsidR="003C3148">
              <w:rPr>
                <w:rFonts w:cs="Times New Roman"/>
                <w:b/>
                <w:color w:val="000000"/>
                <w:sz w:val="18"/>
                <w:szCs w:val="18"/>
              </w:rPr>
              <w:t>189</w:t>
            </w:r>
          </w:p>
        </w:tc>
        <w:tc>
          <w:tcPr>
            <w:tcW w:w="1275" w:type="dxa"/>
          </w:tcPr>
          <w:p w:rsidR="006212E6" w:rsidRPr="00B57D7E" w:rsidP="006212E6" w14:paraId="6175ED06" w14:textId="29F875C4">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sidR="003C3148">
              <w:rPr>
                <w:rFonts w:cs="Times New Roman"/>
                <w:b/>
                <w:color w:val="000000"/>
                <w:sz w:val="18"/>
                <w:szCs w:val="18"/>
              </w:rPr>
              <w:t>564</w:t>
            </w:r>
          </w:p>
        </w:tc>
      </w:tr>
      <w:tr w14:paraId="4A4F1EBF" w14:textId="3BF8F6BB" w:rsidTr="00D601E0">
        <w:tblPrEx>
          <w:tblW w:w="10128" w:type="dxa"/>
          <w:jc w:val="center"/>
          <w:tblLook w:val="04A0"/>
        </w:tblPrEx>
        <w:trPr>
          <w:cantSplit/>
          <w:jc w:val="center"/>
        </w:trPr>
        <w:tc>
          <w:tcPr>
            <w:tcW w:w="2448" w:type="dxa"/>
          </w:tcPr>
          <w:p w:rsidR="006212E6" w:rsidRPr="00B57D7E" w:rsidP="006212E6" w14:paraId="10039AB6" w14:textId="30D130F6">
            <w:pPr>
              <w:pStyle w:val="BodyText"/>
              <w:spacing w:before="69"/>
              <w:ind w:left="0" w:right="259"/>
              <w:rPr>
                <w:rFonts w:cs="Times New Roman"/>
                <w:b/>
                <w:color w:val="000000"/>
                <w:sz w:val="18"/>
                <w:szCs w:val="18"/>
              </w:rPr>
            </w:pPr>
            <w:r w:rsidRPr="00B57D7E">
              <w:rPr>
                <w:rFonts w:cs="Times New Roman"/>
                <w:b/>
                <w:color w:val="000000"/>
                <w:sz w:val="18"/>
                <w:szCs w:val="18"/>
              </w:rPr>
              <w:t>Total Burden Cost Estimate</w:t>
            </w:r>
            <w:r>
              <w:rPr>
                <w:rFonts w:cs="Times New Roman"/>
                <w:b/>
                <w:color w:val="000000"/>
                <w:sz w:val="18"/>
                <w:szCs w:val="18"/>
              </w:rPr>
              <w:t>*</w:t>
            </w:r>
          </w:p>
        </w:tc>
        <w:tc>
          <w:tcPr>
            <w:tcW w:w="1285" w:type="dxa"/>
          </w:tcPr>
          <w:p w:rsidR="006212E6" w:rsidRPr="00B57D7E" w:rsidP="006212E6" w14:paraId="7552E91E" w14:textId="68DC9DD3">
            <w:pPr>
              <w:pStyle w:val="BodyText"/>
              <w:spacing w:before="69"/>
              <w:ind w:left="0" w:right="259"/>
              <w:jc w:val="right"/>
              <w:rPr>
                <w:rFonts w:cs="Times New Roman"/>
                <w:b/>
                <w:color w:val="000000"/>
                <w:sz w:val="18"/>
                <w:szCs w:val="18"/>
              </w:rPr>
            </w:pPr>
            <w:r w:rsidRPr="00B57D7E">
              <w:rPr>
                <w:rFonts w:cs="Times New Roman"/>
                <w:b/>
                <w:color w:val="000000"/>
                <w:sz w:val="18"/>
                <w:szCs w:val="18"/>
              </w:rPr>
              <w:t>$1,</w:t>
            </w:r>
            <w:r>
              <w:rPr>
                <w:rFonts w:cs="Times New Roman"/>
                <w:b/>
                <w:color w:val="000000"/>
                <w:sz w:val="18"/>
                <w:szCs w:val="18"/>
              </w:rPr>
              <w:t>561,</w:t>
            </w:r>
            <w:r w:rsidR="00D601E0">
              <w:rPr>
                <w:rFonts w:cs="Times New Roman"/>
                <w:b/>
                <w:color w:val="000000"/>
                <w:sz w:val="18"/>
                <w:szCs w:val="18"/>
              </w:rPr>
              <w:t>576</w:t>
            </w:r>
          </w:p>
        </w:tc>
        <w:tc>
          <w:tcPr>
            <w:tcW w:w="1275" w:type="dxa"/>
          </w:tcPr>
          <w:p w:rsidR="006212E6" w:rsidRPr="00B57D7E" w:rsidP="006212E6" w14:paraId="67F5F2B4" w14:textId="0690FB95">
            <w:pPr>
              <w:pStyle w:val="BodyText"/>
              <w:spacing w:before="69"/>
              <w:ind w:left="0" w:right="259"/>
              <w:jc w:val="right"/>
              <w:rPr>
                <w:rFonts w:cs="Times New Roman"/>
                <w:b/>
                <w:color w:val="000000"/>
                <w:sz w:val="18"/>
                <w:szCs w:val="18"/>
              </w:rPr>
            </w:pPr>
            <w:r w:rsidRPr="00B57D7E">
              <w:rPr>
                <w:rFonts w:cs="Times New Roman"/>
                <w:b/>
                <w:color w:val="000000"/>
                <w:sz w:val="18"/>
                <w:szCs w:val="18"/>
              </w:rPr>
              <w:t>+$1</w:t>
            </w:r>
            <w:r>
              <w:rPr>
                <w:rFonts w:cs="Times New Roman"/>
                <w:b/>
                <w:color w:val="000000"/>
                <w:sz w:val="18"/>
                <w:szCs w:val="18"/>
              </w:rPr>
              <w:t>7,</w:t>
            </w:r>
            <w:r w:rsidR="00D601E0">
              <w:rPr>
                <w:rFonts w:cs="Times New Roman"/>
                <w:b/>
                <w:color w:val="000000"/>
                <w:sz w:val="18"/>
                <w:szCs w:val="18"/>
              </w:rPr>
              <w:t>521</w:t>
            </w:r>
          </w:p>
        </w:tc>
        <w:tc>
          <w:tcPr>
            <w:tcW w:w="1285" w:type="dxa"/>
          </w:tcPr>
          <w:p w:rsidR="006212E6" w:rsidRPr="00B57D7E" w:rsidP="006212E6" w14:paraId="745D1A2F" w14:textId="662B84E6">
            <w:pPr>
              <w:pStyle w:val="BodyText"/>
              <w:spacing w:before="69"/>
              <w:ind w:left="0" w:right="259"/>
              <w:jc w:val="right"/>
              <w:rPr>
                <w:rFonts w:cs="Times New Roman"/>
                <w:b/>
                <w:color w:val="000000"/>
                <w:sz w:val="18"/>
                <w:szCs w:val="18"/>
              </w:rPr>
            </w:pPr>
            <w:r w:rsidRPr="00B57D7E">
              <w:rPr>
                <w:rFonts w:cs="Times New Roman"/>
                <w:b/>
                <w:color w:val="000000"/>
                <w:sz w:val="18"/>
                <w:szCs w:val="18"/>
              </w:rPr>
              <w:t>$1,</w:t>
            </w:r>
            <w:r>
              <w:rPr>
                <w:rFonts w:cs="Times New Roman"/>
                <w:b/>
                <w:color w:val="000000"/>
                <w:sz w:val="18"/>
                <w:szCs w:val="18"/>
              </w:rPr>
              <w:t>5</w:t>
            </w:r>
            <w:r w:rsidR="003C3148">
              <w:rPr>
                <w:rFonts w:cs="Times New Roman"/>
                <w:b/>
                <w:color w:val="000000"/>
                <w:sz w:val="18"/>
                <w:szCs w:val="18"/>
              </w:rPr>
              <w:t>71,474</w:t>
            </w:r>
          </w:p>
        </w:tc>
        <w:tc>
          <w:tcPr>
            <w:tcW w:w="1275" w:type="dxa"/>
          </w:tcPr>
          <w:p w:rsidR="006212E6" w:rsidRPr="00B57D7E" w:rsidP="006212E6" w14:paraId="6EA25B17" w14:textId="74CF4FAD">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sidR="003C3148">
              <w:rPr>
                <w:rFonts w:cs="Times New Roman"/>
                <w:b/>
                <w:color w:val="000000"/>
                <w:sz w:val="18"/>
                <w:szCs w:val="18"/>
              </w:rPr>
              <w:t>27,419</w:t>
            </w:r>
          </w:p>
        </w:tc>
        <w:tc>
          <w:tcPr>
            <w:tcW w:w="1285" w:type="dxa"/>
          </w:tcPr>
          <w:p w:rsidR="006212E6" w:rsidRPr="00B57D7E" w:rsidP="006212E6" w14:paraId="6632B769" w14:textId="725F5C93">
            <w:pPr>
              <w:pStyle w:val="BodyText"/>
              <w:spacing w:before="69"/>
              <w:ind w:left="0" w:right="259"/>
              <w:jc w:val="right"/>
              <w:rPr>
                <w:rFonts w:cs="Times New Roman"/>
                <w:b/>
                <w:color w:val="000000"/>
                <w:sz w:val="18"/>
                <w:szCs w:val="18"/>
              </w:rPr>
            </w:pPr>
            <w:r w:rsidRPr="00B57D7E">
              <w:rPr>
                <w:rFonts w:cs="Times New Roman"/>
                <w:b/>
                <w:color w:val="000000"/>
                <w:sz w:val="18"/>
                <w:szCs w:val="18"/>
              </w:rPr>
              <w:t>$1,</w:t>
            </w:r>
            <w:r>
              <w:rPr>
                <w:rFonts w:cs="Times New Roman"/>
                <w:b/>
                <w:color w:val="000000"/>
                <w:sz w:val="18"/>
                <w:szCs w:val="18"/>
              </w:rPr>
              <w:t>5</w:t>
            </w:r>
            <w:r w:rsidR="003C3148">
              <w:rPr>
                <w:rFonts w:cs="Times New Roman"/>
                <w:b/>
                <w:color w:val="000000"/>
                <w:sz w:val="18"/>
                <w:szCs w:val="18"/>
              </w:rPr>
              <w:t>73,455</w:t>
            </w:r>
          </w:p>
        </w:tc>
        <w:tc>
          <w:tcPr>
            <w:tcW w:w="1275" w:type="dxa"/>
          </w:tcPr>
          <w:p w:rsidR="006212E6" w:rsidRPr="00B57D7E" w:rsidP="006212E6" w14:paraId="42B33300" w14:textId="4F6F7687">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sidR="00D601E0">
              <w:rPr>
                <w:rFonts w:cs="Times New Roman"/>
                <w:b/>
                <w:color w:val="000000"/>
                <w:sz w:val="18"/>
                <w:szCs w:val="18"/>
              </w:rPr>
              <w:t>2</w:t>
            </w:r>
            <w:r w:rsidR="003C3148">
              <w:rPr>
                <w:rFonts w:cs="Times New Roman"/>
                <w:b/>
                <w:color w:val="000000"/>
                <w:sz w:val="18"/>
                <w:szCs w:val="18"/>
              </w:rPr>
              <w:t>9,400</w:t>
            </w:r>
          </w:p>
        </w:tc>
      </w:tr>
    </w:tbl>
    <w:p w:rsidR="008D16DD" w:rsidP="00CC2858" w14:paraId="5ACCF1F3" w14:textId="4CBC6F84">
      <w:pPr>
        <w:pStyle w:val="BodyText"/>
        <w:spacing w:before="69"/>
        <w:ind w:left="0" w:right="259"/>
        <w:rPr>
          <w:sz w:val="14"/>
          <w:szCs w:val="14"/>
        </w:rPr>
      </w:pPr>
      <w:r w:rsidRPr="003E7B85">
        <w:rPr>
          <w:sz w:val="16"/>
          <w:szCs w:val="16"/>
        </w:rPr>
        <w:t>*Sum of individual Objective estimates may vary from annual totals due to rounding</w:t>
      </w:r>
    </w:p>
    <w:p w:rsidR="00C45557" w:rsidP="00E66ACB" w14:paraId="4710BF31" w14:textId="77777777">
      <w:pPr>
        <w:pStyle w:val="BodyText"/>
        <w:spacing w:before="69"/>
        <w:ind w:left="0" w:right="259"/>
      </w:pPr>
    </w:p>
    <w:p w:rsidR="008D16DD" w:rsidP="00467B82" w14:paraId="5BDCB3BE" w14:textId="35804852">
      <w:pPr>
        <w:pStyle w:val="BodyText"/>
        <w:ind w:left="0" w:right="259"/>
      </w:pPr>
      <w:r>
        <w:t>These burden estimates exclude</w:t>
      </w:r>
      <w:r w:rsidRPr="00792D0B">
        <w:t xml:space="preserve"> burden associated with the </w:t>
      </w:r>
      <w:r>
        <w:t xml:space="preserve">reporting of </w:t>
      </w:r>
      <w:r w:rsidR="000C1FB6">
        <w:t>eCQMs</w:t>
      </w:r>
      <w:r>
        <w:t xml:space="preserve"> </w:t>
      </w:r>
      <w:r w:rsidR="00CE4DFD">
        <w:t xml:space="preserve">for eligible hospitals </w:t>
      </w:r>
      <w:r>
        <w:t xml:space="preserve">under OMB control number 0938-1022, as Medicare hospitals report the data to CMS once per year for credit under both the Hospital </w:t>
      </w:r>
      <w:r w:rsidR="00C45557">
        <w:t>IQR</w:t>
      </w:r>
      <w:r>
        <w:t xml:space="preserve"> Program and the </w:t>
      </w:r>
      <w:r>
        <w:t>Medicare Promoting Interoperability Program for eligible hospitals and CAHs.</w:t>
      </w:r>
    </w:p>
    <w:p w:rsidR="001410B7" w:rsidP="00467B82" w14:paraId="6A3ED413" w14:textId="77777777">
      <w:pPr>
        <w:pStyle w:val="BodyText"/>
        <w:ind w:left="0" w:right="259"/>
      </w:pPr>
    </w:p>
    <w:p w:rsidR="001410B7" w:rsidP="00467B82" w14:paraId="6F9B9ABA" w14:textId="5629F2C1">
      <w:pPr>
        <w:pStyle w:val="BodyText"/>
        <w:numPr>
          <w:ilvl w:val="0"/>
          <w:numId w:val="9"/>
        </w:numPr>
        <w:ind w:right="259"/>
        <w:rPr>
          <w:b/>
          <w:bCs/>
        </w:rPr>
      </w:pPr>
      <w:r>
        <w:rPr>
          <w:b/>
          <w:bCs/>
        </w:rPr>
        <w:t>Information Collection Instruments/Instructions</w:t>
      </w:r>
    </w:p>
    <w:p w:rsidR="001410B7" w:rsidP="00467B82" w14:paraId="5AD2E2B0" w14:textId="77777777">
      <w:pPr>
        <w:pStyle w:val="BodyText"/>
        <w:ind w:left="0" w:right="259"/>
        <w:rPr>
          <w:b/>
          <w:bCs/>
        </w:rPr>
      </w:pPr>
    </w:p>
    <w:p w:rsidR="001410B7" w:rsidRPr="001410B7" w:rsidP="00685882" w14:paraId="5307450B" w14:textId="2EB34814">
      <w:r w:rsidRPr="00BB1032">
        <w:rPr>
          <w:rFonts w:ascii="Times New Roman" w:eastAsia="Times New Roman" w:hAnsi="Times New Roman"/>
          <w:sz w:val="24"/>
          <w:szCs w:val="24"/>
        </w:rPr>
        <w:t>As discussed in section B.3,</w:t>
      </w:r>
      <w:r>
        <w:t xml:space="preserve"> </w:t>
      </w:r>
      <w:r>
        <w:rPr>
          <w:rFonts w:ascii="Times New Roman" w:eastAsia="Times New Roman" w:hAnsi="Times New Roman"/>
          <w:sz w:val="24"/>
          <w:szCs w:val="24"/>
        </w:rPr>
        <w:t>a</w:t>
      </w:r>
      <w:r w:rsidRPr="005C0C54">
        <w:rPr>
          <w:rFonts w:ascii="Times New Roman" w:eastAsia="Times New Roman" w:hAnsi="Times New Roman"/>
          <w:sz w:val="24"/>
          <w:szCs w:val="24"/>
        </w:rPr>
        <w:t>ttestation</w:t>
      </w:r>
      <w:r>
        <w:rPr>
          <w:rFonts w:ascii="Times New Roman" w:eastAsia="Times New Roman" w:hAnsi="Times New Roman"/>
          <w:sz w:val="24"/>
          <w:szCs w:val="24"/>
        </w:rPr>
        <w:t xml:space="preserve"> and data reporting</w:t>
      </w:r>
      <w:r w:rsidRPr="005C0C54">
        <w:rPr>
          <w:rFonts w:ascii="Times New Roman" w:eastAsia="Times New Roman" w:hAnsi="Times New Roman"/>
          <w:sz w:val="24"/>
          <w:szCs w:val="24"/>
        </w:rPr>
        <w:t xml:space="preserve"> </w:t>
      </w:r>
      <w:r>
        <w:rPr>
          <w:rFonts w:ascii="Times New Roman" w:eastAsia="Times New Roman" w:hAnsi="Times New Roman"/>
          <w:sz w:val="24"/>
          <w:szCs w:val="24"/>
        </w:rPr>
        <w:t>are</w:t>
      </w:r>
      <w:r w:rsidRPr="005C0C54">
        <w:rPr>
          <w:rFonts w:ascii="Times New Roman" w:eastAsia="Times New Roman" w:hAnsi="Times New Roman"/>
          <w:sz w:val="24"/>
          <w:szCs w:val="24"/>
        </w:rPr>
        <w:t xml:space="preserve"> completed </w:t>
      </w:r>
      <w:r>
        <w:rPr>
          <w:rFonts w:ascii="Times New Roman" w:eastAsia="Times New Roman" w:hAnsi="Times New Roman"/>
          <w:sz w:val="24"/>
          <w:szCs w:val="24"/>
        </w:rPr>
        <w:t xml:space="preserve">on an annual basis </w:t>
      </w:r>
      <w:r w:rsidRPr="005C0C54">
        <w:rPr>
          <w:rFonts w:ascii="Times New Roman" w:eastAsia="Times New Roman" w:hAnsi="Times New Roman"/>
          <w:sz w:val="24"/>
          <w:szCs w:val="24"/>
        </w:rPr>
        <w:t>via an online submission form</w:t>
      </w:r>
      <w:r w:rsidRPr="00BB1032">
        <w:rPr>
          <w:rFonts w:ascii="Times New Roman" w:eastAsia="Times New Roman" w:hAnsi="Times New Roman"/>
          <w:sz w:val="24"/>
          <w:szCs w:val="24"/>
        </w:rPr>
        <w:t xml:space="preserve"> </w:t>
      </w:r>
      <w:r w:rsidRPr="005C0C54">
        <w:rPr>
          <w:rFonts w:ascii="Times New Roman" w:eastAsia="Times New Roman" w:hAnsi="Times New Roman"/>
          <w:sz w:val="24"/>
          <w:szCs w:val="24"/>
        </w:rPr>
        <w:t>commonly refer</w:t>
      </w:r>
      <w:r>
        <w:rPr>
          <w:rFonts w:ascii="Times New Roman" w:eastAsia="Times New Roman" w:hAnsi="Times New Roman"/>
          <w:sz w:val="24"/>
          <w:szCs w:val="24"/>
        </w:rPr>
        <w:t>red</w:t>
      </w:r>
      <w:r w:rsidRPr="005C0C54">
        <w:rPr>
          <w:rFonts w:ascii="Times New Roman" w:eastAsia="Times New Roman" w:hAnsi="Times New Roman"/>
          <w:sz w:val="24"/>
          <w:szCs w:val="24"/>
        </w:rPr>
        <w:t xml:space="preserve"> to</w:t>
      </w:r>
      <w:r>
        <w:rPr>
          <w:rFonts w:ascii="Times New Roman" w:eastAsia="Times New Roman" w:hAnsi="Times New Roman"/>
          <w:sz w:val="24"/>
          <w:szCs w:val="24"/>
        </w:rPr>
        <w:t xml:space="preserve"> by developers and CMS</w:t>
      </w:r>
      <w:r w:rsidRPr="005C0C54">
        <w:rPr>
          <w:rFonts w:ascii="Times New Roman" w:eastAsia="Times New Roman" w:hAnsi="Times New Roman"/>
          <w:sz w:val="24"/>
          <w:szCs w:val="24"/>
        </w:rPr>
        <w:t xml:space="preserve"> as the Attestation Screens. </w:t>
      </w:r>
      <w:r>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Outside of this online attestation, there are no physical nor additional forms used. </w:t>
      </w:r>
      <w:r>
        <w:rPr>
          <w:rFonts w:ascii="Times New Roman" w:eastAsia="Times New Roman" w:hAnsi="Times New Roman"/>
          <w:sz w:val="24"/>
          <w:szCs w:val="24"/>
        </w:rPr>
        <w:t xml:space="preserve"> We will submit screenshots of the revised Attestation Screens with this PRA package.</w:t>
      </w:r>
    </w:p>
    <w:p w:rsidR="00A45AAB" w:rsidRPr="00467B82" w:rsidP="00685882" w14:paraId="6AA975B8" w14:textId="77777777">
      <w:pPr>
        <w:widowControl/>
        <w:rPr>
          <w:sz w:val="24"/>
          <w:szCs w:val="24"/>
        </w:rPr>
      </w:pPr>
    </w:p>
    <w:p w:rsidR="009B1F1F" w:rsidRPr="00C64579" w:rsidP="00685882" w14:paraId="2825BEAB" w14:textId="67CF1209">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Capital Costs (Maintenance of Capital Costs)</w:t>
      </w:r>
    </w:p>
    <w:p w:rsidR="009B1F1F" w:rsidP="00467B82" w14:paraId="4B105CF8" w14:textId="77777777">
      <w:pPr>
        <w:rPr>
          <w:rFonts w:ascii="Times New Roman" w:eastAsia="Times New Roman" w:hAnsi="Times New Roman" w:cs="Times New Roman"/>
          <w:sz w:val="17"/>
          <w:szCs w:val="17"/>
        </w:rPr>
      </w:pPr>
    </w:p>
    <w:p w:rsidR="00C53B28" w:rsidRPr="000C1FB6" w:rsidP="00CC5857" w14:paraId="7B0AF039" w14:textId="5C4F8AB9">
      <w:pPr>
        <w:rPr>
          <w:rFonts w:ascii="Times New Roman" w:eastAsia="Times New Roman" w:hAnsi="Times New Roman"/>
          <w:sz w:val="24"/>
          <w:szCs w:val="24"/>
        </w:rPr>
      </w:pPr>
      <w:r w:rsidRPr="000C1FB6">
        <w:rPr>
          <w:rFonts w:ascii="Times New Roman" w:eastAsia="Times New Roman" w:hAnsi="Times New Roman"/>
          <w:sz w:val="24"/>
          <w:szCs w:val="24"/>
        </w:rPr>
        <w:t>In order to</w:t>
      </w:r>
      <w:r w:rsidRPr="000C1FB6">
        <w:rPr>
          <w:rFonts w:ascii="Times New Roman" w:eastAsia="Times New Roman" w:hAnsi="Times New Roman"/>
          <w:sz w:val="24"/>
          <w:szCs w:val="24"/>
        </w:rPr>
        <w:t xml:space="preserve"> attest to the AU</w:t>
      </w:r>
      <w:r w:rsidRPr="000C1FB6" w:rsidR="00A37CFB">
        <w:rPr>
          <w:rFonts w:ascii="Times New Roman" w:eastAsia="Times New Roman" w:hAnsi="Times New Roman"/>
          <w:sz w:val="24"/>
          <w:szCs w:val="24"/>
        </w:rPr>
        <w:t xml:space="preserve"> </w:t>
      </w:r>
      <w:r w:rsidR="00FF6103">
        <w:rPr>
          <w:rFonts w:ascii="Times New Roman" w:eastAsia="Times New Roman" w:hAnsi="Times New Roman"/>
          <w:sz w:val="24"/>
          <w:szCs w:val="24"/>
        </w:rPr>
        <w:t>Surveillance</w:t>
      </w:r>
      <w:r w:rsidRPr="000C1FB6" w:rsidR="00A37CFB">
        <w:rPr>
          <w:rFonts w:ascii="Times New Roman" w:eastAsia="Times New Roman" w:hAnsi="Times New Roman"/>
          <w:sz w:val="24"/>
          <w:szCs w:val="24"/>
        </w:rPr>
        <w:t xml:space="preserve"> and A</w:t>
      </w:r>
      <w:r w:rsidRPr="000C1FB6">
        <w:rPr>
          <w:rFonts w:ascii="Times New Roman" w:eastAsia="Times New Roman" w:hAnsi="Times New Roman"/>
          <w:sz w:val="24"/>
          <w:szCs w:val="24"/>
        </w:rPr>
        <w:t>R Surveillance measure</w:t>
      </w:r>
      <w:r w:rsidRPr="000C1FB6" w:rsidR="00A37CFB">
        <w:rPr>
          <w:rFonts w:ascii="Times New Roman" w:eastAsia="Times New Roman" w:hAnsi="Times New Roman"/>
          <w:sz w:val="24"/>
          <w:szCs w:val="24"/>
        </w:rPr>
        <w:t>s</w:t>
      </w:r>
      <w:r w:rsidRPr="000C1FB6">
        <w:rPr>
          <w:rFonts w:ascii="Times New Roman" w:eastAsia="Times New Roman" w:hAnsi="Times New Roman"/>
          <w:sz w:val="24"/>
          <w:szCs w:val="24"/>
        </w:rPr>
        <w:t xml:space="preserve"> successfully, an eligible hospital or CAH must be in active engagement with CDC’s NHSN to submit AU</w:t>
      </w:r>
      <w:r w:rsidRPr="000C1FB6" w:rsidR="00A37CFB">
        <w:rPr>
          <w:rFonts w:ascii="Times New Roman" w:eastAsia="Times New Roman" w:hAnsi="Times New Roman"/>
          <w:sz w:val="24"/>
          <w:szCs w:val="24"/>
        </w:rPr>
        <w:t xml:space="preserve"> and A</w:t>
      </w:r>
      <w:r w:rsidRPr="000C1FB6">
        <w:rPr>
          <w:rFonts w:ascii="Times New Roman" w:eastAsia="Times New Roman" w:hAnsi="Times New Roman"/>
          <w:sz w:val="24"/>
          <w:szCs w:val="24"/>
        </w:rPr>
        <w:t>R data and receive a report from NHSN indicating their successful submission of AU</w:t>
      </w:r>
      <w:r w:rsidRPr="000C1FB6" w:rsidR="00A37CFB">
        <w:rPr>
          <w:rFonts w:ascii="Times New Roman" w:eastAsia="Times New Roman" w:hAnsi="Times New Roman"/>
          <w:sz w:val="24"/>
          <w:szCs w:val="24"/>
        </w:rPr>
        <w:t xml:space="preserve"> and A</w:t>
      </w:r>
      <w:r w:rsidRPr="000C1FB6">
        <w:rPr>
          <w:rFonts w:ascii="Times New Roman" w:eastAsia="Times New Roman" w:hAnsi="Times New Roman"/>
          <w:sz w:val="24"/>
          <w:szCs w:val="24"/>
        </w:rPr>
        <w:t xml:space="preserve">R data for the EHR reporting period.  </w:t>
      </w:r>
      <w:r w:rsidRPr="000C1FB6" w:rsidR="00A37CFB">
        <w:rPr>
          <w:rFonts w:ascii="Times New Roman" w:eastAsia="Times New Roman" w:hAnsi="Times New Roman"/>
          <w:sz w:val="24"/>
          <w:szCs w:val="24"/>
        </w:rPr>
        <w:t>We previously discussed in our currently approved PRA application that p</w:t>
      </w:r>
      <w:r w:rsidRPr="000C1FB6">
        <w:rPr>
          <w:rFonts w:ascii="Times New Roman" w:eastAsia="Times New Roman" w:hAnsi="Times New Roman"/>
          <w:sz w:val="24"/>
          <w:szCs w:val="24"/>
        </w:rPr>
        <w:t>articipation in NHSN’s surveillance requires the</w:t>
      </w:r>
      <w:r w:rsidRPr="000C1FB6" w:rsidR="00443BE9">
        <w:rPr>
          <w:rFonts w:ascii="Times New Roman" w:eastAsia="Times New Roman" w:hAnsi="Times New Roman"/>
          <w:sz w:val="24"/>
          <w:szCs w:val="24"/>
        </w:rPr>
        <w:t xml:space="preserve"> use of</w:t>
      </w:r>
      <w:r w:rsidRPr="000C1FB6">
        <w:rPr>
          <w:rFonts w:ascii="Times New Roman" w:eastAsia="Times New Roman" w:hAnsi="Times New Roman"/>
          <w:sz w:val="24"/>
          <w:szCs w:val="24"/>
        </w:rPr>
        <w:t xml:space="preserve"> an AUR reporting solution.  </w:t>
      </w:r>
      <w:r w:rsidRPr="000C1FB6" w:rsidR="00443BE9">
        <w:rPr>
          <w:rFonts w:ascii="Times New Roman" w:eastAsia="Times New Roman" w:hAnsi="Times New Roman"/>
          <w:sz w:val="24"/>
          <w:szCs w:val="24"/>
        </w:rPr>
        <w:t>W</w:t>
      </w:r>
      <w:r w:rsidRPr="000C1FB6">
        <w:rPr>
          <w:rFonts w:ascii="Times New Roman" w:eastAsia="Times New Roman" w:hAnsi="Times New Roman"/>
          <w:sz w:val="24"/>
          <w:szCs w:val="24"/>
        </w:rPr>
        <w:t xml:space="preserve">e estimate the </w:t>
      </w:r>
      <w:r w:rsidRPr="000C1FB6" w:rsidR="00443BE9">
        <w:rPr>
          <w:rFonts w:ascii="Times New Roman" w:eastAsia="Times New Roman" w:hAnsi="Times New Roman"/>
          <w:sz w:val="24"/>
          <w:szCs w:val="24"/>
        </w:rPr>
        <w:t xml:space="preserve">annual </w:t>
      </w:r>
      <w:r w:rsidRPr="000C1FB6">
        <w:rPr>
          <w:rFonts w:ascii="Times New Roman" w:eastAsia="Times New Roman" w:hAnsi="Times New Roman"/>
          <w:sz w:val="24"/>
          <w:szCs w:val="24"/>
        </w:rPr>
        <w:t xml:space="preserve">cost </w:t>
      </w:r>
      <w:r w:rsidRPr="000C1FB6" w:rsidR="00443BE9">
        <w:rPr>
          <w:rFonts w:ascii="Times New Roman" w:eastAsia="Times New Roman" w:hAnsi="Times New Roman"/>
          <w:sz w:val="24"/>
          <w:szCs w:val="24"/>
        </w:rPr>
        <w:t xml:space="preserve">for commercial software and equipment for use by hospital personnel </w:t>
      </w:r>
      <w:r w:rsidRPr="000C1FB6">
        <w:rPr>
          <w:rFonts w:ascii="Times New Roman" w:eastAsia="Times New Roman" w:hAnsi="Times New Roman"/>
          <w:sz w:val="24"/>
          <w:szCs w:val="24"/>
        </w:rPr>
        <w:t>to range between $</w:t>
      </w:r>
      <w:r w:rsidRPr="000C1FB6" w:rsidR="00443BE9">
        <w:rPr>
          <w:rFonts w:ascii="Times New Roman" w:eastAsia="Times New Roman" w:hAnsi="Times New Roman"/>
          <w:sz w:val="24"/>
          <w:szCs w:val="24"/>
        </w:rPr>
        <w:t>59,100</w:t>
      </w:r>
      <w:r w:rsidRPr="000C1FB6">
        <w:rPr>
          <w:rFonts w:ascii="Times New Roman" w:eastAsia="Times New Roman" w:hAnsi="Times New Roman"/>
          <w:sz w:val="24"/>
          <w:szCs w:val="24"/>
        </w:rPr>
        <w:t xml:space="preserve"> and $</w:t>
      </w:r>
      <w:r w:rsidRPr="000C1FB6" w:rsidR="00443BE9">
        <w:rPr>
          <w:rFonts w:ascii="Times New Roman" w:eastAsia="Times New Roman" w:hAnsi="Times New Roman"/>
          <w:sz w:val="24"/>
          <w:szCs w:val="24"/>
        </w:rPr>
        <w:t>146</w:t>
      </w:r>
      <w:r w:rsidRPr="000C1FB6">
        <w:rPr>
          <w:rFonts w:ascii="Times New Roman" w:eastAsia="Times New Roman" w:hAnsi="Times New Roman"/>
          <w:sz w:val="24"/>
          <w:szCs w:val="24"/>
        </w:rPr>
        <w:t>,500 annually, with a median of $</w:t>
      </w:r>
      <w:r w:rsidRPr="000C1FB6" w:rsidR="00443BE9">
        <w:rPr>
          <w:rFonts w:ascii="Times New Roman" w:eastAsia="Times New Roman" w:hAnsi="Times New Roman"/>
          <w:sz w:val="24"/>
          <w:szCs w:val="24"/>
        </w:rPr>
        <w:t>70,900</w:t>
      </w:r>
      <w:r w:rsidRPr="000C1FB6" w:rsidR="003C3148">
        <w:rPr>
          <w:rFonts w:ascii="Times New Roman" w:eastAsia="Times New Roman" w:hAnsi="Times New Roman"/>
          <w:sz w:val="24"/>
          <w:szCs w:val="24"/>
        </w:rPr>
        <w:t>.</w:t>
      </w:r>
      <w:r>
        <w:rPr>
          <w:rFonts w:ascii="Times New Roman" w:eastAsia="Times New Roman" w:hAnsi="Times New Roman"/>
          <w:sz w:val="24"/>
          <w:szCs w:val="24"/>
          <w:vertAlign w:val="superscript"/>
        </w:rPr>
        <w:footnoteReference w:id="5"/>
      </w:r>
      <w:r w:rsidRPr="000C1FB6">
        <w:rPr>
          <w:rFonts w:ascii="Times New Roman" w:eastAsia="Times New Roman" w:hAnsi="Times New Roman"/>
          <w:sz w:val="24"/>
          <w:szCs w:val="24"/>
        </w:rPr>
        <w:t xml:space="preserve">  We believe these associated costs are outweighed by the more than $4.6 billion in health care costs spent annually treating antibiotic resistance threats</w:t>
      </w:r>
      <w:r w:rsidRPr="000C1FB6" w:rsidR="003C3148">
        <w:rPr>
          <w:rFonts w:ascii="Times New Roman" w:eastAsia="Times New Roman" w:hAnsi="Times New Roman"/>
          <w:sz w:val="24"/>
          <w:szCs w:val="24"/>
        </w:rPr>
        <w:t>.</w:t>
      </w:r>
      <w:r>
        <w:rPr>
          <w:rFonts w:ascii="Times New Roman" w:eastAsia="Times New Roman" w:hAnsi="Times New Roman"/>
          <w:sz w:val="24"/>
          <w:szCs w:val="24"/>
          <w:vertAlign w:val="superscript"/>
        </w:rPr>
        <w:footnoteReference w:id="6"/>
      </w:r>
    </w:p>
    <w:p w:rsidR="009B1F1F" w:rsidP="00E66ACB" w14:paraId="10587816" w14:textId="77777777">
      <w:pPr>
        <w:autoSpaceDE w:val="0"/>
        <w:autoSpaceDN w:val="0"/>
        <w:adjustRightInd w:val="0"/>
        <w:ind w:firstLine="720"/>
        <w:rPr>
          <w:rFonts w:ascii="Times New Roman" w:eastAsia="Times New Roman" w:hAnsi="Times New Roman" w:cs="Times New Roman"/>
          <w:sz w:val="24"/>
          <w:szCs w:val="24"/>
        </w:rPr>
      </w:pPr>
    </w:p>
    <w:p w:rsidR="009B1F1F" w:rsidRPr="00C64579" w:rsidP="00C64579" w14:paraId="2D039CB7" w14:textId="77777777">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Cost to the Federal Government</w:t>
      </w:r>
    </w:p>
    <w:p w:rsidR="009B1F1F" w14:paraId="7E9FDF36" w14:textId="77777777">
      <w:pPr>
        <w:spacing w:before="11"/>
        <w:rPr>
          <w:rFonts w:ascii="Times New Roman" w:eastAsia="Times New Roman" w:hAnsi="Times New Roman" w:cs="Times New Roman"/>
          <w:sz w:val="17"/>
          <w:szCs w:val="17"/>
        </w:rPr>
      </w:pPr>
    </w:p>
    <w:p w:rsidR="0031399A" w:rsidP="00696D8D" w14:paraId="065A0F75" w14:textId="6F5CB1B9">
      <w:pPr>
        <w:pStyle w:val="BodyText"/>
        <w:spacing w:before="69"/>
        <w:ind w:left="0" w:right="259"/>
      </w:pPr>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31399A">
        <w:t xml:space="preserve">These costs are estimated at $10,050,000 annually for the validation and quality reporting contracts.  Additionally, this program takes three CMS staff at a GS-13 Step 5 level with approximate annual salaries of $133,692 plus benefits (30%) of $40,108 per staff member to operate for an additional cost of $521,400.  </w:t>
      </w:r>
      <w:r w:rsidRPr="00CC64CD">
        <w:t xml:space="preserve">The </w:t>
      </w:r>
      <w:r>
        <w:t xml:space="preserve">total </w:t>
      </w:r>
      <w:r w:rsidRPr="00CC64CD">
        <w:t>annual cost to the Federal Government is $10,</w:t>
      </w:r>
      <w:r>
        <w:t>571,400</w:t>
      </w:r>
      <w:r w:rsidRPr="00CC64CD">
        <w:t>.</w:t>
      </w:r>
    </w:p>
    <w:p w:rsidR="009B1F1F" w14:paraId="645ADF36" w14:textId="77777777">
      <w:pPr>
        <w:spacing w:before="1"/>
        <w:rPr>
          <w:rFonts w:ascii="Times New Roman" w:eastAsia="Times New Roman" w:hAnsi="Times New Roman" w:cs="Times New Roman"/>
          <w:sz w:val="24"/>
          <w:szCs w:val="24"/>
        </w:rPr>
      </w:pPr>
    </w:p>
    <w:p w:rsidR="009B1F1F" w:rsidP="00C64579" w14:paraId="0D32035F" w14:textId="77777777">
      <w:pPr>
        <w:pStyle w:val="ListParagraph"/>
        <w:numPr>
          <w:ilvl w:val="1"/>
          <w:numId w:val="1"/>
        </w:numPr>
        <w:tabs>
          <w:tab w:val="left" w:pos="1170"/>
        </w:tabs>
        <w:ind w:left="720" w:right="157" w:hanging="720"/>
        <w:rPr>
          <w:rFonts w:ascii="Times New Roman" w:eastAsia="Times New Roman" w:hAnsi="Times New Roman" w:cs="Times New Roman"/>
          <w:sz w:val="24"/>
          <w:szCs w:val="24"/>
        </w:rPr>
      </w:pPr>
      <w:r w:rsidRPr="00C64579">
        <w:rPr>
          <w:rFonts w:ascii="Times New Roman"/>
          <w:b/>
          <w:bCs/>
          <w:sz w:val="24"/>
        </w:rPr>
        <w:t>Program or Burden Changes</w:t>
      </w:r>
    </w:p>
    <w:p w:rsidR="009B1F1F" w:rsidRPr="00467B82" w14:paraId="52B80470" w14:textId="77777777">
      <w:pPr>
        <w:spacing w:before="11"/>
        <w:rPr>
          <w:rFonts w:ascii="Times New Roman" w:eastAsia="Times New Roman" w:hAnsi="Times New Roman" w:cs="Times New Roman"/>
          <w:sz w:val="24"/>
          <w:szCs w:val="24"/>
        </w:rPr>
      </w:pPr>
    </w:p>
    <w:p w:rsidR="000A0130" w:rsidRPr="000A0130" w:rsidP="00467B82" w14:paraId="19972644" w14:textId="1DE60AD3">
      <w:pPr>
        <w:pStyle w:val="BodyText"/>
        <w:ind w:left="0" w:right="259"/>
        <w:rPr>
          <w:rFonts w:cs="Times New Roman"/>
        </w:rPr>
      </w:pPr>
      <w:r w:rsidRPr="000A0130">
        <w:rPr>
          <w:rFonts w:cs="Times New Roman"/>
        </w:rPr>
        <w:t xml:space="preserve">We previously requested </w:t>
      </w:r>
      <w:r w:rsidR="00292213">
        <w:rPr>
          <w:rFonts w:cs="Times New Roman"/>
        </w:rPr>
        <w:t xml:space="preserve">and received approval for </w:t>
      </w:r>
      <w:r w:rsidRPr="000A0130">
        <w:rPr>
          <w:rFonts w:cs="Times New Roman"/>
        </w:rPr>
        <w:t>total annual burden estimates under this OMB control number for the</w:t>
      </w:r>
      <w:r>
        <w:rPr>
          <w:rFonts w:cs="Times New Roman"/>
        </w:rPr>
        <w:t xml:space="preserve"> EHR reporting period</w:t>
      </w:r>
      <w:r w:rsidRPr="000A0130">
        <w:rPr>
          <w:rFonts w:cs="Times New Roman"/>
        </w:rPr>
        <w:t xml:space="preserve"> </w:t>
      </w:r>
      <w:r w:rsidR="002251E0">
        <w:rPr>
          <w:rFonts w:cs="Times New Roman"/>
        </w:rPr>
        <w:t xml:space="preserve">in CY 2025 </w:t>
      </w:r>
      <w:r w:rsidRPr="000A0130">
        <w:rPr>
          <w:rFonts w:cs="Times New Roman"/>
        </w:rPr>
        <w:t xml:space="preserve">of </w:t>
      </w:r>
      <w:r>
        <w:rPr>
          <w:rFonts w:cs="Times New Roman"/>
        </w:rPr>
        <w:t>29,625</w:t>
      </w:r>
      <w:r w:rsidRPr="000A0130">
        <w:rPr>
          <w:rFonts w:cs="Times New Roman"/>
        </w:rPr>
        <w:t xml:space="preserve"> hours at a total cost of </w:t>
      </w:r>
      <w:r w:rsidR="00A85D29">
        <w:rPr>
          <w:rFonts w:cs="Times New Roman"/>
        </w:rPr>
        <w:t>$1,328,978</w:t>
      </w:r>
      <w:r w:rsidRPr="000A0130">
        <w:rPr>
          <w:rFonts w:cs="Times New Roman"/>
        </w:rPr>
        <w:t xml:space="preserve"> </w:t>
      </w:r>
      <w:r w:rsidRPr="000A0130">
        <w:rPr>
          <w:rFonts w:cs="Times New Roman"/>
        </w:rPr>
        <w:t>as a result of</w:t>
      </w:r>
      <w:r w:rsidRPr="000A0130">
        <w:rPr>
          <w:rFonts w:cs="Times New Roman"/>
        </w:rPr>
        <w:t xml:space="preserve"> policies finalized in the FY 2024 IPPS/LTCH PPS final rule.  Accounting for updated wage rates, the total cost of $</w:t>
      </w:r>
      <w:r w:rsidR="00A85D29">
        <w:rPr>
          <w:rFonts w:cs="Times New Roman"/>
        </w:rPr>
        <w:t>1,328,978</w:t>
      </w:r>
      <w:r w:rsidRPr="000A0130">
        <w:rPr>
          <w:rFonts w:cs="Times New Roman"/>
        </w:rPr>
        <w:t xml:space="preserve"> increases to $</w:t>
      </w:r>
      <w:r w:rsidR="00A85D29">
        <w:rPr>
          <w:rFonts w:cs="Times New Roman"/>
        </w:rPr>
        <w:t>1,544,055</w:t>
      </w:r>
      <w:r w:rsidRPr="000A0130">
        <w:rPr>
          <w:rFonts w:cs="Times New Roman"/>
        </w:rPr>
        <w:t xml:space="preserve">.  For the </w:t>
      </w:r>
      <w:r w:rsidR="00A85D29">
        <w:rPr>
          <w:rFonts w:cs="Times New Roman"/>
        </w:rPr>
        <w:t xml:space="preserve">EHR </w:t>
      </w:r>
      <w:r w:rsidRPr="000A0130">
        <w:rPr>
          <w:rFonts w:cs="Times New Roman"/>
        </w:rPr>
        <w:t>reporting period</w:t>
      </w:r>
      <w:r w:rsidR="002251E0">
        <w:rPr>
          <w:rFonts w:cs="Times New Roman"/>
        </w:rPr>
        <w:t xml:space="preserve"> in CY 2025</w:t>
      </w:r>
      <w:r w:rsidRPr="000A0130">
        <w:rPr>
          <w:rFonts w:cs="Times New Roman"/>
        </w:rPr>
        <w:t>, based on the polic</w:t>
      </w:r>
      <w:r w:rsidR="000C1FB6">
        <w:rPr>
          <w:rFonts w:cs="Times New Roman"/>
        </w:rPr>
        <w:t>ies</w:t>
      </w:r>
      <w:r w:rsidRPr="000A0130">
        <w:rPr>
          <w:rFonts w:cs="Times New Roman"/>
        </w:rPr>
        <w:t xml:space="preserve"> in the FY 2025 IPPS/LTCH PPS </w:t>
      </w:r>
      <w:r w:rsidR="000C1FB6">
        <w:rPr>
          <w:rFonts w:cs="Times New Roman"/>
        </w:rPr>
        <w:t>final</w:t>
      </w:r>
      <w:r w:rsidRPr="000A0130">
        <w:rPr>
          <w:rFonts w:cs="Times New Roman"/>
        </w:rPr>
        <w:t xml:space="preserve"> rule</w:t>
      </w:r>
      <w:r w:rsidR="003C3148">
        <w:rPr>
          <w:rFonts w:cs="Times New Roman"/>
        </w:rPr>
        <w:t xml:space="preserve"> and addition of burden associated with previously finalized measures</w:t>
      </w:r>
      <w:r w:rsidRPr="000A0130">
        <w:rPr>
          <w:rFonts w:cs="Times New Roman"/>
        </w:rPr>
        <w:t xml:space="preserve">, we estimate a total burden of </w:t>
      </w:r>
      <w:r w:rsidR="00556959">
        <w:rPr>
          <w:rFonts w:cs="Times New Roman"/>
        </w:rPr>
        <w:t>30,151</w:t>
      </w:r>
      <w:r w:rsidRPr="000A0130">
        <w:rPr>
          <w:rFonts w:cs="Times New Roman"/>
        </w:rPr>
        <w:t xml:space="preserve"> hours and $</w:t>
      </w:r>
      <w:r w:rsidR="00A85D29">
        <w:rPr>
          <w:rFonts w:cs="Times New Roman"/>
        </w:rPr>
        <w:t>1,5</w:t>
      </w:r>
      <w:r w:rsidR="00556959">
        <w:rPr>
          <w:rFonts w:cs="Times New Roman"/>
        </w:rPr>
        <w:t>71,474</w:t>
      </w:r>
      <w:r w:rsidRPr="000A0130">
        <w:rPr>
          <w:rFonts w:cs="Times New Roman"/>
        </w:rPr>
        <w:t xml:space="preserve"> (a</w:t>
      </w:r>
      <w:r w:rsidR="00A85D29">
        <w:rPr>
          <w:rFonts w:cs="Times New Roman"/>
        </w:rPr>
        <w:t>n</w:t>
      </w:r>
      <w:r w:rsidRPr="000A0130">
        <w:rPr>
          <w:rFonts w:cs="Times New Roman"/>
        </w:rPr>
        <w:t xml:space="preserve"> </w:t>
      </w:r>
      <w:r w:rsidR="00A85D29">
        <w:rPr>
          <w:rFonts w:cs="Times New Roman"/>
        </w:rPr>
        <w:t>in</w:t>
      </w:r>
      <w:r w:rsidRPr="000A0130">
        <w:rPr>
          <w:rFonts w:cs="Times New Roman"/>
        </w:rPr>
        <w:t xml:space="preserve">crease of </w:t>
      </w:r>
      <w:r w:rsidR="00556959">
        <w:rPr>
          <w:rFonts w:cs="Times New Roman"/>
        </w:rPr>
        <w:t>526</w:t>
      </w:r>
      <w:r w:rsidRPr="000A0130">
        <w:rPr>
          <w:rFonts w:cs="Times New Roman"/>
        </w:rPr>
        <w:t xml:space="preserve"> hours and $</w:t>
      </w:r>
      <w:r w:rsidR="00556959">
        <w:rPr>
          <w:rFonts w:cs="Times New Roman"/>
        </w:rPr>
        <w:t>27,419</w:t>
      </w:r>
      <w:r w:rsidRPr="000A0130">
        <w:rPr>
          <w:rFonts w:cs="Times New Roman"/>
        </w:rPr>
        <w:t xml:space="preserve"> from our </w:t>
      </w:r>
      <w:r w:rsidR="00292213">
        <w:rPr>
          <w:rFonts w:cs="Times New Roman"/>
        </w:rPr>
        <w:t xml:space="preserve">currently approved estimate).  </w:t>
      </w:r>
      <w:r w:rsidRPr="000A0130">
        <w:rPr>
          <w:rFonts w:cs="Times New Roman"/>
        </w:rPr>
        <w:t xml:space="preserve">This burden </w:t>
      </w:r>
      <w:r w:rsidRPr="000A0130">
        <w:rPr>
          <w:rFonts w:cs="Times New Roman"/>
        </w:rPr>
        <w:t>estimate also represents a</w:t>
      </w:r>
      <w:r w:rsidR="00A85D29">
        <w:rPr>
          <w:rFonts w:cs="Times New Roman"/>
        </w:rPr>
        <w:t>n</w:t>
      </w:r>
      <w:r w:rsidRPr="000A0130">
        <w:rPr>
          <w:rFonts w:cs="Times New Roman"/>
        </w:rPr>
        <w:t xml:space="preserve"> </w:t>
      </w:r>
      <w:r w:rsidR="00A85D29">
        <w:rPr>
          <w:rFonts w:cs="Times New Roman"/>
        </w:rPr>
        <w:t>in</w:t>
      </w:r>
      <w:r w:rsidRPr="000A0130">
        <w:rPr>
          <w:rFonts w:cs="Times New Roman"/>
        </w:rPr>
        <w:t xml:space="preserve">crease of </w:t>
      </w:r>
      <w:r w:rsidR="00556959">
        <w:rPr>
          <w:rFonts w:cs="Times New Roman"/>
        </w:rPr>
        <w:t>526</w:t>
      </w:r>
      <w:r w:rsidRPr="000A0130">
        <w:rPr>
          <w:rFonts w:cs="Times New Roman"/>
        </w:rPr>
        <w:t xml:space="preserve"> hours and $</w:t>
      </w:r>
      <w:r w:rsidR="00A85D29">
        <w:rPr>
          <w:rFonts w:cs="Times New Roman"/>
        </w:rPr>
        <w:t>2</w:t>
      </w:r>
      <w:r w:rsidR="00556959">
        <w:rPr>
          <w:rFonts w:cs="Times New Roman"/>
        </w:rPr>
        <w:t>42,496</w:t>
      </w:r>
      <w:r w:rsidRPr="000A0130">
        <w:rPr>
          <w:rFonts w:cs="Times New Roman"/>
        </w:rPr>
        <w:t xml:space="preserve"> from the </w:t>
      </w:r>
      <w:r w:rsidR="00292213">
        <w:rPr>
          <w:rFonts w:cs="Times New Roman"/>
        </w:rPr>
        <w:t xml:space="preserve">approved </w:t>
      </w:r>
      <w:r w:rsidRPr="000A0130">
        <w:rPr>
          <w:rFonts w:cs="Times New Roman"/>
        </w:rPr>
        <w:t xml:space="preserve">burden estimate of </w:t>
      </w:r>
      <w:r w:rsidR="00A85D29">
        <w:rPr>
          <w:rFonts w:cs="Times New Roman"/>
        </w:rPr>
        <w:t>29,625</w:t>
      </w:r>
      <w:r w:rsidRPr="000A0130">
        <w:rPr>
          <w:rFonts w:cs="Times New Roman"/>
        </w:rPr>
        <w:t xml:space="preserve"> hours and $</w:t>
      </w:r>
      <w:r w:rsidR="00A85D29">
        <w:rPr>
          <w:rFonts w:cs="Times New Roman"/>
        </w:rPr>
        <w:t>1,328,978</w:t>
      </w:r>
      <w:r w:rsidRPr="000A0130">
        <w:rPr>
          <w:rFonts w:cs="Times New Roman"/>
        </w:rPr>
        <w:t xml:space="preserve"> for the </w:t>
      </w:r>
      <w:r w:rsidR="00A85D29">
        <w:rPr>
          <w:rFonts w:cs="Times New Roman"/>
        </w:rPr>
        <w:t>EHR</w:t>
      </w:r>
      <w:r w:rsidRPr="000A0130">
        <w:rPr>
          <w:rFonts w:cs="Times New Roman"/>
        </w:rPr>
        <w:t xml:space="preserve"> reporting period</w:t>
      </w:r>
      <w:r w:rsidR="002251E0">
        <w:rPr>
          <w:rFonts w:cs="Times New Roman"/>
        </w:rPr>
        <w:t xml:space="preserve"> in CY 2024</w:t>
      </w:r>
      <w:r w:rsidRPr="000A0130">
        <w:rPr>
          <w:rFonts w:cs="Times New Roman"/>
        </w:rPr>
        <w:t>.</w:t>
      </w:r>
    </w:p>
    <w:p w:rsidR="000A0130" w:rsidRPr="000A0130" w:rsidP="00467B82" w14:paraId="56A3B852" w14:textId="77777777">
      <w:pPr>
        <w:pStyle w:val="BodyText"/>
        <w:ind w:right="259"/>
        <w:rPr>
          <w:rFonts w:cs="Times New Roman"/>
        </w:rPr>
      </w:pPr>
    </w:p>
    <w:p w:rsidR="000A0130" w:rsidP="00467B82" w14:paraId="35F29B9F" w14:textId="39D40379">
      <w:pPr>
        <w:pStyle w:val="BodyText"/>
        <w:ind w:left="0" w:right="259"/>
        <w:rPr>
          <w:rFonts w:cs="Times New Roman"/>
        </w:rPr>
      </w:pPr>
      <w:r w:rsidRPr="000A0130">
        <w:rPr>
          <w:rFonts w:cs="Times New Roman"/>
        </w:rPr>
        <w:t>The p</w:t>
      </w:r>
      <w:r w:rsidR="000C1FB6">
        <w:rPr>
          <w:rFonts w:cs="Times New Roman"/>
        </w:rPr>
        <w:t>olicy</w:t>
      </w:r>
      <w:r w:rsidRPr="000A0130">
        <w:rPr>
          <w:rFonts w:cs="Times New Roman"/>
        </w:rPr>
        <w:t xml:space="preserve"> in the FY 2025 IPPS/LTCH PPS </w:t>
      </w:r>
      <w:r w:rsidR="000C1FB6">
        <w:rPr>
          <w:rFonts w:cs="Times New Roman"/>
        </w:rPr>
        <w:t>final</w:t>
      </w:r>
      <w:r w:rsidRPr="000A0130">
        <w:rPr>
          <w:rFonts w:cs="Times New Roman"/>
        </w:rPr>
        <w:t xml:space="preserve"> rule to </w:t>
      </w:r>
      <w:r w:rsidRPr="00000261" w:rsidR="00A85D29">
        <w:t>modify the AUR Surveillance measure by separating the single measure into two measures</w:t>
      </w:r>
      <w:r w:rsidRPr="000A0130" w:rsidR="00A85D29">
        <w:rPr>
          <w:rFonts w:cs="Times New Roman"/>
        </w:rPr>
        <w:t xml:space="preserve"> </w:t>
      </w:r>
      <w:r w:rsidRPr="00000261" w:rsidR="00A85D29">
        <w:t>beginning with the EHR reporting period</w:t>
      </w:r>
      <w:r w:rsidR="002251E0">
        <w:t xml:space="preserve"> in CY 2025</w:t>
      </w:r>
      <w:r w:rsidRPr="000A0130" w:rsidR="00A85D29">
        <w:rPr>
          <w:rFonts w:cs="Times New Roman"/>
        </w:rPr>
        <w:t xml:space="preserve"> </w:t>
      </w:r>
      <w:r w:rsidRPr="000A0130">
        <w:rPr>
          <w:rFonts w:cs="Times New Roman"/>
        </w:rPr>
        <w:t xml:space="preserve">results in an annual burden increase of </w:t>
      </w:r>
      <w:r w:rsidR="00A85D29">
        <w:rPr>
          <w:rFonts w:cs="Times New Roman"/>
        </w:rPr>
        <w:t>38</w:t>
      </w:r>
      <w:r w:rsidRPr="000A0130">
        <w:rPr>
          <w:rFonts w:cs="Times New Roman"/>
        </w:rPr>
        <w:t xml:space="preserve"> hours at a cost of $</w:t>
      </w:r>
      <w:r w:rsidR="00A85D29">
        <w:rPr>
          <w:rFonts w:cs="Times New Roman"/>
        </w:rPr>
        <w:t>1,976</w:t>
      </w:r>
      <w:r w:rsidRPr="000A0130">
        <w:rPr>
          <w:rFonts w:cs="Times New Roman"/>
        </w:rPr>
        <w:t xml:space="preserve">.  </w:t>
      </w:r>
      <w:r w:rsidR="00D601E0">
        <w:rPr>
          <w:rFonts w:cs="Times New Roman"/>
        </w:rPr>
        <w:t xml:space="preserve">The </w:t>
      </w:r>
      <w:r w:rsidR="00871F86">
        <w:rPr>
          <w:rFonts w:cs="Times New Roman"/>
        </w:rPr>
        <w:t xml:space="preserve">previously finalized </w:t>
      </w:r>
      <w:r w:rsidR="00D601E0">
        <w:rPr>
          <w:rFonts w:cs="Times New Roman"/>
        </w:rPr>
        <w:t xml:space="preserve">Electronic Prior Authorization measure </w:t>
      </w:r>
      <w:r w:rsidR="00871F86">
        <w:rPr>
          <w:rFonts w:cs="Times New Roman"/>
        </w:rPr>
        <w:t xml:space="preserve">results in an annual burden increase of 38 hours at a cost of $1,981 (note the difference of $5 between this measure and the modification of the AUR Surveillance measure is due to rounding).  </w:t>
      </w:r>
      <w:r w:rsidR="00556959">
        <w:rPr>
          <w:rFonts w:cs="Times New Roman"/>
        </w:rPr>
        <w:t xml:space="preserve">The previously finalized </w:t>
      </w:r>
      <w:r w:rsidRPr="00A95CCB" w:rsidR="00556959">
        <w:t xml:space="preserve">Actions to </w:t>
      </w:r>
      <w:r w:rsidR="00556959">
        <w:t>L</w:t>
      </w:r>
      <w:r w:rsidRPr="00A95CCB" w:rsidR="00556959">
        <w:t xml:space="preserve">imit or </w:t>
      </w:r>
      <w:r w:rsidR="00556959">
        <w:t>R</w:t>
      </w:r>
      <w:r w:rsidRPr="00A95CCB" w:rsidR="00556959">
        <w:t xml:space="preserve">estrict the </w:t>
      </w:r>
      <w:r w:rsidR="00556959">
        <w:t>C</w:t>
      </w:r>
      <w:r w:rsidRPr="00A95CCB" w:rsidR="00556959">
        <w:t xml:space="preserve">ompatibility or </w:t>
      </w:r>
      <w:r w:rsidR="00556959">
        <w:t>I</w:t>
      </w:r>
      <w:r w:rsidRPr="00A95CCB" w:rsidR="00556959">
        <w:t>nteroperability of CEHRT</w:t>
      </w:r>
      <w:r w:rsidRPr="00C17910" w:rsidR="00556959">
        <w:rPr>
          <w:rFonts w:cs="Times New Roman"/>
        </w:rPr>
        <w:t xml:space="preserve"> </w:t>
      </w:r>
      <w:r w:rsidR="00556959">
        <w:rPr>
          <w:rFonts w:cs="Times New Roman"/>
        </w:rPr>
        <w:t xml:space="preserve">and ONC Direct Review measures result in an annual burden increase of 152 hours at a cost of $7,922.  </w:t>
      </w:r>
      <w:r w:rsidR="00871F86">
        <w:rPr>
          <w:rFonts w:cs="Times New Roman"/>
        </w:rPr>
        <w:t xml:space="preserve">The inclusion of burden associated with Hardship Applications results in an annual burden increase of 7 hours at a cost of $365.  </w:t>
      </w:r>
      <w:r w:rsidR="00880943">
        <w:rPr>
          <w:rFonts w:cs="Times New Roman"/>
        </w:rPr>
        <w:t>Accounting for the impact of the p</w:t>
      </w:r>
      <w:r w:rsidR="000C1FB6">
        <w:rPr>
          <w:rFonts w:cs="Times New Roman"/>
        </w:rPr>
        <w:t>olicie</w:t>
      </w:r>
      <w:r w:rsidR="00880943">
        <w:rPr>
          <w:rFonts w:cs="Times New Roman"/>
        </w:rPr>
        <w:t xml:space="preserve">s in the FY 2025 IPPS/LTCH PPS </w:t>
      </w:r>
      <w:r w:rsidR="000C1FB6">
        <w:rPr>
          <w:rFonts w:cs="Times New Roman"/>
        </w:rPr>
        <w:t>final</w:t>
      </w:r>
      <w:r w:rsidR="00880943">
        <w:rPr>
          <w:rFonts w:cs="Times New Roman"/>
        </w:rPr>
        <w:t xml:space="preserve"> rule</w:t>
      </w:r>
      <w:r w:rsidR="005153DA">
        <w:rPr>
          <w:rFonts w:cs="Times New Roman"/>
        </w:rPr>
        <w:t>, our updated</w:t>
      </w:r>
      <w:r w:rsidR="00880943">
        <w:rPr>
          <w:rFonts w:cs="Times New Roman"/>
        </w:rPr>
        <w:t xml:space="preserve"> estimates of the number of eligible hospitals and CAHs results in an annual burden increase of </w:t>
      </w:r>
      <w:r w:rsidR="005153DA">
        <w:rPr>
          <w:rFonts w:cs="Times New Roman"/>
        </w:rPr>
        <w:t>329</w:t>
      </w:r>
      <w:r w:rsidR="00880943">
        <w:rPr>
          <w:rFonts w:cs="Times New Roman"/>
        </w:rPr>
        <w:t xml:space="preserve"> hours at a cost of $</w:t>
      </w:r>
      <w:r w:rsidR="005153DA">
        <w:rPr>
          <w:rFonts w:cs="Times New Roman"/>
        </w:rPr>
        <w:t>17,156</w:t>
      </w:r>
      <w:r w:rsidR="00880943">
        <w:rPr>
          <w:rFonts w:cs="Times New Roman"/>
        </w:rPr>
        <w:t xml:space="preserve">.  </w:t>
      </w:r>
      <w:r w:rsidR="005153DA">
        <w:rPr>
          <w:rFonts w:cs="Times New Roman"/>
        </w:rPr>
        <w:t>As shown in Table 4, t</w:t>
      </w:r>
      <w:r w:rsidR="00871F86">
        <w:rPr>
          <w:rFonts w:cs="Times New Roman"/>
        </w:rPr>
        <w:t xml:space="preserve">he aggregate increase due to these policies </w:t>
      </w:r>
      <w:r w:rsidR="00880943">
        <w:rPr>
          <w:rFonts w:cs="Times New Roman"/>
        </w:rPr>
        <w:t xml:space="preserve">and adjustments is </w:t>
      </w:r>
      <w:r w:rsidR="00556959">
        <w:rPr>
          <w:rFonts w:cs="Times New Roman"/>
        </w:rPr>
        <w:t>564</w:t>
      </w:r>
      <w:r w:rsidR="00880943">
        <w:rPr>
          <w:rFonts w:cs="Times New Roman"/>
        </w:rPr>
        <w:t xml:space="preserve"> hours (</w:t>
      </w:r>
      <w:r w:rsidR="005153DA">
        <w:rPr>
          <w:rFonts w:cs="Times New Roman"/>
        </w:rPr>
        <w:t xml:space="preserve">329 + </w:t>
      </w:r>
      <w:r w:rsidR="00880943">
        <w:rPr>
          <w:rFonts w:cs="Times New Roman"/>
        </w:rPr>
        <w:t>38 + 38 +</w:t>
      </w:r>
      <w:r w:rsidR="00556959">
        <w:rPr>
          <w:rFonts w:cs="Times New Roman"/>
        </w:rPr>
        <w:t xml:space="preserve"> 152 +</w:t>
      </w:r>
      <w:r w:rsidR="00880943">
        <w:rPr>
          <w:rFonts w:cs="Times New Roman"/>
        </w:rPr>
        <w:t xml:space="preserve"> 7) and $</w:t>
      </w:r>
      <w:r w:rsidR="005153DA">
        <w:rPr>
          <w:rFonts w:cs="Times New Roman"/>
        </w:rPr>
        <w:t>2</w:t>
      </w:r>
      <w:r w:rsidR="00556959">
        <w:rPr>
          <w:rFonts w:cs="Times New Roman"/>
        </w:rPr>
        <w:t>9,400</w:t>
      </w:r>
      <w:r w:rsidR="00880943">
        <w:rPr>
          <w:rFonts w:cs="Times New Roman"/>
        </w:rPr>
        <w:t xml:space="preserve"> ($1</w:t>
      </w:r>
      <w:r w:rsidR="005153DA">
        <w:rPr>
          <w:rFonts w:cs="Times New Roman"/>
        </w:rPr>
        <w:t>7,156</w:t>
      </w:r>
      <w:r w:rsidR="00880943">
        <w:rPr>
          <w:rFonts w:cs="Times New Roman"/>
        </w:rPr>
        <w:t xml:space="preserve"> + </w:t>
      </w:r>
      <w:r w:rsidR="005153DA">
        <w:rPr>
          <w:rFonts w:cs="Times New Roman"/>
        </w:rPr>
        <w:t xml:space="preserve">$1,976 + </w:t>
      </w:r>
      <w:r w:rsidR="00880943">
        <w:rPr>
          <w:rFonts w:cs="Times New Roman"/>
        </w:rPr>
        <w:t xml:space="preserve">$1,981 + </w:t>
      </w:r>
      <w:r w:rsidR="00556959">
        <w:rPr>
          <w:rFonts w:cs="Times New Roman"/>
        </w:rPr>
        <w:t xml:space="preserve">$7,922 + </w:t>
      </w:r>
      <w:r w:rsidR="00880943">
        <w:rPr>
          <w:rFonts w:cs="Times New Roman"/>
        </w:rPr>
        <w:t>$365).</w:t>
      </w:r>
    </w:p>
    <w:p w:rsidR="009B1F1F" w:rsidP="001C0997" w14:paraId="2D7511E8" w14:textId="10F10024">
      <w:pPr>
        <w:rPr>
          <w:rFonts w:ascii="Times New Roman" w:eastAsia="Times New Roman" w:hAnsi="Times New Roman" w:cs="Times New Roman"/>
          <w:sz w:val="24"/>
          <w:szCs w:val="24"/>
        </w:rPr>
      </w:pPr>
    </w:p>
    <w:p w:rsidR="009B1F1F" w:rsidRPr="00C64579" w:rsidP="001C0997" w14:paraId="7F3CB324" w14:textId="344468FF">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Publication</w:t>
      </w:r>
      <w:r w:rsidR="0031399A">
        <w:rPr>
          <w:rFonts w:ascii="Times New Roman"/>
          <w:b/>
          <w:bCs/>
          <w:sz w:val="24"/>
        </w:rPr>
        <w:t>/</w:t>
      </w:r>
      <w:r w:rsidRPr="00C64579">
        <w:rPr>
          <w:rFonts w:ascii="Times New Roman"/>
          <w:b/>
          <w:bCs/>
          <w:sz w:val="24"/>
        </w:rPr>
        <w:t>Tabulation Dates</w:t>
      </w:r>
    </w:p>
    <w:p w:rsidR="009B1F1F" w:rsidP="00467B82" w14:paraId="56B15F51" w14:textId="77777777">
      <w:pPr>
        <w:rPr>
          <w:rFonts w:ascii="Times New Roman" w:eastAsia="Times New Roman" w:hAnsi="Times New Roman" w:cs="Times New Roman"/>
          <w:sz w:val="17"/>
          <w:szCs w:val="17"/>
        </w:rPr>
      </w:pPr>
    </w:p>
    <w:p w:rsidR="00DA7AF5" w:rsidRPr="0041743D" w:rsidP="001C0997" w14:paraId="0BE45E97" w14:textId="7B86C0EB">
      <w:pPr>
        <w:pStyle w:val="BodyText"/>
        <w:ind w:left="0"/>
      </w:pPr>
      <w:r w:rsidRPr="005F3A61">
        <w:t xml:space="preserve">We will continue to display </w:t>
      </w:r>
      <w:r>
        <w:t xml:space="preserve">hospital </w:t>
      </w:r>
      <w:r w:rsidRPr="005F3A61">
        <w:t xml:space="preserve">quality information for public viewing as required by </w:t>
      </w:r>
      <w:r>
        <w:t xml:space="preserve">Social Security Act </w:t>
      </w:r>
      <w:r w:rsidRPr="005F3A61">
        <w:t>section</w:t>
      </w:r>
      <w:r>
        <w:t>s</w:t>
      </w:r>
      <w:r w:rsidRPr="005F3A61">
        <w:t xml:space="preserve"> 1886(b)(3)(B)(viii)(VII) for the Hospital IQR Program</w:t>
      </w:r>
      <w:r>
        <w:t>,</w:t>
      </w:r>
      <w:r w:rsidRPr="005F3A61">
        <w:t xml:space="preserve"> 1886(o)(10) for the Hospital VBP Program</w:t>
      </w:r>
      <w:r>
        <w:t xml:space="preserve">, </w:t>
      </w:r>
      <w:r w:rsidRPr="005F3A61">
        <w:t>1886(</w:t>
      </w:r>
      <w:r>
        <w:t>p</w:t>
      </w:r>
      <w:r w:rsidRPr="005F3A61">
        <w:t>)(</w:t>
      </w:r>
      <w:r>
        <w:t>6</w:t>
      </w:r>
      <w:r w:rsidRPr="005F3A61">
        <w:t xml:space="preserve">) for the </w:t>
      </w:r>
      <w:r>
        <w:t>HAC Reduction</w:t>
      </w:r>
      <w:r w:rsidRPr="005F3A61">
        <w:t xml:space="preserve"> Program</w:t>
      </w:r>
      <w:r>
        <w:t xml:space="preserve">, </w:t>
      </w:r>
      <w:r w:rsidRPr="005F3A61">
        <w:t>1886(</w:t>
      </w:r>
      <w:r>
        <w:t>q</w:t>
      </w:r>
      <w:r w:rsidRPr="005F3A61">
        <w:t>)(</w:t>
      </w:r>
      <w:r>
        <w:t>6</w:t>
      </w:r>
      <w:r w:rsidRPr="005F3A61">
        <w:t xml:space="preserve">) for the Hospital </w:t>
      </w:r>
      <w:r>
        <w:t>Readmissions Reduction</w:t>
      </w:r>
      <w:r w:rsidRPr="005F3A61">
        <w:t xml:space="preserve"> Program</w:t>
      </w:r>
      <w:r>
        <w:t>, and 1886(n)(4)(B) for the Medicare Promoting Interoperability Program</w:t>
      </w:r>
      <w:r w:rsidRPr="005F3A61">
        <w:t>.</w:t>
      </w:r>
      <w:r>
        <w:t xml:space="preserve">  </w:t>
      </w:r>
      <w:r w:rsidRPr="00DA7AF5">
        <w:t>Hospital data from the</w:t>
      </w:r>
      <w:r>
        <w:t xml:space="preserve"> Medicare Promoting Interoperability Program</w:t>
      </w:r>
      <w:r w:rsidRPr="00DA7AF5">
        <w:t xml:space="preserve"> </w:t>
      </w:r>
      <w:r>
        <w:t>is</w:t>
      </w:r>
      <w:r w:rsidRPr="00DA7AF5">
        <w:t xml:space="preserve"> currently used to populate the Compare tool hosted by HHS, available at:  https://www.medicare.gov/care-compare/, or its successor website(s).  Data are presented on the Compare tool hosted by HHS in a format mainly aimed towards consumers, patients, and the </w:t>
      </w:r>
      <w:r w:rsidRPr="00DA7AF5">
        <w:t>general public</w:t>
      </w:r>
      <w:r w:rsidRPr="00DA7AF5">
        <w:t xml:space="preserve">, providing access to </w:t>
      </w:r>
      <w:r>
        <w:t>overall scoring and performance data on eligible hospitals and CAHs</w:t>
      </w:r>
      <w:r w:rsidRPr="00DA7AF5">
        <w:t xml:space="preserve">.  </w:t>
      </w:r>
      <w:r>
        <w:t>I</w:t>
      </w:r>
      <w:r w:rsidRPr="0041743D">
        <w:t xml:space="preserve">nformation for public viewing </w:t>
      </w:r>
      <w:r>
        <w:t xml:space="preserve">available </w:t>
      </w:r>
      <w:r w:rsidRPr="0041743D">
        <w:t>on th</w:t>
      </w:r>
      <w:r>
        <w:t>e Medicare Promoting Interoperability Program website</w:t>
      </w:r>
      <w:r w:rsidRPr="0041743D">
        <w:t xml:space="preserve"> is geared toward educational and contextual assistance for those learning about the program including but not limited to latest news</w:t>
      </w:r>
      <w:r w:rsidR="0034247A">
        <w:t>;</w:t>
      </w:r>
      <w:r w:rsidRPr="0041743D">
        <w:t xml:space="preserve"> dates to remember</w:t>
      </w:r>
      <w:r w:rsidR="0034247A">
        <w:t>;</w:t>
      </w:r>
      <w:r w:rsidRPr="0041743D">
        <w:t xml:space="preserve"> program requirements</w:t>
      </w:r>
      <w:r w:rsidR="0034247A">
        <w:t>;</w:t>
      </w:r>
      <w:r w:rsidRPr="0041743D">
        <w:t xml:space="preserve"> contact information</w:t>
      </w:r>
      <w:r w:rsidR="0034247A">
        <w:t>;</w:t>
      </w:r>
      <w:r w:rsidRPr="0041743D">
        <w:t xml:space="preserve"> </w:t>
      </w:r>
      <w:r w:rsidR="0034247A">
        <w:t>and</w:t>
      </w:r>
      <w:r w:rsidRPr="0041743D">
        <w:t xml:space="preserve"> useful links to the Federal Register, FAQ, and </w:t>
      </w:r>
      <w:r>
        <w:t>objective-</w:t>
      </w:r>
      <w:r w:rsidRPr="0041743D">
        <w:t>measure specification sheets.</w:t>
      </w:r>
      <w:r>
        <w:t xml:space="preserve">  </w:t>
      </w:r>
      <w:r w:rsidRPr="00E63BBE" w:rsidR="00E63BBE">
        <w:t xml:space="preserve">One of the </w:t>
      </w:r>
      <w:r w:rsidR="00330D66">
        <w:t xml:space="preserve">long-term </w:t>
      </w:r>
      <w:r w:rsidRPr="00E63BBE" w:rsidR="00E63BBE">
        <w:t xml:space="preserve">goals of the </w:t>
      </w:r>
      <w:r w:rsidR="00E63BBE">
        <w:t>Medicare Promoting Interoperability</w:t>
      </w:r>
      <w:r w:rsidRPr="00E63BBE" w:rsidR="00E63BBE">
        <w:t xml:space="preserve"> Program is to publicly display data on all measures adopted for the Program. </w:t>
      </w:r>
    </w:p>
    <w:p w:rsidR="00DA0FCC" w:rsidP="00467B82" w14:paraId="103BEA11" w14:textId="77777777">
      <w:pPr>
        <w:pStyle w:val="BodyText"/>
        <w:ind w:left="1340" w:right="259"/>
      </w:pPr>
    </w:p>
    <w:p w:rsidR="009B1F1F" w:rsidRPr="00C64579" w:rsidP="001C0997" w14:paraId="658F39DB" w14:textId="77777777">
      <w:pPr>
        <w:pStyle w:val="ListParagraph"/>
        <w:numPr>
          <w:ilvl w:val="1"/>
          <w:numId w:val="1"/>
        </w:numPr>
        <w:tabs>
          <w:tab w:val="left" w:pos="1181"/>
        </w:tabs>
        <w:ind w:left="720" w:right="157" w:hanging="720"/>
        <w:rPr>
          <w:rFonts w:ascii="Times New Roman"/>
          <w:b/>
          <w:bCs/>
          <w:sz w:val="24"/>
        </w:rPr>
      </w:pPr>
      <w:r w:rsidRPr="00C64579">
        <w:rPr>
          <w:rFonts w:ascii="Times New Roman"/>
          <w:b/>
          <w:bCs/>
          <w:sz w:val="24"/>
        </w:rPr>
        <w:t>Expiration Date</w:t>
      </w:r>
    </w:p>
    <w:p w:rsidR="009B1F1F" w:rsidP="00467B82" w14:paraId="42AB82CA" w14:textId="77777777">
      <w:pPr>
        <w:rPr>
          <w:rFonts w:ascii="Times New Roman" w:eastAsia="Times New Roman" w:hAnsi="Times New Roman" w:cs="Times New Roman"/>
          <w:sz w:val="17"/>
          <w:szCs w:val="17"/>
        </w:rPr>
      </w:pPr>
    </w:p>
    <w:p w:rsidR="0031399A" w:rsidP="001C0997" w14:paraId="236CF6EE" w14:textId="5BCDDA9D">
      <w:pPr>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exception of</w:t>
      </w:r>
      <w:r>
        <w:rPr>
          <w:rFonts w:ascii="Times New Roman" w:eastAsia="Times New Roman" w:hAnsi="Times New Roman" w:cs="Times New Roman"/>
          <w:sz w:val="24"/>
          <w:szCs w:val="24"/>
        </w:rPr>
        <w:t xml:space="preserve"> the online form used for submitting attestations </w:t>
      </w:r>
      <w:r w:rsidR="00330D66">
        <w:rPr>
          <w:rFonts w:ascii="Times New Roman" w:eastAsia="Times New Roman" w:hAnsi="Times New Roman" w:cs="Times New Roman"/>
          <w:sz w:val="24"/>
          <w:szCs w:val="24"/>
        </w:rPr>
        <w:t xml:space="preserve">and Hardship Exception application </w:t>
      </w:r>
      <w:r>
        <w:rPr>
          <w:rFonts w:ascii="Times New Roman" w:eastAsia="Times New Roman" w:hAnsi="Times New Roman" w:cs="Times New Roman"/>
          <w:sz w:val="24"/>
          <w:szCs w:val="24"/>
        </w:rPr>
        <w:t xml:space="preserve">which will display the approved expiration date, there are no additional forms associated with the Medicare Promoting Interoperability Program.  </w:t>
      </w:r>
      <w:r w:rsidRPr="0031399A">
        <w:rPr>
          <w:rFonts w:ascii="Times New Roman" w:eastAsia="Times New Roman" w:hAnsi="Times New Roman" w:cs="Times New Roman"/>
          <w:sz w:val="24"/>
          <w:szCs w:val="24"/>
        </w:rPr>
        <w:t xml:space="preserve">We will also display the approved expiration date prominently on the </w:t>
      </w:r>
      <w:r>
        <w:rPr>
          <w:rFonts w:ascii="Times New Roman" w:eastAsia="Times New Roman" w:hAnsi="Times New Roman" w:cs="Times New Roman"/>
          <w:sz w:val="24"/>
          <w:szCs w:val="24"/>
        </w:rPr>
        <w:t>Medicare Promoting Interoperability</w:t>
      </w:r>
      <w:r w:rsidRPr="0031399A">
        <w:rPr>
          <w:rFonts w:ascii="Times New Roman" w:eastAsia="Times New Roman" w:hAnsi="Times New Roman" w:cs="Times New Roman"/>
          <w:sz w:val="24"/>
          <w:szCs w:val="24"/>
        </w:rPr>
        <w:t xml:space="preserve"> Program pages </w:t>
      </w:r>
      <w:r w:rsidR="00DB43FF">
        <w:rPr>
          <w:rFonts w:ascii="Times New Roman" w:eastAsia="Times New Roman" w:hAnsi="Times New Roman" w:cs="Times New Roman"/>
          <w:sz w:val="24"/>
          <w:szCs w:val="24"/>
        </w:rPr>
        <w:t xml:space="preserve">on </w:t>
      </w:r>
      <w:hyperlink r:id="rId11" w:history="1">
        <w:r w:rsidR="00DB43FF">
          <w:rPr>
            <w:rStyle w:val="Hyperlink"/>
            <w:rFonts w:ascii="Times New Roman" w:eastAsia="Times New Roman" w:hAnsi="Times New Roman" w:cs="Times New Roman"/>
            <w:sz w:val="24"/>
            <w:szCs w:val="24"/>
          </w:rPr>
          <w:t>CMS.gov</w:t>
        </w:r>
      </w:hyperlink>
      <w:r w:rsidR="00DB43FF">
        <w:rPr>
          <w:rFonts w:ascii="Times New Roman" w:eastAsia="Times New Roman" w:hAnsi="Times New Roman" w:cs="Times New Roman"/>
          <w:sz w:val="24"/>
          <w:szCs w:val="24"/>
        </w:rPr>
        <w:t xml:space="preserve"> </w:t>
      </w:r>
      <w:r w:rsidRPr="0031399A">
        <w:rPr>
          <w:rFonts w:ascii="Times New Roman" w:eastAsia="Times New Roman" w:hAnsi="Times New Roman" w:cs="Times New Roman"/>
          <w:sz w:val="24"/>
          <w:szCs w:val="24"/>
        </w:rPr>
        <w:t>used to document our measure specifications and reporting guidance.</w:t>
      </w:r>
    </w:p>
    <w:p w:rsidR="009B1F1F" w:rsidP="001C0997" w14:paraId="56E866C6" w14:textId="77777777">
      <w:pPr>
        <w:rPr>
          <w:rFonts w:ascii="Times New Roman" w:eastAsia="Times New Roman" w:hAnsi="Times New Roman" w:cs="Times New Roman"/>
          <w:sz w:val="24"/>
          <w:szCs w:val="24"/>
        </w:rPr>
      </w:pPr>
    </w:p>
    <w:p w:rsidR="009B1F1F" w:rsidRPr="00C64579" w:rsidP="001C0997" w14:paraId="2CBB9AAA" w14:textId="77777777">
      <w:pPr>
        <w:pStyle w:val="ListParagraph"/>
        <w:numPr>
          <w:ilvl w:val="1"/>
          <w:numId w:val="1"/>
        </w:numPr>
        <w:tabs>
          <w:tab w:val="left" w:pos="1181"/>
        </w:tabs>
        <w:ind w:left="720" w:right="157" w:hanging="720"/>
        <w:rPr>
          <w:rFonts w:ascii="Times New Roman"/>
          <w:b/>
          <w:bCs/>
          <w:sz w:val="24"/>
        </w:rPr>
      </w:pPr>
      <w:r w:rsidRPr="00C64579">
        <w:rPr>
          <w:rFonts w:ascii="Times New Roman"/>
          <w:b/>
          <w:bCs/>
          <w:sz w:val="24"/>
        </w:rPr>
        <w:t>Certification Statement</w:t>
      </w:r>
    </w:p>
    <w:p w:rsidR="009B1F1F" w:rsidP="00467B82" w14:paraId="34293257" w14:textId="77777777">
      <w:pPr>
        <w:rPr>
          <w:rFonts w:ascii="Times New Roman" w:eastAsia="Times New Roman" w:hAnsi="Times New Roman" w:cs="Times New Roman"/>
          <w:sz w:val="17"/>
          <w:szCs w:val="17"/>
        </w:rPr>
      </w:pPr>
    </w:p>
    <w:p w:rsidR="009B1F1F" w:rsidP="00467B82" w14:paraId="7814D919" w14:textId="3E403DF9">
      <w:pPr>
        <w:rPr>
          <w:rFonts w:ascii="Times New Roman" w:eastAsia="Times New Roman" w:hAnsi="Times New Roman"/>
          <w:sz w:val="24"/>
          <w:szCs w:val="24"/>
        </w:rPr>
      </w:pPr>
      <w:r w:rsidRPr="0031399A">
        <w:rPr>
          <w:rFonts w:ascii="Times New Roman" w:eastAsia="Times New Roman" w:hAnsi="Times New Roman"/>
          <w:sz w:val="24"/>
          <w:szCs w:val="24"/>
        </w:rPr>
        <w:t>We are not claiming any exceptions to the Certification for Paperwork Reduction Act Submissions Statement.</w:t>
      </w:r>
    </w:p>
    <w:p w:rsidR="0031399A" w:rsidP="00467B82" w14:paraId="3EE6BDB4" w14:textId="77777777">
      <w:pPr>
        <w:rPr>
          <w:rFonts w:ascii="Times New Roman" w:eastAsia="Times New Roman" w:hAnsi="Times New Roman" w:cs="Times New Roman"/>
          <w:sz w:val="24"/>
          <w:szCs w:val="24"/>
        </w:rPr>
      </w:pPr>
    </w:p>
    <w:p w:rsidR="009B1F1F" w:rsidP="001C0997" w14:paraId="52D99B7A" w14:textId="77777777">
      <w:pPr>
        <w:pStyle w:val="Heading1"/>
        <w:numPr>
          <w:ilvl w:val="0"/>
          <w:numId w:val="1"/>
        </w:numPr>
        <w:tabs>
          <w:tab w:val="left" w:pos="0"/>
        </w:tabs>
        <w:ind w:left="0" w:right="123" w:firstLine="0"/>
        <w:rPr>
          <w:b w:val="0"/>
          <w:bCs w:val="0"/>
        </w:rPr>
      </w:pPr>
      <w:r>
        <w:t>Collection of Information Employing Statistical</w:t>
      </w:r>
      <w:r>
        <w:rPr>
          <w:spacing w:val="-1"/>
        </w:rPr>
        <w:t xml:space="preserve"> </w:t>
      </w:r>
      <w:r>
        <w:t>Methods</w:t>
      </w:r>
    </w:p>
    <w:p w:rsidR="009B1F1F" w:rsidP="00467B82" w14:paraId="012E79DB" w14:textId="77777777">
      <w:pPr>
        <w:rPr>
          <w:rFonts w:ascii="Times New Roman" w:eastAsia="Times New Roman" w:hAnsi="Times New Roman" w:cs="Times New Roman"/>
          <w:b/>
          <w:bCs/>
          <w:sz w:val="23"/>
          <w:szCs w:val="23"/>
        </w:rPr>
      </w:pPr>
    </w:p>
    <w:p w:rsidR="00ED190D" w:rsidP="001C0997" w14:paraId="3F55A662" w14:textId="47D4140C">
      <w:pPr>
        <w:pStyle w:val="BodyText"/>
        <w:ind w:left="0" w:right="123"/>
      </w:pPr>
      <w:r>
        <w:t>The use of statistical methods does not apply to this</w:t>
      </w:r>
      <w:r>
        <w:rPr>
          <w:spacing w:val="-9"/>
        </w:rPr>
        <w:t xml:space="preserve"> </w:t>
      </w:r>
      <w:r>
        <w:t>form.</w:t>
      </w:r>
    </w:p>
    <w:sectPr w:rsidSect="00055772">
      <w:footerReference w:type="default" r:id="rId12"/>
      <w:headerReference w:type="first" r:id="rId13"/>
      <w:pgSz w:w="12240" w:h="15840"/>
      <w:pgMar w:top="960" w:right="1700" w:bottom="1380" w:left="1680" w:header="0" w:footer="77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DCFH C+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1593046"/>
      <w:docPartObj>
        <w:docPartGallery w:val="Page Numbers (Bottom of Page)"/>
        <w:docPartUnique/>
      </w:docPartObj>
    </w:sdtPr>
    <w:sdtEndPr>
      <w:rPr>
        <w:noProof/>
      </w:rPr>
    </w:sdtEndPr>
    <w:sdtContent>
      <w:p w:rsidR="00CD090A" w:rsidP="00CD090A" w14:paraId="092D044C" w14:textId="13D22A97">
        <w:pPr>
          <w:pStyle w:val="Footer"/>
          <w:jc w:val="right"/>
        </w:pPr>
        <w:r w:rsidRPr="00694CC3">
          <w:rPr>
            <w:rFonts w:ascii="Times New Roman" w:hAnsi="Times New Roman"/>
            <w:sz w:val="20"/>
          </w:rPr>
          <w:fldChar w:fldCharType="begin"/>
        </w:r>
        <w:r w:rsidRPr="001C2587">
          <w:rPr>
            <w:rFonts w:ascii="Times New Roman" w:hAnsi="Times New Roman"/>
            <w:sz w:val="20"/>
          </w:rPr>
          <w:instrText xml:space="preserve"> PAGE   \* MERGEFORMAT </w:instrText>
        </w:r>
        <w:r w:rsidRPr="00694CC3">
          <w:rPr>
            <w:rFonts w:ascii="Times New Roman" w:hAnsi="Times New Roman"/>
            <w:sz w:val="20"/>
          </w:rPr>
          <w:fldChar w:fldCharType="separate"/>
        </w:r>
        <w:r w:rsidRPr="001C2587">
          <w:rPr>
            <w:rFonts w:ascii="Times New Roman" w:hAnsi="Times New Roman"/>
            <w:noProof/>
            <w:sz w:val="20"/>
          </w:rPr>
          <w:t>2</w:t>
        </w:r>
        <w:r w:rsidRPr="00694CC3">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70B4" w14:paraId="6B25E53D" w14:textId="77777777">
      <w:r>
        <w:separator/>
      </w:r>
    </w:p>
  </w:footnote>
  <w:footnote w:type="continuationSeparator" w:id="1">
    <w:p w:rsidR="00BC70B4" w14:paraId="2F4A39D0" w14:textId="77777777">
      <w:r>
        <w:continuationSeparator/>
      </w:r>
    </w:p>
  </w:footnote>
  <w:footnote w:type="continuationNotice" w:id="2">
    <w:p w:rsidR="00BC70B4" w14:paraId="745C93CE" w14:textId="77777777"/>
  </w:footnote>
  <w:footnote w:id="3">
    <w:p w:rsidR="000E1AED" w:rsidP="000E1AED" w14:paraId="2D2F39B5" w14:textId="37CFE202">
      <w:pPr>
        <w:pStyle w:val="FootnoteText"/>
        <w:spacing w:after="120"/>
      </w:pPr>
      <w:r>
        <w:rPr>
          <w:rStyle w:val="FootnoteReference"/>
        </w:rPr>
        <w:footnoteRef/>
      </w:r>
      <w:r>
        <w:t xml:space="preserve"> </w:t>
      </w:r>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4">
    <w:p w:rsidR="003A104D" w:rsidRPr="00D73BEE" w:rsidP="003A104D" w14:paraId="194AB1CC" w14:textId="77777777">
      <w:pPr>
        <w:pStyle w:val="FootnoteText"/>
        <w:keepNext/>
        <w:keepLines/>
        <w:spacing w:after="120"/>
      </w:pPr>
      <w:r w:rsidRPr="00CD344B">
        <w:rPr>
          <w:rStyle w:val="FootnoteReference"/>
        </w:rPr>
        <w:footnoteRef/>
      </w:r>
      <w:r w:rsidRPr="00D73BEE">
        <w:t xml:space="preserve"> </w:t>
      </w:r>
      <w:r>
        <w:t>Bureau</w:t>
      </w:r>
      <w:r>
        <w:rPr>
          <w:spacing w:val="-2"/>
        </w:rPr>
        <w:t xml:space="preserve"> </w:t>
      </w:r>
      <w:r>
        <w:t>of</w:t>
      </w:r>
      <w:r>
        <w:rPr>
          <w:spacing w:val="-5"/>
        </w:rPr>
        <w:t xml:space="preserve"> </w:t>
      </w:r>
      <w:r>
        <w:t>Labor</w:t>
      </w:r>
      <w:r>
        <w:rPr>
          <w:spacing w:val="-5"/>
        </w:rPr>
        <w:t xml:space="preserve"> </w:t>
      </w:r>
      <w:r>
        <w:t>Statistics,</w:t>
      </w:r>
      <w:r>
        <w:rPr>
          <w:spacing w:val="-2"/>
        </w:rPr>
        <w:t xml:space="preserve"> </w:t>
      </w:r>
      <w:r>
        <w:t>Occupational</w:t>
      </w:r>
      <w:r>
        <w:rPr>
          <w:spacing w:val="-3"/>
        </w:rPr>
        <w:t xml:space="preserve"> </w:t>
      </w:r>
      <w:r>
        <w:t>Employment</w:t>
      </w:r>
      <w:r>
        <w:rPr>
          <w:spacing w:val="-3"/>
        </w:rPr>
        <w:t xml:space="preserve"> </w:t>
      </w:r>
      <w:r>
        <w:t>and</w:t>
      </w:r>
      <w:r>
        <w:rPr>
          <w:spacing w:val="-7"/>
        </w:rPr>
        <w:t xml:space="preserve"> </w:t>
      </w:r>
      <w:r>
        <w:t>Wages.</w:t>
      </w:r>
      <w:r>
        <w:rPr>
          <w:spacing w:val="-2"/>
        </w:rPr>
        <w:t xml:space="preserve"> </w:t>
      </w:r>
      <w:r>
        <w:t>Accessed</w:t>
      </w:r>
      <w:r>
        <w:rPr>
          <w:spacing w:val="-2"/>
        </w:rPr>
        <w:t xml:space="preserve"> </w:t>
      </w:r>
      <w:r>
        <w:t>on</w:t>
      </w:r>
      <w:r>
        <w:rPr>
          <w:spacing w:val="-2"/>
        </w:rPr>
        <w:t xml:space="preserve"> </w:t>
      </w:r>
      <w:r>
        <w:t>March</w:t>
      </w:r>
      <w:r>
        <w:rPr>
          <w:spacing w:val="-2"/>
        </w:rPr>
        <w:t xml:space="preserve"> </w:t>
      </w:r>
      <w:r>
        <w:t>7,</w:t>
      </w:r>
      <w:r>
        <w:rPr>
          <w:spacing w:val="-5"/>
        </w:rPr>
        <w:t xml:space="preserve"> </w:t>
      </w:r>
      <w:r>
        <w:t>2024</w:t>
      </w:r>
      <w:r>
        <w:rPr>
          <w:rFonts w:eastAsia="Calibri"/>
        </w:rPr>
        <w:t xml:space="preserve">: </w:t>
      </w:r>
      <w:hyperlink r:id="rId2" w:history="1">
        <w:r w:rsidRPr="0037530D">
          <w:rPr>
            <w:rStyle w:val="Hyperlink"/>
          </w:rPr>
          <w:t>https://www.bls.gov/oes/current/oes292072.htm</w:t>
        </w:r>
      </w:hyperlink>
      <w:r w:rsidRPr="00FD095C">
        <w:t>.</w:t>
      </w:r>
    </w:p>
  </w:footnote>
  <w:footnote w:id="5">
    <w:p w:rsidR="00FC66EF" w14:paraId="2522BCB9" w14:textId="72FD8418">
      <w:pPr>
        <w:pStyle w:val="FootnoteText"/>
      </w:pPr>
      <w:r>
        <w:rPr>
          <w:rStyle w:val="FootnoteReference"/>
        </w:rPr>
        <w:footnoteRef/>
      </w:r>
      <w:r>
        <w:t xml:space="preserve"> </w:t>
      </w:r>
      <w:hyperlink r:id="rId3" w:history="1">
        <w:r w:rsidRPr="00ED277D" w:rsidR="0049532A">
          <w:rPr>
            <w:rStyle w:val="Hyperlink"/>
          </w:rPr>
          <w:t>https://www.ncbi.nlm.nih.gov/pmc/articles/PMC5051263/</w:t>
        </w:r>
      </w:hyperlink>
      <w:r w:rsidR="0049532A">
        <w:t xml:space="preserve"> </w:t>
      </w:r>
    </w:p>
  </w:footnote>
  <w:footnote w:id="6">
    <w:p w:rsidR="00FC66EF" w14:paraId="065DCA43" w14:textId="64319B31">
      <w:pPr>
        <w:pStyle w:val="FootnoteText"/>
      </w:pPr>
      <w:r>
        <w:rPr>
          <w:rStyle w:val="FootnoteReference"/>
        </w:rPr>
        <w:footnoteRef/>
      </w:r>
      <w:r>
        <w:t xml:space="preserve"> </w:t>
      </w:r>
      <w:hyperlink r:id="rId4" w:history="1">
        <w:r w:rsidRPr="00ED277D" w:rsidR="0049532A">
          <w:rPr>
            <w:rStyle w:val="Hyperlink"/>
          </w:rPr>
          <w:t>https://www.cdc.gov/drugresistance/solutions-initiative/stories/partnership-estimates-healthcare-cost.html</w:t>
        </w:r>
      </w:hyperlink>
      <w:r w:rsidR="0049532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672" w14:paraId="741ED693" w14:textId="77777777">
    <w:pPr>
      <w:pStyle w:val="Header"/>
      <w:rPr>
        <w:rFonts w:ascii="Times New Roman" w:hAnsi="Times New Roman"/>
      </w:rPr>
    </w:pPr>
    <w:r w:rsidRPr="00A77183">
      <w:rPr>
        <w:rFonts w:ascii="Times New Roman" w:hAnsi="Times New Roman"/>
      </w:rPr>
      <w:t>CMS</w:t>
    </w:r>
    <w:r>
      <w:rPr>
        <w:rFonts w:ascii="Times New Roman" w:hAnsi="Times New Roman"/>
      </w:rPr>
      <w:noBreakHyphen/>
      <w:t>3310</w:t>
    </w:r>
    <w:r>
      <w:rPr>
        <w:rFonts w:ascii="Times New Roman" w:hAnsi="Times New Roman"/>
      </w:rPr>
      <w:noBreakHyphen/>
      <w:t>F &amp; CMS</w:t>
    </w:r>
    <w:r>
      <w:rPr>
        <w:rFonts w:ascii="Times New Roman" w:hAnsi="Times New Roman"/>
      </w:rPr>
      <w:noBreakHyphen/>
      <w:t>3311</w:t>
    </w:r>
    <w:r>
      <w:rPr>
        <w:rFonts w:ascii="Times New Roman" w:hAnsi="Times New Roman"/>
      </w:rPr>
      <w:noBreakHyphen/>
      <w:t>F</w:t>
    </w:r>
  </w:p>
  <w:p w:rsidR="00044672" w:rsidRPr="002565FC" w14:paraId="5E1AB5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13F34"/>
    <w:multiLevelType w:val="hybridMultilevel"/>
    <w:tmpl w:val="D724F940"/>
    <w:lvl w:ilvl="0">
      <w:start w:val="1"/>
      <w:numFmt w:val="decimal"/>
      <w:lvlText w:val="%1."/>
      <w:lvlJc w:val="left"/>
      <w:pPr>
        <w:ind w:left="720" w:hanging="360"/>
      </w:pPr>
      <w:rPr>
        <w:rFonts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A73798"/>
    <w:multiLevelType w:val="hybridMultilevel"/>
    <w:tmpl w:val="2FAE9290"/>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D315FC"/>
    <w:multiLevelType w:val="hybridMultilevel"/>
    <w:tmpl w:val="136A391E"/>
    <w:lvl w:ilvl="0">
      <w:start w:val="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6B23CC"/>
    <w:multiLevelType w:val="hybridMultilevel"/>
    <w:tmpl w:val="E9F4F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A07826"/>
    <w:multiLevelType w:val="hybridMultilevel"/>
    <w:tmpl w:val="11A42640"/>
    <w:lvl w:ilvl="0">
      <w:start w:val="1"/>
      <w:numFmt w:val="lowerLetter"/>
      <w:lvlText w:val="(%1)"/>
      <w:lvlJc w:val="left"/>
      <w:pPr>
        <w:ind w:left="1080" w:hanging="360"/>
      </w:pPr>
      <w:rPr>
        <w:rFonts w:hint="default"/>
        <w:b/>
        <w:bCs w:val="0"/>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A723534"/>
    <w:multiLevelType w:val="hybridMultilevel"/>
    <w:tmpl w:val="EB966F6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4C31FB"/>
    <w:multiLevelType w:val="hybridMultilevel"/>
    <w:tmpl w:val="EC5E6FAC"/>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0A3FA5"/>
    <w:multiLevelType w:val="hybridMultilevel"/>
    <w:tmpl w:val="3314FC6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DD4648D"/>
    <w:multiLevelType w:val="hybridMultilevel"/>
    <w:tmpl w:val="CBEEEC30"/>
    <w:lvl w:ilvl="0">
      <w:start w:val="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C33469"/>
    <w:multiLevelType w:val="hybridMultilevel"/>
    <w:tmpl w:val="5614C6E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2F06727"/>
    <w:multiLevelType w:val="hybridMultilevel"/>
    <w:tmpl w:val="B51EE55E"/>
    <w:lvl w:ilvl="0">
      <w:start w:val="1"/>
      <w:numFmt w:val="lowerLetter"/>
      <w:lvlText w:val="(%1)"/>
      <w:lvlJc w:val="left"/>
      <w:pPr>
        <w:ind w:left="1800" w:hanging="360"/>
      </w:pPr>
      <w:rPr>
        <w:rFonts w:hint="default"/>
        <w:b/>
        <w:bCs/>
        <w:i w:val="0"/>
        <w:i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6C1D728F"/>
    <w:multiLevelType w:val="hybridMultilevel"/>
    <w:tmpl w:val="3F284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936A9B"/>
    <w:multiLevelType w:val="hybridMultilevel"/>
    <w:tmpl w:val="DA8E1FDC"/>
    <w:lvl w:ilvl="0">
      <w:start w:val="1"/>
      <w:numFmt w:val="upperLetter"/>
      <w:lvlText w:val="%1."/>
      <w:lvlJc w:val="left"/>
      <w:pPr>
        <w:ind w:left="820" w:hanging="720"/>
      </w:pPr>
      <w:rPr>
        <w:rFonts w:ascii="Times New Roman" w:eastAsia="Times New Roman" w:hAnsi="Times New Roman" w:hint="default"/>
        <w:b/>
        <w:bCs/>
        <w:spacing w:val="-1"/>
        <w:w w:val="100"/>
        <w:sz w:val="24"/>
        <w:szCs w:val="24"/>
      </w:rPr>
    </w:lvl>
    <w:lvl w:ilvl="1">
      <w:start w:val="4"/>
      <w:numFmt w:val="decimal"/>
      <w:lvlText w:val="%2."/>
      <w:lvlJc w:val="left"/>
      <w:pPr>
        <w:ind w:left="820" w:hanging="360"/>
      </w:pPr>
      <w:rPr>
        <w:rFonts w:hint="default"/>
        <w:b/>
        <w:bCs/>
      </w:rPr>
    </w:lvl>
    <w:lvl w:ilvl="2">
      <w:start w:val="1"/>
      <w:numFmt w:val="bullet"/>
      <w:lvlText w:val="•"/>
      <w:lvlJc w:val="left"/>
      <w:pPr>
        <w:ind w:left="2033" w:hanging="720"/>
      </w:pPr>
      <w:rPr>
        <w:rFonts w:hint="default"/>
      </w:rPr>
    </w:lvl>
    <w:lvl w:ilvl="3">
      <w:start w:val="1"/>
      <w:numFmt w:val="bullet"/>
      <w:lvlText w:val="•"/>
      <w:lvlJc w:val="left"/>
      <w:pPr>
        <w:ind w:left="288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593" w:hanging="720"/>
      </w:pPr>
      <w:rPr>
        <w:rFonts w:hint="default"/>
      </w:rPr>
    </w:lvl>
    <w:lvl w:ilvl="6">
      <w:start w:val="1"/>
      <w:numFmt w:val="bullet"/>
      <w:lvlText w:val="•"/>
      <w:lvlJc w:val="left"/>
      <w:pPr>
        <w:ind w:left="5446" w:hanging="720"/>
      </w:pPr>
      <w:rPr>
        <w:rFonts w:hint="default"/>
      </w:rPr>
    </w:lvl>
    <w:lvl w:ilvl="7">
      <w:start w:val="1"/>
      <w:numFmt w:val="bullet"/>
      <w:lvlText w:val="•"/>
      <w:lvlJc w:val="left"/>
      <w:pPr>
        <w:ind w:left="6300" w:hanging="720"/>
      </w:pPr>
      <w:rPr>
        <w:rFonts w:hint="default"/>
      </w:rPr>
    </w:lvl>
    <w:lvl w:ilvl="8">
      <w:start w:val="1"/>
      <w:numFmt w:val="bullet"/>
      <w:lvlText w:val="•"/>
      <w:lvlJc w:val="left"/>
      <w:pPr>
        <w:ind w:left="7153" w:hanging="720"/>
      </w:pPr>
      <w:rPr>
        <w:rFonts w:hint="default"/>
      </w:rPr>
    </w:lvl>
  </w:abstractNum>
  <w:num w:numId="1" w16cid:durableId="379935531">
    <w:abstractNumId w:val="12"/>
  </w:num>
  <w:num w:numId="2" w16cid:durableId="1827087702">
    <w:abstractNumId w:val="4"/>
  </w:num>
  <w:num w:numId="3" w16cid:durableId="1628856264">
    <w:abstractNumId w:val="3"/>
  </w:num>
  <w:num w:numId="4" w16cid:durableId="633220121">
    <w:abstractNumId w:val="11"/>
  </w:num>
  <w:num w:numId="5" w16cid:durableId="1353073526">
    <w:abstractNumId w:val="6"/>
  </w:num>
  <w:num w:numId="6" w16cid:durableId="217784981">
    <w:abstractNumId w:val="9"/>
  </w:num>
  <w:num w:numId="7" w16cid:durableId="1238905133">
    <w:abstractNumId w:val="7"/>
  </w:num>
  <w:num w:numId="8" w16cid:durableId="1516075668">
    <w:abstractNumId w:val="10"/>
  </w:num>
  <w:num w:numId="9" w16cid:durableId="1426413315">
    <w:abstractNumId w:val="8"/>
  </w:num>
  <w:num w:numId="10" w16cid:durableId="1408577697">
    <w:abstractNumId w:val="0"/>
  </w:num>
  <w:num w:numId="11" w16cid:durableId="1228760944">
    <w:abstractNumId w:val="5"/>
  </w:num>
  <w:num w:numId="12" w16cid:durableId="270355467">
    <w:abstractNumId w:val="2"/>
  </w:num>
  <w:num w:numId="13" w16cid:durableId="152527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F1F"/>
    <w:rsid w:val="00000261"/>
    <w:rsid w:val="00000DEA"/>
    <w:rsid w:val="00003617"/>
    <w:rsid w:val="00005796"/>
    <w:rsid w:val="000057ED"/>
    <w:rsid w:val="00005B02"/>
    <w:rsid w:val="00011C4F"/>
    <w:rsid w:val="0001595E"/>
    <w:rsid w:val="0001797E"/>
    <w:rsid w:val="00021582"/>
    <w:rsid w:val="00025453"/>
    <w:rsid w:val="00030CE2"/>
    <w:rsid w:val="00032024"/>
    <w:rsid w:val="00033925"/>
    <w:rsid w:val="00040E32"/>
    <w:rsid w:val="00042B8A"/>
    <w:rsid w:val="00043F03"/>
    <w:rsid w:val="00044568"/>
    <w:rsid w:val="00044672"/>
    <w:rsid w:val="00047596"/>
    <w:rsid w:val="00047F8C"/>
    <w:rsid w:val="00050B32"/>
    <w:rsid w:val="00053B34"/>
    <w:rsid w:val="000546B3"/>
    <w:rsid w:val="000547F5"/>
    <w:rsid w:val="00055772"/>
    <w:rsid w:val="00060A36"/>
    <w:rsid w:val="00060FFB"/>
    <w:rsid w:val="0006242F"/>
    <w:rsid w:val="000651E8"/>
    <w:rsid w:val="000659E9"/>
    <w:rsid w:val="00066565"/>
    <w:rsid w:val="00070339"/>
    <w:rsid w:val="00071C73"/>
    <w:rsid w:val="0007503D"/>
    <w:rsid w:val="0007613A"/>
    <w:rsid w:val="0007716F"/>
    <w:rsid w:val="00085E17"/>
    <w:rsid w:val="00090B1A"/>
    <w:rsid w:val="000916D9"/>
    <w:rsid w:val="00091F29"/>
    <w:rsid w:val="0009403E"/>
    <w:rsid w:val="000961DF"/>
    <w:rsid w:val="00096452"/>
    <w:rsid w:val="000A0130"/>
    <w:rsid w:val="000A4AA2"/>
    <w:rsid w:val="000A5295"/>
    <w:rsid w:val="000B0046"/>
    <w:rsid w:val="000B2856"/>
    <w:rsid w:val="000B3D8A"/>
    <w:rsid w:val="000B4A15"/>
    <w:rsid w:val="000B62A2"/>
    <w:rsid w:val="000B7DC1"/>
    <w:rsid w:val="000C10DD"/>
    <w:rsid w:val="000C1FB6"/>
    <w:rsid w:val="000C2825"/>
    <w:rsid w:val="000C2FE8"/>
    <w:rsid w:val="000C335B"/>
    <w:rsid w:val="000C7F39"/>
    <w:rsid w:val="000D20F6"/>
    <w:rsid w:val="000D39D4"/>
    <w:rsid w:val="000D3D60"/>
    <w:rsid w:val="000D4165"/>
    <w:rsid w:val="000E0187"/>
    <w:rsid w:val="000E0389"/>
    <w:rsid w:val="000E0973"/>
    <w:rsid w:val="000E1972"/>
    <w:rsid w:val="000E1AED"/>
    <w:rsid w:val="000E3C98"/>
    <w:rsid w:val="000E3DCF"/>
    <w:rsid w:val="000E4E0F"/>
    <w:rsid w:val="000E5511"/>
    <w:rsid w:val="000F5568"/>
    <w:rsid w:val="000F5572"/>
    <w:rsid w:val="000F673B"/>
    <w:rsid w:val="000F7E1C"/>
    <w:rsid w:val="000F7FB5"/>
    <w:rsid w:val="00100E7E"/>
    <w:rsid w:val="00101F46"/>
    <w:rsid w:val="0010339A"/>
    <w:rsid w:val="00103AA8"/>
    <w:rsid w:val="001061AA"/>
    <w:rsid w:val="00107BC3"/>
    <w:rsid w:val="001122E7"/>
    <w:rsid w:val="00112B1C"/>
    <w:rsid w:val="0011741B"/>
    <w:rsid w:val="0012561F"/>
    <w:rsid w:val="00125F72"/>
    <w:rsid w:val="00126F4B"/>
    <w:rsid w:val="00137A3E"/>
    <w:rsid w:val="001410B7"/>
    <w:rsid w:val="001417F8"/>
    <w:rsid w:val="00141AF9"/>
    <w:rsid w:val="00143721"/>
    <w:rsid w:val="00143C37"/>
    <w:rsid w:val="001452DD"/>
    <w:rsid w:val="00147A71"/>
    <w:rsid w:val="001517B7"/>
    <w:rsid w:val="0015332F"/>
    <w:rsid w:val="00153C23"/>
    <w:rsid w:val="001561F1"/>
    <w:rsid w:val="001644CE"/>
    <w:rsid w:val="00164C26"/>
    <w:rsid w:val="001726E1"/>
    <w:rsid w:val="00173C2C"/>
    <w:rsid w:val="00173D7F"/>
    <w:rsid w:val="00183125"/>
    <w:rsid w:val="001832E1"/>
    <w:rsid w:val="0018370F"/>
    <w:rsid w:val="00184CEE"/>
    <w:rsid w:val="00193546"/>
    <w:rsid w:val="00196358"/>
    <w:rsid w:val="00197767"/>
    <w:rsid w:val="001A066E"/>
    <w:rsid w:val="001A1EB2"/>
    <w:rsid w:val="001A2A34"/>
    <w:rsid w:val="001A2ABC"/>
    <w:rsid w:val="001A33E3"/>
    <w:rsid w:val="001A3A15"/>
    <w:rsid w:val="001A6FB2"/>
    <w:rsid w:val="001B1F97"/>
    <w:rsid w:val="001B2327"/>
    <w:rsid w:val="001B3E1D"/>
    <w:rsid w:val="001C0997"/>
    <w:rsid w:val="001C0C5F"/>
    <w:rsid w:val="001C1F74"/>
    <w:rsid w:val="001C1FD6"/>
    <w:rsid w:val="001C2587"/>
    <w:rsid w:val="001C420B"/>
    <w:rsid w:val="001C55A8"/>
    <w:rsid w:val="001C6181"/>
    <w:rsid w:val="001C75DA"/>
    <w:rsid w:val="001C78FB"/>
    <w:rsid w:val="001D0E98"/>
    <w:rsid w:val="001D2EB0"/>
    <w:rsid w:val="001D4518"/>
    <w:rsid w:val="001D4CBC"/>
    <w:rsid w:val="001D59D7"/>
    <w:rsid w:val="001D5F71"/>
    <w:rsid w:val="001E265C"/>
    <w:rsid w:val="001E50B2"/>
    <w:rsid w:val="001E5F10"/>
    <w:rsid w:val="001F0434"/>
    <w:rsid w:val="001F0ACA"/>
    <w:rsid w:val="001F1B36"/>
    <w:rsid w:val="001F62A0"/>
    <w:rsid w:val="001F670B"/>
    <w:rsid w:val="00202F54"/>
    <w:rsid w:val="00204026"/>
    <w:rsid w:val="00206456"/>
    <w:rsid w:val="00207136"/>
    <w:rsid w:val="00214CDE"/>
    <w:rsid w:val="00217141"/>
    <w:rsid w:val="00217D9C"/>
    <w:rsid w:val="0022058F"/>
    <w:rsid w:val="00222B3B"/>
    <w:rsid w:val="002251E0"/>
    <w:rsid w:val="0022626E"/>
    <w:rsid w:val="00226274"/>
    <w:rsid w:val="00227B2F"/>
    <w:rsid w:val="002404FE"/>
    <w:rsid w:val="00241DC8"/>
    <w:rsid w:val="00244A67"/>
    <w:rsid w:val="002514A0"/>
    <w:rsid w:val="002561F9"/>
    <w:rsid w:val="002565FC"/>
    <w:rsid w:val="002576D6"/>
    <w:rsid w:val="00263D38"/>
    <w:rsid w:val="00264D41"/>
    <w:rsid w:val="0026516B"/>
    <w:rsid w:val="002658C9"/>
    <w:rsid w:val="002667E6"/>
    <w:rsid w:val="00266FA5"/>
    <w:rsid w:val="00270F50"/>
    <w:rsid w:val="00273464"/>
    <w:rsid w:val="0027460C"/>
    <w:rsid w:val="00287C90"/>
    <w:rsid w:val="00292213"/>
    <w:rsid w:val="00293111"/>
    <w:rsid w:val="00296031"/>
    <w:rsid w:val="0029725B"/>
    <w:rsid w:val="002A4C46"/>
    <w:rsid w:val="002B3A6A"/>
    <w:rsid w:val="002B5787"/>
    <w:rsid w:val="002B5C97"/>
    <w:rsid w:val="002C033D"/>
    <w:rsid w:val="002C038E"/>
    <w:rsid w:val="002C3EAD"/>
    <w:rsid w:val="002C5F04"/>
    <w:rsid w:val="002D3425"/>
    <w:rsid w:val="002D6BC1"/>
    <w:rsid w:val="002D7AD0"/>
    <w:rsid w:val="002E1B43"/>
    <w:rsid w:val="002E270D"/>
    <w:rsid w:val="002E3AD5"/>
    <w:rsid w:val="002E3BDB"/>
    <w:rsid w:val="002E6AA9"/>
    <w:rsid w:val="002E7651"/>
    <w:rsid w:val="002E77A8"/>
    <w:rsid w:val="002E7F97"/>
    <w:rsid w:val="002F2FD1"/>
    <w:rsid w:val="002F4952"/>
    <w:rsid w:val="002F6743"/>
    <w:rsid w:val="002F75F4"/>
    <w:rsid w:val="0030024D"/>
    <w:rsid w:val="00300D3F"/>
    <w:rsid w:val="00301EC5"/>
    <w:rsid w:val="00303D5A"/>
    <w:rsid w:val="00307336"/>
    <w:rsid w:val="00311B79"/>
    <w:rsid w:val="0031399A"/>
    <w:rsid w:val="00320A3D"/>
    <w:rsid w:val="00323490"/>
    <w:rsid w:val="0032458F"/>
    <w:rsid w:val="003250CE"/>
    <w:rsid w:val="00326B0A"/>
    <w:rsid w:val="0032774C"/>
    <w:rsid w:val="00330D66"/>
    <w:rsid w:val="003339D9"/>
    <w:rsid w:val="00334165"/>
    <w:rsid w:val="003346C5"/>
    <w:rsid w:val="0033634C"/>
    <w:rsid w:val="00340DF9"/>
    <w:rsid w:val="0034247A"/>
    <w:rsid w:val="003427CE"/>
    <w:rsid w:val="003429AB"/>
    <w:rsid w:val="00343AEE"/>
    <w:rsid w:val="00343E3D"/>
    <w:rsid w:val="00345EA7"/>
    <w:rsid w:val="00350D36"/>
    <w:rsid w:val="00350E48"/>
    <w:rsid w:val="0035350F"/>
    <w:rsid w:val="00353E7A"/>
    <w:rsid w:val="003544FC"/>
    <w:rsid w:val="003562EC"/>
    <w:rsid w:val="00356B24"/>
    <w:rsid w:val="003609E2"/>
    <w:rsid w:val="0036150F"/>
    <w:rsid w:val="0036215F"/>
    <w:rsid w:val="00362794"/>
    <w:rsid w:val="00362C5C"/>
    <w:rsid w:val="00363505"/>
    <w:rsid w:val="00370984"/>
    <w:rsid w:val="003719EA"/>
    <w:rsid w:val="0037226B"/>
    <w:rsid w:val="00372D8F"/>
    <w:rsid w:val="00373905"/>
    <w:rsid w:val="00374D7B"/>
    <w:rsid w:val="0037530D"/>
    <w:rsid w:val="00375760"/>
    <w:rsid w:val="00376731"/>
    <w:rsid w:val="003776DB"/>
    <w:rsid w:val="00382B5B"/>
    <w:rsid w:val="00382F0D"/>
    <w:rsid w:val="003830DC"/>
    <w:rsid w:val="003852B1"/>
    <w:rsid w:val="003854CC"/>
    <w:rsid w:val="00392C80"/>
    <w:rsid w:val="0039696F"/>
    <w:rsid w:val="00397AED"/>
    <w:rsid w:val="003A077C"/>
    <w:rsid w:val="003A0858"/>
    <w:rsid w:val="003A104D"/>
    <w:rsid w:val="003A2C66"/>
    <w:rsid w:val="003A2F3D"/>
    <w:rsid w:val="003A3A07"/>
    <w:rsid w:val="003A5BA5"/>
    <w:rsid w:val="003B18D3"/>
    <w:rsid w:val="003B34AC"/>
    <w:rsid w:val="003B389D"/>
    <w:rsid w:val="003B6C7F"/>
    <w:rsid w:val="003C0597"/>
    <w:rsid w:val="003C09FB"/>
    <w:rsid w:val="003C112E"/>
    <w:rsid w:val="003C18F7"/>
    <w:rsid w:val="003C19BF"/>
    <w:rsid w:val="003C3148"/>
    <w:rsid w:val="003C61AB"/>
    <w:rsid w:val="003C7089"/>
    <w:rsid w:val="003D1C28"/>
    <w:rsid w:val="003D43C5"/>
    <w:rsid w:val="003D59D1"/>
    <w:rsid w:val="003D6AB5"/>
    <w:rsid w:val="003E00ED"/>
    <w:rsid w:val="003E1BDA"/>
    <w:rsid w:val="003E4133"/>
    <w:rsid w:val="003E4E58"/>
    <w:rsid w:val="003E647A"/>
    <w:rsid w:val="003E6AC2"/>
    <w:rsid w:val="003E7B85"/>
    <w:rsid w:val="003F0BB0"/>
    <w:rsid w:val="003F3167"/>
    <w:rsid w:val="003F5897"/>
    <w:rsid w:val="00400A6F"/>
    <w:rsid w:val="00400B0F"/>
    <w:rsid w:val="004057C0"/>
    <w:rsid w:val="00410B1F"/>
    <w:rsid w:val="00410B51"/>
    <w:rsid w:val="004154DB"/>
    <w:rsid w:val="0041743D"/>
    <w:rsid w:val="0042125B"/>
    <w:rsid w:val="00421481"/>
    <w:rsid w:val="004222BC"/>
    <w:rsid w:val="00425DEC"/>
    <w:rsid w:val="00427614"/>
    <w:rsid w:val="00427896"/>
    <w:rsid w:val="00427916"/>
    <w:rsid w:val="0043333B"/>
    <w:rsid w:val="004340F4"/>
    <w:rsid w:val="0043480F"/>
    <w:rsid w:val="00434ED8"/>
    <w:rsid w:val="004367A4"/>
    <w:rsid w:val="00436E20"/>
    <w:rsid w:val="00437B49"/>
    <w:rsid w:val="00442E51"/>
    <w:rsid w:val="00443BE9"/>
    <w:rsid w:val="00444B38"/>
    <w:rsid w:val="004452DD"/>
    <w:rsid w:val="00450BE7"/>
    <w:rsid w:val="00450C36"/>
    <w:rsid w:val="00451AA4"/>
    <w:rsid w:val="00454B0E"/>
    <w:rsid w:val="00456059"/>
    <w:rsid w:val="004610C3"/>
    <w:rsid w:val="00467B82"/>
    <w:rsid w:val="004703F9"/>
    <w:rsid w:val="00471950"/>
    <w:rsid w:val="0047313B"/>
    <w:rsid w:val="00473502"/>
    <w:rsid w:val="00473ECD"/>
    <w:rsid w:val="00475BB2"/>
    <w:rsid w:val="00477B63"/>
    <w:rsid w:val="0048340E"/>
    <w:rsid w:val="0048406A"/>
    <w:rsid w:val="00492459"/>
    <w:rsid w:val="004946D4"/>
    <w:rsid w:val="0049532A"/>
    <w:rsid w:val="0049595C"/>
    <w:rsid w:val="00496A66"/>
    <w:rsid w:val="00497E80"/>
    <w:rsid w:val="004A3322"/>
    <w:rsid w:val="004A57E8"/>
    <w:rsid w:val="004A65CF"/>
    <w:rsid w:val="004A6FB3"/>
    <w:rsid w:val="004A7323"/>
    <w:rsid w:val="004B0942"/>
    <w:rsid w:val="004B105E"/>
    <w:rsid w:val="004B459B"/>
    <w:rsid w:val="004B4805"/>
    <w:rsid w:val="004C179B"/>
    <w:rsid w:val="004C28DC"/>
    <w:rsid w:val="004C5BBE"/>
    <w:rsid w:val="004C607C"/>
    <w:rsid w:val="004D1E3B"/>
    <w:rsid w:val="004D3486"/>
    <w:rsid w:val="004D37C1"/>
    <w:rsid w:val="004D4333"/>
    <w:rsid w:val="004E03DA"/>
    <w:rsid w:val="004E04C0"/>
    <w:rsid w:val="004E2EF7"/>
    <w:rsid w:val="004E5FDD"/>
    <w:rsid w:val="004E6169"/>
    <w:rsid w:val="004F0387"/>
    <w:rsid w:val="004F11A1"/>
    <w:rsid w:val="004F2061"/>
    <w:rsid w:val="004F4E9C"/>
    <w:rsid w:val="004F5D0C"/>
    <w:rsid w:val="004F5F47"/>
    <w:rsid w:val="00501E0E"/>
    <w:rsid w:val="005039B5"/>
    <w:rsid w:val="005048CD"/>
    <w:rsid w:val="005071B6"/>
    <w:rsid w:val="005105EF"/>
    <w:rsid w:val="005134AC"/>
    <w:rsid w:val="005153DA"/>
    <w:rsid w:val="00522E46"/>
    <w:rsid w:val="00522E69"/>
    <w:rsid w:val="00527FB4"/>
    <w:rsid w:val="00530CB5"/>
    <w:rsid w:val="0053330B"/>
    <w:rsid w:val="005346F8"/>
    <w:rsid w:val="0054066B"/>
    <w:rsid w:val="005414A9"/>
    <w:rsid w:val="00541973"/>
    <w:rsid w:val="005471D6"/>
    <w:rsid w:val="005477EA"/>
    <w:rsid w:val="00552770"/>
    <w:rsid w:val="00554043"/>
    <w:rsid w:val="00556005"/>
    <w:rsid w:val="00556959"/>
    <w:rsid w:val="00556A9B"/>
    <w:rsid w:val="00565240"/>
    <w:rsid w:val="005675CC"/>
    <w:rsid w:val="00571C9D"/>
    <w:rsid w:val="00572264"/>
    <w:rsid w:val="005729AF"/>
    <w:rsid w:val="00575337"/>
    <w:rsid w:val="00577B7F"/>
    <w:rsid w:val="00580571"/>
    <w:rsid w:val="00583BCC"/>
    <w:rsid w:val="00583D02"/>
    <w:rsid w:val="0058406E"/>
    <w:rsid w:val="00586462"/>
    <w:rsid w:val="00586D10"/>
    <w:rsid w:val="00587927"/>
    <w:rsid w:val="00595402"/>
    <w:rsid w:val="005A3215"/>
    <w:rsid w:val="005A62A4"/>
    <w:rsid w:val="005A6755"/>
    <w:rsid w:val="005A740D"/>
    <w:rsid w:val="005B0267"/>
    <w:rsid w:val="005B0DA4"/>
    <w:rsid w:val="005B1FB3"/>
    <w:rsid w:val="005B305C"/>
    <w:rsid w:val="005B40E2"/>
    <w:rsid w:val="005B4A00"/>
    <w:rsid w:val="005C0C54"/>
    <w:rsid w:val="005C1C5C"/>
    <w:rsid w:val="005C3248"/>
    <w:rsid w:val="005C7A53"/>
    <w:rsid w:val="005D0594"/>
    <w:rsid w:val="005D0A8E"/>
    <w:rsid w:val="005D4DBD"/>
    <w:rsid w:val="005D62E3"/>
    <w:rsid w:val="005D645B"/>
    <w:rsid w:val="005E2AA4"/>
    <w:rsid w:val="005E3697"/>
    <w:rsid w:val="005E736B"/>
    <w:rsid w:val="005E7842"/>
    <w:rsid w:val="005F0336"/>
    <w:rsid w:val="005F299F"/>
    <w:rsid w:val="005F3A61"/>
    <w:rsid w:val="00601566"/>
    <w:rsid w:val="00602714"/>
    <w:rsid w:val="00604B94"/>
    <w:rsid w:val="006060F3"/>
    <w:rsid w:val="00610DFA"/>
    <w:rsid w:val="00613BCF"/>
    <w:rsid w:val="006160C2"/>
    <w:rsid w:val="006212E6"/>
    <w:rsid w:val="00623012"/>
    <w:rsid w:val="0062492C"/>
    <w:rsid w:val="006254AB"/>
    <w:rsid w:val="006268E7"/>
    <w:rsid w:val="00627F1A"/>
    <w:rsid w:val="0063018A"/>
    <w:rsid w:val="00631F91"/>
    <w:rsid w:val="0063200B"/>
    <w:rsid w:val="00634F62"/>
    <w:rsid w:val="006408B8"/>
    <w:rsid w:val="00640A26"/>
    <w:rsid w:val="00642231"/>
    <w:rsid w:val="006426D7"/>
    <w:rsid w:val="00642F3E"/>
    <w:rsid w:val="00644086"/>
    <w:rsid w:val="00652B4E"/>
    <w:rsid w:val="00655911"/>
    <w:rsid w:val="0066116C"/>
    <w:rsid w:val="006641FB"/>
    <w:rsid w:val="0066466D"/>
    <w:rsid w:val="006666BB"/>
    <w:rsid w:val="006701DE"/>
    <w:rsid w:val="00670A16"/>
    <w:rsid w:val="0067289A"/>
    <w:rsid w:val="00672E7A"/>
    <w:rsid w:val="006740FC"/>
    <w:rsid w:val="00677A39"/>
    <w:rsid w:val="006853B9"/>
    <w:rsid w:val="00685882"/>
    <w:rsid w:val="0068665E"/>
    <w:rsid w:val="00694A2F"/>
    <w:rsid w:val="00694CC3"/>
    <w:rsid w:val="0069508E"/>
    <w:rsid w:val="00696D8D"/>
    <w:rsid w:val="006A05DD"/>
    <w:rsid w:val="006A15B5"/>
    <w:rsid w:val="006A22F7"/>
    <w:rsid w:val="006A24AD"/>
    <w:rsid w:val="006A5E71"/>
    <w:rsid w:val="006B2A52"/>
    <w:rsid w:val="006B55FD"/>
    <w:rsid w:val="006B5603"/>
    <w:rsid w:val="006C06D7"/>
    <w:rsid w:val="006C1391"/>
    <w:rsid w:val="006C2783"/>
    <w:rsid w:val="006C2F8C"/>
    <w:rsid w:val="006C3F22"/>
    <w:rsid w:val="006C4C0D"/>
    <w:rsid w:val="006C66F3"/>
    <w:rsid w:val="006C68D2"/>
    <w:rsid w:val="006C7483"/>
    <w:rsid w:val="006D448B"/>
    <w:rsid w:val="006D7620"/>
    <w:rsid w:val="006D767E"/>
    <w:rsid w:val="006E0A29"/>
    <w:rsid w:val="006E0F08"/>
    <w:rsid w:val="006E2408"/>
    <w:rsid w:val="006E59FD"/>
    <w:rsid w:val="006E6750"/>
    <w:rsid w:val="006F0F78"/>
    <w:rsid w:val="006F206B"/>
    <w:rsid w:val="006F7FB9"/>
    <w:rsid w:val="0070070B"/>
    <w:rsid w:val="00705BB6"/>
    <w:rsid w:val="0070767E"/>
    <w:rsid w:val="0071624F"/>
    <w:rsid w:val="0071629C"/>
    <w:rsid w:val="00716E2D"/>
    <w:rsid w:val="00721554"/>
    <w:rsid w:val="00723D67"/>
    <w:rsid w:val="00726837"/>
    <w:rsid w:val="007313C5"/>
    <w:rsid w:val="00734B9F"/>
    <w:rsid w:val="00737D27"/>
    <w:rsid w:val="00741F5D"/>
    <w:rsid w:val="0074247D"/>
    <w:rsid w:val="007436BE"/>
    <w:rsid w:val="00745EEB"/>
    <w:rsid w:val="007464BE"/>
    <w:rsid w:val="0074694C"/>
    <w:rsid w:val="00753C39"/>
    <w:rsid w:val="00755279"/>
    <w:rsid w:val="00756304"/>
    <w:rsid w:val="00756509"/>
    <w:rsid w:val="0076201B"/>
    <w:rsid w:val="007659EC"/>
    <w:rsid w:val="00765D8F"/>
    <w:rsid w:val="00767AD4"/>
    <w:rsid w:val="00775B0E"/>
    <w:rsid w:val="00777631"/>
    <w:rsid w:val="00777E3B"/>
    <w:rsid w:val="0078263C"/>
    <w:rsid w:val="00783771"/>
    <w:rsid w:val="0079039D"/>
    <w:rsid w:val="00792D0B"/>
    <w:rsid w:val="00796DA5"/>
    <w:rsid w:val="007A1FF2"/>
    <w:rsid w:val="007A34BE"/>
    <w:rsid w:val="007A3856"/>
    <w:rsid w:val="007A5678"/>
    <w:rsid w:val="007A5A76"/>
    <w:rsid w:val="007A718B"/>
    <w:rsid w:val="007B1D61"/>
    <w:rsid w:val="007B1FE2"/>
    <w:rsid w:val="007B7160"/>
    <w:rsid w:val="007C252F"/>
    <w:rsid w:val="007C29FD"/>
    <w:rsid w:val="007C3F7E"/>
    <w:rsid w:val="007D37C3"/>
    <w:rsid w:val="007D723A"/>
    <w:rsid w:val="007D7BE5"/>
    <w:rsid w:val="007E6CCF"/>
    <w:rsid w:val="007F3A49"/>
    <w:rsid w:val="007F4189"/>
    <w:rsid w:val="007F79B2"/>
    <w:rsid w:val="008065C2"/>
    <w:rsid w:val="00807F7D"/>
    <w:rsid w:val="00810381"/>
    <w:rsid w:val="00810845"/>
    <w:rsid w:val="00810F68"/>
    <w:rsid w:val="00812C5C"/>
    <w:rsid w:val="00814E30"/>
    <w:rsid w:val="00815708"/>
    <w:rsid w:val="00815D2B"/>
    <w:rsid w:val="00816FCC"/>
    <w:rsid w:val="0082039E"/>
    <w:rsid w:val="008222C5"/>
    <w:rsid w:val="00824F85"/>
    <w:rsid w:val="00825140"/>
    <w:rsid w:val="0082632C"/>
    <w:rsid w:val="00826A95"/>
    <w:rsid w:val="00832EBD"/>
    <w:rsid w:val="008363F9"/>
    <w:rsid w:val="008378B3"/>
    <w:rsid w:val="00840446"/>
    <w:rsid w:val="00841467"/>
    <w:rsid w:val="008467A2"/>
    <w:rsid w:val="00846F3B"/>
    <w:rsid w:val="00855037"/>
    <w:rsid w:val="0085525A"/>
    <w:rsid w:val="00856A0F"/>
    <w:rsid w:val="008660CA"/>
    <w:rsid w:val="00871F86"/>
    <w:rsid w:val="00874413"/>
    <w:rsid w:val="00874478"/>
    <w:rsid w:val="00880943"/>
    <w:rsid w:val="008858C5"/>
    <w:rsid w:val="00885C55"/>
    <w:rsid w:val="00891CBD"/>
    <w:rsid w:val="00891F1C"/>
    <w:rsid w:val="008927C8"/>
    <w:rsid w:val="008A1ED4"/>
    <w:rsid w:val="008A40F6"/>
    <w:rsid w:val="008A5407"/>
    <w:rsid w:val="008A6609"/>
    <w:rsid w:val="008B5098"/>
    <w:rsid w:val="008B6B92"/>
    <w:rsid w:val="008B74DD"/>
    <w:rsid w:val="008B755C"/>
    <w:rsid w:val="008B7B42"/>
    <w:rsid w:val="008C03B9"/>
    <w:rsid w:val="008C0758"/>
    <w:rsid w:val="008C293C"/>
    <w:rsid w:val="008D16DD"/>
    <w:rsid w:val="008D7F18"/>
    <w:rsid w:val="008E0291"/>
    <w:rsid w:val="008E1FF8"/>
    <w:rsid w:val="008E23AF"/>
    <w:rsid w:val="008E3BF6"/>
    <w:rsid w:val="008E6154"/>
    <w:rsid w:val="008E7F59"/>
    <w:rsid w:val="008F12D4"/>
    <w:rsid w:val="008F3348"/>
    <w:rsid w:val="008F55E4"/>
    <w:rsid w:val="008F7C30"/>
    <w:rsid w:val="009006CF"/>
    <w:rsid w:val="00901293"/>
    <w:rsid w:val="009014E6"/>
    <w:rsid w:val="009034FC"/>
    <w:rsid w:val="0090517A"/>
    <w:rsid w:val="009059B6"/>
    <w:rsid w:val="00906867"/>
    <w:rsid w:val="009108F3"/>
    <w:rsid w:val="00911E0E"/>
    <w:rsid w:val="00913023"/>
    <w:rsid w:val="009134B9"/>
    <w:rsid w:val="00913A5F"/>
    <w:rsid w:val="009164E3"/>
    <w:rsid w:val="0091681A"/>
    <w:rsid w:val="0092211E"/>
    <w:rsid w:val="0092230D"/>
    <w:rsid w:val="00931F06"/>
    <w:rsid w:val="0093510D"/>
    <w:rsid w:val="00935830"/>
    <w:rsid w:val="009372D4"/>
    <w:rsid w:val="00937F44"/>
    <w:rsid w:val="0094601D"/>
    <w:rsid w:val="009507BF"/>
    <w:rsid w:val="00952213"/>
    <w:rsid w:val="00963AE7"/>
    <w:rsid w:val="00964881"/>
    <w:rsid w:val="0096519C"/>
    <w:rsid w:val="009658BA"/>
    <w:rsid w:val="00971F7E"/>
    <w:rsid w:val="009770C6"/>
    <w:rsid w:val="009776A5"/>
    <w:rsid w:val="0098038A"/>
    <w:rsid w:val="00981748"/>
    <w:rsid w:val="00985D50"/>
    <w:rsid w:val="00992C43"/>
    <w:rsid w:val="009932C4"/>
    <w:rsid w:val="009948A1"/>
    <w:rsid w:val="0099642C"/>
    <w:rsid w:val="009A027C"/>
    <w:rsid w:val="009A402A"/>
    <w:rsid w:val="009A5BA6"/>
    <w:rsid w:val="009A5BB9"/>
    <w:rsid w:val="009A7C09"/>
    <w:rsid w:val="009B0F41"/>
    <w:rsid w:val="009B1F1F"/>
    <w:rsid w:val="009B457D"/>
    <w:rsid w:val="009B54EA"/>
    <w:rsid w:val="009B6F64"/>
    <w:rsid w:val="009B73B5"/>
    <w:rsid w:val="009C0E19"/>
    <w:rsid w:val="009C1A3A"/>
    <w:rsid w:val="009C2E92"/>
    <w:rsid w:val="009C6B70"/>
    <w:rsid w:val="009C7BA1"/>
    <w:rsid w:val="009D0131"/>
    <w:rsid w:val="009D65CD"/>
    <w:rsid w:val="009E2970"/>
    <w:rsid w:val="009E37AB"/>
    <w:rsid w:val="009E6D87"/>
    <w:rsid w:val="009F553C"/>
    <w:rsid w:val="009F5F13"/>
    <w:rsid w:val="00A02C77"/>
    <w:rsid w:val="00A03C67"/>
    <w:rsid w:val="00A05667"/>
    <w:rsid w:val="00A1092F"/>
    <w:rsid w:val="00A13A2B"/>
    <w:rsid w:val="00A15795"/>
    <w:rsid w:val="00A173D1"/>
    <w:rsid w:val="00A173EE"/>
    <w:rsid w:val="00A20243"/>
    <w:rsid w:val="00A21FDB"/>
    <w:rsid w:val="00A23E0B"/>
    <w:rsid w:val="00A24E7B"/>
    <w:rsid w:val="00A26CA5"/>
    <w:rsid w:val="00A31B2C"/>
    <w:rsid w:val="00A37A2C"/>
    <w:rsid w:val="00A37CFB"/>
    <w:rsid w:val="00A40512"/>
    <w:rsid w:val="00A415D4"/>
    <w:rsid w:val="00A41C27"/>
    <w:rsid w:val="00A42718"/>
    <w:rsid w:val="00A44C74"/>
    <w:rsid w:val="00A45AAB"/>
    <w:rsid w:val="00A46FCE"/>
    <w:rsid w:val="00A4793D"/>
    <w:rsid w:val="00A53DE2"/>
    <w:rsid w:val="00A551F3"/>
    <w:rsid w:val="00A55314"/>
    <w:rsid w:val="00A641B1"/>
    <w:rsid w:val="00A67215"/>
    <w:rsid w:val="00A71BBC"/>
    <w:rsid w:val="00A72393"/>
    <w:rsid w:val="00A7429B"/>
    <w:rsid w:val="00A75528"/>
    <w:rsid w:val="00A77183"/>
    <w:rsid w:val="00A80F77"/>
    <w:rsid w:val="00A84609"/>
    <w:rsid w:val="00A85D29"/>
    <w:rsid w:val="00A87390"/>
    <w:rsid w:val="00A94298"/>
    <w:rsid w:val="00A94996"/>
    <w:rsid w:val="00A95CCB"/>
    <w:rsid w:val="00A95E96"/>
    <w:rsid w:val="00AA22F9"/>
    <w:rsid w:val="00AA4DDB"/>
    <w:rsid w:val="00AA7CC3"/>
    <w:rsid w:val="00AB6AE8"/>
    <w:rsid w:val="00AC0CEA"/>
    <w:rsid w:val="00AC1245"/>
    <w:rsid w:val="00AC20AF"/>
    <w:rsid w:val="00AC45FE"/>
    <w:rsid w:val="00AC57D7"/>
    <w:rsid w:val="00AD18E1"/>
    <w:rsid w:val="00AD1F9C"/>
    <w:rsid w:val="00AE0831"/>
    <w:rsid w:val="00AE0867"/>
    <w:rsid w:val="00AE29CB"/>
    <w:rsid w:val="00AE37BE"/>
    <w:rsid w:val="00AE7CA9"/>
    <w:rsid w:val="00AF02C8"/>
    <w:rsid w:val="00AF0984"/>
    <w:rsid w:val="00B00214"/>
    <w:rsid w:val="00B003D7"/>
    <w:rsid w:val="00B01EF1"/>
    <w:rsid w:val="00B02537"/>
    <w:rsid w:val="00B02B61"/>
    <w:rsid w:val="00B04A0A"/>
    <w:rsid w:val="00B0623D"/>
    <w:rsid w:val="00B068B6"/>
    <w:rsid w:val="00B119AD"/>
    <w:rsid w:val="00B15EDF"/>
    <w:rsid w:val="00B22DA4"/>
    <w:rsid w:val="00B2476D"/>
    <w:rsid w:val="00B2576B"/>
    <w:rsid w:val="00B30377"/>
    <w:rsid w:val="00B322F2"/>
    <w:rsid w:val="00B32A24"/>
    <w:rsid w:val="00B33F85"/>
    <w:rsid w:val="00B37F23"/>
    <w:rsid w:val="00B469CF"/>
    <w:rsid w:val="00B47DE9"/>
    <w:rsid w:val="00B510FD"/>
    <w:rsid w:val="00B53EA2"/>
    <w:rsid w:val="00B56E6D"/>
    <w:rsid w:val="00B57D7E"/>
    <w:rsid w:val="00B61436"/>
    <w:rsid w:val="00B65A1B"/>
    <w:rsid w:val="00B66511"/>
    <w:rsid w:val="00B67373"/>
    <w:rsid w:val="00B67452"/>
    <w:rsid w:val="00B73B27"/>
    <w:rsid w:val="00B77684"/>
    <w:rsid w:val="00B835B9"/>
    <w:rsid w:val="00B865DF"/>
    <w:rsid w:val="00B91672"/>
    <w:rsid w:val="00B9274E"/>
    <w:rsid w:val="00B96662"/>
    <w:rsid w:val="00BA0B78"/>
    <w:rsid w:val="00BA50D8"/>
    <w:rsid w:val="00BB0910"/>
    <w:rsid w:val="00BB0C74"/>
    <w:rsid w:val="00BB1032"/>
    <w:rsid w:val="00BB25FC"/>
    <w:rsid w:val="00BB2EF2"/>
    <w:rsid w:val="00BB3394"/>
    <w:rsid w:val="00BB5EE9"/>
    <w:rsid w:val="00BC0B7A"/>
    <w:rsid w:val="00BC0EDE"/>
    <w:rsid w:val="00BC1CB9"/>
    <w:rsid w:val="00BC1D11"/>
    <w:rsid w:val="00BC2821"/>
    <w:rsid w:val="00BC3535"/>
    <w:rsid w:val="00BC52FC"/>
    <w:rsid w:val="00BC67C1"/>
    <w:rsid w:val="00BC70B4"/>
    <w:rsid w:val="00BC785A"/>
    <w:rsid w:val="00BC7CBA"/>
    <w:rsid w:val="00BD1CA7"/>
    <w:rsid w:val="00BD69B8"/>
    <w:rsid w:val="00BD7942"/>
    <w:rsid w:val="00BD795C"/>
    <w:rsid w:val="00BE0904"/>
    <w:rsid w:val="00BE0A15"/>
    <w:rsid w:val="00BE2A54"/>
    <w:rsid w:val="00BE67C8"/>
    <w:rsid w:val="00BE6C6C"/>
    <w:rsid w:val="00BF5B00"/>
    <w:rsid w:val="00C00244"/>
    <w:rsid w:val="00C00C90"/>
    <w:rsid w:val="00C02B07"/>
    <w:rsid w:val="00C02D4C"/>
    <w:rsid w:val="00C038D5"/>
    <w:rsid w:val="00C0610A"/>
    <w:rsid w:val="00C10279"/>
    <w:rsid w:val="00C12EAF"/>
    <w:rsid w:val="00C13F1B"/>
    <w:rsid w:val="00C14026"/>
    <w:rsid w:val="00C151E3"/>
    <w:rsid w:val="00C15601"/>
    <w:rsid w:val="00C157BA"/>
    <w:rsid w:val="00C17910"/>
    <w:rsid w:val="00C276F7"/>
    <w:rsid w:val="00C302DB"/>
    <w:rsid w:val="00C33FFB"/>
    <w:rsid w:val="00C34184"/>
    <w:rsid w:val="00C345CC"/>
    <w:rsid w:val="00C36B0D"/>
    <w:rsid w:val="00C404CA"/>
    <w:rsid w:val="00C43A5C"/>
    <w:rsid w:val="00C447F5"/>
    <w:rsid w:val="00C45557"/>
    <w:rsid w:val="00C52683"/>
    <w:rsid w:val="00C52E1F"/>
    <w:rsid w:val="00C53B28"/>
    <w:rsid w:val="00C558AD"/>
    <w:rsid w:val="00C562F1"/>
    <w:rsid w:val="00C57985"/>
    <w:rsid w:val="00C62521"/>
    <w:rsid w:val="00C64579"/>
    <w:rsid w:val="00C705CB"/>
    <w:rsid w:val="00C70933"/>
    <w:rsid w:val="00C70B06"/>
    <w:rsid w:val="00C70F97"/>
    <w:rsid w:val="00C73679"/>
    <w:rsid w:val="00C76EE2"/>
    <w:rsid w:val="00C8475E"/>
    <w:rsid w:val="00C875C6"/>
    <w:rsid w:val="00C913DE"/>
    <w:rsid w:val="00C92A5B"/>
    <w:rsid w:val="00C95B1A"/>
    <w:rsid w:val="00CA47D2"/>
    <w:rsid w:val="00CA6180"/>
    <w:rsid w:val="00CB658B"/>
    <w:rsid w:val="00CC0CC3"/>
    <w:rsid w:val="00CC2858"/>
    <w:rsid w:val="00CC5857"/>
    <w:rsid w:val="00CC5EA5"/>
    <w:rsid w:val="00CC64CD"/>
    <w:rsid w:val="00CC7877"/>
    <w:rsid w:val="00CD090A"/>
    <w:rsid w:val="00CD3AFB"/>
    <w:rsid w:val="00CD412B"/>
    <w:rsid w:val="00CD505C"/>
    <w:rsid w:val="00CE0340"/>
    <w:rsid w:val="00CE0529"/>
    <w:rsid w:val="00CE16BF"/>
    <w:rsid w:val="00CE2676"/>
    <w:rsid w:val="00CE4D11"/>
    <w:rsid w:val="00CE4D8E"/>
    <w:rsid w:val="00CE4DFD"/>
    <w:rsid w:val="00CE4E5E"/>
    <w:rsid w:val="00CE569B"/>
    <w:rsid w:val="00CE5DF9"/>
    <w:rsid w:val="00CE7988"/>
    <w:rsid w:val="00CF17BC"/>
    <w:rsid w:val="00CF24EB"/>
    <w:rsid w:val="00CF286E"/>
    <w:rsid w:val="00CF29C0"/>
    <w:rsid w:val="00CF3D3F"/>
    <w:rsid w:val="00CF5759"/>
    <w:rsid w:val="00D008DB"/>
    <w:rsid w:val="00D01B1C"/>
    <w:rsid w:val="00D11E5F"/>
    <w:rsid w:val="00D1214C"/>
    <w:rsid w:val="00D13097"/>
    <w:rsid w:val="00D13A07"/>
    <w:rsid w:val="00D1673A"/>
    <w:rsid w:val="00D20257"/>
    <w:rsid w:val="00D20B3B"/>
    <w:rsid w:val="00D2179C"/>
    <w:rsid w:val="00D22A3B"/>
    <w:rsid w:val="00D23363"/>
    <w:rsid w:val="00D2530A"/>
    <w:rsid w:val="00D25A02"/>
    <w:rsid w:val="00D319DA"/>
    <w:rsid w:val="00D31EF1"/>
    <w:rsid w:val="00D3350F"/>
    <w:rsid w:val="00D33DCC"/>
    <w:rsid w:val="00D35430"/>
    <w:rsid w:val="00D357E2"/>
    <w:rsid w:val="00D3704C"/>
    <w:rsid w:val="00D43B40"/>
    <w:rsid w:val="00D472E5"/>
    <w:rsid w:val="00D526EA"/>
    <w:rsid w:val="00D57405"/>
    <w:rsid w:val="00D601E0"/>
    <w:rsid w:val="00D60379"/>
    <w:rsid w:val="00D60BDE"/>
    <w:rsid w:val="00D61ED8"/>
    <w:rsid w:val="00D62C64"/>
    <w:rsid w:val="00D65003"/>
    <w:rsid w:val="00D7067A"/>
    <w:rsid w:val="00D723E5"/>
    <w:rsid w:val="00D732D7"/>
    <w:rsid w:val="00D737E1"/>
    <w:rsid w:val="00D73BEE"/>
    <w:rsid w:val="00D75609"/>
    <w:rsid w:val="00D81C14"/>
    <w:rsid w:val="00D84E26"/>
    <w:rsid w:val="00D90640"/>
    <w:rsid w:val="00D90CE4"/>
    <w:rsid w:val="00D92B1D"/>
    <w:rsid w:val="00D93D22"/>
    <w:rsid w:val="00D94F05"/>
    <w:rsid w:val="00D96E52"/>
    <w:rsid w:val="00D973F6"/>
    <w:rsid w:val="00D9772B"/>
    <w:rsid w:val="00DA0294"/>
    <w:rsid w:val="00DA0FCC"/>
    <w:rsid w:val="00DA32EF"/>
    <w:rsid w:val="00DA6596"/>
    <w:rsid w:val="00DA6B66"/>
    <w:rsid w:val="00DA6DB8"/>
    <w:rsid w:val="00DA7AF5"/>
    <w:rsid w:val="00DB43FF"/>
    <w:rsid w:val="00DB4FD3"/>
    <w:rsid w:val="00DB55DD"/>
    <w:rsid w:val="00DC324E"/>
    <w:rsid w:val="00DD0DB2"/>
    <w:rsid w:val="00DD1EAE"/>
    <w:rsid w:val="00DD2F38"/>
    <w:rsid w:val="00DD37D8"/>
    <w:rsid w:val="00DD4A20"/>
    <w:rsid w:val="00DD4D71"/>
    <w:rsid w:val="00DD611A"/>
    <w:rsid w:val="00DE555F"/>
    <w:rsid w:val="00DE5A73"/>
    <w:rsid w:val="00DE795C"/>
    <w:rsid w:val="00DF0B29"/>
    <w:rsid w:val="00E0439B"/>
    <w:rsid w:val="00E07A7F"/>
    <w:rsid w:val="00E10956"/>
    <w:rsid w:val="00E1204D"/>
    <w:rsid w:val="00E1253A"/>
    <w:rsid w:val="00E135F2"/>
    <w:rsid w:val="00E14DCB"/>
    <w:rsid w:val="00E22BDE"/>
    <w:rsid w:val="00E27960"/>
    <w:rsid w:val="00E301E6"/>
    <w:rsid w:val="00E302D9"/>
    <w:rsid w:val="00E31F39"/>
    <w:rsid w:val="00E37719"/>
    <w:rsid w:val="00E42390"/>
    <w:rsid w:val="00E453EC"/>
    <w:rsid w:val="00E45585"/>
    <w:rsid w:val="00E466F8"/>
    <w:rsid w:val="00E50AFA"/>
    <w:rsid w:val="00E50E83"/>
    <w:rsid w:val="00E5179E"/>
    <w:rsid w:val="00E51F8F"/>
    <w:rsid w:val="00E605B7"/>
    <w:rsid w:val="00E63BBE"/>
    <w:rsid w:val="00E65EB3"/>
    <w:rsid w:val="00E66ACB"/>
    <w:rsid w:val="00E66DC5"/>
    <w:rsid w:val="00E6791B"/>
    <w:rsid w:val="00E72613"/>
    <w:rsid w:val="00E754CF"/>
    <w:rsid w:val="00E768DB"/>
    <w:rsid w:val="00E80DCE"/>
    <w:rsid w:val="00E80DEA"/>
    <w:rsid w:val="00E81BA3"/>
    <w:rsid w:val="00E8346A"/>
    <w:rsid w:val="00E842AC"/>
    <w:rsid w:val="00E849A8"/>
    <w:rsid w:val="00E85CE6"/>
    <w:rsid w:val="00E86C7C"/>
    <w:rsid w:val="00E97721"/>
    <w:rsid w:val="00EA2C5C"/>
    <w:rsid w:val="00EA35F7"/>
    <w:rsid w:val="00EA4827"/>
    <w:rsid w:val="00EB025E"/>
    <w:rsid w:val="00EB10FC"/>
    <w:rsid w:val="00EB1D9D"/>
    <w:rsid w:val="00EB62C7"/>
    <w:rsid w:val="00EB762F"/>
    <w:rsid w:val="00EC1036"/>
    <w:rsid w:val="00EC130C"/>
    <w:rsid w:val="00ED11AE"/>
    <w:rsid w:val="00ED190D"/>
    <w:rsid w:val="00ED1AF0"/>
    <w:rsid w:val="00ED277D"/>
    <w:rsid w:val="00ED55A8"/>
    <w:rsid w:val="00EE05E5"/>
    <w:rsid w:val="00EE0ADD"/>
    <w:rsid w:val="00EE10FD"/>
    <w:rsid w:val="00EE1395"/>
    <w:rsid w:val="00EF0152"/>
    <w:rsid w:val="00EF0F33"/>
    <w:rsid w:val="00EF3BD4"/>
    <w:rsid w:val="00EF5C7D"/>
    <w:rsid w:val="00EF653C"/>
    <w:rsid w:val="00EF7877"/>
    <w:rsid w:val="00F01AB9"/>
    <w:rsid w:val="00F034C9"/>
    <w:rsid w:val="00F04B83"/>
    <w:rsid w:val="00F066AE"/>
    <w:rsid w:val="00F076D9"/>
    <w:rsid w:val="00F10946"/>
    <w:rsid w:val="00F12CA3"/>
    <w:rsid w:val="00F142D9"/>
    <w:rsid w:val="00F146BF"/>
    <w:rsid w:val="00F14EF1"/>
    <w:rsid w:val="00F207DA"/>
    <w:rsid w:val="00F215EF"/>
    <w:rsid w:val="00F25226"/>
    <w:rsid w:val="00F26112"/>
    <w:rsid w:val="00F26847"/>
    <w:rsid w:val="00F27D30"/>
    <w:rsid w:val="00F34884"/>
    <w:rsid w:val="00F35F97"/>
    <w:rsid w:val="00F36357"/>
    <w:rsid w:val="00F36D29"/>
    <w:rsid w:val="00F43D26"/>
    <w:rsid w:val="00F440BD"/>
    <w:rsid w:val="00F468A9"/>
    <w:rsid w:val="00F474F6"/>
    <w:rsid w:val="00F47E54"/>
    <w:rsid w:val="00F54912"/>
    <w:rsid w:val="00F5778D"/>
    <w:rsid w:val="00F61228"/>
    <w:rsid w:val="00F6268E"/>
    <w:rsid w:val="00F6354D"/>
    <w:rsid w:val="00F6506C"/>
    <w:rsid w:val="00F65252"/>
    <w:rsid w:val="00F67DEC"/>
    <w:rsid w:val="00F718C1"/>
    <w:rsid w:val="00F73BC5"/>
    <w:rsid w:val="00F76E9C"/>
    <w:rsid w:val="00F82361"/>
    <w:rsid w:val="00F823B4"/>
    <w:rsid w:val="00F85A0C"/>
    <w:rsid w:val="00F85B75"/>
    <w:rsid w:val="00F86E1B"/>
    <w:rsid w:val="00F91433"/>
    <w:rsid w:val="00F9331E"/>
    <w:rsid w:val="00F95C99"/>
    <w:rsid w:val="00FA0BD0"/>
    <w:rsid w:val="00FA1B97"/>
    <w:rsid w:val="00FA2E19"/>
    <w:rsid w:val="00FA31B5"/>
    <w:rsid w:val="00FA3B93"/>
    <w:rsid w:val="00FA4775"/>
    <w:rsid w:val="00FA4866"/>
    <w:rsid w:val="00FA6D51"/>
    <w:rsid w:val="00FA7F93"/>
    <w:rsid w:val="00FB4972"/>
    <w:rsid w:val="00FB65A3"/>
    <w:rsid w:val="00FC5859"/>
    <w:rsid w:val="00FC658E"/>
    <w:rsid w:val="00FC66EF"/>
    <w:rsid w:val="00FC7EA9"/>
    <w:rsid w:val="00FD095C"/>
    <w:rsid w:val="00FD0DA3"/>
    <w:rsid w:val="00FE0714"/>
    <w:rsid w:val="00FE5804"/>
    <w:rsid w:val="00FF0DA6"/>
    <w:rsid w:val="00FF1DE1"/>
    <w:rsid w:val="00FF2F0F"/>
    <w:rsid w:val="00FF59A9"/>
    <w:rsid w:val="00FF6103"/>
    <w:rsid w:val="00FF7EE3"/>
    <w:rsid w:val="0ED09818"/>
    <w:rsid w:val="31E34EC0"/>
    <w:rsid w:val="724C7BFB"/>
    <w:rsid w:val="78EC8848"/>
    <w:rsid w:val="7CA5C1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9FCFF"/>
  <w15:docId w15:val="{4666FDE7-4EFD-41CB-9D6D-5F280E23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Times New Roman" w:eastAsia="Times New Roman" w:hAnsi="Times New Roman"/>
      <w:sz w:val="24"/>
      <w:szCs w:val="24"/>
    </w:rPr>
  </w:style>
  <w:style w:type="paragraph" w:styleId="ListParagraph">
    <w:name w:val="List Paragraph"/>
    <w:basedOn w:val="Normal"/>
    <w:uiPriority w:val="72"/>
    <w:qFormat/>
  </w:style>
  <w:style w:type="paragraph" w:customStyle="1" w:styleId="TableParagraph">
    <w:name w:val="Table Paragraph"/>
    <w:basedOn w:val="Normal"/>
    <w:uiPriority w:val="1"/>
    <w:qFormat/>
  </w:style>
  <w:style w:type="character" w:styleId="CommentReference">
    <w:name w:val="annotation reference"/>
    <w:basedOn w:val="DefaultParagraphFont"/>
    <w:unhideWhenUsed/>
    <w:qFormat/>
    <w:rsid w:val="00196358"/>
    <w:rPr>
      <w:sz w:val="16"/>
      <w:szCs w:val="16"/>
    </w:rPr>
  </w:style>
  <w:style w:type="paragraph" w:styleId="CommentText">
    <w:name w:val="annotation text"/>
    <w:aliases w:val="Times New Roman,t"/>
    <w:basedOn w:val="Normal"/>
    <w:link w:val="CommentTextChar"/>
    <w:uiPriority w:val="99"/>
    <w:unhideWhenUsed/>
    <w:qFormat/>
    <w:rsid w:val="00196358"/>
    <w:rPr>
      <w:sz w:val="20"/>
      <w:szCs w:val="20"/>
    </w:rPr>
  </w:style>
  <w:style w:type="character" w:customStyle="1" w:styleId="CommentTextChar">
    <w:name w:val="Comment Text Char"/>
    <w:aliases w:val="Times New Roman Char,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5C3248"/>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5C3248"/>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5C3248"/>
    <w:rPr>
      <w:vertAlign w:val="superscript"/>
    </w:rPr>
  </w:style>
  <w:style w:type="table" w:styleId="TableGrid">
    <w:name w:val="Table Grid"/>
    <w:aliases w:val="Acumen,Table Grid-A"/>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B1A"/>
    <w:rPr>
      <w:sz w:val="20"/>
      <w:szCs w:val="20"/>
    </w:rPr>
  </w:style>
  <w:style w:type="character" w:customStyle="1" w:styleId="EndnoteTextChar">
    <w:name w:val="Endnote Text Char"/>
    <w:basedOn w:val="DefaultParagraphFont"/>
    <w:link w:val="EndnoteText"/>
    <w:uiPriority w:val="99"/>
    <w:semiHidden/>
    <w:rsid w:val="00C95B1A"/>
    <w:rPr>
      <w:sz w:val="20"/>
      <w:szCs w:val="20"/>
    </w:rPr>
  </w:style>
  <w:style w:type="character" w:styleId="EndnoteReference">
    <w:name w:val="endnote reference"/>
    <w:basedOn w:val="DefaultParagraphFont"/>
    <w:uiPriority w:val="99"/>
    <w:semiHidden/>
    <w:unhideWhenUsed/>
    <w:rsid w:val="00C95B1A"/>
    <w:rPr>
      <w:vertAlign w:val="superscript"/>
    </w:rPr>
  </w:style>
  <w:style w:type="paragraph" w:styleId="Revision">
    <w:name w:val="Revision"/>
    <w:hidden/>
    <w:uiPriority w:val="99"/>
    <w:semiHidden/>
    <w:rsid w:val="00217141"/>
    <w:pPr>
      <w:widowControl/>
    </w:pPr>
  </w:style>
  <w:style w:type="character" w:customStyle="1" w:styleId="Heading1Char">
    <w:name w:val="Heading 1 Char"/>
    <w:basedOn w:val="DefaultParagraphFont"/>
    <w:link w:val="Heading1"/>
    <w:uiPriority w:val="1"/>
    <w:rsid w:val="00CF17BC"/>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5C0C54"/>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06242F"/>
    <w:rPr>
      <w:color w:val="605E5C"/>
      <w:shd w:val="clear" w:color="auto" w:fill="E1DFDD"/>
    </w:rPr>
  </w:style>
  <w:style w:type="character" w:styleId="Mention">
    <w:name w:val="Mention"/>
    <w:basedOn w:val="DefaultParagraphFont"/>
    <w:uiPriority w:val="99"/>
    <w:unhideWhenUsed/>
    <w:rsid w:val="006426D7"/>
    <w:rPr>
      <w:color w:val="2B579A"/>
      <w:shd w:val="clear" w:color="auto" w:fill="E1DFDD"/>
    </w:rPr>
  </w:style>
  <w:style w:type="paragraph" w:customStyle="1" w:styleId="paragraph">
    <w:name w:val="paragraph"/>
    <w:basedOn w:val="Normal"/>
    <w:rsid w:val="00400A6F"/>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00A6F"/>
  </w:style>
  <w:style w:type="character" w:customStyle="1" w:styleId="eop">
    <w:name w:val="eop"/>
    <w:basedOn w:val="DefaultParagraphFont"/>
    <w:rsid w:val="00400A6F"/>
  </w:style>
  <w:style w:type="paragraph" w:customStyle="1" w:styleId="Default">
    <w:name w:val="Default"/>
    <w:rsid w:val="009A402A"/>
    <w:pPr>
      <w:widowControl/>
      <w:autoSpaceDE w:val="0"/>
      <w:autoSpaceDN w:val="0"/>
      <w:adjustRightInd w:val="0"/>
    </w:pPr>
    <w:rPr>
      <w:rFonts w:ascii="ODCFH C+ Helvetica" w:hAnsi="ODCFH C+ Helvetica" w:cs="ODCFH C+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msqualitysupport.servicenowservices.com/cms_hh" TargetMode="External" /><Relationship Id="rId11" Type="http://schemas.openxmlformats.org/officeDocument/2006/relationships/hyperlink" Target="http://www.cms.gov"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111/plaws/publ5/PLAW-111publ5.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www.bls.gov/oes/current/oes292072.htm" TargetMode="External" /><Relationship Id="rId3" Type="http://schemas.openxmlformats.org/officeDocument/2006/relationships/hyperlink" Target="https://www.ncbi.nlm.nih.gov/pmc/articles/PMC5051263/" TargetMode="External" /><Relationship Id="rId4" Type="http://schemas.openxmlformats.org/officeDocument/2006/relationships/hyperlink" Target="https://www.cdc.gov/drugresistance/solutions-initiative/stories/partnership-estimates-healthcare-cos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A4CCCF15A21428C89C816A783035C" ma:contentTypeVersion="11" ma:contentTypeDescription="Create a new document." ma:contentTypeScope="" ma:versionID="d33e311b7965eaddc0056e5ef23aa101">
  <xsd:schema xmlns:xsd="http://www.w3.org/2001/XMLSchema" xmlns:xs="http://www.w3.org/2001/XMLSchema" xmlns:p="http://schemas.microsoft.com/office/2006/metadata/properties" xmlns:ns2="80613509-e7f5-4847-b0eb-33610dc101d9" xmlns:ns3="6d5431cc-db4f-47e0-852e-251df4164bac" targetNamespace="http://schemas.microsoft.com/office/2006/metadata/properties" ma:root="true" ma:fieldsID="0b3e09e26f4b0fb3625af71fe25e0f7f" ns2:_="" ns3:_="">
    <xsd:import namespace="80613509-e7f5-4847-b0eb-33610dc101d9"/>
    <xsd:import namespace="6d5431cc-db4f-47e0-852e-251df4164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Note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13509-e7f5-4847-b0eb-33610dc10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Notes" ma:index="14" nillable="true" ma:displayName="Notes" ma:description="Add notes about this file here" ma:format="Dropdown" ma:internalName="Note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80613509-e7f5-4847-b0eb-33610dc101d9" xsi:nil="true"/>
  </documentManagement>
</p:properties>
</file>

<file path=customXml/itemProps1.xml><?xml version="1.0" encoding="utf-8"?>
<ds:datastoreItem xmlns:ds="http://schemas.openxmlformats.org/officeDocument/2006/customXml" ds:itemID="{886D98B4-9880-4198-B616-8D9723978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13509-e7f5-4847-b0eb-33610dc101d9"/>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83BF3-B44A-4763-A0AF-318559419249}">
  <ds:schemaRefs>
    <ds:schemaRef ds:uri="http://schemas.microsoft.com/sharepoint/v3/contenttype/forms"/>
  </ds:schemaRefs>
</ds:datastoreItem>
</file>

<file path=customXml/itemProps3.xml><?xml version="1.0" encoding="utf-8"?>
<ds:datastoreItem xmlns:ds="http://schemas.openxmlformats.org/officeDocument/2006/customXml" ds:itemID="{5F7A8EF5-E73F-4FFC-AAF0-92339B0F9E30}">
  <ds:schemaRefs>
    <ds:schemaRef ds:uri="http://schemas.openxmlformats.org/officeDocument/2006/bibliography"/>
  </ds:schemaRefs>
</ds:datastoreItem>
</file>

<file path=customXml/itemProps4.xml><?xml version="1.0" encoding="utf-8"?>
<ds:datastoreItem xmlns:ds="http://schemas.openxmlformats.org/officeDocument/2006/customXml" ds:itemID="{828C4A2A-4AB8-4DBF-ADE0-1DF6D1B875F0}">
  <ds:schemaRefs>
    <ds:schemaRef ds:uri="http://schemas.microsoft.com/office/2006/metadata/properties"/>
    <ds:schemaRef ds:uri="http://schemas.microsoft.com/office/infopath/2007/PartnerControls"/>
    <ds:schemaRef ds:uri="80613509-e7f5-4847-b0eb-33610dc101d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6760</Words>
  <Characters>38534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FY 2024 IPPS SS-A</vt:lpstr>
    </vt:vector>
  </TitlesOfParts>
  <Company>CMS</Company>
  <LinksUpToDate>false</LinksUpToDate>
  <CharactersWithSpaces>45204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2024 IPPS SS-A</dc:title>
  <dc:creator>Jessica Warren</dc:creator>
  <cp:lastModifiedBy>King, Denise (CMS/OSORA)</cp:lastModifiedBy>
  <cp:revision>4</cp:revision>
  <cp:lastPrinted>2018-02-27T04:28:00Z</cp:lastPrinted>
  <dcterms:created xsi:type="dcterms:W3CDTF">2024-10-08T15:03:00Z</dcterms:created>
  <dcterms:modified xsi:type="dcterms:W3CDTF">2024-10-11T14:35:00Z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0x010100F19A4CCCF15A21428C89C816A783035C</vt:lpwstr>
  </property>
  <property fmtid="{D5CDD505-2E9C-101B-9397-08002B2CF9AE}" pid="3" name="Created">
    <vt:filetime>2015-04-17T00:00:00Z</vt:filetime>
  </property>
  <property fmtid="{D5CDD505-2E9C-101B-9397-08002B2CF9AE}" pid="4" name="Creator">
    <vt:lpwstr>Microsoft® Word 2010</vt:lpwstr>
  </property>
  <property fmtid="{D5CDD505-2E9C-101B-9397-08002B2CF9AE}" pid="5" name="LastSaved">
    <vt:filetime>2015-10-02T00:00:00Z</vt:filetime>
  </property>
  <property fmtid="{D5CDD505-2E9C-101B-9397-08002B2CF9AE}" pid="6" name="_NewReviewCycle">
    <vt:lpwstr/>
  </property>
</Properties>
</file>