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64E8" w:rsidRPr="00076FA7" w:rsidP="001146F2" w14:paraId="1A672EE6" w14:textId="71DE5130">
      <w:pPr>
        <w:widowControl w:val="0"/>
        <w:ind w:left="-720" w:right="-720"/>
        <w:jc w:val="center"/>
        <w:rPr>
          <w:rFonts w:ascii="Times New Roman" w:hAnsi="Times New Roman" w:cs="Times New Roman"/>
          <w:b/>
          <w:bCs/>
          <w:sz w:val="24"/>
          <w:szCs w:val="24"/>
        </w:rPr>
      </w:pPr>
      <w:r>
        <w:rPr>
          <w:rFonts w:ascii="Times New Roman" w:hAnsi="Times New Roman" w:cs="Times New Roman"/>
          <w:b/>
          <w:bCs/>
          <w:sz w:val="24"/>
          <w:szCs w:val="24"/>
        </w:rPr>
        <w:t xml:space="preserve">Part </w:t>
      </w:r>
      <w:r w:rsidR="001146F2">
        <w:rPr>
          <w:rFonts w:ascii="Times New Roman" w:hAnsi="Times New Roman" w:cs="Times New Roman"/>
          <w:b/>
          <w:bCs/>
          <w:sz w:val="24"/>
          <w:szCs w:val="24"/>
        </w:rPr>
        <w:t>C Reporting Requirements</w:t>
      </w:r>
      <w:r>
        <w:rPr>
          <w:rFonts w:ascii="Times New Roman" w:hAnsi="Times New Roman" w:cs="Times New Roman"/>
          <w:b/>
          <w:bCs/>
          <w:sz w:val="24"/>
          <w:szCs w:val="24"/>
        </w:rPr>
        <w:t xml:space="preserve"> </w:t>
      </w:r>
      <w:r w:rsidR="001146F2">
        <w:rPr>
          <w:rFonts w:ascii="Times New Roman" w:hAnsi="Times New Roman" w:cs="Times New Roman"/>
          <w:b/>
          <w:bCs/>
          <w:sz w:val="24"/>
          <w:szCs w:val="24"/>
        </w:rPr>
        <w:br/>
      </w:r>
      <w:r w:rsidR="00B25BDB">
        <w:rPr>
          <w:rFonts w:ascii="Times New Roman" w:hAnsi="Times New Roman" w:cs="Times New Roman"/>
          <w:b/>
          <w:bCs/>
          <w:sz w:val="24"/>
          <w:szCs w:val="24"/>
        </w:rPr>
        <w:t>3</w:t>
      </w:r>
      <w:r w:rsidR="001146F2">
        <w:rPr>
          <w:rFonts w:ascii="Times New Roman" w:hAnsi="Times New Roman" w:cs="Times New Roman"/>
          <w:b/>
          <w:bCs/>
          <w:sz w:val="24"/>
          <w:szCs w:val="24"/>
        </w:rPr>
        <w:t>0-Day PRA Comments</w:t>
      </w:r>
    </w:p>
    <w:tbl>
      <w:tblPr>
        <w:tblStyle w:val="TableGrid"/>
        <w:tblW w:w="13948" w:type="dxa"/>
        <w:tblInd w:w="-725" w:type="dxa"/>
        <w:tblLook w:val="04A0"/>
      </w:tblPr>
      <w:tblGrid>
        <w:gridCol w:w="2805"/>
        <w:gridCol w:w="1477"/>
        <w:gridCol w:w="7145"/>
        <w:gridCol w:w="2521"/>
      </w:tblGrid>
      <w:tr w14:paraId="3EFEB7FE" w14:textId="77777777" w:rsidTr="0057129F">
        <w:tblPrEx>
          <w:tblW w:w="13948" w:type="dxa"/>
          <w:tblInd w:w="-725" w:type="dxa"/>
          <w:tblLook w:val="04A0"/>
        </w:tblPrEx>
        <w:trPr>
          <w:tblHeader/>
        </w:trPr>
        <w:tc>
          <w:tcPr>
            <w:tcW w:w="2805" w:type="dxa"/>
            <w:shd w:val="clear" w:color="auto" w:fill="B4C6E7" w:themeFill="accent1" w:themeFillTint="66"/>
          </w:tcPr>
          <w:p w:rsidR="005964E8" w:rsidRPr="00076FA7" w:rsidP="0053704D" w14:paraId="21E3D626" w14:textId="606EAF2B">
            <w:pPr>
              <w:jc w:val="center"/>
              <w:rPr>
                <w:rFonts w:ascii="Times New Roman" w:hAnsi="Times New Roman" w:cs="Times New Roman"/>
                <w:b/>
                <w:bCs/>
              </w:rPr>
            </w:pPr>
            <w:r>
              <w:rPr>
                <w:rFonts w:ascii="Times New Roman" w:hAnsi="Times New Roman" w:cs="Times New Roman"/>
                <w:b/>
                <w:bCs/>
              </w:rPr>
              <w:t>Topic</w:t>
            </w:r>
          </w:p>
        </w:tc>
        <w:tc>
          <w:tcPr>
            <w:tcW w:w="1477" w:type="dxa"/>
            <w:shd w:val="clear" w:color="auto" w:fill="B4C6E7" w:themeFill="accent1" w:themeFillTint="66"/>
          </w:tcPr>
          <w:p w:rsidR="005964E8" w:rsidRPr="00DE23C9" w:rsidP="0053704D" w14:paraId="3C9B35DD" w14:textId="77777777">
            <w:pPr>
              <w:jc w:val="center"/>
              <w:rPr>
                <w:rFonts w:ascii="Times New Roman" w:hAnsi="Times New Roman" w:cs="Times New Roman"/>
                <w:b/>
                <w:bCs/>
              </w:rPr>
            </w:pPr>
            <w:r w:rsidRPr="00DE23C9">
              <w:rPr>
                <w:rFonts w:ascii="Times New Roman" w:hAnsi="Times New Roman" w:cs="Times New Roman"/>
                <w:b/>
                <w:bCs/>
              </w:rPr>
              <w:t>Approx.</w:t>
            </w:r>
          </w:p>
          <w:p w:rsidR="005964E8" w:rsidRPr="00DE23C9" w:rsidP="0053704D" w14:paraId="296E32C2" w14:textId="35FD1C3B">
            <w:pPr>
              <w:jc w:val="center"/>
              <w:rPr>
                <w:rFonts w:ascii="Times New Roman" w:hAnsi="Times New Roman" w:cs="Times New Roman"/>
                <w:b/>
                <w:bCs/>
              </w:rPr>
            </w:pPr>
            <w:r>
              <w:rPr>
                <w:rFonts w:ascii="Times New Roman" w:hAnsi="Times New Roman" w:cs="Times New Roman"/>
                <w:b/>
                <w:bCs/>
              </w:rPr>
              <w:t>c</w:t>
            </w:r>
            <w:r w:rsidR="006D5256">
              <w:rPr>
                <w:rFonts w:ascii="Times New Roman" w:hAnsi="Times New Roman" w:cs="Times New Roman"/>
                <w:b/>
                <w:bCs/>
              </w:rPr>
              <w:t xml:space="preserve">ommenter </w:t>
            </w:r>
            <w:r>
              <w:rPr>
                <w:rFonts w:ascii="Times New Roman" w:hAnsi="Times New Roman" w:cs="Times New Roman"/>
                <w:b/>
                <w:bCs/>
              </w:rPr>
              <w:t>c</w:t>
            </w:r>
            <w:r w:rsidRPr="00DE23C9">
              <w:rPr>
                <w:rFonts w:ascii="Times New Roman" w:hAnsi="Times New Roman" w:cs="Times New Roman"/>
                <w:b/>
                <w:bCs/>
              </w:rPr>
              <w:t>ount</w:t>
            </w:r>
          </w:p>
        </w:tc>
        <w:tc>
          <w:tcPr>
            <w:tcW w:w="7145" w:type="dxa"/>
            <w:shd w:val="clear" w:color="auto" w:fill="B4C6E7" w:themeFill="accent1" w:themeFillTint="66"/>
          </w:tcPr>
          <w:p w:rsidR="005964E8" w:rsidRPr="00D546DB" w14:paraId="039DFD4B" w14:textId="4B1BF0FC">
            <w:pPr>
              <w:jc w:val="center"/>
              <w:rPr>
                <w:rFonts w:ascii="Times New Roman" w:hAnsi="Times New Roman" w:cs="Times New Roman"/>
                <w:b/>
              </w:rPr>
            </w:pPr>
            <w:r w:rsidRPr="00D546DB">
              <w:rPr>
                <w:rFonts w:ascii="Times New Roman" w:hAnsi="Times New Roman" w:cs="Times New Roman"/>
                <w:b/>
              </w:rPr>
              <w:t xml:space="preserve">Summary of </w:t>
            </w:r>
            <w:r w:rsidR="009665A2">
              <w:rPr>
                <w:rFonts w:ascii="Times New Roman" w:hAnsi="Times New Roman" w:cs="Times New Roman"/>
                <w:b/>
              </w:rPr>
              <w:t>c</w:t>
            </w:r>
            <w:r w:rsidRPr="00D546DB">
              <w:rPr>
                <w:rFonts w:ascii="Times New Roman" w:hAnsi="Times New Roman" w:cs="Times New Roman"/>
                <w:b/>
              </w:rPr>
              <w:t>omments</w:t>
            </w:r>
          </w:p>
        </w:tc>
        <w:tc>
          <w:tcPr>
            <w:tcW w:w="2521" w:type="dxa"/>
            <w:shd w:val="clear" w:color="auto" w:fill="B4C6E7" w:themeFill="accent1" w:themeFillTint="66"/>
          </w:tcPr>
          <w:p w:rsidR="005964E8" w:rsidRPr="00076FA7" w:rsidP="0053704D" w14:paraId="5F0ADE4A" w14:textId="23C2E83E">
            <w:pPr>
              <w:jc w:val="center"/>
              <w:rPr>
                <w:rFonts w:ascii="Times New Roman" w:hAnsi="Times New Roman" w:cs="Times New Roman"/>
                <w:b/>
                <w:bCs/>
              </w:rPr>
            </w:pPr>
            <w:r>
              <w:rPr>
                <w:rFonts w:ascii="Times New Roman" w:hAnsi="Times New Roman" w:cs="Times New Roman"/>
                <w:b/>
                <w:bCs/>
              </w:rPr>
              <w:t>Proposed Action, if any</w:t>
            </w:r>
            <w:r w:rsidR="009665A2">
              <w:rPr>
                <w:rFonts w:ascii="Times New Roman" w:hAnsi="Times New Roman" w:cs="Times New Roman"/>
                <w:b/>
                <w:bCs/>
              </w:rPr>
              <w:t>, and responses</w:t>
            </w:r>
          </w:p>
        </w:tc>
      </w:tr>
      <w:tr w14:paraId="5387D8F2" w14:textId="77777777" w:rsidTr="0057129F">
        <w:tblPrEx>
          <w:tblW w:w="13948" w:type="dxa"/>
          <w:tblInd w:w="-725" w:type="dxa"/>
          <w:tblLook w:val="04A0"/>
        </w:tblPrEx>
        <w:tc>
          <w:tcPr>
            <w:tcW w:w="2805" w:type="dxa"/>
            <w:shd w:val="clear" w:color="auto" w:fill="auto"/>
          </w:tcPr>
          <w:p w:rsidR="00E85C1D" w:rsidP="00E85C1D" w14:paraId="4730BA38" w14:textId="78DD9C9D">
            <w:pPr>
              <w:widowControl w:val="0"/>
              <w:rPr>
                <w:rFonts w:ascii="Times New Roman" w:hAnsi="Times New Roman" w:cs="Times New Roman"/>
                <w:b/>
                <w:bCs/>
              </w:rPr>
            </w:pPr>
            <w:r>
              <w:rPr>
                <w:rFonts w:ascii="Times New Roman" w:hAnsi="Times New Roman" w:cs="Times New Roman"/>
                <w:b/>
                <w:bCs/>
              </w:rPr>
              <w:t>Timeline</w:t>
            </w:r>
          </w:p>
          <w:p w:rsidR="001146F2" w:rsidRPr="001A5EF7" w:rsidP="001A5EF7" w14:paraId="0CDD1818" w14:textId="7295F29F">
            <w:pPr>
              <w:widowControl w:val="0"/>
              <w:rPr>
                <w:rFonts w:ascii="Times New Roman" w:hAnsi="Times New Roman" w:cs="Times New Roman"/>
              </w:rPr>
            </w:pPr>
          </w:p>
        </w:tc>
        <w:tc>
          <w:tcPr>
            <w:tcW w:w="1477" w:type="dxa"/>
            <w:shd w:val="clear" w:color="auto" w:fill="auto"/>
          </w:tcPr>
          <w:p w:rsidR="00E85C1D" w:rsidRPr="00671D83" w:rsidP="00E85C1D" w14:paraId="6E40AC67" w14:textId="68CE2EBD">
            <w:pPr>
              <w:jc w:val="center"/>
              <w:rPr>
                <w:rFonts w:ascii="Times New Roman" w:hAnsi="Times New Roman" w:cs="Times New Roman"/>
                <w:b/>
                <w:bCs/>
              </w:rPr>
            </w:pPr>
            <w:r>
              <w:rPr>
                <w:rFonts w:ascii="Times New Roman" w:hAnsi="Times New Roman" w:cs="Times New Roman"/>
                <w:b/>
                <w:bCs/>
              </w:rPr>
              <w:t>2</w:t>
            </w:r>
          </w:p>
        </w:tc>
        <w:tc>
          <w:tcPr>
            <w:tcW w:w="7145" w:type="dxa"/>
            <w:shd w:val="clear" w:color="auto" w:fill="auto"/>
          </w:tcPr>
          <w:p w:rsidR="00E85C1D" w:rsidP="004D6305" w14:paraId="3C54FD84" w14:textId="0FE41158">
            <w:pPr>
              <w:rPr>
                <w:rFonts w:ascii="Times New Roman" w:eastAsia="Times New Roman" w:hAnsi="Times New Roman" w:cs="Times New Roman"/>
                <w:bCs/>
                <w:iCs/>
              </w:rPr>
            </w:pPr>
            <w:r>
              <w:rPr>
                <w:rFonts w:ascii="Times New Roman" w:eastAsia="Times New Roman" w:hAnsi="Times New Roman" w:cs="Times New Roman"/>
                <w:bCs/>
                <w:iCs/>
              </w:rPr>
              <w:t>One commenter recommended f</w:t>
            </w:r>
            <w:r w:rsidRPr="000B137D" w:rsidR="00B71537">
              <w:rPr>
                <w:rFonts w:ascii="Times New Roman" w:eastAsia="Times New Roman" w:hAnsi="Times New Roman" w:cs="Times New Roman"/>
                <w:bCs/>
                <w:iCs/>
              </w:rPr>
              <w:t>inaliz</w:t>
            </w:r>
            <w:r>
              <w:rPr>
                <w:rFonts w:ascii="Times New Roman" w:eastAsia="Times New Roman" w:hAnsi="Times New Roman" w:cs="Times New Roman"/>
                <w:bCs/>
                <w:iCs/>
              </w:rPr>
              <w:t>ing</w:t>
            </w:r>
            <w:r w:rsidRPr="000B137D" w:rsidR="00B71537">
              <w:rPr>
                <w:rFonts w:ascii="Times New Roman" w:eastAsia="Times New Roman" w:hAnsi="Times New Roman" w:cs="Times New Roman"/>
                <w:bCs/>
                <w:iCs/>
              </w:rPr>
              <w:t xml:space="preserve"> reporting requirements by December 2023</w:t>
            </w:r>
            <w:r w:rsidR="000B137D">
              <w:rPr>
                <w:rFonts w:ascii="Times New Roman" w:eastAsia="Times New Roman" w:hAnsi="Times New Roman" w:cs="Times New Roman"/>
                <w:bCs/>
                <w:iCs/>
              </w:rPr>
              <w:t>.</w:t>
            </w:r>
          </w:p>
          <w:p w:rsidR="004D6305" w:rsidP="004D6305" w14:paraId="4FAF47C4" w14:textId="77777777">
            <w:pPr>
              <w:rPr>
                <w:rFonts w:ascii="Times New Roman" w:eastAsia="Times New Roman" w:hAnsi="Times New Roman" w:cs="Times New Roman"/>
                <w:bCs/>
                <w:iCs/>
              </w:rPr>
            </w:pPr>
          </w:p>
          <w:p w:rsidR="004D6305" w:rsidRPr="000B137D" w:rsidP="000B137D" w14:paraId="3F6F3972" w14:textId="291726D1">
            <w:pPr>
              <w:rPr>
                <w:rFonts w:ascii="Times New Roman" w:eastAsia="Times New Roman" w:hAnsi="Times New Roman" w:cs="Times New Roman"/>
                <w:bCs/>
                <w:iCs/>
              </w:rPr>
            </w:pPr>
            <w:r>
              <w:rPr>
                <w:rFonts w:ascii="Times New Roman" w:eastAsia="Times New Roman" w:hAnsi="Times New Roman" w:cs="Times New Roman"/>
                <w:bCs/>
                <w:iCs/>
              </w:rPr>
              <w:t>2 commenters noted there would be issues with submitting data in February of 2025 due to:</w:t>
            </w:r>
          </w:p>
          <w:p w:rsidR="00FE68C6" w:rsidRPr="000B137D" w:rsidP="000B137D" w14:paraId="741A10AC" w14:textId="77777777">
            <w:pPr>
              <w:pStyle w:val="ListParagraph"/>
              <w:numPr>
                <w:ilvl w:val="0"/>
                <w:numId w:val="31"/>
              </w:numPr>
              <w:rPr>
                <w:rFonts w:ascii="Times New Roman" w:hAnsi="Times New Roman" w:cs="Times New Roman"/>
              </w:rPr>
            </w:pPr>
            <w:r w:rsidRPr="000B137D">
              <w:rPr>
                <w:rFonts w:ascii="Times New Roman" w:hAnsi="Times New Roman" w:cs="Times New Roman"/>
              </w:rPr>
              <w:t xml:space="preserve">Lack of readiness of supplemental benefit vendors (often community-based organizations, non-profits, and/or small businesses) to collect and transmit data. </w:t>
            </w:r>
          </w:p>
          <w:p w:rsidR="00FE68C6" w:rsidP="00FE68C6" w14:paraId="184C6C03" w14:textId="55964E6C">
            <w:pPr>
              <w:pStyle w:val="ListParagraph"/>
              <w:numPr>
                <w:ilvl w:val="0"/>
                <w:numId w:val="31"/>
              </w:numPr>
              <w:rPr>
                <w:rFonts w:ascii="Times New Roman" w:eastAsia="Times New Roman" w:hAnsi="Times New Roman" w:cs="Times New Roman"/>
                <w:bCs/>
                <w:iCs/>
              </w:rPr>
            </w:pPr>
            <w:r>
              <w:rPr>
                <w:rFonts w:ascii="Times New Roman" w:eastAsia="Times New Roman" w:hAnsi="Times New Roman" w:cs="Times New Roman"/>
                <w:bCs/>
                <w:iCs/>
              </w:rPr>
              <w:t xml:space="preserve">OON services </w:t>
            </w:r>
            <w:r w:rsidR="004D6305">
              <w:rPr>
                <w:rFonts w:ascii="Times New Roman" w:eastAsia="Times New Roman" w:hAnsi="Times New Roman" w:cs="Times New Roman"/>
                <w:bCs/>
                <w:iCs/>
              </w:rPr>
              <w:t>not needing</w:t>
            </w:r>
            <w:r>
              <w:rPr>
                <w:rFonts w:ascii="Times New Roman" w:eastAsia="Times New Roman" w:hAnsi="Times New Roman" w:cs="Times New Roman"/>
                <w:bCs/>
                <w:iCs/>
              </w:rPr>
              <w:t xml:space="preserve"> to be reported to an MAO for payment/reimbursement </w:t>
            </w:r>
            <w:r w:rsidR="004D6305">
              <w:rPr>
                <w:rFonts w:ascii="Times New Roman" w:eastAsia="Times New Roman" w:hAnsi="Times New Roman" w:cs="Times New Roman"/>
                <w:bCs/>
                <w:iCs/>
              </w:rPr>
              <w:t>for 1 year after the services are rendered-which may be well into 2025 after data is submitted</w:t>
            </w:r>
            <w:r w:rsidR="000B137D">
              <w:rPr>
                <w:rFonts w:ascii="Times New Roman" w:eastAsia="Times New Roman" w:hAnsi="Times New Roman" w:cs="Times New Roman"/>
                <w:bCs/>
                <w:iCs/>
              </w:rPr>
              <w:t>.</w:t>
            </w:r>
          </w:p>
          <w:p w:rsidR="004D6305" w:rsidP="00FE68C6" w14:paraId="4118FA64" w14:textId="3B7A1577">
            <w:pPr>
              <w:pStyle w:val="ListParagraph"/>
              <w:numPr>
                <w:ilvl w:val="0"/>
                <w:numId w:val="31"/>
              </w:numPr>
              <w:rPr>
                <w:rFonts w:ascii="Times New Roman" w:eastAsia="Times New Roman" w:hAnsi="Times New Roman" w:cs="Times New Roman"/>
                <w:bCs/>
                <w:iCs/>
              </w:rPr>
            </w:pPr>
            <w:r>
              <w:rPr>
                <w:rFonts w:ascii="Times New Roman" w:eastAsia="Times New Roman" w:hAnsi="Times New Roman" w:cs="Times New Roman"/>
                <w:bCs/>
                <w:iCs/>
              </w:rPr>
              <w:t>Similarly, reimbursement claims submitted by beneficiaries are not required to be submitted for 1 year after the service is rendered</w:t>
            </w:r>
            <w:r w:rsidR="000B137D">
              <w:rPr>
                <w:rFonts w:ascii="Times New Roman" w:eastAsia="Times New Roman" w:hAnsi="Times New Roman" w:cs="Times New Roman"/>
                <w:bCs/>
                <w:iCs/>
              </w:rPr>
              <w:t>.</w:t>
            </w:r>
          </w:p>
          <w:p w:rsidR="00BA7C87" w:rsidRPr="000B137D" w:rsidP="000B137D" w14:paraId="2B6B66B3" w14:textId="4147DE18">
            <w:pPr>
              <w:pStyle w:val="ListParagraph"/>
              <w:numPr>
                <w:ilvl w:val="0"/>
                <w:numId w:val="31"/>
              </w:numPr>
              <w:rPr>
                <w:rFonts w:ascii="Times New Roman" w:eastAsia="Times New Roman" w:hAnsi="Times New Roman" w:cs="Times New Roman"/>
                <w:bCs/>
                <w:iCs/>
              </w:rPr>
            </w:pPr>
            <w:r>
              <w:rPr>
                <w:rFonts w:ascii="Times New Roman" w:eastAsia="Times New Roman" w:hAnsi="Times New Roman" w:cs="Times New Roman"/>
                <w:bCs/>
                <w:iCs/>
              </w:rPr>
              <w:t>Benefits paid for by reimbursing beneficiaries are not required to be submitted to the MAO for 12 months. This would cause incomplete data collection as well.</w:t>
            </w:r>
          </w:p>
        </w:tc>
        <w:tc>
          <w:tcPr>
            <w:tcW w:w="2521" w:type="dxa"/>
            <w:shd w:val="clear" w:color="auto" w:fill="auto"/>
          </w:tcPr>
          <w:p w:rsidR="00A52FC3" w:rsidRPr="00F535E6" w:rsidP="00E85C1D" w14:paraId="35943D12" w14:textId="77777777">
            <w:pPr>
              <w:rPr>
                <w:rFonts w:ascii="Times New Roman" w:hAnsi="Times New Roman" w:cs="Times New Roman"/>
                <w:b/>
                <w:iCs/>
              </w:rPr>
            </w:pPr>
            <w:r w:rsidRPr="00F535E6">
              <w:rPr>
                <w:rFonts w:ascii="Times New Roman" w:hAnsi="Times New Roman" w:cs="Times New Roman"/>
                <w:b/>
                <w:iCs/>
              </w:rPr>
              <w:t xml:space="preserve">No changes. </w:t>
            </w:r>
          </w:p>
          <w:p w:rsidR="001146F2" w:rsidP="00E85C1D" w14:paraId="43C53E1C" w14:textId="00EC8AE6">
            <w:pPr>
              <w:rPr>
                <w:rFonts w:ascii="Times New Roman" w:hAnsi="Times New Roman" w:cs="Times New Roman"/>
                <w:bCs/>
                <w:iCs/>
              </w:rPr>
            </w:pPr>
          </w:p>
          <w:p w:rsidR="001146F2" w:rsidP="000E5AA3" w14:paraId="5EC8ADAA" w14:textId="2BA72C27">
            <w:pPr>
              <w:rPr>
                <w:rFonts w:ascii="Times New Roman" w:hAnsi="Times New Roman" w:cs="Times New Roman"/>
                <w:bCs/>
                <w:iCs/>
              </w:rPr>
            </w:pPr>
            <w:r>
              <w:rPr>
                <w:rFonts w:ascii="Times New Roman" w:hAnsi="Times New Roman" w:cs="Times New Roman"/>
                <w:bCs/>
                <w:iCs/>
              </w:rPr>
              <w:t xml:space="preserve">CMS plans to finalize Part C Reporting Requirements by December 2023. </w:t>
            </w:r>
          </w:p>
          <w:p w:rsidR="005066C1" w:rsidP="000E5AA3" w14:paraId="53F62202" w14:textId="63B18250">
            <w:pPr>
              <w:rPr>
                <w:rFonts w:ascii="Times New Roman" w:hAnsi="Times New Roman" w:cs="Times New Roman"/>
                <w:bCs/>
                <w:iCs/>
              </w:rPr>
            </w:pPr>
          </w:p>
          <w:p w:rsidR="00C457AA" w:rsidP="000E5AA3" w14:paraId="30E5E1E5" w14:textId="1FC5201E">
            <w:pPr>
              <w:rPr>
                <w:rFonts w:ascii="Times New Roman" w:hAnsi="Times New Roman" w:cs="Times New Roman"/>
                <w:bCs/>
                <w:iCs/>
              </w:rPr>
            </w:pPr>
            <w:r>
              <w:rPr>
                <w:rFonts w:ascii="Times New Roman" w:hAnsi="Times New Roman" w:cs="Times New Roman"/>
                <w:bCs/>
                <w:iCs/>
              </w:rPr>
              <w:t xml:space="preserve">CMS recognizes </w:t>
            </w:r>
            <w:r>
              <w:rPr>
                <w:rFonts w:ascii="Times New Roman" w:hAnsi="Times New Roman" w:cs="Times New Roman"/>
                <w:bCs/>
                <w:iCs/>
              </w:rPr>
              <w:t xml:space="preserve">that there </w:t>
            </w:r>
            <w:r w:rsidR="007533BC">
              <w:rPr>
                <w:rFonts w:ascii="Times New Roman" w:hAnsi="Times New Roman" w:cs="Times New Roman"/>
                <w:bCs/>
                <w:iCs/>
              </w:rPr>
              <w:t>may</w:t>
            </w:r>
            <w:r>
              <w:rPr>
                <w:rFonts w:ascii="Times New Roman" w:hAnsi="Times New Roman" w:cs="Times New Roman"/>
                <w:bCs/>
                <w:iCs/>
              </w:rPr>
              <w:t xml:space="preserve"> be </w:t>
            </w:r>
            <w:r w:rsidR="00F86DBC">
              <w:rPr>
                <w:rFonts w:ascii="Times New Roman" w:hAnsi="Times New Roman" w:cs="Times New Roman"/>
                <w:bCs/>
                <w:iCs/>
              </w:rPr>
              <w:t xml:space="preserve">some </w:t>
            </w:r>
            <w:r>
              <w:rPr>
                <w:rFonts w:ascii="Times New Roman" w:hAnsi="Times New Roman" w:cs="Times New Roman"/>
                <w:bCs/>
                <w:iCs/>
              </w:rPr>
              <w:t xml:space="preserve">challenges </w:t>
            </w:r>
            <w:r>
              <w:rPr>
                <w:rFonts w:ascii="Times New Roman" w:hAnsi="Times New Roman" w:cs="Times New Roman"/>
                <w:bCs/>
                <w:iCs/>
              </w:rPr>
              <w:t>in data collection and reporting</w:t>
            </w:r>
            <w:r>
              <w:rPr>
                <w:rFonts w:ascii="Times New Roman" w:hAnsi="Times New Roman" w:cs="Times New Roman"/>
                <w:bCs/>
                <w:iCs/>
              </w:rPr>
              <w:t xml:space="preserve">. </w:t>
            </w:r>
          </w:p>
          <w:p w:rsidR="000B137D" w:rsidP="000E5AA3" w14:paraId="1F579B6A" w14:textId="77777777">
            <w:pPr>
              <w:rPr>
                <w:rFonts w:ascii="Times New Roman" w:hAnsi="Times New Roman" w:cs="Times New Roman"/>
                <w:bCs/>
                <w:iCs/>
              </w:rPr>
            </w:pPr>
          </w:p>
          <w:p w:rsidR="00C457AA" w:rsidP="000E5AA3" w14:paraId="1740177D" w14:textId="46EF799F">
            <w:pPr>
              <w:rPr>
                <w:rFonts w:ascii="Times New Roman" w:hAnsi="Times New Roman" w:cs="Times New Roman"/>
                <w:bCs/>
                <w:iCs/>
              </w:rPr>
            </w:pPr>
            <w:r>
              <w:rPr>
                <w:rFonts w:ascii="Times New Roman" w:hAnsi="Times New Roman" w:cs="Times New Roman"/>
                <w:bCs/>
                <w:iCs/>
              </w:rPr>
              <w:t xml:space="preserve">Nevertheless, </w:t>
            </w:r>
            <w:r>
              <w:rPr>
                <w:rFonts w:ascii="Times New Roman" w:hAnsi="Times New Roman" w:cs="Times New Roman"/>
                <w:bCs/>
                <w:iCs/>
              </w:rPr>
              <w:t xml:space="preserve">CMS </w:t>
            </w:r>
            <w:r>
              <w:rPr>
                <w:rFonts w:ascii="Times New Roman" w:hAnsi="Times New Roman" w:cs="Times New Roman"/>
                <w:bCs/>
                <w:iCs/>
              </w:rPr>
              <w:t xml:space="preserve">expects organizations to comply with all reporting requirements. In addition, we expect </w:t>
            </w:r>
            <w:r>
              <w:rPr>
                <w:rFonts w:ascii="Times New Roman" w:hAnsi="Times New Roman" w:cs="Times New Roman"/>
                <w:bCs/>
                <w:iCs/>
              </w:rPr>
              <w:t>to</w:t>
            </w:r>
            <w:r>
              <w:rPr>
                <w:rFonts w:ascii="Times New Roman" w:hAnsi="Times New Roman" w:cs="Times New Roman"/>
                <w:bCs/>
                <w:iCs/>
              </w:rPr>
              <w:t xml:space="preserve"> </w:t>
            </w:r>
            <w:r>
              <w:rPr>
                <w:rFonts w:ascii="Times New Roman" w:hAnsi="Times New Roman" w:cs="Times New Roman"/>
                <w:bCs/>
                <w:iCs/>
              </w:rPr>
              <w:t xml:space="preserve">iterate upon these requirements to continuously improve the quality of data submitted each year. </w:t>
            </w:r>
          </w:p>
          <w:p w:rsidR="00C457AA" w:rsidP="000E5AA3" w14:paraId="5FA3BFF0" w14:textId="77777777">
            <w:pPr>
              <w:rPr>
                <w:rFonts w:ascii="Times New Roman" w:hAnsi="Times New Roman" w:cs="Times New Roman"/>
                <w:bCs/>
                <w:iCs/>
              </w:rPr>
            </w:pPr>
          </w:p>
          <w:p w:rsidR="000E5AA3" w:rsidRPr="001146F2" w:rsidP="000E5AA3" w14:paraId="524F9EB1" w14:textId="5BBC5B26">
            <w:pPr>
              <w:rPr>
                <w:rFonts w:ascii="Times New Roman" w:hAnsi="Times New Roman" w:cs="Times New Roman"/>
                <w:bCs/>
                <w:iCs/>
              </w:rPr>
            </w:pPr>
            <w:r>
              <w:rPr>
                <w:rFonts w:ascii="Times New Roman" w:hAnsi="Times New Roman" w:cs="Times New Roman"/>
                <w:bCs/>
                <w:iCs/>
              </w:rPr>
              <w:t xml:space="preserve">We also </w:t>
            </w:r>
            <w:r w:rsidR="007533BC">
              <w:rPr>
                <w:rFonts w:ascii="Times New Roman" w:hAnsi="Times New Roman" w:cs="Times New Roman"/>
                <w:bCs/>
                <w:iCs/>
              </w:rPr>
              <w:t xml:space="preserve">remind </w:t>
            </w:r>
            <w:r>
              <w:rPr>
                <w:rFonts w:ascii="Times New Roman" w:hAnsi="Times New Roman" w:cs="Times New Roman"/>
                <w:bCs/>
                <w:iCs/>
              </w:rPr>
              <w:t xml:space="preserve">MAOs </w:t>
            </w:r>
            <w:r w:rsidR="007533BC">
              <w:rPr>
                <w:rFonts w:ascii="Times New Roman" w:hAnsi="Times New Roman" w:cs="Times New Roman"/>
                <w:bCs/>
                <w:iCs/>
              </w:rPr>
              <w:t xml:space="preserve">that they </w:t>
            </w:r>
            <w:r>
              <w:rPr>
                <w:rFonts w:ascii="Times New Roman" w:hAnsi="Times New Roman" w:cs="Times New Roman"/>
                <w:bCs/>
                <w:iCs/>
              </w:rPr>
              <w:t xml:space="preserve">must abide by CMS guidelines regarding prompt payment set forth in </w:t>
            </w:r>
            <w:r w:rsidRPr="0031321C">
              <w:rPr>
                <w:rFonts w:ascii="Times New Roman" w:hAnsi="Times New Roman" w:cs="Times New Roman"/>
                <w:bCs/>
                <w:iCs/>
              </w:rPr>
              <w:t>42 CFR 422.520</w:t>
            </w:r>
            <w:r>
              <w:rPr>
                <w:rFonts w:ascii="Times New Roman" w:hAnsi="Times New Roman" w:cs="Times New Roman"/>
                <w:bCs/>
                <w:iCs/>
              </w:rPr>
              <w:t>.</w:t>
            </w:r>
          </w:p>
        </w:tc>
      </w:tr>
      <w:tr w14:paraId="7E105151" w14:textId="77777777" w:rsidTr="0057129F">
        <w:tblPrEx>
          <w:tblW w:w="13948" w:type="dxa"/>
          <w:tblInd w:w="-725" w:type="dxa"/>
          <w:tblLook w:val="04A0"/>
        </w:tblPrEx>
        <w:tc>
          <w:tcPr>
            <w:tcW w:w="2805" w:type="dxa"/>
            <w:shd w:val="clear" w:color="auto" w:fill="auto"/>
          </w:tcPr>
          <w:p w:rsidR="00F91BEC" w:rsidP="00F91BEC" w14:paraId="6FA07C1A" w14:textId="77777777">
            <w:pPr>
              <w:widowControl w:val="0"/>
              <w:rPr>
                <w:rFonts w:ascii="Times New Roman" w:hAnsi="Times New Roman" w:cs="Times New Roman"/>
              </w:rPr>
            </w:pPr>
            <w:r>
              <w:rPr>
                <w:rFonts w:ascii="Times New Roman" w:hAnsi="Times New Roman" w:cs="Times New Roman"/>
                <w:b/>
                <w:bCs/>
              </w:rPr>
              <w:t>Medicare-Medicaid Plan (MMP) Benefits</w:t>
            </w:r>
          </w:p>
          <w:p w:rsidR="00AA0CE8" w:rsidRPr="000E5AA3" w:rsidP="00AA0CE8" w14:paraId="74550030" w14:textId="6DF51E83">
            <w:pPr>
              <w:widowControl w:val="0"/>
              <w:rPr>
                <w:rFonts w:ascii="Times New Roman" w:hAnsi="Times New Roman" w:cs="Times New Roman"/>
                <w:b/>
                <w:bCs/>
              </w:rPr>
            </w:pPr>
          </w:p>
          <w:p w:rsidR="00AA0CE8" w:rsidP="00AA0CE8" w14:paraId="7BF51B75" w14:textId="77777777">
            <w:pPr>
              <w:widowControl w:val="0"/>
              <w:rPr>
                <w:rFonts w:ascii="Times New Roman" w:hAnsi="Times New Roman" w:cs="Times New Roman"/>
              </w:rPr>
            </w:pPr>
          </w:p>
          <w:p w:rsidR="00AA0CE8" w:rsidP="00AA0CE8" w14:paraId="5DECC0B7" w14:textId="27580958">
            <w:pPr>
              <w:widowControl w:val="0"/>
              <w:rPr>
                <w:rFonts w:ascii="Times New Roman" w:hAnsi="Times New Roman" w:cs="Times New Roman"/>
                <w:b/>
                <w:bCs/>
              </w:rPr>
            </w:pPr>
            <w:r>
              <w:rPr>
                <w:rFonts w:ascii="Times New Roman" w:hAnsi="Times New Roman" w:cs="Times New Roman"/>
              </w:rPr>
              <w:t xml:space="preserve"> </w:t>
            </w:r>
          </w:p>
        </w:tc>
        <w:tc>
          <w:tcPr>
            <w:tcW w:w="1477" w:type="dxa"/>
            <w:shd w:val="clear" w:color="auto" w:fill="auto"/>
          </w:tcPr>
          <w:p w:rsidR="00AA0CE8" w:rsidP="006749EB" w14:paraId="5EAA1468" w14:textId="75567A7A">
            <w:pPr>
              <w:jc w:val="center"/>
              <w:rPr>
                <w:rFonts w:ascii="Times New Roman" w:hAnsi="Times New Roman" w:cs="Times New Roman"/>
                <w:b/>
                <w:bCs/>
              </w:rPr>
            </w:pPr>
            <w:r>
              <w:rPr>
                <w:rFonts w:ascii="Times New Roman" w:hAnsi="Times New Roman" w:cs="Times New Roman"/>
                <w:b/>
                <w:bCs/>
              </w:rPr>
              <w:t>1</w:t>
            </w:r>
          </w:p>
        </w:tc>
        <w:tc>
          <w:tcPr>
            <w:tcW w:w="7145" w:type="dxa"/>
            <w:shd w:val="clear" w:color="auto" w:fill="auto"/>
          </w:tcPr>
          <w:p w:rsidR="00AA4D45" w:rsidP="00AA0CE8" w14:paraId="6FF6F3E5" w14:textId="75A41C5F">
            <w:pPr>
              <w:rPr>
                <w:rFonts w:ascii="Times New Roman" w:hAnsi="Times New Roman" w:cs="Times New Roman"/>
              </w:rPr>
            </w:pPr>
            <w:r>
              <w:rPr>
                <w:rFonts w:ascii="Times New Roman" w:hAnsi="Times New Roman" w:cs="Times New Roman"/>
              </w:rPr>
              <w:t xml:space="preserve">One </w:t>
            </w:r>
            <w:r w:rsidR="00DC4E4D">
              <w:rPr>
                <w:rFonts w:ascii="Times New Roman" w:hAnsi="Times New Roman" w:cs="Times New Roman"/>
              </w:rPr>
              <w:t>commenter request</w:t>
            </w:r>
            <w:r>
              <w:rPr>
                <w:rFonts w:ascii="Times New Roman" w:hAnsi="Times New Roman" w:cs="Times New Roman"/>
              </w:rPr>
              <w:t>ed</w:t>
            </w:r>
            <w:r w:rsidR="00DC4E4D">
              <w:rPr>
                <w:rFonts w:ascii="Times New Roman" w:hAnsi="Times New Roman" w:cs="Times New Roman"/>
              </w:rPr>
              <w:t xml:space="preserve"> clarification on how MMP supplemental benefits should be reported </w:t>
            </w:r>
            <w:r w:rsidR="000B137D">
              <w:rPr>
                <w:rFonts w:ascii="Times New Roman" w:hAnsi="Times New Roman" w:cs="Times New Roman"/>
              </w:rPr>
              <w:t>to the extent that</w:t>
            </w:r>
            <w:r w:rsidR="00DC4E4D">
              <w:rPr>
                <w:rFonts w:ascii="Times New Roman" w:hAnsi="Times New Roman" w:cs="Times New Roman"/>
              </w:rPr>
              <w:t xml:space="preserve"> </w:t>
            </w:r>
            <w:r w:rsidR="004045C2">
              <w:rPr>
                <w:rFonts w:ascii="Times New Roman" w:hAnsi="Times New Roman" w:cs="Times New Roman"/>
              </w:rPr>
              <w:t>these benefits are an extension of Medicaid coverage</w:t>
            </w:r>
            <w:r w:rsidR="000B137D">
              <w:rPr>
                <w:rFonts w:ascii="Times New Roman" w:hAnsi="Times New Roman" w:cs="Times New Roman"/>
              </w:rPr>
              <w:t>, and</w:t>
            </w:r>
            <w:r w:rsidR="004045C2">
              <w:rPr>
                <w:rFonts w:ascii="Times New Roman" w:hAnsi="Times New Roman" w:cs="Times New Roman"/>
              </w:rPr>
              <w:t xml:space="preserve"> not Medicare coverage.</w:t>
            </w:r>
          </w:p>
          <w:p w:rsidR="00AA4D45" w:rsidRPr="00AA4D45" w:rsidP="00AA0CE8" w14:paraId="3DDDB126" w14:textId="20FEF482">
            <w:pPr>
              <w:rPr>
                <w:rFonts w:ascii="Times New Roman" w:hAnsi="Times New Roman" w:cs="Times New Roman"/>
                <w:b/>
                <w:bCs/>
              </w:rPr>
            </w:pPr>
          </w:p>
        </w:tc>
        <w:tc>
          <w:tcPr>
            <w:tcW w:w="2521" w:type="dxa"/>
            <w:shd w:val="clear" w:color="auto" w:fill="auto"/>
          </w:tcPr>
          <w:p w:rsidR="00F91BEC" w:rsidRPr="00F535E6" w:rsidP="00F91BEC" w14:paraId="63C148AD" w14:textId="77777777">
            <w:pPr>
              <w:rPr>
                <w:rFonts w:ascii="Times New Roman" w:hAnsi="Times New Roman" w:cs="Times New Roman"/>
                <w:b/>
                <w:iCs/>
              </w:rPr>
            </w:pPr>
            <w:r w:rsidRPr="00F535E6">
              <w:rPr>
                <w:rFonts w:ascii="Times New Roman" w:hAnsi="Times New Roman" w:cs="Times New Roman"/>
                <w:b/>
                <w:iCs/>
              </w:rPr>
              <w:t xml:space="preserve">No changes. </w:t>
            </w:r>
          </w:p>
          <w:p w:rsidR="00F91BEC" w:rsidP="00F91BEC" w14:paraId="090DF595" w14:textId="77777777">
            <w:pPr>
              <w:rPr>
                <w:rFonts w:ascii="Times New Roman" w:hAnsi="Times New Roman" w:cs="Times New Roman"/>
                <w:bCs/>
                <w:iCs/>
              </w:rPr>
            </w:pPr>
          </w:p>
          <w:p w:rsidR="00F91BEC" w:rsidP="00F91BEC" w14:paraId="77931BB5" w14:textId="45AB1BFF">
            <w:pPr>
              <w:rPr>
                <w:rFonts w:ascii="Times New Roman" w:hAnsi="Times New Roman" w:cs="Times New Roman"/>
                <w:bCs/>
                <w:iCs/>
              </w:rPr>
            </w:pPr>
            <w:r>
              <w:rPr>
                <w:rFonts w:ascii="Times New Roman" w:hAnsi="Times New Roman" w:cs="Times New Roman"/>
                <w:bCs/>
                <w:iCs/>
              </w:rPr>
              <w:t>B</w:t>
            </w:r>
            <w:r w:rsidR="004045C2">
              <w:rPr>
                <w:rFonts w:ascii="Times New Roman" w:hAnsi="Times New Roman" w:cs="Times New Roman"/>
                <w:bCs/>
                <w:iCs/>
              </w:rPr>
              <w:t xml:space="preserve">enefits </w:t>
            </w:r>
            <w:r>
              <w:rPr>
                <w:rFonts w:ascii="Times New Roman" w:hAnsi="Times New Roman" w:cs="Times New Roman"/>
                <w:bCs/>
                <w:iCs/>
              </w:rPr>
              <w:t xml:space="preserve">that fall outside the Medicare Part C supplemental benefit categories </w:t>
            </w:r>
            <w:r w:rsidR="00DF2C6F">
              <w:rPr>
                <w:rFonts w:ascii="Times New Roman" w:hAnsi="Times New Roman" w:cs="Times New Roman"/>
                <w:bCs/>
                <w:iCs/>
              </w:rPr>
              <w:t xml:space="preserve">that </w:t>
            </w:r>
            <w:r>
              <w:rPr>
                <w:rFonts w:ascii="Times New Roman" w:hAnsi="Times New Roman" w:cs="Times New Roman"/>
                <w:bCs/>
                <w:iCs/>
              </w:rPr>
              <w:t xml:space="preserve">we have identified in our proposed Reporting Requirements and Technical Specifications </w:t>
            </w:r>
            <w:r w:rsidR="004045C2">
              <w:rPr>
                <w:rFonts w:ascii="Times New Roman" w:hAnsi="Times New Roman" w:cs="Times New Roman"/>
                <w:bCs/>
                <w:iCs/>
              </w:rPr>
              <w:t xml:space="preserve">should not be reported to CMS </w:t>
            </w:r>
            <w:r>
              <w:rPr>
                <w:rFonts w:ascii="Times New Roman" w:hAnsi="Times New Roman" w:cs="Times New Roman"/>
                <w:bCs/>
                <w:iCs/>
              </w:rPr>
              <w:t xml:space="preserve">as part of these </w:t>
            </w:r>
            <w:r w:rsidR="004045C2">
              <w:rPr>
                <w:rFonts w:ascii="Times New Roman" w:hAnsi="Times New Roman" w:cs="Times New Roman"/>
                <w:bCs/>
                <w:iCs/>
              </w:rPr>
              <w:t xml:space="preserve">in the Reporting Requirements. </w:t>
            </w:r>
          </w:p>
          <w:p w:rsidR="00AA0CE8" w:rsidP="00AA0CE8" w14:paraId="0CEF93EC" w14:textId="77777777">
            <w:pPr>
              <w:rPr>
                <w:rFonts w:ascii="Times New Roman" w:hAnsi="Times New Roman" w:cs="Times New Roman"/>
                <w:b/>
                <w:iCs/>
              </w:rPr>
            </w:pPr>
          </w:p>
          <w:p w:rsidR="000F27BB" w:rsidRPr="008F10D8" w:rsidP="00AA0CE8" w14:paraId="7CE1D0B3" w14:textId="78E22EF1">
            <w:pPr>
              <w:rPr>
                <w:rFonts w:ascii="Times New Roman" w:hAnsi="Times New Roman" w:cs="Times New Roman"/>
                <w:bCs/>
                <w:iCs/>
              </w:rPr>
            </w:pPr>
            <w:r>
              <w:rPr>
                <w:rFonts w:ascii="Times New Roman" w:hAnsi="Times New Roman" w:cs="Times New Roman"/>
                <w:bCs/>
                <w:iCs/>
              </w:rPr>
              <w:t xml:space="preserve"> </w:t>
            </w:r>
          </w:p>
        </w:tc>
      </w:tr>
      <w:tr w14:paraId="63616754" w14:textId="77777777" w:rsidTr="0057129F">
        <w:tblPrEx>
          <w:tblW w:w="13948" w:type="dxa"/>
          <w:tblInd w:w="-725" w:type="dxa"/>
          <w:tblLook w:val="04A0"/>
        </w:tblPrEx>
        <w:tc>
          <w:tcPr>
            <w:tcW w:w="2805" w:type="dxa"/>
            <w:shd w:val="clear" w:color="auto" w:fill="auto"/>
          </w:tcPr>
          <w:p w:rsidR="00FE68C6" w:rsidP="00F91BEC" w14:paraId="317C5CCB" w14:textId="48302268">
            <w:pPr>
              <w:widowControl w:val="0"/>
              <w:rPr>
                <w:rFonts w:ascii="Times New Roman" w:hAnsi="Times New Roman" w:cs="Times New Roman"/>
                <w:b/>
                <w:bCs/>
              </w:rPr>
            </w:pPr>
            <w:r>
              <w:rPr>
                <w:rFonts w:ascii="Times New Roman" w:hAnsi="Times New Roman" w:cs="Times New Roman"/>
                <w:b/>
                <w:bCs/>
              </w:rPr>
              <w:t>Compliance</w:t>
            </w:r>
          </w:p>
        </w:tc>
        <w:tc>
          <w:tcPr>
            <w:tcW w:w="1477" w:type="dxa"/>
            <w:shd w:val="clear" w:color="auto" w:fill="auto"/>
          </w:tcPr>
          <w:p w:rsidR="00FE68C6" w:rsidP="006749EB" w14:paraId="0B009617" w14:textId="60EEB476">
            <w:pPr>
              <w:jc w:val="center"/>
              <w:rPr>
                <w:rFonts w:ascii="Times New Roman" w:hAnsi="Times New Roman" w:cs="Times New Roman"/>
                <w:b/>
                <w:bCs/>
              </w:rPr>
            </w:pPr>
            <w:r>
              <w:rPr>
                <w:rFonts w:ascii="Times New Roman" w:hAnsi="Times New Roman" w:cs="Times New Roman"/>
                <w:b/>
                <w:bCs/>
              </w:rPr>
              <w:t>2</w:t>
            </w:r>
          </w:p>
        </w:tc>
        <w:tc>
          <w:tcPr>
            <w:tcW w:w="7145" w:type="dxa"/>
            <w:shd w:val="clear" w:color="auto" w:fill="auto"/>
          </w:tcPr>
          <w:p w:rsidR="00FE68C6" w:rsidP="00AA0CE8" w14:paraId="308AB421" w14:textId="714F24CB">
            <w:pPr>
              <w:rPr>
                <w:rFonts w:ascii="Times New Roman" w:hAnsi="Times New Roman" w:cs="Times New Roman"/>
              </w:rPr>
            </w:pPr>
            <w:r>
              <w:rPr>
                <w:rFonts w:ascii="Times New Roman" w:hAnsi="Times New Roman" w:cs="Times New Roman"/>
              </w:rPr>
              <w:t>Commenters request</w:t>
            </w:r>
            <w:r w:rsidR="005F6319">
              <w:rPr>
                <w:rFonts w:ascii="Times New Roman" w:hAnsi="Times New Roman" w:cs="Times New Roman"/>
              </w:rPr>
              <w:t>ed that</w:t>
            </w:r>
            <w:r>
              <w:rPr>
                <w:rFonts w:ascii="Times New Roman" w:hAnsi="Times New Roman" w:cs="Times New Roman"/>
              </w:rPr>
              <w:t xml:space="preserve"> CMS recognize best efforts in data submission and not pursue compliance action against MAOs</w:t>
            </w:r>
            <w:r w:rsidR="005F6319">
              <w:rPr>
                <w:rFonts w:ascii="Times New Roman" w:hAnsi="Times New Roman" w:cs="Times New Roman"/>
              </w:rPr>
              <w:t xml:space="preserve"> that</w:t>
            </w:r>
            <w:r w:rsidR="00592298">
              <w:rPr>
                <w:rFonts w:ascii="Times New Roman" w:hAnsi="Times New Roman" w:cs="Times New Roman"/>
              </w:rPr>
              <w:t xml:space="preserve"> </w:t>
            </w:r>
            <w:r>
              <w:rPr>
                <w:rFonts w:ascii="Times New Roman" w:hAnsi="Times New Roman" w:cs="Times New Roman"/>
              </w:rPr>
              <w:t>do not report complete data</w:t>
            </w:r>
            <w:r w:rsidR="005F6319">
              <w:rPr>
                <w:rFonts w:ascii="Times New Roman" w:hAnsi="Times New Roman" w:cs="Times New Roman"/>
              </w:rPr>
              <w:t>.</w:t>
            </w:r>
          </w:p>
        </w:tc>
        <w:tc>
          <w:tcPr>
            <w:tcW w:w="2521" w:type="dxa"/>
            <w:shd w:val="clear" w:color="auto" w:fill="auto"/>
          </w:tcPr>
          <w:p w:rsidR="00FE68C6" w:rsidP="00F91BEC" w14:paraId="522DA1E8" w14:textId="77777777">
            <w:pPr>
              <w:rPr>
                <w:rFonts w:ascii="Times New Roman" w:hAnsi="Times New Roman" w:cs="Times New Roman"/>
                <w:b/>
                <w:iCs/>
              </w:rPr>
            </w:pPr>
            <w:r>
              <w:rPr>
                <w:rFonts w:ascii="Times New Roman" w:hAnsi="Times New Roman" w:cs="Times New Roman"/>
                <w:b/>
                <w:iCs/>
              </w:rPr>
              <w:t>No changes.</w:t>
            </w:r>
          </w:p>
          <w:p w:rsidR="00FE68C6" w:rsidP="00F91BEC" w14:paraId="7598889A" w14:textId="77777777">
            <w:pPr>
              <w:rPr>
                <w:rFonts w:ascii="Times New Roman" w:hAnsi="Times New Roman" w:cs="Times New Roman"/>
                <w:b/>
                <w:iCs/>
              </w:rPr>
            </w:pPr>
          </w:p>
          <w:p w:rsidR="00FE68C6" w:rsidRPr="000B137D" w:rsidP="00F91BEC" w14:paraId="542D27EC" w14:textId="1B0F4EC1">
            <w:pPr>
              <w:rPr>
                <w:rFonts w:ascii="Times New Roman" w:hAnsi="Times New Roman" w:cs="Times New Roman"/>
                <w:bCs/>
                <w:iCs/>
              </w:rPr>
            </w:pPr>
            <w:r>
              <w:rPr>
                <w:rFonts w:ascii="Times New Roman" w:hAnsi="Times New Roman" w:cs="Times New Roman"/>
                <w:bCs/>
                <w:iCs/>
              </w:rPr>
              <w:t xml:space="preserve">CMS </w:t>
            </w:r>
            <w:r w:rsidR="007533BC">
              <w:rPr>
                <w:rFonts w:ascii="Times New Roman" w:hAnsi="Times New Roman" w:cs="Times New Roman"/>
                <w:bCs/>
                <w:iCs/>
              </w:rPr>
              <w:t>expects MAOs to comply with the</w:t>
            </w:r>
            <w:r w:rsidR="005F6319">
              <w:rPr>
                <w:rFonts w:ascii="Times New Roman" w:hAnsi="Times New Roman" w:cs="Times New Roman"/>
                <w:bCs/>
                <w:iCs/>
              </w:rPr>
              <w:t xml:space="preserve"> Reporting Requirements</w:t>
            </w:r>
            <w:r w:rsidR="009A3154">
              <w:rPr>
                <w:rFonts w:ascii="Times New Roman" w:hAnsi="Times New Roman" w:cs="Times New Roman"/>
                <w:bCs/>
                <w:iCs/>
              </w:rPr>
              <w:t xml:space="preserve">. </w:t>
            </w:r>
            <w:r w:rsidRPr="009A3154" w:rsidR="009A3154">
              <w:rPr>
                <w:rFonts w:ascii="Times New Roman" w:hAnsi="Times New Roman" w:cs="Times New Roman"/>
                <w:bCs/>
                <w:iCs/>
              </w:rPr>
              <w:t xml:space="preserve">In considering appropriate compliance and enforcement actions for failure to timely or completely report, </w:t>
            </w:r>
            <w:r w:rsidRPr="009A3154" w:rsidR="009A3154">
              <w:rPr>
                <w:rFonts w:ascii="Times New Roman" w:hAnsi="Times New Roman" w:cs="Times New Roman"/>
                <w:bCs/>
                <w:iCs/>
              </w:rPr>
              <w:t>CMS  may</w:t>
            </w:r>
            <w:r w:rsidRPr="009A3154" w:rsidR="009A3154">
              <w:rPr>
                <w:rFonts w:ascii="Times New Roman" w:hAnsi="Times New Roman" w:cs="Times New Roman"/>
                <w:bCs/>
                <w:iCs/>
              </w:rPr>
              <w:t xml:space="preserve"> consider any challenges that MAOs encounter in submitting data for this new collection.</w:t>
            </w:r>
            <w:r w:rsidR="005F6319">
              <w:rPr>
                <w:rFonts w:ascii="Times New Roman" w:hAnsi="Times New Roman" w:cs="Times New Roman"/>
                <w:bCs/>
                <w:iCs/>
              </w:rPr>
              <w:t xml:space="preserve"> </w:t>
            </w:r>
          </w:p>
        </w:tc>
      </w:tr>
      <w:tr w14:paraId="639A9E80" w14:textId="77777777" w:rsidTr="0057129F">
        <w:tblPrEx>
          <w:tblW w:w="13948" w:type="dxa"/>
          <w:tblInd w:w="-725" w:type="dxa"/>
          <w:tblLook w:val="04A0"/>
        </w:tblPrEx>
        <w:tc>
          <w:tcPr>
            <w:tcW w:w="2805" w:type="dxa"/>
            <w:shd w:val="clear" w:color="auto" w:fill="auto"/>
          </w:tcPr>
          <w:p w:rsidR="004B2763" w:rsidRPr="00F91BEC" w:rsidP="00AA0CE8" w14:paraId="260C6AC8" w14:textId="354CF761">
            <w:pPr>
              <w:widowControl w:val="0"/>
              <w:rPr>
                <w:rFonts w:ascii="Times New Roman" w:hAnsi="Times New Roman" w:cs="Times New Roman"/>
                <w:b/>
                <w:bCs/>
              </w:rPr>
            </w:pPr>
            <w:r>
              <w:rPr>
                <w:rFonts w:ascii="Times New Roman" w:hAnsi="Times New Roman" w:cs="Times New Roman"/>
                <w:b/>
                <w:bCs/>
              </w:rPr>
              <w:t>Release of Collected Data</w:t>
            </w:r>
          </w:p>
          <w:p w:rsidR="004B2763" w:rsidRPr="004B2763" w:rsidP="00AA0CE8" w14:paraId="053AAA60" w14:textId="776B2FEF">
            <w:pPr>
              <w:widowControl w:val="0"/>
              <w:rPr>
                <w:rFonts w:ascii="Times New Roman" w:hAnsi="Times New Roman" w:cs="Times New Roman"/>
              </w:rPr>
            </w:pPr>
          </w:p>
        </w:tc>
        <w:tc>
          <w:tcPr>
            <w:tcW w:w="1477" w:type="dxa"/>
            <w:shd w:val="clear" w:color="auto" w:fill="auto"/>
          </w:tcPr>
          <w:p w:rsidR="004B2763" w:rsidP="00AA0CE8" w14:paraId="36A6E1A5" w14:textId="040E4E46">
            <w:pPr>
              <w:jc w:val="center"/>
              <w:rPr>
                <w:rFonts w:ascii="Times New Roman" w:hAnsi="Times New Roman" w:cs="Times New Roman"/>
                <w:b/>
                <w:bCs/>
              </w:rPr>
            </w:pPr>
            <w:r>
              <w:rPr>
                <w:rFonts w:ascii="Times New Roman" w:hAnsi="Times New Roman" w:cs="Times New Roman"/>
                <w:b/>
                <w:bCs/>
              </w:rPr>
              <w:t>1</w:t>
            </w:r>
          </w:p>
        </w:tc>
        <w:tc>
          <w:tcPr>
            <w:tcW w:w="7145" w:type="dxa"/>
            <w:shd w:val="clear" w:color="auto" w:fill="auto"/>
          </w:tcPr>
          <w:p w:rsidR="004B2763" w:rsidRPr="004B2763" w:rsidP="00AA0CE8" w14:paraId="3B2B3655" w14:textId="5428A87B">
            <w:pPr>
              <w:rPr>
                <w:rFonts w:ascii="Times New Roman" w:hAnsi="Times New Roman" w:cs="Times New Roman"/>
              </w:rPr>
            </w:pPr>
            <w:r>
              <w:rPr>
                <w:rFonts w:ascii="Times New Roman" w:hAnsi="Times New Roman" w:cs="Times New Roman"/>
              </w:rPr>
              <w:t>One c</w:t>
            </w:r>
            <w:r w:rsidR="00DC4E4D">
              <w:rPr>
                <w:rFonts w:ascii="Times New Roman" w:hAnsi="Times New Roman" w:cs="Times New Roman"/>
              </w:rPr>
              <w:t>ommenter request</w:t>
            </w:r>
            <w:r>
              <w:rPr>
                <w:rFonts w:ascii="Times New Roman" w:hAnsi="Times New Roman" w:cs="Times New Roman"/>
              </w:rPr>
              <w:t>ed</w:t>
            </w:r>
            <w:r w:rsidR="00DC4E4D">
              <w:rPr>
                <w:rFonts w:ascii="Times New Roman" w:hAnsi="Times New Roman" w:cs="Times New Roman"/>
              </w:rPr>
              <w:t xml:space="preserve"> CMS not release </w:t>
            </w:r>
            <w:r w:rsidRPr="00DC4E4D" w:rsidR="00DC4E4D">
              <w:rPr>
                <w:rFonts w:ascii="Times New Roman" w:hAnsi="Times New Roman" w:cs="Times New Roman"/>
              </w:rPr>
              <w:t>plan-specific information reported on supplemental benefits use and any benefit cost data</w:t>
            </w:r>
            <w:r>
              <w:rPr>
                <w:rFonts w:ascii="Times New Roman" w:hAnsi="Times New Roman" w:cs="Times New Roman"/>
              </w:rPr>
              <w:t xml:space="preserve">. The commenter expressed concern about interpretations of the data given that plans may differently measure and report certain elements, and that the data may be interpreted in a manner that underestimates the value of a given supplemental benefit. </w:t>
            </w:r>
          </w:p>
        </w:tc>
        <w:tc>
          <w:tcPr>
            <w:tcW w:w="2521" w:type="dxa"/>
            <w:shd w:val="clear" w:color="auto" w:fill="auto"/>
          </w:tcPr>
          <w:p w:rsidR="00F91BEC" w:rsidRPr="00F535E6" w:rsidP="00F91BEC" w14:paraId="106937C5" w14:textId="77777777">
            <w:pPr>
              <w:rPr>
                <w:rFonts w:ascii="Times New Roman" w:hAnsi="Times New Roman" w:cs="Times New Roman"/>
                <w:b/>
                <w:iCs/>
              </w:rPr>
            </w:pPr>
            <w:r w:rsidRPr="00F535E6">
              <w:rPr>
                <w:rFonts w:ascii="Times New Roman" w:hAnsi="Times New Roman" w:cs="Times New Roman"/>
                <w:b/>
                <w:iCs/>
              </w:rPr>
              <w:t xml:space="preserve">No changes. </w:t>
            </w:r>
          </w:p>
          <w:p w:rsidR="00F91BEC" w:rsidP="00F91BEC" w14:paraId="2F8D4234" w14:textId="77777777">
            <w:pPr>
              <w:rPr>
                <w:rFonts w:ascii="Times New Roman" w:hAnsi="Times New Roman" w:cs="Times New Roman"/>
                <w:bCs/>
                <w:iCs/>
              </w:rPr>
            </w:pPr>
          </w:p>
          <w:p w:rsidR="0001630A" w:rsidP="00F91BEC" w14:paraId="03776C6B" w14:textId="2177629C">
            <w:pPr>
              <w:rPr>
                <w:rFonts w:ascii="Times New Roman" w:hAnsi="Times New Roman" w:cs="Times New Roman"/>
                <w:bCs/>
                <w:iCs/>
              </w:rPr>
            </w:pPr>
            <w:r>
              <w:rPr>
                <w:rFonts w:ascii="Times New Roman" w:hAnsi="Times New Roman" w:cs="Times New Roman"/>
                <w:bCs/>
                <w:iCs/>
              </w:rPr>
              <w:t xml:space="preserve">CMS believes </w:t>
            </w:r>
            <w:r>
              <w:rPr>
                <w:rFonts w:ascii="Times New Roman" w:hAnsi="Times New Roman" w:cs="Times New Roman"/>
                <w:bCs/>
                <w:iCs/>
              </w:rPr>
              <w:t xml:space="preserve">that the public may benefit from the sharing of </w:t>
            </w:r>
            <w:r w:rsidR="00243B1B">
              <w:rPr>
                <w:rFonts w:ascii="Times New Roman" w:hAnsi="Times New Roman" w:cs="Times New Roman"/>
                <w:bCs/>
                <w:iCs/>
              </w:rPr>
              <w:t>data</w:t>
            </w:r>
            <w:r>
              <w:rPr>
                <w:rFonts w:ascii="Times New Roman" w:hAnsi="Times New Roman" w:cs="Times New Roman"/>
                <w:bCs/>
                <w:iCs/>
              </w:rPr>
              <w:t xml:space="preserve"> collected and reported through these reporting requirements</w:t>
            </w:r>
            <w:r w:rsidR="00243B1B">
              <w:rPr>
                <w:rFonts w:ascii="Times New Roman" w:hAnsi="Times New Roman" w:cs="Times New Roman"/>
                <w:bCs/>
                <w:iCs/>
              </w:rPr>
              <w:t>.</w:t>
            </w:r>
          </w:p>
          <w:p w:rsidR="009A3154" w:rsidP="00F91BEC" w14:paraId="559B6F0F" w14:textId="77777777">
            <w:pPr>
              <w:rPr>
                <w:rFonts w:ascii="Times New Roman" w:hAnsi="Times New Roman" w:cs="Times New Roman"/>
                <w:bCs/>
                <w:iCs/>
              </w:rPr>
            </w:pPr>
          </w:p>
          <w:p w:rsidR="009A3154" w:rsidP="00F91BEC" w14:paraId="44298B75" w14:textId="7B99E583">
            <w:pPr>
              <w:rPr>
                <w:rFonts w:ascii="Times New Roman" w:hAnsi="Times New Roman" w:cs="Times New Roman"/>
                <w:bCs/>
                <w:iCs/>
              </w:rPr>
            </w:pPr>
            <w:r w:rsidRPr="009A3154">
              <w:rPr>
                <w:rFonts w:ascii="Times New Roman" w:hAnsi="Times New Roman" w:cs="Times New Roman"/>
                <w:bCs/>
                <w:iCs/>
              </w:rPr>
              <w:t xml:space="preserve">As we describe in the Supporting Statement, we proposed this collection in response to </w:t>
            </w:r>
            <w:r>
              <w:rPr>
                <w:rFonts w:ascii="Times New Roman" w:hAnsi="Times New Roman" w:cs="Times New Roman"/>
                <w:bCs/>
                <w:iCs/>
              </w:rPr>
              <w:t xml:space="preserve">a </w:t>
            </w:r>
            <w:r w:rsidRPr="009A3154">
              <w:rPr>
                <w:rFonts w:ascii="Times New Roman" w:hAnsi="Times New Roman" w:cs="Times New Roman"/>
                <w:bCs/>
                <w:iCs/>
              </w:rPr>
              <w:t xml:space="preserve">growing interest in better understanding how MA rebate dollars are used to fund supplemental benefits, and the extent to which enrollees </w:t>
            </w:r>
            <w:r w:rsidRPr="009A3154">
              <w:rPr>
                <w:rFonts w:ascii="Times New Roman" w:hAnsi="Times New Roman" w:cs="Times New Roman"/>
                <w:bCs/>
                <w:iCs/>
              </w:rPr>
              <w:t>actually access</w:t>
            </w:r>
            <w:r w:rsidRPr="009A3154">
              <w:rPr>
                <w:rFonts w:ascii="Times New Roman" w:hAnsi="Times New Roman" w:cs="Times New Roman"/>
                <w:bCs/>
                <w:iCs/>
              </w:rPr>
              <w:t xml:space="preserve"> and gain benefit from these offerings. </w:t>
            </w:r>
            <w:r w:rsidR="002F68F3">
              <w:rPr>
                <w:rFonts w:ascii="Times New Roman" w:hAnsi="Times New Roman" w:cs="Times New Roman"/>
                <w:bCs/>
                <w:iCs/>
              </w:rPr>
              <w:t xml:space="preserve">CMS believes that implementing a comprehensive data collection </w:t>
            </w:r>
            <w:r>
              <w:rPr>
                <w:rFonts w:ascii="Times New Roman" w:hAnsi="Times New Roman" w:cs="Times New Roman"/>
                <w:bCs/>
                <w:iCs/>
              </w:rPr>
              <w:t xml:space="preserve">on the utilization of supplemental benefits </w:t>
            </w:r>
            <w:r w:rsidRPr="009A3154">
              <w:rPr>
                <w:rFonts w:ascii="Times New Roman" w:hAnsi="Times New Roman" w:cs="Times New Roman"/>
                <w:bCs/>
                <w:iCs/>
              </w:rPr>
              <w:t xml:space="preserve">is necessary for </w:t>
            </w:r>
            <w:r w:rsidR="00EB578A">
              <w:rPr>
                <w:rFonts w:ascii="Times New Roman" w:hAnsi="Times New Roman" w:cs="Times New Roman"/>
                <w:bCs/>
                <w:iCs/>
              </w:rPr>
              <w:t xml:space="preserve">improved </w:t>
            </w:r>
            <w:r w:rsidRPr="009A3154">
              <w:rPr>
                <w:rFonts w:ascii="Times New Roman" w:hAnsi="Times New Roman" w:cs="Times New Roman"/>
                <w:bCs/>
                <w:iCs/>
              </w:rPr>
              <w:t>oversight of the Medicare Part C program.</w:t>
            </w:r>
          </w:p>
          <w:p w:rsidR="004B2763" w:rsidRPr="004B2763" w:rsidP="00333E05" w14:paraId="03D027FC" w14:textId="080062FA">
            <w:pPr>
              <w:rPr>
                <w:rFonts w:ascii="Times New Roman" w:hAnsi="Times New Roman" w:cs="Times New Roman"/>
                <w:bCs/>
                <w:iCs/>
              </w:rPr>
            </w:pPr>
            <w:r>
              <w:rPr>
                <w:rFonts w:ascii="Times New Roman" w:hAnsi="Times New Roman" w:cs="Times New Roman"/>
                <w:bCs/>
                <w:iCs/>
              </w:rPr>
              <w:t xml:space="preserve"> </w:t>
            </w:r>
          </w:p>
        </w:tc>
      </w:tr>
      <w:tr w14:paraId="5CBBE1F0" w14:textId="77777777" w:rsidTr="0057129F">
        <w:tblPrEx>
          <w:tblW w:w="13948" w:type="dxa"/>
          <w:tblInd w:w="-725" w:type="dxa"/>
          <w:tblLook w:val="04A0"/>
        </w:tblPrEx>
        <w:tc>
          <w:tcPr>
            <w:tcW w:w="2805" w:type="dxa"/>
            <w:shd w:val="clear" w:color="auto" w:fill="auto"/>
          </w:tcPr>
          <w:p w:rsidR="00361BB8" w:rsidP="00361BB8" w14:paraId="5435E4F4" w14:textId="1C806C2B">
            <w:pPr>
              <w:widowControl w:val="0"/>
              <w:rPr>
                <w:rFonts w:ascii="Times New Roman" w:hAnsi="Times New Roman" w:cs="Times New Roman"/>
                <w:b/>
                <w:bCs/>
              </w:rPr>
            </w:pPr>
            <w:r>
              <w:rPr>
                <w:rFonts w:ascii="Times New Roman" w:hAnsi="Times New Roman" w:cs="Times New Roman"/>
                <w:b/>
                <w:bCs/>
              </w:rPr>
              <w:t>SNP HRA Care Management Element ID B</w:t>
            </w:r>
          </w:p>
        </w:tc>
        <w:tc>
          <w:tcPr>
            <w:tcW w:w="1477" w:type="dxa"/>
            <w:shd w:val="clear" w:color="auto" w:fill="auto"/>
          </w:tcPr>
          <w:p w:rsidR="00361BB8" w:rsidP="00361BB8" w14:paraId="329D5269" w14:textId="05C26047">
            <w:pPr>
              <w:jc w:val="center"/>
              <w:rPr>
                <w:rFonts w:ascii="Times New Roman" w:hAnsi="Times New Roman" w:cs="Times New Roman"/>
                <w:b/>
                <w:bCs/>
              </w:rPr>
            </w:pPr>
            <w:r>
              <w:rPr>
                <w:rFonts w:ascii="Times New Roman" w:hAnsi="Times New Roman" w:cs="Times New Roman"/>
                <w:b/>
                <w:bCs/>
              </w:rPr>
              <w:t>1</w:t>
            </w:r>
          </w:p>
        </w:tc>
        <w:tc>
          <w:tcPr>
            <w:tcW w:w="7145" w:type="dxa"/>
            <w:shd w:val="clear" w:color="auto" w:fill="auto"/>
          </w:tcPr>
          <w:p w:rsidR="00361BB8" w:rsidP="00361BB8" w14:paraId="586F63F4" w14:textId="0CF42F2E">
            <w:pPr>
              <w:rPr>
                <w:rFonts w:ascii="Times New Roman" w:hAnsi="Times New Roman" w:cs="Times New Roman"/>
              </w:rPr>
            </w:pPr>
            <w:r>
              <w:rPr>
                <w:rFonts w:ascii="Times New Roman" w:hAnsi="Times New Roman" w:cs="Times New Roman"/>
              </w:rPr>
              <w:t>C</w:t>
            </w:r>
            <w:r w:rsidRPr="007B24F2">
              <w:rPr>
                <w:rFonts w:ascii="Times New Roman" w:hAnsi="Times New Roman" w:cs="Times New Roman"/>
              </w:rPr>
              <w:t xml:space="preserve">ommenter </w:t>
            </w:r>
            <w:r>
              <w:rPr>
                <w:rFonts w:ascii="Times New Roman" w:hAnsi="Times New Roman" w:cs="Times New Roman"/>
              </w:rPr>
              <w:t>sought</w:t>
            </w:r>
            <w:r w:rsidRPr="007B24F2">
              <w:rPr>
                <w:rFonts w:ascii="Times New Roman" w:hAnsi="Times New Roman" w:cs="Times New Roman"/>
              </w:rPr>
              <w:t xml:space="preserve"> clarification</w:t>
            </w:r>
            <w:r>
              <w:rPr>
                <w:rFonts w:ascii="Times New Roman" w:hAnsi="Times New Roman" w:cs="Times New Roman"/>
              </w:rPr>
              <w:t xml:space="preserve"> regarding edits to SNP HRA Care Management reporting guidance. One commenter inquired about the specific removal of language pertaining to the reporting of the number of new SNP enrollees who were eligible to be counted under the SNP HRA reporting guidelines. </w:t>
            </w:r>
          </w:p>
        </w:tc>
        <w:tc>
          <w:tcPr>
            <w:tcW w:w="2521" w:type="dxa"/>
            <w:shd w:val="clear" w:color="auto" w:fill="auto"/>
          </w:tcPr>
          <w:p w:rsidR="00361BB8" w:rsidP="00361BB8" w14:paraId="0EC2B1B5" w14:textId="77777777">
            <w:pPr>
              <w:rPr>
                <w:rFonts w:ascii="Times New Roman" w:hAnsi="Times New Roman" w:cs="Times New Roman"/>
                <w:b/>
                <w:iCs/>
              </w:rPr>
            </w:pPr>
            <w:r>
              <w:rPr>
                <w:rFonts w:ascii="Times New Roman" w:hAnsi="Times New Roman" w:cs="Times New Roman"/>
                <w:b/>
                <w:iCs/>
              </w:rPr>
              <w:t>One technical change.</w:t>
            </w:r>
          </w:p>
          <w:p w:rsidR="00361BB8" w:rsidP="00361BB8" w14:paraId="5E2836DB" w14:textId="77777777">
            <w:pPr>
              <w:rPr>
                <w:rFonts w:ascii="Times New Roman" w:hAnsi="Times New Roman" w:cs="Times New Roman"/>
                <w:b/>
                <w:iCs/>
              </w:rPr>
            </w:pPr>
          </w:p>
          <w:p w:rsidR="00361BB8" w:rsidRPr="00F535E6" w:rsidP="00361BB8" w14:paraId="445A715D" w14:textId="47CD620D">
            <w:pPr>
              <w:rPr>
                <w:rFonts w:ascii="Times New Roman" w:hAnsi="Times New Roman" w:cs="Times New Roman"/>
                <w:b/>
                <w:iCs/>
              </w:rPr>
            </w:pPr>
            <w:r w:rsidRPr="00967AD2">
              <w:rPr>
                <w:rFonts w:ascii="Times New Roman" w:hAnsi="Times New Roman" w:cs="Times New Roman"/>
                <w:bCs/>
                <w:iCs/>
              </w:rPr>
              <w:t xml:space="preserve">CMS inadvertently removed the paragraph "The enrollee is a new enrollee who missed both </w:t>
            </w:r>
            <w:r w:rsidRPr="00967AD2">
              <w:rPr>
                <w:rFonts w:ascii="Times New Roman" w:hAnsi="Times New Roman" w:cs="Times New Roman"/>
                <w:bCs/>
                <w:iCs/>
              </w:rPr>
              <w:t>the deadline to complete an initial HRA and the deadline to complete a reassessment HRA and is enrolled for all 365 days of the measurement year." CMS has added the paragraph back into Element ID B as part of the final draft of the CY 2024 Part C Reporting Requirements Technical Specification manual.</w:t>
            </w:r>
          </w:p>
        </w:tc>
      </w:tr>
      <w:tr w14:paraId="78170CCA" w14:textId="77777777" w:rsidTr="0057129F">
        <w:tblPrEx>
          <w:tblW w:w="13948" w:type="dxa"/>
          <w:tblInd w:w="-725" w:type="dxa"/>
          <w:tblLook w:val="04A0"/>
        </w:tblPrEx>
        <w:tc>
          <w:tcPr>
            <w:tcW w:w="2805" w:type="dxa"/>
            <w:shd w:val="clear" w:color="auto" w:fill="auto"/>
          </w:tcPr>
          <w:p w:rsidR="00361BB8" w:rsidP="00361BB8" w14:paraId="5DF09E00" w14:textId="083D8434">
            <w:pPr>
              <w:widowControl w:val="0"/>
              <w:rPr>
                <w:rFonts w:ascii="Times New Roman" w:hAnsi="Times New Roman" w:cs="Times New Roman"/>
                <w:b/>
                <w:bCs/>
              </w:rPr>
            </w:pPr>
            <w:r>
              <w:rPr>
                <w:rFonts w:ascii="Times New Roman" w:hAnsi="Times New Roman" w:cs="Times New Roman"/>
                <w:b/>
                <w:bCs/>
              </w:rPr>
              <w:t>SNP HRA Care Management Disenrollment</w:t>
            </w:r>
          </w:p>
        </w:tc>
        <w:tc>
          <w:tcPr>
            <w:tcW w:w="1477" w:type="dxa"/>
            <w:shd w:val="clear" w:color="auto" w:fill="auto"/>
          </w:tcPr>
          <w:p w:rsidR="00361BB8" w:rsidP="00361BB8" w14:paraId="72EA5544" w14:textId="3B05822D">
            <w:pPr>
              <w:jc w:val="center"/>
              <w:rPr>
                <w:rFonts w:ascii="Times New Roman" w:hAnsi="Times New Roman" w:cs="Times New Roman"/>
                <w:b/>
                <w:bCs/>
              </w:rPr>
            </w:pPr>
            <w:r>
              <w:rPr>
                <w:rFonts w:ascii="Times New Roman" w:hAnsi="Times New Roman" w:cs="Times New Roman"/>
                <w:b/>
                <w:bCs/>
              </w:rPr>
              <w:t>1</w:t>
            </w:r>
          </w:p>
        </w:tc>
        <w:tc>
          <w:tcPr>
            <w:tcW w:w="7145" w:type="dxa"/>
            <w:shd w:val="clear" w:color="auto" w:fill="auto"/>
          </w:tcPr>
          <w:p w:rsidR="00361BB8" w:rsidRPr="00DB4520" w:rsidP="00361BB8" w14:paraId="5D5FD68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Comment</w:t>
            </w:r>
            <w:r w:rsidRPr="00DB4520">
              <w:rPr>
                <w:rFonts w:ascii="Times New Roman" w:eastAsia="Times New Roman" w:hAnsi="Times New Roman" w:cs="Times New Roman"/>
                <w:sz w:val="24"/>
                <w:szCs w:val="24"/>
                <w:u w:val="single"/>
              </w:rPr>
              <w:t>:</w:t>
            </w:r>
            <w:r w:rsidRPr="00DB4520">
              <w:rPr>
                <w:rFonts w:ascii="Times New Roman" w:eastAsia="Times New Roman" w:hAnsi="Times New Roman" w:cs="Times New Roman"/>
                <w:sz w:val="24"/>
                <w:szCs w:val="24"/>
              </w:rPr>
              <w:t xml:space="preserve"> In the Medicare Part C Technical Specifications Document, CMS states the following with respect to a member's Health Risk Assessment (HRA):</w:t>
            </w:r>
          </w:p>
          <w:p w:rsidR="00361BB8" w:rsidRPr="00DB4520" w:rsidP="00361BB8" w14:paraId="40B6059C"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22020239" w14:textId="77777777">
            <w:pPr>
              <w:ind w:left="1080"/>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xml:space="preserve">When a member enrolls, disenrolls, and re-enrolls, into any SNP under the same contract number, the previous HRA is still considered valid and can continue to be used </w:t>
            </w:r>
            <w:r w:rsidRPr="00DB4520">
              <w:rPr>
                <w:rFonts w:ascii="Times New Roman" w:eastAsia="Times New Roman" w:hAnsi="Times New Roman" w:cs="Times New Roman"/>
                <w:sz w:val="24"/>
                <w:szCs w:val="24"/>
              </w:rPr>
              <w:t>as long as</w:t>
            </w:r>
            <w:r w:rsidRPr="00DB4520">
              <w:rPr>
                <w:rFonts w:ascii="Times New Roman" w:eastAsia="Times New Roman" w:hAnsi="Times New Roman" w:cs="Times New Roman"/>
                <w:sz w:val="24"/>
                <w:szCs w:val="24"/>
              </w:rPr>
              <w:t xml:space="preserve"> it is not more than 365 days old. Even if the member is re-enrolling into the same plan, the member would still not be counted more than once in any category.</w:t>
            </w:r>
          </w:p>
          <w:p w:rsidR="00361BB8" w:rsidRPr="00DB4520" w:rsidP="00361BB8" w14:paraId="421C024C"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47910349" w14:textId="77777777">
            <w:pPr>
              <w:ind w:left="1080"/>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A member cannot be counted more than once in the same data element for the same plan in the same measurement year.</w:t>
            </w:r>
          </w:p>
          <w:p w:rsidR="00361BB8" w:rsidRPr="00DB4520" w:rsidP="00361BB8" w14:paraId="2137F405"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7A9917E3"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The commenter seeks clarification on which HRA should be reported if an HRA was completed for both disenrollment and re-enrollment. Specifically, we request that CMS clarify that in the example scenario below (1) that the member should be reported with a 1/1 effective date; and (2) the HRA that would be reported is for the 2/1/2023 effective date since it would still be valid as of the date of re-enrollment on 6/1/2023.</w:t>
            </w:r>
          </w:p>
          <w:p w:rsidR="00361BB8" w:rsidRPr="00DB4520" w:rsidP="00361BB8" w14:paraId="5E3668E2"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68628509" w14:textId="77777777">
            <w:pPr>
              <w:spacing w:before="60"/>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Example Scenario:</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217"/>
              <w:gridCol w:w="606"/>
              <w:gridCol w:w="2236"/>
              <w:gridCol w:w="1716"/>
              <w:gridCol w:w="1134"/>
            </w:tblGrid>
            <w:tr w14:paraId="55B2ED72" w14:textId="77777777" w:rsidTr="00B37BCF">
              <w:tblPrEx>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c>
                <w:tcPr>
                  <w:tcW w:w="16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2696896E"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78230EA9"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New Member: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3F65118"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c>
                <w:tcPr>
                  <w:tcW w:w="41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4B91EE8B" w14:textId="77777777">
                  <w:pPr>
                    <w:spacing w:after="0" w:line="280" w:lineRule="atLeast"/>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Enrollment/Re- Enrollment Effective Date</w:t>
                  </w:r>
                </w:p>
              </w:tc>
              <w:tc>
                <w:tcPr>
                  <w:tcW w:w="2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387928D5" w14:textId="77777777">
                  <w:pPr>
                    <w:spacing w:after="0" w:line="280" w:lineRule="atLeast"/>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Disenrollment Date</w:t>
                  </w:r>
                </w:p>
              </w:tc>
              <w:tc>
                <w:tcPr>
                  <w:tcW w:w="9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1B204128"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3F7063D6"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HRA</w:t>
                  </w:r>
                </w:p>
              </w:tc>
            </w:tr>
            <w:tr w14:paraId="0C8E0F32" w14:textId="77777777" w:rsidTr="00B37BCF">
              <w:tblPrEx>
                <w:tblW w:w="0" w:type="auto"/>
                <w:tblCellMar>
                  <w:left w:w="0" w:type="dxa"/>
                  <w:right w:w="0" w:type="dxa"/>
                </w:tblCellMar>
                <w:tblLook w:val="04A0"/>
              </w:tblPrEx>
              <w:tc>
                <w:tcPr>
                  <w:tcW w:w="1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4C4C0D0C"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1C9D6F03" w14:textId="77777777">
                  <w:pPr>
                    <w:spacing w:before="2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003</w:t>
                  </w:r>
                </w:p>
              </w:tc>
              <w:tc>
                <w:tcPr>
                  <w:tcW w:w="41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5EB87DE9"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1/1/2023</w:t>
                  </w:r>
                </w:p>
              </w:tc>
              <w:tc>
                <w:tcPr>
                  <w:tcW w:w="21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66C339D8"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4/30/2023</w:t>
                  </w:r>
                </w:p>
              </w:tc>
              <w:tc>
                <w:tcPr>
                  <w:tcW w:w="9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6A8F0A61"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2/1/2023</w:t>
                  </w:r>
                </w:p>
              </w:tc>
            </w:tr>
            <w:tr w14:paraId="45271C0D" w14:textId="77777777" w:rsidTr="00B37BCF">
              <w:tblPrEx>
                <w:tblW w:w="0" w:type="auto"/>
                <w:tblCellMar>
                  <w:left w:w="0" w:type="dxa"/>
                  <w:right w:w="0" w:type="dxa"/>
                </w:tblCellMar>
                <w:tblLook w:val="04A0"/>
              </w:tblPrEx>
              <w:tc>
                <w:tcPr>
                  <w:tcW w:w="1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40E9B07B"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602424D1"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003</w:t>
                  </w:r>
                </w:p>
              </w:tc>
              <w:tc>
                <w:tcPr>
                  <w:tcW w:w="41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65A5405D"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6/1/2023</w:t>
                  </w:r>
                </w:p>
              </w:tc>
              <w:tc>
                <w:tcPr>
                  <w:tcW w:w="21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0FA312D8"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12/1/9999</w:t>
                  </w:r>
                </w:p>
              </w:tc>
              <w:tc>
                <w:tcPr>
                  <w:tcW w:w="10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E16A0E3"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6/15/2023</w:t>
                  </w:r>
                </w:p>
              </w:tc>
            </w:tr>
            <w:tr w14:paraId="40F53B2F" w14:textId="77777777" w:rsidTr="00B37BCF">
              <w:tblPrEx>
                <w:tblW w:w="0" w:type="auto"/>
                <w:tblCellMar>
                  <w:left w:w="0" w:type="dxa"/>
                  <w:right w:w="0" w:type="dxa"/>
                </w:tblCellMar>
                <w:tblLook w:val="04A0"/>
              </w:tblPrEx>
              <w:tc>
                <w:tcPr>
                  <w:tcW w:w="1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086BF4AB"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Report: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309604B6"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003</w:t>
                  </w:r>
                </w:p>
              </w:tc>
              <w:tc>
                <w:tcPr>
                  <w:tcW w:w="41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063F83A0"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1/1/2023</w:t>
                  </w:r>
                </w:p>
              </w:tc>
              <w:tc>
                <w:tcPr>
                  <w:tcW w:w="21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4DA94BDE"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12/1/9999</w:t>
                  </w:r>
                </w:p>
              </w:tc>
              <w:tc>
                <w:tcPr>
                  <w:tcW w:w="9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2D06D12"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2/1/2023</w:t>
                  </w:r>
                </w:p>
              </w:tc>
            </w:tr>
          </w:tbl>
          <w:p w:rsidR="00361BB8" w:rsidP="00361BB8" w14:paraId="22D607CB" w14:textId="77777777">
            <w:pPr>
              <w:rPr>
                <w:rFonts w:ascii="Times New Roman" w:hAnsi="Times New Roman" w:cs="Times New Roman"/>
              </w:rPr>
            </w:pPr>
          </w:p>
        </w:tc>
        <w:tc>
          <w:tcPr>
            <w:tcW w:w="2521" w:type="dxa"/>
            <w:shd w:val="clear" w:color="auto" w:fill="auto"/>
          </w:tcPr>
          <w:p w:rsidR="00361BB8" w:rsidP="00361BB8" w14:paraId="1AEC466E" w14:textId="77777777">
            <w:pPr>
              <w:rPr>
                <w:rFonts w:ascii="Times New Roman" w:hAnsi="Times New Roman" w:cs="Times New Roman"/>
                <w:b/>
                <w:iCs/>
              </w:rPr>
            </w:pPr>
            <w:r>
              <w:rPr>
                <w:rFonts w:ascii="Times New Roman" w:hAnsi="Times New Roman" w:cs="Times New Roman"/>
                <w:b/>
                <w:iCs/>
              </w:rPr>
              <w:t>No changes</w:t>
            </w:r>
          </w:p>
          <w:p w:rsidR="00361BB8" w:rsidRPr="00DB4520" w:rsidP="00361BB8" w14:paraId="7556A0F5" w14:textId="77777777">
            <w:pPr>
              <w:rPr>
                <w:rFonts w:ascii="Times New Roman" w:hAnsi="Times New Roman" w:cs="Times New Roman"/>
                <w:bCs/>
                <w:iCs/>
              </w:rPr>
            </w:pPr>
            <w:r w:rsidRPr="00DB4520">
              <w:rPr>
                <w:rFonts w:ascii="Times New Roman" w:hAnsi="Times New Roman" w:cs="Times New Roman"/>
                <w:bCs/>
                <w:iCs/>
              </w:rPr>
              <w:t xml:space="preserve">In the example provided, the member would be reported both as a new member and as a member eligible for reassessment based on the completed HRAs during the year. First, the SNP would report the member under Element IDs A and C based on the initial HRA that was completed on 2/1/2023. The SNP would then report the same individual under Element IDs B and F based on the reassessment HRA that was completed on 6/15/2023. The SNP has not violated our policy of reporting any individual twice under on element since the member was both a new and reassessment eligible member based on the HRAs completed. The SNP was not required to conduct a second HRA during MY 2023 on 6/15/2023 since they could have used the HRA from 2/1/2023, which was less than 365-days old. However, the circumstances of this </w:t>
            </w:r>
            <w:r w:rsidRPr="00DB4520">
              <w:rPr>
                <w:rFonts w:ascii="Times New Roman" w:hAnsi="Times New Roman" w:cs="Times New Roman"/>
                <w:bCs/>
                <w:iCs/>
              </w:rPr>
              <w:t>particular example</w:t>
            </w:r>
            <w:r w:rsidRPr="00DB4520">
              <w:rPr>
                <w:rFonts w:ascii="Times New Roman" w:hAnsi="Times New Roman" w:cs="Times New Roman"/>
                <w:bCs/>
                <w:iCs/>
              </w:rPr>
              <w:t xml:space="preserve"> permit</w:t>
            </w:r>
            <w:r>
              <w:rPr>
                <w:rFonts w:ascii="Times New Roman" w:hAnsi="Times New Roman" w:cs="Times New Roman"/>
                <w:bCs/>
                <w:iCs/>
              </w:rPr>
              <w:t xml:space="preserve"> </w:t>
            </w:r>
            <w:r w:rsidRPr="00DB4520">
              <w:rPr>
                <w:rFonts w:ascii="Times New Roman" w:hAnsi="Times New Roman" w:cs="Times New Roman"/>
                <w:bCs/>
                <w:iCs/>
              </w:rPr>
              <w:t xml:space="preserve">the plan to report both HRAs. </w:t>
            </w:r>
          </w:p>
          <w:p w:rsidR="00361BB8" w:rsidRPr="00F535E6" w:rsidP="00361BB8" w14:paraId="07F5B46A" w14:textId="77777777">
            <w:pPr>
              <w:rPr>
                <w:rFonts w:ascii="Times New Roman" w:hAnsi="Times New Roman" w:cs="Times New Roman"/>
                <w:b/>
                <w:iCs/>
              </w:rPr>
            </w:pPr>
          </w:p>
        </w:tc>
      </w:tr>
      <w:tr w14:paraId="40292CF9" w14:textId="77777777" w:rsidTr="0057129F">
        <w:tblPrEx>
          <w:tblW w:w="13948" w:type="dxa"/>
          <w:tblInd w:w="-725" w:type="dxa"/>
          <w:tblLook w:val="04A0"/>
        </w:tblPrEx>
        <w:tc>
          <w:tcPr>
            <w:tcW w:w="2805" w:type="dxa"/>
            <w:shd w:val="clear" w:color="auto" w:fill="auto"/>
          </w:tcPr>
          <w:p w:rsidR="00361BB8" w:rsidP="00361BB8" w14:paraId="4F0E5D05" w14:textId="169B4F90">
            <w:pPr>
              <w:widowControl w:val="0"/>
              <w:rPr>
                <w:rFonts w:ascii="Times New Roman" w:hAnsi="Times New Roman" w:cs="Times New Roman"/>
                <w:b/>
                <w:bCs/>
              </w:rPr>
            </w:pPr>
            <w:r>
              <w:rPr>
                <w:rFonts w:ascii="Times New Roman" w:hAnsi="Times New Roman" w:cs="Times New Roman"/>
                <w:b/>
                <w:bCs/>
              </w:rPr>
              <w:t>SNP HRA Care Management Use of Previously Completed HRA</w:t>
            </w:r>
          </w:p>
        </w:tc>
        <w:tc>
          <w:tcPr>
            <w:tcW w:w="1477" w:type="dxa"/>
            <w:shd w:val="clear" w:color="auto" w:fill="auto"/>
          </w:tcPr>
          <w:p w:rsidR="00361BB8" w:rsidP="00361BB8" w14:paraId="75136FFD" w14:textId="5F47F9E3">
            <w:pPr>
              <w:jc w:val="center"/>
              <w:rPr>
                <w:rFonts w:ascii="Times New Roman" w:hAnsi="Times New Roman" w:cs="Times New Roman"/>
                <w:b/>
                <w:bCs/>
              </w:rPr>
            </w:pPr>
            <w:r>
              <w:rPr>
                <w:rFonts w:ascii="Times New Roman" w:hAnsi="Times New Roman" w:cs="Times New Roman"/>
                <w:b/>
                <w:bCs/>
              </w:rPr>
              <w:t>1</w:t>
            </w:r>
          </w:p>
        </w:tc>
        <w:tc>
          <w:tcPr>
            <w:tcW w:w="7145" w:type="dxa"/>
            <w:shd w:val="clear" w:color="auto" w:fill="auto"/>
          </w:tcPr>
          <w:p w:rsidR="00361BB8" w:rsidRPr="00DB4520" w:rsidP="00361BB8" w14:paraId="674A6A9B"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u w:val="single"/>
              </w:rPr>
              <w:t>Comment:</w:t>
            </w:r>
            <w:r w:rsidRPr="00DB4520">
              <w:rPr>
                <w:rFonts w:ascii="Times New Roman" w:eastAsia="Times New Roman" w:hAnsi="Times New Roman" w:cs="Times New Roman"/>
                <w:sz w:val="24"/>
                <w:szCs w:val="24"/>
              </w:rPr>
              <w:t xml:space="preserve"> The commenter asks that for Data Element C (Number of Initial HRAs Performed on New Enrollees), CMS stated under Inclusions:</w:t>
            </w:r>
          </w:p>
          <w:p w:rsidR="00361BB8" w:rsidRPr="00DB4520" w:rsidP="00361BB8" w14:paraId="2CE8A0CA"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736D2F1C" w14:textId="77777777">
            <w:pPr>
              <w:ind w:left="1080"/>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For members who disenrolled from and reenrolled into the same plan, includes HRAs (initial or reassessment) performed during their previous enrollment if the HRAs are not more than 365 days old.</w:t>
            </w:r>
          </w:p>
          <w:p w:rsidR="00361BB8" w:rsidRPr="00DB4520" w:rsidP="00361BB8" w14:paraId="3EB53B2F"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49AC5736" w14:textId="77777777">
            <w:pPr>
              <w:ind w:left="1080"/>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For members who disenrolled from and reenrolled into the same plan, excludes any HRAs (initial or reassessment) performed during their previous enrollment unless the re-enrollment occurred the day after the disenrollment.</w:t>
            </w:r>
          </w:p>
          <w:p w:rsidR="00361BB8" w:rsidRPr="00DB4520" w:rsidP="00361BB8" w14:paraId="739A83FD"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09C664CB"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The commenter poses four hypothetical scenarios for CMS's review and consideration related to Data Element C.</w:t>
            </w:r>
          </w:p>
          <w:p w:rsidR="00361BB8" w:rsidRPr="00DB4520" w:rsidP="00361BB8" w14:paraId="1B15782B"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21AFDAD8"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First, for enrollees with a break in coverage, the commenter asks that CMS confirm whether the reporting should include both completed HRAs if they were performed within the past 365 days. For example, if an initial HRA that was completed on 12/15/2022, and an annual HRA that was completed 6/15/2023, we would like to confirm if both be included in Data Element C.</w:t>
            </w:r>
          </w:p>
          <w:p w:rsidR="00361BB8" w:rsidRPr="00DB4520" w:rsidP="00361BB8" w14:paraId="726B6669"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1D44B119"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Example 1 Scenario:</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200"/>
              <w:gridCol w:w="520"/>
              <w:gridCol w:w="1067"/>
              <w:gridCol w:w="1614"/>
              <w:gridCol w:w="1254"/>
              <w:gridCol w:w="1254"/>
            </w:tblGrid>
            <w:tr w14:paraId="08F819D4" w14:textId="77777777" w:rsidTr="00B37BCF">
              <w:tblPrEx>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c>
                <w:tcPr>
                  <w:tcW w:w="17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6F4AD5BC" w14:textId="77777777">
                  <w:pPr>
                    <w:spacing w:after="0" w:line="260" w:lineRule="atLeast"/>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New Enrollees: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24F67C58"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c>
                <w:tcPr>
                  <w:tcW w:w="16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1F0CF6F1" w14:textId="77777777">
                  <w:pPr>
                    <w:spacing w:after="0" w:line="260" w:lineRule="atLeast"/>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Effective Date</w:t>
                  </w:r>
                </w:p>
              </w:tc>
              <w:tc>
                <w:tcPr>
                  <w:tcW w:w="21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4F6A2D27" w14:textId="77777777">
                  <w:pPr>
                    <w:spacing w:after="0" w:line="260" w:lineRule="atLeast"/>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Disenrollment Date</w:t>
                  </w:r>
                </w:p>
              </w:tc>
              <w:tc>
                <w:tcPr>
                  <w:tcW w:w="12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37531473"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09444D1B"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HRA</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1C4EC9AC"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159B7C31"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HRA_2</w:t>
                  </w:r>
                </w:p>
              </w:tc>
            </w:tr>
            <w:tr w14:paraId="26A69706" w14:textId="77777777" w:rsidTr="00B37BCF">
              <w:tblPrEx>
                <w:tblW w:w="0" w:type="auto"/>
                <w:tblCellMar>
                  <w:left w:w="0" w:type="dxa"/>
                  <w:right w:w="0" w:type="dxa"/>
                </w:tblCellMar>
                <w:tblLook w:val="04A0"/>
              </w:tblPrEx>
              <w:tc>
                <w:tcPr>
                  <w:tcW w:w="17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31038C12"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0214EE6" w14:textId="77777777">
                  <w:pPr>
                    <w:spacing w:before="2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001</w:t>
                  </w:r>
                </w:p>
              </w:tc>
              <w:tc>
                <w:tcPr>
                  <w:tcW w:w="16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48DCCEE1"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1/1/2023</w:t>
                  </w:r>
                </w:p>
              </w:tc>
              <w:tc>
                <w:tcPr>
                  <w:tcW w:w="21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59F97B5B"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4/30/2023</w:t>
                  </w:r>
                </w:p>
              </w:tc>
              <w:tc>
                <w:tcPr>
                  <w:tcW w:w="1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52FE484B"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12/15/2022</w:t>
                  </w:r>
                </w:p>
              </w:tc>
              <w:tc>
                <w:tcPr>
                  <w:tcW w:w="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00285737"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r>
            <w:tr w14:paraId="0A128A7B" w14:textId="77777777" w:rsidTr="00B37BCF">
              <w:tblPrEx>
                <w:tblW w:w="0" w:type="auto"/>
                <w:tblCellMar>
                  <w:left w:w="0" w:type="dxa"/>
                  <w:right w:w="0" w:type="dxa"/>
                </w:tblCellMar>
                <w:tblLook w:val="04A0"/>
              </w:tblPrEx>
              <w:tc>
                <w:tcPr>
                  <w:tcW w:w="17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5FFC83F1"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55E96B4"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001</w:t>
                  </w:r>
                </w:p>
              </w:tc>
              <w:tc>
                <w:tcPr>
                  <w:tcW w:w="16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48C875A5"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6/1/2023</w:t>
                  </w:r>
                </w:p>
              </w:tc>
              <w:tc>
                <w:tcPr>
                  <w:tcW w:w="21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4D561754"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12/31/9999</w:t>
                  </w:r>
                </w:p>
              </w:tc>
              <w:tc>
                <w:tcPr>
                  <w:tcW w:w="12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AC9C9EE"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6/15/2023</w:t>
                  </w:r>
                </w:p>
              </w:tc>
              <w:tc>
                <w:tcPr>
                  <w:tcW w:w="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2A549630"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r>
            <w:tr w14:paraId="194D2801" w14:textId="77777777" w:rsidTr="00B37BCF">
              <w:tblPrEx>
                <w:tblW w:w="0" w:type="auto"/>
                <w:tblCellMar>
                  <w:left w:w="0" w:type="dxa"/>
                  <w:right w:w="0" w:type="dxa"/>
                </w:tblCellMar>
                <w:tblLook w:val="04A0"/>
              </w:tblPrEx>
              <w:tc>
                <w:tcPr>
                  <w:tcW w:w="17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04573866"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Report: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211B5EDF"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001</w:t>
                  </w:r>
                </w:p>
              </w:tc>
              <w:tc>
                <w:tcPr>
                  <w:tcW w:w="16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3213653B"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1/1/2023</w:t>
                  </w:r>
                </w:p>
              </w:tc>
              <w:tc>
                <w:tcPr>
                  <w:tcW w:w="21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2D1F6891"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12/31/9999</w:t>
                  </w:r>
                </w:p>
              </w:tc>
              <w:tc>
                <w:tcPr>
                  <w:tcW w:w="12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28FB5E3D"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6/15/2023</w:t>
                  </w:r>
                </w:p>
              </w:tc>
              <w:tc>
                <w:tcPr>
                  <w:tcW w:w="12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4E5B22A6"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12/15/2022</w:t>
                  </w:r>
                </w:p>
              </w:tc>
            </w:tr>
          </w:tbl>
          <w:p w:rsidR="00361BB8" w:rsidRPr="00DB4520" w:rsidP="00361BB8" w14:paraId="40045ED8"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02B74BF4" w14:textId="77777777">
            <w:pPr>
              <w:spacing w:before="60"/>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Second, UHC asks CMS to confirm whether an enrollee in Scenario 1 should be reported as an annual enrollee with a 6/1/2023 HRA completion date.</w:t>
            </w:r>
          </w:p>
          <w:p w:rsidR="00361BB8" w:rsidRPr="00DB4520" w:rsidP="00361BB8" w14:paraId="4CE98E0E"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36FB94B1"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Example 2 Scenario:</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217"/>
              <w:gridCol w:w="581"/>
              <w:gridCol w:w="1146"/>
              <w:gridCol w:w="1687"/>
              <w:gridCol w:w="1144"/>
              <w:gridCol w:w="1134"/>
            </w:tblGrid>
            <w:tr w14:paraId="7913E050" w14:textId="77777777" w:rsidTr="00B37BCF">
              <w:tblPrEx>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c>
                <w:tcPr>
                  <w:tcW w:w="19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6C842077"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23DE7117"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Annual Enrollee: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27A53C93"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c>
                <w:tcPr>
                  <w:tcW w:w="16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0911963E" w14:textId="77777777">
                  <w:pPr>
                    <w:spacing w:after="0" w:line="260" w:lineRule="atLeast"/>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Effective Date</w:t>
                  </w:r>
                </w:p>
              </w:tc>
              <w:tc>
                <w:tcPr>
                  <w:tcW w:w="21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02BD7CE7" w14:textId="77777777">
                  <w:pPr>
                    <w:spacing w:after="0" w:line="260" w:lineRule="atLeast"/>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Disenrollment Date</w:t>
                  </w:r>
                </w:p>
              </w:tc>
              <w:tc>
                <w:tcPr>
                  <w:tcW w:w="11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3A6D5C1F"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1073DF91"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HRA_1</w:t>
                  </w:r>
                </w:p>
              </w:tc>
              <w:tc>
                <w:tcPr>
                  <w:tcW w:w="9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48548109"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6CE71B6C"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HRA_2</w:t>
                  </w:r>
                </w:p>
              </w:tc>
            </w:tr>
            <w:tr w14:paraId="00F61492" w14:textId="77777777" w:rsidTr="00B37BCF">
              <w:tblPrEx>
                <w:tblW w:w="0" w:type="auto"/>
                <w:tblCellMar>
                  <w:left w:w="0" w:type="dxa"/>
                  <w:right w:w="0" w:type="dxa"/>
                </w:tblCellMar>
                <w:tblLook w:val="04A0"/>
              </w:tblPrEx>
              <w:tc>
                <w:tcPr>
                  <w:tcW w:w="18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0A91546D"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04609AB7" w14:textId="77777777">
                  <w:pPr>
                    <w:spacing w:before="40" w:after="0" w:line="240" w:lineRule="auto"/>
                    <w:jc w:val="cente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003</w:t>
                  </w:r>
                </w:p>
              </w:tc>
              <w:tc>
                <w:tcPr>
                  <w:tcW w:w="16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091C0C0A"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1/1/2022</w:t>
                  </w:r>
                </w:p>
              </w:tc>
              <w:tc>
                <w:tcPr>
                  <w:tcW w:w="21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14069FE5"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3/31/2023</w:t>
                  </w:r>
                </w:p>
              </w:tc>
              <w:tc>
                <w:tcPr>
                  <w:tcW w:w="1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5D30D9E0"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2/15/2023</w:t>
                  </w:r>
                </w:p>
              </w:tc>
              <w:tc>
                <w:tcPr>
                  <w:tcW w:w="8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36233D5E"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r>
            <w:tr w14:paraId="16C751BA" w14:textId="77777777" w:rsidTr="00B37BCF">
              <w:tblPrEx>
                <w:tblW w:w="0" w:type="auto"/>
                <w:tblCellMar>
                  <w:left w:w="0" w:type="dxa"/>
                  <w:right w:w="0" w:type="dxa"/>
                </w:tblCellMar>
                <w:tblLook w:val="04A0"/>
              </w:tblPrEx>
              <w:tc>
                <w:tcPr>
                  <w:tcW w:w="18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B7FDB35"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3098CF8" w14:textId="77777777">
                  <w:pPr>
                    <w:spacing w:before="40" w:after="0" w:line="240" w:lineRule="auto"/>
                    <w:jc w:val="cente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003</w:t>
                  </w:r>
                </w:p>
              </w:tc>
              <w:tc>
                <w:tcPr>
                  <w:tcW w:w="16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5071F01E"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5/1/2023</w:t>
                  </w:r>
                </w:p>
              </w:tc>
              <w:tc>
                <w:tcPr>
                  <w:tcW w:w="21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3E1589A3"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12/1/9999</w:t>
                  </w:r>
                </w:p>
              </w:tc>
              <w:tc>
                <w:tcPr>
                  <w:tcW w:w="11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5B4E0AC7"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6/1/2023</w:t>
                  </w:r>
                </w:p>
              </w:tc>
              <w:tc>
                <w:tcPr>
                  <w:tcW w:w="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5C0068F4"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r>
            <w:tr w14:paraId="7671F25E" w14:textId="77777777" w:rsidTr="00B37BCF">
              <w:tblPrEx>
                <w:tblW w:w="0" w:type="auto"/>
                <w:tblCellMar>
                  <w:left w:w="0" w:type="dxa"/>
                  <w:right w:w="0" w:type="dxa"/>
                </w:tblCellMar>
                <w:tblLook w:val="04A0"/>
              </w:tblPrEx>
              <w:tc>
                <w:tcPr>
                  <w:tcW w:w="18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797146C"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Report: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9F77ADA" w14:textId="77777777">
                  <w:pPr>
                    <w:spacing w:before="40" w:after="0" w:line="240" w:lineRule="auto"/>
                    <w:jc w:val="center"/>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003</w:t>
                  </w:r>
                </w:p>
              </w:tc>
              <w:tc>
                <w:tcPr>
                  <w:tcW w:w="16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2630F4B5" w14:textId="77777777">
                  <w:pPr>
                    <w:spacing w:before="6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1/1/2022</w:t>
                  </w:r>
                </w:p>
              </w:tc>
              <w:tc>
                <w:tcPr>
                  <w:tcW w:w="21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3F2892CE"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12/1/9999</w:t>
                  </w:r>
                </w:p>
              </w:tc>
              <w:tc>
                <w:tcPr>
                  <w:tcW w:w="11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1294B484" w14:textId="77777777">
                  <w:pPr>
                    <w:spacing w:before="6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6/1/2023</w:t>
                  </w:r>
                </w:p>
              </w:tc>
              <w:tc>
                <w:tcPr>
                  <w:tcW w:w="10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6DDDF0F6"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2/15/2023</w:t>
                  </w:r>
                </w:p>
              </w:tc>
            </w:tr>
          </w:tbl>
          <w:p w:rsidR="00361BB8" w:rsidRPr="00DB4520" w:rsidP="00361BB8" w14:paraId="0C6BFAA9"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257BD846"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Third, UHC asks CMS to confirm whether the 7/1/2023 re-enrollment date is the only date that should be reported.</w:t>
            </w:r>
          </w:p>
          <w:p w:rsidR="00361BB8" w:rsidRPr="00DB4520" w:rsidP="00361BB8" w14:paraId="1B24B5B9"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6A5C27D6"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Example 3 Scenario:</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650"/>
              <w:gridCol w:w="818"/>
              <w:gridCol w:w="1456"/>
              <w:gridCol w:w="1971"/>
              <w:gridCol w:w="1014"/>
            </w:tblGrid>
            <w:tr w14:paraId="26D67291" w14:textId="77777777" w:rsidTr="00B37BCF">
              <w:tblPrEx>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c>
                <w:tcPr>
                  <w:tcW w:w="19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6C712E55"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Annual Enrollee: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4D0B5ACE"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c>
                <w:tcPr>
                  <w:tcW w:w="16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47A76847"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Effective Date</w:t>
                  </w:r>
                </w:p>
              </w:tc>
              <w:tc>
                <w:tcPr>
                  <w:tcW w:w="21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C5844A8"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Disenrollment Date</w:t>
                  </w:r>
                </w:p>
              </w:tc>
              <w:tc>
                <w:tcPr>
                  <w:tcW w:w="8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614ECB34" w14:textId="77777777">
                  <w:pPr>
                    <w:spacing w:before="2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HRA_1</w:t>
                  </w:r>
                </w:p>
              </w:tc>
            </w:tr>
            <w:tr w14:paraId="0A8B27E0" w14:textId="77777777" w:rsidTr="00B37BCF">
              <w:tblPrEx>
                <w:tblW w:w="0" w:type="auto"/>
                <w:tblCellMar>
                  <w:left w:w="0" w:type="dxa"/>
                  <w:right w:w="0" w:type="dxa"/>
                </w:tblCellMar>
                <w:tblLook w:val="04A0"/>
              </w:tblPrEx>
              <w:tc>
                <w:tcPr>
                  <w:tcW w:w="18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0BF5F501"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5C4D00C"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003</w:t>
                  </w:r>
                </w:p>
              </w:tc>
              <w:tc>
                <w:tcPr>
                  <w:tcW w:w="16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1A6E4E67"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1/1/2022</w:t>
                  </w:r>
                </w:p>
              </w:tc>
              <w:tc>
                <w:tcPr>
                  <w:tcW w:w="21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14C28A94"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3/31/2023</w:t>
                  </w:r>
                </w:p>
              </w:tc>
              <w:tc>
                <w:tcPr>
                  <w:tcW w:w="8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064B1C59"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r>
            <w:tr w14:paraId="272A9076" w14:textId="77777777" w:rsidTr="00B37BCF">
              <w:tblPrEx>
                <w:tblW w:w="0" w:type="auto"/>
                <w:tblCellMar>
                  <w:left w:w="0" w:type="dxa"/>
                  <w:right w:w="0" w:type="dxa"/>
                </w:tblCellMar>
                <w:tblLook w:val="04A0"/>
              </w:tblPrEx>
              <w:tc>
                <w:tcPr>
                  <w:tcW w:w="18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17856FEE"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523AFBC"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003</w:t>
                  </w:r>
                </w:p>
              </w:tc>
              <w:tc>
                <w:tcPr>
                  <w:tcW w:w="16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519BAED"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7/1/2023</w:t>
                  </w:r>
                </w:p>
              </w:tc>
              <w:tc>
                <w:tcPr>
                  <w:tcW w:w="21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7250B35"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12/1/9999</w:t>
                  </w:r>
                </w:p>
              </w:tc>
              <w:tc>
                <w:tcPr>
                  <w:tcW w:w="9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632BECDC"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8/1/2023</w:t>
                  </w:r>
                </w:p>
              </w:tc>
            </w:tr>
            <w:tr w14:paraId="6B6355D9" w14:textId="77777777" w:rsidTr="00B37BCF">
              <w:tblPrEx>
                <w:tblW w:w="0" w:type="auto"/>
                <w:tblCellMar>
                  <w:left w:w="0" w:type="dxa"/>
                  <w:right w:w="0" w:type="dxa"/>
                </w:tblCellMar>
                <w:tblLook w:val="04A0"/>
              </w:tblPrEx>
              <w:tc>
                <w:tcPr>
                  <w:tcW w:w="18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26F4BEDC" w14:textId="77777777">
                  <w:pPr>
                    <w:spacing w:before="2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Report: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164AB60C" w14:textId="77777777">
                  <w:pPr>
                    <w:spacing w:before="2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003</w:t>
                  </w:r>
                </w:p>
              </w:tc>
              <w:tc>
                <w:tcPr>
                  <w:tcW w:w="16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4B369FB5"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7/1/2023</w:t>
                  </w:r>
                </w:p>
              </w:tc>
              <w:tc>
                <w:tcPr>
                  <w:tcW w:w="21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0999C92F"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12/1/9999</w:t>
                  </w:r>
                </w:p>
              </w:tc>
              <w:tc>
                <w:tcPr>
                  <w:tcW w:w="9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6BC7CF29"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8/1/2023</w:t>
                  </w:r>
                </w:p>
              </w:tc>
            </w:tr>
          </w:tbl>
          <w:p w:rsidR="00361BB8" w:rsidRPr="00DB4520" w:rsidP="00361BB8" w14:paraId="5CE14CB5"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4A48A4BA"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Fourth, UHC asks CMS to clarify whether the 5/1/2023 re-enrollment date should be the only reported date in this scenario because the previous HRA is greater than 365 days old.</w:t>
            </w:r>
          </w:p>
          <w:p w:rsidR="00361BB8" w:rsidRPr="00DB4520" w:rsidP="00361BB8" w14:paraId="5FE45FC4"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573AC721"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Example 4 Scenario:</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626"/>
              <w:gridCol w:w="802"/>
              <w:gridCol w:w="1449"/>
              <w:gridCol w:w="1985"/>
              <w:gridCol w:w="1047"/>
            </w:tblGrid>
            <w:tr w14:paraId="070E6C2F" w14:textId="77777777" w:rsidTr="00B37BCF">
              <w:tblPrEx>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rPr>
                <w:trHeight w:val="472"/>
              </w:trPr>
              <w:tc>
                <w:tcPr>
                  <w:tcW w:w="20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04F63088"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Annual Enrollee:</w:t>
                  </w:r>
                </w:p>
              </w:tc>
              <w:tc>
                <w:tcPr>
                  <w:tcW w:w="1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3B08853"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566ADDD3"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Effective Date</w:t>
                  </w:r>
                </w:p>
              </w:tc>
              <w:tc>
                <w:tcPr>
                  <w:tcW w:w="22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5CCCC34A"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Disenrollment Date</w:t>
                  </w:r>
                </w:p>
              </w:tc>
              <w:tc>
                <w:tcPr>
                  <w:tcW w:w="10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366CCD58"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HRA_1</w:t>
                  </w:r>
                </w:p>
              </w:tc>
            </w:tr>
            <w:tr w14:paraId="5D992FAF" w14:textId="77777777" w:rsidTr="00B37BCF">
              <w:tblPrEx>
                <w:tblW w:w="0" w:type="auto"/>
                <w:tblCellMar>
                  <w:left w:w="0" w:type="dxa"/>
                  <w:right w:w="0" w:type="dxa"/>
                </w:tblCellMar>
                <w:tblLook w:val="04A0"/>
              </w:tblPrEx>
              <w:trPr>
                <w:trHeight w:val="245"/>
              </w:trPr>
              <w:tc>
                <w:tcPr>
                  <w:tcW w:w="20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4F58F7ED"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c>
                <w:tcPr>
                  <w:tcW w:w="1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232C296C"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003</w:t>
                  </w: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03DE468"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1/1/2022</w:t>
                  </w:r>
                </w:p>
              </w:tc>
              <w:tc>
                <w:tcPr>
                  <w:tcW w:w="22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11705143"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3/31/2023</w:t>
                  </w:r>
                </w:p>
              </w:tc>
              <w:tc>
                <w:tcPr>
                  <w:tcW w:w="10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1CEA24F9"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2/1/2022</w:t>
                  </w:r>
                </w:p>
              </w:tc>
            </w:tr>
            <w:tr w14:paraId="6D5BE970" w14:textId="77777777" w:rsidTr="00B37BCF">
              <w:tblPrEx>
                <w:tblW w:w="0" w:type="auto"/>
                <w:tblCellMar>
                  <w:left w:w="0" w:type="dxa"/>
                  <w:right w:w="0" w:type="dxa"/>
                </w:tblCellMar>
                <w:tblLook w:val="04A0"/>
              </w:tblPrEx>
              <w:trPr>
                <w:trHeight w:val="256"/>
              </w:trPr>
              <w:tc>
                <w:tcPr>
                  <w:tcW w:w="20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58C73480" w14:textId="77777777">
                  <w:pPr>
                    <w:spacing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tc>
              <w:tc>
                <w:tcPr>
                  <w:tcW w:w="1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6D35E9DD"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003</w:t>
                  </w: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4859BB8B"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5/1/2023</w:t>
                  </w:r>
                </w:p>
              </w:tc>
              <w:tc>
                <w:tcPr>
                  <w:tcW w:w="22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357CB1DE"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12/1/9999</w:t>
                  </w:r>
                </w:p>
              </w:tc>
              <w:tc>
                <w:tcPr>
                  <w:tcW w:w="10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0BC05A7B"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6/1/2023</w:t>
                  </w:r>
                </w:p>
              </w:tc>
            </w:tr>
            <w:tr w14:paraId="6552A4F2" w14:textId="77777777" w:rsidTr="00B37BCF">
              <w:tblPrEx>
                <w:tblW w:w="0" w:type="auto"/>
                <w:tblCellMar>
                  <w:left w:w="0" w:type="dxa"/>
                  <w:right w:w="0" w:type="dxa"/>
                </w:tblCellMar>
                <w:tblLook w:val="04A0"/>
              </w:tblPrEx>
              <w:trPr>
                <w:trHeight w:val="245"/>
              </w:trPr>
              <w:tc>
                <w:tcPr>
                  <w:tcW w:w="20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7A1755D6" w14:textId="77777777">
                  <w:pPr>
                    <w:spacing w:before="2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Report:</w:t>
                  </w:r>
                </w:p>
              </w:tc>
              <w:tc>
                <w:tcPr>
                  <w:tcW w:w="1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6C44DF29"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003</w:t>
                  </w: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293221CE"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5/1/2023</w:t>
                  </w:r>
                </w:p>
              </w:tc>
              <w:tc>
                <w:tcPr>
                  <w:tcW w:w="22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0347A3B2"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12/1/9999</w:t>
                  </w:r>
                </w:p>
              </w:tc>
              <w:tc>
                <w:tcPr>
                  <w:tcW w:w="10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61BB8" w:rsidRPr="00DB4520" w:rsidP="00361BB8" w14:paraId="6E5F9E8E" w14:textId="77777777">
                  <w:pPr>
                    <w:spacing w:before="40" w:after="0" w:line="240" w:lineRule="auto"/>
                    <w:rPr>
                      <w:rFonts w:ascii="Times New Roman" w:eastAsia="Times New Roman" w:hAnsi="Times New Roman" w:cs="Times New Roman"/>
                      <w:sz w:val="24"/>
                      <w:szCs w:val="24"/>
                    </w:rPr>
                  </w:pPr>
                  <w:r w:rsidRPr="00DB4520">
                    <w:rPr>
                      <w:rFonts w:ascii="Times New Roman" w:eastAsia="Times New Roman" w:hAnsi="Times New Roman" w:cs="Times New Roman"/>
                      <w:b/>
                      <w:bCs/>
                      <w:sz w:val="24"/>
                      <w:szCs w:val="24"/>
                    </w:rPr>
                    <w:t>6/1/2023</w:t>
                  </w:r>
                </w:p>
              </w:tc>
            </w:tr>
          </w:tbl>
          <w:p w:rsidR="00361BB8" w:rsidRPr="00DB4520" w:rsidP="00361BB8" w14:paraId="2E8ED652"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RPr="00DB4520" w:rsidP="00361BB8" w14:paraId="38C0CBAD"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CMS's clarification on how the information from these scenarios should be reported will provide better and more uniform data reporting across MAOs.</w:t>
            </w:r>
          </w:p>
          <w:p w:rsidR="00361BB8" w:rsidRPr="00DB4520" w:rsidP="00361BB8" w14:paraId="5752750D" w14:textId="77777777">
            <w:pPr>
              <w:rPr>
                <w:rFonts w:ascii="Times New Roman" w:eastAsia="Times New Roman" w:hAnsi="Times New Roman" w:cs="Times New Roman"/>
                <w:sz w:val="24"/>
                <w:szCs w:val="24"/>
              </w:rPr>
            </w:pPr>
            <w:r w:rsidRPr="00DB4520">
              <w:rPr>
                <w:rFonts w:ascii="Times New Roman" w:eastAsia="Times New Roman" w:hAnsi="Times New Roman" w:cs="Times New Roman"/>
                <w:sz w:val="24"/>
                <w:szCs w:val="24"/>
              </w:rPr>
              <w:t> </w:t>
            </w:r>
          </w:p>
          <w:p w:rsidR="00361BB8" w:rsidP="00361BB8" w14:paraId="05BC41B0" w14:textId="77777777">
            <w:pPr>
              <w:rPr>
                <w:rFonts w:ascii="Times New Roman" w:hAnsi="Times New Roman" w:cs="Times New Roman"/>
              </w:rPr>
            </w:pPr>
          </w:p>
        </w:tc>
        <w:tc>
          <w:tcPr>
            <w:tcW w:w="2521" w:type="dxa"/>
            <w:shd w:val="clear" w:color="auto" w:fill="auto"/>
          </w:tcPr>
          <w:p w:rsidR="00361BB8" w:rsidP="00361BB8" w14:paraId="11615F53" w14:textId="77777777">
            <w:pPr>
              <w:rPr>
                <w:rFonts w:ascii="Times New Roman" w:hAnsi="Times New Roman" w:cs="Times New Roman"/>
                <w:b/>
                <w:iCs/>
              </w:rPr>
            </w:pPr>
            <w:r>
              <w:rPr>
                <w:rFonts w:ascii="Times New Roman" w:hAnsi="Times New Roman" w:cs="Times New Roman"/>
                <w:b/>
                <w:iCs/>
              </w:rPr>
              <w:t>No changes</w:t>
            </w:r>
          </w:p>
          <w:p w:rsidR="00361BB8" w:rsidRPr="00DB4520" w:rsidP="00361BB8" w14:paraId="5F92A055" w14:textId="77777777">
            <w:pPr>
              <w:rPr>
                <w:rFonts w:ascii="Times New Roman" w:hAnsi="Times New Roman" w:cs="Times New Roman"/>
                <w:bCs/>
                <w:iCs/>
              </w:rPr>
            </w:pPr>
            <w:r w:rsidRPr="00DB4520">
              <w:rPr>
                <w:rFonts w:ascii="Times New Roman" w:hAnsi="Times New Roman" w:cs="Times New Roman"/>
                <w:bCs/>
                <w:iCs/>
              </w:rPr>
              <w:t>In providing the new language under Element ID C, CMS was seeking to align technical guidance in the Part C Reporting Requirements Technical Specification manual with current language in the "Medicare Part C and Part D Reporting Requirements Data Validation Procedure Manual: Appendix B: Data Validation Standards." This language comes from a table on page 12 of this document, numbered 8.b and 8.c. Based on this additional to the Technical Specification manual, we provide the following review of the examples provided by the commenter:</w:t>
            </w:r>
          </w:p>
          <w:p w:rsidR="00361BB8" w:rsidRPr="00DB4520" w:rsidP="00361BB8" w14:paraId="171DCB07" w14:textId="77777777">
            <w:pPr>
              <w:rPr>
                <w:rFonts w:ascii="Times New Roman" w:hAnsi="Times New Roman" w:cs="Times New Roman"/>
                <w:bCs/>
                <w:iCs/>
              </w:rPr>
            </w:pPr>
            <w:r w:rsidRPr="00DB4520">
              <w:rPr>
                <w:rFonts w:ascii="Times New Roman" w:hAnsi="Times New Roman" w:cs="Times New Roman"/>
                <w:bCs/>
                <w:iCs/>
              </w:rPr>
              <w:t xml:space="preserve"> </w:t>
            </w:r>
          </w:p>
          <w:p w:rsidR="00361BB8" w:rsidRPr="00DB4520" w:rsidP="00361BB8" w14:paraId="6D027F77" w14:textId="77777777">
            <w:pPr>
              <w:rPr>
                <w:rFonts w:ascii="Times New Roman" w:hAnsi="Times New Roman" w:cs="Times New Roman"/>
                <w:bCs/>
                <w:iCs/>
              </w:rPr>
            </w:pPr>
            <w:r w:rsidRPr="00DB4520">
              <w:rPr>
                <w:rFonts w:ascii="Times New Roman" w:hAnsi="Times New Roman" w:cs="Times New Roman"/>
                <w:bCs/>
                <w:iCs/>
              </w:rPr>
              <w:t xml:space="preserve">For </w:t>
            </w:r>
            <w:r w:rsidRPr="00DB4520">
              <w:rPr>
                <w:rFonts w:ascii="Times New Roman" w:hAnsi="Times New Roman" w:cs="Times New Roman"/>
                <w:bCs/>
                <w:iCs/>
              </w:rPr>
              <w:t>example</w:t>
            </w:r>
            <w:r w:rsidRPr="00DB4520">
              <w:rPr>
                <w:rFonts w:ascii="Times New Roman" w:hAnsi="Times New Roman" w:cs="Times New Roman"/>
                <w:bCs/>
                <w:iCs/>
              </w:rPr>
              <w:t xml:space="preserve"> one, the SNP completes two HRAs with a member who is enrolled at two separate points during Measurement Year 2023. The plan completes an initial HRA for the member that should be reported under Element ID C and the member under Element ID A. The member then disenrolls and then re-enrolls into the same plan. The SNP later completes an HRA with the same member on 6/15/2023. The plan should report this HRA as a reassessment under Element ID F and the member under Element ID B. As we note in the Technical Specification manual, "[f]or members who disenrolled from and reenrolled into the same plan, includes HRAs (initial or reassessment) performed during their previous enrollment if the HRAs are not more than 365 days old."</w:t>
            </w:r>
          </w:p>
          <w:p w:rsidR="00361BB8" w:rsidRPr="00DB4520" w:rsidP="00361BB8" w14:paraId="13E0F3B7" w14:textId="77777777">
            <w:pPr>
              <w:rPr>
                <w:rFonts w:ascii="Times New Roman" w:hAnsi="Times New Roman" w:cs="Times New Roman"/>
                <w:bCs/>
                <w:iCs/>
              </w:rPr>
            </w:pPr>
            <w:r w:rsidRPr="00DB4520">
              <w:rPr>
                <w:rFonts w:ascii="Times New Roman" w:hAnsi="Times New Roman" w:cs="Times New Roman"/>
                <w:bCs/>
                <w:iCs/>
              </w:rPr>
              <w:t xml:space="preserve"> </w:t>
            </w:r>
          </w:p>
          <w:p w:rsidR="00361BB8" w:rsidRPr="00DB4520" w:rsidP="00361BB8" w14:paraId="37F27425" w14:textId="77777777">
            <w:pPr>
              <w:rPr>
                <w:rFonts w:ascii="Times New Roman" w:hAnsi="Times New Roman" w:cs="Times New Roman"/>
                <w:bCs/>
                <w:iCs/>
              </w:rPr>
            </w:pPr>
            <w:r w:rsidRPr="00DB4520">
              <w:rPr>
                <w:rFonts w:ascii="Times New Roman" w:hAnsi="Times New Roman" w:cs="Times New Roman"/>
                <w:bCs/>
                <w:iCs/>
              </w:rPr>
              <w:t xml:space="preserve">For </w:t>
            </w:r>
            <w:r w:rsidRPr="00DB4520">
              <w:rPr>
                <w:rFonts w:ascii="Times New Roman" w:hAnsi="Times New Roman" w:cs="Times New Roman"/>
                <w:bCs/>
                <w:iCs/>
              </w:rPr>
              <w:t>example</w:t>
            </w:r>
            <w:r w:rsidRPr="00DB4520">
              <w:rPr>
                <w:rFonts w:ascii="Times New Roman" w:hAnsi="Times New Roman" w:cs="Times New Roman"/>
                <w:bCs/>
                <w:iCs/>
              </w:rPr>
              <w:t xml:space="preserve"> two, CMS does not recognize a discernable difference between this example and the one posed in example one - with the exception of the dates of enrollment and HRA completion. The same standard would apply here as in example one with same guidance rationale. </w:t>
            </w:r>
          </w:p>
          <w:p w:rsidR="00361BB8" w:rsidRPr="00DB4520" w:rsidP="00361BB8" w14:paraId="6B5E7FE9" w14:textId="77777777">
            <w:pPr>
              <w:rPr>
                <w:rFonts w:ascii="Times New Roman" w:hAnsi="Times New Roman" w:cs="Times New Roman"/>
                <w:bCs/>
                <w:iCs/>
              </w:rPr>
            </w:pPr>
            <w:r w:rsidRPr="00DB4520">
              <w:rPr>
                <w:rFonts w:ascii="Times New Roman" w:hAnsi="Times New Roman" w:cs="Times New Roman"/>
                <w:bCs/>
                <w:iCs/>
              </w:rPr>
              <w:t xml:space="preserve"> </w:t>
            </w:r>
          </w:p>
          <w:p w:rsidR="00361BB8" w:rsidRPr="00DB4520" w:rsidP="00361BB8" w14:paraId="235E10FF" w14:textId="77777777">
            <w:pPr>
              <w:rPr>
                <w:rFonts w:ascii="Times New Roman" w:hAnsi="Times New Roman" w:cs="Times New Roman"/>
                <w:bCs/>
                <w:iCs/>
              </w:rPr>
            </w:pPr>
            <w:r w:rsidRPr="00DB4520">
              <w:rPr>
                <w:rFonts w:ascii="Times New Roman" w:hAnsi="Times New Roman" w:cs="Times New Roman"/>
                <w:bCs/>
                <w:iCs/>
              </w:rPr>
              <w:t xml:space="preserve">For </w:t>
            </w:r>
            <w:r w:rsidRPr="00DB4520">
              <w:rPr>
                <w:rFonts w:ascii="Times New Roman" w:hAnsi="Times New Roman" w:cs="Times New Roman"/>
                <w:bCs/>
                <w:iCs/>
              </w:rPr>
              <w:t>example</w:t>
            </w:r>
            <w:r w:rsidRPr="00DB4520">
              <w:rPr>
                <w:rFonts w:ascii="Times New Roman" w:hAnsi="Times New Roman" w:cs="Times New Roman"/>
                <w:bCs/>
                <w:iCs/>
              </w:rPr>
              <w:t xml:space="preserve"> three, the plan did not complete an initial HRA during the first segment of the member's initial enrollment or a reassessment HRA, and thus, could not cite a previous reportable initial HRA when the member re-enrolled in Measurement Year 2023. In this case, the plan should report the member under Element ID B because the enrollee has been continuously enrolled for 365 days or more, starting from their initial enrollment date if no initial HRA had been performed, or from the date of their previous HRA. The SNP did complete an HRA with the member on 8/1/2023.The SNP should report the member once under Element ID A for the second segment and under Element ID C for the HRA completed on 8/1/2023.</w:t>
            </w:r>
          </w:p>
          <w:p w:rsidR="00361BB8" w:rsidRPr="00DB4520" w:rsidP="00361BB8" w14:paraId="6ABECA25" w14:textId="77777777">
            <w:pPr>
              <w:rPr>
                <w:rFonts w:ascii="Times New Roman" w:hAnsi="Times New Roman" w:cs="Times New Roman"/>
                <w:bCs/>
                <w:iCs/>
              </w:rPr>
            </w:pPr>
            <w:r w:rsidRPr="00DB4520">
              <w:rPr>
                <w:rFonts w:ascii="Times New Roman" w:hAnsi="Times New Roman" w:cs="Times New Roman"/>
                <w:bCs/>
                <w:iCs/>
              </w:rPr>
              <w:t xml:space="preserve"> </w:t>
            </w:r>
          </w:p>
          <w:p w:rsidR="00361BB8" w:rsidRPr="00F535E6" w:rsidP="00361BB8" w14:paraId="2230AB52" w14:textId="345DE088">
            <w:pPr>
              <w:rPr>
                <w:rFonts w:ascii="Times New Roman" w:hAnsi="Times New Roman" w:cs="Times New Roman"/>
                <w:b/>
                <w:iCs/>
              </w:rPr>
            </w:pPr>
            <w:r w:rsidRPr="00DB4520">
              <w:rPr>
                <w:rFonts w:ascii="Times New Roman" w:hAnsi="Times New Roman" w:cs="Times New Roman"/>
                <w:bCs/>
                <w:iCs/>
              </w:rPr>
              <w:t xml:space="preserve">For </w:t>
            </w:r>
            <w:r w:rsidRPr="00DB4520">
              <w:rPr>
                <w:rFonts w:ascii="Times New Roman" w:hAnsi="Times New Roman" w:cs="Times New Roman"/>
                <w:bCs/>
                <w:iCs/>
              </w:rPr>
              <w:t>example</w:t>
            </w:r>
            <w:r w:rsidRPr="00DB4520">
              <w:rPr>
                <w:rFonts w:ascii="Times New Roman" w:hAnsi="Times New Roman" w:cs="Times New Roman"/>
                <w:bCs/>
                <w:iCs/>
              </w:rPr>
              <w:t xml:space="preserve"> four, the commenter is correct in that the SNP may not use a previous HRA that is more than 365-days old. In this case, the plan should report the member under Element ID B because the enrollee has been continuously enrolled for 365 days or more, starting from their initial enrollment date if no initial HRA had been performed, or from the date of their previous HRA. However, the plan should also report the enrollee as a new member under Element ID A for the second segment of the measurement year and under Element ID C for the HRA completed on 6/1/2023.</w:t>
            </w:r>
          </w:p>
        </w:tc>
      </w:tr>
    </w:tbl>
    <w:p w:rsidR="00192A70" w:rsidP="00CE03E8" w14:paraId="48EFFCDA" w14:textId="3F446413"/>
    <w:p w:rsidR="00192A70" w14:paraId="3DC00BD6" w14:textId="081E1B15"/>
    <w:sectPr w:rsidSect="0053704D">
      <w:headerReference w:type="default" r:id="rId8"/>
      <w:footerReference w:type="default" r:id="rId9"/>
      <w:pgSz w:w="15840" w:h="12240" w:orient="landscape"/>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25F" w:rsidRPr="00671D83" w:rsidP="78E82792" w14:paraId="03484959" w14:textId="77777777">
    <w:pPr>
      <w:spacing w:after="0" w:line="240" w:lineRule="auto"/>
      <w:jc w:val="center"/>
      <w:rPr>
        <w:i/>
        <w:iCs/>
        <w:sz w:val="20"/>
        <w:szCs w:val="20"/>
        <w:vertAlign w:val="subscript"/>
      </w:rPr>
    </w:pPr>
    <w:r w:rsidRPr="78E82792">
      <w:rPr>
        <w:b/>
        <w:bCs/>
        <w:i/>
        <w:iCs/>
        <w:sz w:val="20"/>
        <w:szCs w:val="20"/>
        <w:vertAlign w:val="subscript"/>
      </w:rPr>
      <w:t xml:space="preserve">INFORMATION NOT RELEASABLE TO THE PUBLIC UNLESS AUTHORIZED BY LAW:  </w:t>
    </w:r>
    <w:r w:rsidRPr="78E82792">
      <w:rPr>
        <w:i/>
        <w:iCs/>
        <w:sz w:val="20"/>
        <w:szCs w:val="20"/>
        <w:vertAlign w:val="subscript"/>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AA325F" w:rsidP="0053704D" w14:paraId="07329063" w14:textId="77777777">
    <w:pPr>
      <w:pStyle w:val="Footer"/>
      <w:tabs>
        <w:tab w:val="clear" w:pos="4680"/>
        <w:tab w:val="left" w:pos="5115"/>
        <w:tab w:val="clear"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269632"/>
      <w:docPartObj>
        <w:docPartGallery w:val="Page Numbers (Top of Page)"/>
        <w:docPartUnique/>
      </w:docPartObj>
    </w:sdtPr>
    <w:sdtEndPr>
      <w:rPr>
        <w:rFonts w:ascii="Times New Roman" w:hAnsi="Times New Roman" w:cs="Times New Roman"/>
        <w:noProof/>
      </w:rPr>
    </w:sdtEndPr>
    <w:sdtContent>
      <w:p w:rsidR="00AA325F" w:rsidRPr="00454FCE" w:rsidP="0053704D" w14:paraId="69D651FB" w14:textId="77777777">
        <w:pPr>
          <w:pStyle w:val="Header"/>
          <w:ind w:right="-720"/>
          <w:jc w:val="right"/>
          <w:rPr>
            <w:rFonts w:ascii="Times New Roman" w:hAnsi="Times New Roman" w:cs="Times New Roman"/>
          </w:rPr>
        </w:pPr>
        <w:r w:rsidRPr="00454FCE">
          <w:rPr>
            <w:rFonts w:ascii="Times New Roman" w:hAnsi="Times New Roman" w:cs="Times New Roman"/>
          </w:rPr>
          <w:fldChar w:fldCharType="begin"/>
        </w:r>
        <w:r w:rsidRPr="00454FCE">
          <w:rPr>
            <w:rFonts w:ascii="Times New Roman" w:hAnsi="Times New Roman" w:cs="Times New Roman"/>
          </w:rPr>
          <w:instrText xml:space="preserve"> PAGE   \* MERGEFORMAT </w:instrText>
        </w:r>
        <w:r w:rsidRPr="00454FCE">
          <w:rPr>
            <w:rFonts w:ascii="Times New Roman" w:hAnsi="Times New Roman" w:cs="Times New Roman"/>
          </w:rPr>
          <w:fldChar w:fldCharType="separate"/>
        </w:r>
        <w:r>
          <w:rPr>
            <w:rFonts w:ascii="Times New Roman" w:hAnsi="Times New Roman" w:cs="Times New Roman"/>
            <w:noProof/>
          </w:rPr>
          <w:t>16</w:t>
        </w:r>
        <w:r w:rsidRPr="00454FCE">
          <w:rPr>
            <w:rFonts w:ascii="Times New Roman" w:hAnsi="Times New Roman" w:cs="Times New Roman"/>
            <w:noProof/>
          </w:rPr>
          <w:fldChar w:fldCharType="end"/>
        </w:r>
      </w:p>
    </w:sdtContent>
  </w:sdt>
  <w:p w:rsidR="00AA325F" w14:paraId="5E13F6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E52DA"/>
    <w:multiLevelType w:val="hybridMultilevel"/>
    <w:tmpl w:val="7FEC2182"/>
    <w:lvl w:ilvl="0">
      <w:start w:val="1"/>
      <w:numFmt w:val="bullet"/>
      <w:lvlText w:val=""/>
      <w:lvlJc w:val="left"/>
      <w:pPr>
        <w:ind w:left="45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1B03E9"/>
    <w:multiLevelType w:val="hybridMultilevel"/>
    <w:tmpl w:val="73DC5770"/>
    <w:lvl w:ilvl="0">
      <w:start w:val="1"/>
      <w:numFmt w:val="bullet"/>
      <w:lvlText w:val=""/>
      <w:lvlJc w:val="left"/>
      <w:pPr>
        <w:ind w:left="-279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1350" w:hanging="360"/>
      </w:pPr>
      <w:rPr>
        <w:rFonts w:ascii="Wingdings" w:hAnsi="Wingdings" w:hint="default"/>
      </w:rPr>
    </w:lvl>
    <w:lvl w:ilvl="3" w:tentative="1">
      <w:start w:val="1"/>
      <w:numFmt w:val="bullet"/>
      <w:lvlText w:val=""/>
      <w:lvlJc w:val="left"/>
      <w:pPr>
        <w:ind w:left="-630" w:hanging="360"/>
      </w:pPr>
      <w:rPr>
        <w:rFonts w:ascii="Symbol" w:hAnsi="Symbol" w:hint="default"/>
      </w:rPr>
    </w:lvl>
    <w:lvl w:ilvl="4" w:tentative="1">
      <w:start w:val="1"/>
      <w:numFmt w:val="bullet"/>
      <w:lvlText w:val="o"/>
      <w:lvlJc w:val="left"/>
      <w:pPr>
        <w:ind w:left="90" w:hanging="360"/>
      </w:pPr>
      <w:rPr>
        <w:rFonts w:ascii="Courier New" w:hAnsi="Courier New" w:cs="Courier New" w:hint="default"/>
      </w:rPr>
    </w:lvl>
    <w:lvl w:ilvl="5" w:tentative="1">
      <w:start w:val="1"/>
      <w:numFmt w:val="bullet"/>
      <w:lvlText w:val=""/>
      <w:lvlJc w:val="left"/>
      <w:pPr>
        <w:ind w:left="810" w:hanging="360"/>
      </w:pPr>
      <w:rPr>
        <w:rFonts w:ascii="Wingdings" w:hAnsi="Wingdings" w:hint="default"/>
      </w:rPr>
    </w:lvl>
    <w:lvl w:ilvl="6" w:tentative="1">
      <w:start w:val="1"/>
      <w:numFmt w:val="bullet"/>
      <w:lvlText w:val=""/>
      <w:lvlJc w:val="left"/>
      <w:pPr>
        <w:ind w:left="1530" w:hanging="360"/>
      </w:pPr>
      <w:rPr>
        <w:rFonts w:ascii="Symbol" w:hAnsi="Symbol" w:hint="default"/>
      </w:rPr>
    </w:lvl>
    <w:lvl w:ilvl="7" w:tentative="1">
      <w:start w:val="1"/>
      <w:numFmt w:val="bullet"/>
      <w:lvlText w:val="o"/>
      <w:lvlJc w:val="left"/>
      <w:pPr>
        <w:ind w:left="2250" w:hanging="360"/>
      </w:pPr>
      <w:rPr>
        <w:rFonts w:ascii="Courier New" w:hAnsi="Courier New" w:cs="Courier New" w:hint="default"/>
      </w:rPr>
    </w:lvl>
    <w:lvl w:ilvl="8" w:tentative="1">
      <w:start w:val="1"/>
      <w:numFmt w:val="bullet"/>
      <w:lvlText w:val=""/>
      <w:lvlJc w:val="left"/>
      <w:pPr>
        <w:ind w:left="2970" w:hanging="360"/>
      </w:pPr>
      <w:rPr>
        <w:rFonts w:ascii="Wingdings" w:hAnsi="Wingdings" w:hint="default"/>
      </w:rPr>
    </w:lvl>
  </w:abstractNum>
  <w:abstractNum w:abstractNumId="2">
    <w:nsid w:val="05E83E96"/>
    <w:multiLevelType w:val="hybridMultilevel"/>
    <w:tmpl w:val="73260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566B1A"/>
    <w:multiLevelType w:val="hybridMultilevel"/>
    <w:tmpl w:val="83C48E0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4551FF"/>
    <w:multiLevelType w:val="hybridMultilevel"/>
    <w:tmpl w:val="E3108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9AB0976"/>
    <w:multiLevelType w:val="hybridMultilevel"/>
    <w:tmpl w:val="514E7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E84FD9"/>
    <w:multiLevelType w:val="hybridMultilevel"/>
    <w:tmpl w:val="DB749AB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F948BD"/>
    <w:multiLevelType w:val="multilevel"/>
    <w:tmpl w:val="6AF24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A97337"/>
    <w:multiLevelType w:val="hybridMultilevel"/>
    <w:tmpl w:val="19C05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814422"/>
    <w:multiLevelType w:val="hybridMultilevel"/>
    <w:tmpl w:val="0140511C"/>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5474B9"/>
    <w:multiLevelType w:val="hybridMultilevel"/>
    <w:tmpl w:val="42BEDEA4"/>
    <w:lvl w:ilvl="0">
      <w:start w:val="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CF1718"/>
    <w:multiLevelType w:val="hybridMultilevel"/>
    <w:tmpl w:val="30EAECA2"/>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642CFF"/>
    <w:multiLevelType w:val="hybridMultilevel"/>
    <w:tmpl w:val="CF7EC6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102DA3"/>
    <w:multiLevelType w:val="hybridMultilevel"/>
    <w:tmpl w:val="E50A431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17390A"/>
    <w:multiLevelType w:val="hybridMultilevel"/>
    <w:tmpl w:val="291C91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D43D9A"/>
    <w:multiLevelType w:val="hybridMultilevel"/>
    <w:tmpl w:val="D8F85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3A4041"/>
    <w:multiLevelType w:val="hybridMultilevel"/>
    <w:tmpl w:val="7B20D67C"/>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0B273D"/>
    <w:multiLevelType w:val="hybridMultilevel"/>
    <w:tmpl w:val="0B5E6DD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61887376"/>
    <w:multiLevelType w:val="hybridMultilevel"/>
    <w:tmpl w:val="781C5602"/>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663081"/>
    <w:multiLevelType w:val="hybridMultilevel"/>
    <w:tmpl w:val="FFD65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A36CE0"/>
    <w:multiLevelType w:val="hybridMultilevel"/>
    <w:tmpl w:val="7096A64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CCA4872"/>
    <w:multiLevelType w:val="hybridMultilevel"/>
    <w:tmpl w:val="FCC0E79C"/>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1A3BC6"/>
    <w:multiLevelType w:val="hybridMultilevel"/>
    <w:tmpl w:val="DB1A1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86429E"/>
    <w:multiLevelType w:val="hybridMultilevel"/>
    <w:tmpl w:val="BD24B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4C7D9C"/>
    <w:multiLevelType w:val="hybridMultilevel"/>
    <w:tmpl w:val="B68A7B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42B54C4"/>
    <w:multiLevelType w:val="hybridMultilevel"/>
    <w:tmpl w:val="45C4EA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6E504AF"/>
    <w:multiLevelType w:val="hybridMultilevel"/>
    <w:tmpl w:val="DC7E54C6"/>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8B86E5D"/>
    <w:multiLevelType w:val="hybridMultilevel"/>
    <w:tmpl w:val="4D0E89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CFF0C9F"/>
    <w:multiLevelType w:val="hybridMultilevel"/>
    <w:tmpl w:val="C8224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0378DF"/>
    <w:multiLevelType w:val="hybridMultilevel"/>
    <w:tmpl w:val="A9FCCD18"/>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num w:numId="1" w16cid:durableId="1614938629">
    <w:abstractNumId w:val="1"/>
  </w:num>
  <w:num w:numId="2" w16cid:durableId="1735397146">
    <w:abstractNumId w:val="7"/>
  </w:num>
  <w:num w:numId="3" w16cid:durableId="1409377125">
    <w:abstractNumId w:val="2"/>
  </w:num>
  <w:num w:numId="4" w16cid:durableId="2144733199">
    <w:abstractNumId w:val="11"/>
  </w:num>
  <w:num w:numId="5" w16cid:durableId="640038275">
    <w:abstractNumId w:val="5"/>
  </w:num>
  <w:num w:numId="6" w16cid:durableId="164170146">
    <w:abstractNumId w:val="26"/>
  </w:num>
  <w:num w:numId="7" w16cid:durableId="1759593590">
    <w:abstractNumId w:val="19"/>
  </w:num>
  <w:num w:numId="8" w16cid:durableId="1400056244">
    <w:abstractNumId w:val="25"/>
  </w:num>
  <w:num w:numId="9" w16cid:durableId="203494024">
    <w:abstractNumId w:val="4"/>
  </w:num>
  <w:num w:numId="10" w16cid:durableId="249433402">
    <w:abstractNumId w:val="24"/>
  </w:num>
  <w:num w:numId="11" w16cid:durableId="846410723">
    <w:abstractNumId w:val="27"/>
  </w:num>
  <w:num w:numId="12" w16cid:durableId="1082408605">
    <w:abstractNumId w:val="3"/>
  </w:num>
  <w:num w:numId="13" w16cid:durableId="505285401">
    <w:abstractNumId w:val="22"/>
  </w:num>
  <w:num w:numId="14" w16cid:durableId="368839830">
    <w:abstractNumId w:val="8"/>
  </w:num>
  <w:num w:numId="15" w16cid:durableId="1682079674">
    <w:abstractNumId w:val="17"/>
  </w:num>
  <w:num w:numId="16" w16cid:durableId="495191333">
    <w:abstractNumId w:val="14"/>
  </w:num>
  <w:num w:numId="17" w16cid:durableId="1116212279">
    <w:abstractNumId w:val="23"/>
  </w:num>
  <w:num w:numId="18" w16cid:durableId="390926541">
    <w:abstractNumId w:val="12"/>
  </w:num>
  <w:num w:numId="19" w16cid:durableId="770856951">
    <w:abstractNumId w:val="28"/>
  </w:num>
  <w:num w:numId="20" w16cid:durableId="654917671">
    <w:abstractNumId w:val="6"/>
  </w:num>
  <w:num w:numId="21" w16cid:durableId="1600337218">
    <w:abstractNumId w:val="13"/>
  </w:num>
  <w:num w:numId="22" w16cid:durableId="441074950">
    <w:abstractNumId w:val="9"/>
  </w:num>
  <w:num w:numId="23" w16cid:durableId="1020545646">
    <w:abstractNumId w:val="16"/>
  </w:num>
  <w:num w:numId="24" w16cid:durableId="1064529267">
    <w:abstractNumId w:val="18"/>
  </w:num>
  <w:num w:numId="25" w16cid:durableId="499272013">
    <w:abstractNumId w:val="20"/>
  </w:num>
  <w:num w:numId="26" w16cid:durableId="1426077067">
    <w:abstractNumId w:val="21"/>
  </w:num>
  <w:num w:numId="27" w16cid:durableId="5548561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8262034">
    <w:abstractNumId w:val="29"/>
  </w:num>
  <w:num w:numId="29" w16cid:durableId="466969225">
    <w:abstractNumId w:val="10"/>
  </w:num>
  <w:num w:numId="30" w16cid:durableId="2015105320">
    <w:abstractNumId w:val="0"/>
  </w:num>
  <w:num w:numId="31" w16cid:durableId="6058174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E8"/>
    <w:rsid w:val="000000F0"/>
    <w:rsid w:val="00001C79"/>
    <w:rsid w:val="00003692"/>
    <w:rsid w:val="00005A53"/>
    <w:rsid w:val="00007AB9"/>
    <w:rsid w:val="000100AC"/>
    <w:rsid w:val="00010134"/>
    <w:rsid w:val="000101C3"/>
    <w:rsid w:val="00012F92"/>
    <w:rsid w:val="00013AA7"/>
    <w:rsid w:val="00014B1F"/>
    <w:rsid w:val="000159C7"/>
    <w:rsid w:val="0001630A"/>
    <w:rsid w:val="000163A4"/>
    <w:rsid w:val="000209F5"/>
    <w:rsid w:val="00020DA1"/>
    <w:rsid w:val="000311B9"/>
    <w:rsid w:val="00031BCA"/>
    <w:rsid w:val="000332AE"/>
    <w:rsid w:val="00037CC0"/>
    <w:rsid w:val="0004258C"/>
    <w:rsid w:val="000444F7"/>
    <w:rsid w:val="00044EF0"/>
    <w:rsid w:val="00050381"/>
    <w:rsid w:val="000529C0"/>
    <w:rsid w:val="00053ED6"/>
    <w:rsid w:val="00055CA9"/>
    <w:rsid w:val="000615E2"/>
    <w:rsid w:val="00062614"/>
    <w:rsid w:val="0006272B"/>
    <w:rsid w:val="00067773"/>
    <w:rsid w:val="00070F08"/>
    <w:rsid w:val="00075E63"/>
    <w:rsid w:val="00076206"/>
    <w:rsid w:val="00076FA7"/>
    <w:rsid w:val="0008371A"/>
    <w:rsid w:val="00085EB5"/>
    <w:rsid w:val="00094B5C"/>
    <w:rsid w:val="000A3712"/>
    <w:rsid w:val="000A6F21"/>
    <w:rsid w:val="000A7703"/>
    <w:rsid w:val="000B010B"/>
    <w:rsid w:val="000B137D"/>
    <w:rsid w:val="000B33F9"/>
    <w:rsid w:val="000B6D09"/>
    <w:rsid w:val="000B7CB2"/>
    <w:rsid w:val="000C1038"/>
    <w:rsid w:val="000C4338"/>
    <w:rsid w:val="000C4341"/>
    <w:rsid w:val="000C6925"/>
    <w:rsid w:val="000D0B00"/>
    <w:rsid w:val="000D412F"/>
    <w:rsid w:val="000D4423"/>
    <w:rsid w:val="000E3CFB"/>
    <w:rsid w:val="000E5AA3"/>
    <w:rsid w:val="000E5F5D"/>
    <w:rsid w:val="000E6FA2"/>
    <w:rsid w:val="000F21EA"/>
    <w:rsid w:val="000F27BB"/>
    <w:rsid w:val="000F2BF4"/>
    <w:rsid w:val="000F5364"/>
    <w:rsid w:val="00100A3C"/>
    <w:rsid w:val="001028E2"/>
    <w:rsid w:val="00107A4B"/>
    <w:rsid w:val="00111325"/>
    <w:rsid w:val="001146F2"/>
    <w:rsid w:val="00121241"/>
    <w:rsid w:val="0012437E"/>
    <w:rsid w:val="001275EE"/>
    <w:rsid w:val="0013077E"/>
    <w:rsid w:val="0013166C"/>
    <w:rsid w:val="0013415F"/>
    <w:rsid w:val="00136A64"/>
    <w:rsid w:val="00141C6E"/>
    <w:rsid w:val="00142682"/>
    <w:rsid w:val="00144A7F"/>
    <w:rsid w:val="00156F8F"/>
    <w:rsid w:val="001609FC"/>
    <w:rsid w:val="001633E8"/>
    <w:rsid w:val="00163406"/>
    <w:rsid w:val="001648C3"/>
    <w:rsid w:val="00171311"/>
    <w:rsid w:val="001730DC"/>
    <w:rsid w:val="00173B14"/>
    <w:rsid w:val="001740F2"/>
    <w:rsid w:val="00176BC8"/>
    <w:rsid w:val="00177989"/>
    <w:rsid w:val="0018319C"/>
    <w:rsid w:val="00183474"/>
    <w:rsid w:val="001849D2"/>
    <w:rsid w:val="001929FE"/>
    <w:rsid w:val="00192A70"/>
    <w:rsid w:val="001A27D6"/>
    <w:rsid w:val="001A5EF7"/>
    <w:rsid w:val="001A6635"/>
    <w:rsid w:val="001B4897"/>
    <w:rsid w:val="001B49BE"/>
    <w:rsid w:val="001C3ADE"/>
    <w:rsid w:val="001C683D"/>
    <w:rsid w:val="001C6EFA"/>
    <w:rsid w:val="001D0C16"/>
    <w:rsid w:val="001D45BF"/>
    <w:rsid w:val="001D46DF"/>
    <w:rsid w:val="001E1A12"/>
    <w:rsid w:val="001E5179"/>
    <w:rsid w:val="001E6244"/>
    <w:rsid w:val="001F2C85"/>
    <w:rsid w:val="001F2ED6"/>
    <w:rsid w:val="001F5322"/>
    <w:rsid w:val="0020027B"/>
    <w:rsid w:val="0020114C"/>
    <w:rsid w:val="00204660"/>
    <w:rsid w:val="00213633"/>
    <w:rsid w:val="00213B7E"/>
    <w:rsid w:val="00214768"/>
    <w:rsid w:val="00214A85"/>
    <w:rsid w:val="00215D71"/>
    <w:rsid w:val="00215F4E"/>
    <w:rsid w:val="002235D7"/>
    <w:rsid w:val="002405B8"/>
    <w:rsid w:val="0024184B"/>
    <w:rsid w:val="00243B1B"/>
    <w:rsid w:val="00247711"/>
    <w:rsid w:val="002543ED"/>
    <w:rsid w:val="00261022"/>
    <w:rsid w:val="00264A56"/>
    <w:rsid w:val="0026646B"/>
    <w:rsid w:val="00267814"/>
    <w:rsid w:val="002679B7"/>
    <w:rsid w:val="00271807"/>
    <w:rsid w:val="00271F10"/>
    <w:rsid w:val="002746AE"/>
    <w:rsid w:val="00275FD7"/>
    <w:rsid w:val="002769E5"/>
    <w:rsid w:val="0028027A"/>
    <w:rsid w:val="002807CE"/>
    <w:rsid w:val="00281D62"/>
    <w:rsid w:val="00286E9A"/>
    <w:rsid w:val="0028721A"/>
    <w:rsid w:val="002913DC"/>
    <w:rsid w:val="0029682B"/>
    <w:rsid w:val="0029766D"/>
    <w:rsid w:val="002A0BFE"/>
    <w:rsid w:val="002A39B2"/>
    <w:rsid w:val="002A418D"/>
    <w:rsid w:val="002A75C0"/>
    <w:rsid w:val="002B43F5"/>
    <w:rsid w:val="002B474D"/>
    <w:rsid w:val="002B634E"/>
    <w:rsid w:val="002C0FD0"/>
    <w:rsid w:val="002C226B"/>
    <w:rsid w:val="002C35DE"/>
    <w:rsid w:val="002C6A5D"/>
    <w:rsid w:val="002D77FD"/>
    <w:rsid w:val="002F13CD"/>
    <w:rsid w:val="002F21FE"/>
    <w:rsid w:val="002F2D0F"/>
    <w:rsid w:val="002F68F3"/>
    <w:rsid w:val="002F7102"/>
    <w:rsid w:val="0030082E"/>
    <w:rsid w:val="00302656"/>
    <w:rsid w:val="003038A1"/>
    <w:rsid w:val="003059BA"/>
    <w:rsid w:val="0030630B"/>
    <w:rsid w:val="00311651"/>
    <w:rsid w:val="0031321C"/>
    <w:rsid w:val="0031358D"/>
    <w:rsid w:val="0031433B"/>
    <w:rsid w:val="0031536D"/>
    <w:rsid w:val="003166E0"/>
    <w:rsid w:val="003169D8"/>
    <w:rsid w:val="0031730D"/>
    <w:rsid w:val="00325D6F"/>
    <w:rsid w:val="00326900"/>
    <w:rsid w:val="00327573"/>
    <w:rsid w:val="003278D5"/>
    <w:rsid w:val="0033026A"/>
    <w:rsid w:val="003302FA"/>
    <w:rsid w:val="00330ACB"/>
    <w:rsid w:val="00330C99"/>
    <w:rsid w:val="00331F47"/>
    <w:rsid w:val="00333E05"/>
    <w:rsid w:val="0034011C"/>
    <w:rsid w:val="003416AE"/>
    <w:rsid w:val="00343E42"/>
    <w:rsid w:val="00350482"/>
    <w:rsid w:val="00351808"/>
    <w:rsid w:val="00352213"/>
    <w:rsid w:val="0035548D"/>
    <w:rsid w:val="00361BB8"/>
    <w:rsid w:val="003650BF"/>
    <w:rsid w:val="00374BE3"/>
    <w:rsid w:val="00375932"/>
    <w:rsid w:val="0038623F"/>
    <w:rsid w:val="0038661B"/>
    <w:rsid w:val="0039247C"/>
    <w:rsid w:val="003A1F4C"/>
    <w:rsid w:val="003A2F51"/>
    <w:rsid w:val="003A7258"/>
    <w:rsid w:val="003B130D"/>
    <w:rsid w:val="003B16C9"/>
    <w:rsid w:val="003B6D95"/>
    <w:rsid w:val="003B7068"/>
    <w:rsid w:val="003C3FFF"/>
    <w:rsid w:val="003C401D"/>
    <w:rsid w:val="003C6B95"/>
    <w:rsid w:val="003D0547"/>
    <w:rsid w:val="003D0588"/>
    <w:rsid w:val="003D164E"/>
    <w:rsid w:val="003D2CBA"/>
    <w:rsid w:val="003D2E81"/>
    <w:rsid w:val="003D3A21"/>
    <w:rsid w:val="003D4DA5"/>
    <w:rsid w:val="003E3F98"/>
    <w:rsid w:val="003E5147"/>
    <w:rsid w:val="003E58F0"/>
    <w:rsid w:val="003E6706"/>
    <w:rsid w:val="003E6DF6"/>
    <w:rsid w:val="003F0D2E"/>
    <w:rsid w:val="003F2D88"/>
    <w:rsid w:val="003F51C2"/>
    <w:rsid w:val="003F621D"/>
    <w:rsid w:val="004045C2"/>
    <w:rsid w:val="004118FD"/>
    <w:rsid w:val="00412578"/>
    <w:rsid w:val="00412832"/>
    <w:rsid w:val="00414AC3"/>
    <w:rsid w:val="00415259"/>
    <w:rsid w:val="004174CB"/>
    <w:rsid w:val="004237EE"/>
    <w:rsid w:val="00425687"/>
    <w:rsid w:val="004256B9"/>
    <w:rsid w:val="004270D2"/>
    <w:rsid w:val="00431BE0"/>
    <w:rsid w:val="004343E6"/>
    <w:rsid w:val="00435D53"/>
    <w:rsid w:val="00442155"/>
    <w:rsid w:val="00443D20"/>
    <w:rsid w:val="0044562E"/>
    <w:rsid w:val="004511FC"/>
    <w:rsid w:val="00454FCE"/>
    <w:rsid w:val="00455EE9"/>
    <w:rsid w:val="0046266E"/>
    <w:rsid w:val="00462C02"/>
    <w:rsid w:val="00463D19"/>
    <w:rsid w:val="00463D7E"/>
    <w:rsid w:val="004652BE"/>
    <w:rsid w:val="004669A7"/>
    <w:rsid w:val="00472143"/>
    <w:rsid w:val="00474F0A"/>
    <w:rsid w:val="0047522F"/>
    <w:rsid w:val="00475A2D"/>
    <w:rsid w:val="00475ADC"/>
    <w:rsid w:val="0048139C"/>
    <w:rsid w:val="0048384B"/>
    <w:rsid w:val="004855FF"/>
    <w:rsid w:val="0048793F"/>
    <w:rsid w:val="00487AA2"/>
    <w:rsid w:val="00490FB2"/>
    <w:rsid w:val="00495695"/>
    <w:rsid w:val="00496EFA"/>
    <w:rsid w:val="004978EF"/>
    <w:rsid w:val="004A33D6"/>
    <w:rsid w:val="004B2763"/>
    <w:rsid w:val="004B6B65"/>
    <w:rsid w:val="004B6DB8"/>
    <w:rsid w:val="004B7FB5"/>
    <w:rsid w:val="004C3D46"/>
    <w:rsid w:val="004C5B64"/>
    <w:rsid w:val="004C67C3"/>
    <w:rsid w:val="004D3585"/>
    <w:rsid w:val="004D3B49"/>
    <w:rsid w:val="004D5759"/>
    <w:rsid w:val="004D6305"/>
    <w:rsid w:val="004D652A"/>
    <w:rsid w:val="004D6C0D"/>
    <w:rsid w:val="004E754E"/>
    <w:rsid w:val="004F0B50"/>
    <w:rsid w:val="004F2002"/>
    <w:rsid w:val="004F4148"/>
    <w:rsid w:val="004F49B1"/>
    <w:rsid w:val="0050065F"/>
    <w:rsid w:val="00500877"/>
    <w:rsid w:val="005042FD"/>
    <w:rsid w:val="00506179"/>
    <w:rsid w:val="005066C1"/>
    <w:rsid w:val="005102F2"/>
    <w:rsid w:val="00510318"/>
    <w:rsid w:val="005119EB"/>
    <w:rsid w:val="005138DF"/>
    <w:rsid w:val="005147E1"/>
    <w:rsid w:val="00517A35"/>
    <w:rsid w:val="00517FE5"/>
    <w:rsid w:val="00523893"/>
    <w:rsid w:val="00523D6B"/>
    <w:rsid w:val="0052499E"/>
    <w:rsid w:val="005262A7"/>
    <w:rsid w:val="005317B1"/>
    <w:rsid w:val="00535D90"/>
    <w:rsid w:val="0053704D"/>
    <w:rsid w:val="00543641"/>
    <w:rsid w:val="00544207"/>
    <w:rsid w:val="00545E1E"/>
    <w:rsid w:val="00551B0F"/>
    <w:rsid w:val="005539D6"/>
    <w:rsid w:val="00554C81"/>
    <w:rsid w:val="00556CBA"/>
    <w:rsid w:val="00561817"/>
    <w:rsid w:val="00562AC5"/>
    <w:rsid w:val="00562BFA"/>
    <w:rsid w:val="005669A7"/>
    <w:rsid w:val="0057129F"/>
    <w:rsid w:val="00571604"/>
    <w:rsid w:val="005742EE"/>
    <w:rsid w:val="00577875"/>
    <w:rsid w:val="0058071B"/>
    <w:rsid w:val="005812F1"/>
    <w:rsid w:val="0058172C"/>
    <w:rsid w:val="00583B68"/>
    <w:rsid w:val="00591972"/>
    <w:rsid w:val="00592298"/>
    <w:rsid w:val="005964E8"/>
    <w:rsid w:val="005A4261"/>
    <w:rsid w:val="005A5380"/>
    <w:rsid w:val="005A5837"/>
    <w:rsid w:val="005A5B96"/>
    <w:rsid w:val="005B4121"/>
    <w:rsid w:val="005B640A"/>
    <w:rsid w:val="005B70FA"/>
    <w:rsid w:val="005C38AE"/>
    <w:rsid w:val="005D01C0"/>
    <w:rsid w:val="005D1952"/>
    <w:rsid w:val="005D276B"/>
    <w:rsid w:val="005D5F71"/>
    <w:rsid w:val="005D7985"/>
    <w:rsid w:val="005F46CC"/>
    <w:rsid w:val="005F4D77"/>
    <w:rsid w:val="005F56D2"/>
    <w:rsid w:val="005F6319"/>
    <w:rsid w:val="00600832"/>
    <w:rsid w:val="0060255A"/>
    <w:rsid w:val="00603F9F"/>
    <w:rsid w:val="00605C9F"/>
    <w:rsid w:val="00607AEA"/>
    <w:rsid w:val="00610AEC"/>
    <w:rsid w:val="0061154E"/>
    <w:rsid w:val="006130C6"/>
    <w:rsid w:val="00615332"/>
    <w:rsid w:val="00620344"/>
    <w:rsid w:val="00620B9C"/>
    <w:rsid w:val="00621D49"/>
    <w:rsid w:val="00621E7C"/>
    <w:rsid w:val="00624B0E"/>
    <w:rsid w:val="00627350"/>
    <w:rsid w:val="006276D7"/>
    <w:rsid w:val="00627823"/>
    <w:rsid w:val="00631EB7"/>
    <w:rsid w:val="00633E36"/>
    <w:rsid w:val="00634A38"/>
    <w:rsid w:val="006352F3"/>
    <w:rsid w:val="0063744E"/>
    <w:rsid w:val="006411BC"/>
    <w:rsid w:val="006423AD"/>
    <w:rsid w:val="00647C41"/>
    <w:rsid w:val="00647FE1"/>
    <w:rsid w:val="00650EC7"/>
    <w:rsid w:val="006525E6"/>
    <w:rsid w:val="006549D7"/>
    <w:rsid w:val="00655AE9"/>
    <w:rsid w:val="00656B07"/>
    <w:rsid w:val="00660B17"/>
    <w:rsid w:val="006639FD"/>
    <w:rsid w:val="00664842"/>
    <w:rsid w:val="00664BC2"/>
    <w:rsid w:val="00665C73"/>
    <w:rsid w:val="00666A2D"/>
    <w:rsid w:val="00667B6B"/>
    <w:rsid w:val="00671D83"/>
    <w:rsid w:val="006726F3"/>
    <w:rsid w:val="006735DD"/>
    <w:rsid w:val="006749EB"/>
    <w:rsid w:val="00674FDE"/>
    <w:rsid w:val="006766DF"/>
    <w:rsid w:val="00682AE7"/>
    <w:rsid w:val="00683CCD"/>
    <w:rsid w:val="00687C07"/>
    <w:rsid w:val="00690971"/>
    <w:rsid w:val="00694225"/>
    <w:rsid w:val="006A10E8"/>
    <w:rsid w:val="006A33B0"/>
    <w:rsid w:val="006A4CD7"/>
    <w:rsid w:val="006A6F2C"/>
    <w:rsid w:val="006A7E4A"/>
    <w:rsid w:val="006B0C97"/>
    <w:rsid w:val="006B1E22"/>
    <w:rsid w:val="006B3D13"/>
    <w:rsid w:val="006B434A"/>
    <w:rsid w:val="006B7FCF"/>
    <w:rsid w:val="006C1499"/>
    <w:rsid w:val="006C1819"/>
    <w:rsid w:val="006C5E7B"/>
    <w:rsid w:val="006C5EF1"/>
    <w:rsid w:val="006C758B"/>
    <w:rsid w:val="006D3ABE"/>
    <w:rsid w:val="006D5256"/>
    <w:rsid w:val="006D7371"/>
    <w:rsid w:val="006E6268"/>
    <w:rsid w:val="006F192B"/>
    <w:rsid w:val="006F272C"/>
    <w:rsid w:val="006F3354"/>
    <w:rsid w:val="006F5B3E"/>
    <w:rsid w:val="006F6576"/>
    <w:rsid w:val="00701F7D"/>
    <w:rsid w:val="00707D28"/>
    <w:rsid w:val="0071086A"/>
    <w:rsid w:val="00713E65"/>
    <w:rsid w:val="0071412A"/>
    <w:rsid w:val="007154FC"/>
    <w:rsid w:val="00715AE8"/>
    <w:rsid w:val="0071767A"/>
    <w:rsid w:val="00721EEA"/>
    <w:rsid w:val="0072674D"/>
    <w:rsid w:val="00732918"/>
    <w:rsid w:val="0073314B"/>
    <w:rsid w:val="00745053"/>
    <w:rsid w:val="00747594"/>
    <w:rsid w:val="007513C9"/>
    <w:rsid w:val="007533BC"/>
    <w:rsid w:val="007537C8"/>
    <w:rsid w:val="00756B48"/>
    <w:rsid w:val="00756B65"/>
    <w:rsid w:val="0076379B"/>
    <w:rsid w:val="00764234"/>
    <w:rsid w:val="007657B9"/>
    <w:rsid w:val="00766704"/>
    <w:rsid w:val="00767B3E"/>
    <w:rsid w:val="0077076C"/>
    <w:rsid w:val="00780FCE"/>
    <w:rsid w:val="007847C3"/>
    <w:rsid w:val="00784AE5"/>
    <w:rsid w:val="007872AE"/>
    <w:rsid w:val="0079123E"/>
    <w:rsid w:val="00791387"/>
    <w:rsid w:val="00794F3A"/>
    <w:rsid w:val="007957EF"/>
    <w:rsid w:val="00797659"/>
    <w:rsid w:val="007A310D"/>
    <w:rsid w:val="007A5506"/>
    <w:rsid w:val="007B015C"/>
    <w:rsid w:val="007B197E"/>
    <w:rsid w:val="007B24F2"/>
    <w:rsid w:val="007B3D25"/>
    <w:rsid w:val="007B41EB"/>
    <w:rsid w:val="007B48FD"/>
    <w:rsid w:val="007C1192"/>
    <w:rsid w:val="007C258B"/>
    <w:rsid w:val="007C6FF2"/>
    <w:rsid w:val="007C78FD"/>
    <w:rsid w:val="007D2A6E"/>
    <w:rsid w:val="007D4559"/>
    <w:rsid w:val="007D544F"/>
    <w:rsid w:val="007D646C"/>
    <w:rsid w:val="007D6662"/>
    <w:rsid w:val="007E6428"/>
    <w:rsid w:val="007E74F1"/>
    <w:rsid w:val="007F4210"/>
    <w:rsid w:val="007F523B"/>
    <w:rsid w:val="007F5A2E"/>
    <w:rsid w:val="008016A6"/>
    <w:rsid w:val="00801DAA"/>
    <w:rsid w:val="00803230"/>
    <w:rsid w:val="0080699A"/>
    <w:rsid w:val="0080722B"/>
    <w:rsid w:val="00807461"/>
    <w:rsid w:val="00807FF5"/>
    <w:rsid w:val="00810E5A"/>
    <w:rsid w:val="00811135"/>
    <w:rsid w:val="0081311B"/>
    <w:rsid w:val="00817EA5"/>
    <w:rsid w:val="00821688"/>
    <w:rsid w:val="00822BE6"/>
    <w:rsid w:val="00824B9F"/>
    <w:rsid w:val="0082528F"/>
    <w:rsid w:val="00825532"/>
    <w:rsid w:val="0082752C"/>
    <w:rsid w:val="0084072D"/>
    <w:rsid w:val="00845138"/>
    <w:rsid w:val="00846465"/>
    <w:rsid w:val="00853596"/>
    <w:rsid w:val="00853E6D"/>
    <w:rsid w:val="008562FE"/>
    <w:rsid w:val="0085652F"/>
    <w:rsid w:val="00857245"/>
    <w:rsid w:val="00857823"/>
    <w:rsid w:val="008607CE"/>
    <w:rsid w:val="0086777A"/>
    <w:rsid w:val="008717D3"/>
    <w:rsid w:val="00872094"/>
    <w:rsid w:val="00872651"/>
    <w:rsid w:val="00874DC5"/>
    <w:rsid w:val="00875F4A"/>
    <w:rsid w:val="00880DE8"/>
    <w:rsid w:val="0088301F"/>
    <w:rsid w:val="00887CEF"/>
    <w:rsid w:val="00895797"/>
    <w:rsid w:val="00895D0F"/>
    <w:rsid w:val="008A2439"/>
    <w:rsid w:val="008A29DB"/>
    <w:rsid w:val="008A4A78"/>
    <w:rsid w:val="008A4D34"/>
    <w:rsid w:val="008A529A"/>
    <w:rsid w:val="008A5CAF"/>
    <w:rsid w:val="008B22C9"/>
    <w:rsid w:val="008B6E01"/>
    <w:rsid w:val="008C1B32"/>
    <w:rsid w:val="008C6960"/>
    <w:rsid w:val="008C7E82"/>
    <w:rsid w:val="008D13CA"/>
    <w:rsid w:val="008D5458"/>
    <w:rsid w:val="008F072E"/>
    <w:rsid w:val="008F0951"/>
    <w:rsid w:val="008F10D8"/>
    <w:rsid w:val="008F1936"/>
    <w:rsid w:val="008F4A27"/>
    <w:rsid w:val="008F5B3D"/>
    <w:rsid w:val="008F7BB3"/>
    <w:rsid w:val="0090243D"/>
    <w:rsid w:val="00903260"/>
    <w:rsid w:val="009102D1"/>
    <w:rsid w:val="00910446"/>
    <w:rsid w:val="009127C0"/>
    <w:rsid w:val="009139E3"/>
    <w:rsid w:val="0091590B"/>
    <w:rsid w:val="00920F84"/>
    <w:rsid w:val="0092204F"/>
    <w:rsid w:val="00922ACE"/>
    <w:rsid w:val="00923A8D"/>
    <w:rsid w:val="00923E55"/>
    <w:rsid w:val="00925F15"/>
    <w:rsid w:val="0092710D"/>
    <w:rsid w:val="009313C9"/>
    <w:rsid w:val="00933659"/>
    <w:rsid w:val="009361E0"/>
    <w:rsid w:val="00936EF3"/>
    <w:rsid w:val="00937CB4"/>
    <w:rsid w:val="009537DA"/>
    <w:rsid w:val="00957F7D"/>
    <w:rsid w:val="009601FF"/>
    <w:rsid w:val="009664EB"/>
    <w:rsid w:val="009665A2"/>
    <w:rsid w:val="00967AD2"/>
    <w:rsid w:val="009707E9"/>
    <w:rsid w:val="00971AD2"/>
    <w:rsid w:val="00974318"/>
    <w:rsid w:val="00982352"/>
    <w:rsid w:val="00985929"/>
    <w:rsid w:val="00987226"/>
    <w:rsid w:val="0099046D"/>
    <w:rsid w:val="00990883"/>
    <w:rsid w:val="009941D4"/>
    <w:rsid w:val="00997E97"/>
    <w:rsid w:val="009A3154"/>
    <w:rsid w:val="009A340C"/>
    <w:rsid w:val="009A37A0"/>
    <w:rsid w:val="009A7E8C"/>
    <w:rsid w:val="009A7EB1"/>
    <w:rsid w:val="009A7F17"/>
    <w:rsid w:val="009B16C3"/>
    <w:rsid w:val="009B4552"/>
    <w:rsid w:val="009B4DFC"/>
    <w:rsid w:val="009B53E0"/>
    <w:rsid w:val="009B682B"/>
    <w:rsid w:val="009B6870"/>
    <w:rsid w:val="009B78E4"/>
    <w:rsid w:val="009B7E78"/>
    <w:rsid w:val="009C0FCF"/>
    <w:rsid w:val="009C2D6C"/>
    <w:rsid w:val="009C3410"/>
    <w:rsid w:val="009C544A"/>
    <w:rsid w:val="009C7BB5"/>
    <w:rsid w:val="009D0CEE"/>
    <w:rsid w:val="009D1BFE"/>
    <w:rsid w:val="009D5603"/>
    <w:rsid w:val="009E0456"/>
    <w:rsid w:val="009E166F"/>
    <w:rsid w:val="009E72D3"/>
    <w:rsid w:val="009F5033"/>
    <w:rsid w:val="009F5658"/>
    <w:rsid w:val="009F709E"/>
    <w:rsid w:val="00A00FD2"/>
    <w:rsid w:val="00A0437B"/>
    <w:rsid w:val="00A051B8"/>
    <w:rsid w:val="00A05630"/>
    <w:rsid w:val="00A0581B"/>
    <w:rsid w:val="00A10589"/>
    <w:rsid w:val="00A10D5F"/>
    <w:rsid w:val="00A166BF"/>
    <w:rsid w:val="00A16C3B"/>
    <w:rsid w:val="00A2141C"/>
    <w:rsid w:val="00A25927"/>
    <w:rsid w:val="00A25E14"/>
    <w:rsid w:val="00A263A2"/>
    <w:rsid w:val="00A27271"/>
    <w:rsid w:val="00A328EC"/>
    <w:rsid w:val="00A3490A"/>
    <w:rsid w:val="00A3649F"/>
    <w:rsid w:val="00A41076"/>
    <w:rsid w:val="00A43A44"/>
    <w:rsid w:val="00A46B4D"/>
    <w:rsid w:val="00A46FC5"/>
    <w:rsid w:val="00A47A81"/>
    <w:rsid w:val="00A52FC3"/>
    <w:rsid w:val="00A530B5"/>
    <w:rsid w:val="00A5558D"/>
    <w:rsid w:val="00A563F6"/>
    <w:rsid w:val="00A61494"/>
    <w:rsid w:val="00A62CC1"/>
    <w:rsid w:val="00A640D7"/>
    <w:rsid w:val="00A6537A"/>
    <w:rsid w:val="00A67415"/>
    <w:rsid w:val="00A72BAB"/>
    <w:rsid w:val="00A7450F"/>
    <w:rsid w:val="00A75E06"/>
    <w:rsid w:val="00A82ADA"/>
    <w:rsid w:val="00A86404"/>
    <w:rsid w:val="00A92269"/>
    <w:rsid w:val="00A9261C"/>
    <w:rsid w:val="00A9402C"/>
    <w:rsid w:val="00A94AA5"/>
    <w:rsid w:val="00AA0018"/>
    <w:rsid w:val="00AA0CE8"/>
    <w:rsid w:val="00AA1AC0"/>
    <w:rsid w:val="00AA27A2"/>
    <w:rsid w:val="00AA325F"/>
    <w:rsid w:val="00AA3823"/>
    <w:rsid w:val="00AA4D24"/>
    <w:rsid w:val="00AA4D45"/>
    <w:rsid w:val="00AA546B"/>
    <w:rsid w:val="00AA69F3"/>
    <w:rsid w:val="00AA7B68"/>
    <w:rsid w:val="00AB06F2"/>
    <w:rsid w:val="00AB1283"/>
    <w:rsid w:val="00AB2E9A"/>
    <w:rsid w:val="00AB56DA"/>
    <w:rsid w:val="00AB651D"/>
    <w:rsid w:val="00AC0F79"/>
    <w:rsid w:val="00AC5EE6"/>
    <w:rsid w:val="00AC75EE"/>
    <w:rsid w:val="00AD6851"/>
    <w:rsid w:val="00AF4253"/>
    <w:rsid w:val="00B00523"/>
    <w:rsid w:val="00B00655"/>
    <w:rsid w:val="00B02A48"/>
    <w:rsid w:val="00B03C72"/>
    <w:rsid w:val="00B06DD4"/>
    <w:rsid w:val="00B072C7"/>
    <w:rsid w:val="00B1097B"/>
    <w:rsid w:val="00B11836"/>
    <w:rsid w:val="00B13982"/>
    <w:rsid w:val="00B175BF"/>
    <w:rsid w:val="00B22432"/>
    <w:rsid w:val="00B24EDE"/>
    <w:rsid w:val="00B25BDB"/>
    <w:rsid w:val="00B25F24"/>
    <w:rsid w:val="00B30261"/>
    <w:rsid w:val="00B30A16"/>
    <w:rsid w:val="00B310E5"/>
    <w:rsid w:val="00B44F2C"/>
    <w:rsid w:val="00B50FC3"/>
    <w:rsid w:val="00B52A49"/>
    <w:rsid w:val="00B53F56"/>
    <w:rsid w:val="00B5449D"/>
    <w:rsid w:val="00B54FBA"/>
    <w:rsid w:val="00B56FE6"/>
    <w:rsid w:val="00B618A6"/>
    <w:rsid w:val="00B64700"/>
    <w:rsid w:val="00B65C0C"/>
    <w:rsid w:val="00B65EDC"/>
    <w:rsid w:val="00B66A87"/>
    <w:rsid w:val="00B701AC"/>
    <w:rsid w:val="00B71537"/>
    <w:rsid w:val="00B7358B"/>
    <w:rsid w:val="00B810CE"/>
    <w:rsid w:val="00B8246D"/>
    <w:rsid w:val="00B839A5"/>
    <w:rsid w:val="00B84686"/>
    <w:rsid w:val="00B920E4"/>
    <w:rsid w:val="00B934BF"/>
    <w:rsid w:val="00B95ED8"/>
    <w:rsid w:val="00B96753"/>
    <w:rsid w:val="00BA0685"/>
    <w:rsid w:val="00BA23A0"/>
    <w:rsid w:val="00BA7C87"/>
    <w:rsid w:val="00BB69E2"/>
    <w:rsid w:val="00BC0722"/>
    <w:rsid w:val="00BC3495"/>
    <w:rsid w:val="00BC4777"/>
    <w:rsid w:val="00BC706C"/>
    <w:rsid w:val="00BD0AEA"/>
    <w:rsid w:val="00BD1453"/>
    <w:rsid w:val="00BD1507"/>
    <w:rsid w:val="00BD5A99"/>
    <w:rsid w:val="00BE1483"/>
    <w:rsid w:val="00BF4C35"/>
    <w:rsid w:val="00BF64CA"/>
    <w:rsid w:val="00BF688B"/>
    <w:rsid w:val="00C00761"/>
    <w:rsid w:val="00C0213C"/>
    <w:rsid w:val="00C027D8"/>
    <w:rsid w:val="00C041FB"/>
    <w:rsid w:val="00C12308"/>
    <w:rsid w:val="00C12C6F"/>
    <w:rsid w:val="00C15214"/>
    <w:rsid w:val="00C161EA"/>
    <w:rsid w:val="00C208CE"/>
    <w:rsid w:val="00C22645"/>
    <w:rsid w:val="00C22FBA"/>
    <w:rsid w:val="00C27B16"/>
    <w:rsid w:val="00C31F74"/>
    <w:rsid w:val="00C3244C"/>
    <w:rsid w:val="00C371CF"/>
    <w:rsid w:val="00C416E5"/>
    <w:rsid w:val="00C41EB5"/>
    <w:rsid w:val="00C45511"/>
    <w:rsid w:val="00C457AA"/>
    <w:rsid w:val="00C47122"/>
    <w:rsid w:val="00C569BD"/>
    <w:rsid w:val="00C6086E"/>
    <w:rsid w:val="00C631AA"/>
    <w:rsid w:val="00C66710"/>
    <w:rsid w:val="00C66A96"/>
    <w:rsid w:val="00C81BE5"/>
    <w:rsid w:val="00C82639"/>
    <w:rsid w:val="00C83B9F"/>
    <w:rsid w:val="00C8616F"/>
    <w:rsid w:val="00C867AC"/>
    <w:rsid w:val="00C91AC1"/>
    <w:rsid w:val="00C96641"/>
    <w:rsid w:val="00CA1CFC"/>
    <w:rsid w:val="00CA3FB8"/>
    <w:rsid w:val="00CB2FCB"/>
    <w:rsid w:val="00CB7948"/>
    <w:rsid w:val="00CC1131"/>
    <w:rsid w:val="00CD2C14"/>
    <w:rsid w:val="00CD2CEF"/>
    <w:rsid w:val="00CD3FB6"/>
    <w:rsid w:val="00CD4CE9"/>
    <w:rsid w:val="00CD514B"/>
    <w:rsid w:val="00CD583D"/>
    <w:rsid w:val="00CE03E8"/>
    <w:rsid w:val="00CE42F2"/>
    <w:rsid w:val="00CE66DE"/>
    <w:rsid w:val="00CE6F0D"/>
    <w:rsid w:val="00CF0F2C"/>
    <w:rsid w:val="00CF19ED"/>
    <w:rsid w:val="00CF1BD7"/>
    <w:rsid w:val="00CF41B6"/>
    <w:rsid w:val="00CF4476"/>
    <w:rsid w:val="00CF51F3"/>
    <w:rsid w:val="00CF6074"/>
    <w:rsid w:val="00CF648E"/>
    <w:rsid w:val="00CF72C0"/>
    <w:rsid w:val="00D02961"/>
    <w:rsid w:val="00D02B03"/>
    <w:rsid w:val="00D03D47"/>
    <w:rsid w:val="00D03F68"/>
    <w:rsid w:val="00D04199"/>
    <w:rsid w:val="00D1033A"/>
    <w:rsid w:val="00D116AB"/>
    <w:rsid w:val="00D14C61"/>
    <w:rsid w:val="00D178B1"/>
    <w:rsid w:val="00D2001A"/>
    <w:rsid w:val="00D22345"/>
    <w:rsid w:val="00D232A0"/>
    <w:rsid w:val="00D23E40"/>
    <w:rsid w:val="00D24E55"/>
    <w:rsid w:val="00D27ABC"/>
    <w:rsid w:val="00D27D0C"/>
    <w:rsid w:val="00D30A89"/>
    <w:rsid w:val="00D334C7"/>
    <w:rsid w:val="00D368CD"/>
    <w:rsid w:val="00D379A3"/>
    <w:rsid w:val="00D42112"/>
    <w:rsid w:val="00D45277"/>
    <w:rsid w:val="00D45D71"/>
    <w:rsid w:val="00D47773"/>
    <w:rsid w:val="00D50A71"/>
    <w:rsid w:val="00D52A07"/>
    <w:rsid w:val="00D5306F"/>
    <w:rsid w:val="00D546DB"/>
    <w:rsid w:val="00D55D4B"/>
    <w:rsid w:val="00D572BE"/>
    <w:rsid w:val="00D6334E"/>
    <w:rsid w:val="00D63C21"/>
    <w:rsid w:val="00D66723"/>
    <w:rsid w:val="00D71955"/>
    <w:rsid w:val="00D75301"/>
    <w:rsid w:val="00D81B84"/>
    <w:rsid w:val="00D874A0"/>
    <w:rsid w:val="00D90E0B"/>
    <w:rsid w:val="00D97B9C"/>
    <w:rsid w:val="00DA28A1"/>
    <w:rsid w:val="00DA3262"/>
    <w:rsid w:val="00DA5F42"/>
    <w:rsid w:val="00DA6626"/>
    <w:rsid w:val="00DA691F"/>
    <w:rsid w:val="00DA79DD"/>
    <w:rsid w:val="00DB021B"/>
    <w:rsid w:val="00DB0FF1"/>
    <w:rsid w:val="00DB44AC"/>
    <w:rsid w:val="00DB4520"/>
    <w:rsid w:val="00DC0EBC"/>
    <w:rsid w:val="00DC4AF3"/>
    <w:rsid w:val="00DC4E4D"/>
    <w:rsid w:val="00DC5096"/>
    <w:rsid w:val="00DC73F8"/>
    <w:rsid w:val="00DD4A71"/>
    <w:rsid w:val="00DD7454"/>
    <w:rsid w:val="00DD7544"/>
    <w:rsid w:val="00DE1A3B"/>
    <w:rsid w:val="00DE23C9"/>
    <w:rsid w:val="00DE4906"/>
    <w:rsid w:val="00DE4E04"/>
    <w:rsid w:val="00DF0A49"/>
    <w:rsid w:val="00DF1BCE"/>
    <w:rsid w:val="00DF2971"/>
    <w:rsid w:val="00DF2C6F"/>
    <w:rsid w:val="00DF2C99"/>
    <w:rsid w:val="00DF309C"/>
    <w:rsid w:val="00DF481E"/>
    <w:rsid w:val="00E01D1E"/>
    <w:rsid w:val="00E0257D"/>
    <w:rsid w:val="00E03958"/>
    <w:rsid w:val="00E03DB4"/>
    <w:rsid w:val="00E11D38"/>
    <w:rsid w:val="00E12967"/>
    <w:rsid w:val="00E13AB5"/>
    <w:rsid w:val="00E146FD"/>
    <w:rsid w:val="00E14A4F"/>
    <w:rsid w:val="00E14D2E"/>
    <w:rsid w:val="00E202FD"/>
    <w:rsid w:val="00E2150E"/>
    <w:rsid w:val="00E22CBB"/>
    <w:rsid w:val="00E22F4F"/>
    <w:rsid w:val="00E24E04"/>
    <w:rsid w:val="00E251C8"/>
    <w:rsid w:val="00E270F9"/>
    <w:rsid w:val="00E3015C"/>
    <w:rsid w:val="00E30D55"/>
    <w:rsid w:val="00E33F66"/>
    <w:rsid w:val="00E3585E"/>
    <w:rsid w:val="00E36EDC"/>
    <w:rsid w:val="00E466B0"/>
    <w:rsid w:val="00E50E96"/>
    <w:rsid w:val="00E52C65"/>
    <w:rsid w:val="00E53D29"/>
    <w:rsid w:val="00E54CE1"/>
    <w:rsid w:val="00E5594F"/>
    <w:rsid w:val="00E55CCB"/>
    <w:rsid w:val="00E55EB1"/>
    <w:rsid w:val="00E56F5C"/>
    <w:rsid w:val="00E57276"/>
    <w:rsid w:val="00E62C20"/>
    <w:rsid w:val="00E7218E"/>
    <w:rsid w:val="00E75DAF"/>
    <w:rsid w:val="00E75EAD"/>
    <w:rsid w:val="00E85C1D"/>
    <w:rsid w:val="00E864B3"/>
    <w:rsid w:val="00E93139"/>
    <w:rsid w:val="00E95409"/>
    <w:rsid w:val="00E967D2"/>
    <w:rsid w:val="00E96ED1"/>
    <w:rsid w:val="00EA3876"/>
    <w:rsid w:val="00EA3D97"/>
    <w:rsid w:val="00EA5966"/>
    <w:rsid w:val="00EA5A1D"/>
    <w:rsid w:val="00EB016C"/>
    <w:rsid w:val="00EB3D37"/>
    <w:rsid w:val="00EB578A"/>
    <w:rsid w:val="00EC1179"/>
    <w:rsid w:val="00EC15F8"/>
    <w:rsid w:val="00EC1C29"/>
    <w:rsid w:val="00EC2553"/>
    <w:rsid w:val="00EC7AFF"/>
    <w:rsid w:val="00ED07A8"/>
    <w:rsid w:val="00ED0A1F"/>
    <w:rsid w:val="00ED1B4B"/>
    <w:rsid w:val="00ED222F"/>
    <w:rsid w:val="00ED31A7"/>
    <w:rsid w:val="00ED3CFD"/>
    <w:rsid w:val="00ED47DA"/>
    <w:rsid w:val="00ED4A4B"/>
    <w:rsid w:val="00ED61F4"/>
    <w:rsid w:val="00EE090D"/>
    <w:rsid w:val="00EE0E63"/>
    <w:rsid w:val="00EE13A0"/>
    <w:rsid w:val="00EE21CD"/>
    <w:rsid w:val="00EE493D"/>
    <w:rsid w:val="00EF401D"/>
    <w:rsid w:val="00EF5D09"/>
    <w:rsid w:val="00F019FA"/>
    <w:rsid w:val="00F01FC5"/>
    <w:rsid w:val="00F05205"/>
    <w:rsid w:val="00F06D81"/>
    <w:rsid w:val="00F1096D"/>
    <w:rsid w:val="00F11073"/>
    <w:rsid w:val="00F12130"/>
    <w:rsid w:val="00F15CB8"/>
    <w:rsid w:val="00F223FE"/>
    <w:rsid w:val="00F23DEB"/>
    <w:rsid w:val="00F30166"/>
    <w:rsid w:val="00F3125F"/>
    <w:rsid w:val="00F34A27"/>
    <w:rsid w:val="00F359B6"/>
    <w:rsid w:val="00F362DC"/>
    <w:rsid w:val="00F36B59"/>
    <w:rsid w:val="00F36F17"/>
    <w:rsid w:val="00F42988"/>
    <w:rsid w:val="00F42E11"/>
    <w:rsid w:val="00F43C0A"/>
    <w:rsid w:val="00F476C2"/>
    <w:rsid w:val="00F50A5F"/>
    <w:rsid w:val="00F515B5"/>
    <w:rsid w:val="00F535E6"/>
    <w:rsid w:val="00F55B11"/>
    <w:rsid w:val="00F6065F"/>
    <w:rsid w:val="00F61720"/>
    <w:rsid w:val="00F65B19"/>
    <w:rsid w:val="00F65BEA"/>
    <w:rsid w:val="00F66133"/>
    <w:rsid w:val="00F66F27"/>
    <w:rsid w:val="00F7092B"/>
    <w:rsid w:val="00F832C2"/>
    <w:rsid w:val="00F83944"/>
    <w:rsid w:val="00F86DBC"/>
    <w:rsid w:val="00F9092A"/>
    <w:rsid w:val="00F913A4"/>
    <w:rsid w:val="00F91BEC"/>
    <w:rsid w:val="00FA1CA9"/>
    <w:rsid w:val="00FB26F6"/>
    <w:rsid w:val="00FC0E69"/>
    <w:rsid w:val="00FC4BF6"/>
    <w:rsid w:val="00FC742F"/>
    <w:rsid w:val="00FD176C"/>
    <w:rsid w:val="00FD63D4"/>
    <w:rsid w:val="00FE0B83"/>
    <w:rsid w:val="00FE5AAE"/>
    <w:rsid w:val="00FE68C6"/>
    <w:rsid w:val="00FF3518"/>
    <w:rsid w:val="08BF48BB"/>
    <w:rsid w:val="0B0AA2CA"/>
    <w:rsid w:val="194D7B75"/>
    <w:rsid w:val="1E0A546B"/>
    <w:rsid w:val="1E38026F"/>
    <w:rsid w:val="1E70EA8D"/>
    <w:rsid w:val="1F3A6E0F"/>
    <w:rsid w:val="24DA661F"/>
    <w:rsid w:val="2AD71149"/>
    <w:rsid w:val="30A5D7B4"/>
    <w:rsid w:val="36D2A889"/>
    <w:rsid w:val="458C12A2"/>
    <w:rsid w:val="59626960"/>
    <w:rsid w:val="5C890121"/>
    <w:rsid w:val="78E82792"/>
    <w:rsid w:val="7D0538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48F4B0"/>
  <w15:docId w15:val="{CF714BF9-A962-4B9C-BD21-446838F3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6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34"/>
    <w:qFormat/>
    <w:rsid w:val="005964E8"/>
    <w:pPr>
      <w:ind w:left="720"/>
      <w:contextualSpacing/>
    </w:pPr>
  </w:style>
  <w:style w:type="paragraph" w:styleId="Header">
    <w:name w:val="header"/>
    <w:basedOn w:val="Normal"/>
    <w:link w:val="HeaderChar"/>
    <w:uiPriority w:val="99"/>
    <w:unhideWhenUsed/>
    <w:rsid w:val="0059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4E8"/>
  </w:style>
  <w:style w:type="paragraph" w:styleId="Footer">
    <w:name w:val="footer"/>
    <w:basedOn w:val="Normal"/>
    <w:link w:val="FooterChar"/>
    <w:uiPriority w:val="99"/>
    <w:unhideWhenUsed/>
    <w:rsid w:val="0059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4E8"/>
  </w:style>
  <w:style w:type="paragraph" w:styleId="NormalWeb">
    <w:name w:val="Normal (Web)"/>
    <w:basedOn w:val="Normal"/>
    <w:uiPriority w:val="99"/>
    <w:unhideWhenUsed/>
    <w:rsid w:val="005964E8"/>
    <w:pPr>
      <w:spacing w:after="288" w:line="240" w:lineRule="auto"/>
    </w:pPr>
    <w:rPr>
      <w:rFonts w:ascii="Times New Roman" w:eastAsia="Times New Roman" w:hAnsi="Times New Roman" w:cs="Times New Roman"/>
      <w:sz w:val="24"/>
      <w:szCs w:val="24"/>
    </w:rPr>
  </w:style>
  <w:style w:type="paragraph" w:customStyle="1" w:styleId="Default">
    <w:name w:val="Default"/>
    <w:rsid w:val="005964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1">
    <w:name w:val="normaltextrun1"/>
    <w:basedOn w:val="DefaultParagraphFont"/>
    <w:rsid w:val="005964E8"/>
  </w:style>
  <w:style w:type="character" w:customStyle="1" w:styleId="eop">
    <w:name w:val="eop"/>
    <w:basedOn w:val="DefaultParagraphFont"/>
    <w:rsid w:val="005964E8"/>
  </w:style>
  <w:style w:type="character" w:styleId="BookTitle">
    <w:name w:val="Book Title"/>
    <w:uiPriority w:val="33"/>
    <w:qFormat/>
    <w:rsid w:val="005964E8"/>
    <w:rPr>
      <w:rFonts w:ascii="Times New Roman" w:eastAsia="Calibri" w:hAnsi="Times New Roman" w:cs="Times New Roman"/>
      <w:sz w:val="24"/>
      <w:szCs w:val="24"/>
    </w:rPr>
  </w:style>
  <w:style w:type="paragraph" w:styleId="BodyText">
    <w:name w:val="Body Text"/>
    <w:basedOn w:val="Normal"/>
    <w:link w:val="BodyTextChar"/>
    <w:qFormat/>
    <w:rsid w:val="005964E8"/>
    <w:pPr>
      <w:autoSpaceDE w:val="0"/>
      <w:autoSpaceDN w:val="0"/>
      <w:adjustRightInd w:val="0"/>
      <w:spacing w:before="200" w:after="200" w:line="276" w:lineRule="auto"/>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rsid w:val="005964E8"/>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96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4E8"/>
    <w:rPr>
      <w:rFonts w:ascii="Segoe UI" w:hAnsi="Segoe UI" w:cs="Segoe UI"/>
      <w:sz w:val="18"/>
      <w:szCs w:val="18"/>
    </w:rPr>
  </w:style>
  <w:style w:type="character" w:styleId="CommentReference">
    <w:name w:val="annotation reference"/>
    <w:basedOn w:val="DefaultParagraphFont"/>
    <w:uiPriority w:val="99"/>
    <w:unhideWhenUsed/>
    <w:qFormat/>
    <w:rsid w:val="00B934BF"/>
    <w:rPr>
      <w:sz w:val="16"/>
      <w:szCs w:val="16"/>
    </w:rPr>
  </w:style>
  <w:style w:type="paragraph" w:styleId="CommentText">
    <w:name w:val="annotation text"/>
    <w:aliases w:val="Times New Roman,t"/>
    <w:basedOn w:val="Normal"/>
    <w:link w:val="CommentTextChar"/>
    <w:uiPriority w:val="99"/>
    <w:unhideWhenUsed/>
    <w:qFormat/>
    <w:rsid w:val="00B934BF"/>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B934BF"/>
    <w:rPr>
      <w:sz w:val="20"/>
      <w:szCs w:val="20"/>
    </w:rPr>
  </w:style>
  <w:style w:type="paragraph" w:styleId="CommentSubject">
    <w:name w:val="annotation subject"/>
    <w:basedOn w:val="CommentText"/>
    <w:next w:val="CommentText"/>
    <w:link w:val="CommentSubjectChar"/>
    <w:uiPriority w:val="99"/>
    <w:semiHidden/>
    <w:unhideWhenUsed/>
    <w:rsid w:val="00B934BF"/>
    <w:rPr>
      <w:b/>
      <w:bCs/>
    </w:rPr>
  </w:style>
  <w:style w:type="character" w:customStyle="1" w:styleId="CommentSubjectChar">
    <w:name w:val="Comment Subject Char"/>
    <w:basedOn w:val="CommentTextChar"/>
    <w:link w:val="CommentSubject"/>
    <w:uiPriority w:val="99"/>
    <w:semiHidden/>
    <w:rsid w:val="00B934BF"/>
    <w:rPr>
      <w:b/>
      <w:bCs/>
      <w:sz w:val="20"/>
      <w:szCs w:val="20"/>
    </w:rPr>
  </w:style>
  <w:style w:type="paragraph" w:styleId="Revision">
    <w:name w:val="Revision"/>
    <w:hidden/>
    <w:uiPriority w:val="99"/>
    <w:semiHidden/>
    <w:rsid w:val="00FB26F6"/>
    <w:pPr>
      <w:spacing w:after="0" w:line="240" w:lineRule="auto"/>
    </w:pPr>
  </w:style>
  <w:style w:type="character" w:customStyle="1" w:styleId="ListParagraphChar">
    <w:name w:val="List Paragraph Char"/>
    <w:aliases w:val="3 Char,Bullet 1 Char,Bulleted List Level 1 Char,Colorful List - Accent 11 Char,Dot pt Char,F5 List Paragraph Char,Indicator Text Char,Issue Action POC Char,List Paragraph Char Char Char Char,List Paragraph1 Char,POCG Table Text Char"/>
    <w:basedOn w:val="DefaultParagraphFont"/>
    <w:link w:val="ListParagraph"/>
    <w:uiPriority w:val="34"/>
    <w:locked/>
    <w:rsid w:val="003F621D"/>
  </w:style>
  <w:style w:type="paragraph" w:styleId="FootnoteText">
    <w:name w:val="footnote text"/>
    <w:aliases w:val="Char18,Char181,Char182,Char183,F1,Footnote Text - NEW,Tablenote Text,fn,fn1,fn2"/>
    <w:basedOn w:val="Normal"/>
    <w:link w:val="FootnoteTextChar"/>
    <w:uiPriority w:val="99"/>
    <w:qFormat/>
    <w:rsid w:val="003F621D"/>
    <w:pPr>
      <w:spacing w:after="0" w:line="276" w:lineRule="auto"/>
    </w:pPr>
    <w:rPr>
      <w:rFonts w:ascii="Times New Roman" w:eastAsia="Times New Roman" w:hAnsi="Times New Roman" w:cs="Times New Roman"/>
      <w:sz w:val="24"/>
      <w:szCs w:val="24"/>
    </w:rPr>
  </w:style>
  <w:style w:type="character" w:customStyle="1" w:styleId="FootnoteTextChar">
    <w:name w:val="Footnote Text Char"/>
    <w:aliases w:val="Char18 Char,Char181 Char,Char182 Char,Char183 Char,F1 Char,Footnote Text - NEW Char,Tablenote Text Char,fn Char,fn1 Char,fn2 Char"/>
    <w:basedOn w:val="DefaultParagraphFont"/>
    <w:link w:val="FootnoteText"/>
    <w:uiPriority w:val="99"/>
    <w:rsid w:val="003F621D"/>
    <w:rPr>
      <w:rFonts w:ascii="Times New Roman" w:eastAsia="Times New Roman" w:hAnsi="Times New Roman" w:cs="Times New Roman"/>
      <w:sz w:val="24"/>
      <w:szCs w:val="24"/>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3F621D"/>
    <w:rPr>
      <w:rFonts w:cs="Times New Roman"/>
      <w:vertAlign w:val="superscript"/>
    </w:rPr>
  </w:style>
  <w:style w:type="character" w:styleId="Emphasis">
    <w:name w:val="Emphasis"/>
    <w:basedOn w:val="DefaultParagraphFont"/>
    <w:uiPriority w:val="20"/>
    <w:qFormat/>
    <w:rsid w:val="00F36B59"/>
    <w:rPr>
      <w:i/>
      <w:iCs/>
    </w:rPr>
  </w:style>
  <w:style w:type="paragraph" w:styleId="NoSpacing">
    <w:name w:val="No Spacing"/>
    <w:uiPriority w:val="1"/>
    <w:qFormat/>
    <w:rsid w:val="00475A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A6352682F4B4C8E511023E19FD2FE" ma:contentTypeVersion="0" ma:contentTypeDescription="Create a new document." ma:contentTypeScope="" ma:versionID="5a47c74e54e5f3635f4973dae61aa094">
  <xsd:schema xmlns:xsd="http://www.w3.org/2001/XMLSchema" xmlns:xs="http://www.w3.org/2001/XMLSchema" xmlns:p="http://schemas.microsoft.com/office/2006/metadata/properties" targetNamespace="http://schemas.microsoft.com/office/2006/metadata/properties" ma:root="true" ma:fieldsID="ccb10abd21c80f073f718f42d10fa1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A9FF7-06BB-4EC1-97E8-33A6E7ABC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B6B543-1526-4F16-B075-D5A9ACC8F61F}">
  <ds:schemaRefs>
    <ds:schemaRef ds:uri="http://schemas.openxmlformats.org/officeDocument/2006/bibliography"/>
  </ds:schemaRefs>
</ds:datastoreItem>
</file>

<file path=customXml/itemProps3.xml><?xml version="1.0" encoding="utf-8"?>
<ds:datastoreItem xmlns:ds="http://schemas.openxmlformats.org/officeDocument/2006/customXml" ds:itemID="{FC5CD79D-D8BC-4DC5-8915-1E3F5C06E0AB}">
  <ds:schemaRefs>
    <ds:schemaRef ds:uri="http://schemas.microsoft.com/sharepoint/v3/contenttype/forms"/>
  </ds:schemaRefs>
</ds:datastoreItem>
</file>

<file path=customXml/itemProps4.xml><?xml version="1.0" encoding="utf-8"?>
<ds:datastoreItem xmlns:ds="http://schemas.openxmlformats.org/officeDocument/2006/customXml" ds:itemID="{901AE3A5-7D06-4BA0-A5A8-D1D3BEA98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SHRUTI RAJAN</dc:creator>
  <cp:lastModifiedBy>Patrone, Lucia (CMS/CM)</cp:lastModifiedBy>
  <cp:revision>2</cp:revision>
  <dcterms:created xsi:type="dcterms:W3CDTF">2023-11-20T15:10:00Z</dcterms:created>
  <dcterms:modified xsi:type="dcterms:W3CDTF">2023-11-20T15:10:00Z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0x010100976A6352682F4B4C8E511023E19FD2FE</vt:lpwstr>
  </property>
  <property fmtid="{D5CDD505-2E9C-101B-9397-08002B2CF9AE}" pid="3" name="GrammarlyDocumentId">
    <vt:lpwstr>b087b1e7a5aa6228b92076b7257393d819cbea3c6a3a93d4fdb4adcab351f77d</vt:lpwstr>
  </property>
</Properties>
</file>