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D12B5" w14:paraId="69CAB045" w14:textId="77777777">
      <w:pPr>
        <w:spacing w:after="1" w:line="259" w:lineRule="auto"/>
        <w:ind w:left="89" w:right="3"/>
        <w:jc w:val="center"/>
      </w:pPr>
      <w:r>
        <w:rPr>
          <w:b/>
        </w:rPr>
        <w:t xml:space="preserve">Supporting Statement Part A </w:t>
      </w:r>
      <w:r>
        <w:t xml:space="preserve"> </w:t>
      </w:r>
    </w:p>
    <w:p w:rsidR="006D12B5" w14:paraId="1FD937B0" w14:textId="77777777">
      <w:pPr>
        <w:spacing w:after="1" w:line="259" w:lineRule="auto"/>
        <w:ind w:left="89" w:right="1"/>
        <w:jc w:val="center"/>
      </w:pPr>
      <w:r>
        <w:rPr>
          <w:b/>
        </w:rPr>
        <w:t xml:space="preserve">Medicare Drug Coverage and Your Rights </w:t>
      </w:r>
      <w:r>
        <w:t xml:space="preserve"> </w:t>
      </w:r>
    </w:p>
    <w:p w:rsidR="006D12B5" w14:paraId="6B3A0EA3" w14:textId="77777777">
      <w:pPr>
        <w:spacing w:after="1" w:line="259" w:lineRule="auto"/>
        <w:ind w:left="89"/>
        <w:jc w:val="center"/>
      </w:pPr>
      <w:r>
        <w:rPr>
          <w:b/>
        </w:rPr>
        <w:t xml:space="preserve">(CMS-10147, OMB 0938-0975) </w:t>
      </w:r>
      <w:r>
        <w:t xml:space="preserve"> </w:t>
      </w:r>
    </w:p>
    <w:p w:rsidR="00424D65" w:rsidP="00424D65" w14:paraId="401D69C0" w14:textId="77777777">
      <w:pPr>
        <w:spacing w:after="4"/>
        <w:ind w:left="-5"/>
      </w:pPr>
      <w:r>
        <w:rPr>
          <w:i/>
        </w:rPr>
        <w:t xml:space="preserve">Note: We have revised the title of this collection because Medicare style has dropped “prescription” as an adjective in most cases and now uses “Medicare drug coverage”, per the CMS Office of Communications (OC). </w:t>
      </w:r>
      <w:r>
        <w:t xml:space="preserve"> </w:t>
      </w:r>
    </w:p>
    <w:p w:rsidR="00424D65" w14:paraId="3516A0A3" w14:textId="77777777">
      <w:pPr>
        <w:spacing w:after="1" w:line="259" w:lineRule="auto"/>
        <w:ind w:left="89"/>
        <w:jc w:val="center"/>
      </w:pPr>
    </w:p>
    <w:p w:rsidR="006D12B5" w14:paraId="2D5069CB" w14:textId="77777777">
      <w:pPr>
        <w:spacing w:after="0" w:line="259" w:lineRule="auto"/>
        <w:ind w:left="16" w:firstLine="0"/>
      </w:pPr>
      <w:r>
        <w:t xml:space="preserve">  </w:t>
      </w:r>
    </w:p>
    <w:p w:rsidR="006D12B5" w14:paraId="00F75DDA" w14:textId="77777777">
      <w:pPr>
        <w:pStyle w:val="Heading1"/>
        <w:ind w:left="-5"/>
      </w:pPr>
      <w:r>
        <w:t xml:space="preserve">Background  </w:t>
      </w:r>
    </w:p>
    <w:p w:rsidR="006D12B5" w14:paraId="2CD82427" w14:textId="77777777">
      <w:pPr>
        <w:spacing w:after="0" w:line="259" w:lineRule="auto"/>
        <w:ind w:left="16" w:firstLine="0"/>
      </w:pPr>
      <w:r>
        <w:t xml:space="preserve">  </w:t>
      </w:r>
    </w:p>
    <w:p w:rsidR="00CD0BDF" w:rsidP="00CD0BDF" w14:paraId="2F554154" w14:textId="77777777">
      <w:pPr>
        <w:ind w:left="15"/>
      </w:pPr>
      <w:r>
        <w:t xml:space="preserve">CMS is requesting an Extension OMB approval due to minor non-substantive language/formatting changes and revising burden estimates based on CMS Program Statistics for Medicare Part D for CY 2021. </w:t>
      </w:r>
    </w:p>
    <w:p w:rsidR="00CD0BDF" w14:paraId="52E5593D" w14:textId="77777777">
      <w:pPr>
        <w:ind w:left="15"/>
      </w:pPr>
    </w:p>
    <w:p w:rsidR="006D12B5" w14:paraId="7AEFA93C" w14:textId="74B806AF">
      <w:pPr>
        <w:ind w:left="15"/>
      </w:pPr>
      <w:r>
        <w:t xml:space="preserve">Section 423.562(a)(3) and an associated regulatory provision at § 423.128(b)(7)(iii) require that Part D plan sponsors’ network pharmacies provide Part D enrollees with a printed copy of our standardized pharmacy notice “Medicare Drug Coverage and Your Rights” (hereafter, “notice”) if an enrollee’s prescription cannot be filled.  </w:t>
      </w:r>
    </w:p>
    <w:p w:rsidR="006D12B5" w14:paraId="573C498F" w14:textId="77777777">
      <w:pPr>
        <w:spacing w:after="0" w:line="259" w:lineRule="auto"/>
        <w:ind w:left="16" w:firstLine="0"/>
      </w:pPr>
      <w:r>
        <w:t xml:space="preserve">  </w:t>
      </w:r>
    </w:p>
    <w:p w:rsidR="006D12B5" w14:paraId="3EDEE49E" w14:textId="77777777">
      <w:pPr>
        <w:ind w:left="15"/>
      </w:pPr>
      <w:r>
        <w:t xml:space="preserve">This package contains the following changes: </w:t>
      </w:r>
    </w:p>
    <w:p w:rsidR="006D12B5" w14:paraId="07F549EF" w14:textId="77777777">
      <w:pPr>
        <w:spacing w:after="19" w:line="259" w:lineRule="auto"/>
        <w:ind w:left="121" w:firstLine="0"/>
      </w:pPr>
      <w:r>
        <w:t xml:space="preserve"> </w:t>
      </w:r>
    </w:p>
    <w:p w:rsidR="006D12B5" w14:paraId="682202B4" w14:textId="77777777">
      <w:pPr>
        <w:ind w:left="851" w:right="264" w:hanging="360"/>
      </w:pPr>
      <w:r>
        <w:rPr>
          <w:rFonts w:ascii="Segoe UI Symbol" w:eastAsia="Segoe UI Symbol" w:hAnsi="Segoe UI Symbol" w:cs="Segoe UI Symbol"/>
        </w:rPr>
        <w:t>•</w:t>
      </w:r>
      <w:r>
        <w:rPr>
          <w:rFonts w:ascii="Arial" w:eastAsia="Arial" w:hAnsi="Arial" w:cs="Arial"/>
        </w:rPr>
        <w:t xml:space="preserve"> </w:t>
      </w:r>
      <w:r>
        <w:t xml:space="preserve">Updated language and formatting to utilize more research-based ‘plain language’ and formatting consistent with current CMS guidelines. </w:t>
      </w:r>
    </w:p>
    <w:p w:rsidR="006D12B5" w14:paraId="7BCEAC06" w14:textId="77777777">
      <w:pPr>
        <w:spacing w:after="0" w:line="259" w:lineRule="auto"/>
        <w:ind w:left="851" w:firstLine="0"/>
      </w:pPr>
      <w:r>
        <w:rPr>
          <w:rFonts w:ascii="Arial" w:eastAsia="Arial" w:hAnsi="Arial" w:cs="Arial"/>
        </w:rPr>
        <w:t xml:space="preserve"> </w:t>
      </w:r>
    </w:p>
    <w:p w:rsidR="006D12B5" w14:paraId="1A570057" w14:textId="25C5C64D">
      <w:pPr>
        <w:spacing w:after="0" w:line="259" w:lineRule="auto"/>
        <w:ind w:left="0" w:firstLine="0"/>
      </w:pPr>
    </w:p>
    <w:p w:rsidR="006D12B5" w14:paraId="2E28876A" w14:textId="77777777">
      <w:pPr>
        <w:spacing w:after="0" w:line="259" w:lineRule="auto"/>
        <w:ind w:left="16" w:firstLine="0"/>
      </w:pPr>
      <w:r>
        <w:t xml:space="preserve">  </w:t>
      </w:r>
    </w:p>
    <w:p w:rsidR="006D12B5" w14:paraId="63DFC360" w14:textId="77777777">
      <w:pPr>
        <w:pStyle w:val="Heading1"/>
        <w:ind w:left="-5"/>
      </w:pPr>
      <w:r>
        <w:t xml:space="preserve">A.  Justification  </w:t>
      </w:r>
    </w:p>
    <w:p w:rsidR="006D12B5" w14:paraId="1A5719DC" w14:textId="77777777">
      <w:pPr>
        <w:spacing w:after="7" w:line="259" w:lineRule="auto"/>
        <w:ind w:left="16" w:firstLine="0"/>
      </w:pPr>
      <w:r>
        <w:t xml:space="preserve">  </w:t>
      </w:r>
    </w:p>
    <w:p w:rsidR="006D12B5" w14:paraId="1A87DA8D" w14:textId="77777777">
      <w:pPr>
        <w:ind w:left="15"/>
      </w:pPr>
      <w:r>
        <w:t>1.</w:t>
      </w:r>
      <w:r>
        <w:rPr>
          <w:rFonts w:ascii="Arial" w:eastAsia="Arial" w:hAnsi="Arial" w:cs="Arial"/>
        </w:rPr>
        <w:t xml:space="preserve"> </w:t>
      </w:r>
      <w:r>
        <w:t xml:space="preserve">Need and Legal Basis  </w:t>
      </w:r>
    </w:p>
    <w:p w:rsidR="006D12B5" w14:paraId="68D80D97" w14:textId="77777777">
      <w:pPr>
        <w:spacing w:after="0" w:line="259" w:lineRule="auto"/>
        <w:ind w:left="16" w:firstLine="0"/>
      </w:pPr>
      <w:r>
        <w:t xml:space="preserve">  </w:t>
      </w:r>
    </w:p>
    <w:p w:rsidR="006D12B5" w14:paraId="438E46CD" w14:textId="77777777">
      <w:pPr>
        <w:ind w:left="15"/>
      </w:pPr>
      <w:r>
        <w:t xml:space="preserve">The purpose of this notice is to provide enrollees with information about how to contact </w:t>
      </w:r>
      <w:r>
        <w:t>their</w:t>
      </w:r>
      <w:r>
        <w:t xml:space="preserve">  </w:t>
      </w:r>
    </w:p>
    <w:p w:rsidR="006D12B5" w14:paraId="443F045C" w14:textId="77777777">
      <w:pPr>
        <w:ind w:left="15"/>
      </w:pPr>
      <w:r>
        <w:t xml:space="preserve">Part D plans to request a coverage determination, including a request for an exception to the Part D plan’s formulary. The notice reminds enrollees about certain rights and protections related to their Medicare prescription drug benefits, including the right to receive a written explanation from the drug plan about why a prescription drug is not covered. Through delivery of this standardized notice, a Part D plan sponsor’s network pharmacies are in the best position to inform enrollees at point of sale about how to contact their Part D plan if the prescription cannot be filled.  </w:t>
      </w:r>
    </w:p>
    <w:p w:rsidR="006D12B5" w14:paraId="409707C0" w14:textId="77777777">
      <w:pPr>
        <w:spacing w:after="0" w:line="259" w:lineRule="auto"/>
        <w:ind w:left="16" w:firstLine="0"/>
      </w:pPr>
      <w:r>
        <w:t xml:space="preserve">  </w:t>
      </w:r>
    </w:p>
    <w:p w:rsidR="006D12B5" w14:paraId="7D1131C7" w14:textId="77777777">
      <w:pPr>
        <w:pStyle w:val="Heading2"/>
        <w:ind w:left="-5"/>
      </w:pPr>
      <w:r>
        <w:t xml:space="preserve">Statutory/Regulatory Basis  </w:t>
      </w:r>
    </w:p>
    <w:p w:rsidR="006D12B5" w14:paraId="17AFA81D" w14:textId="77777777">
      <w:pPr>
        <w:spacing w:after="0" w:line="259" w:lineRule="auto"/>
        <w:ind w:left="16" w:firstLine="0"/>
      </w:pPr>
      <w:r>
        <w:t xml:space="preserve">  </w:t>
      </w:r>
    </w:p>
    <w:p w:rsidR="006D12B5" w14:paraId="48D12E16" w14:textId="77777777">
      <w:pPr>
        <w:ind w:left="15"/>
      </w:pPr>
      <w:r>
        <w:t xml:space="preserve">§ 1860D-4(g)(1) – A Part D plan sponsor shall provide coverage determination and redetermination procedures with respect to covered prescription drug benefits offered by the plan.  </w:t>
      </w:r>
    </w:p>
    <w:p w:rsidR="006D12B5" w14:paraId="1BE1DBC2" w14:textId="77777777">
      <w:pPr>
        <w:spacing w:after="0" w:line="259" w:lineRule="auto"/>
        <w:ind w:left="16" w:firstLine="0"/>
      </w:pPr>
      <w:r>
        <w:t xml:space="preserve">  </w:t>
      </w:r>
    </w:p>
    <w:p w:rsidR="006D12B5" w14:paraId="42B86C2E" w14:textId="77777777">
      <w:pPr>
        <w:ind w:left="15"/>
      </w:pPr>
      <w:r>
        <w:t xml:space="preserve">§ 423.562(a)(3) –A Part D plan sponsor must arrange with its network pharmacies to distribute notices instructing enrollees to contact their plans to obtain a coverage determination or request an exception if they disagree with the information provided by the pharmacist.  </w:t>
      </w:r>
    </w:p>
    <w:p w:rsidR="006D12B5" w14:paraId="381AFE39" w14:textId="77777777">
      <w:pPr>
        <w:spacing w:after="0" w:line="259" w:lineRule="auto"/>
        <w:ind w:left="16" w:firstLine="0"/>
      </w:pPr>
      <w:r>
        <w:t xml:space="preserve">  </w:t>
      </w:r>
    </w:p>
    <w:p w:rsidR="006D12B5" w14:paraId="7E979E8E" w14:textId="77777777">
      <w:pPr>
        <w:ind w:left="15"/>
      </w:pPr>
      <w:r>
        <w:t xml:space="preserve">§ 423.128(b)(7)(iii)–Network pharmacies must provide a printed notice at the point-of-sale to an enrollee explaining how the enrollee can contact the plan and request a coverage determination.  </w:t>
      </w:r>
    </w:p>
    <w:p w:rsidR="006D12B5" w14:paraId="19AAA33A" w14:textId="77777777">
      <w:pPr>
        <w:spacing w:after="5" w:line="259" w:lineRule="auto"/>
        <w:ind w:left="16" w:firstLine="0"/>
      </w:pPr>
      <w:r>
        <w:t xml:space="preserve"> </w:t>
      </w:r>
    </w:p>
    <w:p w:rsidR="006D12B5" w14:paraId="4244A271" w14:textId="77777777">
      <w:pPr>
        <w:numPr>
          <w:ilvl w:val="0"/>
          <w:numId w:val="1"/>
        </w:numPr>
        <w:ind w:left="307" w:hanging="302"/>
      </w:pPr>
      <w:r>
        <w:t xml:space="preserve">Information Users  </w:t>
      </w:r>
    </w:p>
    <w:p w:rsidR="006D12B5" w14:paraId="5E188FA2" w14:textId="77777777">
      <w:pPr>
        <w:spacing w:after="0" w:line="259" w:lineRule="auto"/>
        <w:ind w:left="16" w:firstLine="0"/>
      </w:pPr>
      <w:r>
        <w:t xml:space="preserve">  </w:t>
      </w:r>
    </w:p>
    <w:p w:rsidR="006D12B5" w14:paraId="6F4B17BC" w14:textId="77777777">
      <w:pPr>
        <w:ind w:left="15"/>
      </w:pPr>
      <w:r>
        <w:t xml:space="preserve">Through the notice, Medicare beneficiaries who are enrolled in a Part D plan will be informed of their right to request a coverage determination (including an exception) and will be better able to access their Medicare prescription drug benefits.  </w:t>
      </w:r>
    </w:p>
    <w:p w:rsidR="006D12B5" w14:paraId="2EDA77FE" w14:textId="77777777">
      <w:pPr>
        <w:spacing w:after="5" w:line="259" w:lineRule="auto"/>
        <w:ind w:left="16" w:firstLine="0"/>
      </w:pPr>
      <w:r>
        <w:t xml:space="preserve">  </w:t>
      </w:r>
    </w:p>
    <w:p w:rsidR="006D12B5" w14:paraId="0E3A05F2" w14:textId="77777777">
      <w:pPr>
        <w:numPr>
          <w:ilvl w:val="0"/>
          <w:numId w:val="1"/>
        </w:numPr>
        <w:ind w:left="307" w:hanging="302"/>
      </w:pPr>
      <w:r>
        <w:t xml:space="preserve">Use of Information Technology  </w:t>
      </w:r>
    </w:p>
    <w:p w:rsidR="006D12B5" w14:paraId="6302D101" w14:textId="77777777">
      <w:pPr>
        <w:spacing w:after="0" w:line="259" w:lineRule="auto"/>
        <w:ind w:left="16" w:firstLine="0"/>
      </w:pPr>
      <w:r>
        <w:t xml:space="preserve">  </w:t>
      </w:r>
    </w:p>
    <w:p w:rsidR="006D12B5" w14:paraId="7E190720" w14:textId="77777777">
      <w:pPr>
        <w:ind w:left="15"/>
      </w:pPr>
      <w:r>
        <w:t xml:space="preserve">Part D plans and their network pharmacies are free to take advantage of any information technology they find appropriate for their business operations </w:t>
      </w:r>
      <w:r>
        <w:t>in order to</w:t>
      </w:r>
      <w:r>
        <w:t xml:space="preserve"> meet this requirement.  For example, electronic communication via a portal to communicate updates related to this notice and applicable requirements to network pharmacies.  </w:t>
      </w:r>
    </w:p>
    <w:p w:rsidR="006D12B5" w14:paraId="213348D1" w14:textId="77777777">
      <w:pPr>
        <w:spacing w:after="5" w:line="259" w:lineRule="auto"/>
        <w:ind w:left="16" w:firstLine="0"/>
      </w:pPr>
      <w:r>
        <w:t xml:space="preserve"> </w:t>
      </w:r>
    </w:p>
    <w:p w:rsidR="006D12B5" w14:paraId="477D4CDF" w14:textId="77777777">
      <w:pPr>
        <w:numPr>
          <w:ilvl w:val="0"/>
          <w:numId w:val="1"/>
        </w:numPr>
        <w:ind w:left="307" w:hanging="302"/>
      </w:pPr>
      <w:r>
        <w:t xml:space="preserve">Duplication of Efforts  </w:t>
      </w:r>
    </w:p>
    <w:p w:rsidR="006D12B5" w14:paraId="2CFAE3C6" w14:textId="77777777">
      <w:pPr>
        <w:spacing w:after="0" w:line="259" w:lineRule="auto"/>
        <w:ind w:left="16" w:firstLine="0"/>
      </w:pPr>
      <w:r>
        <w:t xml:space="preserve">  </w:t>
      </w:r>
    </w:p>
    <w:p w:rsidR="006D12B5" w14:paraId="3000F7D3" w14:textId="77777777">
      <w:pPr>
        <w:ind w:left="15"/>
      </w:pPr>
      <w:r>
        <w:t xml:space="preserve">This information collection is not duplicative of another collection.  </w:t>
      </w:r>
    </w:p>
    <w:p w:rsidR="006D12B5" w14:paraId="30302BC6" w14:textId="77777777">
      <w:pPr>
        <w:spacing w:after="5" w:line="259" w:lineRule="auto"/>
        <w:ind w:left="16" w:firstLine="0"/>
      </w:pPr>
      <w:r>
        <w:t xml:space="preserve">  </w:t>
      </w:r>
    </w:p>
    <w:p w:rsidR="006D12B5" w14:paraId="430C27C4" w14:textId="77777777">
      <w:pPr>
        <w:numPr>
          <w:ilvl w:val="0"/>
          <w:numId w:val="1"/>
        </w:numPr>
        <w:ind w:left="307" w:hanging="302"/>
      </w:pPr>
      <w:r>
        <w:t xml:space="preserve">Small Businesses  </w:t>
      </w:r>
    </w:p>
    <w:p w:rsidR="006D12B5" w14:paraId="445E6611" w14:textId="77777777">
      <w:pPr>
        <w:spacing w:after="0" w:line="259" w:lineRule="auto"/>
        <w:ind w:left="16" w:firstLine="0"/>
      </w:pPr>
      <w:r>
        <w:t xml:space="preserve">  </w:t>
      </w:r>
    </w:p>
    <w:p w:rsidR="006D12B5" w14:paraId="747E682C" w14:textId="77777777">
      <w:pPr>
        <w:ind w:left="15"/>
      </w:pPr>
      <w:r>
        <w:t xml:space="preserve">There is no significant impact on small businesses. The notice requirement is fulfilled by the pharmacy providing the enrollee with the notice.  </w:t>
      </w:r>
    </w:p>
    <w:p w:rsidR="006D12B5" w14:paraId="306F638F" w14:textId="77777777">
      <w:pPr>
        <w:spacing w:after="5" w:line="259" w:lineRule="auto"/>
        <w:ind w:left="16" w:firstLine="0"/>
      </w:pPr>
      <w:r>
        <w:t xml:space="preserve">  </w:t>
      </w:r>
    </w:p>
    <w:p w:rsidR="006D12B5" w14:paraId="3C4B3D4A" w14:textId="77777777">
      <w:pPr>
        <w:numPr>
          <w:ilvl w:val="0"/>
          <w:numId w:val="1"/>
        </w:numPr>
        <w:ind w:left="307" w:hanging="302"/>
      </w:pPr>
      <w:r>
        <w:t xml:space="preserve">Less Frequent Collection  </w:t>
      </w:r>
    </w:p>
    <w:p w:rsidR="006D12B5" w14:paraId="2D7B1FA5" w14:textId="77777777">
      <w:pPr>
        <w:spacing w:after="0" w:line="259" w:lineRule="auto"/>
        <w:ind w:left="16" w:firstLine="0"/>
      </w:pPr>
      <w:r>
        <w:t xml:space="preserve">  </w:t>
      </w:r>
    </w:p>
    <w:p w:rsidR="006D12B5" w14:paraId="6779B5A9" w14:textId="77777777">
      <w:pPr>
        <w:ind w:left="15"/>
      </w:pPr>
      <w:r>
        <w:t xml:space="preserve">There are no opportunities for less frequent collection. Each time an enrollee’s prescription cannot be filled under the Part D benefit and the issue cannot be resolved at the point of sale, the network pharmacy is responsible for providing the enrollee this notice. Failure to provide the enrollee with a copy of the notice at the pharmacy if the prescription can’t be filled may result in enrollees being uninformed of important due process rights. The pharmacist can’t issue a coverage determination on behalf of the plan.  </w:t>
      </w:r>
    </w:p>
    <w:p w:rsidR="006D12B5" w14:paraId="433B017E" w14:textId="77777777">
      <w:pPr>
        <w:spacing w:after="5" w:line="259" w:lineRule="auto"/>
        <w:ind w:left="16" w:firstLine="0"/>
      </w:pPr>
      <w:r>
        <w:t xml:space="preserve">  </w:t>
      </w:r>
    </w:p>
    <w:p w:rsidR="006D12B5" w14:paraId="49B5043B" w14:textId="77777777">
      <w:pPr>
        <w:numPr>
          <w:ilvl w:val="0"/>
          <w:numId w:val="1"/>
        </w:numPr>
        <w:ind w:left="307" w:hanging="302"/>
      </w:pPr>
      <w:r>
        <w:t xml:space="preserve">Special Circumstances  </w:t>
      </w:r>
    </w:p>
    <w:p w:rsidR="006D12B5" w14:paraId="407033E2" w14:textId="77777777">
      <w:pPr>
        <w:spacing w:after="0" w:line="259" w:lineRule="auto"/>
        <w:ind w:left="16" w:firstLine="0"/>
      </w:pPr>
      <w:r>
        <w:t xml:space="preserve">  </w:t>
      </w:r>
    </w:p>
    <w:p w:rsidR="006D12B5" w14:paraId="2B8346E2" w14:textId="77777777">
      <w:pPr>
        <w:ind w:left="15"/>
      </w:pPr>
      <w:r>
        <w:t xml:space="preserve">There are no special circumstances that would require an information collection to be conducted in a manner that requires respondents to:  </w:t>
      </w:r>
    </w:p>
    <w:p w:rsidR="006D12B5" w14:paraId="66432783" w14:textId="77777777">
      <w:pPr>
        <w:spacing w:after="24" w:line="259" w:lineRule="auto"/>
        <w:ind w:left="0" w:firstLine="0"/>
      </w:pPr>
      <w:r>
        <w:t xml:space="preserve"> </w:t>
      </w:r>
    </w:p>
    <w:p w:rsidR="006D12B5" w14:paraId="394FBD82" w14:textId="77777777">
      <w:pPr>
        <w:numPr>
          <w:ilvl w:val="0"/>
          <w:numId w:val="2"/>
        </w:numPr>
        <w:ind w:hanging="432"/>
      </w:pPr>
      <w:r>
        <w:t xml:space="preserve">Report information to the agency more often than </w:t>
      </w:r>
      <w:r>
        <w:t>quarterly;</w:t>
      </w:r>
      <w:r>
        <w:t xml:space="preserve">  </w:t>
      </w:r>
    </w:p>
    <w:p w:rsidR="006D12B5" w14:paraId="4325F3CD" w14:textId="77777777">
      <w:pPr>
        <w:numPr>
          <w:ilvl w:val="0"/>
          <w:numId w:val="2"/>
        </w:numPr>
        <w:ind w:hanging="432"/>
      </w:pPr>
      <w:r>
        <w:t xml:space="preserve">Prepare a written response to a collection of information in fewer than 30 days after receipt </w:t>
      </w:r>
    </w:p>
    <w:p w:rsidR="006D12B5" w14:paraId="2206D591" w14:textId="77777777">
      <w:pPr>
        <w:spacing w:after="30"/>
        <w:ind w:left="458"/>
      </w:pPr>
      <w:r>
        <w:t xml:space="preserve">of </w:t>
      </w:r>
      <w:r>
        <w:t>it;</w:t>
      </w:r>
      <w:r>
        <w:t xml:space="preserve">   </w:t>
      </w:r>
    </w:p>
    <w:p w:rsidR="006D12B5" w14:paraId="7B3BEA33" w14:textId="77777777">
      <w:pPr>
        <w:numPr>
          <w:ilvl w:val="0"/>
          <w:numId w:val="2"/>
        </w:numPr>
        <w:spacing w:after="37"/>
        <w:ind w:hanging="432"/>
      </w:pPr>
      <w:r>
        <w:t xml:space="preserve">Submit more than an original and two copies of any </w:t>
      </w:r>
      <w:r>
        <w:t>document;</w:t>
      </w:r>
      <w:r>
        <w:t xml:space="preserve">  </w:t>
      </w:r>
    </w:p>
    <w:p w:rsidR="006D12B5" w14:paraId="44948E27" w14:textId="77777777">
      <w:pPr>
        <w:numPr>
          <w:ilvl w:val="0"/>
          <w:numId w:val="2"/>
        </w:numPr>
        <w:spacing w:after="31"/>
        <w:ind w:hanging="432"/>
      </w:pPr>
      <w:r>
        <w:t xml:space="preserve">Retain records, other than health, medical, government contract, grant-in-aid, or tax records for more than three </w:t>
      </w:r>
      <w:r>
        <w:t>years;</w:t>
      </w:r>
      <w:r>
        <w:t xml:space="preserve">  </w:t>
      </w:r>
    </w:p>
    <w:p w:rsidR="006D12B5" w14:paraId="121E501A" w14:textId="77777777">
      <w:pPr>
        <w:numPr>
          <w:ilvl w:val="0"/>
          <w:numId w:val="2"/>
        </w:numPr>
        <w:spacing w:after="33"/>
        <w:ind w:hanging="432"/>
      </w:pPr>
      <w:r>
        <w:t xml:space="preserve">Collect data in connection with a statistical survey that is not designed to produce valid and reliable results that can be generalized to the universe of study,  </w:t>
      </w:r>
    </w:p>
    <w:p w:rsidR="006D12B5" w14:paraId="2FF3B86F" w14:textId="77777777">
      <w:pPr>
        <w:numPr>
          <w:ilvl w:val="0"/>
          <w:numId w:val="2"/>
        </w:numPr>
        <w:spacing w:after="37"/>
        <w:ind w:hanging="432"/>
      </w:pPr>
      <w:r>
        <w:t xml:space="preserve">Use a statistical data classification that has not been reviewed and approved by </w:t>
      </w:r>
      <w:r>
        <w:t>OMB;</w:t>
      </w:r>
      <w:r>
        <w:t xml:space="preserve">  </w:t>
      </w:r>
    </w:p>
    <w:p w:rsidR="006D12B5" w14:paraId="33F73CA3" w14:textId="77777777">
      <w:pPr>
        <w:numPr>
          <w:ilvl w:val="0"/>
          <w:numId w:val="2"/>
        </w:numPr>
        <w:spacing w:after="33"/>
        <w:ind w:hanging="432"/>
      </w:pPr>
      <w:r>
        <w:t xml:space="preserve">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6D12B5" w14:paraId="2EDE098A" w14:textId="77777777">
      <w:pPr>
        <w:numPr>
          <w:ilvl w:val="0"/>
          <w:numId w:val="2"/>
        </w:numPr>
        <w:ind w:hanging="432"/>
      </w:pPr>
      <w:r>
        <w:t xml:space="preserve">Submit proprietary trade secret, or other confidential information unless the agency can demonstrate that it has instituted procedures to protect the information's confidentiality to the extent permitted by law.  </w:t>
      </w:r>
    </w:p>
    <w:p w:rsidR="006D12B5" w14:paraId="1720C22F" w14:textId="77777777">
      <w:pPr>
        <w:spacing w:after="5" w:line="259" w:lineRule="auto"/>
        <w:ind w:left="16" w:firstLine="0"/>
      </w:pPr>
      <w:r>
        <w:t xml:space="preserve">  </w:t>
      </w:r>
    </w:p>
    <w:p w:rsidR="006D12B5" w14:paraId="5EC650C0" w14:textId="77777777">
      <w:pPr>
        <w:numPr>
          <w:ilvl w:val="0"/>
          <w:numId w:val="3"/>
        </w:numPr>
        <w:ind w:hanging="432"/>
      </w:pPr>
      <w:r>
        <w:t xml:space="preserve">Federal Register/Outside Consultation  </w:t>
      </w:r>
    </w:p>
    <w:p w:rsidR="006D12B5" w14:paraId="7914C11E" w14:textId="77777777">
      <w:pPr>
        <w:spacing w:after="0" w:line="259" w:lineRule="auto"/>
        <w:ind w:left="16" w:firstLine="0"/>
      </w:pPr>
      <w:r>
        <w:t xml:space="preserve">  </w:t>
      </w:r>
    </w:p>
    <w:p w:rsidR="006D12B5" w14:paraId="2C41A744" w14:textId="5020AF97">
      <w:pPr>
        <w:ind w:left="15"/>
      </w:pPr>
      <w:r>
        <w:t>The 60-day notice published in the Federal Register 8/9/2024 (</w:t>
      </w:r>
      <w:r w:rsidRPr="008F7811">
        <w:t>89 FR 65359</w:t>
      </w:r>
      <w:r>
        <w:t xml:space="preserve">).  </w:t>
      </w:r>
    </w:p>
    <w:p w:rsidR="008F7811" w14:paraId="7234FF81" w14:textId="4ADB5DAB">
      <w:pPr>
        <w:ind w:left="15"/>
      </w:pPr>
      <w:r>
        <w:t xml:space="preserve">No comments were received during the 60-day comment period. </w:t>
      </w:r>
    </w:p>
    <w:p w:rsidR="008F7811" w14:paraId="4A1AF3A5" w14:textId="77777777">
      <w:pPr>
        <w:ind w:left="15"/>
      </w:pPr>
    </w:p>
    <w:p w:rsidR="008F7811" w:rsidP="008F7811" w14:paraId="0B6BF748" w14:textId="3F7E48C3">
      <w:pPr>
        <w:ind w:left="15"/>
      </w:pPr>
      <w:r>
        <w:t>The 30-day notice published in the Federal Register 10/21/2024 (</w:t>
      </w:r>
      <w:r w:rsidRPr="008F7811">
        <w:t>89 FR 84154</w:t>
      </w:r>
      <w:r>
        <w:t xml:space="preserve">).  </w:t>
      </w:r>
    </w:p>
    <w:p w:rsidR="008F7811" w14:paraId="6C0809C7" w14:textId="77777777">
      <w:pPr>
        <w:ind w:left="15"/>
      </w:pPr>
    </w:p>
    <w:p w:rsidR="006D12B5" w14:paraId="6DBAAFD8" w14:textId="77777777">
      <w:pPr>
        <w:spacing w:after="5" w:line="259" w:lineRule="auto"/>
        <w:ind w:left="16" w:firstLine="0"/>
      </w:pPr>
      <w:r>
        <w:t xml:space="preserve">   </w:t>
      </w:r>
    </w:p>
    <w:p w:rsidR="006D12B5" w14:paraId="2DF8F100" w14:textId="77777777">
      <w:pPr>
        <w:numPr>
          <w:ilvl w:val="0"/>
          <w:numId w:val="3"/>
        </w:numPr>
        <w:ind w:hanging="432"/>
      </w:pPr>
      <w:r>
        <w:t xml:space="preserve">Payments/Gifts to Respondents  </w:t>
      </w:r>
    </w:p>
    <w:p w:rsidR="006D12B5" w14:paraId="42424678" w14:textId="77777777">
      <w:pPr>
        <w:spacing w:after="0" w:line="259" w:lineRule="auto"/>
        <w:ind w:left="16" w:firstLine="0"/>
      </w:pPr>
      <w:r>
        <w:t xml:space="preserve">  </w:t>
      </w:r>
    </w:p>
    <w:p w:rsidR="006D12B5" w14:paraId="03964FA6" w14:textId="77777777">
      <w:pPr>
        <w:ind w:left="15"/>
      </w:pPr>
      <w:r>
        <w:t xml:space="preserve">Neither Part D plans nor pharmacies will receive any payment or gifts related to issuance of this notice.  </w:t>
      </w:r>
    </w:p>
    <w:p w:rsidR="006D12B5" w14:paraId="387A55EB" w14:textId="77777777">
      <w:pPr>
        <w:spacing w:after="5" w:line="259" w:lineRule="auto"/>
        <w:ind w:left="16" w:firstLine="0"/>
      </w:pPr>
      <w:r>
        <w:t xml:space="preserve">  </w:t>
      </w:r>
    </w:p>
    <w:p w:rsidR="006D12B5" w14:paraId="483EDE34" w14:textId="77777777">
      <w:pPr>
        <w:numPr>
          <w:ilvl w:val="0"/>
          <w:numId w:val="3"/>
        </w:numPr>
        <w:ind w:hanging="432"/>
      </w:pPr>
      <w:r>
        <w:t xml:space="preserve">Confidentiality  </w:t>
      </w:r>
    </w:p>
    <w:p w:rsidR="006D12B5" w14:paraId="2EDF55D2" w14:textId="77777777">
      <w:pPr>
        <w:spacing w:after="0" w:line="259" w:lineRule="auto"/>
        <w:ind w:left="16" w:firstLine="0"/>
      </w:pPr>
      <w:r>
        <w:t xml:space="preserve">  </w:t>
      </w:r>
    </w:p>
    <w:p w:rsidR="006D12B5" w14:paraId="48EC2677" w14:textId="77777777">
      <w:pPr>
        <w:ind w:left="15"/>
      </w:pPr>
      <w:r>
        <w:t xml:space="preserve">CMS pledges to maintain privacy to the extent provided by law.  </w:t>
      </w:r>
    </w:p>
    <w:p w:rsidR="006D12B5" w14:paraId="268C8085" w14:textId="77777777">
      <w:pPr>
        <w:spacing w:after="7" w:line="259" w:lineRule="auto"/>
        <w:ind w:left="16" w:firstLine="0"/>
      </w:pPr>
      <w:r>
        <w:t xml:space="preserve"> </w:t>
      </w:r>
    </w:p>
    <w:p w:rsidR="006D12B5" w14:paraId="772B2742" w14:textId="77777777">
      <w:pPr>
        <w:numPr>
          <w:ilvl w:val="0"/>
          <w:numId w:val="3"/>
        </w:numPr>
        <w:ind w:hanging="432"/>
      </w:pPr>
      <w:r>
        <w:t xml:space="preserve">Sensitive Questions  </w:t>
      </w:r>
    </w:p>
    <w:p w:rsidR="006D12B5" w14:paraId="4D8E10FA" w14:textId="77777777">
      <w:pPr>
        <w:spacing w:after="0" w:line="259" w:lineRule="auto"/>
        <w:ind w:left="16" w:firstLine="0"/>
      </w:pPr>
      <w:r>
        <w:t xml:space="preserve">  </w:t>
      </w:r>
    </w:p>
    <w:p w:rsidR="006D12B5" w14:paraId="5E2E265A" w14:textId="77777777">
      <w:pPr>
        <w:ind w:left="15"/>
      </w:pPr>
      <w:r>
        <w:t xml:space="preserve">There are no sensitive questions associated with this collection. Specifically, the collection does not solicit questions of a sensitive nature, such as sexual behavior and attitudes, religious beliefs, and other matters that are commonly considered private.  </w:t>
      </w:r>
    </w:p>
    <w:p w:rsidR="008F7811" w14:paraId="59535CB2" w14:textId="77777777">
      <w:pPr>
        <w:ind w:left="15"/>
      </w:pPr>
    </w:p>
    <w:p w:rsidR="008F7811" w14:paraId="26F019D9" w14:textId="77777777">
      <w:pPr>
        <w:ind w:left="15"/>
      </w:pPr>
    </w:p>
    <w:p w:rsidR="008F7811" w14:paraId="30FBF143" w14:textId="77777777">
      <w:pPr>
        <w:ind w:left="15"/>
      </w:pPr>
    </w:p>
    <w:p w:rsidR="006D12B5" w14:paraId="2B823B3D" w14:textId="77777777">
      <w:pPr>
        <w:spacing w:after="5" w:line="259" w:lineRule="auto"/>
        <w:ind w:left="16" w:firstLine="0"/>
      </w:pPr>
      <w:r>
        <w:t xml:space="preserve">  </w:t>
      </w:r>
    </w:p>
    <w:p w:rsidR="006D12B5" w14:paraId="3E276642" w14:textId="77777777">
      <w:pPr>
        <w:numPr>
          <w:ilvl w:val="0"/>
          <w:numId w:val="3"/>
        </w:numPr>
        <w:ind w:hanging="432"/>
      </w:pPr>
      <w:r>
        <w:t xml:space="preserve">Burden Estimates (Hours &amp; Wages)  </w:t>
      </w:r>
    </w:p>
    <w:p w:rsidR="006D12B5" w14:paraId="088AB651" w14:textId="77777777">
      <w:pPr>
        <w:spacing w:after="0" w:line="259" w:lineRule="auto"/>
        <w:ind w:left="16" w:firstLine="0"/>
      </w:pPr>
      <w:r>
        <w:t xml:space="preserve">  </w:t>
      </w:r>
    </w:p>
    <w:p w:rsidR="006D12B5" w14:paraId="4C80E7B7" w14:textId="77777777">
      <w:pPr>
        <w:pStyle w:val="Heading2"/>
        <w:ind w:left="-5"/>
      </w:pPr>
      <w:r>
        <w:t xml:space="preserve">Wages  </w:t>
      </w:r>
    </w:p>
    <w:p w:rsidR="006D12B5" w14:paraId="08462A5B" w14:textId="77777777">
      <w:pPr>
        <w:spacing w:after="0" w:line="259" w:lineRule="auto"/>
        <w:ind w:left="16" w:firstLine="0"/>
      </w:pPr>
      <w:r>
        <w:rPr>
          <w:i/>
        </w:rPr>
        <w:t xml:space="preserve"> </w:t>
      </w:r>
      <w:r>
        <w:t xml:space="preserve"> </w:t>
      </w:r>
    </w:p>
    <w:p w:rsidR="006D12B5" w14:paraId="06D3947E" w14:textId="77777777">
      <w:pPr>
        <w:ind w:left="15"/>
      </w:pPr>
      <w:r>
        <w:t xml:space="preserve">To derive average costs, we used data from the U.S. Bureau of Labor Statistics’ May 2023  </w:t>
      </w:r>
    </w:p>
    <w:p w:rsidR="006D12B5" w14:paraId="7DF4586C" w14:textId="77777777">
      <w:pPr>
        <w:ind w:left="15"/>
      </w:pPr>
      <w:r>
        <w:t xml:space="preserve">National Occupational Employment and Wage Estimates for all salary estimates  </w:t>
      </w:r>
      <w:hyperlink r:id="rId4">
        <w:r>
          <w:t>(</w:t>
        </w:r>
      </w:hyperlink>
      <w:hyperlink r:id="rId4">
        <w:r>
          <w:rPr>
            <w:color w:val="0000FF"/>
            <w:u w:val="single" w:color="0000FF"/>
          </w:rPr>
          <w:t>http://www.bls.gov/oes/current/oes_nat.ht</w:t>
        </w:r>
      </w:hyperlink>
      <w:hyperlink r:id="rId4">
        <w:r>
          <w:rPr>
            <w:color w:val="0000FF"/>
            <w:u w:val="single" w:color="0000FF"/>
          </w:rPr>
          <w:t>m</w:t>
        </w:r>
      </w:hyperlink>
      <w:hyperlink r:id="rId4">
        <w:r>
          <w:t>)</w:t>
        </w:r>
      </w:hyperlink>
      <w:hyperlink r:id="rId4">
        <w:r>
          <w:t>.</w:t>
        </w:r>
      </w:hyperlink>
      <w:r>
        <w:t xml:space="preserve"> In this regard, the following table presents the mean hourly wage, the cost of fringe benefits (calculated at 100 percent of salary), and the adjusted hourly wage.  </w:t>
      </w:r>
    </w:p>
    <w:p w:rsidR="006D12B5" w14:paraId="21F11F59" w14:textId="77777777">
      <w:pPr>
        <w:spacing w:after="0" w:line="259" w:lineRule="auto"/>
        <w:ind w:left="736" w:firstLine="0"/>
      </w:pPr>
      <w:r>
        <w:t xml:space="preserve">  </w:t>
      </w:r>
    </w:p>
    <w:tbl>
      <w:tblPr>
        <w:tblStyle w:val="TableGrid"/>
        <w:tblW w:w="8856" w:type="dxa"/>
        <w:tblInd w:w="25" w:type="dxa"/>
        <w:tblCellMar>
          <w:top w:w="63" w:type="dxa"/>
          <w:left w:w="108" w:type="dxa"/>
          <w:right w:w="91" w:type="dxa"/>
        </w:tblCellMar>
        <w:tblLook w:val="04A0"/>
      </w:tblPr>
      <w:tblGrid>
        <w:gridCol w:w="1809"/>
        <w:gridCol w:w="1810"/>
        <w:gridCol w:w="1733"/>
        <w:gridCol w:w="1739"/>
        <w:gridCol w:w="1765"/>
      </w:tblGrid>
      <w:tr w14:paraId="1F804E31" w14:textId="77777777">
        <w:tblPrEx>
          <w:tblW w:w="8856" w:type="dxa"/>
          <w:tblInd w:w="25" w:type="dxa"/>
          <w:tblCellMar>
            <w:top w:w="63" w:type="dxa"/>
            <w:left w:w="108" w:type="dxa"/>
            <w:right w:w="91" w:type="dxa"/>
          </w:tblCellMar>
          <w:tblLook w:val="04A0"/>
        </w:tblPrEx>
        <w:trPr>
          <w:trHeight w:val="904"/>
        </w:trPr>
        <w:tc>
          <w:tcPr>
            <w:tcW w:w="1810" w:type="dxa"/>
            <w:tcBorders>
              <w:top w:val="single" w:sz="4" w:space="0" w:color="000000"/>
              <w:left w:val="single" w:sz="4" w:space="0" w:color="000000"/>
              <w:bottom w:val="single" w:sz="4" w:space="0" w:color="000000"/>
              <w:right w:val="single" w:sz="4" w:space="0" w:color="000000"/>
            </w:tcBorders>
          </w:tcPr>
          <w:p w:rsidR="006D12B5" w14:paraId="3A4C5367" w14:textId="77777777">
            <w:pPr>
              <w:spacing w:after="0" w:line="259" w:lineRule="auto"/>
              <w:ind w:left="0" w:firstLine="0"/>
            </w:pPr>
            <w:r>
              <w:t xml:space="preserve">Occupation </w:t>
            </w:r>
          </w:p>
          <w:p w:rsidR="006D12B5" w14:paraId="1D28677E" w14:textId="77777777">
            <w:pPr>
              <w:spacing w:after="0" w:line="259" w:lineRule="auto"/>
              <w:ind w:left="0" w:firstLine="0"/>
            </w:pPr>
            <w:r>
              <w:t xml:space="preserve">Title  </w:t>
            </w:r>
          </w:p>
        </w:tc>
        <w:tc>
          <w:tcPr>
            <w:tcW w:w="1810" w:type="dxa"/>
            <w:tcBorders>
              <w:top w:val="single" w:sz="4" w:space="0" w:color="000000"/>
              <w:left w:val="single" w:sz="4" w:space="0" w:color="000000"/>
              <w:bottom w:val="single" w:sz="4" w:space="0" w:color="000000"/>
              <w:right w:val="single" w:sz="4" w:space="0" w:color="000000"/>
            </w:tcBorders>
          </w:tcPr>
          <w:p w:rsidR="006D12B5" w14:paraId="321714C8" w14:textId="77777777">
            <w:pPr>
              <w:spacing w:after="0" w:line="259" w:lineRule="auto"/>
              <w:ind w:left="0" w:firstLine="0"/>
            </w:pPr>
            <w:r>
              <w:t xml:space="preserve">Occupation </w:t>
            </w:r>
          </w:p>
          <w:p w:rsidR="006D12B5" w14:paraId="3A85057D" w14:textId="77777777">
            <w:pPr>
              <w:spacing w:after="0" w:line="259" w:lineRule="auto"/>
              <w:ind w:left="0" w:firstLine="0"/>
            </w:pPr>
            <w:r>
              <w:t xml:space="preserve">Code  </w:t>
            </w:r>
          </w:p>
        </w:tc>
        <w:tc>
          <w:tcPr>
            <w:tcW w:w="1733" w:type="dxa"/>
            <w:tcBorders>
              <w:top w:val="single" w:sz="4" w:space="0" w:color="000000"/>
              <w:left w:val="single" w:sz="4" w:space="0" w:color="000000"/>
              <w:bottom w:val="single" w:sz="4" w:space="0" w:color="000000"/>
              <w:right w:val="single" w:sz="4" w:space="0" w:color="000000"/>
            </w:tcBorders>
          </w:tcPr>
          <w:p w:rsidR="006D12B5" w14:paraId="1C30552B" w14:textId="77777777">
            <w:pPr>
              <w:spacing w:after="0" w:line="259" w:lineRule="auto"/>
              <w:ind w:left="0" w:firstLine="0"/>
              <w:jc w:val="both"/>
            </w:pPr>
            <w:r>
              <w:t xml:space="preserve">Median Hourly </w:t>
            </w:r>
          </w:p>
          <w:p w:rsidR="006D12B5" w14:paraId="05401469" w14:textId="77777777">
            <w:pPr>
              <w:spacing w:after="0" w:line="259" w:lineRule="auto"/>
              <w:ind w:left="0" w:firstLine="0"/>
            </w:pPr>
            <w:r>
              <w:t>Wage ($/</w:t>
            </w:r>
            <w:r>
              <w:t>hr</w:t>
            </w:r>
            <w:r>
              <w:t xml:space="preserve">)  </w:t>
            </w:r>
          </w:p>
        </w:tc>
        <w:tc>
          <w:tcPr>
            <w:tcW w:w="1739" w:type="dxa"/>
            <w:tcBorders>
              <w:top w:val="single" w:sz="4" w:space="0" w:color="000000"/>
              <w:left w:val="single" w:sz="4" w:space="0" w:color="000000"/>
              <w:bottom w:val="single" w:sz="4" w:space="0" w:color="000000"/>
              <w:right w:val="single" w:sz="4" w:space="0" w:color="000000"/>
            </w:tcBorders>
          </w:tcPr>
          <w:p w:rsidR="006D12B5" w14:paraId="065BC60E" w14:textId="77777777">
            <w:pPr>
              <w:spacing w:after="0" w:line="259" w:lineRule="auto"/>
              <w:ind w:left="0" w:firstLine="0"/>
            </w:pPr>
            <w:r>
              <w:t xml:space="preserve">Fringe Benefit </w:t>
            </w:r>
          </w:p>
          <w:p w:rsidR="006D12B5" w14:paraId="09C9CC9F" w14:textId="77777777">
            <w:pPr>
              <w:spacing w:after="0" w:line="259" w:lineRule="auto"/>
              <w:ind w:left="0" w:firstLine="0"/>
            </w:pPr>
            <w:r>
              <w:t>($/</w:t>
            </w:r>
            <w:r>
              <w:t>hr</w:t>
            </w:r>
            <w:r>
              <w:t xml:space="preserve">)  </w:t>
            </w:r>
          </w:p>
        </w:tc>
        <w:tc>
          <w:tcPr>
            <w:tcW w:w="1765" w:type="dxa"/>
            <w:tcBorders>
              <w:top w:val="single" w:sz="4" w:space="0" w:color="000000"/>
              <w:left w:val="single" w:sz="4" w:space="0" w:color="000000"/>
              <w:bottom w:val="single" w:sz="4" w:space="0" w:color="000000"/>
              <w:right w:val="single" w:sz="4" w:space="0" w:color="000000"/>
            </w:tcBorders>
          </w:tcPr>
          <w:p w:rsidR="006D12B5" w14:paraId="1DBBB8D2" w14:textId="77777777">
            <w:pPr>
              <w:spacing w:after="0" w:line="259" w:lineRule="auto"/>
              <w:ind w:left="0" w:firstLine="0"/>
            </w:pPr>
            <w:r>
              <w:t xml:space="preserve">Adjusted  </w:t>
            </w:r>
          </w:p>
          <w:p w:rsidR="006D12B5" w14:paraId="45AE0796" w14:textId="77777777">
            <w:pPr>
              <w:spacing w:after="0" w:line="259" w:lineRule="auto"/>
              <w:ind w:left="0" w:firstLine="0"/>
            </w:pPr>
            <w:r>
              <w:t xml:space="preserve">Hourly Wage  </w:t>
            </w:r>
          </w:p>
          <w:p w:rsidR="006D12B5" w14:paraId="4065E148" w14:textId="77777777">
            <w:pPr>
              <w:spacing w:after="0" w:line="259" w:lineRule="auto"/>
              <w:ind w:left="0" w:firstLine="0"/>
            </w:pPr>
            <w:r>
              <w:t>($/</w:t>
            </w:r>
            <w:r>
              <w:t>hr</w:t>
            </w:r>
            <w:r>
              <w:t xml:space="preserve">)  </w:t>
            </w:r>
          </w:p>
        </w:tc>
      </w:tr>
      <w:tr w14:paraId="4B8847C6" w14:textId="77777777">
        <w:tblPrEx>
          <w:tblW w:w="8856" w:type="dxa"/>
          <w:tblInd w:w="25" w:type="dxa"/>
          <w:tblCellMar>
            <w:top w:w="63" w:type="dxa"/>
            <w:left w:w="108" w:type="dxa"/>
            <w:right w:w="91" w:type="dxa"/>
          </w:tblCellMar>
          <w:tblLook w:val="04A0"/>
        </w:tblPrEx>
        <w:trPr>
          <w:trHeight w:val="606"/>
        </w:trPr>
        <w:tc>
          <w:tcPr>
            <w:tcW w:w="1810" w:type="dxa"/>
            <w:tcBorders>
              <w:top w:val="single" w:sz="4" w:space="0" w:color="000000"/>
              <w:left w:val="single" w:sz="4" w:space="0" w:color="000000"/>
              <w:bottom w:val="single" w:sz="4" w:space="0" w:color="000000"/>
              <w:right w:val="single" w:sz="4" w:space="0" w:color="000000"/>
            </w:tcBorders>
          </w:tcPr>
          <w:p w:rsidR="006D12B5" w14:paraId="184468C6" w14:textId="77777777">
            <w:pPr>
              <w:spacing w:after="0" w:line="259" w:lineRule="auto"/>
              <w:ind w:left="0" w:firstLine="0"/>
            </w:pPr>
            <w:r>
              <w:t xml:space="preserve">Pharmacy </w:t>
            </w:r>
          </w:p>
          <w:p w:rsidR="006D12B5" w14:paraId="13742589" w14:textId="77777777">
            <w:pPr>
              <w:spacing w:after="0" w:line="259" w:lineRule="auto"/>
              <w:ind w:left="0" w:firstLine="0"/>
            </w:pPr>
            <w:r>
              <w:t xml:space="preserve">Technician   </w:t>
            </w:r>
          </w:p>
        </w:tc>
        <w:tc>
          <w:tcPr>
            <w:tcW w:w="1810" w:type="dxa"/>
            <w:tcBorders>
              <w:top w:val="single" w:sz="4" w:space="0" w:color="000000"/>
              <w:left w:val="single" w:sz="4" w:space="0" w:color="000000"/>
              <w:bottom w:val="single" w:sz="4" w:space="0" w:color="000000"/>
              <w:right w:val="single" w:sz="4" w:space="0" w:color="000000"/>
            </w:tcBorders>
          </w:tcPr>
          <w:p w:rsidR="006D12B5" w14:paraId="69D0B5AF" w14:textId="77777777">
            <w:pPr>
              <w:spacing w:after="0" w:line="259" w:lineRule="auto"/>
              <w:ind w:left="0" w:firstLine="0"/>
            </w:pPr>
            <w:r>
              <w:t xml:space="preserve">29-2052  </w:t>
            </w:r>
          </w:p>
        </w:tc>
        <w:tc>
          <w:tcPr>
            <w:tcW w:w="1733" w:type="dxa"/>
            <w:tcBorders>
              <w:top w:val="single" w:sz="4" w:space="0" w:color="000000"/>
              <w:left w:val="single" w:sz="4" w:space="0" w:color="000000"/>
              <w:bottom w:val="single" w:sz="4" w:space="0" w:color="000000"/>
              <w:right w:val="single" w:sz="4" w:space="0" w:color="000000"/>
            </w:tcBorders>
          </w:tcPr>
          <w:p w:rsidR="006D12B5" w14:paraId="06D6EE44" w14:textId="77777777">
            <w:pPr>
              <w:spacing w:after="0" w:line="259" w:lineRule="auto"/>
              <w:ind w:left="0" w:firstLine="0"/>
            </w:pPr>
            <w:r>
              <w:t xml:space="preserve">$19.37  </w:t>
            </w:r>
          </w:p>
        </w:tc>
        <w:tc>
          <w:tcPr>
            <w:tcW w:w="1739" w:type="dxa"/>
            <w:tcBorders>
              <w:top w:val="single" w:sz="4" w:space="0" w:color="000000"/>
              <w:left w:val="single" w:sz="4" w:space="0" w:color="000000"/>
              <w:bottom w:val="single" w:sz="4" w:space="0" w:color="000000"/>
              <w:right w:val="single" w:sz="4" w:space="0" w:color="000000"/>
            </w:tcBorders>
          </w:tcPr>
          <w:p w:rsidR="006D12B5" w14:paraId="7E7F6B8F" w14:textId="77777777">
            <w:pPr>
              <w:spacing w:after="0" w:line="259" w:lineRule="auto"/>
              <w:ind w:left="0" w:firstLine="0"/>
            </w:pPr>
            <w:r>
              <w:t xml:space="preserve">$19.37 </w:t>
            </w:r>
          </w:p>
        </w:tc>
        <w:tc>
          <w:tcPr>
            <w:tcW w:w="1765" w:type="dxa"/>
            <w:tcBorders>
              <w:top w:val="single" w:sz="4" w:space="0" w:color="000000"/>
              <w:left w:val="single" w:sz="4" w:space="0" w:color="000000"/>
              <w:bottom w:val="single" w:sz="4" w:space="0" w:color="000000"/>
              <w:right w:val="single" w:sz="4" w:space="0" w:color="000000"/>
            </w:tcBorders>
          </w:tcPr>
          <w:p w:rsidR="006D12B5" w14:paraId="794E4A60" w14:textId="77777777">
            <w:pPr>
              <w:spacing w:after="0" w:line="259" w:lineRule="auto"/>
              <w:ind w:left="0" w:firstLine="0"/>
            </w:pPr>
            <w:r>
              <w:t xml:space="preserve">$38.74  </w:t>
            </w:r>
          </w:p>
        </w:tc>
      </w:tr>
    </w:tbl>
    <w:p w:rsidR="006D12B5" w14:paraId="46365D5B" w14:textId="77777777">
      <w:pPr>
        <w:spacing w:after="0" w:line="259" w:lineRule="auto"/>
        <w:ind w:left="16" w:firstLine="0"/>
      </w:pPr>
      <w:r>
        <w:t xml:space="preserve">  </w:t>
      </w:r>
    </w:p>
    <w:p w:rsidR="006D12B5" w14:paraId="2EA85183" w14:textId="77777777">
      <w:pPr>
        <w:ind w:left="15"/>
      </w:pPr>
      <w:r>
        <w:t xml:space="preserve">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there is no practical </w:t>
      </w:r>
      <w:r>
        <w:t>alternative</w:t>
      </w:r>
      <w:r>
        <w:t xml:space="preserve"> and we believe that doubling the hourly wage to estimate total cost is a reasonably accurate estimation method.  </w:t>
      </w:r>
    </w:p>
    <w:p w:rsidR="006D12B5" w14:paraId="0A4BE62F" w14:textId="77777777">
      <w:pPr>
        <w:spacing w:after="0" w:line="259" w:lineRule="auto"/>
        <w:ind w:left="16" w:firstLine="0"/>
      </w:pPr>
      <w:r>
        <w:t xml:space="preserve">  </w:t>
      </w:r>
    </w:p>
    <w:p w:rsidR="006D12B5" w14:paraId="1CCA5984" w14:textId="77777777">
      <w:pPr>
        <w:pStyle w:val="Heading2"/>
        <w:ind w:left="-5"/>
      </w:pPr>
      <w:r>
        <w:t xml:space="preserve">Burden Estimates  </w:t>
      </w:r>
    </w:p>
    <w:p w:rsidR="006D12B5" w14:paraId="19D8D886" w14:textId="77777777">
      <w:pPr>
        <w:spacing w:after="0" w:line="259" w:lineRule="auto"/>
        <w:ind w:left="16" w:firstLine="0"/>
      </w:pPr>
      <w:r>
        <w:t xml:space="preserve">  </w:t>
      </w:r>
    </w:p>
    <w:p w:rsidR="006D12B5" w14:paraId="2EF74FAB" w14:textId="77777777">
      <w:pPr>
        <w:ind w:left="15"/>
      </w:pPr>
      <w:r>
        <w:t xml:space="preserve">We estimate that the burden associated with the requirement to distribute the standardized pharmacy notice, entitled </w:t>
      </w:r>
      <w:r>
        <w:rPr>
          <w:b/>
        </w:rPr>
        <w:t>Medicare Drug Coverage and Your Rights,</w:t>
      </w:r>
      <w:r>
        <w:t xml:space="preserve"> is 1 minute (0.01666 hour) per enrollee. We believe that because such delivery is an administrative function, a pharmacy technician would generally be the person distributing the notice, not the pharmacist. </w:t>
      </w:r>
      <w:r>
        <w:t>Assuming that</w:t>
      </w:r>
      <w:r>
        <w:t xml:space="preserve"> the staff person distributing the notice will most likely be a pharmacy technician, we are using an adjusted wage of $38.74/</w:t>
      </w:r>
      <w:r>
        <w:t>hr</w:t>
      </w:r>
      <w:r>
        <w:t xml:space="preserve"> to calculate costs.  </w:t>
      </w:r>
    </w:p>
    <w:p w:rsidR="006D12B5" w14:paraId="60B8156E" w14:textId="77777777">
      <w:pPr>
        <w:spacing w:after="0" w:line="259" w:lineRule="auto"/>
        <w:ind w:left="16" w:firstLine="0"/>
      </w:pPr>
      <w:r>
        <w:t xml:space="preserve">  </w:t>
      </w:r>
    </w:p>
    <w:p w:rsidR="006D12B5" w14:paraId="111B13A7" w14:textId="77777777">
      <w:pPr>
        <w:ind w:left="15"/>
      </w:pPr>
      <w:r>
        <w:t xml:space="preserve">Previously, CMS utilized the number of rejected pharmacy transactions available in the Public Reporting File (PUF) data to calculate the burden for this package. However, in 2017 based on an agency wide effort to reduce burden for Part D sponsors, the Rejected Pharmacy Transactions data elements were removed from the CY 2019 Part D Reporting Requirements. As a result, in this PRA submission, we have extrapolated the data to determine the number of rejected </w:t>
      </w:r>
      <w:r>
        <w:t xml:space="preserve">pharmacy transactions. Based on the most recent CMS Program Statistics for Medicare Part D for CY 2021, the number of filled prescriptions in 2021 was 2,703,396,907. This was an 11.1% increase from 2018. After applying the 11.1% growth rate to the rejected pharmacy transactions in 2018 (82,802,153), the number of extrapolated rejected pharmacy transactions in 2021 was 92,026,567. However, we estimate that 40% of rejected pharmacy transactions are resolved at point of sale. These resolutions could be attributed to a phone call to the prescriber to obtain a system </w:t>
      </w:r>
      <w:r>
        <w:t>override, or</w:t>
      </w:r>
      <w:r>
        <w:t xml:space="preserve"> could be due to data entry error. Based on this 40% resolution assumption, we are estimating that 55,215,940 notices will be issued annually.    </w:t>
      </w:r>
    </w:p>
    <w:p w:rsidR="006D12B5" w14:paraId="56CD965A" w14:textId="77777777">
      <w:pPr>
        <w:spacing w:after="0" w:line="259" w:lineRule="auto"/>
        <w:ind w:left="16" w:firstLine="0"/>
      </w:pPr>
      <w:r>
        <w:t xml:space="preserve">  </w:t>
      </w:r>
    </w:p>
    <w:p w:rsidR="006D12B5" w14:paraId="280DECBD" w14:textId="77777777">
      <w:pPr>
        <w:spacing w:after="2" w:line="237" w:lineRule="auto"/>
        <w:ind w:left="16" w:right="263" w:firstLine="0"/>
        <w:jc w:val="both"/>
      </w:pPr>
      <w:r>
        <w:t xml:space="preserve">Assuming an average time per response of 1 minute (0.01666 hour) we estimate a total annual burden of 919,898 hours (0.01666 hours x 55,215,940 notices) at a cost of $35,636,849 (919,898 </w:t>
      </w:r>
      <w:r>
        <w:t>hrs</w:t>
      </w:r>
      <w:r>
        <w:t xml:space="preserve"> x $38.74/</w:t>
      </w:r>
      <w:r>
        <w:t>hr</w:t>
      </w:r>
      <w:r>
        <w:t xml:space="preserve">).   </w:t>
      </w:r>
    </w:p>
    <w:p w:rsidR="006D12B5" w14:paraId="393FD3AB" w14:textId="77777777">
      <w:pPr>
        <w:spacing w:after="0" w:line="259" w:lineRule="auto"/>
        <w:ind w:left="16" w:firstLine="0"/>
      </w:pPr>
      <w:r>
        <w:t xml:space="preserve">  </w:t>
      </w:r>
    </w:p>
    <w:p w:rsidR="006D12B5" w14:paraId="60A82C1F" w14:textId="77777777">
      <w:pPr>
        <w:ind w:left="15"/>
      </w:pPr>
      <w:r>
        <w:t xml:space="preserve">For each respondent/pharmacy we estimate an annual burden of 13 hours per pharmacy per year (919,898 </w:t>
      </w:r>
      <w:r>
        <w:t>hrs</w:t>
      </w:r>
      <w:r>
        <w:t xml:space="preserve"> / 72,900 pharmacies) at a cost of $ 488.85 per pharmacy per year ($35,636,849 / 72,900 pharmacies).  </w:t>
      </w:r>
    </w:p>
    <w:p w:rsidR="006D12B5" w14:paraId="2EB19BC5" w14:textId="77777777">
      <w:pPr>
        <w:spacing w:after="0" w:line="259" w:lineRule="auto"/>
        <w:ind w:left="0" w:firstLine="0"/>
      </w:pPr>
      <w:r>
        <w:t xml:space="preserve"> </w:t>
      </w:r>
    </w:p>
    <w:tbl>
      <w:tblPr>
        <w:tblStyle w:val="TableGrid"/>
        <w:tblW w:w="9982" w:type="dxa"/>
        <w:tblInd w:w="24" w:type="dxa"/>
        <w:tblCellMar>
          <w:top w:w="67" w:type="dxa"/>
          <w:left w:w="126" w:type="dxa"/>
          <w:right w:w="4" w:type="dxa"/>
        </w:tblCellMar>
        <w:tblLook w:val="04A0"/>
      </w:tblPr>
      <w:tblGrid>
        <w:gridCol w:w="1440"/>
        <w:gridCol w:w="1440"/>
        <w:gridCol w:w="1522"/>
        <w:gridCol w:w="1350"/>
        <w:gridCol w:w="1260"/>
        <w:gridCol w:w="1260"/>
        <w:gridCol w:w="1710"/>
      </w:tblGrid>
      <w:tr w14:paraId="1174FA08" w14:textId="77777777">
        <w:tblPrEx>
          <w:tblW w:w="9982" w:type="dxa"/>
          <w:tblInd w:w="24" w:type="dxa"/>
          <w:tblCellMar>
            <w:top w:w="67" w:type="dxa"/>
            <w:left w:w="126" w:type="dxa"/>
            <w:right w:w="4" w:type="dxa"/>
          </w:tblCellMar>
          <w:tblLook w:val="04A0"/>
        </w:tblPrEx>
        <w:trPr>
          <w:trHeight w:val="882"/>
        </w:trPr>
        <w:tc>
          <w:tcPr>
            <w:tcW w:w="1440" w:type="dxa"/>
            <w:tcBorders>
              <w:top w:val="single" w:sz="6" w:space="0" w:color="000000"/>
              <w:left w:val="single" w:sz="6" w:space="0" w:color="000000"/>
              <w:bottom w:val="single" w:sz="6" w:space="0" w:color="000000"/>
              <w:right w:val="single" w:sz="6" w:space="0" w:color="000000"/>
            </w:tcBorders>
            <w:vAlign w:val="center"/>
          </w:tcPr>
          <w:p w:rsidR="006D12B5" w14:paraId="6EB1ADBB" w14:textId="77777777">
            <w:pPr>
              <w:spacing w:after="0" w:line="259" w:lineRule="auto"/>
              <w:ind w:left="0" w:firstLine="0"/>
            </w:pPr>
            <w:r>
              <w:rPr>
                <w:b/>
              </w:rPr>
              <w:t xml:space="preserve">Occupation </w:t>
            </w:r>
          </w:p>
          <w:p w:rsidR="006D12B5" w14:paraId="3162BE9E" w14:textId="77777777">
            <w:pPr>
              <w:spacing w:after="0" w:line="259" w:lineRule="auto"/>
              <w:ind w:left="0" w:right="112" w:firstLine="0"/>
              <w:jc w:val="center"/>
            </w:pPr>
            <w:r>
              <w:rPr>
                <w:b/>
              </w:rPr>
              <w:t xml:space="preserve">Title </w:t>
            </w:r>
          </w:p>
        </w:tc>
        <w:tc>
          <w:tcPr>
            <w:tcW w:w="1440" w:type="dxa"/>
            <w:tcBorders>
              <w:top w:val="single" w:sz="6" w:space="0" w:color="000000"/>
              <w:left w:val="single" w:sz="6" w:space="0" w:color="000000"/>
              <w:bottom w:val="single" w:sz="6" w:space="0" w:color="000000"/>
              <w:right w:val="single" w:sz="6" w:space="0" w:color="000000"/>
            </w:tcBorders>
          </w:tcPr>
          <w:p w:rsidR="006D12B5" w14:paraId="34378B97" w14:textId="77777777">
            <w:pPr>
              <w:spacing w:after="0" w:line="259" w:lineRule="auto"/>
              <w:ind w:left="0" w:right="122" w:firstLine="0"/>
              <w:jc w:val="center"/>
            </w:pPr>
            <w:r>
              <w:rPr>
                <w:b/>
              </w:rPr>
              <w:t xml:space="preserve">Median </w:t>
            </w:r>
          </w:p>
          <w:p w:rsidR="006D12B5" w14:paraId="51F2F1AD" w14:textId="77777777">
            <w:pPr>
              <w:spacing w:after="0" w:line="259" w:lineRule="auto"/>
              <w:ind w:left="0" w:right="113" w:firstLine="0"/>
              <w:jc w:val="center"/>
            </w:pPr>
            <w:r>
              <w:rPr>
                <w:b/>
              </w:rPr>
              <w:t xml:space="preserve">Hourly </w:t>
            </w:r>
          </w:p>
          <w:p w:rsidR="006D12B5" w14:paraId="702E612C" w14:textId="77777777">
            <w:pPr>
              <w:spacing w:after="0" w:line="259" w:lineRule="auto"/>
              <w:ind w:left="0" w:right="114" w:firstLine="0"/>
              <w:jc w:val="center"/>
            </w:pPr>
            <w:r>
              <w:rPr>
                <w:b/>
              </w:rPr>
              <w:t>Wage*</w:t>
            </w:r>
            <w:r>
              <w:t xml:space="preserve"> </w:t>
            </w:r>
          </w:p>
        </w:tc>
        <w:tc>
          <w:tcPr>
            <w:tcW w:w="1522" w:type="dxa"/>
            <w:tcBorders>
              <w:top w:val="single" w:sz="6" w:space="0" w:color="000000"/>
              <w:left w:val="single" w:sz="6" w:space="0" w:color="000000"/>
              <w:bottom w:val="single" w:sz="6" w:space="0" w:color="000000"/>
              <w:right w:val="single" w:sz="6" w:space="0" w:color="000000"/>
            </w:tcBorders>
          </w:tcPr>
          <w:p w:rsidR="006D12B5" w14:paraId="3E52C155" w14:textId="77777777">
            <w:pPr>
              <w:spacing w:after="0" w:line="259" w:lineRule="auto"/>
              <w:ind w:left="0" w:right="122" w:firstLine="0"/>
              <w:jc w:val="center"/>
            </w:pPr>
            <w:r>
              <w:rPr>
                <w:b/>
              </w:rPr>
              <w:t xml:space="preserve"># </w:t>
            </w:r>
          </w:p>
          <w:p w:rsidR="006D12B5" w14:paraId="07CFA689" w14:textId="77777777">
            <w:pPr>
              <w:spacing w:after="0" w:line="259" w:lineRule="auto"/>
              <w:ind w:left="32" w:firstLine="0"/>
            </w:pPr>
            <w:r>
              <w:rPr>
                <w:b/>
              </w:rPr>
              <w:t>Respondent</w:t>
            </w:r>
          </w:p>
          <w:p w:rsidR="006D12B5" w14:paraId="44348247" w14:textId="77777777">
            <w:pPr>
              <w:spacing w:after="0" w:line="259" w:lineRule="auto"/>
              <w:ind w:left="0" w:right="113" w:firstLine="0"/>
              <w:jc w:val="center"/>
            </w:pPr>
            <w:r>
              <w:rPr>
                <w:b/>
              </w:rPr>
              <w:t>s</w:t>
            </w:r>
            <w:r>
              <w:t xml:space="preserve"> </w:t>
            </w:r>
          </w:p>
        </w:tc>
        <w:tc>
          <w:tcPr>
            <w:tcW w:w="1350" w:type="dxa"/>
            <w:tcBorders>
              <w:top w:val="single" w:sz="6" w:space="0" w:color="000000"/>
              <w:left w:val="single" w:sz="6" w:space="0" w:color="000000"/>
              <w:bottom w:val="single" w:sz="6" w:space="0" w:color="000000"/>
              <w:right w:val="single" w:sz="6" w:space="0" w:color="000000"/>
            </w:tcBorders>
            <w:vAlign w:val="center"/>
          </w:tcPr>
          <w:p w:rsidR="006D12B5" w14:paraId="2D76B396" w14:textId="77777777">
            <w:pPr>
              <w:spacing w:after="0" w:line="259" w:lineRule="auto"/>
              <w:ind w:left="0" w:right="25" w:firstLine="0"/>
              <w:jc w:val="center"/>
            </w:pPr>
            <w:r>
              <w:rPr>
                <w:b/>
              </w:rPr>
              <w:t># Responses</w:t>
            </w:r>
            <w:r>
              <w:t xml:space="preserve"> </w:t>
            </w:r>
          </w:p>
        </w:tc>
        <w:tc>
          <w:tcPr>
            <w:tcW w:w="1260" w:type="dxa"/>
            <w:tcBorders>
              <w:top w:val="single" w:sz="6" w:space="0" w:color="000000"/>
              <w:left w:val="single" w:sz="6" w:space="0" w:color="000000"/>
              <w:bottom w:val="single" w:sz="6" w:space="0" w:color="000000"/>
              <w:right w:val="single" w:sz="6" w:space="0" w:color="000000"/>
            </w:tcBorders>
          </w:tcPr>
          <w:p w:rsidR="006D12B5" w14:paraId="3DD45A82" w14:textId="77777777">
            <w:pPr>
              <w:spacing w:after="0" w:line="259" w:lineRule="auto"/>
              <w:ind w:right="73" w:firstLine="0"/>
              <w:jc w:val="center"/>
            </w:pPr>
            <w:r>
              <w:rPr>
                <w:b/>
              </w:rPr>
              <w:t>Hours per response</w:t>
            </w:r>
            <w:r>
              <w:t xml:space="preserve"> </w:t>
            </w:r>
          </w:p>
        </w:tc>
        <w:tc>
          <w:tcPr>
            <w:tcW w:w="1260" w:type="dxa"/>
            <w:tcBorders>
              <w:top w:val="single" w:sz="6" w:space="0" w:color="000000"/>
              <w:left w:val="single" w:sz="6" w:space="0" w:color="000000"/>
              <w:bottom w:val="single" w:sz="6" w:space="0" w:color="000000"/>
              <w:right w:val="single" w:sz="6" w:space="0" w:color="000000"/>
            </w:tcBorders>
            <w:vAlign w:val="center"/>
          </w:tcPr>
          <w:p w:rsidR="006D12B5" w14:paraId="16A0FEFA" w14:textId="77777777">
            <w:pPr>
              <w:spacing w:after="0" w:line="259" w:lineRule="auto"/>
              <w:ind w:left="0" w:firstLine="0"/>
              <w:jc w:val="center"/>
            </w:pPr>
            <w:r>
              <w:rPr>
                <w:b/>
              </w:rPr>
              <w:t>Total hours</w:t>
            </w:r>
            <w:r>
              <w:t xml:space="preserve"> </w:t>
            </w:r>
          </w:p>
        </w:tc>
        <w:tc>
          <w:tcPr>
            <w:tcW w:w="1710" w:type="dxa"/>
            <w:tcBorders>
              <w:top w:val="single" w:sz="6" w:space="0" w:color="000000"/>
              <w:left w:val="single" w:sz="6" w:space="0" w:color="000000"/>
              <w:bottom w:val="single" w:sz="6" w:space="0" w:color="000000"/>
              <w:right w:val="single" w:sz="6" w:space="0" w:color="000000"/>
            </w:tcBorders>
            <w:vAlign w:val="center"/>
          </w:tcPr>
          <w:p w:rsidR="006D12B5" w14:paraId="396276D1" w14:textId="77777777">
            <w:pPr>
              <w:spacing w:after="0" w:line="259" w:lineRule="auto"/>
              <w:ind w:left="0" w:right="123" w:firstLine="0"/>
              <w:jc w:val="center"/>
            </w:pPr>
            <w:r>
              <w:rPr>
                <w:b/>
              </w:rPr>
              <w:t>Total Cost</w:t>
            </w:r>
            <w:r>
              <w:t xml:space="preserve"> </w:t>
            </w:r>
          </w:p>
        </w:tc>
      </w:tr>
      <w:tr w14:paraId="689FB9F9" w14:textId="77777777">
        <w:tblPrEx>
          <w:tblW w:w="9982" w:type="dxa"/>
          <w:tblInd w:w="24" w:type="dxa"/>
          <w:tblCellMar>
            <w:top w:w="67" w:type="dxa"/>
            <w:left w:w="126" w:type="dxa"/>
            <w:right w:w="4" w:type="dxa"/>
          </w:tblCellMar>
          <w:tblLook w:val="04A0"/>
        </w:tblPrEx>
        <w:trPr>
          <w:trHeight w:val="598"/>
        </w:trPr>
        <w:tc>
          <w:tcPr>
            <w:tcW w:w="1440" w:type="dxa"/>
            <w:tcBorders>
              <w:top w:val="single" w:sz="6" w:space="0" w:color="000000"/>
              <w:left w:val="single" w:sz="6" w:space="0" w:color="000000"/>
              <w:bottom w:val="single" w:sz="6" w:space="0" w:color="000000"/>
              <w:right w:val="single" w:sz="6" w:space="0" w:color="000000"/>
            </w:tcBorders>
          </w:tcPr>
          <w:p w:rsidR="006D12B5" w14:paraId="4FA8D108" w14:textId="77777777">
            <w:pPr>
              <w:spacing w:after="0" w:line="259" w:lineRule="auto"/>
              <w:ind w:left="0" w:right="124" w:firstLine="0"/>
              <w:jc w:val="center"/>
            </w:pPr>
            <w:r>
              <w:t xml:space="preserve">Pharmacy </w:t>
            </w:r>
          </w:p>
          <w:p w:rsidR="006D12B5" w14:paraId="1A680EBA" w14:textId="77777777">
            <w:pPr>
              <w:spacing w:after="0" w:line="259" w:lineRule="auto"/>
              <w:ind w:left="65" w:firstLine="0"/>
            </w:pPr>
            <w:r>
              <w:t xml:space="preserve">Technician   </w:t>
            </w:r>
          </w:p>
        </w:tc>
        <w:tc>
          <w:tcPr>
            <w:tcW w:w="1440" w:type="dxa"/>
            <w:tcBorders>
              <w:top w:val="single" w:sz="6" w:space="0" w:color="000000"/>
              <w:left w:val="single" w:sz="6" w:space="0" w:color="000000"/>
              <w:bottom w:val="single" w:sz="6" w:space="0" w:color="000000"/>
              <w:right w:val="single" w:sz="6" w:space="0" w:color="000000"/>
            </w:tcBorders>
            <w:vAlign w:val="center"/>
          </w:tcPr>
          <w:p w:rsidR="006D12B5" w14:paraId="2509C1D9" w14:textId="77777777">
            <w:pPr>
              <w:spacing w:after="0" w:line="259" w:lineRule="auto"/>
              <w:ind w:left="0" w:right="122" w:firstLine="0"/>
              <w:jc w:val="center"/>
            </w:pPr>
            <w:r>
              <w:t xml:space="preserve">38.74 </w:t>
            </w:r>
          </w:p>
        </w:tc>
        <w:tc>
          <w:tcPr>
            <w:tcW w:w="1522" w:type="dxa"/>
            <w:tcBorders>
              <w:top w:val="single" w:sz="6" w:space="0" w:color="000000"/>
              <w:left w:val="single" w:sz="6" w:space="0" w:color="000000"/>
              <w:bottom w:val="single" w:sz="6" w:space="0" w:color="000000"/>
              <w:right w:val="single" w:sz="6" w:space="0" w:color="000000"/>
            </w:tcBorders>
            <w:vAlign w:val="center"/>
          </w:tcPr>
          <w:p w:rsidR="006D12B5" w14:paraId="025E783A" w14:textId="77777777">
            <w:pPr>
              <w:spacing w:after="0" w:line="259" w:lineRule="auto"/>
              <w:ind w:left="0" w:right="122" w:firstLine="0"/>
              <w:jc w:val="center"/>
            </w:pPr>
            <w:r>
              <w:t xml:space="preserve">72,900 </w:t>
            </w:r>
          </w:p>
        </w:tc>
        <w:tc>
          <w:tcPr>
            <w:tcW w:w="1350" w:type="dxa"/>
            <w:tcBorders>
              <w:top w:val="single" w:sz="6" w:space="0" w:color="000000"/>
              <w:left w:val="single" w:sz="6" w:space="0" w:color="000000"/>
              <w:bottom w:val="single" w:sz="6" w:space="0" w:color="000000"/>
              <w:right w:val="single" w:sz="6" w:space="0" w:color="000000"/>
            </w:tcBorders>
            <w:vAlign w:val="center"/>
          </w:tcPr>
          <w:p w:rsidR="006D12B5" w14:paraId="7D370D1A" w14:textId="77777777">
            <w:pPr>
              <w:spacing w:after="0" w:line="259" w:lineRule="auto"/>
              <w:ind w:left="8" w:firstLine="0"/>
            </w:pPr>
            <w:r>
              <w:t xml:space="preserve">55,215,940 </w:t>
            </w:r>
          </w:p>
        </w:tc>
        <w:tc>
          <w:tcPr>
            <w:tcW w:w="1260" w:type="dxa"/>
            <w:tcBorders>
              <w:top w:val="single" w:sz="6" w:space="0" w:color="000000"/>
              <w:left w:val="single" w:sz="6" w:space="0" w:color="000000"/>
              <w:bottom w:val="single" w:sz="6" w:space="0" w:color="000000"/>
              <w:right w:val="single" w:sz="6" w:space="0" w:color="000000"/>
            </w:tcBorders>
            <w:vAlign w:val="center"/>
          </w:tcPr>
          <w:p w:rsidR="006D12B5" w14:paraId="43FE9BF4" w14:textId="77777777">
            <w:pPr>
              <w:spacing w:after="0" w:line="259" w:lineRule="auto"/>
              <w:ind w:left="0" w:right="122" w:firstLine="0"/>
              <w:jc w:val="center"/>
            </w:pPr>
            <w:r>
              <w:t xml:space="preserve">13 </w:t>
            </w:r>
          </w:p>
        </w:tc>
        <w:tc>
          <w:tcPr>
            <w:tcW w:w="1260" w:type="dxa"/>
            <w:tcBorders>
              <w:top w:val="single" w:sz="6" w:space="0" w:color="000000"/>
              <w:left w:val="single" w:sz="6" w:space="0" w:color="000000"/>
              <w:bottom w:val="single" w:sz="6" w:space="0" w:color="000000"/>
              <w:right w:val="single" w:sz="6" w:space="0" w:color="000000"/>
            </w:tcBorders>
            <w:vAlign w:val="center"/>
          </w:tcPr>
          <w:p w:rsidR="006D12B5" w14:paraId="19B1B3A3" w14:textId="77777777">
            <w:pPr>
              <w:spacing w:after="0" w:line="259" w:lineRule="auto"/>
              <w:ind w:left="0" w:right="122" w:firstLine="0"/>
              <w:jc w:val="center"/>
            </w:pPr>
            <w:r>
              <w:t xml:space="preserve">919,898 </w:t>
            </w:r>
          </w:p>
        </w:tc>
        <w:tc>
          <w:tcPr>
            <w:tcW w:w="1710" w:type="dxa"/>
            <w:tcBorders>
              <w:top w:val="single" w:sz="6" w:space="0" w:color="000000"/>
              <w:left w:val="single" w:sz="6" w:space="0" w:color="000000"/>
              <w:bottom w:val="single" w:sz="6" w:space="0" w:color="000000"/>
              <w:right w:val="single" w:sz="6" w:space="0" w:color="000000"/>
            </w:tcBorders>
            <w:vAlign w:val="center"/>
          </w:tcPr>
          <w:p w:rsidR="006D12B5" w14:paraId="51453F71" w14:textId="77777777">
            <w:pPr>
              <w:spacing w:after="0" w:line="259" w:lineRule="auto"/>
              <w:ind w:left="0" w:right="124" w:firstLine="0"/>
              <w:jc w:val="center"/>
            </w:pPr>
            <w:r>
              <w:t xml:space="preserve">55,215,940 </w:t>
            </w:r>
          </w:p>
        </w:tc>
      </w:tr>
    </w:tbl>
    <w:p w:rsidR="006D12B5" w14:paraId="52AE8330" w14:textId="77777777">
      <w:pPr>
        <w:spacing w:after="0" w:line="259" w:lineRule="auto"/>
        <w:ind w:left="0" w:firstLine="0"/>
      </w:pPr>
      <w:r>
        <w:t xml:space="preserve"> </w:t>
      </w:r>
    </w:p>
    <w:p w:rsidR="006D12B5" w14:paraId="0BEB9A56" w14:textId="77777777">
      <w:pPr>
        <w:spacing w:after="0" w:line="259" w:lineRule="auto"/>
        <w:ind w:left="16" w:firstLine="0"/>
      </w:pPr>
      <w:r>
        <w:t xml:space="preserve">  </w:t>
      </w:r>
    </w:p>
    <w:p w:rsidR="006D12B5" w14:paraId="688C9D2C" w14:textId="77777777">
      <w:pPr>
        <w:pStyle w:val="Heading2"/>
        <w:ind w:left="-5"/>
      </w:pPr>
      <w:r>
        <w:t xml:space="preserve">Information Collection/Reporting Instruments and Instruction/Guidance Documents  </w:t>
      </w:r>
    </w:p>
    <w:p w:rsidR="006D12B5" w14:paraId="75768935" w14:textId="77777777">
      <w:pPr>
        <w:spacing w:after="28" w:line="259" w:lineRule="auto"/>
        <w:ind w:left="16" w:firstLine="0"/>
      </w:pPr>
      <w:r>
        <w:t xml:space="preserve">  </w:t>
      </w:r>
    </w:p>
    <w:p w:rsidR="006D12B5" w:rsidP="00B8791E" w14:paraId="5F7AA97E" w14:textId="12F6BB4C">
      <w:pPr>
        <w:numPr>
          <w:ilvl w:val="0"/>
          <w:numId w:val="4"/>
        </w:numPr>
        <w:ind w:hanging="360"/>
      </w:pPr>
      <w:r>
        <w:t>Instructions for the standardized pharmacy notice “</w:t>
      </w:r>
      <w:r w:rsidR="00B8791E">
        <w:t>Medicare Drug Coverage and Your Rights Standardized Pharmacy Notice</w:t>
      </w:r>
      <w:r>
        <w:t xml:space="preserve">”  </w:t>
      </w:r>
    </w:p>
    <w:p w:rsidR="006D12B5" w14:paraId="7FC52EB2" w14:textId="77777777">
      <w:pPr>
        <w:spacing w:after="28" w:line="259" w:lineRule="auto"/>
        <w:ind w:left="376" w:firstLine="0"/>
      </w:pPr>
      <w:r>
        <w:t xml:space="preserve">  </w:t>
      </w:r>
    </w:p>
    <w:p w:rsidR="006D12B5" w14:paraId="4A9D6065" w14:textId="45C98A7A">
      <w:pPr>
        <w:numPr>
          <w:ilvl w:val="0"/>
          <w:numId w:val="4"/>
        </w:numPr>
        <w:ind w:hanging="360"/>
      </w:pPr>
      <w:r w:rsidRPr="00B8791E">
        <w:t xml:space="preserve">Medicare Drug Coverage and Your Rights </w:t>
      </w:r>
      <w:r w:rsidR="008F7811">
        <w:t xml:space="preserve">(English)  </w:t>
      </w:r>
    </w:p>
    <w:p w:rsidR="006D12B5" w14:paraId="1287D4BE" w14:textId="77777777">
      <w:pPr>
        <w:spacing w:after="29" w:line="259" w:lineRule="auto"/>
        <w:ind w:left="16" w:firstLine="0"/>
      </w:pPr>
      <w:r>
        <w:t xml:space="preserve">  </w:t>
      </w:r>
    </w:p>
    <w:p w:rsidR="006D12B5" w14:paraId="7FF92C86" w14:textId="7AACC257">
      <w:pPr>
        <w:numPr>
          <w:ilvl w:val="0"/>
          <w:numId w:val="4"/>
        </w:numPr>
        <w:ind w:hanging="360"/>
      </w:pPr>
      <w:r w:rsidRPr="00B8791E">
        <w:t xml:space="preserve">Medicare Drug Coverage and Your Rights </w:t>
      </w:r>
      <w:r w:rsidR="008F7811">
        <w:t xml:space="preserve">(Spanish)  </w:t>
      </w:r>
    </w:p>
    <w:p w:rsidR="006D12B5" w14:paraId="152E1707" w14:textId="77777777">
      <w:pPr>
        <w:spacing w:after="5" w:line="259" w:lineRule="auto"/>
        <w:ind w:left="16" w:firstLine="0"/>
      </w:pPr>
      <w:r>
        <w:t xml:space="preserve">  </w:t>
      </w:r>
    </w:p>
    <w:p w:rsidR="006D12B5" w14:paraId="2436353F" w14:textId="77777777">
      <w:pPr>
        <w:numPr>
          <w:ilvl w:val="0"/>
          <w:numId w:val="5"/>
        </w:numPr>
        <w:ind w:hanging="432"/>
      </w:pPr>
      <w:r>
        <w:t xml:space="preserve">Capital Costs  </w:t>
      </w:r>
    </w:p>
    <w:p w:rsidR="006D12B5" w14:paraId="4EA57339" w14:textId="77777777">
      <w:pPr>
        <w:spacing w:after="0" w:line="259" w:lineRule="auto"/>
        <w:ind w:left="16" w:firstLine="0"/>
      </w:pPr>
      <w:r>
        <w:t xml:space="preserve">  </w:t>
      </w:r>
    </w:p>
    <w:p w:rsidR="006D12B5" w14:paraId="3C423A88" w14:textId="77777777">
      <w:pPr>
        <w:ind w:left="15"/>
      </w:pPr>
      <w:r>
        <w:t xml:space="preserve">There are no capital costs.  </w:t>
      </w:r>
    </w:p>
    <w:p w:rsidR="006D12B5" w14:paraId="53CC51AA" w14:textId="77777777">
      <w:pPr>
        <w:spacing w:after="5" w:line="259" w:lineRule="auto"/>
        <w:ind w:left="16" w:firstLine="0"/>
      </w:pPr>
      <w:r>
        <w:t xml:space="preserve">  </w:t>
      </w:r>
    </w:p>
    <w:p w:rsidR="006D12B5" w14:paraId="6065D3ED" w14:textId="77777777">
      <w:pPr>
        <w:numPr>
          <w:ilvl w:val="0"/>
          <w:numId w:val="5"/>
        </w:numPr>
        <w:ind w:hanging="432"/>
      </w:pPr>
      <w:r>
        <w:t xml:space="preserve">Cost to Federal Government  </w:t>
      </w:r>
    </w:p>
    <w:p w:rsidR="006D12B5" w14:paraId="3D801DE3" w14:textId="77777777">
      <w:pPr>
        <w:spacing w:after="0" w:line="259" w:lineRule="auto"/>
        <w:ind w:left="16" w:firstLine="0"/>
      </w:pPr>
      <w:r>
        <w:t xml:space="preserve">  </w:t>
      </w:r>
    </w:p>
    <w:p w:rsidR="006D12B5" w14:paraId="770771CA" w14:textId="77777777">
      <w:pPr>
        <w:ind w:left="15"/>
      </w:pPr>
      <w:r>
        <w:t xml:space="preserve">The cost to the Federal government is on a triennial basis and is associated with the preparation and release of the updated notice and supplemental documents (e.g., form instructions and alternate versions). This includes the time it takes the employee to complete the PRA process, </w:t>
      </w:r>
      <w:r>
        <w:t xml:space="preserve">draft an HPMS memo announcing the release of the updated form, and posting the documents to CMS.gov. Because the notices will be printed and distributed by Part D plan sponsor’s network pharmacies, this alleviates additional cost to the Federal government. </w:t>
      </w:r>
    </w:p>
    <w:p w:rsidR="006D12B5" w14:paraId="73A55AE6" w14:textId="77777777">
      <w:pPr>
        <w:spacing w:after="0" w:line="259" w:lineRule="auto"/>
        <w:ind w:left="0" w:firstLine="0"/>
      </w:pPr>
      <w:r>
        <w:t xml:space="preserve"> </w:t>
      </w:r>
    </w:p>
    <w:p w:rsidR="006D12B5" w14:paraId="299D27F6" w14:textId="0D1D1DAC">
      <w:pPr>
        <w:ind w:left="15"/>
      </w:pPr>
      <w:r>
        <w:t>The analysis and preparation of the PRA package and the subsequent release of documents is performed by a CMS employee. The average salary of the employee who would be completing this task, which includes the locality pay adjustment for the area of Washington-Baltimore</w:t>
      </w:r>
      <w:r w:rsidR="00B8791E">
        <w:t>/</w:t>
      </w:r>
      <w:r>
        <w:t xml:space="preserve">Arlington, is listed in the table below. See OPM 2024 General Schedule (GS) Locality Pay Tables, https://www.opm.gov/policy-data-oversight/pay-leave/salaries-wages/2024/generalschedule. We estimate that on average it takes a CMS employee 20 hours to perform these activities and the triennial cost to the Federal government to be $1,281.20. </w:t>
      </w:r>
    </w:p>
    <w:p w:rsidR="006D12B5" w14:paraId="0D12CC55" w14:textId="77777777">
      <w:pPr>
        <w:spacing w:after="0" w:line="259" w:lineRule="auto"/>
        <w:ind w:left="0" w:firstLine="0"/>
      </w:pPr>
      <w:r>
        <w:t xml:space="preserve"> </w:t>
      </w:r>
    </w:p>
    <w:tbl>
      <w:tblPr>
        <w:tblStyle w:val="TableGrid"/>
        <w:tblW w:w="8047" w:type="dxa"/>
        <w:tblInd w:w="25" w:type="dxa"/>
        <w:tblCellMar>
          <w:top w:w="107" w:type="dxa"/>
          <w:left w:w="222" w:type="dxa"/>
          <w:right w:w="115" w:type="dxa"/>
        </w:tblCellMar>
        <w:tblLook w:val="04A0"/>
      </w:tblPr>
      <w:tblGrid>
        <w:gridCol w:w="1659"/>
        <w:gridCol w:w="1426"/>
        <w:gridCol w:w="2123"/>
        <w:gridCol w:w="2839"/>
      </w:tblGrid>
      <w:tr w14:paraId="28541953" w14:textId="77777777">
        <w:tblPrEx>
          <w:tblW w:w="8047" w:type="dxa"/>
          <w:tblInd w:w="25" w:type="dxa"/>
          <w:tblCellMar>
            <w:top w:w="107" w:type="dxa"/>
            <w:left w:w="222" w:type="dxa"/>
            <w:right w:w="115" w:type="dxa"/>
          </w:tblCellMar>
          <w:tblLook w:val="04A0"/>
        </w:tblPrEx>
        <w:trPr>
          <w:trHeight w:val="607"/>
        </w:trPr>
        <w:tc>
          <w:tcPr>
            <w:tcW w:w="1660" w:type="dxa"/>
            <w:tcBorders>
              <w:top w:val="single" w:sz="4" w:space="0" w:color="000000"/>
              <w:left w:val="single" w:sz="4" w:space="0" w:color="000000"/>
              <w:bottom w:val="single" w:sz="4" w:space="0" w:color="000000"/>
              <w:right w:val="single" w:sz="4" w:space="0" w:color="000000"/>
            </w:tcBorders>
          </w:tcPr>
          <w:p w:rsidR="006D12B5" w14:paraId="253582B1" w14:textId="77777777">
            <w:pPr>
              <w:spacing w:after="0" w:line="259" w:lineRule="auto"/>
              <w:ind w:left="1" w:firstLine="0"/>
            </w:pPr>
            <w:r>
              <w:rPr>
                <w:b/>
                <w:sz w:val="22"/>
              </w:rPr>
              <w:t xml:space="preserve">Employee </w:t>
            </w:r>
            <w:r>
              <w:t xml:space="preserve"> </w:t>
            </w:r>
          </w:p>
        </w:tc>
        <w:tc>
          <w:tcPr>
            <w:tcW w:w="1426" w:type="dxa"/>
            <w:tcBorders>
              <w:top w:val="single" w:sz="4" w:space="0" w:color="000000"/>
              <w:left w:val="single" w:sz="4" w:space="0" w:color="000000"/>
              <w:bottom w:val="single" w:sz="4" w:space="0" w:color="000000"/>
              <w:right w:val="single" w:sz="4" w:space="0" w:color="000000"/>
            </w:tcBorders>
          </w:tcPr>
          <w:p w:rsidR="006D12B5" w14:paraId="10E3816B" w14:textId="77777777">
            <w:pPr>
              <w:spacing w:after="0" w:line="259" w:lineRule="auto"/>
              <w:ind w:left="1" w:firstLine="0"/>
            </w:pPr>
            <w:r>
              <w:rPr>
                <w:b/>
                <w:sz w:val="22"/>
              </w:rPr>
              <w:t xml:space="preserve">Hourly </w:t>
            </w:r>
            <w:r>
              <w:t xml:space="preserve"> </w:t>
            </w:r>
            <w:r>
              <w:rPr>
                <w:b/>
                <w:sz w:val="22"/>
              </w:rPr>
              <w:t>Wage</w:t>
            </w:r>
            <w:r>
              <w:rPr>
                <w:b/>
                <w:sz w:val="22"/>
              </w:rPr>
              <w:t xml:space="preserve"> </w:t>
            </w:r>
            <w:r>
              <w:t xml:space="preserve"> </w:t>
            </w:r>
          </w:p>
        </w:tc>
        <w:tc>
          <w:tcPr>
            <w:tcW w:w="2123" w:type="dxa"/>
            <w:tcBorders>
              <w:top w:val="single" w:sz="4" w:space="0" w:color="000000"/>
              <w:left w:val="single" w:sz="4" w:space="0" w:color="000000"/>
              <w:bottom w:val="single" w:sz="4" w:space="0" w:color="000000"/>
              <w:right w:val="single" w:sz="4" w:space="0" w:color="000000"/>
            </w:tcBorders>
          </w:tcPr>
          <w:p w:rsidR="006D12B5" w14:paraId="02E8936E" w14:textId="77777777">
            <w:pPr>
              <w:spacing w:after="0" w:line="259" w:lineRule="auto"/>
              <w:ind w:left="0" w:right="122" w:firstLine="0"/>
              <w:jc w:val="center"/>
            </w:pPr>
            <w:r>
              <w:rPr>
                <w:b/>
                <w:sz w:val="22"/>
              </w:rPr>
              <w:t xml:space="preserve">Number of Hours </w:t>
            </w:r>
            <w:r>
              <w:t xml:space="preserve"> </w:t>
            </w:r>
          </w:p>
        </w:tc>
        <w:tc>
          <w:tcPr>
            <w:tcW w:w="2839" w:type="dxa"/>
            <w:tcBorders>
              <w:top w:val="single" w:sz="4" w:space="0" w:color="000000"/>
              <w:left w:val="single" w:sz="4" w:space="0" w:color="000000"/>
              <w:bottom w:val="single" w:sz="4" w:space="0" w:color="000000"/>
              <w:right w:val="single" w:sz="4" w:space="0" w:color="000000"/>
            </w:tcBorders>
          </w:tcPr>
          <w:p w:rsidR="006D12B5" w14:paraId="2F6CA739" w14:textId="77777777">
            <w:pPr>
              <w:spacing w:after="0" w:line="259" w:lineRule="auto"/>
              <w:ind w:left="0" w:firstLine="0"/>
            </w:pPr>
            <w:r>
              <w:rPr>
                <w:b/>
                <w:sz w:val="22"/>
              </w:rPr>
              <w:t xml:space="preserve">Triennial Cost to </w:t>
            </w:r>
            <w:r>
              <w:t xml:space="preserve"> </w:t>
            </w:r>
          </w:p>
          <w:p w:rsidR="006D12B5" w14:paraId="7657FB64" w14:textId="77777777">
            <w:pPr>
              <w:spacing w:after="0" w:line="259" w:lineRule="auto"/>
              <w:ind w:left="0" w:firstLine="0"/>
            </w:pPr>
            <w:r>
              <w:rPr>
                <w:b/>
                <w:sz w:val="22"/>
              </w:rPr>
              <w:t xml:space="preserve">Government </w:t>
            </w:r>
            <w:r>
              <w:t xml:space="preserve"> </w:t>
            </w:r>
          </w:p>
        </w:tc>
      </w:tr>
      <w:tr w14:paraId="689E9FA5" w14:textId="77777777">
        <w:tblPrEx>
          <w:tblW w:w="8047" w:type="dxa"/>
          <w:tblInd w:w="25" w:type="dxa"/>
          <w:tblCellMar>
            <w:top w:w="107" w:type="dxa"/>
            <w:left w:w="222" w:type="dxa"/>
            <w:right w:w="115" w:type="dxa"/>
          </w:tblCellMar>
          <w:tblLook w:val="04A0"/>
        </w:tblPrEx>
        <w:trPr>
          <w:trHeight w:val="577"/>
        </w:trPr>
        <w:tc>
          <w:tcPr>
            <w:tcW w:w="1660" w:type="dxa"/>
            <w:tcBorders>
              <w:top w:val="single" w:sz="4" w:space="0" w:color="000000"/>
              <w:left w:val="single" w:sz="4" w:space="0" w:color="000000"/>
              <w:bottom w:val="single" w:sz="4" w:space="0" w:color="000000"/>
              <w:right w:val="single" w:sz="4" w:space="0" w:color="000000"/>
            </w:tcBorders>
          </w:tcPr>
          <w:p w:rsidR="006D12B5" w14:paraId="3D5C5181" w14:textId="77777777">
            <w:pPr>
              <w:spacing w:after="0" w:line="259" w:lineRule="auto"/>
              <w:ind w:left="0" w:right="116" w:firstLine="0"/>
              <w:jc w:val="center"/>
            </w:pPr>
            <w:r>
              <w:rPr>
                <w:sz w:val="22"/>
              </w:rPr>
              <w:t xml:space="preserve">GS-13, step 5 </w:t>
            </w:r>
            <w:r>
              <w:t xml:space="preserve"> </w:t>
            </w:r>
          </w:p>
        </w:tc>
        <w:tc>
          <w:tcPr>
            <w:tcW w:w="1426" w:type="dxa"/>
            <w:tcBorders>
              <w:top w:val="single" w:sz="4" w:space="0" w:color="000000"/>
              <w:left w:val="single" w:sz="4" w:space="0" w:color="000000"/>
              <w:bottom w:val="single" w:sz="4" w:space="0" w:color="000000"/>
              <w:right w:val="single" w:sz="4" w:space="0" w:color="000000"/>
            </w:tcBorders>
          </w:tcPr>
          <w:p w:rsidR="006D12B5" w14:paraId="19AF9F3A" w14:textId="77777777">
            <w:pPr>
              <w:spacing w:after="0" w:line="259" w:lineRule="auto"/>
              <w:ind w:left="1" w:firstLine="0"/>
            </w:pPr>
            <w:r>
              <w:rPr>
                <w:sz w:val="22"/>
              </w:rPr>
              <w:t xml:space="preserve">$64.06 </w:t>
            </w:r>
            <w:r>
              <w:t xml:space="preserve"> </w:t>
            </w:r>
          </w:p>
        </w:tc>
        <w:tc>
          <w:tcPr>
            <w:tcW w:w="2123" w:type="dxa"/>
            <w:tcBorders>
              <w:top w:val="single" w:sz="4" w:space="0" w:color="000000"/>
              <w:left w:val="single" w:sz="4" w:space="0" w:color="000000"/>
              <w:bottom w:val="single" w:sz="4" w:space="0" w:color="000000"/>
              <w:right w:val="single" w:sz="4" w:space="0" w:color="000000"/>
            </w:tcBorders>
          </w:tcPr>
          <w:p w:rsidR="006D12B5" w14:paraId="017C33FD" w14:textId="77777777">
            <w:pPr>
              <w:spacing w:after="0" w:line="259" w:lineRule="auto"/>
              <w:ind w:left="1" w:firstLine="0"/>
            </w:pPr>
            <w:r>
              <w:rPr>
                <w:sz w:val="22"/>
              </w:rPr>
              <w:t xml:space="preserve">20 </w:t>
            </w:r>
            <w:r>
              <w:t xml:space="preserve"> </w:t>
            </w:r>
          </w:p>
        </w:tc>
        <w:tc>
          <w:tcPr>
            <w:tcW w:w="2839" w:type="dxa"/>
            <w:tcBorders>
              <w:top w:val="single" w:sz="4" w:space="0" w:color="000000"/>
              <w:left w:val="single" w:sz="4" w:space="0" w:color="000000"/>
              <w:bottom w:val="single" w:sz="4" w:space="0" w:color="000000"/>
              <w:right w:val="single" w:sz="4" w:space="0" w:color="000000"/>
            </w:tcBorders>
          </w:tcPr>
          <w:p w:rsidR="006D12B5" w14:paraId="14E32211" w14:textId="77777777">
            <w:pPr>
              <w:spacing w:after="0" w:line="259" w:lineRule="auto"/>
              <w:ind w:left="0" w:firstLine="0"/>
            </w:pPr>
            <w:r>
              <w:rPr>
                <w:sz w:val="22"/>
              </w:rPr>
              <w:t xml:space="preserve">$1,281.20 </w:t>
            </w:r>
            <w:r>
              <w:t xml:space="preserve"> </w:t>
            </w:r>
          </w:p>
        </w:tc>
      </w:tr>
      <w:tr w14:paraId="5F4B9C09" w14:textId="77777777">
        <w:tblPrEx>
          <w:tblW w:w="8047" w:type="dxa"/>
          <w:tblInd w:w="25" w:type="dxa"/>
          <w:tblCellMar>
            <w:top w:w="107" w:type="dxa"/>
            <w:left w:w="222" w:type="dxa"/>
            <w:right w:w="115" w:type="dxa"/>
          </w:tblCellMar>
          <w:tblLook w:val="04A0"/>
        </w:tblPrEx>
        <w:trPr>
          <w:trHeight w:val="359"/>
        </w:trPr>
        <w:tc>
          <w:tcPr>
            <w:tcW w:w="1660" w:type="dxa"/>
            <w:tcBorders>
              <w:top w:val="single" w:sz="4" w:space="0" w:color="000000"/>
              <w:left w:val="single" w:sz="4" w:space="0" w:color="000000"/>
              <w:bottom w:val="single" w:sz="4" w:space="0" w:color="000000"/>
              <w:right w:val="single" w:sz="4" w:space="0" w:color="000000"/>
            </w:tcBorders>
          </w:tcPr>
          <w:p w:rsidR="006D12B5" w14:paraId="285F6E7F" w14:textId="77777777">
            <w:pPr>
              <w:spacing w:after="0" w:line="259" w:lineRule="auto"/>
              <w:ind w:left="1" w:firstLine="0"/>
            </w:pPr>
            <w:r>
              <w:rPr>
                <w:sz w:val="22"/>
              </w:rPr>
              <w:t xml:space="preserve"> </w:t>
            </w:r>
            <w:r>
              <w:t xml:space="preserve"> </w:t>
            </w:r>
          </w:p>
        </w:tc>
        <w:tc>
          <w:tcPr>
            <w:tcW w:w="1426" w:type="dxa"/>
            <w:tcBorders>
              <w:top w:val="single" w:sz="4" w:space="0" w:color="000000"/>
              <w:left w:val="single" w:sz="4" w:space="0" w:color="000000"/>
              <w:bottom w:val="single" w:sz="4" w:space="0" w:color="000000"/>
              <w:right w:val="single" w:sz="4" w:space="0" w:color="000000"/>
            </w:tcBorders>
          </w:tcPr>
          <w:p w:rsidR="006D12B5" w14:paraId="701ECF5B" w14:textId="77777777">
            <w:pPr>
              <w:spacing w:after="0" w:line="259" w:lineRule="auto"/>
              <w:ind w:left="1" w:firstLine="0"/>
            </w:pPr>
            <w:r>
              <w:rPr>
                <w:b/>
                <w:sz w:val="22"/>
              </w:rPr>
              <w:t xml:space="preserve"> </w:t>
            </w:r>
            <w:r>
              <w:t xml:space="preserve"> </w:t>
            </w:r>
          </w:p>
        </w:tc>
        <w:tc>
          <w:tcPr>
            <w:tcW w:w="2123" w:type="dxa"/>
            <w:tcBorders>
              <w:top w:val="single" w:sz="4" w:space="0" w:color="000000"/>
              <w:left w:val="single" w:sz="4" w:space="0" w:color="000000"/>
              <w:bottom w:val="single" w:sz="4" w:space="0" w:color="000000"/>
              <w:right w:val="single" w:sz="4" w:space="0" w:color="000000"/>
            </w:tcBorders>
          </w:tcPr>
          <w:p w:rsidR="006D12B5" w14:paraId="6905D25D" w14:textId="77777777">
            <w:pPr>
              <w:spacing w:after="0" w:line="259" w:lineRule="auto"/>
              <w:ind w:left="1" w:firstLine="0"/>
            </w:pPr>
            <w:r>
              <w:rPr>
                <w:b/>
                <w:sz w:val="22"/>
              </w:rPr>
              <w:t xml:space="preserve"> </w:t>
            </w:r>
            <w:r>
              <w:t xml:space="preserve"> </w:t>
            </w:r>
          </w:p>
        </w:tc>
        <w:tc>
          <w:tcPr>
            <w:tcW w:w="2839" w:type="dxa"/>
            <w:tcBorders>
              <w:top w:val="single" w:sz="4" w:space="0" w:color="000000"/>
              <w:left w:val="single" w:sz="4" w:space="0" w:color="000000"/>
              <w:bottom w:val="single" w:sz="4" w:space="0" w:color="000000"/>
              <w:right w:val="single" w:sz="4" w:space="0" w:color="000000"/>
            </w:tcBorders>
          </w:tcPr>
          <w:p w:rsidR="006D12B5" w14:paraId="1F6420D0" w14:textId="77777777">
            <w:pPr>
              <w:spacing w:after="0" w:line="259" w:lineRule="auto"/>
              <w:ind w:left="0" w:firstLine="0"/>
            </w:pPr>
            <w:r>
              <w:rPr>
                <w:b/>
                <w:sz w:val="22"/>
              </w:rPr>
              <w:t>TOTAL:</w:t>
            </w:r>
            <w:r>
              <w:rPr>
                <w:sz w:val="22"/>
              </w:rPr>
              <w:t xml:space="preserve">  $1,281.20</w:t>
            </w:r>
            <w:r>
              <w:t xml:space="preserve"> </w:t>
            </w:r>
          </w:p>
        </w:tc>
      </w:tr>
    </w:tbl>
    <w:p w:rsidR="006D12B5" w14:paraId="72ADE241" w14:textId="77777777">
      <w:pPr>
        <w:spacing w:after="7" w:line="259" w:lineRule="auto"/>
        <w:ind w:left="16" w:firstLine="0"/>
      </w:pPr>
      <w:r>
        <w:t xml:space="preserve">  </w:t>
      </w:r>
    </w:p>
    <w:p w:rsidR="006D12B5" w14:paraId="13CDC16A" w14:textId="77777777">
      <w:pPr>
        <w:numPr>
          <w:ilvl w:val="0"/>
          <w:numId w:val="5"/>
        </w:numPr>
        <w:ind w:hanging="432"/>
      </w:pPr>
      <w:r>
        <w:t xml:space="preserve">Changes to Burden  </w:t>
      </w:r>
    </w:p>
    <w:p w:rsidR="006D12B5" w14:paraId="5781C544" w14:textId="77777777">
      <w:pPr>
        <w:spacing w:after="0" w:line="259" w:lineRule="auto"/>
        <w:ind w:left="16" w:firstLine="0"/>
      </w:pPr>
      <w:r>
        <w:t xml:space="preserve">   </w:t>
      </w:r>
    </w:p>
    <w:p w:rsidR="006D12B5" w14:paraId="28799FAA" w14:textId="4C63723A">
      <w:pPr>
        <w:ind w:left="15" w:right="618"/>
      </w:pPr>
      <w:r>
        <w:t xml:space="preserve">The changes made to this form were completed by OC to utilize plain language </w:t>
      </w:r>
      <w:r>
        <w:t>in order to</w:t>
      </w:r>
      <w:r>
        <w:t xml:space="preserve"> increase accessibility and reduce health disparities. The OC supplied the following information on how their design and language decisions used in this form are research based.  </w:t>
      </w:r>
    </w:p>
    <w:p w:rsidR="006D12B5" w14:paraId="5CEF0E0E" w14:textId="77777777">
      <w:pPr>
        <w:spacing w:after="0" w:line="259" w:lineRule="auto"/>
        <w:ind w:left="30" w:firstLine="0"/>
      </w:pPr>
      <w:r>
        <w:t xml:space="preserve">  </w:t>
      </w:r>
    </w:p>
    <w:p w:rsidR="006D12B5" w14:paraId="59FB0BFF" w14:textId="77777777">
      <w:pPr>
        <w:ind w:left="15" w:right="616"/>
      </w:pPr>
      <w:r>
        <w:t xml:space="preserve">OC recommendations are soundly based on research-based best practices in plain language and information design. Along with decades of research in cognitive science and behavioral economics, we draw from a wealth of research data specific to CMS programs. We’ve been conducting consumer research with the patients, caregivers, providers and partners who interact with CMS programs for more than 20 years, and we use feedback from this research to make sure our information and products are clear and easy to use. Consumer testing is ongoing, and we iteratively refine language and design standards as our audiences and their information needs evolve. We work to apply the same research-based standards across all products and channels to make sure our language, messaging and branding are consistent.   </w:t>
      </w:r>
    </w:p>
    <w:p w:rsidR="006D12B5" w14:paraId="0F081878" w14:textId="77777777">
      <w:pPr>
        <w:spacing w:after="0" w:line="259" w:lineRule="auto"/>
        <w:ind w:left="20" w:firstLine="0"/>
      </w:pPr>
      <w:r>
        <w:t xml:space="preserve"> </w:t>
      </w:r>
    </w:p>
    <w:p w:rsidR="006D12B5" w14:paraId="449F7D79" w14:textId="77777777">
      <w:pPr>
        <w:ind w:left="15"/>
      </w:pPr>
      <w:r>
        <w:t xml:space="preserve">We also updated the non-discrimination language to include the enrollees right to file a complaint with Medicare if they feel they have been discriminated against.  </w:t>
      </w:r>
    </w:p>
    <w:p w:rsidR="006D12B5" w14:paraId="359D688B" w14:textId="77777777">
      <w:pPr>
        <w:spacing w:after="0" w:line="259" w:lineRule="auto"/>
        <w:ind w:left="20" w:firstLine="0"/>
      </w:pPr>
      <w:r>
        <w:t xml:space="preserve"> </w:t>
      </w:r>
    </w:p>
    <w:p w:rsidR="006D12B5" w14:paraId="72C07150" w14:textId="77777777">
      <w:pPr>
        <w:ind w:left="15"/>
      </w:pPr>
      <w:r>
        <w:t xml:space="preserve">The annual hourly burden associated with this collection is estimated to be 919,898 hours. The annual hourly burden in the 2020 PRA submission for this collection was 827,690 hours. The </w:t>
      </w:r>
      <w:r>
        <w:t>159,624 hour</w:t>
      </w:r>
      <w:r>
        <w:t xml:space="preserve"> increase in burden is an adjustment that is based on the increased number of </w:t>
      </w:r>
      <w:r>
        <w:t xml:space="preserve">applicable pharmacies (+2,900 pharmacies) and the increased number of standardized pharmacy notices (+5,534,648 notices) that are likely to be distributed.  </w:t>
      </w:r>
    </w:p>
    <w:p w:rsidR="006D12B5" w14:paraId="5BC7FB94" w14:textId="77777777">
      <w:pPr>
        <w:spacing w:after="5" w:line="259" w:lineRule="auto"/>
        <w:ind w:left="16" w:firstLine="0"/>
      </w:pPr>
      <w:r>
        <w:t xml:space="preserve">  </w:t>
      </w:r>
    </w:p>
    <w:p w:rsidR="006D12B5" w14:paraId="220B3DCD" w14:textId="77777777">
      <w:pPr>
        <w:numPr>
          <w:ilvl w:val="0"/>
          <w:numId w:val="6"/>
        </w:numPr>
        <w:ind w:hanging="432"/>
      </w:pPr>
      <w:r>
        <w:t xml:space="preserve">Publication/Tabulation Dates  </w:t>
      </w:r>
    </w:p>
    <w:p w:rsidR="006D12B5" w14:paraId="244E9D91" w14:textId="77777777">
      <w:pPr>
        <w:spacing w:after="0" w:line="259" w:lineRule="auto"/>
        <w:ind w:left="16" w:firstLine="0"/>
      </w:pPr>
      <w:r>
        <w:t xml:space="preserve">  </w:t>
      </w:r>
    </w:p>
    <w:p w:rsidR="006D12B5" w14:paraId="76FF9113" w14:textId="77777777">
      <w:pPr>
        <w:ind w:left="15"/>
      </w:pPr>
      <w:r>
        <w:t xml:space="preserve">CMS does not intend to publish data related to the notices.  </w:t>
      </w:r>
    </w:p>
    <w:p w:rsidR="006D12B5" w14:paraId="456D7818" w14:textId="77777777">
      <w:pPr>
        <w:spacing w:after="5" w:line="259" w:lineRule="auto"/>
        <w:ind w:left="16" w:firstLine="0"/>
      </w:pPr>
      <w:r>
        <w:t xml:space="preserve">  </w:t>
      </w:r>
    </w:p>
    <w:p w:rsidR="006D12B5" w14:paraId="13A503AB" w14:textId="77777777">
      <w:pPr>
        <w:numPr>
          <w:ilvl w:val="0"/>
          <w:numId w:val="6"/>
        </w:numPr>
        <w:ind w:hanging="432"/>
      </w:pPr>
      <w:r>
        <w:t xml:space="preserve">Expiration Date  </w:t>
      </w:r>
    </w:p>
    <w:p w:rsidR="006D12B5" w14:paraId="3C8A6D85" w14:textId="77777777">
      <w:pPr>
        <w:spacing w:after="0" w:line="259" w:lineRule="auto"/>
        <w:ind w:left="16" w:firstLine="0"/>
      </w:pPr>
      <w:r>
        <w:t xml:space="preserve">  </w:t>
      </w:r>
    </w:p>
    <w:p w:rsidR="006D12B5" w14:paraId="25985C36" w14:textId="77777777">
      <w:pPr>
        <w:ind w:left="15"/>
      </w:pPr>
      <w:r>
        <w:t xml:space="preserve">The expiration date is displayed in the bottom right-hand corner of the notice.  </w:t>
      </w:r>
    </w:p>
    <w:p w:rsidR="006D12B5" w14:paraId="611655BD" w14:textId="77777777">
      <w:pPr>
        <w:spacing w:after="5" w:line="259" w:lineRule="auto"/>
        <w:ind w:left="16" w:firstLine="0"/>
      </w:pPr>
      <w:r>
        <w:t xml:space="preserve">  </w:t>
      </w:r>
    </w:p>
    <w:p w:rsidR="006D12B5" w14:paraId="30E4107F" w14:textId="77777777">
      <w:pPr>
        <w:numPr>
          <w:ilvl w:val="0"/>
          <w:numId w:val="6"/>
        </w:numPr>
        <w:ind w:hanging="432"/>
      </w:pPr>
      <w:r>
        <w:t xml:space="preserve">Certification Statement  </w:t>
      </w:r>
    </w:p>
    <w:p w:rsidR="006D12B5" w14:paraId="3859B400" w14:textId="77777777">
      <w:pPr>
        <w:spacing w:after="0" w:line="259" w:lineRule="auto"/>
        <w:ind w:left="16" w:firstLine="0"/>
      </w:pPr>
      <w:r>
        <w:t xml:space="preserve">  </w:t>
      </w:r>
    </w:p>
    <w:p w:rsidR="006D12B5" w14:paraId="645B3200" w14:textId="77777777">
      <w:pPr>
        <w:ind w:left="15"/>
      </w:pPr>
      <w:r>
        <w:t xml:space="preserve">There are no exceptions to the certification statement.  </w:t>
      </w:r>
    </w:p>
    <w:p w:rsidR="006D12B5" w14:paraId="199A0737" w14:textId="77777777">
      <w:pPr>
        <w:spacing w:after="0" w:line="259" w:lineRule="auto"/>
        <w:ind w:left="16" w:firstLine="0"/>
      </w:pPr>
      <w:r>
        <w:t xml:space="preserve">  </w:t>
      </w:r>
    </w:p>
    <w:p w:rsidR="006D12B5" w14:paraId="45137AF5" w14:textId="77777777">
      <w:pPr>
        <w:pStyle w:val="Heading1"/>
        <w:ind w:left="-5"/>
      </w:pPr>
      <w:r>
        <w:t xml:space="preserve">B. Collection of Information Employing Statistical Methods  </w:t>
      </w:r>
    </w:p>
    <w:p w:rsidR="006D12B5" w14:paraId="1760E8C4" w14:textId="77777777">
      <w:pPr>
        <w:spacing w:after="0" w:line="259" w:lineRule="auto"/>
        <w:ind w:left="16" w:firstLine="0"/>
      </w:pPr>
      <w:r>
        <w:t xml:space="preserve">  </w:t>
      </w:r>
    </w:p>
    <w:p w:rsidR="006D12B5" w14:paraId="7BCE5FEC" w14:textId="77777777">
      <w:pPr>
        <w:ind w:left="15"/>
      </w:pPr>
      <w:r>
        <w:t xml:space="preserve">This collection does not employ statistical methods.  </w:t>
      </w:r>
    </w:p>
    <w:p w:rsidR="006D12B5" w14:paraId="3742CDD5" w14:textId="77777777">
      <w:pPr>
        <w:spacing w:after="0" w:line="259" w:lineRule="auto"/>
        <w:ind w:left="16" w:firstLine="0"/>
      </w:pPr>
      <w:r>
        <w:t xml:space="preserve">  </w:t>
      </w:r>
    </w:p>
    <w:sectPr>
      <w:footerReference w:type="even" r:id="rId5"/>
      <w:footerReference w:type="default" r:id="rId6"/>
      <w:footerReference w:type="first" r:id="rId7"/>
      <w:pgSz w:w="12240" w:h="15840"/>
      <w:pgMar w:top="1414" w:right="1504" w:bottom="1572" w:left="1424" w:header="720" w:footer="735"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12B5" w14:paraId="03361E9A" w14:textId="77777777">
    <w:pPr>
      <w:spacing w:after="7" w:line="259" w:lineRule="auto"/>
      <w:ind w:left="81"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r>
      <w:t xml:space="preserve"> </w:t>
    </w:r>
  </w:p>
  <w:p w:rsidR="006D12B5" w14:paraId="4E40B669" w14:textId="77777777">
    <w:pPr>
      <w:spacing w:after="0" w:line="259" w:lineRule="auto"/>
      <w:ind w:left="16" w:firstLine="0"/>
    </w:pPr>
    <w:r>
      <w:rPr>
        <w:rFonts w:ascii="Calibri" w:eastAsia="Calibri" w:hAnsi="Calibri" w:cs="Calibri"/>
        <w:sz w:val="22"/>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12B5" w14:paraId="373B2C8E" w14:textId="77777777">
    <w:pPr>
      <w:spacing w:after="7" w:line="259" w:lineRule="auto"/>
      <w:ind w:left="81"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r>
      <w:t xml:space="preserve"> </w:t>
    </w:r>
  </w:p>
  <w:p w:rsidR="006D12B5" w14:paraId="74290F56" w14:textId="77777777">
    <w:pPr>
      <w:spacing w:after="0" w:line="259" w:lineRule="auto"/>
      <w:ind w:left="16" w:firstLine="0"/>
    </w:pPr>
    <w:r>
      <w:rPr>
        <w:rFonts w:ascii="Calibri" w:eastAsia="Calibri" w:hAnsi="Calibri" w:cs="Calibri"/>
        <w:sz w:val="22"/>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12B5" w14:paraId="7E735D28" w14:textId="77777777">
    <w:pPr>
      <w:spacing w:after="7" w:line="259" w:lineRule="auto"/>
      <w:ind w:left="81"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r>
      <w:t xml:space="preserve"> </w:t>
    </w:r>
  </w:p>
  <w:p w:rsidR="006D12B5" w14:paraId="2AC9D05A" w14:textId="77777777">
    <w:pPr>
      <w:spacing w:after="0" w:line="259" w:lineRule="auto"/>
      <w:ind w:left="16" w:firstLine="0"/>
    </w:pPr>
    <w:r>
      <w:rPr>
        <w:rFonts w:ascii="Calibri" w:eastAsia="Calibri" w:hAnsi="Calibri" w:cs="Calibri"/>
        <w:sz w:val="22"/>
      </w:rPr>
      <w:t xml:space="preserve"> </w:t>
    </w:r>
    <w:r>
      <w:t xml:space="preserve"> </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5771C1B"/>
    <w:multiLevelType w:val="hybridMultilevel"/>
    <w:tmpl w:val="FF284090"/>
    <w:lvl w:ilvl="0">
      <w:start w:val="1"/>
      <w:numFmt w:val="bullet"/>
      <w:lvlText w:val="•"/>
      <w:lvlJc w:val="left"/>
      <w:pPr>
        <w:ind w:left="3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0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18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5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2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39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46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4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1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nsid w:val="17473ACD"/>
    <w:multiLevelType w:val="hybridMultilevel"/>
    <w:tmpl w:val="2CB21D92"/>
    <w:lvl w:ilvl="0">
      <w:start w:val="16"/>
      <w:numFmt w:val="decimal"/>
      <w:lvlText w:val="%1."/>
      <w:lvlJc w:val="left"/>
      <w:pPr>
        <w:ind w:left="4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689278DF"/>
    <w:multiLevelType w:val="hybridMultilevel"/>
    <w:tmpl w:val="A59E0B6E"/>
    <w:lvl w:ilvl="0">
      <w:start w:val="13"/>
      <w:numFmt w:val="decimal"/>
      <w:lvlText w:val="%1."/>
      <w:lvlJc w:val="left"/>
      <w:pPr>
        <w:ind w:left="4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73F71A64"/>
    <w:multiLevelType w:val="hybridMultilevel"/>
    <w:tmpl w:val="24ECF482"/>
    <w:lvl w:ilvl="0">
      <w:start w:val="8"/>
      <w:numFmt w:val="decimal"/>
      <w:lvlText w:val="%1."/>
      <w:lvlJc w:val="left"/>
      <w:pPr>
        <w:ind w:left="4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74995C58"/>
    <w:multiLevelType w:val="hybridMultilevel"/>
    <w:tmpl w:val="E3E8D394"/>
    <w:lvl w:ilvl="0">
      <w:start w:val="2"/>
      <w:numFmt w:val="decimal"/>
      <w:lvlText w:val="%1."/>
      <w:lvlJc w:val="left"/>
      <w:pPr>
        <w:ind w:left="3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75E24039"/>
    <w:multiLevelType w:val="hybridMultilevel"/>
    <w:tmpl w:val="133645B8"/>
    <w:lvl w:ilvl="0">
      <w:start w:val="1"/>
      <w:numFmt w:val="bullet"/>
      <w:lvlText w:val="•"/>
      <w:lvlJc w:val="left"/>
      <w:pPr>
        <w:ind w:left="4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0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18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5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2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39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46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4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1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376196444">
    <w:abstractNumId w:val="4"/>
  </w:num>
  <w:num w:numId="2" w16cid:durableId="1826820555">
    <w:abstractNumId w:val="5"/>
  </w:num>
  <w:num w:numId="3" w16cid:durableId="1876427278">
    <w:abstractNumId w:val="3"/>
  </w:num>
  <w:num w:numId="4" w16cid:durableId="1805997624">
    <w:abstractNumId w:val="0"/>
  </w:num>
  <w:num w:numId="5" w16cid:durableId="1280524282">
    <w:abstractNumId w:val="2"/>
  </w:num>
  <w:num w:numId="6" w16cid:durableId="7443819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12B5"/>
    <w:rsid w:val="000F0F60"/>
    <w:rsid w:val="002A75F8"/>
    <w:rsid w:val="00406C7F"/>
    <w:rsid w:val="00424D65"/>
    <w:rsid w:val="006D12B5"/>
    <w:rsid w:val="008F7811"/>
    <w:rsid w:val="00AC474D"/>
    <w:rsid w:val="00B8791E"/>
    <w:rsid w:val="00CD0BDF"/>
    <w:rsid w:val="00E728A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4C66306"/>
  <w15:docId w15:val="{F92F6FAF-76C5-44FC-8371-97FC39075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 w:line="253" w:lineRule="auto"/>
      <w:ind w:left="10"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0" w:line="259" w:lineRule="auto"/>
      <w:ind w:left="87" w:hanging="10"/>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spacing w:after="4" w:line="253" w:lineRule="auto"/>
      <w:ind w:left="10" w:hanging="10"/>
      <w:outlineLvl w:val="1"/>
    </w:pPr>
    <w:rPr>
      <w:rFonts w:ascii="Times New Roman" w:eastAsia="Times New Roman" w:hAnsi="Times New Roman" w:cs="Times New Roman"/>
      <w: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i/>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bls.gov/oes/current/oes_nat.htm" TargetMode="Externa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42</TotalTime>
  <Pages>7</Pages>
  <Words>2040</Words>
  <Characters>11632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Medicare Prescription Drug Coverage and Your Rights</vt:lpstr>
    </vt:vector>
  </TitlesOfParts>
  <Company>Center For Medicaid Services</Company>
  <LinksUpToDate>false</LinksUpToDate>
  <CharactersWithSpaces>13645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Medicare Prescription Drug Coverage and Your Rights</dc:title>
  <dc:creator>Stephan McKenzie</dc:creator>
  <cp:lastModifiedBy>McKenzie, Stephan (CMS/OSORA)</cp:lastModifiedBy>
  <cp:revision>5</cp:revision>
  <dcterms:created xsi:type="dcterms:W3CDTF">2024-10-21T12:24:00Z</dcterms:created>
  <dcterms:modified xsi:type="dcterms:W3CDTF">2024-10-30T12:28:00Z</dcterms:modified>
</cp:coreProperties>
</file>