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7697" w:rsidRPr="00C87697" w:rsidP="00C87697" w14:paraId="2F990043" w14:textId="6F9FDC35">
      <w:r w:rsidRPr="00C87697">
        <w:t>45 CFR § 147.212 - Transparency in coverage—requirements for public disclosure.</w:t>
      </w:r>
    </w:p>
    <w:p w:rsidR="00C87697" w:rsidRPr="00C87697" w:rsidP="00C87697" w14:paraId="1BABC65C" w14:textId="77777777">
      <w:pPr>
        <w:rPr>
          <w:b/>
          <w:bCs/>
        </w:rPr>
      </w:pPr>
      <w:r w:rsidRPr="00C87697">
        <w:rPr>
          <w:b/>
          <w:bCs/>
        </w:rPr>
        <w:t>§ 147.212 Transparency in coverage—requirements for public </w:t>
      </w:r>
      <w:hyperlink r:id="rId4" w:history="1">
        <w:r w:rsidRPr="00C87697">
          <w:rPr>
            <w:rStyle w:val="Hyperlink"/>
            <w:b/>
            <w:bCs/>
          </w:rPr>
          <w:t>disclosure</w:t>
        </w:r>
      </w:hyperlink>
      <w:r w:rsidRPr="00C87697">
        <w:rPr>
          <w:b/>
          <w:bCs/>
        </w:rPr>
        <w:t>.</w:t>
      </w:r>
    </w:p>
    <w:p w:rsidR="00C87697" w:rsidRPr="00C87697" w:rsidP="00C87697" w14:paraId="27E57DDB" w14:textId="77777777">
      <w:r w:rsidRPr="00C87697">
        <w:rPr>
          <w:b/>
          <w:bCs/>
        </w:rPr>
        <w:t>(a)</w:t>
      </w:r>
      <w:r w:rsidRPr="00C87697">
        <w:t> </w:t>
      </w:r>
      <w:r w:rsidRPr="00C87697">
        <w:rPr>
          <w:b/>
          <w:bCs/>
          <w:i/>
          <w:iCs/>
        </w:rPr>
        <w:t>Scope and definitions</w:t>
      </w:r>
      <w:r w:rsidRPr="00C87697">
        <w:t>—(</w:t>
      </w:r>
      <w:r w:rsidRPr="00C87697">
        <w:t>1) </w:t>
      </w:r>
      <w:r w:rsidRPr="00C87697">
        <w:rPr>
          <w:i/>
          <w:iCs/>
        </w:rPr>
        <w:t>Scope.</w:t>
      </w:r>
      <w:r w:rsidRPr="00C87697">
        <w:t> This section establishes price transparency requirements for group health </w:t>
      </w:r>
      <w:hyperlink r:id="rId5" w:history="1">
        <w:r w:rsidRPr="00C87697">
          <w:rPr>
            <w:rStyle w:val="Hyperlink"/>
          </w:rPr>
          <w:t>plans</w:t>
        </w:r>
      </w:hyperlink>
      <w:r w:rsidRPr="00C87697">
        <w:t> and </w:t>
      </w:r>
      <w:hyperlink r:id="rId6" w:history="1">
        <w:r w:rsidRPr="00C87697">
          <w:rPr>
            <w:rStyle w:val="Hyperlink"/>
          </w:rPr>
          <w:t>health insurance issuers</w:t>
        </w:r>
      </w:hyperlink>
      <w:r w:rsidRPr="00C87697">
        <w:t> in the individual and </w:t>
      </w:r>
      <w:hyperlink r:id="rId7" w:history="1">
        <w:r w:rsidRPr="00C87697">
          <w:rPr>
            <w:rStyle w:val="Hyperlink"/>
          </w:rPr>
          <w:t>group markets</w:t>
        </w:r>
      </w:hyperlink>
      <w:r w:rsidRPr="00C87697">
        <w:t> for the timely </w:t>
      </w:r>
      <w:hyperlink r:id="rId4" w:history="1">
        <w:r w:rsidRPr="00C87697">
          <w:rPr>
            <w:rStyle w:val="Hyperlink"/>
          </w:rPr>
          <w:t>disclosure</w:t>
        </w:r>
      </w:hyperlink>
      <w:r w:rsidRPr="00C87697">
        <w:t> of information about costs related to covered items and services under a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8" w:history="1">
        <w:r w:rsidRPr="00C87697">
          <w:rPr>
            <w:rStyle w:val="Hyperlink"/>
          </w:rPr>
          <w:t>health insurance coverage</w:t>
        </w:r>
      </w:hyperlink>
      <w:r w:rsidRPr="00C87697">
        <w:t>.</w:t>
      </w:r>
    </w:p>
    <w:p w:rsidR="00C87697" w:rsidRPr="00C87697" w:rsidP="00C87697" w14:paraId="2A1A0A82" w14:textId="77777777">
      <w:r w:rsidRPr="00C87697">
        <w:rPr>
          <w:b/>
          <w:bCs/>
        </w:rPr>
        <w:t>(2)</w:t>
      </w:r>
      <w:r w:rsidRPr="00C87697">
        <w:t> </w:t>
      </w:r>
      <w:r w:rsidRPr="00C87697">
        <w:rPr>
          <w:b/>
          <w:bCs/>
          <w:i/>
          <w:iCs/>
        </w:rPr>
        <w:t>Definitions.</w:t>
      </w:r>
      <w:r w:rsidRPr="00C87697">
        <w:t> For purposes of this section, the definitions in </w:t>
      </w:r>
      <w:hyperlink r:id="rId9" w:history="1">
        <w:r w:rsidRPr="00C87697">
          <w:rPr>
            <w:rStyle w:val="Hyperlink"/>
          </w:rPr>
          <w:t>§ 147.210</w:t>
        </w:r>
      </w:hyperlink>
      <w:r w:rsidRPr="00C87697">
        <w:t> apply.</w:t>
      </w:r>
    </w:p>
    <w:p w:rsidR="00C87697" w:rsidRPr="00C87697" w:rsidP="00C87697" w14:paraId="4411EFCC" w14:textId="77777777">
      <w:r w:rsidRPr="00C87697">
        <w:rPr>
          <w:b/>
          <w:bCs/>
        </w:rPr>
        <w:t>(b)</w:t>
      </w:r>
      <w:r w:rsidRPr="00C87697">
        <w:t> </w:t>
      </w:r>
      <w:r w:rsidRPr="00C87697">
        <w:rPr>
          <w:b/>
          <w:bCs/>
          <w:i/>
          <w:iCs/>
        </w:rPr>
        <w:t xml:space="preserve">Requirements for public disclosure of in-network provider rates for covered items and services, out-of-network allowed amounts and billed charges for covered items and </w:t>
      </w:r>
      <w:r w:rsidRPr="00C87697">
        <w:rPr>
          <w:b/>
          <w:bCs/>
          <w:i/>
          <w:iCs/>
        </w:rPr>
        <w:t>services, and</w:t>
      </w:r>
      <w:r w:rsidRPr="00C87697">
        <w:rPr>
          <w:b/>
          <w:bCs/>
          <w:i/>
          <w:iCs/>
        </w:rPr>
        <w:t xml:space="preserve"> negotiated rates and historical net prices for covered prescription drugs.</w:t>
      </w:r>
      <w:r w:rsidRPr="00C87697">
        <w:t> 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must make available on an internet website the information required under </w:t>
      </w:r>
      <w:hyperlink r:id="rId10" w:anchor="b_1" w:history="1">
        <w:r w:rsidRPr="00C87697">
          <w:rPr>
            <w:rStyle w:val="Hyperlink"/>
          </w:rPr>
          <w:t>paragraph (b)(1)</w:t>
        </w:r>
      </w:hyperlink>
      <w:r w:rsidRPr="00C87697">
        <w:t> of this section in three machine-readable files, in accordance with the method and format requirements described in </w:t>
      </w:r>
      <w:hyperlink r:id="rId10" w:anchor="b_2" w:history="1">
        <w:r w:rsidRPr="00C87697">
          <w:rPr>
            <w:rStyle w:val="Hyperlink"/>
          </w:rPr>
          <w:t>paragraph (b)(2)</w:t>
        </w:r>
      </w:hyperlink>
      <w:r w:rsidRPr="00C87697">
        <w:t> of this section, and that are updated as required under </w:t>
      </w:r>
      <w:hyperlink r:id="rId10" w:anchor="b_3" w:history="1">
        <w:r w:rsidRPr="00C87697">
          <w:rPr>
            <w:rStyle w:val="Hyperlink"/>
          </w:rPr>
          <w:t>paragraph (b)(3)</w:t>
        </w:r>
      </w:hyperlink>
      <w:r w:rsidRPr="00C87697">
        <w:t> of this section.</w:t>
      </w:r>
    </w:p>
    <w:p w:rsidR="00C87697" w:rsidRPr="00C87697" w:rsidP="00C87697" w14:paraId="7F294564" w14:textId="77777777">
      <w:r w:rsidRPr="00C87697">
        <w:rPr>
          <w:b/>
          <w:bCs/>
        </w:rPr>
        <w:t>(1)</w:t>
      </w:r>
      <w:r w:rsidRPr="00C87697">
        <w:t> </w:t>
      </w:r>
      <w:r w:rsidRPr="00C87697">
        <w:rPr>
          <w:b/>
          <w:bCs/>
          <w:i/>
          <w:iCs/>
        </w:rPr>
        <w:t>Required information.</w:t>
      </w:r>
      <w:r w:rsidRPr="00C87697">
        <w:t> </w:t>
      </w:r>
      <w:hyperlink r:id="rId11" w:history="1">
        <w:r w:rsidRPr="00C87697">
          <w:rPr>
            <w:rStyle w:val="Hyperlink"/>
          </w:rPr>
          <w:t>Machine-readable files</w:t>
        </w:r>
      </w:hyperlink>
      <w:r w:rsidRPr="00C87697">
        <w:t> required under this paragraph (b) that are made available to the public by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must include:</w:t>
      </w:r>
    </w:p>
    <w:p w:rsidR="00C87697" w:rsidRPr="00C87697" w:rsidP="00C87697" w14:paraId="6D57F6D3" w14:textId="77777777">
      <w:r w:rsidRPr="00C87697">
        <w:rPr>
          <w:b/>
          <w:bCs/>
        </w:rPr>
        <w:t>(</w:t>
      </w:r>
      <w:r w:rsidRPr="00C87697">
        <w:rPr>
          <w:b/>
          <w:bCs/>
        </w:rPr>
        <w:t>i</w:t>
      </w:r>
      <w:r w:rsidRPr="00C87697">
        <w:rPr>
          <w:b/>
          <w:bCs/>
        </w:rPr>
        <w:t>)</w:t>
      </w:r>
      <w:r w:rsidRPr="00C87697">
        <w:t> An in-network rate </w:t>
      </w:r>
      <w:hyperlink r:id="rId11" w:history="1">
        <w:r w:rsidRPr="00C87697">
          <w:rPr>
            <w:rStyle w:val="Hyperlink"/>
          </w:rPr>
          <w:t>machine-readable file</w:t>
        </w:r>
      </w:hyperlink>
      <w:r w:rsidRPr="00C87697">
        <w:t> that includes the required information under this paragraph (b)(1)(</w:t>
      </w:r>
      <w:r w:rsidRPr="00C87697">
        <w:t>i</w:t>
      </w:r>
      <w:r w:rsidRPr="00C87697">
        <w:t>) for all covered items and services, except for prescription drugs that are subject to a fee-for-service reimbursement arrangement, which must be reported in the prescription drug </w:t>
      </w:r>
      <w:hyperlink r:id="rId11" w:history="1">
        <w:r w:rsidRPr="00C87697">
          <w:rPr>
            <w:rStyle w:val="Hyperlink"/>
          </w:rPr>
          <w:t>machine-readable file</w:t>
        </w:r>
      </w:hyperlink>
      <w:r w:rsidRPr="00C87697">
        <w:t> pursuant to </w:t>
      </w:r>
      <w:hyperlink r:id="rId10" w:anchor="b_1_iii" w:history="1">
        <w:r w:rsidRPr="00C87697">
          <w:rPr>
            <w:rStyle w:val="Hyperlink"/>
          </w:rPr>
          <w:t>paragraph (b)(1)(iii)</w:t>
        </w:r>
      </w:hyperlink>
      <w:r w:rsidRPr="00C87697">
        <w:t> of this section. The in-network rate </w:t>
      </w:r>
      <w:hyperlink r:id="rId11" w:history="1">
        <w:r w:rsidRPr="00C87697">
          <w:rPr>
            <w:rStyle w:val="Hyperlink"/>
          </w:rPr>
          <w:t>machine-readable file</w:t>
        </w:r>
      </w:hyperlink>
      <w:r w:rsidRPr="00C87697">
        <w:t> must include:</w:t>
      </w:r>
    </w:p>
    <w:p w:rsidR="00C87697" w:rsidRPr="00C87697" w:rsidP="00C87697" w14:paraId="62A4F343" w14:textId="77777777">
      <w:r w:rsidRPr="00C87697">
        <w:rPr>
          <w:b/>
          <w:bCs/>
        </w:rPr>
        <w:t>(A)</w:t>
      </w:r>
      <w:r w:rsidRPr="00C87697">
        <w:t> For each coverage option offered by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, the name and the 14-digit Health Insurance Oversight System (HIOS) identifier, or, if the 14-digit HIOS identifier is not available, the 5-digit HIOS identifier, or if no HIOS identifier is available, the Employer Identification Number (EIN);</w:t>
      </w:r>
    </w:p>
    <w:p w:rsidR="00C87697" w:rsidRPr="00C87697" w:rsidP="00C87697" w14:paraId="6D153FDB" w14:textId="77777777">
      <w:r w:rsidRPr="00C87697">
        <w:rPr>
          <w:b/>
          <w:bCs/>
        </w:rPr>
        <w:t>(B)</w:t>
      </w:r>
      <w:r w:rsidRPr="00C87697">
        <w:t> A </w:t>
      </w:r>
      <w:hyperlink r:id="rId12" w:history="1">
        <w:r w:rsidRPr="00C87697">
          <w:rPr>
            <w:rStyle w:val="Hyperlink"/>
          </w:rPr>
          <w:t>billing code</w:t>
        </w:r>
      </w:hyperlink>
      <w:r w:rsidRPr="00C87697">
        <w:t>, which in the case of prescription drugs must be an NDC, and a plain language description for each </w:t>
      </w:r>
      <w:hyperlink r:id="rId12" w:history="1">
        <w:r w:rsidRPr="00C87697">
          <w:rPr>
            <w:rStyle w:val="Hyperlink"/>
          </w:rPr>
          <w:t>billing code</w:t>
        </w:r>
      </w:hyperlink>
      <w:r w:rsidRPr="00C87697">
        <w:t> for each covered item or service under each coverage option offered by a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; and</w:t>
      </w:r>
    </w:p>
    <w:p w:rsidR="00C87697" w:rsidRPr="00C87697" w:rsidP="00C87697" w14:paraId="633FB1B0" w14:textId="77777777">
      <w:r w:rsidRPr="00C87697">
        <w:rPr>
          <w:b/>
          <w:bCs/>
        </w:rPr>
        <w:t>(C)</w:t>
      </w:r>
      <w:r w:rsidRPr="00C87697">
        <w:t> All applicable rates, which may include one or more of the following: Negotiated rates, underlying fee schedule rates, or derived amounts. If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does not use negotiated rates for provider reimbursement, then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should disclose derived amounts to the extent these amounts are already calculated in the normal course of business. If the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uses underlying fee schedule rates for calculating cost sharing, then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should include the underlying fee schedule rates in addition to the </w:t>
      </w:r>
      <w:hyperlink r:id="rId14" w:history="1">
        <w:r w:rsidRPr="00C87697">
          <w:rPr>
            <w:rStyle w:val="Hyperlink"/>
          </w:rPr>
          <w:t>negotiated rate</w:t>
        </w:r>
      </w:hyperlink>
      <w:r w:rsidRPr="00C87697">
        <w:t> or derived amount. Applicable rates, including for both individual items and services and items and services in a bundled payment arrangement, must be:</w:t>
      </w:r>
    </w:p>
    <w:p w:rsidR="00C87697" w:rsidRPr="00C87697" w:rsidP="00C87697" w14:paraId="1D9093F7" w14:textId="77777777">
      <w:r w:rsidRPr="00C87697">
        <w:rPr>
          <w:b/>
          <w:bCs/>
          <w:i/>
          <w:iCs/>
        </w:rPr>
        <w:t>(1)</w:t>
      </w:r>
      <w:r w:rsidRPr="00C87697">
        <w:t> Reflected as dollar amounts, with respect to each covered item or service that is furnished by an </w:t>
      </w:r>
      <w:hyperlink r:id="rId15" w:history="1">
        <w:r w:rsidRPr="00C87697">
          <w:rPr>
            <w:rStyle w:val="Hyperlink"/>
          </w:rPr>
          <w:t>in-network provider</w:t>
        </w:r>
      </w:hyperlink>
      <w:r w:rsidRPr="00C87697">
        <w:t>. If the </w:t>
      </w:r>
      <w:hyperlink r:id="rId14" w:history="1">
        <w:r w:rsidRPr="00C87697">
          <w:rPr>
            <w:rStyle w:val="Hyperlink"/>
          </w:rPr>
          <w:t>negotiated rate</w:t>
        </w:r>
      </w:hyperlink>
      <w:r w:rsidRPr="00C87697">
        <w:t> is subject to change based upon </w:t>
      </w:r>
      <w:hyperlink r:id="rId16" w:history="1">
        <w:r w:rsidRPr="00C87697">
          <w:rPr>
            <w:rStyle w:val="Hyperlink"/>
          </w:rPr>
          <w:t>participant</w:t>
        </w:r>
      </w:hyperlink>
      <w:r w:rsidRPr="00C87697">
        <w:t>, beneficiary, or enrollee-specific characteristics, these dollar amounts should be reflected as the base </w:t>
      </w:r>
      <w:hyperlink r:id="rId14" w:history="1">
        <w:r w:rsidRPr="00C87697">
          <w:rPr>
            <w:rStyle w:val="Hyperlink"/>
          </w:rPr>
          <w:t xml:space="preserve">negotiated </w:t>
        </w:r>
        <w:r w:rsidRPr="00C87697">
          <w:rPr>
            <w:rStyle w:val="Hyperlink"/>
          </w:rPr>
          <w:t>rate</w:t>
        </w:r>
      </w:hyperlink>
      <w:r w:rsidRPr="00C87697">
        <w:t> applicable to the item or service prior to adjustments for </w:t>
      </w:r>
      <w:hyperlink r:id="rId16" w:history="1">
        <w:r w:rsidRPr="00C87697">
          <w:rPr>
            <w:rStyle w:val="Hyperlink"/>
          </w:rPr>
          <w:t>participant</w:t>
        </w:r>
      </w:hyperlink>
      <w:r w:rsidRPr="00C87697">
        <w:t>, beneficiary, or enrollee-specific characteristics;</w:t>
      </w:r>
    </w:p>
    <w:p w:rsidR="00C87697" w:rsidRPr="00C87697" w:rsidP="00C87697" w14:paraId="4E893B34" w14:textId="77777777">
      <w:r w:rsidRPr="00C87697">
        <w:rPr>
          <w:b/>
          <w:bCs/>
          <w:i/>
          <w:iCs/>
        </w:rPr>
        <w:t>(2)</w:t>
      </w:r>
      <w:r w:rsidRPr="00C87697">
        <w:t> Associated with the National Provider Identifier (NPI), Tax Identification Number (TIN), and Place of Service Code for each </w:t>
      </w:r>
      <w:hyperlink r:id="rId15" w:history="1">
        <w:r w:rsidRPr="00C87697">
          <w:rPr>
            <w:rStyle w:val="Hyperlink"/>
          </w:rPr>
          <w:t>in-network provider</w:t>
        </w:r>
      </w:hyperlink>
      <w:r w:rsidRPr="00C87697">
        <w:t>;</w:t>
      </w:r>
    </w:p>
    <w:p w:rsidR="00C87697" w:rsidRPr="00C87697" w:rsidP="00C87697" w14:paraId="01B116E1" w14:textId="77777777">
      <w:r w:rsidRPr="00C87697">
        <w:rPr>
          <w:b/>
          <w:bCs/>
          <w:i/>
          <w:iCs/>
        </w:rPr>
        <w:t>(3)</w:t>
      </w:r>
      <w:r w:rsidRPr="00C87697">
        <w:t> Associated with the last date of the contract term or expiration date for each provider-specific applicable rate that applies to each covered item or service; and</w:t>
      </w:r>
    </w:p>
    <w:p w:rsidR="00C87697" w:rsidRPr="00C87697" w:rsidP="00C87697" w14:paraId="01C7792E" w14:textId="77777777">
      <w:r w:rsidRPr="00C87697">
        <w:rPr>
          <w:b/>
          <w:bCs/>
          <w:i/>
          <w:iCs/>
        </w:rPr>
        <w:t>(4)</w:t>
      </w:r>
      <w:r w:rsidRPr="00C87697">
        <w:t> Indicated with a notation where a reimbursement arrangement other than a standard fee-for-service model (such as capitation or a bundled payment arrangement) applies.</w:t>
      </w:r>
    </w:p>
    <w:p w:rsidR="00C87697" w:rsidRPr="00C87697" w:rsidP="00C87697" w14:paraId="5C80791B" w14:textId="77777777">
      <w:r w:rsidRPr="00C87697">
        <w:rPr>
          <w:b/>
          <w:bCs/>
        </w:rPr>
        <w:t>(ii)</w:t>
      </w:r>
      <w:r w:rsidRPr="00C87697">
        <w:t> An </w:t>
      </w:r>
      <w:hyperlink r:id="rId17" w:history="1">
        <w:r w:rsidRPr="00C87697">
          <w:rPr>
            <w:rStyle w:val="Hyperlink"/>
          </w:rPr>
          <w:t>out-of-network allowed amount</w:t>
        </w:r>
      </w:hyperlink>
      <w:r w:rsidRPr="00C87697">
        <w:t> </w:t>
      </w:r>
      <w:hyperlink r:id="rId11" w:history="1">
        <w:r w:rsidRPr="00C87697">
          <w:rPr>
            <w:rStyle w:val="Hyperlink"/>
          </w:rPr>
          <w:t>machine-readable file</w:t>
        </w:r>
      </w:hyperlink>
      <w:r w:rsidRPr="00C87697">
        <w:t>, including:</w:t>
      </w:r>
    </w:p>
    <w:p w:rsidR="00C87697" w:rsidRPr="00C87697" w:rsidP="00C87697" w14:paraId="47B2F5C4" w14:textId="77777777">
      <w:r w:rsidRPr="00C87697">
        <w:rPr>
          <w:b/>
          <w:bCs/>
        </w:rPr>
        <w:t>(A)</w:t>
      </w:r>
      <w:r w:rsidRPr="00C87697">
        <w:t> For each coverage option offered by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, the name and the 14-digit HIOS identifier, or, if the 14-digit HIOS identifier is not available, the 5-digit HIOS identifier, or, if no HIOS identifier is available, the EIN;</w:t>
      </w:r>
    </w:p>
    <w:p w:rsidR="00C87697" w:rsidRPr="00C87697" w:rsidP="00C87697" w14:paraId="378B4728" w14:textId="77777777">
      <w:r w:rsidRPr="00C87697">
        <w:rPr>
          <w:b/>
          <w:bCs/>
        </w:rPr>
        <w:t>(B)</w:t>
      </w:r>
      <w:r w:rsidRPr="00C87697">
        <w:t> A </w:t>
      </w:r>
      <w:hyperlink r:id="rId12" w:history="1">
        <w:r w:rsidRPr="00C87697">
          <w:rPr>
            <w:rStyle w:val="Hyperlink"/>
          </w:rPr>
          <w:t>billing code</w:t>
        </w:r>
      </w:hyperlink>
      <w:r w:rsidRPr="00C87697">
        <w:t>, which in the case of prescription drugs must be an NDC, and a plain language description for each </w:t>
      </w:r>
      <w:hyperlink r:id="rId12" w:history="1">
        <w:r w:rsidRPr="00C87697">
          <w:rPr>
            <w:rStyle w:val="Hyperlink"/>
          </w:rPr>
          <w:t>billing code</w:t>
        </w:r>
      </w:hyperlink>
      <w:r w:rsidRPr="00C87697">
        <w:t> for each covered item or service under each coverage option offered by a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; and</w:t>
      </w:r>
    </w:p>
    <w:p w:rsidR="00C87697" w:rsidRPr="00C87697" w:rsidP="00C87697" w14:paraId="75359308" w14:textId="77777777">
      <w:r w:rsidRPr="00C87697">
        <w:rPr>
          <w:b/>
          <w:bCs/>
        </w:rPr>
        <w:t>(C)</w:t>
      </w:r>
      <w:r w:rsidRPr="00C87697">
        <w:t> Unique out-of-network allowed amounts and billed charges with respect to covered items or services furnished by </w:t>
      </w:r>
      <w:hyperlink r:id="rId18" w:history="1">
        <w:r w:rsidRPr="00C87697">
          <w:rPr>
            <w:rStyle w:val="Hyperlink"/>
          </w:rPr>
          <w:t>out-of-network providers</w:t>
        </w:r>
      </w:hyperlink>
      <w:r w:rsidRPr="00C87697">
        <w:t> during the 90-day time period that begins 180 days prior to the publication date of the </w:t>
      </w:r>
      <w:hyperlink r:id="rId11" w:history="1">
        <w:r w:rsidRPr="00C87697">
          <w:rPr>
            <w:rStyle w:val="Hyperlink"/>
          </w:rPr>
          <w:t>machine-readable file</w:t>
        </w:r>
      </w:hyperlink>
      <w:r w:rsidRPr="00C87697">
        <w:t> (except that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must omit such data in relation to a particular item or service and provider when compliance with this paragraph (b)(1)(ii)(C) would require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to report payment of out-of-network allowed amounts in connection with fewer than 20 different claims for payments under a single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 coverage). Consistent with </w:t>
      </w:r>
      <w:hyperlink r:id="rId10" w:anchor="c_3" w:history="1">
        <w:r w:rsidRPr="00C87697">
          <w:rPr>
            <w:rStyle w:val="Hyperlink"/>
          </w:rPr>
          <w:t>paragraph (c)(3)</w:t>
        </w:r>
      </w:hyperlink>
      <w:r w:rsidRPr="00C87697">
        <w:t> of this section, nothing in this paragraph (b)(1)(ii)(C) requires the </w:t>
      </w:r>
      <w:hyperlink r:id="rId4" w:history="1">
        <w:r w:rsidRPr="00C87697">
          <w:rPr>
            <w:rStyle w:val="Hyperlink"/>
          </w:rPr>
          <w:t>disclosure</w:t>
        </w:r>
      </w:hyperlink>
      <w:r w:rsidRPr="00C87697">
        <w:t> of information that would violate any applicable health information privacy law. Each unique </w:t>
      </w:r>
      <w:hyperlink r:id="rId17" w:history="1">
        <w:r w:rsidRPr="00C87697">
          <w:rPr>
            <w:rStyle w:val="Hyperlink"/>
          </w:rPr>
          <w:t>out-of-network allowed amount</w:t>
        </w:r>
      </w:hyperlink>
      <w:r w:rsidRPr="00C87697">
        <w:t> must be:</w:t>
      </w:r>
    </w:p>
    <w:p w:rsidR="00C87697" w:rsidRPr="00C87697" w:rsidP="00C87697" w14:paraId="2356A161" w14:textId="77777777">
      <w:r w:rsidRPr="00C87697">
        <w:rPr>
          <w:b/>
          <w:bCs/>
          <w:i/>
          <w:iCs/>
        </w:rPr>
        <w:t>(1)</w:t>
      </w:r>
      <w:r w:rsidRPr="00C87697">
        <w:t> Reflected as a dollar amount, with respect to each covered item or service that is furnished by an </w:t>
      </w:r>
      <w:hyperlink r:id="rId18" w:history="1">
        <w:r w:rsidRPr="00C87697">
          <w:rPr>
            <w:rStyle w:val="Hyperlink"/>
          </w:rPr>
          <w:t>out-of-network provider</w:t>
        </w:r>
      </w:hyperlink>
      <w:r w:rsidRPr="00C87697">
        <w:t>; and</w:t>
      </w:r>
    </w:p>
    <w:p w:rsidR="00C87697" w:rsidRPr="00C87697" w:rsidP="00C87697" w14:paraId="4D79C94C" w14:textId="77777777">
      <w:r w:rsidRPr="00C87697">
        <w:rPr>
          <w:b/>
          <w:bCs/>
          <w:i/>
          <w:iCs/>
        </w:rPr>
        <w:t>(2)</w:t>
      </w:r>
      <w:r w:rsidRPr="00C87697">
        <w:t> Associated with the NPI, TIN, and Place of Service Code for each </w:t>
      </w:r>
      <w:hyperlink r:id="rId18" w:history="1">
        <w:r w:rsidRPr="00C87697">
          <w:rPr>
            <w:rStyle w:val="Hyperlink"/>
          </w:rPr>
          <w:t>out-of-network provider</w:t>
        </w:r>
      </w:hyperlink>
      <w:r w:rsidRPr="00C87697">
        <w:t>.</w:t>
      </w:r>
    </w:p>
    <w:p w:rsidR="00C87697" w:rsidRPr="00C87697" w:rsidP="00C87697" w14:paraId="542C5840" w14:textId="77777777">
      <w:r w:rsidRPr="00C87697">
        <w:rPr>
          <w:b/>
          <w:bCs/>
        </w:rPr>
        <w:t>(iii)</w:t>
      </w:r>
      <w:r w:rsidRPr="00C87697">
        <w:t> A prescription drug </w:t>
      </w:r>
      <w:hyperlink r:id="rId11" w:history="1">
        <w:r w:rsidRPr="00C87697">
          <w:rPr>
            <w:rStyle w:val="Hyperlink"/>
          </w:rPr>
          <w:t>machine-readable file</w:t>
        </w:r>
      </w:hyperlink>
      <w:r w:rsidRPr="00C87697">
        <w:t>, including:</w:t>
      </w:r>
    </w:p>
    <w:p w:rsidR="00C87697" w:rsidRPr="00C87697" w:rsidP="00C87697" w14:paraId="444281D1" w14:textId="77777777">
      <w:r w:rsidRPr="00C87697">
        <w:rPr>
          <w:b/>
          <w:bCs/>
        </w:rPr>
        <w:t>(A)</w:t>
      </w:r>
      <w:r w:rsidRPr="00C87697">
        <w:t> For each coverage option offered by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, the name and the 14-digit HIOS identifier, or, if the 14-digit HIOS identifier is not available, the 5-digit HIOS identifier, or, if no HIOS identifier is available, the EIN;</w:t>
      </w:r>
    </w:p>
    <w:p w:rsidR="00C87697" w:rsidRPr="00C87697" w:rsidP="00C87697" w14:paraId="467AFE5A" w14:textId="77777777">
      <w:r w:rsidRPr="00C87697">
        <w:rPr>
          <w:b/>
          <w:bCs/>
        </w:rPr>
        <w:t>(B)</w:t>
      </w:r>
      <w:r w:rsidRPr="00C87697">
        <w:t> The NDC, and the proprietary and nonproprietary name assigned to the NDC by the Food and Drug Administration (FDA), for each covered item or service that is a prescription drug under each coverage option offered by a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;</w:t>
      </w:r>
    </w:p>
    <w:p w:rsidR="00C87697" w:rsidRPr="00C87697" w:rsidP="00C87697" w14:paraId="777C8AD9" w14:textId="77777777">
      <w:r w:rsidRPr="00C87697">
        <w:rPr>
          <w:b/>
          <w:bCs/>
        </w:rPr>
        <w:t>(C)</w:t>
      </w:r>
      <w:r w:rsidRPr="00C87697">
        <w:t> The negotiated rates which must be:</w:t>
      </w:r>
    </w:p>
    <w:p w:rsidR="00C87697" w:rsidRPr="00C87697" w:rsidP="00C87697" w14:paraId="7FE7A3F5" w14:textId="77777777">
      <w:r w:rsidRPr="00C87697">
        <w:rPr>
          <w:b/>
          <w:bCs/>
          <w:i/>
          <w:iCs/>
        </w:rPr>
        <w:t>(1)</w:t>
      </w:r>
      <w:r w:rsidRPr="00C87697">
        <w:t> Reflected as a dollar amount, with respect to each NDC that is furnished by an </w:t>
      </w:r>
      <w:hyperlink r:id="rId15" w:history="1">
        <w:r w:rsidRPr="00C87697">
          <w:rPr>
            <w:rStyle w:val="Hyperlink"/>
          </w:rPr>
          <w:t>in-network provider</w:t>
        </w:r>
      </w:hyperlink>
      <w:r w:rsidRPr="00C87697">
        <w:t>, including an in-network pharmacy or other prescription drug dispenser;</w:t>
      </w:r>
    </w:p>
    <w:p w:rsidR="00C87697" w:rsidRPr="00C87697" w:rsidP="00C87697" w14:paraId="7489FB64" w14:textId="77777777">
      <w:r w:rsidRPr="00C87697">
        <w:rPr>
          <w:b/>
          <w:bCs/>
          <w:i/>
          <w:iCs/>
        </w:rPr>
        <w:t>(2)</w:t>
      </w:r>
      <w:r w:rsidRPr="00C87697">
        <w:t> Associated with the NPI, TIN, and Place of Service Code for each </w:t>
      </w:r>
      <w:hyperlink r:id="rId15" w:history="1">
        <w:r w:rsidRPr="00C87697">
          <w:rPr>
            <w:rStyle w:val="Hyperlink"/>
          </w:rPr>
          <w:t>in-network provider</w:t>
        </w:r>
      </w:hyperlink>
      <w:r w:rsidRPr="00C87697">
        <w:t>, including each in-network pharmacy or other prescription drug dispenser; and</w:t>
      </w:r>
    </w:p>
    <w:p w:rsidR="00C87697" w:rsidRPr="00C87697" w:rsidP="00C87697" w14:paraId="6C7E223D" w14:textId="77777777">
      <w:r w:rsidRPr="00C87697">
        <w:rPr>
          <w:b/>
          <w:bCs/>
          <w:i/>
          <w:iCs/>
        </w:rPr>
        <w:t>(3)</w:t>
      </w:r>
      <w:r w:rsidRPr="00C87697">
        <w:t> Associated with the last date of the contract term for each provider-specific </w:t>
      </w:r>
      <w:hyperlink r:id="rId14" w:history="1">
        <w:r w:rsidRPr="00C87697">
          <w:rPr>
            <w:rStyle w:val="Hyperlink"/>
          </w:rPr>
          <w:t>negotiated rate</w:t>
        </w:r>
      </w:hyperlink>
      <w:r w:rsidRPr="00C87697">
        <w:t> that applies to each NDC; and</w:t>
      </w:r>
    </w:p>
    <w:p w:rsidR="00C87697" w:rsidRPr="00C87697" w:rsidP="00C87697" w14:paraId="3DF46231" w14:textId="77777777">
      <w:r w:rsidRPr="00C87697">
        <w:rPr>
          <w:b/>
          <w:bCs/>
        </w:rPr>
        <w:t>(D)</w:t>
      </w:r>
      <w:r w:rsidRPr="00C87697">
        <w:t> </w:t>
      </w:r>
      <w:hyperlink r:id="rId19" w:history="1">
        <w:r w:rsidRPr="00C87697">
          <w:rPr>
            <w:rStyle w:val="Hyperlink"/>
          </w:rPr>
          <w:t>Historical net prices</w:t>
        </w:r>
      </w:hyperlink>
      <w:r w:rsidRPr="00C87697">
        <w:t> that are:</w:t>
      </w:r>
    </w:p>
    <w:p w:rsidR="00C87697" w:rsidRPr="00C87697" w:rsidP="00C87697" w14:paraId="6367B828" w14:textId="77777777">
      <w:r w:rsidRPr="00C87697">
        <w:rPr>
          <w:b/>
          <w:bCs/>
          <w:i/>
          <w:iCs/>
        </w:rPr>
        <w:t>(1)</w:t>
      </w:r>
      <w:r w:rsidRPr="00C87697">
        <w:t> Reflected as a dollar amount, with respect to each NDC that is furnished by an </w:t>
      </w:r>
      <w:hyperlink r:id="rId15" w:history="1">
        <w:r w:rsidRPr="00C87697">
          <w:rPr>
            <w:rStyle w:val="Hyperlink"/>
          </w:rPr>
          <w:t>in-network provider</w:t>
        </w:r>
      </w:hyperlink>
      <w:r w:rsidRPr="00C87697">
        <w:t>, including an in-network pharmacy or other prescription drug dispenser;</w:t>
      </w:r>
    </w:p>
    <w:p w:rsidR="00C87697" w:rsidRPr="00C87697" w:rsidP="00C87697" w14:paraId="1D10C5E1" w14:textId="77777777">
      <w:r w:rsidRPr="00C87697">
        <w:rPr>
          <w:b/>
          <w:bCs/>
          <w:i/>
          <w:iCs/>
        </w:rPr>
        <w:t>(2)</w:t>
      </w:r>
      <w:r w:rsidRPr="00C87697">
        <w:t> Associated with the NPI, TIN, and Place of Service Code for each </w:t>
      </w:r>
      <w:hyperlink r:id="rId15" w:history="1">
        <w:r w:rsidRPr="00C87697">
          <w:rPr>
            <w:rStyle w:val="Hyperlink"/>
          </w:rPr>
          <w:t>in-network provider</w:t>
        </w:r>
      </w:hyperlink>
      <w:r w:rsidRPr="00C87697">
        <w:t>, including each in-network pharmacy or other prescription drug dispenser; and</w:t>
      </w:r>
    </w:p>
    <w:p w:rsidR="00C87697" w:rsidRPr="00C87697" w:rsidP="00C87697" w14:paraId="2783F912" w14:textId="77777777">
      <w:r w:rsidRPr="00C87697">
        <w:rPr>
          <w:b/>
          <w:bCs/>
          <w:i/>
          <w:iCs/>
        </w:rPr>
        <w:t>(3)</w:t>
      </w:r>
      <w:r w:rsidRPr="00C87697">
        <w:t> Associated with the 90-day time period that begins 180 days prior to the publication date of the </w:t>
      </w:r>
      <w:hyperlink r:id="rId11" w:history="1">
        <w:r w:rsidRPr="00C87697">
          <w:rPr>
            <w:rStyle w:val="Hyperlink"/>
          </w:rPr>
          <w:t>machine-readable file</w:t>
        </w:r>
      </w:hyperlink>
      <w:r w:rsidRPr="00C87697">
        <w:t> for each provider-specific </w:t>
      </w:r>
      <w:hyperlink r:id="rId19" w:history="1">
        <w:r w:rsidRPr="00C87697">
          <w:rPr>
            <w:rStyle w:val="Hyperlink"/>
          </w:rPr>
          <w:t>historical net price</w:t>
        </w:r>
      </w:hyperlink>
      <w:r w:rsidRPr="00C87697">
        <w:t> that applies to each NDC (except that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must omit such data in relation to a particular NDC and provider when compliance with this paragraph (b)(1)(iii)(D) would require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to report payment of </w:t>
      </w:r>
      <w:hyperlink r:id="rId19" w:history="1">
        <w:r w:rsidRPr="00C87697">
          <w:rPr>
            <w:rStyle w:val="Hyperlink"/>
          </w:rPr>
          <w:t>historical net prices</w:t>
        </w:r>
      </w:hyperlink>
      <w:r w:rsidRPr="00C87697">
        <w:t> calculated using fewer than 20 different claims for payment). Consistent with </w:t>
      </w:r>
      <w:hyperlink r:id="rId10" w:anchor="b_3" w:history="1">
        <w:r w:rsidRPr="00C87697">
          <w:rPr>
            <w:rStyle w:val="Hyperlink"/>
          </w:rPr>
          <w:t>paragraph (b)(3)</w:t>
        </w:r>
      </w:hyperlink>
      <w:r w:rsidRPr="00C87697">
        <w:t> of this section, nothing in this paragraph (b)(1)(iii)(D) requires the </w:t>
      </w:r>
      <w:hyperlink r:id="rId4" w:history="1">
        <w:r w:rsidRPr="00C87697">
          <w:rPr>
            <w:rStyle w:val="Hyperlink"/>
          </w:rPr>
          <w:t>disclosure</w:t>
        </w:r>
      </w:hyperlink>
      <w:r w:rsidRPr="00C87697">
        <w:t> of information that would violate any applicable health information privacy law.</w:t>
      </w:r>
    </w:p>
    <w:p w:rsidR="00C87697" w:rsidRPr="00C87697" w:rsidP="00C87697" w14:paraId="0CF6E116" w14:textId="77777777">
      <w:r w:rsidRPr="00C87697">
        <w:rPr>
          <w:b/>
          <w:bCs/>
        </w:rPr>
        <w:t>(2)</w:t>
      </w:r>
      <w:r w:rsidRPr="00C87697">
        <w:t> </w:t>
      </w:r>
      <w:r w:rsidRPr="00C87697">
        <w:rPr>
          <w:b/>
          <w:bCs/>
          <w:i/>
          <w:iCs/>
        </w:rPr>
        <w:t>Required method and format for disclosing information to the public.</w:t>
      </w:r>
      <w:r w:rsidRPr="00C87697">
        <w:t> The </w:t>
      </w:r>
      <w:hyperlink r:id="rId11" w:history="1">
        <w:r w:rsidRPr="00C87697">
          <w:rPr>
            <w:rStyle w:val="Hyperlink"/>
          </w:rPr>
          <w:t>machine-readable files</w:t>
        </w:r>
      </w:hyperlink>
      <w:r w:rsidRPr="00C87697">
        <w:t> described in this paragraph (b) must be available in a form and manner as specified in guidance issued by the Department of the Treasury, the Department of Labor, and the Department of Health and Human Services. The </w:t>
      </w:r>
      <w:hyperlink r:id="rId11" w:history="1">
        <w:r w:rsidRPr="00C87697">
          <w:rPr>
            <w:rStyle w:val="Hyperlink"/>
          </w:rPr>
          <w:t>machine-readable files</w:t>
        </w:r>
      </w:hyperlink>
      <w:r w:rsidRPr="00C87697">
        <w:t> must be publicly available and accessible to any person free of charge and without conditions, such as establishment of a user account, password, or other credentials, or submission of </w:t>
      </w:r>
      <w:hyperlink r:id="rId20" w:history="1">
        <w:r w:rsidRPr="00C87697">
          <w:rPr>
            <w:rStyle w:val="Hyperlink"/>
          </w:rPr>
          <w:t>personally identifiable information</w:t>
        </w:r>
      </w:hyperlink>
      <w:r w:rsidRPr="00C87697">
        <w:t> to access the file.</w:t>
      </w:r>
    </w:p>
    <w:p w:rsidR="00C87697" w:rsidRPr="00C87697" w:rsidP="00C87697" w14:paraId="7625CFA6" w14:textId="77777777">
      <w:r w:rsidRPr="00C87697">
        <w:rPr>
          <w:b/>
          <w:bCs/>
        </w:rPr>
        <w:t>(3)</w:t>
      </w:r>
      <w:r w:rsidRPr="00C87697">
        <w:t> </w:t>
      </w:r>
      <w:r w:rsidRPr="00C87697">
        <w:rPr>
          <w:b/>
          <w:bCs/>
          <w:i/>
          <w:iCs/>
        </w:rPr>
        <w:t>Timing.</w:t>
      </w:r>
      <w:r w:rsidRPr="00C87697">
        <w:t> 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must update the </w:t>
      </w:r>
      <w:hyperlink r:id="rId11" w:history="1">
        <w:r w:rsidRPr="00C87697">
          <w:rPr>
            <w:rStyle w:val="Hyperlink"/>
          </w:rPr>
          <w:t>machine-readable files</w:t>
        </w:r>
      </w:hyperlink>
      <w:r w:rsidRPr="00C87697">
        <w:t> and information required by this paragraph (b) monthly. The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must clearly indicate the date that the files were most recently updated.</w:t>
      </w:r>
    </w:p>
    <w:p w:rsidR="00C87697" w:rsidRPr="00C87697" w:rsidP="00C87697" w14:paraId="239BF829" w14:textId="77777777">
      <w:r w:rsidRPr="00C87697">
        <w:rPr>
          <w:b/>
          <w:bCs/>
        </w:rPr>
        <w:t>(4)</w:t>
      </w:r>
      <w:r w:rsidRPr="00C87697">
        <w:t> </w:t>
      </w:r>
      <w:r w:rsidRPr="00C87697">
        <w:rPr>
          <w:b/>
          <w:bCs/>
          <w:i/>
          <w:iCs/>
        </w:rPr>
        <w:t>Special rules to prevent unnecessary duplication</w:t>
      </w:r>
      <w:r w:rsidRPr="00C87697">
        <w:t>—(</w:t>
      </w:r>
      <w:r w:rsidRPr="00C87697">
        <w:t>i</w:t>
      </w:r>
      <w:r w:rsidRPr="00C87697">
        <w:t>) </w:t>
      </w:r>
      <w:r w:rsidRPr="00C87697">
        <w:rPr>
          <w:i/>
          <w:iCs/>
        </w:rPr>
        <w:t>Special rule for insured group health plans.</w:t>
      </w:r>
      <w:r w:rsidRPr="00C87697">
        <w:t> To the extent coverage under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consists of </w:t>
      </w:r>
      <w:hyperlink r:id="rId21" w:history="1">
        <w:r w:rsidRPr="00C87697">
          <w:rPr>
            <w:rStyle w:val="Hyperlink"/>
          </w:rPr>
          <w:t>group health insurance coverage</w:t>
        </w:r>
      </w:hyperlink>
      <w:r w:rsidRPr="00C87697">
        <w:t>,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satisfies the requirements of this paragraph (b) if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requires the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offering the coverage to provide the information pursuant to a written agreement. Accordingly, if a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and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sponsor enter into a written agreement under which the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agrees to provide the information required under this paragraph (b) in compliance with this section, and the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fails to do so, then the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, but not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, violates the transparency </w:t>
      </w:r>
      <w:hyperlink r:id="rId4" w:history="1">
        <w:r w:rsidRPr="00C87697">
          <w:rPr>
            <w:rStyle w:val="Hyperlink"/>
          </w:rPr>
          <w:t>disclosure</w:t>
        </w:r>
      </w:hyperlink>
      <w:r w:rsidRPr="00C87697">
        <w:t> requirements of this paragraph (b).</w:t>
      </w:r>
    </w:p>
    <w:p w:rsidR="00C87697" w:rsidRPr="00C87697" w:rsidP="00C87697" w14:paraId="318C0341" w14:textId="77777777">
      <w:r w:rsidRPr="00C87697">
        <w:rPr>
          <w:b/>
          <w:bCs/>
        </w:rPr>
        <w:t>(ii)</w:t>
      </w:r>
      <w:r w:rsidRPr="00C87697">
        <w:t> </w:t>
      </w:r>
      <w:r w:rsidRPr="00C87697">
        <w:rPr>
          <w:b/>
          <w:bCs/>
          <w:i/>
          <w:iCs/>
        </w:rPr>
        <w:t>Other contractual arrangements.</w:t>
      </w:r>
      <w:r w:rsidRPr="00C87697">
        <w:t> 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may satisfy the requirements under this paragraph (b) by entering into a written agreement under which another party (such as a third-party administrator or health care claims clearinghouse) will provide the information required by this paragraph (b) in compliance with this section. Notwithstanding the preceding sentence, if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 xml:space="preserve"> chooses to enter into such an agreement and the party </w:t>
      </w:r>
      <w:r w:rsidRPr="00C87697">
        <w:t>with which it contracts fails to provide the information in compliance with this paragraph (b),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violates the transparency </w:t>
      </w:r>
      <w:hyperlink r:id="rId4" w:history="1">
        <w:r w:rsidRPr="00C87697">
          <w:rPr>
            <w:rStyle w:val="Hyperlink"/>
          </w:rPr>
          <w:t>disclosure</w:t>
        </w:r>
      </w:hyperlink>
      <w:r w:rsidRPr="00C87697">
        <w:t> requirements of this paragraph (b).</w:t>
      </w:r>
    </w:p>
    <w:p w:rsidR="00C87697" w:rsidRPr="00C87697" w:rsidP="00C87697" w14:paraId="63659D97" w14:textId="77777777">
      <w:r w:rsidRPr="00C87697">
        <w:rPr>
          <w:b/>
          <w:bCs/>
        </w:rPr>
        <w:t>(iii)</w:t>
      </w:r>
      <w:r w:rsidRPr="00C87697">
        <w:t> </w:t>
      </w:r>
      <w:r w:rsidRPr="00C87697">
        <w:rPr>
          <w:b/>
          <w:bCs/>
          <w:i/>
          <w:iCs/>
        </w:rPr>
        <w:t>Aggregation permitted for out-of-network allowed amounts.</w:t>
      </w:r>
      <w:r w:rsidRPr="00C87697">
        <w:t> Nothing in this section prohibits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from satisfying the </w:t>
      </w:r>
      <w:hyperlink r:id="rId4" w:history="1">
        <w:r w:rsidRPr="00C87697">
          <w:rPr>
            <w:rStyle w:val="Hyperlink"/>
          </w:rPr>
          <w:t>disclosure</w:t>
        </w:r>
      </w:hyperlink>
      <w:r w:rsidRPr="00C87697">
        <w:t> requirement described in </w:t>
      </w:r>
      <w:hyperlink r:id="rId10" w:anchor="b_1_ii" w:history="1">
        <w:r w:rsidRPr="00C87697">
          <w:rPr>
            <w:rStyle w:val="Hyperlink"/>
          </w:rPr>
          <w:t>paragraph (b)(1)(ii)</w:t>
        </w:r>
      </w:hyperlink>
      <w:r w:rsidRPr="00C87697">
        <w:t> of this section by disclosing out-of-network allowed amounts made available by, or otherwise obtained from, an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, a service provider, or other party with which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has entered into a written agreement to provide the information, provided the minimum claim threshold described in </w:t>
      </w:r>
      <w:hyperlink r:id="rId10" w:anchor="b_1_ii_C" w:history="1">
        <w:r w:rsidRPr="00C87697">
          <w:rPr>
            <w:rStyle w:val="Hyperlink"/>
          </w:rPr>
          <w:t>paragraph (b)(1)(ii)(C)</w:t>
        </w:r>
      </w:hyperlink>
      <w:r w:rsidRPr="00C87697">
        <w:t> of this section is independently met for each item or service and for each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 coverage included in an aggregated Allowed Amount File. Under such circumstances, health insurance </w:t>
      </w:r>
      <w:hyperlink r:id="rId13" w:history="1">
        <w:r w:rsidRPr="00C87697">
          <w:rPr>
            <w:rStyle w:val="Hyperlink"/>
          </w:rPr>
          <w:t>issuers</w:t>
        </w:r>
      </w:hyperlink>
      <w:r w:rsidRPr="00C87697">
        <w:t>, service providers, or other parties with which the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has contracted may aggregate out-of-network allowed amounts for more than one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 insurance policy or contract. Additionally, nothing in this section prevents the Allowed Amount File from being hosted on a third-party website or prevents a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administrator 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from contracting with a third party to post the file. However, if a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chooses not to also host the file separately on its own website, it must provide a link on its own public website to the location where the file is made publicly available.</w:t>
      </w:r>
    </w:p>
    <w:p w:rsidR="00C87697" w:rsidRPr="00C87697" w:rsidP="00C87697" w14:paraId="4C5BA6E9" w14:textId="77777777">
      <w:r w:rsidRPr="00C87697">
        <w:rPr>
          <w:b/>
          <w:bCs/>
        </w:rPr>
        <w:t>(c)</w:t>
      </w:r>
      <w:r w:rsidRPr="00C87697">
        <w:t> </w:t>
      </w:r>
      <w:r w:rsidRPr="00C87697">
        <w:rPr>
          <w:b/>
          <w:bCs/>
          <w:i/>
          <w:iCs/>
        </w:rPr>
        <w:t>Applicability.</w:t>
      </w:r>
    </w:p>
    <w:p w:rsidR="00C87697" w:rsidRPr="00C87697" w:rsidP="00C87697" w14:paraId="731F188D" w14:textId="77777777">
      <w:r w:rsidRPr="00C87697">
        <w:rPr>
          <w:b/>
          <w:bCs/>
        </w:rPr>
        <w:t>(1)</w:t>
      </w:r>
      <w:r w:rsidRPr="00C87697">
        <w:t> The provisions of this section apply for </w:t>
      </w:r>
      <w:hyperlink r:id="rId22" w:history="1">
        <w:r w:rsidRPr="00C87697">
          <w:rPr>
            <w:rStyle w:val="Hyperlink"/>
          </w:rPr>
          <w:t>plan years</w:t>
        </w:r>
      </w:hyperlink>
      <w:r w:rsidRPr="00C87697">
        <w:t> (in the </w:t>
      </w:r>
      <w:hyperlink r:id="rId23" w:history="1">
        <w:r w:rsidRPr="00C87697">
          <w:rPr>
            <w:rStyle w:val="Hyperlink"/>
          </w:rPr>
          <w:t>individual market</w:t>
        </w:r>
      </w:hyperlink>
      <w:r w:rsidRPr="00C87697">
        <w:t>, for policy years) beginning on or after January 1, 2022.</w:t>
      </w:r>
    </w:p>
    <w:p w:rsidR="00C87697" w:rsidRPr="00C87697" w:rsidP="00C87697" w14:paraId="0AFDC63F" w14:textId="77777777">
      <w:r w:rsidRPr="00C87697">
        <w:rPr>
          <w:b/>
          <w:bCs/>
        </w:rPr>
        <w:t>(2)</w:t>
      </w:r>
      <w:r w:rsidRPr="00C87697">
        <w:t> As provided under </w:t>
      </w:r>
      <w:hyperlink r:id="rId24" w:history="1">
        <w:r w:rsidRPr="00C87697">
          <w:rPr>
            <w:rStyle w:val="Hyperlink"/>
          </w:rPr>
          <w:t>§ 147.140</w:t>
        </w:r>
      </w:hyperlink>
      <w:r w:rsidRPr="00C87697">
        <w:t>, this section does not apply to grandfathered health </w:t>
      </w:r>
      <w:hyperlink r:id="rId5" w:history="1">
        <w:r w:rsidRPr="00C87697">
          <w:rPr>
            <w:rStyle w:val="Hyperlink"/>
          </w:rPr>
          <w:t>plans</w:t>
        </w:r>
      </w:hyperlink>
      <w:r w:rsidRPr="00C87697">
        <w:t>. This section also does not apply to health reimbursement arrangements or other account-based group health </w:t>
      </w:r>
      <w:hyperlink r:id="rId5" w:history="1">
        <w:r w:rsidRPr="00C87697">
          <w:rPr>
            <w:rStyle w:val="Hyperlink"/>
          </w:rPr>
          <w:t>plans</w:t>
        </w:r>
      </w:hyperlink>
      <w:r w:rsidRPr="00C87697">
        <w:t> as defined in </w:t>
      </w:r>
      <w:hyperlink r:id="rId25" w:anchor="d_6" w:history="1">
        <w:r w:rsidRPr="00C87697">
          <w:rPr>
            <w:rStyle w:val="Hyperlink"/>
          </w:rPr>
          <w:t>§ 147.126(d)(6)</w:t>
        </w:r>
      </w:hyperlink>
      <w:r w:rsidRPr="00C87697">
        <w:t> or short term limited duration insurance as defined in </w:t>
      </w:r>
      <w:hyperlink r:id="rId26" w:history="1">
        <w:r w:rsidRPr="00C87697">
          <w:rPr>
            <w:rStyle w:val="Hyperlink"/>
          </w:rPr>
          <w:t>§ 144.103</w:t>
        </w:r>
      </w:hyperlink>
      <w:r w:rsidRPr="00C87697">
        <w:t> of this subchapter.</w:t>
      </w:r>
    </w:p>
    <w:p w:rsidR="00C87697" w:rsidRPr="00C87697" w:rsidP="00C87697" w14:paraId="44AB1D74" w14:textId="77777777">
      <w:r w:rsidRPr="00C87697">
        <w:rPr>
          <w:b/>
          <w:bCs/>
        </w:rPr>
        <w:t>(3)</w:t>
      </w:r>
      <w:r w:rsidRPr="00C87697">
        <w:t> Nothing in this section alters or otherwise affects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's 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's duty to comply with requirements under other applicable </w:t>
      </w:r>
      <w:hyperlink r:id="rId27" w:history="1">
        <w:r w:rsidRPr="00C87697">
          <w:rPr>
            <w:rStyle w:val="Hyperlink"/>
          </w:rPr>
          <w:t>state</w:t>
        </w:r>
      </w:hyperlink>
      <w:r w:rsidRPr="00C87697">
        <w:t> or Federal laws, including those governing the accessibility, privacy, or security of information required to be disclosed under this section, or those governing the ability of properly authorized representatives to access </w:t>
      </w:r>
      <w:hyperlink r:id="rId16" w:history="1">
        <w:r w:rsidRPr="00C87697">
          <w:rPr>
            <w:rStyle w:val="Hyperlink"/>
          </w:rPr>
          <w:t>participant</w:t>
        </w:r>
      </w:hyperlink>
      <w:r w:rsidRPr="00C87697">
        <w:t>, or beneficiary information held by </w:t>
      </w:r>
      <w:hyperlink r:id="rId5" w:history="1">
        <w:r w:rsidRPr="00C87697">
          <w:rPr>
            <w:rStyle w:val="Hyperlink"/>
          </w:rPr>
          <w:t>plans</w:t>
        </w:r>
      </w:hyperlink>
      <w:r w:rsidRPr="00C87697">
        <w:t> and issuers.</w:t>
      </w:r>
    </w:p>
    <w:p w:rsidR="00C87697" w:rsidRPr="00C87697" w:rsidP="00C87697" w14:paraId="7395B850" w14:textId="77777777">
      <w:r w:rsidRPr="00C87697">
        <w:rPr>
          <w:b/>
          <w:bCs/>
        </w:rPr>
        <w:t>(4)</w:t>
      </w:r>
      <w:r w:rsidRPr="00C87697">
        <w:t> 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will not fail to comply with this section solely because it, acting in good faith and with reasonable diligence, makes an error or omission in a </w:t>
      </w:r>
      <w:hyperlink r:id="rId4" w:history="1">
        <w:r w:rsidRPr="00C87697">
          <w:rPr>
            <w:rStyle w:val="Hyperlink"/>
          </w:rPr>
          <w:t>disclosure</w:t>
        </w:r>
      </w:hyperlink>
      <w:r w:rsidRPr="00C87697">
        <w:t> required under </w:t>
      </w:r>
      <w:hyperlink r:id="rId10" w:anchor="b" w:history="1">
        <w:r w:rsidRPr="00C87697">
          <w:rPr>
            <w:rStyle w:val="Hyperlink"/>
          </w:rPr>
          <w:t>paragraph (b)</w:t>
        </w:r>
      </w:hyperlink>
      <w:r w:rsidRPr="00C87697">
        <w:t> of this section, provided that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corrects the information as soon as practicable.</w:t>
      </w:r>
    </w:p>
    <w:p w:rsidR="00C87697" w:rsidRPr="00C87697" w:rsidP="00C87697" w14:paraId="51CCD8B6" w14:textId="77777777">
      <w:r w:rsidRPr="00C87697">
        <w:rPr>
          <w:b/>
          <w:bCs/>
        </w:rPr>
        <w:t>(5)</w:t>
      </w:r>
      <w:r w:rsidRPr="00C87697">
        <w:t> 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will not fail to comply with this section solely because, despite acting in good faith and with reasonable diligence, its internet website is temporarily inaccessible, provided that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makes the information available as soon as practicable.</w:t>
      </w:r>
    </w:p>
    <w:p w:rsidR="00C87697" w:rsidRPr="00C87697" w:rsidP="00C87697" w14:paraId="3AA29D80" w14:textId="77777777">
      <w:r w:rsidRPr="00C87697">
        <w:rPr>
          <w:b/>
          <w:bCs/>
        </w:rPr>
        <w:t>(6)</w:t>
      </w:r>
      <w:r w:rsidRPr="00C87697">
        <w:t> To the extent compliance with this section requires a group health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6" w:history="1">
        <w:r w:rsidRPr="00C87697">
          <w:rPr>
            <w:rStyle w:val="Hyperlink"/>
          </w:rPr>
          <w:t>health insurance issuer</w:t>
        </w:r>
      </w:hyperlink>
      <w:r w:rsidRPr="00C87697">
        <w:t> to obtain information from any other entity,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will not fail to comply with this section because it relied in good faith on information from the other entity, unless the </w:t>
      </w:r>
      <w:hyperlink r:id="rId5" w:history="1">
        <w:r w:rsidRPr="00C87697">
          <w:rPr>
            <w:rStyle w:val="Hyperlink"/>
          </w:rPr>
          <w:t>plan</w:t>
        </w:r>
      </w:hyperlink>
      <w:r w:rsidRPr="00C87697">
        <w:t> or </w:t>
      </w:r>
      <w:hyperlink r:id="rId13" w:history="1">
        <w:r w:rsidRPr="00C87697">
          <w:rPr>
            <w:rStyle w:val="Hyperlink"/>
          </w:rPr>
          <w:t>issuer</w:t>
        </w:r>
      </w:hyperlink>
      <w:r w:rsidRPr="00C87697">
        <w:t> knows, or reasonably should have known, that the information is incomplete or inaccurate.</w:t>
      </w:r>
    </w:p>
    <w:p w:rsidR="00C87697" w:rsidRPr="00C87697" w:rsidP="00C87697" w14:paraId="0B811A1C" w14:textId="77777777">
      <w:r w:rsidRPr="00C87697">
        <w:rPr>
          <w:b/>
          <w:bCs/>
        </w:rPr>
        <w:t>(d)</w:t>
      </w:r>
      <w:r w:rsidRPr="00C87697">
        <w:t> </w:t>
      </w:r>
      <w:r w:rsidRPr="00C87697">
        <w:rPr>
          <w:b/>
          <w:bCs/>
          <w:i/>
          <w:iCs/>
        </w:rPr>
        <w:t>Severability.</w:t>
      </w:r>
      <w:r w:rsidRPr="00C87697">
        <w:t> Any provision of this section held to be invalid or unenforceable by its terms, or as applied to any person or circumstance, or stayed pending further </w:t>
      </w:r>
      <w:hyperlink r:id="rId28" w:history="1">
        <w:r w:rsidRPr="00C87697">
          <w:rPr>
            <w:rStyle w:val="Hyperlink"/>
          </w:rPr>
          <w:t>agency</w:t>
        </w:r>
      </w:hyperlink>
      <w:r w:rsidRPr="00C87697">
        <w:t> action, shall be severable from this section and shall not affect the remainder thereof or the application of the provision to persons not similarly situated or to dissimilar circumstances.</w:t>
      </w:r>
    </w:p>
    <w:p w:rsidR="00C87697" w:rsidRPr="00C87697" w:rsidP="00C87697" w14:paraId="72D35925" w14:textId="77777777">
      <w:r w:rsidRPr="00C87697">
        <w:t>[</w:t>
      </w:r>
      <w:hyperlink r:id="rId29" w:history="1">
        <w:r w:rsidRPr="00C87697">
          <w:rPr>
            <w:rStyle w:val="Hyperlink"/>
          </w:rPr>
          <w:t>85 FR 72305</w:t>
        </w:r>
      </w:hyperlink>
      <w:r w:rsidRPr="00C87697">
        <w:t>, Nov. 12, 2020]</w:t>
      </w:r>
    </w:p>
    <w:p w:rsidR="00FA53FA" w14:paraId="799FAE0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2A2B54"/>
    <w:multiLevelType w:val="multilevel"/>
    <w:tmpl w:val="E702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40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97"/>
    <w:rsid w:val="00015DB8"/>
    <w:rsid w:val="007C4A20"/>
    <w:rsid w:val="00C22201"/>
    <w:rsid w:val="00C543C4"/>
    <w:rsid w:val="00C87697"/>
    <w:rsid w:val="00FA53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BDC"/>
  <w15:chartTrackingRefBased/>
  <w15:docId w15:val="{46D21785-D9D7-4017-B7E1-070FB33B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6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76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law.cornell.edu/cfr/text/45/147.212" TargetMode="External" /><Relationship Id="rId11" Type="http://schemas.openxmlformats.org/officeDocument/2006/relationships/hyperlink" Target="https://www.law.cornell.edu/definitions/index.php?width=840&amp;height=800&amp;iframe=true&amp;def_id=33404a493d1b70c42624986fe6d2cf6c&amp;term_occur=999&amp;term_src=Title:45:Chapter:A:Subchapter:B:Part:147:147.212" TargetMode="External" /><Relationship Id="rId12" Type="http://schemas.openxmlformats.org/officeDocument/2006/relationships/hyperlink" Target="https://www.law.cornell.edu/definitions/index.php?width=840&amp;height=800&amp;iframe=true&amp;def_id=4026185dc74ae7f008fd65eac4860f65&amp;term_occur=999&amp;term_src=Title:45:Chapter:A:Subchapter:B:Part:147:147.212" TargetMode="External" /><Relationship Id="rId13" Type="http://schemas.openxmlformats.org/officeDocument/2006/relationships/hyperlink" Target="https://www.law.cornell.edu/definitions/index.php?width=840&amp;height=800&amp;iframe=true&amp;def_id=1941fa05d02dda0a2e526e084c1262b7&amp;term_occur=999&amp;term_src=Title:45:Chapter:A:Subchapter:B:Part:147:147.212" TargetMode="External" /><Relationship Id="rId14" Type="http://schemas.openxmlformats.org/officeDocument/2006/relationships/hyperlink" Target="https://www.law.cornell.edu/definitions/index.php?width=840&amp;height=800&amp;iframe=true&amp;def_id=2122b91988c1002fbdb6d7895e5e6e7a&amp;term_occur=999&amp;term_src=Title:45:Chapter:A:Subchapter:B:Part:147:147.212" TargetMode="External" /><Relationship Id="rId15" Type="http://schemas.openxmlformats.org/officeDocument/2006/relationships/hyperlink" Target="https://www.law.cornell.edu/definitions/index.php?width=840&amp;height=800&amp;iframe=true&amp;def_id=e4ba6a2cc296c4866ae7114a7691ce1b&amp;term_occur=999&amp;term_src=Title:45:Chapter:A:Subchapter:B:Part:147:147.212" TargetMode="External" /><Relationship Id="rId16" Type="http://schemas.openxmlformats.org/officeDocument/2006/relationships/hyperlink" Target="https://www.law.cornell.edu/definitions/index.php?width=840&amp;height=800&amp;iframe=true&amp;def_id=56c864c2d2fd9c342588fb860042af36&amp;term_occur=999&amp;term_src=Title:45:Chapter:A:Subchapter:B:Part:147:147.212" TargetMode="External" /><Relationship Id="rId17" Type="http://schemas.openxmlformats.org/officeDocument/2006/relationships/hyperlink" Target="https://www.law.cornell.edu/definitions/index.php?width=840&amp;height=800&amp;iframe=true&amp;def_id=01d2e1b73dc40d58d9445568b809b1a4&amp;term_occur=999&amp;term_src=Title:45:Chapter:A:Subchapter:B:Part:147:147.212" TargetMode="External" /><Relationship Id="rId18" Type="http://schemas.openxmlformats.org/officeDocument/2006/relationships/hyperlink" Target="https://www.law.cornell.edu/definitions/index.php?width=840&amp;height=800&amp;iframe=true&amp;def_id=895c0a40d1ad43793878fb0c7498fbf8&amp;term_occur=999&amp;term_src=Title:45:Chapter:A:Subchapter:B:Part:147:147.212" TargetMode="External" /><Relationship Id="rId19" Type="http://schemas.openxmlformats.org/officeDocument/2006/relationships/hyperlink" Target="https://www.law.cornell.edu/definitions/index.php?width=840&amp;height=800&amp;iframe=true&amp;def_id=deb44150604759549df26d05e287b566&amp;term_occur=999&amp;term_src=Title:45:Chapter:A:Subchapter:B:Part:147:147.212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law.cornell.edu/definitions/index.php?width=840&amp;height=800&amp;iframe=true&amp;def_id=64e513e0ea2627c9b71bde32038f5d6e&amp;term_occur=999&amp;term_src=Title:45:Chapter:A:Subchapter:B:Part:147:147.212" TargetMode="External" /><Relationship Id="rId21" Type="http://schemas.openxmlformats.org/officeDocument/2006/relationships/hyperlink" Target="https://www.law.cornell.edu/definitions/index.php?width=840&amp;height=800&amp;iframe=true&amp;def_id=1f2125091538794101ccfd7914e59eea&amp;term_occur=999&amp;term_src=Title:45:Chapter:A:Subchapter:B:Part:147:147.212" TargetMode="External" /><Relationship Id="rId22" Type="http://schemas.openxmlformats.org/officeDocument/2006/relationships/hyperlink" Target="https://www.law.cornell.edu/definitions/index.php?width=840&amp;height=800&amp;iframe=true&amp;def_id=bb0131d9928ea774174ff62fad1205ed&amp;term_occur=999&amp;term_src=Title:45:Chapter:A:Subchapter:B:Part:147:147.212" TargetMode="External" /><Relationship Id="rId23" Type="http://schemas.openxmlformats.org/officeDocument/2006/relationships/hyperlink" Target="https://www.law.cornell.edu/definitions/index.php?width=840&amp;height=800&amp;iframe=true&amp;def_id=3dd878bc870273f558048c72b343f318&amp;term_occur=999&amp;term_src=Title:45:Chapter:A:Subchapter:B:Part:147:147.212" TargetMode="External" /><Relationship Id="rId24" Type="http://schemas.openxmlformats.org/officeDocument/2006/relationships/hyperlink" Target="https://www.law.cornell.edu/cfr/text/45/147.140" TargetMode="External" /><Relationship Id="rId25" Type="http://schemas.openxmlformats.org/officeDocument/2006/relationships/hyperlink" Target="https://www.law.cornell.edu/cfr/text/45/147.126" TargetMode="External" /><Relationship Id="rId26" Type="http://schemas.openxmlformats.org/officeDocument/2006/relationships/hyperlink" Target="https://www.law.cornell.edu/cfr/text/45/144.103" TargetMode="External" /><Relationship Id="rId27" Type="http://schemas.openxmlformats.org/officeDocument/2006/relationships/hyperlink" Target="https://www.law.cornell.edu/definitions/index.php?width=840&amp;height=800&amp;iframe=true&amp;def_id=3c5a400d75f0080aaa310862d9c72611&amp;term_occur=999&amp;term_src=Title:45:Chapter:A:Subchapter:B:Part:147:147.212" TargetMode="External" /><Relationship Id="rId28" Type="http://schemas.openxmlformats.org/officeDocument/2006/relationships/hyperlink" Target="https://www.law.cornell.edu/definitions/index.php?width=840&amp;height=800&amp;iframe=true&amp;def_id=017bcdd83daf6939fd805b3c73e4d61d&amp;term_occur=999&amp;term_src=Title:45:Chapter:A:Subchapter:B:Part:147:147.212" TargetMode="External" /><Relationship Id="rId29" Type="http://schemas.openxmlformats.org/officeDocument/2006/relationships/hyperlink" Target="https://www.law.cornell.edu/rio/citation/85_FR_72305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hyperlink" Target="https://www.law.cornell.edu/definitions/index.php?width=840&amp;height=800&amp;iframe=true&amp;def_id=395a03a1c484b7a92bccbe5563d46c25&amp;term_occur=999&amp;term_src=Title:45:Chapter:A:Subchapter:B:Part:147:147.212" TargetMode="External" /><Relationship Id="rId5" Type="http://schemas.openxmlformats.org/officeDocument/2006/relationships/hyperlink" Target="https://www.law.cornell.edu/definitions/index.php?width=840&amp;height=800&amp;iframe=true&amp;def_id=2b74e43866fc5b8f1f15155c434c7c1d&amp;term_occur=999&amp;term_src=Title:45:Chapter:A:Subchapter:B:Part:147:147.212" TargetMode="External" /><Relationship Id="rId6" Type="http://schemas.openxmlformats.org/officeDocument/2006/relationships/hyperlink" Target="https://www.law.cornell.edu/definitions/index.php?width=840&amp;height=800&amp;iframe=true&amp;def_id=f3dadb49e662158dcec1dc0fc74b7f66&amp;term_occur=999&amp;term_src=Title:45:Chapter:A:Subchapter:B:Part:147:147.212" TargetMode="External" /><Relationship Id="rId7" Type="http://schemas.openxmlformats.org/officeDocument/2006/relationships/hyperlink" Target="https://www.law.cornell.edu/definitions/index.php?width=840&amp;height=800&amp;iframe=true&amp;def_id=b0313d6b8577b9be3e8a6ff2d113f614&amp;term_occur=999&amp;term_src=Title:45:Chapter:A:Subchapter:B:Part:147:147.212" TargetMode="External" /><Relationship Id="rId8" Type="http://schemas.openxmlformats.org/officeDocument/2006/relationships/hyperlink" Target="https://www.law.cornell.edu/definitions/index.php?width=840&amp;height=800&amp;iframe=true&amp;def_id=8cb1da61fe4207bff7613d72e6094944&amp;term_occur=999&amp;term_src=Title:45:Chapter:A:Subchapter:B:Part:147:147.212" TargetMode="External" /><Relationship Id="rId9" Type="http://schemas.openxmlformats.org/officeDocument/2006/relationships/hyperlink" Target="https://www.law.cornell.edu/cfr/text/45/147.2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6655</Words>
  <Characters>37938</Characters>
  <Application>Microsoft Office Word</Application>
  <DocSecurity>0</DocSecurity>
  <Lines>316</Lines>
  <Paragraphs>89</Paragraphs>
  <ScaleCrop>false</ScaleCrop>
  <Company>Center For Medicaid Services</Company>
  <LinksUpToDate>false</LinksUpToDate>
  <CharactersWithSpaces>44504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Jamaa (CMS/OSORA)</dc:creator>
  <cp:lastModifiedBy>Hill, Jamaa (CMS/OSORA)</cp:lastModifiedBy>
  <cp:revision>1</cp:revision>
  <dcterms:created xsi:type="dcterms:W3CDTF">2024-10-30T14:28:00Z</dcterms:created>
  <dcterms:modified xsi:type="dcterms:W3CDTF">2024-10-30T14:31:00Z</dcterms:modified>
</cp:coreProperties>
</file>