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3F30" w:rsidP="00245786" w14:paraId="2AF816D1" w14:textId="77777777">
      <w:pPr>
        <w:jc w:val="center"/>
        <w:rPr>
          <w:rFonts w:ascii="Times New Roman" w:hAnsi="Times New Roman"/>
          <w:b/>
        </w:rPr>
      </w:pPr>
      <w:r w:rsidRPr="00F363FE">
        <w:rPr>
          <w:rFonts w:ascii="Times New Roman" w:hAnsi="Times New Roman"/>
          <w:b/>
        </w:rPr>
        <w:t>Suppor</w:t>
      </w:r>
      <w:r w:rsidRPr="00F363FE" w:rsidR="00822E5B">
        <w:rPr>
          <w:rFonts w:ascii="Times New Roman" w:hAnsi="Times New Roman"/>
          <w:b/>
        </w:rPr>
        <w:t>ting Statement for Form SSA-150</w:t>
      </w:r>
    </w:p>
    <w:p w:rsidR="00245786" w:rsidRPr="00F363FE" w:rsidP="00245786" w14:paraId="0A9007C0" w14:textId="77777777">
      <w:pPr>
        <w:jc w:val="center"/>
        <w:rPr>
          <w:rFonts w:ascii="Times New Roman" w:hAnsi="Times New Roman"/>
          <w:b/>
        </w:rPr>
      </w:pPr>
      <w:r>
        <w:rPr>
          <w:rFonts w:ascii="Times New Roman" w:hAnsi="Times New Roman"/>
          <w:b/>
        </w:rPr>
        <w:t xml:space="preserve">Modified Benefit Formula </w:t>
      </w:r>
      <w:r w:rsidRPr="00F363FE">
        <w:rPr>
          <w:rFonts w:ascii="Times New Roman" w:hAnsi="Times New Roman"/>
          <w:b/>
        </w:rPr>
        <w:t>Questionnaire</w:t>
      </w:r>
    </w:p>
    <w:p w:rsidR="009C3F30" w:rsidP="0040096D" w14:paraId="52861097" w14:textId="77777777">
      <w:pPr>
        <w:pStyle w:val="EndnoteText"/>
        <w:jc w:val="center"/>
        <w:rPr>
          <w:rFonts w:ascii="Times New Roman" w:hAnsi="Times New Roman"/>
          <w:b/>
        </w:rPr>
      </w:pPr>
      <w:r w:rsidRPr="00F363FE">
        <w:rPr>
          <w:rFonts w:ascii="Times New Roman" w:hAnsi="Times New Roman"/>
          <w:b/>
        </w:rPr>
        <w:t>OMB</w:t>
      </w:r>
      <w:r w:rsidRPr="00F363FE" w:rsidR="00822E5B">
        <w:rPr>
          <w:rFonts w:ascii="Times New Roman" w:hAnsi="Times New Roman"/>
          <w:b/>
        </w:rPr>
        <w:t xml:space="preserve"> </w:t>
      </w:r>
      <w:r w:rsidRPr="00F363FE" w:rsidR="0040096D">
        <w:rPr>
          <w:rFonts w:ascii="Times New Roman" w:hAnsi="Times New Roman"/>
          <w:b/>
        </w:rPr>
        <w:t>No.</w:t>
      </w:r>
      <w:r w:rsidRPr="00F363FE">
        <w:rPr>
          <w:rFonts w:ascii="Times New Roman" w:hAnsi="Times New Roman"/>
          <w:b/>
        </w:rPr>
        <w:t xml:space="preserve"> 0960-0395</w:t>
      </w:r>
    </w:p>
    <w:p w:rsidR="00245786" w:rsidRPr="00F363FE" w:rsidP="0040096D" w14:paraId="7C374166" w14:textId="77777777">
      <w:pPr>
        <w:pStyle w:val="EndnoteText"/>
        <w:jc w:val="center"/>
        <w:rPr>
          <w:rFonts w:ascii="Times New Roman" w:hAnsi="Times New Roman"/>
          <w:b/>
        </w:rPr>
      </w:pPr>
    </w:p>
    <w:p w:rsidR="00C237C3" w:rsidRPr="00C237C3" w:rsidP="00C237C3" w14:paraId="50A96323" w14:textId="41AAA926">
      <w:pPr>
        <w:pStyle w:val="Heading1"/>
        <w:numPr>
          <w:ilvl w:val="0"/>
          <w:numId w:val="19"/>
        </w:numPr>
        <w:rPr>
          <w:b/>
        </w:rPr>
      </w:pPr>
      <w:r w:rsidRPr="00F363FE">
        <w:rPr>
          <w:b/>
        </w:rPr>
        <w:t>Justificatio</w:t>
      </w:r>
      <w:r>
        <w:rPr>
          <w:b/>
        </w:rPr>
        <w:t>n</w:t>
      </w:r>
    </w:p>
    <w:p w:rsidR="001966A1" w:rsidP="001966A1" w14:paraId="7A165256" w14:textId="4B27DDB0">
      <w:pPr>
        <w:rPr>
          <w:rFonts w:ascii="Times New Roman" w:hAnsi="Times New Roman"/>
        </w:rPr>
      </w:pPr>
    </w:p>
    <w:p w:rsidR="00C237C3" w:rsidRPr="00C237C3" w:rsidP="00C237C3" w14:paraId="3BCB70E4" w14:textId="37D0F54A">
      <w:pPr>
        <w:numPr>
          <w:ilvl w:val="0"/>
          <w:numId w:val="21"/>
        </w:numPr>
        <w:tabs>
          <w:tab w:val="left" w:pos="540"/>
          <w:tab w:val="left" w:pos="1170"/>
        </w:tabs>
        <w:ind w:hanging="270"/>
        <w:rPr>
          <w:rFonts w:ascii="Times New Roman" w:hAnsi="Times New Roman"/>
        </w:rPr>
      </w:pPr>
      <w:r w:rsidRPr="00F363FE">
        <w:rPr>
          <w:rFonts w:ascii="Times New Roman" w:hAnsi="Times New Roman"/>
          <w:b/>
        </w:rPr>
        <w:t>Introduction/Authoring Laws and Regulations</w:t>
      </w:r>
    </w:p>
    <w:p w:rsidR="00C237C3" w:rsidP="00C237C3" w14:paraId="665EE97A" w14:textId="629B6C27">
      <w:pPr>
        <w:tabs>
          <w:tab w:val="left" w:pos="540"/>
          <w:tab w:val="left" w:pos="1170"/>
        </w:tabs>
        <w:ind w:left="720"/>
        <w:rPr>
          <w:rFonts w:ascii="Times New Roman" w:hAnsi="Times New Roman"/>
        </w:rPr>
      </w:pPr>
      <w:r w:rsidRPr="00F363FE">
        <w:rPr>
          <w:rFonts w:ascii="Times New Roman" w:hAnsi="Times New Roman"/>
          <w:iCs/>
        </w:rPr>
        <w:t xml:space="preserve">Sections </w:t>
      </w:r>
      <w:r w:rsidRPr="00F363FE">
        <w:rPr>
          <w:rFonts w:ascii="Times New Roman" w:hAnsi="Times New Roman"/>
          <w:i/>
          <w:iCs/>
        </w:rPr>
        <w:t xml:space="preserve">215(a)(7) </w:t>
      </w:r>
      <w:r w:rsidRPr="00F363FE">
        <w:rPr>
          <w:rFonts w:ascii="Times New Roman" w:hAnsi="Times New Roman"/>
          <w:iCs/>
        </w:rPr>
        <w:t>and</w:t>
      </w:r>
      <w:r w:rsidRPr="00F363FE">
        <w:rPr>
          <w:rFonts w:ascii="Times New Roman" w:hAnsi="Times New Roman"/>
          <w:i/>
          <w:iCs/>
        </w:rPr>
        <w:t xml:space="preserve"> 215(d)(3) </w:t>
      </w:r>
      <w:r w:rsidRPr="00F363FE">
        <w:rPr>
          <w:rFonts w:ascii="Times New Roman" w:hAnsi="Times New Roman"/>
          <w:iCs/>
        </w:rPr>
        <w:t>of the</w:t>
      </w:r>
      <w:r w:rsidRPr="00F363FE">
        <w:rPr>
          <w:rFonts w:ascii="Times New Roman" w:hAnsi="Times New Roman"/>
          <w:i/>
          <w:iCs/>
        </w:rPr>
        <w:t xml:space="preserve"> Social Security Act</w:t>
      </w:r>
      <w:r w:rsidRPr="00F363FE">
        <w:rPr>
          <w:rFonts w:ascii="Times New Roman" w:hAnsi="Times New Roman"/>
        </w:rPr>
        <w:t xml:space="preserve"> </w:t>
      </w:r>
      <w:r>
        <w:rPr>
          <w:rFonts w:ascii="Times New Roman" w:hAnsi="Times New Roman"/>
        </w:rPr>
        <w:t xml:space="preserve">(Act) </w:t>
      </w:r>
      <w:r w:rsidRPr="00F363FE">
        <w:rPr>
          <w:rFonts w:ascii="Times New Roman" w:hAnsi="Times New Roman"/>
        </w:rPr>
        <w:t xml:space="preserve">contain the formulas the Social Security Administration (SSA) uses to compute Social Security benefits for retired and disabled workers receiving pensions from employment not covered by Social Security.  The Technical and Miscellaneous Revenue Act of 1988, </w:t>
      </w:r>
      <w:r w:rsidRPr="00F363FE">
        <w:rPr>
          <w:rFonts w:ascii="Times New Roman" w:hAnsi="Times New Roman"/>
          <w:i/>
        </w:rPr>
        <w:t>Pub</w:t>
      </w:r>
      <w:r>
        <w:rPr>
          <w:rFonts w:ascii="Times New Roman" w:hAnsi="Times New Roman"/>
          <w:i/>
        </w:rPr>
        <w:t>lic Law</w:t>
      </w:r>
      <w:r w:rsidRPr="00F363FE">
        <w:rPr>
          <w:rFonts w:ascii="Times New Roman" w:hAnsi="Times New Roman"/>
          <w:i/>
        </w:rPr>
        <w:t xml:space="preserve"> 100</w:t>
      </w:r>
      <w:r w:rsidRPr="00F363FE">
        <w:rPr>
          <w:rFonts w:ascii="Times New Roman" w:hAnsi="Times New Roman"/>
          <w:i/>
        </w:rPr>
        <w:noBreakHyphen/>
        <w:t>647,</w:t>
      </w:r>
      <w:r w:rsidRPr="00F363FE">
        <w:rPr>
          <w:rFonts w:ascii="Times New Roman" w:hAnsi="Times New Roman"/>
        </w:rPr>
        <w:t xml:space="preserve"> provided a change in the way SSA computes benefits for retired and disabled workers receiving pensions from employment not covered by Social Security.  The purpose of the Windfall Elimination Provision (WEP) is to re</w:t>
      </w:r>
      <w:r>
        <w:rPr>
          <w:rFonts w:ascii="Times New Roman" w:hAnsi="Times New Roman"/>
        </w:rPr>
        <w:t xml:space="preserve">move an unintended advantage </w:t>
      </w:r>
      <w:r w:rsidRPr="00F363FE">
        <w:rPr>
          <w:rFonts w:ascii="Times New Roman" w:hAnsi="Times New Roman"/>
        </w:rPr>
        <w:t>the Social Security bene</w:t>
      </w:r>
      <w:r>
        <w:rPr>
          <w:rFonts w:ascii="Times New Roman" w:hAnsi="Times New Roman"/>
        </w:rPr>
        <w:t>fit formula provided for people</w:t>
      </w:r>
      <w:r w:rsidRPr="00F363FE">
        <w:rPr>
          <w:rFonts w:ascii="Times New Roman" w:hAnsi="Times New Roman"/>
        </w:rPr>
        <w:t xml:space="preserve"> who have substantial pensions from non-covered employment</w:t>
      </w:r>
      <w:r>
        <w:rPr>
          <w:rFonts w:ascii="Times New Roman" w:hAnsi="Times New Roman"/>
        </w:rPr>
        <w:t>.</w:t>
      </w:r>
    </w:p>
    <w:p w:rsidR="00C237C3" w:rsidRPr="00C237C3" w:rsidP="00C237C3" w14:paraId="7F9105E8" w14:textId="77777777">
      <w:pPr>
        <w:tabs>
          <w:tab w:val="left" w:pos="540"/>
          <w:tab w:val="left" w:pos="1170"/>
        </w:tabs>
        <w:ind w:left="720"/>
        <w:rPr>
          <w:rFonts w:ascii="Times New Roman" w:hAnsi="Times New Roman"/>
        </w:rPr>
      </w:pPr>
    </w:p>
    <w:p w:rsidR="00C237C3" w:rsidRPr="00C237C3" w:rsidP="00C237C3" w14:paraId="445054E6" w14:textId="54813BA7">
      <w:pPr>
        <w:numPr>
          <w:ilvl w:val="0"/>
          <w:numId w:val="21"/>
        </w:numPr>
        <w:tabs>
          <w:tab w:val="left" w:pos="540"/>
          <w:tab w:val="left" w:pos="1170"/>
        </w:tabs>
        <w:ind w:hanging="270"/>
        <w:rPr>
          <w:rFonts w:ascii="Times New Roman" w:hAnsi="Times New Roman"/>
        </w:rPr>
      </w:pPr>
      <w:r w:rsidRPr="00F363FE">
        <w:rPr>
          <w:rFonts w:ascii="Times New Roman" w:hAnsi="Times New Roman"/>
          <w:b/>
        </w:rPr>
        <w:t>Description of Collection</w:t>
      </w:r>
    </w:p>
    <w:p w:rsidR="00C237C3" w:rsidP="00C237C3" w14:paraId="7CDA5F9D" w14:textId="45F52FA1">
      <w:pPr>
        <w:tabs>
          <w:tab w:val="left" w:pos="540"/>
          <w:tab w:val="left" w:pos="1170"/>
        </w:tabs>
        <w:ind w:left="720"/>
        <w:rPr>
          <w:rFonts w:ascii="Times New Roman" w:hAnsi="Times New Roman"/>
        </w:rPr>
      </w:pPr>
      <w:r w:rsidRPr="008C5D57">
        <w:rPr>
          <w:rFonts w:ascii="Times New Roman" w:hAnsi="Times New Roman"/>
        </w:rPr>
        <w:t>The Social Security benefit formula is weighted to replace a greater share of career-average earnings for low-paid workers than for high-paid workers. This means that low-paid workers receive relatively high benefits in relation to their payroll tax contributions, although the dollar amount of their benefits is lower than that provided to high-paid workers.</w:t>
      </w:r>
    </w:p>
    <w:p w:rsidR="00C237C3" w:rsidP="00C237C3" w14:paraId="6A30FE1D" w14:textId="74919B70">
      <w:pPr>
        <w:tabs>
          <w:tab w:val="left" w:pos="540"/>
          <w:tab w:val="left" w:pos="1170"/>
        </w:tabs>
        <w:ind w:left="720"/>
        <w:rPr>
          <w:rFonts w:ascii="Times New Roman" w:hAnsi="Times New Roman"/>
        </w:rPr>
      </w:pPr>
    </w:p>
    <w:p w:rsidR="00C237C3" w:rsidP="00C237C3" w14:paraId="11051007" w14:textId="2AEB6F6E">
      <w:pPr>
        <w:tabs>
          <w:tab w:val="left" w:pos="540"/>
          <w:tab w:val="left" w:pos="1170"/>
        </w:tabs>
        <w:ind w:left="720"/>
        <w:rPr>
          <w:rFonts w:ascii="Times New Roman" w:hAnsi="Times New Roman"/>
        </w:rPr>
      </w:pPr>
      <w:r w:rsidRPr="008C5D57">
        <w:rPr>
          <w:rFonts w:ascii="Times New Roman" w:hAnsi="Times New Roman"/>
        </w:rPr>
        <w:t>The benefit formula, however, cannot distinguish between workers who have low career-average earnings because they worked for many years at low earnings in Social Security-covered employment and workers who appear to have low career-average earnings because they worked for many years in jobs not covered by Social Security. (Those years show up as zeros in their Social Security earnings records, which, when averaged, lower their career earnings from covered work.) Consequently, workers who split their careers between covered and noncovered employment—even highly paid ones—may also receive the advantage of the weighted formula.</w:t>
      </w:r>
    </w:p>
    <w:p w:rsidR="00C237C3" w:rsidP="00C237C3" w14:paraId="251E9DA3" w14:textId="2292456B">
      <w:pPr>
        <w:tabs>
          <w:tab w:val="left" w:pos="540"/>
          <w:tab w:val="left" w:pos="1170"/>
        </w:tabs>
        <w:ind w:left="720"/>
        <w:rPr>
          <w:rFonts w:ascii="Times New Roman" w:hAnsi="Times New Roman"/>
        </w:rPr>
      </w:pPr>
    </w:p>
    <w:p w:rsidR="00C237C3" w:rsidP="00C237C3" w14:paraId="607DCD1F" w14:textId="22F175F0">
      <w:pPr>
        <w:tabs>
          <w:tab w:val="left" w:pos="540"/>
          <w:tab w:val="left" w:pos="1170"/>
        </w:tabs>
        <w:ind w:left="720"/>
        <w:rPr>
          <w:rFonts w:ascii="Times New Roman" w:hAnsi="Times New Roman"/>
        </w:rPr>
      </w:pPr>
      <w:r w:rsidRPr="008C5D57">
        <w:rPr>
          <w:rFonts w:ascii="Times New Roman" w:hAnsi="Times New Roman"/>
        </w:rPr>
        <w:t>The windfall elimination provision (WEP) is a modified benefit formula designed to remove the unintended advantage, or “windfall,” of the regular benefit formula for certain retired or disabled workers who spent less than full careers in covered employment and who are also entitled to pension benefits based on earnings from jobs not covered by Social Security. The reduction in initial benefits caused by the WEP is designed to place affected workers in approximately the same position they would have been in had all their earnings been covered by Social Security</w:t>
      </w:r>
      <w:r>
        <w:rPr>
          <w:rFonts w:ascii="Times New Roman" w:hAnsi="Times New Roman"/>
        </w:rPr>
        <w:t>.</w:t>
      </w:r>
    </w:p>
    <w:p w:rsidR="00C237C3" w:rsidP="00C237C3" w14:paraId="24465015" w14:textId="387AEB94">
      <w:pPr>
        <w:tabs>
          <w:tab w:val="left" w:pos="540"/>
          <w:tab w:val="left" w:pos="1170"/>
        </w:tabs>
        <w:ind w:left="720"/>
        <w:rPr>
          <w:rFonts w:ascii="Times New Roman" w:hAnsi="Times New Roman"/>
        </w:rPr>
      </w:pPr>
    </w:p>
    <w:p w:rsidR="00E42097" w:rsidP="00E42097" w14:paraId="6CB2A2E7" w14:textId="77777777">
      <w:pPr>
        <w:pStyle w:val="pf0"/>
        <w:spacing w:before="0" w:beforeAutospacing="0" w:after="0" w:afterAutospacing="0"/>
        <w:ind w:left="720"/>
        <w:rPr>
          <w:rStyle w:val="cf01"/>
          <w:rFonts w:ascii="Times New Roman" w:hAnsi="Times New Roman" w:cs="Times New Roman"/>
          <w:snapToGrid w:val="0"/>
          <w:color w:val="auto"/>
          <w:sz w:val="24"/>
          <w:szCs w:val="24"/>
        </w:rPr>
      </w:pPr>
      <w:r>
        <w:t>In most circumstances, a claimant would likely identify themselves as having a pension from non-covered employment based on their responses during their initial application for benefits</w:t>
      </w:r>
      <w:r w:rsidRPr="00C237C3">
        <w:t>.</w:t>
      </w:r>
      <w:r>
        <w:t xml:space="preserve">  </w:t>
      </w:r>
      <w:r w:rsidRPr="00C237C3">
        <w:t xml:space="preserve">In those cases, SSA may calculate the WEP for that claimant.  WEP is an alternate calculation of the primary insurance amount for individuals who receive a pension based on non-covered employment.  If the claimant has the information </w:t>
      </w:r>
      <w:r w:rsidRPr="00C237C3">
        <w:t xml:space="preserve">available, we enter it into the computer system and do not need to send an SSA-150 (as indicated below – 80% go directly into MCS).  Rather, we only need to use the SSA-150 if the claimant does not know the specifics about his or her pension and it is applicable to his or her claim. </w:t>
      </w:r>
      <w:r>
        <w:t xml:space="preserve"> </w:t>
      </w:r>
      <w:r w:rsidRPr="00C237C3">
        <w:t xml:space="preserve">The </w:t>
      </w:r>
      <w:r w:rsidRPr="00F363FE">
        <w:t>SSA-150 collects the information needed to make all the necessary benefit computations.</w:t>
      </w:r>
      <w:r>
        <w:t xml:space="preserve"> </w:t>
      </w:r>
      <w:r w:rsidRPr="00F363FE">
        <w:t xml:space="preserve"> </w:t>
      </w:r>
      <w:r>
        <w:t xml:space="preserve">If Social Security determines the WEP applies, </w:t>
      </w:r>
      <w:r w:rsidRPr="00F363FE">
        <w:t xml:space="preserve">the resulting </w:t>
      </w:r>
      <w:r w:rsidRPr="00C90906">
        <w:t xml:space="preserve">reduction cannot </w:t>
      </w:r>
      <w:r>
        <w:t>be more than</w:t>
      </w:r>
      <w:r w:rsidRPr="00C90906">
        <w:t xml:space="preserve"> half of the non</w:t>
      </w:r>
      <w:r>
        <w:t>-</w:t>
      </w:r>
      <w:r w:rsidRPr="00C90906">
        <w:t>covered pension</w:t>
      </w:r>
      <w:r>
        <w:t xml:space="preserve">. If a claimant fails to complete the SSA-150, </w:t>
      </w:r>
      <w:r w:rsidRPr="00F363FE">
        <w:t>SSA calculates</w:t>
      </w:r>
      <w:r>
        <w:t xml:space="preserve"> the benefits of applicants by assuming</w:t>
      </w:r>
      <w:r w:rsidRPr="00F363FE">
        <w:t xml:space="preserve"> the full WEP reduction.  SSA employees collect this information once from the applicant at the time they file their claim.  </w:t>
      </w:r>
      <w:r w:rsidRPr="00964754">
        <w:rPr>
          <w:rStyle w:val="cf01"/>
          <w:rFonts w:ascii="Times New Roman" w:hAnsi="Times New Roman" w:cs="Times New Roman"/>
          <w:snapToGrid w:val="0"/>
          <w:color w:val="auto"/>
          <w:sz w:val="24"/>
          <w:szCs w:val="24"/>
        </w:rPr>
        <w:t>SSA uses Forms SSA-150 (OMB No. 0960-0395) and</w:t>
      </w:r>
    </w:p>
    <w:p w:rsidR="00E42097" w:rsidRPr="00F363FE" w:rsidP="00E42097" w14:paraId="40E44C2D" w14:textId="23D70857">
      <w:pPr>
        <w:pStyle w:val="pf0"/>
        <w:spacing w:before="0" w:beforeAutospacing="0" w:after="0" w:afterAutospacing="0"/>
        <w:ind w:left="720"/>
      </w:pPr>
      <w:r w:rsidRPr="00964754">
        <w:rPr>
          <w:rStyle w:val="cf01"/>
          <w:rFonts w:ascii="Times New Roman" w:hAnsi="Times New Roman" w:cs="Times New Roman"/>
          <w:snapToGrid w:val="0"/>
          <w:color w:val="auto"/>
          <w:sz w:val="24"/>
          <w:szCs w:val="24"/>
        </w:rPr>
        <w:t>SSA-58 (OMB No. 0960-0477) in different cases.</w:t>
      </w:r>
      <w:r>
        <w:rPr>
          <w:rStyle w:val="cf01"/>
        </w:rPr>
        <w:t xml:space="preserve"> </w:t>
      </w:r>
      <w:r w:rsidRPr="00964754">
        <w:rPr>
          <w:rStyle w:val="cf01"/>
          <w:rFonts w:ascii="Times New Roman" w:hAnsi="Times New Roman" w:cs="Times New Roman"/>
          <w:snapToGrid w:val="0"/>
          <w:color w:val="auto"/>
          <w:sz w:val="24"/>
          <w:szCs w:val="24"/>
        </w:rPr>
        <w:t xml:space="preserve"> </w:t>
      </w:r>
      <w:r>
        <w:rPr>
          <w:rStyle w:val="cf01"/>
          <w:rFonts w:ascii="Times New Roman" w:hAnsi="Times New Roman" w:cs="Times New Roman"/>
          <w:snapToGrid w:val="0"/>
          <w:color w:val="auto"/>
          <w:sz w:val="24"/>
          <w:szCs w:val="24"/>
        </w:rPr>
        <w:t xml:space="preserve"> </w:t>
      </w:r>
      <w:r w:rsidRPr="00964754">
        <w:rPr>
          <w:rStyle w:val="cf01"/>
          <w:rFonts w:ascii="Times New Roman" w:hAnsi="Times New Roman" w:cs="Times New Roman"/>
          <w:snapToGrid w:val="0"/>
          <w:color w:val="auto"/>
          <w:sz w:val="24"/>
          <w:szCs w:val="24"/>
        </w:rPr>
        <w:t>If the claimant provides the information during the application process (either by phone or in-person), then SSA does not need to use either form</w:t>
      </w:r>
      <w:r>
        <w:rPr>
          <w:rStyle w:val="cf01"/>
        </w:rPr>
        <w:t xml:space="preserve">.   </w:t>
      </w:r>
      <w:r w:rsidRPr="00964754">
        <w:rPr>
          <w:rStyle w:val="cf01"/>
          <w:rFonts w:ascii="Times New Roman" w:hAnsi="Times New Roman" w:cs="Times New Roman"/>
          <w:snapToGrid w:val="0"/>
          <w:color w:val="auto"/>
          <w:sz w:val="24"/>
          <w:szCs w:val="24"/>
        </w:rPr>
        <w:t xml:space="preserve"> However, if during the interview, the claimants state they have the information at home and just don’t have it with them, the claims representative may allow the claimant to write down the information on the SSA-150. </w:t>
      </w:r>
      <w:r>
        <w:rPr>
          <w:rStyle w:val="cf01"/>
          <w:rFonts w:ascii="Times New Roman" w:hAnsi="Times New Roman" w:cs="Times New Roman"/>
          <w:snapToGrid w:val="0"/>
          <w:color w:val="auto"/>
          <w:sz w:val="24"/>
          <w:szCs w:val="24"/>
        </w:rPr>
        <w:t xml:space="preserve"> </w:t>
      </w:r>
      <w:r>
        <w:rPr>
          <w:rStyle w:val="cf01"/>
        </w:rPr>
        <w:t xml:space="preserve"> </w:t>
      </w:r>
      <w:r w:rsidRPr="00964754">
        <w:rPr>
          <w:rStyle w:val="cf01"/>
          <w:rFonts w:ascii="Times New Roman" w:hAnsi="Times New Roman" w:cs="Times New Roman"/>
          <w:snapToGrid w:val="0"/>
          <w:color w:val="auto"/>
          <w:sz w:val="24"/>
          <w:szCs w:val="24"/>
        </w:rPr>
        <w:t>If the claimant seems completely unaware</w:t>
      </w:r>
      <w:r>
        <w:rPr>
          <w:rStyle w:val="cf01"/>
        </w:rPr>
        <w:t xml:space="preserve"> </w:t>
      </w:r>
      <w:r w:rsidRPr="00964754">
        <w:rPr>
          <w:rStyle w:val="cf01"/>
          <w:rFonts w:ascii="Times New Roman" w:hAnsi="Times New Roman" w:cs="Times New Roman"/>
          <w:snapToGrid w:val="0"/>
          <w:color w:val="auto"/>
          <w:sz w:val="24"/>
          <w:szCs w:val="24"/>
        </w:rPr>
        <w:t>of details regarding the pension (i.e., the pension amount, start date, etc.), the claims representative uses the SSA-58, as the claimant might not have the information at hand.</w:t>
      </w:r>
      <w:r>
        <w:rPr>
          <w:rStyle w:val="cf01"/>
        </w:rPr>
        <w:t xml:space="preserve">  </w:t>
      </w:r>
      <w:r w:rsidRPr="00964754">
        <w:rPr>
          <w:rStyle w:val="cf01"/>
          <w:rFonts w:ascii="Times New Roman" w:hAnsi="Times New Roman" w:cs="Times New Roman"/>
          <w:snapToGrid w:val="0"/>
          <w:color w:val="auto"/>
          <w:sz w:val="24"/>
          <w:szCs w:val="24"/>
        </w:rPr>
        <w:t xml:space="preserve"> Because we use these forms in different situations, and SSA does not need to use the SSA-150 in cases where the claimant needs an SSA-58, we maintain these two forms under separate OMB approvals.</w:t>
      </w:r>
      <w:r>
        <w:t xml:space="preserve">  </w:t>
      </w:r>
      <w:r w:rsidRPr="00F363FE">
        <w:t>The respondents are applicants for old age and disability benefits.</w:t>
      </w:r>
    </w:p>
    <w:p w:rsidR="00C237C3" w:rsidP="00E42097" w14:paraId="39CE949B" w14:textId="23F9E62C">
      <w:pPr>
        <w:tabs>
          <w:tab w:val="left" w:pos="540"/>
          <w:tab w:val="left" w:pos="1170"/>
        </w:tabs>
        <w:ind w:left="720"/>
        <w:rPr>
          <w:rFonts w:ascii="Times New Roman" w:hAnsi="Times New Roman"/>
        </w:rPr>
      </w:pPr>
    </w:p>
    <w:p w:rsidR="00C237C3" w:rsidRPr="00C237C3" w:rsidP="00C237C3" w14:paraId="14BF67B7" w14:textId="59E8E255">
      <w:pPr>
        <w:numPr>
          <w:ilvl w:val="0"/>
          <w:numId w:val="21"/>
        </w:numPr>
        <w:tabs>
          <w:tab w:val="left" w:pos="540"/>
          <w:tab w:val="left" w:pos="1170"/>
        </w:tabs>
        <w:ind w:hanging="270"/>
        <w:rPr>
          <w:rFonts w:ascii="Times New Roman" w:hAnsi="Times New Roman"/>
        </w:rPr>
      </w:pPr>
      <w:r w:rsidRPr="00F363FE">
        <w:rPr>
          <w:rFonts w:ascii="Times New Roman" w:hAnsi="Times New Roman"/>
          <w:b/>
        </w:rPr>
        <w:t>Use of Information Technology to Collect the Information</w:t>
      </w:r>
    </w:p>
    <w:p w:rsidR="00C237C3" w:rsidP="00C237C3" w14:paraId="563FB643" w14:textId="41613AA1">
      <w:pPr>
        <w:tabs>
          <w:tab w:val="left" w:pos="540"/>
          <w:tab w:val="left" w:pos="1170"/>
        </w:tabs>
        <w:ind w:left="720"/>
        <w:rPr>
          <w:rFonts w:ascii="Times New Roman" w:hAnsi="Times New Roman"/>
        </w:rPr>
      </w:pPr>
      <w:r>
        <w:rPr>
          <w:rFonts w:ascii="Times New Roman" w:hAnsi="Times New Roman"/>
        </w:rPr>
        <w:t>The SSA-150 is available as a fillable PDF on SSA’s website</w:t>
      </w:r>
      <w:r w:rsidRPr="005C31CE">
        <w:rPr>
          <w:rFonts w:ascii="Times New Roman" w:hAnsi="Times New Roman"/>
        </w:rPr>
        <w:t xml:space="preserve">.  </w:t>
      </w:r>
      <w:r w:rsidRPr="005C31CE">
        <w:rPr>
          <w:rFonts w:ascii="Times New Roman" w:hAnsi="Times New Roman"/>
          <w:snapToGrid w:val="0"/>
        </w:rPr>
        <w:t>While we currently do not allow for electronic submission of this information collection as described under the Government Paperwork Elimination Act, we updated the form to remove the signature requirement.  Therefore, respondents can complete the form electronically, download it, and either send or bring it to a field office for processing, with no need for a wet signature (or a signature of any kind)</w:t>
      </w:r>
      <w:r w:rsidRPr="005C31CE">
        <w:rPr>
          <w:rFonts w:ascii="Times New Roman" w:hAnsi="Times New Roman"/>
        </w:rPr>
        <w:t>.</w:t>
      </w:r>
      <w:r w:rsidRPr="00F363FE">
        <w:rPr>
          <w:rFonts w:ascii="Times New Roman" w:hAnsi="Times New Roman"/>
        </w:rPr>
        <w:t xml:space="preserve"> </w:t>
      </w:r>
      <w:r>
        <w:rPr>
          <w:rFonts w:ascii="Times New Roman" w:hAnsi="Times New Roman"/>
        </w:rPr>
        <w:t>SSA estimates that approximately 80% of respondents complete the form via a personal interview in a field office with a claims representative who enters the oral responses directly into</w:t>
      </w:r>
      <w:r w:rsidRPr="00F363FE">
        <w:rPr>
          <w:rFonts w:ascii="Times New Roman" w:hAnsi="Times New Roman"/>
        </w:rPr>
        <w:t xml:space="preserve"> </w:t>
      </w:r>
      <w:r>
        <w:rPr>
          <w:rFonts w:ascii="Times New Roman" w:hAnsi="Times New Roman"/>
        </w:rPr>
        <w:t xml:space="preserve">the Intranet </w:t>
      </w:r>
      <w:r w:rsidRPr="00F363FE">
        <w:rPr>
          <w:rFonts w:ascii="Times New Roman" w:hAnsi="Times New Roman"/>
        </w:rPr>
        <w:t>Modernized Claims System (MCS) screens as part of a personal interview with the respondent</w:t>
      </w:r>
      <w:r>
        <w:rPr>
          <w:rFonts w:ascii="Times New Roman" w:hAnsi="Times New Roman"/>
        </w:rPr>
        <w:t>.</w:t>
      </w:r>
      <w:r w:rsidRPr="00F363FE">
        <w:rPr>
          <w:rFonts w:ascii="Times New Roman" w:hAnsi="Times New Roman"/>
        </w:rPr>
        <w:t xml:space="preserve"> </w:t>
      </w:r>
    </w:p>
    <w:p w:rsidR="00C237C3" w:rsidRPr="00C237C3" w:rsidP="00C237C3" w14:paraId="2734AAB7" w14:textId="2A85E913">
      <w:pPr>
        <w:tabs>
          <w:tab w:val="left" w:pos="540"/>
          <w:tab w:val="left" w:pos="1170"/>
        </w:tabs>
        <w:ind w:left="720"/>
        <w:rPr>
          <w:rFonts w:ascii="Times New Roman" w:hAnsi="Times New Roman"/>
        </w:rPr>
      </w:pPr>
    </w:p>
    <w:p w:rsidR="00C237C3" w:rsidRPr="00C237C3" w:rsidP="00C237C3" w14:paraId="6E4B5963" w14:textId="5E276CC7">
      <w:pPr>
        <w:tabs>
          <w:tab w:val="left" w:pos="540"/>
          <w:tab w:val="left" w:pos="1170"/>
        </w:tabs>
        <w:ind w:left="720"/>
        <w:rPr>
          <w:rFonts w:ascii="Times New Roman" w:hAnsi="Times New Roman"/>
          <w:b/>
        </w:rPr>
      </w:pPr>
      <w:r w:rsidRPr="00C237C3">
        <w:rPr>
          <w:rFonts w:ascii="Times New Roman" w:hAnsi="Times New Roman"/>
        </w:rPr>
        <w:t>In addition, the agency is planning to convert this form into a submittable PDF within the next 3-6 years.  Once we schedule the SSA-150 for submittable PDF implementation, we will submit a Change Request to OMB to obtain approval prior to implementing.</w:t>
      </w:r>
    </w:p>
    <w:p w:rsidR="00C237C3" w:rsidP="00C237C3" w14:paraId="03329E34" w14:textId="77777777">
      <w:pPr>
        <w:tabs>
          <w:tab w:val="left" w:pos="540"/>
          <w:tab w:val="left" w:pos="1170"/>
        </w:tabs>
        <w:ind w:left="720"/>
        <w:rPr>
          <w:rFonts w:ascii="Times New Roman" w:hAnsi="Times New Roman"/>
        </w:rPr>
      </w:pPr>
    </w:p>
    <w:p w:rsidR="00C237C3" w:rsidP="00C237C3" w14:paraId="56BF84C9" w14:textId="33265CE2">
      <w:pPr>
        <w:numPr>
          <w:ilvl w:val="0"/>
          <w:numId w:val="21"/>
        </w:numPr>
        <w:tabs>
          <w:tab w:val="left" w:pos="540"/>
          <w:tab w:val="left" w:pos="1170"/>
        </w:tabs>
        <w:ind w:hanging="270"/>
        <w:rPr>
          <w:rFonts w:ascii="Times New Roman" w:hAnsi="Times New Roman"/>
        </w:rPr>
      </w:pPr>
      <w:r w:rsidRPr="00F363FE">
        <w:rPr>
          <w:rFonts w:ascii="Times New Roman" w:hAnsi="Times New Roman"/>
          <w:b/>
        </w:rPr>
        <w:t>Why We Cannot Use Duplicate Information</w:t>
      </w:r>
    </w:p>
    <w:p w:rsidR="00C237C3" w:rsidP="00C237C3" w14:paraId="61C609A4" w14:textId="3020FA5B">
      <w:pPr>
        <w:tabs>
          <w:tab w:val="left" w:pos="540"/>
          <w:tab w:val="left" w:pos="1170"/>
        </w:tabs>
        <w:ind w:left="720"/>
        <w:rPr>
          <w:rFonts w:ascii="Times New Roman" w:hAnsi="Times New Roman"/>
        </w:rPr>
      </w:pPr>
      <w:r w:rsidRPr="00106550">
        <w:rPr>
          <w:rFonts w:ascii="Times New Roman" w:hAnsi="Times New Roman"/>
        </w:rPr>
        <w:t>The nature of the information we collect and the manner in which we collect it precludes duplication.  SSA does not use another collection instrument to obtain similar data</w:t>
      </w:r>
      <w:r>
        <w:rPr>
          <w:rFonts w:ascii="Times New Roman" w:hAnsi="Times New Roman"/>
        </w:rPr>
        <w:t>.</w:t>
      </w:r>
    </w:p>
    <w:p w:rsidR="00C237C3" w:rsidRPr="00C237C3" w:rsidP="00C237C3" w14:paraId="3EC87AF5" w14:textId="6064A3F4">
      <w:pPr>
        <w:tabs>
          <w:tab w:val="left" w:pos="540"/>
          <w:tab w:val="left" w:pos="1170"/>
        </w:tabs>
        <w:ind w:left="720"/>
        <w:rPr>
          <w:rFonts w:ascii="Times New Roman" w:hAnsi="Times New Roman"/>
        </w:rPr>
      </w:pPr>
      <w:r>
        <w:rPr>
          <w:rFonts w:ascii="Times New Roman" w:hAnsi="Times New Roman"/>
        </w:rPr>
        <w:t xml:space="preserve"> </w:t>
      </w:r>
    </w:p>
    <w:p w:rsidR="00C237C3" w:rsidRPr="00C237C3" w:rsidP="00C237C3" w14:paraId="10ABD836" w14:textId="4AEFAC9C">
      <w:pPr>
        <w:numPr>
          <w:ilvl w:val="0"/>
          <w:numId w:val="21"/>
        </w:numPr>
        <w:tabs>
          <w:tab w:val="left" w:pos="540"/>
          <w:tab w:val="left" w:pos="1170"/>
        </w:tabs>
        <w:ind w:hanging="270"/>
        <w:rPr>
          <w:rFonts w:ascii="Times New Roman" w:hAnsi="Times New Roman"/>
        </w:rPr>
      </w:pPr>
      <w:r w:rsidRPr="00F363FE">
        <w:rPr>
          <w:rFonts w:ascii="Times New Roman" w:hAnsi="Times New Roman"/>
          <w:b/>
        </w:rPr>
        <w:t>Minimizing Burden on Small Respondents</w:t>
      </w:r>
    </w:p>
    <w:p w:rsidR="00C237C3" w:rsidP="00C237C3" w14:paraId="67BDAF3E" w14:textId="2CA59D57">
      <w:pPr>
        <w:tabs>
          <w:tab w:val="left" w:pos="540"/>
          <w:tab w:val="left" w:pos="1170"/>
        </w:tabs>
        <w:ind w:left="720"/>
        <w:rPr>
          <w:rFonts w:ascii="Times New Roman" w:hAnsi="Times New Roman"/>
          <w:b/>
        </w:rPr>
      </w:pPr>
      <w:r w:rsidRPr="00F363FE">
        <w:rPr>
          <w:rFonts w:ascii="Times New Roman" w:hAnsi="Times New Roman"/>
        </w:rPr>
        <w:t>This collection does not affect small businesses or other small entities</w:t>
      </w:r>
      <w:r>
        <w:rPr>
          <w:rFonts w:ascii="Times New Roman" w:hAnsi="Times New Roman"/>
        </w:rPr>
        <w:t>.</w:t>
      </w:r>
    </w:p>
    <w:p w:rsidR="00C237C3" w:rsidP="00C237C3" w14:paraId="6586C07D" w14:textId="77777777">
      <w:pPr>
        <w:tabs>
          <w:tab w:val="left" w:pos="540"/>
          <w:tab w:val="left" w:pos="1170"/>
        </w:tabs>
        <w:ind w:left="720"/>
        <w:rPr>
          <w:rFonts w:ascii="Times New Roman" w:hAnsi="Times New Roman"/>
        </w:rPr>
      </w:pPr>
    </w:p>
    <w:p w:rsidR="00C237C3" w:rsidRPr="00C237C3" w:rsidP="00C237C3" w14:paraId="7371B4D1" w14:textId="0C24CC54">
      <w:pPr>
        <w:numPr>
          <w:ilvl w:val="0"/>
          <w:numId w:val="21"/>
        </w:numPr>
        <w:tabs>
          <w:tab w:val="left" w:pos="540"/>
          <w:tab w:val="left" w:pos="1170"/>
        </w:tabs>
        <w:ind w:hanging="270"/>
        <w:rPr>
          <w:rFonts w:ascii="Times New Roman" w:hAnsi="Times New Roman"/>
        </w:rPr>
      </w:pPr>
      <w:r w:rsidRPr="00106550">
        <w:rPr>
          <w:rFonts w:ascii="Times New Roman" w:hAnsi="Times New Roman"/>
          <w:b/>
        </w:rPr>
        <w:t>Consequence of Not collecting Information or Collecting it Less Frequently</w:t>
      </w:r>
    </w:p>
    <w:p w:rsidR="00C237C3" w:rsidP="00C237C3" w14:paraId="7ABF6C95" w14:textId="244E1E77">
      <w:pPr>
        <w:tabs>
          <w:tab w:val="left" w:pos="540"/>
          <w:tab w:val="left" w:pos="1170"/>
        </w:tabs>
        <w:ind w:left="720"/>
        <w:rPr>
          <w:rFonts w:ascii="Times New Roman" w:hAnsi="Times New Roman"/>
          <w:b/>
        </w:rPr>
      </w:pPr>
      <w:r w:rsidRPr="00106550">
        <w:rPr>
          <w:rFonts w:ascii="Times New Roman" w:hAnsi="Times New Roman"/>
        </w:rPr>
        <w:t xml:space="preserve">If we </w:t>
      </w:r>
      <w:r>
        <w:rPr>
          <w:rFonts w:ascii="Times New Roman" w:hAnsi="Times New Roman"/>
        </w:rPr>
        <w:t>did not use Form SSA-150</w:t>
      </w:r>
      <w:r w:rsidRPr="00106550">
        <w:rPr>
          <w:rFonts w:ascii="Times New Roman" w:hAnsi="Times New Roman"/>
        </w:rPr>
        <w:t xml:space="preserve">, claimants who receive benefits from employment not covered by Social Security would receive an incorrect benefit amount from Social </w:t>
      </w:r>
      <w:r w:rsidRPr="00106550">
        <w:rPr>
          <w:rFonts w:ascii="Times New Roman" w:hAnsi="Times New Roman"/>
        </w:rPr>
        <w:t>Security, which wo</w:t>
      </w:r>
      <w:r>
        <w:rPr>
          <w:rFonts w:ascii="Times New Roman" w:hAnsi="Times New Roman"/>
        </w:rPr>
        <w:t xml:space="preserve">uld not be compliant with WEP.  Because </w:t>
      </w:r>
      <w:r w:rsidRPr="00106550">
        <w:rPr>
          <w:rFonts w:ascii="Times New Roman" w:hAnsi="Times New Roman"/>
        </w:rPr>
        <w:t>we only collect this information once from each applicant, we cannot collect this information less frequently.  There are no technical or legal obstacles to burden reduction</w:t>
      </w:r>
      <w:r>
        <w:rPr>
          <w:rFonts w:ascii="Times New Roman" w:hAnsi="Times New Roman"/>
        </w:rPr>
        <w:t>.</w:t>
      </w:r>
    </w:p>
    <w:p w:rsidR="00C237C3" w:rsidP="00C237C3" w14:paraId="5E33FB25" w14:textId="77777777">
      <w:pPr>
        <w:tabs>
          <w:tab w:val="left" w:pos="540"/>
          <w:tab w:val="left" w:pos="1170"/>
        </w:tabs>
        <w:ind w:left="720"/>
        <w:rPr>
          <w:rFonts w:ascii="Times New Roman" w:hAnsi="Times New Roman"/>
        </w:rPr>
      </w:pPr>
    </w:p>
    <w:p w:rsidR="00C237C3" w:rsidRPr="00C237C3" w:rsidP="00C237C3" w14:paraId="79BAF7B9" w14:textId="647F0198">
      <w:pPr>
        <w:numPr>
          <w:ilvl w:val="0"/>
          <w:numId w:val="21"/>
        </w:numPr>
        <w:tabs>
          <w:tab w:val="left" w:pos="540"/>
          <w:tab w:val="left" w:pos="1170"/>
        </w:tabs>
        <w:ind w:hanging="270"/>
        <w:rPr>
          <w:rFonts w:ascii="Times New Roman" w:hAnsi="Times New Roman"/>
        </w:rPr>
      </w:pPr>
      <w:r w:rsidRPr="008D521D">
        <w:rPr>
          <w:rFonts w:ascii="Times New Roman" w:hAnsi="Times New Roman"/>
          <w:b/>
        </w:rPr>
        <w:t>Special Circumstances</w:t>
      </w:r>
    </w:p>
    <w:p w:rsidR="00C237C3" w:rsidP="00C237C3" w14:paraId="776D15BB" w14:textId="6224E171">
      <w:pPr>
        <w:tabs>
          <w:tab w:val="left" w:pos="540"/>
          <w:tab w:val="left" w:pos="1170"/>
        </w:tabs>
        <w:ind w:left="720"/>
        <w:rPr>
          <w:rFonts w:ascii="Times New Roman" w:hAnsi="Times New Roman"/>
          <w:b/>
        </w:rPr>
      </w:pPr>
      <w:r w:rsidRPr="00F363FE">
        <w:rPr>
          <w:rFonts w:ascii="Times New Roman" w:hAnsi="Times New Roman"/>
          <w:bCs/>
        </w:rPr>
        <w:t xml:space="preserve">There are no special circumstances that would cause SSA to conduct this information collection in a manner inconsistent with </w:t>
      </w:r>
      <w:r w:rsidRPr="00F363FE">
        <w:rPr>
          <w:rFonts w:ascii="Times New Roman" w:hAnsi="Times New Roman"/>
          <w:bCs/>
          <w:i/>
        </w:rPr>
        <w:t>5 CFR 1320.5.</w:t>
      </w:r>
    </w:p>
    <w:p w:rsidR="00C237C3" w:rsidP="00C237C3" w14:paraId="7E5FA9B5" w14:textId="77777777">
      <w:pPr>
        <w:tabs>
          <w:tab w:val="left" w:pos="540"/>
          <w:tab w:val="left" w:pos="1170"/>
        </w:tabs>
        <w:ind w:left="720"/>
        <w:rPr>
          <w:rFonts w:ascii="Times New Roman" w:hAnsi="Times New Roman"/>
        </w:rPr>
      </w:pPr>
    </w:p>
    <w:p w:rsidR="00C237C3" w:rsidRPr="00C237C3" w:rsidP="00C237C3" w14:paraId="0E89EF30" w14:textId="7CFD2EF1">
      <w:pPr>
        <w:numPr>
          <w:ilvl w:val="0"/>
          <w:numId w:val="21"/>
        </w:numPr>
        <w:tabs>
          <w:tab w:val="left" w:pos="540"/>
          <w:tab w:val="left" w:pos="1170"/>
        </w:tabs>
        <w:ind w:hanging="270"/>
        <w:rPr>
          <w:rFonts w:ascii="Times New Roman" w:hAnsi="Times New Roman"/>
        </w:rPr>
      </w:pPr>
      <w:r w:rsidRPr="006D20DA">
        <w:rPr>
          <w:rFonts w:ascii="Times New Roman" w:hAnsi="Times New Roman"/>
          <w:b/>
        </w:rPr>
        <w:t>Solicitation of Public Comment and Other Consultations with the Public</w:t>
      </w:r>
    </w:p>
    <w:p w:rsidR="00C237C3" w:rsidRPr="00C237C3" w:rsidP="00C237C3" w14:paraId="17FED4F4" w14:textId="50E3A41F">
      <w:pPr>
        <w:pStyle w:val="ListParagraph"/>
        <w:rPr>
          <w:rFonts w:ascii="Times New Roman" w:hAnsi="Times New Roman"/>
          <w:iCs/>
        </w:rPr>
      </w:pPr>
      <w:r w:rsidRPr="00C237C3">
        <w:rPr>
          <w:rFonts w:ascii="Times New Roman" w:hAnsi="Times New Roman"/>
        </w:rPr>
        <w:t>The 60-day advance Federal Register Notice published on June 5, 2020, at</w:t>
      </w:r>
      <w:r>
        <w:rPr>
          <w:rFonts w:ascii="Times New Roman" w:hAnsi="Times New Roman"/>
        </w:rPr>
        <w:t xml:space="preserve"> </w:t>
      </w:r>
      <w:r w:rsidRPr="00C237C3">
        <w:rPr>
          <w:rFonts w:ascii="Times New Roman" w:hAnsi="Times New Roman"/>
        </w:rPr>
        <w:t xml:space="preserve">85 FR 34703, and we received no public comments.  The 30-day FRN published on August 20, 2020, at 85 FR 51536.  If we receive any comments in response to this Notice, we will forward them to OMB.  </w:t>
      </w:r>
      <w:r w:rsidRPr="00C237C3">
        <w:rPr>
          <w:rFonts w:ascii="Times New Roman" w:hAnsi="Times New Roman"/>
          <w:iCs/>
        </w:rPr>
        <w:t>We did not consult with the public in the revision of this form</w:t>
      </w:r>
      <w:r>
        <w:rPr>
          <w:rFonts w:ascii="Times New Roman" w:hAnsi="Times New Roman"/>
          <w:iCs/>
        </w:rPr>
        <w:t>.</w:t>
      </w:r>
    </w:p>
    <w:p w:rsidR="00C237C3" w:rsidP="00C237C3" w14:paraId="1AB49382" w14:textId="77777777">
      <w:pPr>
        <w:tabs>
          <w:tab w:val="left" w:pos="540"/>
          <w:tab w:val="left" w:pos="1170"/>
        </w:tabs>
        <w:ind w:left="720"/>
        <w:rPr>
          <w:rFonts w:ascii="Times New Roman" w:hAnsi="Times New Roman"/>
        </w:rPr>
      </w:pPr>
    </w:p>
    <w:p w:rsidR="00C237C3" w:rsidRPr="00C237C3" w:rsidP="00C237C3" w14:paraId="7FA82DE1" w14:textId="2E269A75">
      <w:pPr>
        <w:numPr>
          <w:ilvl w:val="0"/>
          <w:numId w:val="21"/>
        </w:numPr>
        <w:tabs>
          <w:tab w:val="left" w:pos="540"/>
          <w:tab w:val="left" w:pos="1170"/>
        </w:tabs>
        <w:ind w:hanging="270"/>
        <w:rPr>
          <w:rFonts w:ascii="Times New Roman" w:hAnsi="Times New Roman"/>
        </w:rPr>
      </w:pPr>
      <w:r w:rsidRPr="00F363FE">
        <w:rPr>
          <w:rFonts w:ascii="Times New Roman" w:hAnsi="Times New Roman"/>
          <w:b/>
        </w:rPr>
        <w:t>Payment or Gifts to Respondents</w:t>
      </w:r>
    </w:p>
    <w:p w:rsidR="00C237C3" w:rsidP="00C237C3" w14:paraId="5591ED86" w14:textId="2333DD6F">
      <w:pPr>
        <w:tabs>
          <w:tab w:val="left" w:pos="540"/>
          <w:tab w:val="left" w:pos="1170"/>
        </w:tabs>
        <w:ind w:left="720"/>
        <w:rPr>
          <w:rFonts w:ascii="Times New Roman" w:hAnsi="Times New Roman"/>
          <w:b/>
        </w:rPr>
      </w:pPr>
      <w:r w:rsidRPr="00F363FE">
        <w:rPr>
          <w:rFonts w:ascii="Times New Roman" w:hAnsi="Times New Roman"/>
        </w:rPr>
        <w:t>SSA does not provide payments or gifts to the respondents</w:t>
      </w:r>
      <w:r>
        <w:rPr>
          <w:rFonts w:ascii="Times New Roman" w:hAnsi="Times New Roman"/>
        </w:rPr>
        <w:t>.</w:t>
      </w:r>
    </w:p>
    <w:p w:rsidR="00C237C3" w:rsidP="00C237C3" w14:paraId="17C2AA91" w14:textId="22163BD8">
      <w:pPr>
        <w:tabs>
          <w:tab w:val="left" w:pos="540"/>
          <w:tab w:val="left" w:pos="1170"/>
        </w:tabs>
        <w:ind w:left="720"/>
        <w:rPr>
          <w:rFonts w:ascii="Times New Roman" w:hAnsi="Times New Roman"/>
          <w:b/>
        </w:rPr>
      </w:pPr>
    </w:p>
    <w:p w:rsidR="00C237C3" w:rsidRPr="003D0C5A" w:rsidP="003D0C5A" w14:paraId="07B4B180" w14:textId="6C832C58">
      <w:pPr>
        <w:numPr>
          <w:ilvl w:val="0"/>
          <w:numId w:val="21"/>
        </w:numPr>
        <w:tabs>
          <w:tab w:val="left" w:pos="540"/>
          <w:tab w:val="left" w:pos="720"/>
          <w:tab w:val="left" w:pos="1170"/>
        </w:tabs>
        <w:rPr>
          <w:rFonts w:ascii="Times New Roman" w:hAnsi="Times New Roman"/>
        </w:rPr>
      </w:pPr>
      <w:r w:rsidRPr="00F363FE">
        <w:rPr>
          <w:rFonts w:ascii="Times New Roman" w:hAnsi="Times New Roman"/>
          <w:b/>
        </w:rPr>
        <w:t>Assurances of Confidentiality</w:t>
      </w:r>
    </w:p>
    <w:p w:rsidR="003D0C5A" w:rsidP="003D0C5A" w14:paraId="7F492892" w14:textId="0D75AF2D">
      <w:pPr>
        <w:tabs>
          <w:tab w:val="left" w:pos="540"/>
          <w:tab w:val="left" w:pos="720"/>
          <w:tab w:val="left" w:pos="1170"/>
        </w:tabs>
        <w:ind w:left="720"/>
        <w:rPr>
          <w:rFonts w:ascii="Times New Roman" w:hAnsi="Times New Roman"/>
          <w:b/>
        </w:rPr>
      </w:pPr>
      <w:r w:rsidRPr="00F363FE">
        <w:rPr>
          <w:rFonts w:ascii="Times New Roman" w:hAnsi="Times New Roman"/>
          <w:iCs/>
        </w:rPr>
        <w:t xml:space="preserve">SSA protects and holds confidential the information it collects in accordance with </w:t>
      </w:r>
      <w:r w:rsidRPr="00F363FE">
        <w:rPr>
          <w:rFonts w:ascii="Times New Roman" w:hAnsi="Times New Roman"/>
          <w:i/>
          <w:iCs/>
        </w:rPr>
        <w:t>42 U.S.C. 1306, 20 CFR 401</w:t>
      </w:r>
      <w:r w:rsidRPr="00F363FE">
        <w:rPr>
          <w:rFonts w:ascii="Times New Roman" w:hAnsi="Times New Roman"/>
          <w:iCs/>
        </w:rPr>
        <w:t xml:space="preserve"> and </w:t>
      </w:r>
      <w:r w:rsidRPr="00F363FE">
        <w:rPr>
          <w:rFonts w:ascii="Times New Roman" w:hAnsi="Times New Roman"/>
          <w:i/>
          <w:iCs/>
        </w:rPr>
        <w:t>402, 5 U.S.C. 552</w:t>
      </w:r>
      <w:r w:rsidRPr="00F363FE">
        <w:rPr>
          <w:rFonts w:ascii="Times New Roman" w:hAnsi="Times New Roman"/>
          <w:iCs/>
        </w:rPr>
        <w:t xml:space="preserve"> (Freedom of Information Act), </w:t>
      </w:r>
      <w:r w:rsidRPr="00F363FE">
        <w:rPr>
          <w:rFonts w:ascii="Times New Roman" w:hAnsi="Times New Roman"/>
          <w:i/>
          <w:iCs/>
        </w:rPr>
        <w:t xml:space="preserve">5 U.S.C. 552a </w:t>
      </w:r>
      <w:r w:rsidRPr="00F363FE">
        <w:rPr>
          <w:rFonts w:ascii="Times New Roman" w:hAnsi="Times New Roman"/>
          <w:iCs/>
        </w:rPr>
        <w:t>(Privacy Act of 1974) and OMB Circular No. A-130</w:t>
      </w:r>
      <w:r>
        <w:rPr>
          <w:rFonts w:ascii="Times New Roman" w:hAnsi="Times New Roman"/>
          <w:iCs/>
        </w:rPr>
        <w:t>.</w:t>
      </w:r>
    </w:p>
    <w:p w:rsidR="003D0C5A" w:rsidRPr="00C237C3" w:rsidP="003D0C5A" w14:paraId="455BB87D" w14:textId="77777777">
      <w:pPr>
        <w:tabs>
          <w:tab w:val="left" w:pos="540"/>
          <w:tab w:val="left" w:pos="720"/>
          <w:tab w:val="left" w:pos="1170"/>
        </w:tabs>
        <w:ind w:left="720"/>
        <w:rPr>
          <w:rFonts w:ascii="Times New Roman" w:hAnsi="Times New Roman"/>
        </w:rPr>
      </w:pPr>
    </w:p>
    <w:p w:rsidR="00C237C3" w:rsidRPr="003D0C5A" w:rsidP="00C237C3" w14:paraId="797CE1C7" w14:textId="6E41E29B">
      <w:pPr>
        <w:numPr>
          <w:ilvl w:val="0"/>
          <w:numId w:val="21"/>
        </w:numPr>
        <w:tabs>
          <w:tab w:val="left" w:pos="540"/>
          <w:tab w:val="left" w:pos="1170"/>
        </w:tabs>
        <w:rPr>
          <w:rFonts w:ascii="Times New Roman" w:hAnsi="Times New Roman"/>
        </w:rPr>
      </w:pPr>
      <w:r w:rsidRPr="00F363FE">
        <w:rPr>
          <w:rFonts w:ascii="Times New Roman" w:hAnsi="Times New Roman"/>
          <w:b/>
        </w:rPr>
        <w:t>Justification for Sensitive Questions</w:t>
      </w:r>
    </w:p>
    <w:p w:rsidR="003D0C5A" w:rsidP="003D0C5A" w14:paraId="709F454C" w14:textId="23EEEF53">
      <w:pPr>
        <w:tabs>
          <w:tab w:val="left" w:pos="540"/>
          <w:tab w:val="left" w:pos="1170"/>
        </w:tabs>
        <w:ind w:left="720"/>
        <w:rPr>
          <w:rFonts w:ascii="Times New Roman" w:hAnsi="Times New Roman"/>
          <w:b/>
        </w:rPr>
      </w:pPr>
      <w:r w:rsidRPr="00F363FE">
        <w:rPr>
          <w:rFonts w:ascii="Times New Roman" w:hAnsi="Times New Roman"/>
        </w:rPr>
        <w:t>The information collection does not contain any questions of a sensitive nature</w:t>
      </w:r>
      <w:r>
        <w:rPr>
          <w:rFonts w:ascii="Times New Roman" w:hAnsi="Times New Roman"/>
        </w:rPr>
        <w:t>.</w:t>
      </w:r>
    </w:p>
    <w:p w:rsidR="003D0C5A" w:rsidRPr="00C237C3" w:rsidP="003D0C5A" w14:paraId="31C880DE" w14:textId="77777777">
      <w:pPr>
        <w:tabs>
          <w:tab w:val="left" w:pos="540"/>
          <w:tab w:val="left" w:pos="1170"/>
        </w:tabs>
        <w:ind w:left="720"/>
        <w:rPr>
          <w:rFonts w:ascii="Times New Roman" w:hAnsi="Times New Roman"/>
        </w:rPr>
      </w:pPr>
    </w:p>
    <w:p w:rsidR="003D0C5A" w:rsidRPr="003D0C5A" w:rsidP="003D0C5A" w14:paraId="69E743A3" w14:textId="0B15317B">
      <w:pPr>
        <w:numPr>
          <w:ilvl w:val="0"/>
          <w:numId w:val="21"/>
        </w:numPr>
        <w:tabs>
          <w:tab w:val="left" w:pos="540"/>
          <w:tab w:val="left" w:pos="1170"/>
        </w:tabs>
        <w:rPr>
          <w:rFonts w:ascii="Times New Roman" w:hAnsi="Times New Roman"/>
        </w:rPr>
      </w:pPr>
      <w:r w:rsidRPr="00520F01">
        <w:rPr>
          <w:rFonts w:ascii="Times New Roman" w:hAnsi="Times New Roman"/>
          <w:b/>
        </w:rPr>
        <w:t>Estimates of Public Reporting Burden</w:t>
      </w:r>
    </w:p>
    <w:tbl>
      <w:tblPr>
        <w:tblpPr w:leftFromText="180" w:rightFromText="180" w:vertAnchor="text" w:horzAnchor="page" w:tblpX="618" w:tblpY="422"/>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530"/>
        <w:gridCol w:w="1350"/>
        <w:gridCol w:w="1260"/>
        <w:gridCol w:w="1260"/>
        <w:gridCol w:w="1440"/>
        <w:gridCol w:w="1260"/>
        <w:gridCol w:w="1552"/>
      </w:tblGrid>
      <w:tr w14:paraId="078C74AC" w14:textId="77777777" w:rsidTr="00CD7548">
        <w:tblPrEx>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0"/>
        </w:trPr>
        <w:tc>
          <w:tcPr>
            <w:tcW w:w="1705" w:type="dxa"/>
            <w:shd w:val="clear" w:color="auto" w:fill="auto"/>
          </w:tcPr>
          <w:p w:rsidR="003D0C5A" w:rsidRPr="00520F01" w:rsidP="00CD7548" w14:paraId="41E24D92" w14:textId="77777777">
            <w:pPr>
              <w:tabs>
                <w:tab w:val="left" w:pos="540"/>
              </w:tabs>
              <w:rPr>
                <w:rFonts w:ascii="Times New Roman" w:hAnsi="Times New Roman"/>
                <w:b/>
              </w:rPr>
            </w:pPr>
            <w:r w:rsidRPr="00520F01">
              <w:rPr>
                <w:rFonts w:ascii="Times New Roman" w:hAnsi="Times New Roman"/>
                <w:b/>
              </w:rPr>
              <w:t>Modality of Completion</w:t>
            </w:r>
          </w:p>
        </w:tc>
        <w:tc>
          <w:tcPr>
            <w:tcW w:w="1530" w:type="dxa"/>
            <w:shd w:val="clear" w:color="auto" w:fill="auto"/>
          </w:tcPr>
          <w:p w:rsidR="003D0C5A" w:rsidRPr="00520F01" w:rsidP="00CD7548" w14:paraId="21C6BCDF" w14:textId="77777777">
            <w:pPr>
              <w:tabs>
                <w:tab w:val="left" w:pos="540"/>
              </w:tabs>
              <w:rPr>
                <w:rFonts w:ascii="Times New Roman" w:hAnsi="Times New Roman"/>
                <w:b/>
              </w:rPr>
            </w:pPr>
            <w:r w:rsidRPr="00520F01">
              <w:rPr>
                <w:rFonts w:ascii="Times New Roman" w:hAnsi="Times New Roman"/>
                <w:b/>
              </w:rPr>
              <w:t>Number of Respondents</w:t>
            </w:r>
          </w:p>
        </w:tc>
        <w:tc>
          <w:tcPr>
            <w:tcW w:w="1350" w:type="dxa"/>
            <w:shd w:val="clear" w:color="auto" w:fill="auto"/>
          </w:tcPr>
          <w:p w:rsidR="003D0C5A" w:rsidRPr="00520F01" w:rsidP="00CD7548" w14:paraId="604880E4" w14:textId="77777777">
            <w:pPr>
              <w:tabs>
                <w:tab w:val="left" w:pos="540"/>
              </w:tabs>
              <w:rPr>
                <w:rFonts w:ascii="Times New Roman" w:hAnsi="Times New Roman"/>
                <w:b/>
              </w:rPr>
            </w:pPr>
            <w:r w:rsidRPr="00520F01">
              <w:rPr>
                <w:rFonts w:ascii="Times New Roman" w:hAnsi="Times New Roman"/>
                <w:b/>
              </w:rPr>
              <w:t>Frequency of Response</w:t>
            </w:r>
          </w:p>
        </w:tc>
        <w:tc>
          <w:tcPr>
            <w:tcW w:w="1260" w:type="dxa"/>
            <w:shd w:val="clear" w:color="auto" w:fill="auto"/>
          </w:tcPr>
          <w:p w:rsidR="003D0C5A" w:rsidRPr="00520F01" w:rsidP="00CD7548" w14:paraId="5885886A" w14:textId="77777777">
            <w:pPr>
              <w:tabs>
                <w:tab w:val="left" w:pos="540"/>
              </w:tabs>
              <w:rPr>
                <w:rFonts w:ascii="Times New Roman" w:hAnsi="Times New Roman"/>
                <w:b/>
              </w:rPr>
            </w:pPr>
            <w:r w:rsidRPr="00520F01">
              <w:rPr>
                <w:rFonts w:ascii="Times New Roman" w:hAnsi="Times New Roman"/>
                <w:b/>
              </w:rPr>
              <w:t>Average Burden per Response (minutes)</w:t>
            </w:r>
          </w:p>
        </w:tc>
        <w:tc>
          <w:tcPr>
            <w:tcW w:w="1260" w:type="dxa"/>
            <w:shd w:val="clear" w:color="auto" w:fill="auto"/>
          </w:tcPr>
          <w:p w:rsidR="003D0C5A" w:rsidRPr="00520F01" w:rsidP="00CD7548" w14:paraId="15CF1F54" w14:textId="77777777">
            <w:pPr>
              <w:tabs>
                <w:tab w:val="left" w:pos="540"/>
              </w:tabs>
              <w:rPr>
                <w:rFonts w:ascii="Times New Roman" w:hAnsi="Times New Roman"/>
                <w:b/>
              </w:rPr>
            </w:pPr>
            <w:r w:rsidRPr="00520F01">
              <w:rPr>
                <w:rFonts w:ascii="Times New Roman" w:hAnsi="Times New Roman"/>
                <w:b/>
              </w:rPr>
              <w:t>Estimated Total Annual Burden (hours)</w:t>
            </w:r>
          </w:p>
        </w:tc>
        <w:tc>
          <w:tcPr>
            <w:tcW w:w="1440" w:type="dxa"/>
            <w:shd w:val="clear" w:color="auto" w:fill="auto"/>
          </w:tcPr>
          <w:p w:rsidR="003D0C5A" w:rsidRPr="00520F01" w:rsidP="00CD7548" w14:paraId="45F1A4AB" w14:textId="77777777">
            <w:pPr>
              <w:tabs>
                <w:tab w:val="left" w:pos="540"/>
              </w:tabs>
              <w:rPr>
                <w:rFonts w:ascii="Times New Roman" w:hAnsi="Times New Roman"/>
                <w:b/>
              </w:rPr>
            </w:pPr>
            <w:r w:rsidRPr="00520F01">
              <w:rPr>
                <w:rFonts w:ascii="Times New Roman" w:hAnsi="Times New Roman"/>
                <w:b/>
              </w:rPr>
              <w:t>Average Theoretical Hourly Cost Amount (dollars)*</w:t>
            </w:r>
          </w:p>
        </w:tc>
        <w:tc>
          <w:tcPr>
            <w:tcW w:w="1260" w:type="dxa"/>
            <w:shd w:val="clear" w:color="auto" w:fill="auto"/>
          </w:tcPr>
          <w:p w:rsidR="003D0C5A" w:rsidRPr="00520F01" w:rsidP="00CD7548" w14:paraId="62471514" w14:textId="77777777">
            <w:pPr>
              <w:tabs>
                <w:tab w:val="left" w:pos="540"/>
              </w:tabs>
              <w:rPr>
                <w:rFonts w:ascii="Times New Roman" w:hAnsi="Times New Roman"/>
                <w:b/>
              </w:rPr>
            </w:pPr>
            <w:r w:rsidRPr="00520F01">
              <w:rPr>
                <w:rFonts w:ascii="Times New Roman" w:hAnsi="Times New Roman"/>
                <w:b/>
              </w:rPr>
              <w:t xml:space="preserve">Average Wait Time in Field Office </w:t>
            </w:r>
          </w:p>
          <w:p w:rsidR="003D0C5A" w:rsidRPr="00520F01" w:rsidP="00CD7548" w14:paraId="5C007BC0" w14:textId="77777777">
            <w:pPr>
              <w:tabs>
                <w:tab w:val="left" w:pos="540"/>
              </w:tabs>
              <w:rPr>
                <w:rFonts w:ascii="Times New Roman" w:hAnsi="Times New Roman"/>
                <w:b/>
              </w:rPr>
            </w:pPr>
            <w:r w:rsidRPr="00520F01">
              <w:rPr>
                <w:rFonts w:ascii="Times New Roman" w:hAnsi="Times New Roman"/>
                <w:b/>
              </w:rPr>
              <w:t>(minutes) **</w:t>
            </w:r>
          </w:p>
        </w:tc>
        <w:tc>
          <w:tcPr>
            <w:tcW w:w="1552" w:type="dxa"/>
            <w:shd w:val="clear" w:color="auto" w:fill="auto"/>
          </w:tcPr>
          <w:p w:rsidR="003D0C5A" w:rsidRPr="00520F01" w:rsidP="00CD7548" w14:paraId="19986CA3" w14:textId="77777777">
            <w:pPr>
              <w:tabs>
                <w:tab w:val="left" w:pos="540"/>
              </w:tabs>
              <w:rPr>
                <w:rFonts w:ascii="Times New Roman" w:hAnsi="Times New Roman"/>
                <w:b/>
              </w:rPr>
            </w:pPr>
            <w:r w:rsidRPr="00520F01">
              <w:rPr>
                <w:rFonts w:ascii="Times New Roman" w:hAnsi="Times New Roman"/>
                <w:b/>
              </w:rPr>
              <w:t>Total Annual Opportunity Cost (dollars) ***</w:t>
            </w:r>
          </w:p>
        </w:tc>
      </w:tr>
      <w:tr w14:paraId="776C359A" w14:textId="77777777" w:rsidTr="00CD7548">
        <w:tblPrEx>
          <w:tblW w:w="11357" w:type="dxa"/>
          <w:tblLayout w:type="fixed"/>
          <w:tblLook w:val="04A0"/>
        </w:tblPrEx>
        <w:trPr>
          <w:cantSplit/>
          <w:trHeight w:val="203"/>
        </w:trPr>
        <w:tc>
          <w:tcPr>
            <w:tcW w:w="1705" w:type="dxa"/>
            <w:shd w:val="clear" w:color="auto" w:fill="auto"/>
          </w:tcPr>
          <w:p w:rsidR="003D0C5A" w:rsidRPr="000141B1" w:rsidP="00CD7548" w14:paraId="32649A97" w14:textId="77777777">
            <w:pPr>
              <w:tabs>
                <w:tab w:val="left" w:pos="540"/>
              </w:tabs>
              <w:rPr>
                <w:rFonts w:ascii="Times New Roman" w:hAnsi="Times New Roman"/>
              </w:rPr>
            </w:pPr>
            <w:r>
              <w:rPr>
                <w:rFonts w:ascii="Times New Roman" w:hAnsi="Times New Roman"/>
              </w:rPr>
              <w:t>SSA-150</w:t>
            </w:r>
          </w:p>
        </w:tc>
        <w:tc>
          <w:tcPr>
            <w:tcW w:w="1530" w:type="dxa"/>
            <w:shd w:val="clear" w:color="auto" w:fill="auto"/>
          </w:tcPr>
          <w:p w:rsidR="003D0C5A" w:rsidRPr="000141B1" w:rsidP="00CD7548" w14:paraId="588B5DDC" w14:textId="77777777">
            <w:pPr>
              <w:tabs>
                <w:tab w:val="left" w:pos="540"/>
              </w:tabs>
              <w:rPr>
                <w:rFonts w:ascii="Times New Roman" w:hAnsi="Times New Roman"/>
              </w:rPr>
            </w:pPr>
            <w:r>
              <w:rPr>
                <w:rFonts w:ascii="Times New Roman" w:hAnsi="Times New Roman"/>
              </w:rPr>
              <w:t>21,540</w:t>
            </w:r>
          </w:p>
        </w:tc>
        <w:tc>
          <w:tcPr>
            <w:tcW w:w="1350" w:type="dxa"/>
            <w:shd w:val="clear" w:color="auto" w:fill="auto"/>
          </w:tcPr>
          <w:p w:rsidR="003D0C5A" w:rsidRPr="000141B1" w:rsidP="00CD7548" w14:paraId="759C93F1" w14:textId="77777777">
            <w:pPr>
              <w:tabs>
                <w:tab w:val="left" w:pos="540"/>
              </w:tabs>
              <w:rPr>
                <w:rFonts w:ascii="Times New Roman" w:hAnsi="Times New Roman"/>
              </w:rPr>
            </w:pPr>
            <w:r>
              <w:rPr>
                <w:rFonts w:ascii="Times New Roman" w:hAnsi="Times New Roman"/>
              </w:rPr>
              <w:t>1</w:t>
            </w:r>
          </w:p>
        </w:tc>
        <w:tc>
          <w:tcPr>
            <w:tcW w:w="1260" w:type="dxa"/>
            <w:shd w:val="clear" w:color="auto" w:fill="auto"/>
          </w:tcPr>
          <w:p w:rsidR="003D0C5A" w:rsidRPr="000141B1" w:rsidP="00CD7548" w14:paraId="12E46849" w14:textId="77777777">
            <w:pPr>
              <w:tabs>
                <w:tab w:val="left" w:pos="540"/>
              </w:tabs>
              <w:rPr>
                <w:rFonts w:ascii="Times New Roman" w:hAnsi="Times New Roman"/>
              </w:rPr>
            </w:pPr>
            <w:r>
              <w:rPr>
                <w:rFonts w:ascii="Times New Roman" w:hAnsi="Times New Roman"/>
              </w:rPr>
              <w:t>25</w:t>
            </w:r>
          </w:p>
        </w:tc>
        <w:tc>
          <w:tcPr>
            <w:tcW w:w="1260" w:type="dxa"/>
            <w:shd w:val="clear" w:color="auto" w:fill="auto"/>
          </w:tcPr>
          <w:p w:rsidR="003D0C5A" w:rsidRPr="000141B1" w:rsidP="00CD7548" w14:paraId="5F816301" w14:textId="77777777">
            <w:pPr>
              <w:tabs>
                <w:tab w:val="left" w:pos="540"/>
              </w:tabs>
              <w:rPr>
                <w:rFonts w:ascii="Times New Roman" w:hAnsi="Times New Roman"/>
              </w:rPr>
            </w:pPr>
            <w:r>
              <w:rPr>
                <w:rFonts w:ascii="Times New Roman" w:hAnsi="Times New Roman"/>
              </w:rPr>
              <w:t>8,975</w:t>
            </w:r>
          </w:p>
        </w:tc>
        <w:tc>
          <w:tcPr>
            <w:tcW w:w="1440" w:type="dxa"/>
            <w:shd w:val="clear" w:color="auto" w:fill="auto"/>
          </w:tcPr>
          <w:p w:rsidR="003D0C5A" w:rsidRPr="000141B1" w:rsidP="00CD7548" w14:paraId="01BFF6D5" w14:textId="78B32A51">
            <w:pPr>
              <w:tabs>
                <w:tab w:val="left" w:pos="540"/>
              </w:tabs>
              <w:rPr>
                <w:rFonts w:ascii="Times New Roman" w:hAnsi="Times New Roman"/>
              </w:rPr>
            </w:pPr>
            <w:r>
              <w:rPr>
                <w:rFonts w:ascii="Times New Roman" w:hAnsi="Times New Roman"/>
              </w:rPr>
              <w:t>$1</w:t>
            </w:r>
            <w:r w:rsidR="005C31CE">
              <w:rPr>
                <w:rFonts w:ascii="Times New Roman" w:hAnsi="Times New Roman"/>
              </w:rPr>
              <w:t>3</w:t>
            </w:r>
            <w:r>
              <w:rPr>
                <w:rFonts w:ascii="Times New Roman" w:hAnsi="Times New Roman"/>
              </w:rPr>
              <w:t>.</w:t>
            </w:r>
            <w:r w:rsidR="005C31CE">
              <w:rPr>
                <w:rFonts w:ascii="Times New Roman" w:hAnsi="Times New Roman"/>
              </w:rPr>
              <w:t>30</w:t>
            </w:r>
            <w:r>
              <w:rPr>
                <w:rFonts w:ascii="Times New Roman" w:hAnsi="Times New Roman"/>
              </w:rPr>
              <w:t>*</w:t>
            </w:r>
          </w:p>
        </w:tc>
        <w:tc>
          <w:tcPr>
            <w:tcW w:w="1260" w:type="dxa"/>
            <w:shd w:val="clear" w:color="auto" w:fill="auto"/>
          </w:tcPr>
          <w:p w:rsidR="003D0C5A" w:rsidRPr="000141B1" w:rsidP="00CD7548" w14:paraId="3C6CF836" w14:textId="77777777">
            <w:pPr>
              <w:tabs>
                <w:tab w:val="left" w:pos="540"/>
              </w:tabs>
              <w:rPr>
                <w:rFonts w:ascii="Times New Roman" w:hAnsi="Times New Roman"/>
              </w:rPr>
            </w:pPr>
            <w:r>
              <w:rPr>
                <w:rFonts w:ascii="Times New Roman" w:hAnsi="Times New Roman"/>
              </w:rPr>
              <w:t>24**</w:t>
            </w:r>
          </w:p>
        </w:tc>
        <w:tc>
          <w:tcPr>
            <w:tcW w:w="1552" w:type="dxa"/>
            <w:shd w:val="clear" w:color="auto" w:fill="auto"/>
          </w:tcPr>
          <w:p w:rsidR="003D0C5A" w:rsidRPr="000141B1" w:rsidP="00CD7548" w14:paraId="3B7AF740" w14:textId="70F082A1">
            <w:pPr>
              <w:tabs>
                <w:tab w:val="left" w:pos="540"/>
              </w:tabs>
              <w:rPr>
                <w:rFonts w:ascii="Times New Roman" w:hAnsi="Times New Roman"/>
              </w:rPr>
            </w:pPr>
            <w:r>
              <w:rPr>
                <w:rFonts w:ascii="Times New Roman" w:hAnsi="Times New Roman"/>
              </w:rPr>
              <w:t>$</w:t>
            </w:r>
            <w:r w:rsidR="005C31CE">
              <w:rPr>
                <w:rFonts w:ascii="Times New Roman" w:hAnsi="Times New Roman"/>
              </w:rPr>
              <w:t>233,960</w:t>
            </w:r>
            <w:r>
              <w:rPr>
                <w:rFonts w:ascii="Times New Roman" w:hAnsi="Times New Roman"/>
              </w:rPr>
              <w:t>***</w:t>
            </w:r>
          </w:p>
        </w:tc>
      </w:tr>
    </w:tbl>
    <w:p w:rsidR="003D0C5A" w:rsidP="003D0C5A" w14:paraId="14148059" w14:textId="77777777">
      <w:pPr>
        <w:tabs>
          <w:tab w:val="left" w:pos="540"/>
          <w:tab w:val="left" w:pos="1170"/>
        </w:tabs>
        <w:rPr>
          <w:rFonts w:ascii="Times New Roman" w:hAnsi="Times New Roman"/>
          <w:b/>
        </w:rPr>
      </w:pPr>
    </w:p>
    <w:p w:rsidR="003D0C5A" w:rsidP="003D0C5A" w14:paraId="645BBF27" w14:textId="1107E530">
      <w:pPr>
        <w:tabs>
          <w:tab w:val="left" w:pos="540"/>
          <w:tab w:val="left" w:pos="1170"/>
        </w:tabs>
        <w:ind w:left="720"/>
        <w:rPr>
          <w:rFonts w:ascii="Palatino Linotype" w:hAnsi="Palatino Linotype"/>
          <w:color w:val="1F497D"/>
        </w:rPr>
      </w:pPr>
      <w:r>
        <w:rPr>
          <w:rFonts w:ascii="Times New Roman" w:eastAsia="SimSun" w:hAnsi="Times New Roman"/>
        </w:rPr>
        <w:t>*</w:t>
      </w:r>
      <w:r w:rsidRPr="005C31CE" w:rsidR="005C31CE">
        <w:rPr>
          <w:rFonts w:ascii="Times New Roman" w:hAnsi="Times New Roman"/>
        </w:rPr>
        <w:t xml:space="preserve"> </w:t>
      </w:r>
      <w:r w:rsidRPr="00AC730E" w:rsidR="005C31CE">
        <w:rPr>
          <w:rFonts w:ascii="Times New Roman" w:hAnsi="Times New Roman"/>
        </w:rPr>
        <w:t>We based this figure on the average DI payments based on SSA's current FY 202</w:t>
      </w:r>
      <w:r w:rsidR="005C31CE">
        <w:rPr>
          <w:rFonts w:ascii="Times New Roman" w:hAnsi="Times New Roman"/>
        </w:rPr>
        <w:t>4</w:t>
      </w:r>
      <w:r w:rsidRPr="00AC730E" w:rsidR="005C31CE">
        <w:rPr>
          <w:rFonts w:ascii="Times New Roman" w:hAnsi="Times New Roman"/>
        </w:rPr>
        <w:t xml:space="preserve"> data (</w:t>
      </w:r>
      <w:hyperlink r:id="rId5" w:history="1">
        <w:r w:rsidR="005C31CE">
          <w:rPr>
            <w:rStyle w:val="Hyperlink"/>
            <w:rFonts w:ascii="Times New Roman" w:hAnsi="Times New Roman"/>
          </w:rPr>
          <w:t>https://www.ssa.gov/legislation/2024FactSheet.pdf</w:t>
        </w:r>
      </w:hyperlink>
      <w:r w:rsidRPr="00AC730E" w:rsidR="005C31CE">
        <w:rPr>
          <w:rFonts w:ascii="Times New Roman" w:hAnsi="Times New Roman"/>
        </w:rPr>
        <w:t>)</w:t>
      </w:r>
      <w:r>
        <w:rPr>
          <w:rFonts w:ascii="Palatino Linotype" w:hAnsi="Palatino Linotype"/>
          <w:color w:val="1F497D"/>
        </w:rPr>
        <w:t>.</w:t>
      </w:r>
    </w:p>
    <w:p w:rsidR="005C31CE" w:rsidP="005C31CE" w14:paraId="21D799A5" w14:textId="77777777">
      <w:pPr>
        <w:tabs>
          <w:tab w:val="left" w:pos="540"/>
          <w:tab w:val="left" w:pos="1170"/>
        </w:tabs>
        <w:rPr>
          <w:rFonts w:ascii="Palatino Linotype" w:hAnsi="Palatino Linotype"/>
          <w:color w:val="1F497D"/>
        </w:rPr>
      </w:pPr>
    </w:p>
    <w:p w:rsidR="003D0C5A" w:rsidP="003D0C5A" w14:paraId="6A3BBD63" w14:textId="5C603E43">
      <w:pPr>
        <w:tabs>
          <w:tab w:val="left" w:pos="540"/>
          <w:tab w:val="left" w:pos="1170"/>
        </w:tabs>
        <w:ind w:left="720"/>
        <w:rPr>
          <w:rFonts w:ascii="Times New Roman" w:eastAsia="SimSun" w:hAnsi="Times New Roman"/>
        </w:rPr>
      </w:pPr>
      <w:r w:rsidRPr="00F636D9">
        <w:rPr>
          <w:rFonts w:ascii="Times New Roman" w:eastAsia="SimSun" w:hAnsi="Times New Roman"/>
        </w:rPr>
        <w:t>** We based this figure on the average FY 202</w:t>
      </w:r>
      <w:r w:rsidR="005C31CE">
        <w:rPr>
          <w:rFonts w:ascii="Times New Roman" w:eastAsia="SimSun" w:hAnsi="Times New Roman"/>
        </w:rPr>
        <w:t>4</w:t>
      </w:r>
      <w:r w:rsidRPr="00F636D9">
        <w:rPr>
          <w:rFonts w:ascii="Times New Roman" w:eastAsia="SimSun" w:hAnsi="Times New Roman"/>
        </w:rPr>
        <w:t xml:space="preserve"> wait times for field offices, based on SSA’s current management information data.</w:t>
      </w:r>
    </w:p>
    <w:p w:rsidR="005C31CE" w:rsidP="003D0C5A" w14:paraId="3108E792" w14:textId="77777777">
      <w:pPr>
        <w:tabs>
          <w:tab w:val="left" w:pos="540"/>
          <w:tab w:val="left" w:pos="1170"/>
        </w:tabs>
        <w:ind w:left="720"/>
        <w:rPr>
          <w:rFonts w:ascii="Times New Roman" w:eastAsia="SimSun" w:hAnsi="Times New Roman"/>
        </w:rPr>
      </w:pPr>
    </w:p>
    <w:p w:rsidR="003D0C5A" w:rsidP="003D0C5A" w14:paraId="14F0601D" w14:textId="77567E75">
      <w:pPr>
        <w:tabs>
          <w:tab w:val="left" w:pos="540"/>
          <w:tab w:val="left" w:pos="1170"/>
        </w:tabs>
        <w:ind w:left="720"/>
        <w:rPr>
          <w:rFonts w:ascii="Times New Roman" w:hAnsi="Times New Roman"/>
          <w:b/>
          <w:snapToGrid w:val="0"/>
          <w:u w:val="single"/>
          <w:lang w:eastAsia="en-US"/>
        </w:rPr>
      </w:pPr>
      <w:r w:rsidRPr="00F636D9">
        <w:rPr>
          <w:rFonts w:ascii="Times New Roman" w:hAnsi="Times New Roman"/>
          <w:snapToGrid w:val="0"/>
          <w:lang w:eastAsia="en-US"/>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636D9">
        <w:rPr>
          <w:rFonts w:ascii="Times New Roman" w:hAnsi="Times New Roman"/>
          <w:b/>
          <w:snapToGrid w:val="0"/>
          <w:u w:val="single"/>
          <w:lang w:eastAsia="en-US"/>
        </w:rPr>
        <w:t>There is no actual charge to respondents to complete the application</w:t>
      </w:r>
      <w:r>
        <w:rPr>
          <w:rFonts w:ascii="Times New Roman" w:hAnsi="Times New Roman"/>
          <w:b/>
          <w:snapToGrid w:val="0"/>
          <w:u w:val="single"/>
          <w:lang w:eastAsia="en-US"/>
        </w:rPr>
        <w:t>.</w:t>
      </w:r>
    </w:p>
    <w:p w:rsidR="003D0C5A" w:rsidP="003D0C5A" w14:paraId="4C3E541A" w14:textId="0E2D3E31">
      <w:pPr>
        <w:tabs>
          <w:tab w:val="left" w:pos="540"/>
          <w:tab w:val="left" w:pos="1170"/>
        </w:tabs>
        <w:ind w:left="720"/>
        <w:rPr>
          <w:rFonts w:ascii="Times New Roman" w:hAnsi="Times New Roman"/>
          <w:b/>
          <w:snapToGrid w:val="0"/>
          <w:u w:val="single"/>
          <w:lang w:eastAsia="en-US"/>
        </w:rPr>
      </w:pPr>
    </w:p>
    <w:p w:rsidR="003D0C5A" w:rsidP="003D0C5A" w14:paraId="78B7A1FB" w14:textId="07105234">
      <w:pPr>
        <w:tabs>
          <w:tab w:val="left" w:pos="540"/>
          <w:tab w:val="left" w:pos="1170"/>
        </w:tabs>
        <w:ind w:left="720"/>
        <w:rPr>
          <w:rFonts w:ascii="Times New Roman" w:hAnsi="Times New Roman"/>
        </w:rPr>
      </w:pPr>
      <w:r>
        <w:rPr>
          <w:rFonts w:ascii="Times New Roman" w:hAnsi="Times New Roman"/>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3D0C5A" w:rsidP="003D0C5A" w14:paraId="28EAC47A" w14:textId="5180399C">
      <w:pPr>
        <w:tabs>
          <w:tab w:val="left" w:pos="540"/>
          <w:tab w:val="left" w:pos="1170"/>
        </w:tabs>
        <w:ind w:left="720"/>
        <w:rPr>
          <w:rFonts w:ascii="Times New Roman" w:hAnsi="Times New Roman"/>
        </w:rPr>
      </w:pPr>
    </w:p>
    <w:tbl>
      <w:tblPr>
        <w:tblStyle w:val="TableGrid"/>
        <w:tblW w:w="9180" w:type="dxa"/>
        <w:tblInd w:w="715" w:type="dxa"/>
        <w:tblLook w:val="04A0"/>
      </w:tblPr>
      <w:tblGrid>
        <w:gridCol w:w="2514"/>
        <w:gridCol w:w="1396"/>
        <w:gridCol w:w="1507"/>
        <w:gridCol w:w="1526"/>
        <w:gridCol w:w="2237"/>
      </w:tblGrid>
      <w:tr w14:paraId="0A7A0EE5" w14:textId="77777777" w:rsidTr="003D0C5A">
        <w:tblPrEx>
          <w:tblW w:w="9180" w:type="dxa"/>
          <w:tblInd w:w="715" w:type="dxa"/>
          <w:tblLook w:val="04A0"/>
        </w:tblPrEx>
        <w:tc>
          <w:tcPr>
            <w:tcW w:w="2514" w:type="dxa"/>
          </w:tcPr>
          <w:p w:rsidR="003D0C5A" w:rsidRPr="003D0C5A" w:rsidP="00CD7548" w14:paraId="638236DA" w14:textId="77777777">
            <w:pPr>
              <w:rPr>
                <w:rFonts w:ascii="Times New Roman" w:hAnsi="Times New Roman"/>
                <w:b/>
                <w:bCs/>
              </w:rPr>
            </w:pPr>
            <w:r w:rsidRPr="003D0C5A">
              <w:rPr>
                <w:rFonts w:ascii="Times New Roman" w:hAnsi="Times New Roman"/>
                <w:b/>
                <w:bCs/>
              </w:rPr>
              <w:t>Total Number of Respondents Who Visit a Field Office</w:t>
            </w:r>
          </w:p>
        </w:tc>
        <w:tc>
          <w:tcPr>
            <w:tcW w:w="1396" w:type="dxa"/>
          </w:tcPr>
          <w:p w:rsidR="003D0C5A" w:rsidRPr="003D0C5A" w:rsidP="00CD7548" w14:paraId="157F316C" w14:textId="77777777">
            <w:pPr>
              <w:rPr>
                <w:rFonts w:ascii="Times New Roman" w:hAnsi="Times New Roman"/>
                <w:b/>
                <w:bCs/>
              </w:rPr>
            </w:pPr>
            <w:r w:rsidRPr="003D0C5A">
              <w:rPr>
                <w:rFonts w:ascii="Times New Roman" w:hAnsi="Times New Roman"/>
                <w:b/>
                <w:bCs/>
              </w:rPr>
              <w:t>Frequency of Response</w:t>
            </w:r>
          </w:p>
        </w:tc>
        <w:tc>
          <w:tcPr>
            <w:tcW w:w="1507" w:type="dxa"/>
          </w:tcPr>
          <w:p w:rsidR="003D0C5A" w:rsidRPr="003D0C5A" w:rsidP="00CD7548" w14:paraId="4B97C91C" w14:textId="77777777">
            <w:pPr>
              <w:rPr>
                <w:rFonts w:ascii="Times New Roman" w:hAnsi="Times New Roman"/>
                <w:b/>
                <w:bCs/>
              </w:rPr>
            </w:pPr>
            <w:r w:rsidRPr="003D0C5A">
              <w:rPr>
                <w:rFonts w:ascii="Times New Roman" w:hAnsi="Times New Roman"/>
                <w:b/>
                <w:bCs/>
              </w:rPr>
              <w:t>Average One-Way Travel Time to a Field Office (minutes)</w:t>
            </w:r>
          </w:p>
        </w:tc>
        <w:tc>
          <w:tcPr>
            <w:tcW w:w="1526" w:type="dxa"/>
          </w:tcPr>
          <w:p w:rsidR="003D0C5A" w:rsidRPr="003D0C5A" w:rsidP="00CD7548" w14:paraId="190B1EF3" w14:textId="77777777">
            <w:pPr>
              <w:rPr>
                <w:rFonts w:ascii="Times New Roman" w:hAnsi="Times New Roman"/>
                <w:b/>
                <w:bCs/>
              </w:rPr>
            </w:pPr>
            <w:r w:rsidRPr="003D0C5A">
              <w:rPr>
                <w:rFonts w:ascii="Times New Roman" w:hAnsi="Times New Roman"/>
                <w:b/>
                <w:bCs/>
              </w:rPr>
              <w:t>Estimated Total Travel Time to a Field Office (hours)</w:t>
            </w:r>
          </w:p>
        </w:tc>
        <w:tc>
          <w:tcPr>
            <w:tcW w:w="2237" w:type="dxa"/>
          </w:tcPr>
          <w:p w:rsidR="003D0C5A" w:rsidRPr="003D0C5A" w:rsidP="00CD7548" w14:paraId="5AAF19B5" w14:textId="77777777">
            <w:pPr>
              <w:rPr>
                <w:rFonts w:ascii="Times New Roman" w:hAnsi="Times New Roman"/>
                <w:b/>
                <w:bCs/>
              </w:rPr>
            </w:pPr>
            <w:r w:rsidRPr="003D0C5A">
              <w:rPr>
                <w:rFonts w:ascii="Times New Roman" w:hAnsi="Times New Roman"/>
                <w:b/>
                <w:bCs/>
              </w:rPr>
              <w:t>Total Annual Opportunity Cost for Travel Time (dollars)****</w:t>
            </w:r>
          </w:p>
        </w:tc>
      </w:tr>
      <w:tr w14:paraId="7EE4F5B4" w14:textId="77777777" w:rsidTr="003D0C5A">
        <w:tblPrEx>
          <w:tblW w:w="9180" w:type="dxa"/>
          <w:tblInd w:w="715" w:type="dxa"/>
          <w:tblLook w:val="04A0"/>
        </w:tblPrEx>
        <w:tc>
          <w:tcPr>
            <w:tcW w:w="2514" w:type="dxa"/>
          </w:tcPr>
          <w:p w:rsidR="003D0C5A" w:rsidP="00CD7548" w14:paraId="079A2E61" w14:textId="77777777">
            <w:pPr>
              <w:jc w:val="right"/>
              <w:rPr>
                <w:rFonts w:ascii="Times New Roman" w:hAnsi="Times New Roman"/>
              </w:rPr>
            </w:pPr>
            <w:r>
              <w:rPr>
                <w:rFonts w:ascii="Times New Roman" w:eastAsia="SimSun" w:hAnsi="Times New Roman"/>
              </w:rPr>
              <w:t>17,232</w:t>
            </w:r>
          </w:p>
        </w:tc>
        <w:tc>
          <w:tcPr>
            <w:tcW w:w="1396" w:type="dxa"/>
          </w:tcPr>
          <w:p w:rsidR="003D0C5A" w:rsidP="00CD7548" w14:paraId="40F1E1C8" w14:textId="77777777">
            <w:pPr>
              <w:jc w:val="right"/>
              <w:rPr>
                <w:rFonts w:ascii="Times New Roman" w:hAnsi="Times New Roman"/>
              </w:rPr>
            </w:pPr>
            <w:r>
              <w:rPr>
                <w:rFonts w:ascii="Times New Roman" w:hAnsi="Times New Roman"/>
              </w:rPr>
              <w:t>1</w:t>
            </w:r>
          </w:p>
        </w:tc>
        <w:tc>
          <w:tcPr>
            <w:tcW w:w="1507" w:type="dxa"/>
          </w:tcPr>
          <w:p w:rsidR="003D0C5A" w:rsidP="00CD7548" w14:paraId="1A6F8562" w14:textId="77777777">
            <w:pPr>
              <w:jc w:val="right"/>
              <w:rPr>
                <w:rFonts w:ascii="Times New Roman" w:hAnsi="Times New Roman"/>
              </w:rPr>
            </w:pPr>
            <w:r>
              <w:rPr>
                <w:rFonts w:ascii="Times New Roman" w:hAnsi="Times New Roman"/>
              </w:rPr>
              <w:t>30</w:t>
            </w:r>
          </w:p>
        </w:tc>
        <w:tc>
          <w:tcPr>
            <w:tcW w:w="1526" w:type="dxa"/>
          </w:tcPr>
          <w:p w:rsidR="003D0C5A" w:rsidP="00CD7548" w14:paraId="435CBE45" w14:textId="77777777">
            <w:pPr>
              <w:jc w:val="right"/>
              <w:rPr>
                <w:rFonts w:ascii="Times New Roman" w:hAnsi="Times New Roman"/>
              </w:rPr>
            </w:pPr>
            <w:r>
              <w:rPr>
                <w:rFonts w:ascii="Times New Roman" w:hAnsi="Times New Roman"/>
              </w:rPr>
              <w:t>8,616</w:t>
            </w:r>
          </w:p>
        </w:tc>
        <w:tc>
          <w:tcPr>
            <w:tcW w:w="2237" w:type="dxa"/>
          </w:tcPr>
          <w:p w:rsidR="003D0C5A" w:rsidP="00CD7548" w14:paraId="57FC2359" w14:textId="4888579E">
            <w:pPr>
              <w:jc w:val="right"/>
              <w:rPr>
                <w:rFonts w:ascii="Times New Roman" w:hAnsi="Times New Roman"/>
              </w:rPr>
            </w:pPr>
            <w:r>
              <w:rPr>
                <w:rFonts w:ascii="Times New Roman" w:hAnsi="Times New Roman"/>
              </w:rPr>
              <w:t>$</w:t>
            </w:r>
            <w:r w:rsidR="005C31CE">
              <w:rPr>
                <w:rFonts w:ascii="Times New Roman" w:hAnsi="Times New Roman"/>
              </w:rPr>
              <w:t>114,593****</w:t>
            </w:r>
          </w:p>
        </w:tc>
      </w:tr>
    </w:tbl>
    <w:p w:rsidR="003D0C5A" w:rsidP="003D0C5A" w14:paraId="27D63749" w14:textId="37878896">
      <w:pPr>
        <w:tabs>
          <w:tab w:val="left" w:pos="540"/>
          <w:tab w:val="left" w:pos="1170"/>
        </w:tabs>
        <w:ind w:left="720"/>
        <w:rPr>
          <w:rFonts w:ascii="Times New Roman" w:hAnsi="Times New Roman"/>
        </w:rPr>
      </w:pPr>
      <w:r>
        <w:rPr>
          <w:rFonts w:ascii="Times New Roman" w:hAnsi="Times New Roman"/>
        </w:rPr>
        <w:t>****We based this dollar amount on the Average Theoretical Hourly Cost Amount in dollars shown on the burden chart above.</w:t>
      </w:r>
    </w:p>
    <w:p w:rsidR="003D0C5A" w:rsidP="003D0C5A" w14:paraId="658FBAE8" w14:textId="56023D02">
      <w:pPr>
        <w:tabs>
          <w:tab w:val="left" w:pos="540"/>
          <w:tab w:val="left" w:pos="1170"/>
        </w:tabs>
        <w:ind w:left="720"/>
        <w:rPr>
          <w:rFonts w:ascii="Times New Roman" w:hAnsi="Times New Roman"/>
        </w:rPr>
      </w:pPr>
    </w:p>
    <w:p w:rsidR="003D0C5A" w:rsidP="003D0C5A" w14:paraId="2EEB50B1" w14:textId="1259E9A5">
      <w:pPr>
        <w:tabs>
          <w:tab w:val="left" w:pos="540"/>
          <w:tab w:val="left" w:pos="1170"/>
        </w:tabs>
        <w:ind w:left="720"/>
        <w:rPr>
          <w:rFonts w:ascii="Times New Roman" w:hAnsi="Times New Roman"/>
        </w:rPr>
      </w:pPr>
      <w:r>
        <w:rPr>
          <w:rFonts w:ascii="Times New Roman" w:hAnsi="Times New Roman"/>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3D0C5A" w:rsidP="003D0C5A" w14:paraId="1E6520BB" w14:textId="28A56BD8">
      <w:pPr>
        <w:tabs>
          <w:tab w:val="left" w:pos="540"/>
          <w:tab w:val="left" w:pos="1170"/>
        </w:tabs>
        <w:ind w:left="720"/>
        <w:rPr>
          <w:rFonts w:ascii="Times New Roman" w:hAnsi="Times New Roman"/>
        </w:rPr>
      </w:pPr>
    </w:p>
    <w:p w:rsidR="003D0C5A" w:rsidP="003D0C5A" w14:paraId="6D270300" w14:textId="6ECBE240">
      <w:pPr>
        <w:tabs>
          <w:tab w:val="left" w:pos="540"/>
          <w:tab w:val="left" w:pos="1170"/>
        </w:tabs>
        <w:ind w:left="720"/>
        <w:rPr>
          <w:rFonts w:ascii="Times New Roman" w:hAnsi="Times New Roman"/>
        </w:rPr>
      </w:pPr>
      <w:r>
        <w:rPr>
          <w:rFonts w:ascii="Times New Roman" w:hAnsi="Times New Roman"/>
        </w:rPr>
        <w:t>NOTE:  We included the total opportunity cost estimate from this chart in our calculations when showing the total opportunity cost estimates in the paragraph below.</w:t>
      </w:r>
    </w:p>
    <w:p w:rsidR="003D0C5A" w:rsidP="003D0C5A" w14:paraId="1EB3ADDC" w14:textId="6E218718">
      <w:pPr>
        <w:tabs>
          <w:tab w:val="left" w:pos="540"/>
          <w:tab w:val="left" w:pos="1170"/>
        </w:tabs>
        <w:ind w:left="720"/>
        <w:rPr>
          <w:rFonts w:ascii="Times New Roman" w:hAnsi="Times New Roman"/>
        </w:rPr>
      </w:pPr>
    </w:p>
    <w:p w:rsidR="003D0C5A" w:rsidRPr="003D0C5A" w:rsidP="003D0C5A" w14:paraId="17488A13" w14:textId="22A1BF5B">
      <w:pPr>
        <w:tabs>
          <w:tab w:val="left" w:pos="540"/>
          <w:tab w:val="left" w:pos="1170"/>
        </w:tabs>
        <w:ind w:left="720"/>
        <w:rPr>
          <w:rFonts w:ascii="Palatino Linotype" w:hAnsi="Palatino Linotype"/>
          <w:color w:val="1F497D"/>
        </w:rPr>
      </w:pPr>
      <w:r w:rsidRPr="00881FA7">
        <w:rPr>
          <w:rFonts w:ascii="Times New Roman" w:hAnsi="Times New Roman"/>
          <w:color w:val="000000"/>
        </w:rPr>
        <w:t xml:space="preserve">We base our burden estimates on current management information data, which includes data from actual interviews, as well as from years of conducting this information collection.  Per our management information data, we believe that 10 minutes accurately shows the average burden per response for reading the </w:t>
      </w:r>
      <w:r w:rsidRPr="00851336">
        <w:rPr>
          <w:rFonts w:ascii="Times New Roman" w:hAnsi="Times New Roman"/>
        </w:rPr>
        <w:t>instructions, gathering the facts, and answering the questions</w:t>
      </w:r>
      <w:r w:rsidRPr="00881FA7">
        <w:rPr>
          <w:rFonts w:ascii="Times New Roman" w:hAnsi="Times New Roman"/>
          <w:color w:val="000000"/>
        </w:rPr>
        <w:t xml:space="preserve">.  Based on our current management information data, the current burden information we provided is accurate.  </w:t>
      </w:r>
      <w:r w:rsidRPr="00851336">
        <w:rPr>
          <w:rFonts w:ascii="Times New Roman" w:hAnsi="Times New Roman"/>
        </w:rPr>
        <w:t>The total burden</w:t>
      </w:r>
      <w:r>
        <w:rPr>
          <w:rFonts w:ascii="Times New Roman" w:hAnsi="Times New Roman"/>
        </w:rPr>
        <w:t xml:space="preserve"> for this collection instrument</w:t>
      </w:r>
      <w:r w:rsidRPr="004F4A01">
        <w:rPr>
          <w:rFonts w:ascii="Times New Roman" w:hAnsi="Times New Roman"/>
        </w:rPr>
        <w:t xml:space="preserve"> </w:t>
      </w:r>
      <w:r w:rsidRPr="000357B7">
        <w:rPr>
          <w:rFonts w:ascii="Times New Roman" w:hAnsi="Times New Roman"/>
        </w:rPr>
        <w:t xml:space="preserve">is </w:t>
      </w:r>
      <w:r>
        <w:rPr>
          <w:rFonts w:ascii="Times New Roman" w:hAnsi="Times New Roman"/>
          <w:b/>
        </w:rPr>
        <w:t>8,975</w:t>
      </w:r>
      <w:r w:rsidRPr="000357B7">
        <w:rPr>
          <w:rFonts w:ascii="Times New Roman" w:hAnsi="Times New Roman"/>
        </w:rPr>
        <w:t xml:space="preserve"> burden hours (reflecting SSA management information data), which results in an associated theoretical (not actual) opportunity cost financial </w:t>
      </w:r>
      <w:r w:rsidRPr="00851336">
        <w:rPr>
          <w:rFonts w:ascii="Times New Roman" w:hAnsi="Times New Roman"/>
        </w:rPr>
        <w:t xml:space="preserve">burden of </w:t>
      </w:r>
      <w:r w:rsidRPr="00851336">
        <w:rPr>
          <w:rFonts w:ascii="Times New Roman" w:hAnsi="Times New Roman"/>
          <w:b/>
        </w:rPr>
        <w:t>$</w:t>
      </w:r>
      <w:r w:rsidR="005C31CE">
        <w:rPr>
          <w:rFonts w:ascii="Times New Roman" w:hAnsi="Times New Roman"/>
          <w:b/>
        </w:rPr>
        <w:t>348,553</w:t>
      </w:r>
      <w:r w:rsidRPr="00851336">
        <w:rPr>
          <w:rFonts w:ascii="Times New Roman" w:hAnsi="Times New Roman"/>
        </w:rPr>
        <w:t>.  SSA does not charge respondents to complete our applications</w:t>
      </w:r>
      <w:r>
        <w:rPr>
          <w:rFonts w:ascii="Times New Roman" w:hAnsi="Times New Roman"/>
        </w:rPr>
        <w:t>.</w:t>
      </w:r>
    </w:p>
    <w:p w:rsidR="003D0C5A" w:rsidRPr="003D0C5A" w:rsidP="003D0C5A" w14:paraId="6876A99D" w14:textId="77777777">
      <w:pPr>
        <w:tabs>
          <w:tab w:val="left" w:pos="540"/>
          <w:tab w:val="left" w:pos="1170"/>
        </w:tabs>
        <w:ind w:left="720"/>
        <w:rPr>
          <w:rFonts w:ascii="Times New Roman" w:hAnsi="Times New Roman"/>
        </w:rPr>
      </w:pPr>
    </w:p>
    <w:p w:rsidR="00C237C3" w:rsidRPr="003D0C5A" w:rsidP="00C237C3" w14:paraId="78304603" w14:textId="3702614A">
      <w:pPr>
        <w:numPr>
          <w:ilvl w:val="0"/>
          <w:numId w:val="21"/>
        </w:numPr>
        <w:tabs>
          <w:tab w:val="left" w:pos="540"/>
          <w:tab w:val="left" w:pos="1170"/>
        </w:tabs>
        <w:rPr>
          <w:rFonts w:ascii="Times New Roman" w:hAnsi="Times New Roman"/>
        </w:rPr>
      </w:pPr>
      <w:r w:rsidRPr="00F363FE">
        <w:rPr>
          <w:rFonts w:ascii="Times New Roman" w:hAnsi="Times New Roman"/>
          <w:b/>
        </w:rPr>
        <w:t>Annual</w:t>
      </w:r>
      <w:r w:rsidRPr="00F363FE">
        <w:rPr>
          <w:rFonts w:ascii="Times New Roman" w:hAnsi="Times New Roman"/>
        </w:rPr>
        <w:t xml:space="preserve"> </w:t>
      </w:r>
      <w:r w:rsidRPr="00F363FE">
        <w:rPr>
          <w:rFonts w:ascii="Times New Roman" w:hAnsi="Times New Roman"/>
          <w:b/>
        </w:rPr>
        <w:t>Cost to the Respondents (Other)</w:t>
      </w:r>
    </w:p>
    <w:p w:rsidR="003D0C5A" w:rsidP="003D0C5A" w14:paraId="715B24E1" w14:textId="3DE8F032">
      <w:pPr>
        <w:tabs>
          <w:tab w:val="left" w:pos="540"/>
          <w:tab w:val="left" w:pos="1170"/>
        </w:tabs>
        <w:ind w:left="720"/>
        <w:rPr>
          <w:rFonts w:ascii="Times New Roman" w:hAnsi="Times New Roman"/>
          <w:b/>
        </w:rPr>
      </w:pPr>
      <w:r w:rsidRPr="00F363FE">
        <w:rPr>
          <w:rFonts w:ascii="Times New Roman" w:hAnsi="Times New Roman"/>
        </w:rPr>
        <w:t xml:space="preserve">This collection does not impose a known cost burden </w:t>
      </w:r>
      <w:r>
        <w:rPr>
          <w:rFonts w:ascii="Times New Roman" w:hAnsi="Times New Roman"/>
        </w:rPr>
        <w:t>on</w:t>
      </w:r>
      <w:r w:rsidRPr="00F363FE">
        <w:rPr>
          <w:rFonts w:ascii="Times New Roman" w:hAnsi="Times New Roman"/>
        </w:rPr>
        <w:t xml:space="preserve"> the respondents</w:t>
      </w:r>
      <w:r>
        <w:rPr>
          <w:rFonts w:ascii="Times New Roman" w:hAnsi="Times New Roman"/>
        </w:rPr>
        <w:t>.</w:t>
      </w:r>
    </w:p>
    <w:p w:rsidR="003D0C5A" w:rsidP="003D0C5A" w14:paraId="1EFBB04A" w14:textId="77777777">
      <w:pPr>
        <w:tabs>
          <w:tab w:val="left" w:pos="540"/>
          <w:tab w:val="left" w:pos="1170"/>
        </w:tabs>
        <w:ind w:left="720"/>
        <w:rPr>
          <w:rFonts w:ascii="Times New Roman" w:hAnsi="Times New Roman"/>
        </w:rPr>
      </w:pPr>
    </w:p>
    <w:p w:rsidR="005C31CE" w:rsidP="003D0C5A" w14:paraId="78A68C5E" w14:textId="77777777">
      <w:pPr>
        <w:tabs>
          <w:tab w:val="left" w:pos="540"/>
          <w:tab w:val="left" w:pos="1170"/>
        </w:tabs>
        <w:ind w:left="720"/>
        <w:rPr>
          <w:rFonts w:ascii="Times New Roman" w:hAnsi="Times New Roman"/>
        </w:rPr>
      </w:pPr>
    </w:p>
    <w:p w:rsidR="005C31CE" w:rsidRPr="00C237C3" w:rsidP="003D0C5A" w14:paraId="1EE1E699" w14:textId="77777777">
      <w:pPr>
        <w:tabs>
          <w:tab w:val="left" w:pos="540"/>
          <w:tab w:val="left" w:pos="1170"/>
        </w:tabs>
        <w:ind w:left="720"/>
        <w:rPr>
          <w:rFonts w:ascii="Times New Roman" w:hAnsi="Times New Roman"/>
        </w:rPr>
      </w:pPr>
    </w:p>
    <w:p w:rsidR="00C237C3" w:rsidRPr="003D0C5A" w:rsidP="00C237C3" w14:paraId="2B4D989E" w14:textId="4E14D5F4">
      <w:pPr>
        <w:numPr>
          <w:ilvl w:val="0"/>
          <w:numId w:val="21"/>
        </w:numPr>
        <w:tabs>
          <w:tab w:val="left" w:pos="540"/>
          <w:tab w:val="left" w:pos="1170"/>
        </w:tabs>
        <w:rPr>
          <w:rFonts w:ascii="Times New Roman" w:hAnsi="Times New Roman"/>
        </w:rPr>
      </w:pPr>
      <w:r w:rsidRPr="00F363FE">
        <w:rPr>
          <w:rFonts w:ascii="Times New Roman" w:hAnsi="Times New Roman"/>
          <w:b/>
        </w:rPr>
        <w:t>Annual Cost To Federal Government</w:t>
      </w:r>
    </w:p>
    <w:p w:rsidR="003D0C5A" w:rsidP="003D0C5A" w14:paraId="1060E063" w14:textId="6C7A81FF">
      <w:pPr>
        <w:tabs>
          <w:tab w:val="left" w:pos="540"/>
          <w:tab w:val="left" w:pos="1170"/>
        </w:tabs>
        <w:ind w:left="720"/>
        <w:rPr>
          <w:rFonts w:ascii="Times New Roman" w:eastAsia="Calibri" w:hAnsi="Times New Roman"/>
          <w:color w:val="000000"/>
        </w:rPr>
      </w:pPr>
      <w:r w:rsidRPr="00F74B22">
        <w:rPr>
          <w:rFonts w:ascii="Times New Roman" w:eastAsia="Calibri" w:hAnsi="Times New Roman"/>
          <w:color w:val="000000"/>
        </w:rPr>
        <w:t xml:space="preserve">The annual cost to the Federal Government is approximately </w:t>
      </w:r>
      <w:r w:rsidRPr="00F74B22">
        <w:rPr>
          <w:rFonts w:ascii="Times New Roman" w:eastAsia="Calibri" w:hAnsi="Times New Roman"/>
          <w:b/>
          <w:color w:val="000000"/>
        </w:rPr>
        <w:t>$1,414,276</w:t>
      </w:r>
      <w:r w:rsidRPr="00F74B22">
        <w:rPr>
          <w:rFonts w:ascii="Times New Roman" w:eastAsia="Calibri" w:hAnsi="Times New Roman"/>
          <w:color w:val="000000"/>
        </w:rPr>
        <w:t>.</w:t>
      </w:r>
      <w:r>
        <w:rPr>
          <w:rFonts w:ascii="Times New Roman" w:eastAsia="Calibri" w:hAnsi="Times New Roman"/>
          <w:color w:val="000000"/>
        </w:rPr>
        <w:t xml:space="preserve">  This </w:t>
      </w:r>
      <w:r w:rsidRPr="00F74B22">
        <w:rPr>
          <w:rFonts w:ascii="Times New Roman" w:eastAsia="Calibri" w:hAnsi="Times New Roman"/>
          <w:color w:val="000000"/>
        </w:rPr>
        <w:t>estimate accounts for costs from the following areas:</w:t>
      </w:r>
    </w:p>
    <w:p w:rsidR="003D0C5A" w:rsidP="003D0C5A" w14:paraId="32DA0CA6" w14:textId="31E532C8">
      <w:pPr>
        <w:tabs>
          <w:tab w:val="left" w:pos="540"/>
          <w:tab w:val="left" w:pos="1170"/>
        </w:tabs>
        <w:ind w:left="720"/>
        <w:rPr>
          <w:rFonts w:ascii="Times New Roman" w:eastAsia="Calibri" w:hAnsi="Times New Roman"/>
          <w:color w:val="000000"/>
        </w:rPr>
      </w:pPr>
    </w:p>
    <w:tbl>
      <w:tblPr>
        <w:tblStyle w:val="TableGrid2"/>
        <w:tblW w:w="9337" w:type="dxa"/>
        <w:tblInd w:w="715" w:type="dxa"/>
        <w:tblLook w:val="04A0"/>
      </w:tblPr>
      <w:tblGrid>
        <w:gridCol w:w="3420"/>
        <w:gridCol w:w="3330"/>
        <w:gridCol w:w="2587"/>
      </w:tblGrid>
      <w:tr w14:paraId="3EEBBC7C" w14:textId="77777777" w:rsidTr="003D0C5A">
        <w:tblPrEx>
          <w:tblW w:w="9337" w:type="dxa"/>
          <w:tblInd w:w="715" w:type="dxa"/>
          <w:tblLook w:val="04A0"/>
        </w:tblPrEx>
        <w:tc>
          <w:tcPr>
            <w:tcW w:w="3420" w:type="dxa"/>
          </w:tcPr>
          <w:p w:rsidR="003D0C5A" w:rsidRPr="00450E9F" w:rsidP="00CD7548" w14:paraId="06B27A90" w14:textId="77777777">
            <w:pPr>
              <w:contextualSpacing/>
              <w:rPr>
                <w:rFonts w:ascii="Times New Roman" w:hAnsi="Times New Roman"/>
                <w:b/>
                <w:color w:val="000000"/>
                <w:lang w:eastAsia="en-US"/>
              </w:rPr>
            </w:pPr>
            <w:r w:rsidRPr="00450E9F">
              <w:rPr>
                <w:rFonts w:ascii="Times New Roman" w:hAnsi="Times New Roman"/>
                <w:b/>
                <w:color w:val="000000"/>
                <w:lang w:eastAsia="en-US"/>
              </w:rPr>
              <w:t>Description of Cost Factor</w:t>
            </w:r>
          </w:p>
        </w:tc>
        <w:tc>
          <w:tcPr>
            <w:tcW w:w="3330" w:type="dxa"/>
          </w:tcPr>
          <w:p w:rsidR="003D0C5A" w:rsidRPr="00450E9F" w:rsidP="00CD7548" w14:paraId="08148C15" w14:textId="77777777">
            <w:pPr>
              <w:contextualSpacing/>
              <w:rPr>
                <w:rFonts w:ascii="Times New Roman" w:hAnsi="Times New Roman"/>
                <w:b/>
                <w:color w:val="000000"/>
                <w:lang w:eastAsia="en-US"/>
              </w:rPr>
            </w:pPr>
            <w:r w:rsidRPr="00450E9F">
              <w:rPr>
                <w:rFonts w:ascii="Times New Roman" w:hAnsi="Times New Roman"/>
                <w:b/>
                <w:color w:val="000000"/>
                <w:lang w:eastAsia="en-US"/>
              </w:rPr>
              <w:t>Methodology for Estimating Cost</w:t>
            </w:r>
          </w:p>
        </w:tc>
        <w:tc>
          <w:tcPr>
            <w:tcW w:w="2587" w:type="dxa"/>
          </w:tcPr>
          <w:p w:rsidR="003D0C5A" w:rsidRPr="00450E9F" w:rsidP="00CD7548" w14:paraId="174EA3B9" w14:textId="77777777">
            <w:pPr>
              <w:contextualSpacing/>
              <w:rPr>
                <w:rFonts w:ascii="Times New Roman" w:hAnsi="Times New Roman"/>
                <w:b/>
                <w:color w:val="000000"/>
                <w:lang w:eastAsia="en-US"/>
              </w:rPr>
            </w:pPr>
            <w:r w:rsidRPr="00450E9F">
              <w:rPr>
                <w:rFonts w:ascii="Times New Roman" w:hAnsi="Times New Roman"/>
                <w:b/>
                <w:color w:val="000000"/>
                <w:lang w:eastAsia="en-US"/>
              </w:rPr>
              <w:t>Cost in Dollars*</w:t>
            </w:r>
          </w:p>
        </w:tc>
      </w:tr>
      <w:tr w14:paraId="14E6D0B6" w14:textId="77777777" w:rsidTr="003D0C5A">
        <w:tblPrEx>
          <w:tblW w:w="9337" w:type="dxa"/>
          <w:tblInd w:w="715" w:type="dxa"/>
          <w:tblLook w:val="04A0"/>
        </w:tblPrEx>
        <w:tc>
          <w:tcPr>
            <w:tcW w:w="3420" w:type="dxa"/>
          </w:tcPr>
          <w:p w:rsidR="003D0C5A" w:rsidRPr="00450E9F" w:rsidP="00CD7548" w14:paraId="74AAB770" w14:textId="77777777">
            <w:pPr>
              <w:contextualSpacing/>
              <w:rPr>
                <w:rFonts w:ascii="Times New Roman" w:hAnsi="Times New Roman"/>
                <w:color w:val="000000"/>
                <w:lang w:eastAsia="en-US"/>
              </w:rPr>
            </w:pPr>
            <w:r w:rsidRPr="00450E9F">
              <w:rPr>
                <w:rFonts w:ascii="Times New Roman" w:hAnsi="Times New Roman"/>
                <w:color w:val="000000"/>
                <w:lang w:eastAsia="en-US"/>
              </w:rPr>
              <w:t>Designing, Printing, and Distributing the Form</w:t>
            </w:r>
          </w:p>
        </w:tc>
        <w:tc>
          <w:tcPr>
            <w:tcW w:w="3330" w:type="dxa"/>
          </w:tcPr>
          <w:p w:rsidR="003D0C5A" w:rsidRPr="00450E9F" w:rsidP="00CD7548" w14:paraId="544C2E16" w14:textId="77777777">
            <w:pPr>
              <w:contextualSpacing/>
              <w:rPr>
                <w:rFonts w:ascii="Times New Roman" w:hAnsi="Times New Roman"/>
                <w:color w:val="000000"/>
                <w:lang w:eastAsia="en-US"/>
              </w:rPr>
            </w:pPr>
            <w:r w:rsidRPr="00450E9F">
              <w:rPr>
                <w:rFonts w:ascii="Times New Roman" w:hAnsi="Times New Roman"/>
                <w:color w:val="000000"/>
                <w:lang w:eastAsia="en-US"/>
              </w:rPr>
              <w:t>Design Cost + Printing Cost + Distribution Cost</w:t>
            </w:r>
          </w:p>
        </w:tc>
        <w:tc>
          <w:tcPr>
            <w:tcW w:w="2587" w:type="dxa"/>
          </w:tcPr>
          <w:p w:rsidR="003D0C5A" w:rsidRPr="00450E9F" w:rsidP="003D0C5A" w14:paraId="0990D923" w14:textId="0B45614F">
            <w:pPr>
              <w:contextualSpacing/>
              <w:jc w:val="right"/>
              <w:rPr>
                <w:rFonts w:ascii="Times New Roman" w:hAnsi="Times New Roman"/>
                <w:color w:val="000000"/>
                <w:lang w:eastAsia="en-US"/>
              </w:rPr>
            </w:pPr>
            <w:r>
              <w:rPr>
                <w:rFonts w:ascii="Times New Roman" w:hAnsi="Times New Roman"/>
              </w:rPr>
              <w:t>$1</w:t>
            </w:r>
            <w:r w:rsidR="00BD4911">
              <w:rPr>
                <w:rFonts w:ascii="Times New Roman" w:hAnsi="Times New Roman"/>
              </w:rPr>
              <w:t>,</w:t>
            </w:r>
            <w:r>
              <w:rPr>
                <w:rFonts w:ascii="Times New Roman" w:hAnsi="Times New Roman"/>
              </w:rPr>
              <w:t>401</w:t>
            </w:r>
          </w:p>
        </w:tc>
      </w:tr>
      <w:tr w14:paraId="6B4C7C90" w14:textId="77777777" w:rsidTr="003D0C5A">
        <w:tblPrEx>
          <w:tblW w:w="9337" w:type="dxa"/>
          <w:tblInd w:w="715" w:type="dxa"/>
          <w:tblLook w:val="04A0"/>
        </w:tblPrEx>
        <w:tc>
          <w:tcPr>
            <w:tcW w:w="3420" w:type="dxa"/>
          </w:tcPr>
          <w:p w:rsidR="003D0C5A" w:rsidRPr="00450E9F" w:rsidP="00CD7548" w14:paraId="75E1840C" w14:textId="77777777">
            <w:pPr>
              <w:contextualSpacing/>
              <w:rPr>
                <w:rFonts w:ascii="Times New Roman" w:hAnsi="Times New Roman"/>
                <w:color w:val="000000"/>
                <w:lang w:eastAsia="en-US"/>
              </w:rPr>
            </w:pPr>
            <w:r w:rsidRPr="00450E9F">
              <w:rPr>
                <w:rFonts w:ascii="Times New Roman" w:hAnsi="Times New Roman"/>
                <w:color w:val="000000"/>
                <w:lang w:eastAsia="en-US"/>
              </w:rPr>
              <w:t>SSA Employee (e.g., field office, 800 number, DDS staff) Information Collection and Processing Time</w:t>
            </w:r>
          </w:p>
        </w:tc>
        <w:tc>
          <w:tcPr>
            <w:tcW w:w="3330" w:type="dxa"/>
          </w:tcPr>
          <w:p w:rsidR="003D0C5A" w:rsidRPr="00450E9F" w:rsidP="00CD7548" w14:paraId="6793A775" w14:textId="77777777">
            <w:pPr>
              <w:contextualSpacing/>
              <w:rPr>
                <w:rFonts w:ascii="Times New Roman" w:hAnsi="Times New Roman"/>
                <w:color w:val="000000"/>
                <w:lang w:eastAsia="en-US"/>
              </w:rPr>
            </w:pPr>
            <w:r w:rsidRPr="00450E9F">
              <w:rPr>
                <w:rFonts w:ascii="Times New Roman" w:hAnsi="Times New Roman"/>
                <w:color w:val="000000"/>
                <w:lang w:eastAsia="en-US"/>
              </w:rPr>
              <w:t>GS-9 employee x # of responses x processing time</w:t>
            </w:r>
          </w:p>
        </w:tc>
        <w:tc>
          <w:tcPr>
            <w:tcW w:w="2587" w:type="dxa"/>
          </w:tcPr>
          <w:p w:rsidR="003D0C5A" w:rsidRPr="00450E9F" w:rsidP="003D0C5A" w14:paraId="268C314F" w14:textId="77777777">
            <w:pPr>
              <w:contextualSpacing/>
              <w:jc w:val="right"/>
              <w:rPr>
                <w:rFonts w:ascii="Times New Roman" w:hAnsi="Times New Roman"/>
                <w:color w:val="000000"/>
                <w:lang w:eastAsia="en-US"/>
              </w:rPr>
            </w:pPr>
            <w:r>
              <w:rPr>
                <w:rFonts w:ascii="Times New Roman" w:hAnsi="Times New Roman"/>
                <w:color w:val="000000"/>
                <w:lang w:eastAsia="en-US"/>
              </w:rPr>
              <w:t>$44,875</w:t>
            </w:r>
          </w:p>
        </w:tc>
      </w:tr>
      <w:tr w14:paraId="7E3FDB49" w14:textId="77777777" w:rsidTr="003D0C5A">
        <w:tblPrEx>
          <w:tblW w:w="9337" w:type="dxa"/>
          <w:tblInd w:w="715" w:type="dxa"/>
          <w:tblLook w:val="04A0"/>
        </w:tblPrEx>
        <w:tc>
          <w:tcPr>
            <w:tcW w:w="3420" w:type="dxa"/>
          </w:tcPr>
          <w:p w:rsidR="00BD4911" w:rsidRPr="00450E9F" w:rsidP="00BD4911" w14:paraId="049F474A" w14:textId="5C2D581E">
            <w:pPr>
              <w:contextualSpacing/>
              <w:rPr>
                <w:rFonts w:ascii="Times New Roman" w:hAnsi="Times New Roman"/>
                <w:color w:val="000000"/>
                <w:lang w:eastAsia="en-US"/>
              </w:rPr>
            </w:pPr>
            <w:r w:rsidRPr="00003983">
              <w:rPr>
                <w:rFonts w:ascii="Times New Roman" w:hAnsi="Times New Roman"/>
                <w:color w:val="000000"/>
              </w:rPr>
              <w:t>Full-Time Equivalent Costs</w:t>
            </w:r>
          </w:p>
        </w:tc>
        <w:tc>
          <w:tcPr>
            <w:tcW w:w="3330" w:type="dxa"/>
          </w:tcPr>
          <w:p w:rsidR="00BD4911" w:rsidRPr="00450E9F" w:rsidP="00BD4911" w14:paraId="6D7E907C" w14:textId="529A5E60">
            <w:pPr>
              <w:contextualSpacing/>
              <w:rPr>
                <w:rFonts w:ascii="Times New Roman" w:hAnsi="Times New Roman"/>
                <w:color w:val="000000"/>
                <w:lang w:eastAsia="en-US"/>
              </w:rPr>
            </w:pPr>
            <w:r w:rsidRPr="00003983">
              <w:rPr>
                <w:rFonts w:ascii="Times New Roman" w:hAnsi="Times New Roman"/>
                <w:color w:val="000000"/>
              </w:rPr>
              <w:t>Out of pocket costs + Other expenses for providing this service</w:t>
            </w:r>
          </w:p>
        </w:tc>
        <w:tc>
          <w:tcPr>
            <w:tcW w:w="2587" w:type="dxa"/>
          </w:tcPr>
          <w:p w:rsidR="00BD4911" w:rsidP="00BD4911" w14:paraId="2B79E480" w14:textId="424C7C32">
            <w:pPr>
              <w:contextualSpacing/>
              <w:jc w:val="right"/>
              <w:rPr>
                <w:rFonts w:ascii="Times New Roman" w:hAnsi="Times New Roman"/>
                <w:color w:val="000000"/>
                <w:lang w:eastAsia="en-US"/>
              </w:rPr>
            </w:pPr>
            <w:r>
              <w:rPr>
                <w:rFonts w:ascii="Times New Roman" w:hAnsi="Times New Roman"/>
                <w:color w:val="000000"/>
                <w:lang w:eastAsia="en-US"/>
              </w:rPr>
              <w:t>$0*</w:t>
            </w:r>
          </w:p>
        </w:tc>
      </w:tr>
      <w:tr w14:paraId="7EA7AC53" w14:textId="77777777" w:rsidTr="003D0C5A">
        <w:tblPrEx>
          <w:tblW w:w="9337" w:type="dxa"/>
          <w:tblInd w:w="715" w:type="dxa"/>
          <w:tblLook w:val="04A0"/>
        </w:tblPrEx>
        <w:tc>
          <w:tcPr>
            <w:tcW w:w="3420" w:type="dxa"/>
          </w:tcPr>
          <w:p w:rsidR="003D0C5A" w:rsidRPr="00450E9F" w:rsidP="00CD7548" w14:paraId="70538A7C" w14:textId="77777777">
            <w:pPr>
              <w:contextualSpacing/>
              <w:rPr>
                <w:rFonts w:ascii="Times New Roman" w:hAnsi="Times New Roman"/>
                <w:color w:val="000000"/>
                <w:lang w:eastAsia="en-US"/>
              </w:rPr>
            </w:pPr>
            <w:r w:rsidRPr="00450E9F">
              <w:rPr>
                <w:rFonts w:ascii="Times New Roman" w:hAnsi="Times New Roman"/>
                <w:color w:val="000000"/>
                <w:lang w:eastAsia="en-US"/>
              </w:rPr>
              <w:t>Systems Development, Updating, and Maintenance</w:t>
            </w:r>
          </w:p>
        </w:tc>
        <w:tc>
          <w:tcPr>
            <w:tcW w:w="3330" w:type="dxa"/>
          </w:tcPr>
          <w:p w:rsidR="003D0C5A" w:rsidRPr="00450E9F" w:rsidP="00CD7548" w14:paraId="4FF49FB9" w14:textId="77777777">
            <w:pPr>
              <w:contextualSpacing/>
              <w:rPr>
                <w:rFonts w:ascii="Times New Roman" w:hAnsi="Times New Roman"/>
                <w:color w:val="000000"/>
                <w:lang w:eastAsia="en-US"/>
              </w:rPr>
            </w:pPr>
            <w:r w:rsidRPr="00450E9F">
              <w:rPr>
                <w:rFonts w:ascii="Times New Roman" w:hAnsi="Times New Roman"/>
                <w:color w:val="000000"/>
                <w:lang w:eastAsia="en-US"/>
              </w:rPr>
              <w:t>GS-9 employee x man hours for development, updating, maintenance</w:t>
            </w:r>
          </w:p>
        </w:tc>
        <w:tc>
          <w:tcPr>
            <w:tcW w:w="2587" w:type="dxa"/>
          </w:tcPr>
          <w:p w:rsidR="003D0C5A" w:rsidRPr="00450E9F" w:rsidP="003D0C5A" w14:paraId="76A04C9A" w14:textId="77777777">
            <w:pPr>
              <w:contextualSpacing/>
              <w:jc w:val="right"/>
              <w:rPr>
                <w:rFonts w:ascii="Times New Roman" w:hAnsi="Times New Roman"/>
                <w:color w:val="000000"/>
                <w:lang w:eastAsia="en-US"/>
              </w:rPr>
            </w:pPr>
            <w:r>
              <w:rPr>
                <w:rFonts w:ascii="Times New Roman" w:hAnsi="Times New Roman"/>
                <w:color w:val="000000"/>
              </w:rPr>
              <w:t>$1,368,000</w:t>
            </w:r>
          </w:p>
        </w:tc>
      </w:tr>
      <w:tr w14:paraId="2DB807A0" w14:textId="77777777" w:rsidTr="003D0C5A">
        <w:tblPrEx>
          <w:tblW w:w="9337" w:type="dxa"/>
          <w:tblInd w:w="715" w:type="dxa"/>
          <w:tblLook w:val="04A0"/>
        </w:tblPrEx>
        <w:tc>
          <w:tcPr>
            <w:tcW w:w="3420" w:type="dxa"/>
          </w:tcPr>
          <w:p w:rsidR="00BD4911" w:rsidRPr="00450E9F" w:rsidP="00BD4911" w14:paraId="5857C034" w14:textId="713C365C">
            <w:pPr>
              <w:contextualSpacing/>
              <w:rPr>
                <w:rFonts w:ascii="Times New Roman" w:hAnsi="Times New Roman"/>
                <w:color w:val="000000"/>
                <w:lang w:eastAsia="en-US"/>
              </w:rPr>
            </w:pPr>
            <w:r w:rsidRPr="00003983">
              <w:rPr>
                <w:rFonts w:ascii="Times New Roman" w:hAnsi="Times New Roman"/>
                <w:color w:val="000000"/>
              </w:rPr>
              <w:t>Quantifiable IT Costs</w:t>
            </w:r>
          </w:p>
        </w:tc>
        <w:tc>
          <w:tcPr>
            <w:tcW w:w="3330" w:type="dxa"/>
          </w:tcPr>
          <w:p w:rsidR="00BD4911" w:rsidRPr="00450E9F" w:rsidP="00BD4911" w14:paraId="39756AF3" w14:textId="2DFE6753">
            <w:pPr>
              <w:contextualSpacing/>
              <w:rPr>
                <w:rFonts w:ascii="Times New Roman" w:hAnsi="Times New Roman"/>
                <w:color w:val="000000"/>
                <w:lang w:eastAsia="en-US"/>
              </w:rPr>
            </w:pPr>
            <w:r w:rsidRPr="00003983">
              <w:rPr>
                <w:rFonts w:ascii="Times New Roman" w:hAnsi="Times New Roman"/>
                <w:color w:val="000000"/>
              </w:rPr>
              <w:t>Any additional IT costs</w:t>
            </w:r>
          </w:p>
        </w:tc>
        <w:tc>
          <w:tcPr>
            <w:tcW w:w="2587" w:type="dxa"/>
          </w:tcPr>
          <w:p w:rsidR="00BD4911" w:rsidP="00BD4911" w14:paraId="6894C0DF" w14:textId="7C5E41CE">
            <w:pPr>
              <w:contextualSpacing/>
              <w:jc w:val="right"/>
              <w:rPr>
                <w:rFonts w:ascii="Times New Roman" w:hAnsi="Times New Roman"/>
                <w:color w:val="000000"/>
              </w:rPr>
            </w:pPr>
            <w:r>
              <w:rPr>
                <w:rFonts w:ascii="Times New Roman" w:hAnsi="Times New Roman"/>
                <w:color w:val="000000"/>
                <w:lang w:eastAsia="en-US"/>
              </w:rPr>
              <w:t>$0*</w:t>
            </w:r>
          </w:p>
        </w:tc>
      </w:tr>
      <w:tr w14:paraId="4315F542" w14:textId="77777777" w:rsidTr="003D0C5A">
        <w:tblPrEx>
          <w:tblW w:w="9337" w:type="dxa"/>
          <w:tblInd w:w="715" w:type="dxa"/>
          <w:tblLook w:val="04A0"/>
        </w:tblPrEx>
        <w:tc>
          <w:tcPr>
            <w:tcW w:w="3420" w:type="dxa"/>
          </w:tcPr>
          <w:p w:rsidR="003D0C5A" w:rsidRPr="00450E9F" w:rsidP="00CD7548" w14:paraId="018ADA14" w14:textId="77777777">
            <w:pPr>
              <w:contextualSpacing/>
              <w:rPr>
                <w:rFonts w:ascii="Times New Roman" w:hAnsi="Times New Roman"/>
                <w:b/>
                <w:color w:val="000000"/>
                <w:lang w:eastAsia="en-US"/>
              </w:rPr>
            </w:pPr>
            <w:r w:rsidRPr="00450E9F">
              <w:rPr>
                <w:rFonts w:ascii="Times New Roman" w:hAnsi="Times New Roman"/>
                <w:b/>
                <w:color w:val="000000"/>
                <w:lang w:eastAsia="en-US"/>
              </w:rPr>
              <w:t>Total</w:t>
            </w:r>
          </w:p>
        </w:tc>
        <w:tc>
          <w:tcPr>
            <w:tcW w:w="3330" w:type="dxa"/>
          </w:tcPr>
          <w:p w:rsidR="003D0C5A" w:rsidRPr="00450E9F" w:rsidP="00CD7548" w14:paraId="46DCD05C" w14:textId="77777777">
            <w:pPr>
              <w:contextualSpacing/>
              <w:rPr>
                <w:rFonts w:ascii="Times New Roman" w:hAnsi="Times New Roman"/>
                <w:color w:val="000000"/>
                <w:lang w:eastAsia="en-US"/>
              </w:rPr>
            </w:pPr>
          </w:p>
        </w:tc>
        <w:tc>
          <w:tcPr>
            <w:tcW w:w="2587" w:type="dxa"/>
          </w:tcPr>
          <w:p w:rsidR="003D0C5A" w:rsidRPr="00450E9F" w:rsidP="003D0C5A" w14:paraId="203241E0" w14:textId="77777777">
            <w:pPr>
              <w:contextualSpacing/>
              <w:jc w:val="right"/>
              <w:rPr>
                <w:rFonts w:ascii="Times New Roman" w:hAnsi="Times New Roman"/>
                <w:b/>
                <w:color w:val="000000"/>
                <w:lang w:eastAsia="en-US"/>
              </w:rPr>
            </w:pPr>
            <w:r w:rsidRPr="00450E9F">
              <w:rPr>
                <w:rFonts w:ascii="Times New Roman" w:hAnsi="Times New Roman"/>
                <w:b/>
                <w:lang w:eastAsia="en-US"/>
              </w:rPr>
              <w:t>$</w:t>
            </w:r>
            <w:r>
              <w:rPr>
                <w:rFonts w:ascii="Times New Roman" w:hAnsi="Times New Roman"/>
                <w:b/>
                <w:lang w:eastAsia="en-US"/>
              </w:rPr>
              <w:t>1,414,276</w:t>
            </w:r>
          </w:p>
        </w:tc>
      </w:tr>
    </w:tbl>
    <w:p w:rsidR="003D0C5A" w:rsidP="003D0C5A" w14:paraId="40DA0304" w14:textId="5955DD4C">
      <w:pPr>
        <w:tabs>
          <w:tab w:val="left" w:pos="540"/>
          <w:tab w:val="left" w:pos="1170"/>
        </w:tabs>
        <w:ind w:left="720"/>
        <w:rPr>
          <w:rFonts w:ascii="Times New Roman" w:eastAsia="Calibri" w:hAnsi="Times New Roman"/>
          <w:color w:val="000000"/>
        </w:rPr>
      </w:pPr>
      <w:r>
        <w:rPr>
          <w:rFonts w:ascii="Times New Roman" w:hAnsi="Times New Roman"/>
          <w:color w:val="000000"/>
        </w:rPr>
        <w:t>* We have inserted a $0 amount for cost factors that do not apply to this collection.</w:t>
      </w:r>
    </w:p>
    <w:p w:rsidR="003D0C5A" w:rsidP="003D0C5A" w14:paraId="4E4E7230" w14:textId="77777777">
      <w:pPr>
        <w:tabs>
          <w:tab w:val="left" w:pos="540"/>
          <w:tab w:val="left" w:pos="1170"/>
        </w:tabs>
        <w:ind w:left="720"/>
        <w:rPr>
          <w:rFonts w:ascii="Times New Roman" w:eastAsia="Calibri" w:hAnsi="Times New Roman"/>
          <w:color w:val="000000"/>
        </w:rPr>
      </w:pPr>
    </w:p>
    <w:p w:rsidR="003D0C5A" w:rsidP="003D0C5A" w14:paraId="69B8060C" w14:textId="3232D7D4">
      <w:pPr>
        <w:tabs>
          <w:tab w:val="left" w:pos="540"/>
          <w:tab w:val="left" w:pos="1170"/>
        </w:tabs>
        <w:ind w:left="720"/>
        <w:rPr>
          <w:rFonts w:ascii="Times New Roman" w:hAnsi="Times New Roman"/>
          <w:b/>
        </w:rPr>
      </w:pPr>
      <w:r>
        <w:rPr>
          <w:rFonts w:ascii="Times New Roman" w:hAnsi="Times New Roman"/>
          <w:color w:val="000000"/>
        </w:rPr>
        <w:t>SSA is unable to break down the costs to the Federal government further than we already have.  First,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3D0C5A" w:rsidP="003D0C5A" w14:paraId="5995B593" w14:textId="77777777">
      <w:pPr>
        <w:tabs>
          <w:tab w:val="left" w:pos="540"/>
          <w:tab w:val="left" w:pos="1170"/>
        </w:tabs>
        <w:ind w:left="720"/>
        <w:rPr>
          <w:rFonts w:ascii="Times New Roman" w:hAnsi="Times New Roman"/>
        </w:rPr>
      </w:pPr>
    </w:p>
    <w:p w:rsidR="00C237C3" w:rsidRPr="00BD4911" w:rsidP="00C237C3" w14:paraId="77C38A31" w14:textId="1C582843">
      <w:pPr>
        <w:numPr>
          <w:ilvl w:val="0"/>
          <w:numId w:val="21"/>
        </w:numPr>
        <w:tabs>
          <w:tab w:val="left" w:pos="540"/>
          <w:tab w:val="left" w:pos="1170"/>
        </w:tabs>
        <w:rPr>
          <w:rFonts w:ascii="Times New Roman" w:hAnsi="Times New Roman"/>
        </w:rPr>
      </w:pPr>
      <w:r w:rsidRPr="00F363FE">
        <w:rPr>
          <w:rFonts w:ascii="Times New Roman" w:hAnsi="Times New Roman"/>
          <w:b/>
        </w:rPr>
        <w:t>Program Changes or Adjustments to the Information Collection Request</w:t>
      </w:r>
    </w:p>
    <w:p w:rsidR="00BD4911" w:rsidP="00BD4911" w14:paraId="7D0D6548" w14:textId="78F6F683">
      <w:pPr>
        <w:tabs>
          <w:tab w:val="left" w:pos="540"/>
          <w:tab w:val="left" w:pos="1170"/>
        </w:tabs>
        <w:ind w:left="720"/>
        <w:rPr>
          <w:rFonts w:ascii="Times New Roman" w:hAnsi="Times New Roman"/>
        </w:rPr>
      </w:pPr>
      <w:r w:rsidRPr="007F2520">
        <w:rPr>
          <w:rFonts w:ascii="Times New Roman" w:hAnsi="Times New Roman"/>
        </w:rPr>
        <w:t>When</w:t>
      </w:r>
      <w:r>
        <w:rPr>
          <w:rFonts w:ascii="Times New Roman" w:hAnsi="Times New Roman"/>
        </w:rPr>
        <w:t xml:space="preserve"> we last cleared this IC in 2017</w:t>
      </w:r>
      <w:r w:rsidRPr="007F2520">
        <w:rPr>
          <w:rFonts w:ascii="Times New Roman" w:hAnsi="Times New Roman"/>
        </w:rPr>
        <w:t xml:space="preserve">, the burden was </w:t>
      </w:r>
      <w:r>
        <w:rPr>
          <w:rFonts w:ascii="Times New Roman" w:hAnsi="Times New Roman"/>
        </w:rPr>
        <w:t>90,000</w:t>
      </w:r>
      <w:r w:rsidRPr="007F2520">
        <w:rPr>
          <w:rFonts w:ascii="Times New Roman" w:hAnsi="Times New Roman"/>
        </w:rPr>
        <w:t xml:space="preserve"> hours.  However, we are currently reporting a burden of </w:t>
      </w:r>
      <w:r>
        <w:rPr>
          <w:rFonts w:ascii="Times New Roman" w:hAnsi="Times New Roman"/>
        </w:rPr>
        <w:t>21,540</w:t>
      </w:r>
      <w:r w:rsidRPr="007F2520">
        <w:rPr>
          <w:rFonts w:ascii="Times New Roman" w:hAnsi="Times New Roman"/>
        </w:rPr>
        <w:t xml:space="preserve"> hours.  This change stems a decrease in the number of responses from </w:t>
      </w:r>
      <w:r>
        <w:rPr>
          <w:rFonts w:ascii="Times New Roman" w:hAnsi="Times New Roman"/>
        </w:rPr>
        <w:t xml:space="preserve">12,000 </w:t>
      </w:r>
      <w:r w:rsidRPr="007F2520">
        <w:rPr>
          <w:rFonts w:ascii="Times New Roman" w:hAnsi="Times New Roman"/>
        </w:rPr>
        <w:t xml:space="preserve">to </w:t>
      </w:r>
      <w:r>
        <w:rPr>
          <w:rFonts w:ascii="Times New Roman" w:hAnsi="Times New Roman"/>
        </w:rPr>
        <w:t>2,872</w:t>
      </w:r>
      <w:r w:rsidRPr="007F2520">
        <w:rPr>
          <w:rFonts w:ascii="Times New Roman" w:hAnsi="Times New Roman"/>
        </w:rPr>
        <w:t>.  There is no change to the burden time per response.  Although the number of responses changed, SSA did not take any actions to cause this change.  These figures represent current Management Information data</w:t>
      </w:r>
      <w:r>
        <w:rPr>
          <w:rFonts w:ascii="Times New Roman" w:hAnsi="Times New Roman"/>
        </w:rPr>
        <w:t>.</w:t>
      </w:r>
    </w:p>
    <w:p w:rsidR="005C31CE" w:rsidP="00BD4911" w14:paraId="630EED3B" w14:textId="77777777">
      <w:pPr>
        <w:tabs>
          <w:tab w:val="left" w:pos="540"/>
          <w:tab w:val="left" w:pos="1170"/>
        </w:tabs>
        <w:ind w:left="720"/>
        <w:rPr>
          <w:rFonts w:ascii="Times New Roman" w:hAnsi="Times New Roman"/>
        </w:rPr>
      </w:pPr>
    </w:p>
    <w:p w:rsidR="00BD4911" w:rsidRPr="005C31CE" w:rsidP="00BD4911" w14:paraId="66773595" w14:textId="25DD655C">
      <w:pPr>
        <w:tabs>
          <w:tab w:val="left" w:pos="540"/>
          <w:tab w:val="left" w:pos="1170"/>
        </w:tabs>
        <w:ind w:left="720"/>
        <w:rPr>
          <w:rFonts w:ascii="Times New Roman" w:hAnsi="Times New Roman"/>
          <w:color w:val="000000"/>
        </w:rPr>
      </w:pPr>
      <w:r w:rsidRPr="005C31CE">
        <w:rPr>
          <w:rFonts w:ascii="Times New Roman" w:hAnsi="Times New Roman"/>
          <w:color w:val="000000"/>
        </w:rPr>
        <w:t xml:space="preserve">* Note: The total burden reflected in ROCIS is </w:t>
      </w:r>
      <w:r w:rsidR="0018059E">
        <w:rPr>
          <w:rFonts w:ascii="Times New Roman" w:hAnsi="Times New Roman"/>
          <w:b/>
          <w:bCs/>
          <w:color w:val="000000"/>
        </w:rPr>
        <w:t>28,361</w:t>
      </w:r>
      <w:r w:rsidRPr="005C31CE">
        <w:rPr>
          <w:rFonts w:ascii="Times New Roman" w:hAnsi="Times New Roman"/>
          <w:color w:val="000000"/>
        </w:rPr>
        <w:t xml:space="preserve">, while the burden cited in #12 of the Supporting Statement is </w:t>
      </w:r>
      <w:r w:rsidRPr="0018059E" w:rsidR="0018059E">
        <w:rPr>
          <w:rFonts w:ascii="Times New Roman" w:hAnsi="Times New Roman"/>
          <w:b/>
          <w:bCs/>
        </w:rPr>
        <w:t>8,975</w:t>
      </w:r>
      <w:r w:rsidRPr="005C31CE">
        <w:rPr>
          <w:rFonts w:ascii="Times New Roman" w:hAnsi="Times New Roman"/>
          <w:color w:val="000000"/>
        </w:rPr>
        <w:t xml:space="preserve">.  This discrepancy is because the ROCIS burden reflects the following components:  field office waiting time + a rough estimate of a 30-minute, one-way, drive burden.  In contrast, the chart in #12 </w:t>
      </w:r>
      <w:r>
        <w:rPr>
          <w:rFonts w:ascii="Times New Roman" w:hAnsi="Times New Roman"/>
          <w:color w:val="000000"/>
        </w:rPr>
        <w:t>above</w:t>
      </w:r>
      <w:r w:rsidRPr="005C31CE">
        <w:rPr>
          <w:rFonts w:ascii="Times New Roman" w:hAnsi="Times New Roman"/>
          <w:color w:val="000000"/>
        </w:rPr>
        <w:t xml:space="preserve"> reflects actual burden</w:t>
      </w:r>
      <w:r w:rsidRPr="005C31CE">
        <w:rPr>
          <w:rFonts w:ascii="Times New Roman" w:hAnsi="Times New Roman"/>
          <w:color w:val="000000"/>
        </w:rPr>
        <w:t>.</w:t>
      </w:r>
    </w:p>
    <w:p w:rsidR="005C31CE" w:rsidP="00BD4911" w14:paraId="73F5C9DE" w14:textId="77777777">
      <w:pPr>
        <w:tabs>
          <w:tab w:val="left" w:pos="540"/>
          <w:tab w:val="left" w:pos="1170"/>
        </w:tabs>
        <w:ind w:left="720"/>
        <w:rPr>
          <w:rFonts w:ascii="Times New Roman" w:hAnsi="Times New Roman"/>
        </w:rPr>
      </w:pPr>
    </w:p>
    <w:p w:rsidR="005C31CE" w:rsidP="00BD4911" w14:paraId="4AD83E22" w14:textId="77777777">
      <w:pPr>
        <w:tabs>
          <w:tab w:val="left" w:pos="540"/>
          <w:tab w:val="left" w:pos="1170"/>
        </w:tabs>
        <w:ind w:left="720"/>
        <w:rPr>
          <w:rFonts w:ascii="Times New Roman" w:hAnsi="Times New Roman"/>
        </w:rPr>
      </w:pPr>
    </w:p>
    <w:p w:rsidR="00C237C3" w:rsidRPr="00BD4911" w:rsidP="00C237C3" w14:paraId="281D05AE" w14:textId="464C2CD8">
      <w:pPr>
        <w:numPr>
          <w:ilvl w:val="0"/>
          <w:numId w:val="21"/>
        </w:numPr>
        <w:tabs>
          <w:tab w:val="left" w:pos="540"/>
          <w:tab w:val="left" w:pos="1170"/>
        </w:tabs>
        <w:rPr>
          <w:rFonts w:ascii="Times New Roman" w:hAnsi="Times New Roman"/>
        </w:rPr>
      </w:pPr>
      <w:r w:rsidRPr="00F363FE">
        <w:rPr>
          <w:rFonts w:ascii="Times New Roman" w:hAnsi="Times New Roman"/>
          <w:b/>
        </w:rPr>
        <w:t>Plans for Publication Information Collection Results</w:t>
      </w:r>
    </w:p>
    <w:p w:rsidR="00BD4911" w:rsidP="00BD4911" w14:paraId="736140BE" w14:textId="42CCD438">
      <w:pPr>
        <w:tabs>
          <w:tab w:val="left" w:pos="540"/>
          <w:tab w:val="left" w:pos="1170"/>
        </w:tabs>
        <w:ind w:left="720"/>
        <w:rPr>
          <w:rFonts w:ascii="Times New Roman" w:hAnsi="Times New Roman"/>
          <w:b/>
        </w:rPr>
      </w:pPr>
      <w:r w:rsidRPr="00F363FE">
        <w:rPr>
          <w:rFonts w:ascii="Times New Roman" w:hAnsi="Times New Roman"/>
        </w:rPr>
        <w:t>SSA will not publish the results of the information collection</w:t>
      </w:r>
      <w:r>
        <w:rPr>
          <w:rFonts w:ascii="Times New Roman" w:hAnsi="Times New Roman"/>
        </w:rPr>
        <w:t>.</w:t>
      </w:r>
    </w:p>
    <w:p w:rsidR="00BD4911" w:rsidP="00BD4911" w14:paraId="7C89FAE0" w14:textId="77777777">
      <w:pPr>
        <w:tabs>
          <w:tab w:val="left" w:pos="540"/>
          <w:tab w:val="left" w:pos="1170"/>
        </w:tabs>
        <w:ind w:left="720"/>
        <w:rPr>
          <w:rFonts w:ascii="Times New Roman" w:hAnsi="Times New Roman"/>
        </w:rPr>
      </w:pPr>
    </w:p>
    <w:p w:rsidR="00C237C3" w:rsidRPr="00BD4911" w:rsidP="00C237C3" w14:paraId="5CF62B18" w14:textId="321FCD70">
      <w:pPr>
        <w:numPr>
          <w:ilvl w:val="0"/>
          <w:numId w:val="21"/>
        </w:numPr>
        <w:tabs>
          <w:tab w:val="left" w:pos="540"/>
          <w:tab w:val="left" w:pos="1170"/>
        </w:tabs>
        <w:rPr>
          <w:rFonts w:ascii="Times New Roman" w:hAnsi="Times New Roman"/>
        </w:rPr>
      </w:pPr>
      <w:r w:rsidRPr="00F363FE">
        <w:rPr>
          <w:rFonts w:ascii="Times New Roman" w:hAnsi="Times New Roman"/>
          <w:b/>
        </w:rPr>
        <w:t>Displaying the OMB Approval Expiration Date</w:t>
      </w:r>
    </w:p>
    <w:p w:rsidR="00BD4911" w:rsidRPr="00BD4911" w:rsidP="00BD4911" w14:paraId="0918FE62" w14:textId="503F6C6B">
      <w:pPr>
        <w:tabs>
          <w:tab w:val="left" w:pos="540"/>
          <w:tab w:val="left" w:pos="1170"/>
        </w:tabs>
        <w:ind w:left="720"/>
        <w:rPr>
          <w:rFonts w:ascii="Times New Roman" w:hAnsi="Times New Roman"/>
        </w:rPr>
      </w:pPr>
      <w:r w:rsidRPr="00F363FE">
        <w:rPr>
          <w:rFonts w:ascii="Times New Roman" w:hAnsi="Times New Roman"/>
          <w:b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rPr>
        <w:t>.</w:t>
      </w:r>
    </w:p>
    <w:p w:rsidR="00BD4911" w:rsidP="00BD4911" w14:paraId="377DB3AF" w14:textId="3007B10B">
      <w:pPr>
        <w:tabs>
          <w:tab w:val="left" w:pos="540"/>
          <w:tab w:val="left" w:pos="1170"/>
        </w:tabs>
        <w:rPr>
          <w:rFonts w:ascii="Times New Roman" w:hAnsi="Times New Roman"/>
        </w:rPr>
      </w:pPr>
    </w:p>
    <w:p w:rsidR="00C237C3" w:rsidRPr="00BD4911" w:rsidP="00C237C3" w14:paraId="775A1438" w14:textId="3504D56D">
      <w:pPr>
        <w:numPr>
          <w:ilvl w:val="0"/>
          <w:numId w:val="21"/>
        </w:numPr>
        <w:tabs>
          <w:tab w:val="left" w:pos="540"/>
          <w:tab w:val="left" w:pos="1170"/>
        </w:tabs>
        <w:rPr>
          <w:rFonts w:ascii="Times New Roman" w:hAnsi="Times New Roman"/>
        </w:rPr>
      </w:pPr>
      <w:r w:rsidRPr="00F363FE">
        <w:rPr>
          <w:rFonts w:ascii="Times New Roman" w:hAnsi="Times New Roman"/>
          <w:b/>
        </w:rPr>
        <w:t>Exceptions to Certification Statement</w:t>
      </w:r>
    </w:p>
    <w:p w:rsidR="001966A1" w:rsidP="00BD4911" w14:paraId="1FFD497B" w14:textId="495FB28B">
      <w:pPr>
        <w:pStyle w:val="ListParagraph"/>
        <w:rPr>
          <w:rFonts w:ascii="Times New Roman" w:hAnsi="Times New Roman"/>
          <w:bCs/>
        </w:rPr>
      </w:pPr>
      <w:r w:rsidRPr="00BD4911">
        <w:rPr>
          <w:rFonts w:ascii="Times New Roman" w:hAnsi="Times New Roman"/>
          <w:bCs/>
        </w:rPr>
        <w:t>SSA is not requesting an exception to the certification requirements at</w:t>
      </w:r>
      <w:r>
        <w:rPr>
          <w:rFonts w:ascii="Times New Roman" w:hAnsi="Times New Roman"/>
          <w:bCs/>
        </w:rPr>
        <w:t xml:space="preserve"> </w:t>
      </w:r>
      <w:r w:rsidRPr="00BD4911">
        <w:rPr>
          <w:rFonts w:ascii="Times New Roman" w:hAnsi="Times New Roman"/>
          <w:bCs/>
          <w:i/>
        </w:rPr>
        <w:t>5 CFR 1320.9</w:t>
      </w:r>
      <w:r w:rsidRPr="00BD4911">
        <w:rPr>
          <w:rFonts w:ascii="Times New Roman" w:hAnsi="Times New Roman"/>
          <w:bCs/>
        </w:rPr>
        <w:t xml:space="preserve"> and related provisions at </w:t>
      </w:r>
      <w:r w:rsidRPr="00BD4911">
        <w:rPr>
          <w:rFonts w:ascii="Times New Roman" w:hAnsi="Times New Roman"/>
          <w:bCs/>
          <w:i/>
        </w:rPr>
        <w:t>5 CFR 1320.8(b)(3)</w:t>
      </w:r>
      <w:r w:rsidRPr="00BD4911">
        <w:rPr>
          <w:rFonts w:ascii="Times New Roman" w:hAnsi="Times New Roman"/>
          <w:bCs/>
        </w:rPr>
        <w:t>.</w:t>
      </w:r>
    </w:p>
    <w:p w:rsidR="005C31CE" w:rsidRPr="00BD4911" w:rsidP="00BD4911" w14:paraId="450B4D5F" w14:textId="77777777">
      <w:pPr>
        <w:pStyle w:val="ListParagraph"/>
        <w:rPr>
          <w:rFonts w:ascii="Times New Roman" w:hAnsi="Times New Roman"/>
          <w:bCs/>
        </w:rPr>
      </w:pPr>
    </w:p>
    <w:p w:rsidR="00F363FE" w:rsidRPr="00F363FE" w:rsidP="007704F7" w14:paraId="52F8A450" w14:textId="77777777">
      <w:pPr>
        <w:pStyle w:val="Heading1"/>
        <w:numPr>
          <w:ilvl w:val="0"/>
          <w:numId w:val="19"/>
        </w:numPr>
        <w:tabs>
          <w:tab w:val="left" w:pos="540"/>
        </w:tabs>
        <w:ind w:left="630" w:hanging="630"/>
        <w:rPr>
          <w:b/>
        </w:rPr>
      </w:pPr>
      <w:r w:rsidRPr="00F363FE">
        <w:rPr>
          <w:b/>
          <w:bCs/>
        </w:rPr>
        <w:t>Collections of Information Employing Statistical Methods</w:t>
      </w:r>
    </w:p>
    <w:p w:rsidR="00F363FE" w:rsidRPr="00F363FE" w:rsidP="009D382A" w14:paraId="27C47D7C" w14:textId="77777777">
      <w:pPr>
        <w:pStyle w:val="Heading1"/>
        <w:numPr>
          <w:ilvl w:val="0"/>
          <w:numId w:val="0"/>
        </w:numPr>
        <w:ind w:left="360"/>
        <w:rPr>
          <w:b/>
          <w:bCs/>
        </w:rPr>
      </w:pPr>
    </w:p>
    <w:p w:rsidR="009C3F30" w:rsidRPr="00F363FE" w:rsidP="00BD4911" w14:paraId="380ED185" w14:textId="77777777">
      <w:pPr>
        <w:pStyle w:val="Heading1"/>
        <w:numPr>
          <w:ilvl w:val="0"/>
          <w:numId w:val="0"/>
        </w:numPr>
        <w:ind w:left="1080" w:hanging="360"/>
        <w:rPr>
          <w:b/>
          <w:u w:val="none"/>
        </w:rPr>
      </w:pPr>
      <w:r w:rsidRPr="00F363FE">
        <w:rPr>
          <w:bCs/>
          <w:u w:val="none"/>
        </w:rPr>
        <w:t>SSA does not use s</w:t>
      </w:r>
      <w:r w:rsidRPr="00F363FE" w:rsidR="00506AE8">
        <w:rPr>
          <w:bCs/>
          <w:u w:val="none"/>
        </w:rPr>
        <w:t>tatistical methods for this information collection.</w:t>
      </w:r>
    </w:p>
    <w:sectPr w:rsidSect="003124F4">
      <w:footerReference w:type="default" r:id="rId6"/>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280" w14:paraId="5B3DF9AD" w14:textId="2C356554">
    <w:pPr>
      <w:pStyle w:val="Footer"/>
      <w:tabs>
        <w:tab w:val="clear" w:pos="8640"/>
        <w:tab w:val="right" w:pos="9990"/>
      </w:tabs>
    </w:pPr>
    <w:r>
      <w:tab/>
    </w:r>
    <w:r>
      <w:rPr>
        <w:rStyle w:val="PageNumber"/>
      </w:rPr>
      <w:fldChar w:fldCharType="begin"/>
    </w:r>
    <w:r>
      <w:rPr>
        <w:rStyle w:val="PageNumber"/>
      </w:rPr>
      <w:instrText xml:space="preserve"> PAGE </w:instrText>
    </w:r>
    <w:r>
      <w:rPr>
        <w:rStyle w:val="PageNumber"/>
      </w:rPr>
      <w:fldChar w:fldCharType="separate"/>
    </w:r>
    <w:r w:rsidR="003B6CA2">
      <w:rPr>
        <w:rStyle w:val="PageNumber"/>
        <w:noProof/>
      </w:rPr>
      <w:t>1</w:t>
    </w:r>
    <w:r>
      <w:rPr>
        <w:rStyle w:val="PageNumber"/>
      </w:rPr>
      <w:fldChar w:fldCharType="end"/>
    </w:r>
    <w:r>
      <w:rPr>
        <w:rStyle w:val="PageNumber"/>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47C"/>
    <w:multiLevelType w:val="singleLevel"/>
    <w:tmpl w:val="565A4CE8"/>
    <w:lvl w:ilvl="0">
      <w:start w:val="14"/>
      <w:numFmt w:val="decimal"/>
      <w:lvlText w:val="%1."/>
      <w:lvlJc w:val="left"/>
      <w:pPr>
        <w:tabs>
          <w:tab w:val="num" w:pos="2160"/>
        </w:tabs>
        <w:ind w:left="2160" w:hanging="720"/>
      </w:pPr>
      <w:rPr>
        <w:rFonts w:hint="default"/>
      </w:rPr>
    </w:lvl>
  </w:abstractNum>
  <w:abstractNum w:abstractNumId="1">
    <w:nsid w:val="096464AA"/>
    <w:multiLevelType w:val="singleLevel"/>
    <w:tmpl w:val="237A56D0"/>
    <w:lvl w:ilvl="0">
      <w:start w:val="13"/>
      <w:numFmt w:val="decimal"/>
      <w:lvlText w:val="%1."/>
      <w:lvlJc w:val="left"/>
      <w:pPr>
        <w:tabs>
          <w:tab w:val="num" w:pos="2160"/>
        </w:tabs>
        <w:ind w:left="2160" w:hanging="720"/>
      </w:pPr>
      <w:rPr>
        <w:rFonts w:hint="default"/>
      </w:rPr>
    </w:lvl>
  </w:abstractNum>
  <w:abstractNum w:abstractNumId="2">
    <w:nsid w:val="17E02568"/>
    <w:multiLevelType w:val="singleLevel"/>
    <w:tmpl w:val="2E329AA4"/>
    <w:lvl w:ilvl="0">
      <w:start w:val="8"/>
      <w:numFmt w:val="decimal"/>
      <w:lvlText w:val="%1."/>
      <w:lvlJc w:val="left"/>
      <w:pPr>
        <w:tabs>
          <w:tab w:val="num" w:pos="2160"/>
        </w:tabs>
        <w:ind w:left="2160" w:hanging="720"/>
      </w:pPr>
      <w:rPr>
        <w:rFonts w:hint="default"/>
      </w:rPr>
    </w:lvl>
  </w:abstractNum>
  <w:abstractNum w:abstractNumId="3">
    <w:nsid w:val="1BE969D8"/>
    <w:multiLevelType w:val="singleLevel"/>
    <w:tmpl w:val="DE646344"/>
    <w:lvl w:ilvl="0">
      <w:start w:val="1"/>
      <w:numFmt w:val="decimal"/>
      <w:lvlText w:val="%1."/>
      <w:lvlJc w:val="left"/>
      <w:pPr>
        <w:tabs>
          <w:tab w:val="num" w:pos="2160"/>
        </w:tabs>
        <w:ind w:left="2160" w:hanging="720"/>
      </w:pPr>
    </w:lvl>
  </w:abstractNum>
  <w:abstractNum w:abstractNumId="4">
    <w:nsid w:val="25F31213"/>
    <w:multiLevelType w:val="singleLevel"/>
    <w:tmpl w:val="C4FCAF0E"/>
    <w:lvl w:ilvl="0">
      <w:start w:val="14"/>
      <w:numFmt w:val="decimal"/>
      <w:lvlText w:val="%1."/>
      <w:lvlJc w:val="left"/>
      <w:pPr>
        <w:tabs>
          <w:tab w:val="num" w:pos="1440"/>
        </w:tabs>
        <w:ind w:left="1440" w:hanging="720"/>
      </w:pPr>
    </w:lvl>
  </w:abstractNum>
  <w:abstractNum w:abstractNumId="5">
    <w:nsid w:val="27441CD8"/>
    <w:multiLevelType w:val="hybridMultilevel"/>
    <w:tmpl w:val="86086DD6"/>
    <w:lvl w:ilvl="0">
      <w:start w:val="14"/>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2BF9238C"/>
    <w:multiLevelType w:val="hybridMultilevel"/>
    <w:tmpl w:val="E5CA2A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1D55E0"/>
    <w:multiLevelType w:val="singleLevel"/>
    <w:tmpl w:val="B16602D2"/>
    <w:lvl w:ilvl="0">
      <w:start w:val="12"/>
      <w:numFmt w:val="decimal"/>
      <w:lvlText w:val="%1."/>
      <w:lvlJc w:val="left"/>
      <w:pPr>
        <w:tabs>
          <w:tab w:val="num" w:pos="2160"/>
        </w:tabs>
        <w:ind w:left="2160" w:hanging="720"/>
      </w:pPr>
    </w:lvl>
  </w:abstractNum>
  <w:abstractNum w:abstractNumId="8">
    <w:nsid w:val="349F73C0"/>
    <w:multiLevelType w:val="singleLevel"/>
    <w:tmpl w:val="2E1EA490"/>
    <w:lvl w:ilvl="0">
      <w:start w:val="1"/>
      <w:numFmt w:val="upperLetter"/>
      <w:pStyle w:val="Heading1"/>
      <w:lvlText w:val="%1."/>
      <w:lvlJc w:val="left"/>
      <w:pPr>
        <w:tabs>
          <w:tab w:val="num" w:pos="1440"/>
        </w:tabs>
        <w:ind w:left="1440" w:hanging="720"/>
      </w:pPr>
      <w:rPr>
        <w:rFonts w:ascii="Times New Roman" w:hAnsi="Times New Roman" w:hint="default"/>
        <w:b/>
        <w:i w:val="0"/>
        <w:sz w:val="24"/>
        <w:u w:val="none"/>
      </w:rPr>
    </w:lvl>
  </w:abstractNum>
  <w:abstractNum w:abstractNumId="9">
    <w:nsid w:val="38874267"/>
    <w:multiLevelType w:val="singleLevel"/>
    <w:tmpl w:val="09903F32"/>
    <w:lvl w:ilvl="0">
      <w:start w:val="9"/>
      <w:numFmt w:val="decimal"/>
      <w:lvlText w:val="%1."/>
      <w:lvlJc w:val="left"/>
      <w:pPr>
        <w:tabs>
          <w:tab w:val="num" w:pos="2160"/>
        </w:tabs>
        <w:ind w:left="2160" w:hanging="720"/>
      </w:pPr>
    </w:lvl>
  </w:abstractNum>
  <w:abstractNum w:abstractNumId="10">
    <w:nsid w:val="389A3835"/>
    <w:multiLevelType w:val="hybridMultilevel"/>
    <w:tmpl w:val="1DCC6B08"/>
    <w:lvl w:ilvl="0">
      <w:start w:val="1"/>
      <w:numFmt w:val="decimal"/>
      <w:lvlText w:val="%1."/>
      <w:lvlJc w:val="left"/>
      <w:pPr>
        <w:ind w:left="810" w:hanging="360"/>
      </w:pPr>
      <w:rPr>
        <w:rFonts w:hint="default"/>
        <w:b w:val="0"/>
        <w:i w:val="0"/>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F927BB8"/>
    <w:multiLevelType w:val="hybridMultilevel"/>
    <w:tmpl w:val="FF9E0C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59762D"/>
    <w:multiLevelType w:val="singleLevel"/>
    <w:tmpl w:val="8FCC15FA"/>
    <w:lvl w:ilvl="0">
      <w:start w:val="13"/>
      <w:numFmt w:val="decimal"/>
      <w:lvlText w:val="%1."/>
      <w:lvlJc w:val="left"/>
      <w:pPr>
        <w:tabs>
          <w:tab w:val="num" w:pos="1440"/>
        </w:tabs>
        <w:ind w:left="1440" w:hanging="720"/>
      </w:pPr>
    </w:lvl>
  </w:abstractNum>
  <w:abstractNum w:abstractNumId="13">
    <w:nsid w:val="51DB0A65"/>
    <w:multiLevelType w:val="singleLevel"/>
    <w:tmpl w:val="580424D4"/>
    <w:lvl w:ilvl="0">
      <w:start w:val="4"/>
      <w:numFmt w:val="decimal"/>
      <w:lvlText w:val="%1."/>
      <w:lvlJc w:val="left"/>
      <w:pPr>
        <w:tabs>
          <w:tab w:val="num" w:pos="2160"/>
        </w:tabs>
        <w:ind w:left="2160" w:hanging="720"/>
      </w:pPr>
    </w:lvl>
  </w:abstractNum>
  <w:abstractNum w:abstractNumId="14">
    <w:nsid w:val="521E227B"/>
    <w:multiLevelType w:val="singleLevel"/>
    <w:tmpl w:val="C972A1B2"/>
    <w:lvl w:ilvl="0">
      <w:start w:val="2"/>
      <w:numFmt w:val="upperLetter"/>
      <w:lvlText w:val="%1."/>
      <w:lvlJc w:val="left"/>
      <w:pPr>
        <w:tabs>
          <w:tab w:val="num" w:pos="720"/>
        </w:tabs>
        <w:ind w:left="720" w:hanging="720"/>
      </w:pPr>
      <w:rPr>
        <w:rFonts w:ascii="Times New Roman" w:hAnsi="Times New Roman" w:hint="default"/>
        <w:b/>
        <w:i w:val="0"/>
        <w:sz w:val="24"/>
        <w:u w:val="none"/>
      </w:rPr>
    </w:lvl>
  </w:abstractNum>
  <w:abstractNum w:abstractNumId="15">
    <w:nsid w:val="564B30C2"/>
    <w:multiLevelType w:val="singleLevel"/>
    <w:tmpl w:val="C944BA50"/>
    <w:lvl w:ilvl="0">
      <w:start w:val="1"/>
      <w:numFmt w:val="decimal"/>
      <w:lvlText w:val="%1."/>
      <w:lvlJc w:val="left"/>
      <w:pPr>
        <w:tabs>
          <w:tab w:val="num" w:pos="1440"/>
        </w:tabs>
        <w:ind w:left="1440" w:hanging="720"/>
      </w:pPr>
    </w:lvl>
  </w:abstractNum>
  <w:abstractNum w:abstractNumId="16">
    <w:nsid w:val="66790725"/>
    <w:multiLevelType w:val="hybridMultilevel"/>
    <w:tmpl w:val="5D642A6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281131"/>
    <w:multiLevelType w:val="hybridMultilevel"/>
    <w:tmpl w:val="99B2A8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40F3006"/>
    <w:multiLevelType w:val="singleLevel"/>
    <w:tmpl w:val="C7966A7A"/>
    <w:lvl w:ilvl="0">
      <w:start w:val="3"/>
      <w:numFmt w:val="decimal"/>
      <w:lvlText w:val="%1."/>
      <w:lvlJc w:val="left"/>
      <w:pPr>
        <w:tabs>
          <w:tab w:val="num" w:pos="2160"/>
        </w:tabs>
        <w:ind w:left="2160" w:hanging="720"/>
      </w:pPr>
    </w:lvl>
  </w:abstractNum>
  <w:abstractNum w:abstractNumId="19">
    <w:nsid w:val="75464A06"/>
    <w:multiLevelType w:val="singleLevel"/>
    <w:tmpl w:val="FB5CBB7A"/>
    <w:lvl w:ilvl="0">
      <w:start w:val="2"/>
      <w:numFmt w:val="upperLetter"/>
      <w:lvlText w:val="%1."/>
      <w:lvlJc w:val="left"/>
      <w:pPr>
        <w:tabs>
          <w:tab w:val="num" w:pos="720"/>
        </w:tabs>
        <w:ind w:left="720" w:hanging="720"/>
      </w:pPr>
      <w:rPr>
        <w:rFonts w:ascii="Times New Roman" w:hAnsi="Times New Roman" w:hint="default"/>
        <w:b/>
        <w:i w:val="0"/>
        <w:sz w:val="24"/>
        <w:u w:val="none"/>
      </w:rPr>
    </w:lvl>
  </w:abstractNum>
  <w:abstractNum w:abstractNumId="20">
    <w:nsid w:val="77D57083"/>
    <w:multiLevelType w:val="singleLevel"/>
    <w:tmpl w:val="63728274"/>
    <w:lvl w:ilvl="0">
      <w:start w:val="2"/>
      <w:numFmt w:val="upperLetter"/>
      <w:pStyle w:val="Heading2"/>
      <w:lvlText w:val="%1."/>
      <w:lvlJc w:val="left"/>
      <w:pPr>
        <w:tabs>
          <w:tab w:val="num" w:pos="720"/>
        </w:tabs>
        <w:ind w:left="720" w:hanging="720"/>
      </w:pPr>
      <w:rPr>
        <w:rFonts w:ascii="Times New Roman" w:hAnsi="Times New Roman" w:hint="default"/>
        <w:b/>
        <w:i w:val="0"/>
        <w:sz w:val="24"/>
        <w:u w:val="none"/>
      </w:rPr>
    </w:lvl>
  </w:abstractNum>
  <w:abstractNum w:abstractNumId="21">
    <w:nsid w:val="7A9569D2"/>
    <w:multiLevelType w:val="singleLevel"/>
    <w:tmpl w:val="C5362792"/>
    <w:lvl w:ilvl="0">
      <w:start w:val="15"/>
      <w:numFmt w:val="decimal"/>
      <w:lvlText w:val="%1."/>
      <w:lvlJc w:val="left"/>
      <w:pPr>
        <w:tabs>
          <w:tab w:val="num" w:pos="2160"/>
        </w:tabs>
        <w:ind w:left="2160" w:hanging="720"/>
      </w:pPr>
    </w:lvl>
  </w:abstractNum>
  <w:num w:numId="1" w16cid:durableId="142354217">
    <w:abstractNumId w:val="8"/>
  </w:num>
  <w:num w:numId="2" w16cid:durableId="521434616">
    <w:abstractNumId w:val="3"/>
  </w:num>
  <w:num w:numId="3" w16cid:durableId="1461994450">
    <w:abstractNumId w:val="15"/>
  </w:num>
  <w:num w:numId="4" w16cid:durableId="244414021">
    <w:abstractNumId w:val="9"/>
  </w:num>
  <w:num w:numId="5" w16cid:durableId="389965058">
    <w:abstractNumId w:val="2"/>
  </w:num>
  <w:num w:numId="6" w16cid:durableId="493105280">
    <w:abstractNumId w:val="18"/>
  </w:num>
  <w:num w:numId="7" w16cid:durableId="2033413568">
    <w:abstractNumId w:val="7"/>
  </w:num>
  <w:num w:numId="8" w16cid:durableId="1147085168">
    <w:abstractNumId w:val="4"/>
  </w:num>
  <w:num w:numId="9" w16cid:durableId="437918105">
    <w:abstractNumId w:val="12"/>
  </w:num>
  <w:num w:numId="10" w16cid:durableId="2093232146">
    <w:abstractNumId w:val="21"/>
  </w:num>
  <w:num w:numId="11" w16cid:durableId="508714032">
    <w:abstractNumId w:val="13"/>
  </w:num>
  <w:num w:numId="12" w16cid:durableId="938025684">
    <w:abstractNumId w:val="14"/>
  </w:num>
  <w:num w:numId="13" w16cid:durableId="1543441757">
    <w:abstractNumId w:val="19"/>
  </w:num>
  <w:num w:numId="14" w16cid:durableId="1153369255">
    <w:abstractNumId w:val="20"/>
  </w:num>
  <w:num w:numId="15" w16cid:durableId="61879825">
    <w:abstractNumId w:val="1"/>
  </w:num>
  <w:num w:numId="16" w16cid:durableId="57633143">
    <w:abstractNumId w:val="0"/>
  </w:num>
  <w:num w:numId="17" w16cid:durableId="355740970">
    <w:abstractNumId w:val="5"/>
  </w:num>
  <w:num w:numId="18" w16cid:durableId="231815466">
    <w:abstractNumId w:val="6"/>
  </w:num>
  <w:num w:numId="19" w16cid:durableId="1203709911">
    <w:abstractNumId w:val="17"/>
  </w:num>
  <w:num w:numId="20" w16cid:durableId="1698234516">
    <w:abstractNumId w:val="10"/>
  </w:num>
  <w:num w:numId="21" w16cid:durableId="20473323">
    <w:abstractNumId w:val="16"/>
  </w:num>
  <w:num w:numId="22" w16cid:durableId="488326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CC"/>
    <w:rsid w:val="00003983"/>
    <w:rsid w:val="00004BF7"/>
    <w:rsid w:val="00006507"/>
    <w:rsid w:val="000141B1"/>
    <w:rsid w:val="0002766F"/>
    <w:rsid w:val="00033E87"/>
    <w:rsid w:val="000357B7"/>
    <w:rsid w:val="00037DDE"/>
    <w:rsid w:val="00075225"/>
    <w:rsid w:val="00082134"/>
    <w:rsid w:val="00082804"/>
    <w:rsid w:val="00087933"/>
    <w:rsid w:val="00092FFD"/>
    <w:rsid w:val="000D4B33"/>
    <w:rsid w:val="000E69A1"/>
    <w:rsid w:val="00105FAE"/>
    <w:rsid w:val="00106550"/>
    <w:rsid w:val="00141687"/>
    <w:rsid w:val="00150CDF"/>
    <w:rsid w:val="001559F7"/>
    <w:rsid w:val="00156EDE"/>
    <w:rsid w:val="0016651F"/>
    <w:rsid w:val="001736CC"/>
    <w:rsid w:val="00174998"/>
    <w:rsid w:val="0018059E"/>
    <w:rsid w:val="001941AB"/>
    <w:rsid w:val="00194DC6"/>
    <w:rsid w:val="001966A1"/>
    <w:rsid w:val="001C09A3"/>
    <w:rsid w:val="001C5E21"/>
    <w:rsid w:val="001C6D13"/>
    <w:rsid w:val="001D77F5"/>
    <w:rsid w:val="001E53E8"/>
    <w:rsid w:val="001F4C8D"/>
    <w:rsid w:val="002064A1"/>
    <w:rsid w:val="0021297B"/>
    <w:rsid w:val="00224A18"/>
    <w:rsid w:val="00245786"/>
    <w:rsid w:val="00253AFC"/>
    <w:rsid w:val="00266611"/>
    <w:rsid w:val="002667F7"/>
    <w:rsid w:val="00281CCE"/>
    <w:rsid w:val="002A2392"/>
    <w:rsid w:val="002A431D"/>
    <w:rsid w:val="002C46FC"/>
    <w:rsid w:val="002C54A7"/>
    <w:rsid w:val="002C74D4"/>
    <w:rsid w:val="002F2D1D"/>
    <w:rsid w:val="002F39FA"/>
    <w:rsid w:val="003020C3"/>
    <w:rsid w:val="003124F4"/>
    <w:rsid w:val="00334261"/>
    <w:rsid w:val="0034207F"/>
    <w:rsid w:val="00346494"/>
    <w:rsid w:val="00350CCB"/>
    <w:rsid w:val="00361E2F"/>
    <w:rsid w:val="00366280"/>
    <w:rsid w:val="00371F74"/>
    <w:rsid w:val="003A4ADC"/>
    <w:rsid w:val="003B230E"/>
    <w:rsid w:val="003B6CA2"/>
    <w:rsid w:val="003D0C5A"/>
    <w:rsid w:val="003E065F"/>
    <w:rsid w:val="003E5766"/>
    <w:rsid w:val="003F7F9A"/>
    <w:rsid w:val="0040096D"/>
    <w:rsid w:val="004230E3"/>
    <w:rsid w:val="004236C3"/>
    <w:rsid w:val="00450E9F"/>
    <w:rsid w:val="00474E98"/>
    <w:rsid w:val="00490461"/>
    <w:rsid w:val="00494CBE"/>
    <w:rsid w:val="004A0863"/>
    <w:rsid w:val="004A20EA"/>
    <w:rsid w:val="004A2675"/>
    <w:rsid w:val="004B0BC9"/>
    <w:rsid w:val="004C4B28"/>
    <w:rsid w:val="004D6B13"/>
    <w:rsid w:val="004E26FD"/>
    <w:rsid w:val="004F4A01"/>
    <w:rsid w:val="004F622D"/>
    <w:rsid w:val="00506AE8"/>
    <w:rsid w:val="0051261A"/>
    <w:rsid w:val="00515F18"/>
    <w:rsid w:val="00520F01"/>
    <w:rsid w:val="0052147B"/>
    <w:rsid w:val="00524449"/>
    <w:rsid w:val="00536D66"/>
    <w:rsid w:val="0054531C"/>
    <w:rsid w:val="005503D4"/>
    <w:rsid w:val="00564906"/>
    <w:rsid w:val="00574F6B"/>
    <w:rsid w:val="00585D35"/>
    <w:rsid w:val="005927DA"/>
    <w:rsid w:val="0059424E"/>
    <w:rsid w:val="005A79F7"/>
    <w:rsid w:val="005B29AC"/>
    <w:rsid w:val="005C31CE"/>
    <w:rsid w:val="005F6EF5"/>
    <w:rsid w:val="00606374"/>
    <w:rsid w:val="00620DF8"/>
    <w:rsid w:val="0062742B"/>
    <w:rsid w:val="00627E21"/>
    <w:rsid w:val="00683449"/>
    <w:rsid w:val="006A3C34"/>
    <w:rsid w:val="006A74D1"/>
    <w:rsid w:val="006B0C9C"/>
    <w:rsid w:val="006B1013"/>
    <w:rsid w:val="006D20DA"/>
    <w:rsid w:val="006D51DC"/>
    <w:rsid w:val="006D6917"/>
    <w:rsid w:val="006E22AC"/>
    <w:rsid w:val="00736F2B"/>
    <w:rsid w:val="007379F1"/>
    <w:rsid w:val="007455E9"/>
    <w:rsid w:val="007566AF"/>
    <w:rsid w:val="00763103"/>
    <w:rsid w:val="00764447"/>
    <w:rsid w:val="007704F7"/>
    <w:rsid w:val="00774CF2"/>
    <w:rsid w:val="0077724A"/>
    <w:rsid w:val="007A61F6"/>
    <w:rsid w:val="007D6D4F"/>
    <w:rsid w:val="007D7E84"/>
    <w:rsid w:val="007F2520"/>
    <w:rsid w:val="00822E5B"/>
    <w:rsid w:val="00836E37"/>
    <w:rsid w:val="008478B4"/>
    <w:rsid w:val="00851336"/>
    <w:rsid w:val="0085227F"/>
    <w:rsid w:val="00855DCA"/>
    <w:rsid w:val="00862710"/>
    <w:rsid w:val="00881FA7"/>
    <w:rsid w:val="00883F86"/>
    <w:rsid w:val="00887A8C"/>
    <w:rsid w:val="008A086D"/>
    <w:rsid w:val="008A3F78"/>
    <w:rsid w:val="008B0C88"/>
    <w:rsid w:val="008C5D57"/>
    <w:rsid w:val="008D1C0B"/>
    <w:rsid w:val="008D521D"/>
    <w:rsid w:val="008F41AB"/>
    <w:rsid w:val="009123A9"/>
    <w:rsid w:val="009434E9"/>
    <w:rsid w:val="00954423"/>
    <w:rsid w:val="00961014"/>
    <w:rsid w:val="00964754"/>
    <w:rsid w:val="009766C6"/>
    <w:rsid w:val="0097768E"/>
    <w:rsid w:val="00992226"/>
    <w:rsid w:val="009958DE"/>
    <w:rsid w:val="009B3441"/>
    <w:rsid w:val="009C3F30"/>
    <w:rsid w:val="009D382A"/>
    <w:rsid w:val="00A00FA1"/>
    <w:rsid w:val="00A04911"/>
    <w:rsid w:val="00A11E6C"/>
    <w:rsid w:val="00A24318"/>
    <w:rsid w:val="00A248CC"/>
    <w:rsid w:val="00A37709"/>
    <w:rsid w:val="00A402F1"/>
    <w:rsid w:val="00A525FC"/>
    <w:rsid w:val="00A55E06"/>
    <w:rsid w:val="00A71FDD"/>
    <w:rsid w:val="00AB5BF2"/>
    <w:rsid w:val="00AC730E"/>
    <w:rsid w:val="00AD1A83"/>
    <w:rsid w:val="00AD522D"/>
    <w:rsid w:val="00AF7266"/>
    <w:rsid w:val="00B024BF"/>
    <w:rsid w:val="00B21B79"/>
    <w:rsid w:val="00B85ED1"/>
    <w:rsid w:val="00B92019"/>
    <w:rsid w:val="00B96E0B"/>
    <w:rsid w:val="00BB1D9A"/>
    <w:rsid w:val="00BB6CB4"/>
    <w:rsid w:val="00BD4911"/>
    <w:rsid w:val="00C0311D"/>
    <w:rsid w:val="00C0728D"/>
    <w:rsid w:val="00C12D8E"/>
    <w:rsid w:val="00C13CEA"/>
    <w:rsid w:val="00C22BD2"/>
    <w:rsid w:val="00C237C3"/>
    <w:rsid w:val="00C35B9E"/>
    <w:rsid w:val="00C4301D"/>
    <w:rsid w:val="00C44588"/>
    <w:rsid w:val="00C5246B"/>
    <w:rsid w:val="00C66ECE"/>
    <w:rsid w:val="00C90906"/>
    <w:rsid w:val="00C90C2E"/>
    <w:rsid w:val="00C92BEE"/>
    <w:rsid w:val="00CA29E4"/>
    <w:rsid w:val="00CA66DB"/>
    <w:rsid w:val="00CB4662"/>
    <w:rsid w:val="00CD7548"/>
    <w:rsid w:val="00D2415D"/>
    <w:rsid w:val="00D32687"/>
    <w:rsid w:val="00D3426E"/>
    <w:rsid w:val="00D53D00"/>
    <w:rsid w:val="00D63A16"/>
    <w:rsid w:val="00D76348"/>
    <w:rsid w:val="00D8337B"/>
    <w:rsid w:val="00D90A8E"/>
    <w:rsid w:val="00DA1686"/>
    <w:rsid w:val="00DA7B8D"/>
    <w:rsid w:val="00DB78DA"/>
    <w:rsid w:val="00DB7D64"/>
    <w:rsid w:val="00DC63FE"/>
    <w:rsid w:val="00DC6AB4"/>
    <w:rsid w:val="00E115D2"/>
    <w:rsid w:val="00E27E52"/>
    <w:rsid w:val="00E301BF"/>
    <w:rsid w:val="00E37783"/>
    <w:rsid w:val="00E42097"/>
    <w:rsid w:val="00E4402E"/>
    <w:rsid w:val="00E47383"/>
    <w:rsid w:val="00E63C62"/>
    <w:rsid w:val="00E81F53"/>
    <w:rsid w:val="00E823B6"/>
    <w:rsid w:val="00E95C6C"/>
    <w:rsid w:val="00EC3393"/>
    <w:rsid w:val="00EC72F6"/>
    <w:rsid w:val="00EC789F"/>
    <w:rsid w:val="00ED3B9A"/>
    <w:rsid w:val="00ED70D3"/>
    <w:rsid w:val="00EF09FA"/>
    <w:rsid w:val="00EF67AE"/>
    <w:rsid w:val="00F13321"/>
    <w:rsid w:val="00F363FE"/>
    <w:rsid w:val="00F525DA"/>
    <w:rsid w:val="00F5662F"/>
    <w:rsid w:val="00F636D9"/>
    <w:rsid w:val="00F70E0C"/>
    <w:rsid w:val="00F74B22"/>
    <w:rsid w:val="00F74FB4"/>
    <w:rsid w:val="00FF0508"/>
    <w:rsid w:val="00FF111A"/>
    <w:rsid w:val="00FF50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4563E9"/>
  <w15:chartTrackingRefBased/>
  <w15:docId w15:val="{CF6F8FA3-B0CE-4642-AD1E-1E4E99B8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szCs w:val="24"/>
      <w:lang w:eastAsia="zh-CN"/>
    </w:rPr>
  </w:style>
  <w:style w:type="paragraph" w:styleId="Heading1">
    <w:name w:val="heading 1"/>
    <w:basedOn w:val="Normal"/>
    <w:next w:val="Normal"/>
    <w:qFormat/>
    <w:pPr>
      <w:keepNext/>
      <w:numPr>
        <w:numId w:val="1"/>
      </w:numPr>
      <w:ind w:right="720"/>
      <w:outlineLvl w:val="0"/>
    </w:pPr>
    <w:rPr>
      <w:rFonts w:ascii="Times New Roman" w:hAnsi="Times New Roman"/>
      <w:u w:val="single"/>
    </w:rPr>
  </w:style>
  <w:style w:type="paragraph" w:styleId="Heading2">
    <w:name w:val="heading 2"/>
    <w:basedOn w:val="Normal"/>
    <w:next w:val="Normal"/>
    <w:qFormat/>
    <w:pPr>
      <w:keepNext/>
      <w:numPr>
        <w:numId w:val="14"/>
      </w:numPr>
      <w:tabs>
        <w:tab w:val="num" w:pos="180"/>
        <w:tab w:val="clear" w:pos="720"/>
      </w:tabs>
      <w:ind w:left="180" w:hanging="18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right" w:pos="285"/>
        <w:tab w:val="left" w:pos="570"/>
        <w:tab w:val="left" w:pos="720"/>
        <w:tab w:val="left" w:pos="2160"/>
      </w:tabs>
      <w:ind w:left="720" w:right="720"/>
    </w:pPr>
    <w:rPr>
      <w:rFonts w:ascii="Times" w:hAnsi="Times" w:cs="Times"/>
      <w:sz w:val="22"/>
      <w:szCs w:val="22"/>
    </w:rPr>
  </w:style>
  <w:style w:type="paragraph" w:styleId="BodyTextIndent">
    <w:name w:val="Body Text Indent"/>
    <w:basedOn w:val="Normal"/>
    <w:pPr>
      <w:ind w:left="360"/>
    </w:pPr>
    <w:rPr>
      <w:rFonts w:ascii="Times New Roman" w:hAnsi="Times New Roman"/>
    </w:rPr>
  </w:style>
  <w:style w:type="paragraph" w:styleId="EndnoteText">
    <w:name w:val="endnote text"/>
    <w:basedOn w:val="Normal"/>
    <w:semiHidden/>
    <w:pPr>
      <w:widowControl w:val="0"/>
    </w:pPr>
    <w:rPr>
      <w:snapToGrid w:val="0"/>
      <w:lang w:eastAsia="en-US"/>
    </w:rPr>
  </w:style>
  <w:style w:type="paragraph" w:styleId="BodyTextIndent3">
    <w:name w:val="Body Text Indent 3"/>
    <w:basedOn w:val="Normal"/>
    <w:pPr>
      <w:widowControl w:val="0"/>
      <w:ind w:left="1440"/>
    </w:pPr>
    <w:rPr>
      <w:rFonts w:ascii="Courier New" w:hAnsi="Courier New" w:cs="Courier New"/>
      <w:snapToGrid w:val="0"/>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C4301D"/>
    <w:pPr>
      <w:shd w:val="clear" w:color="auto" w:fill="000080"/>
    </w:pPr>
    <w:rPr>
      <w:rFonts w:ascii="Tahoma" w:hAnsi="Tahoma" w:cs="Tahoma"/>
      <w:sz w:val="20"/>
      <w:szCs w:val="20"/>
    </w:rPr>
  </w:style>
  <w:style w:type="paragraph" w:styleId="ListParagraph">
    <w:name w:val="List Paragraph"/>
    <w:basedOn w:val="Normal"/>
    <w:uiPriority w:val="34"/>
    <w:qFormat/>
    <w:rsid w:val="008A086D"/>
    <w:pPr>
      <w:widowControl w:val="0"/>
      <w:snapToGrid w:val="0"/>
      <w:ind w:left="720"/>
      <w:contextualSpacing/>
    </w:pPr>
    <w:rPr>
      <w:lang w:eastAsia="en-US"/>
    </w:rPr>
  </w:style>
  <w:style w:type="character" w:styleId="Hyperlink">
    <w:name w:val="Hyperlink"/>
    <w:rsid w:val="00F636D9"/>
    <w:rPr>
      <w:rFonts w:cs="Times New Roman"/>
      <w:color w:val="0000FF"/>
      <w:u w:val="single"/>
    </w:rPr>
  </w:style>
  <w:style w:type="table" w:styleId="TableGrid">
    <w:name w:val="Table Grid"/>
    <w:basedOn w:val="TableNormal"/>
    <w:uiPriority w:val="39"/>
    <w:rsid w:val="0088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4B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3426E"/>
    <w:rPr>
      <w:sz w:val="16"/>
      <w:szCs w:val="16"/>
    </w:rPr>
  </w:style>
  <w:style w:type="paragraph" w:styleId="CommentText">
    <w:name w:val="annotation text"/>
    <w:basedOn w:val="Normal"/>
    <w:link w:val="CommentTextChar"/>
    <w:rsid w:val="00D3426E"/>
    <w:rPr>
      <w:sz w:val="20"/>
      <w:szCs w:val="20"/>
    </w:rPr>
  </w:style>
  <w:style w:type="character" w:customStyle="1" w:styleId="CommentTextChar">
    <w:name w:val="Comment Text Char"/>
    <w:basedOn w:val="DefaultParagraphFont"/>
    <w:link w:val="CommentText"/>
    <w:rsid w:val="00D3426E"/>
    <w:rPr>
      <w:rFonts w:ascii="Courier" w:hAnsi="Courier"/>
      <w:lang w:eastAsia="zh-CN"/>
    </w:rPr>
  </w:style>
  <w:style w:type="paragraph" w:styleId="CommentSubject">
    <w:name w:val="annotation subject"/>
    <w:basedOn w:val="CommentText"/>
    <w:next w:val="CommentText"/>
    <w:link w:val="CommentSubjectChar"/>
    <w:rsid w:val="00D3426E"/>
    <w:rPr>
      <w:b/>
      <w:bCs/>
    </w:rPr>
  </w:style>
  <w:style w:type="character" w:customStyle="1" w:styleId="CommentSubjectChar">
    <w:name w:val="Comment Subject Char"/>
    <w:basedOn w:val="CommentTextChar"/>
    <w:link w:val="CommentSubject"/>
    <w:rsid w:val="00D3426E"/>
    <w:rPr>
      <w:rFonts w:ascii="Courier" w:hAnsi="Courier"/>
      <w:b/>
      <w:bCs/>
      <w:lang w:eastAsia="zh-CN"/>
    </w:rPr>
  </w:style>
  <w:style w:type="paragraph" w:styleId="BalloonText">
    <w:name w:val="Balloon Text"/>
    <w:basedOn w:val="Normal"/>
    <w:link w:val="BalloonTextChar"/>
    <w:rsid w:val="00D3426E"/>
    <w:rPr>
      <w:rFonts w:ascii="Segoe UI" w:hAnsi="Segoe UI" w:cs="Segoe UI"/>
      <w:sz w:val="18"/>
      <w:szCs w:val="18"/>
    </w:rPr>
  </w:style>
  <w:style w:type="character" w:customStyle="1" w:styleId="BalloonTextChar">
    <w:name w:val="Balloon Text Char"/>
    <w:basedOn w:val="DefaultParagraphFont"/>
    <w:link w:val="BalloonText"/>
    <w:rsid w:val="00D3426E"/>
    <w:rPr>
      <w:rFonts w:ascii="Segoe UI" w:hAnsi="Segoe UI" w:cs="Segoe UI"/>
      <w:sz w:val="18"/>
      <w:szCs w:val="18"/>
      <w:lang w:eastAsia="zh-CN"/>
    </w:rPr>
  </w:style>
  <w:style w:type="character" w:styleId="FollowedHyperlink">
    <w:name w:val="FollowedHyperlink"/>
    <w:rsid w:val="007379F1"/>
    <w:rPr>
      <w:color w:val="954F72"/>
      <w:u w:val="single"/>
    </w:rPr>
  </w:style>
  <w:style w:type="character" w:styleId="UnresolvedMention">
    <w:name w:val="Unresolved Mention"/>
    <w:basedOn w:val="DefaultParagraphFont"/>
    <w:uiPriority w:val="99"/>
    <w:semiHidden/>
    <w:unhideWhenUsed/>
    <w:rsid w:val="003D0C5A"/>
    <w:rPr>
      <w:color w:val="605E5C"/>
      <w:shd w:val="clear" w:color="auto" w:fill="E1DFDD"/>
    </w:rPr>
  </w:style>
  <w:style w:type="paragraph" w:customStyle="1" w:styleId="pf0">
    <w:name w:val="pf0"/>
    <w:basedOn w:val="Normal"/>
    <w:rsid w:val="00E42097"/>
    <w:pPr>
      <w:spacing w:before="100" w:beforeAutospacing="1" w:after="100" w:afterAutospacing="1"/>
    </w:pPr>
    <w:rPr>
      <w:rFonts w:ascii="Times New Roman" w:hAnsi="Times New Roman"/>
      <w:lang w:eastAsia="en-US"/>
    </w:rPr>
  </w:style>
  <w:style w:type="character" w:customStyle="1" w:styleId="cf01">
    <w:name w:val="cf01"/>
    <w:basedOn w:val="DefaultParagraphFont"/>
    <w:rsid w:val="00E42097"/>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4FactSheet.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C066-1E17-44C0-B05F-D2BB59F4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2273</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July 2001</vt:lpstr>
    </vt:vector>
  </TitlesOfParts>
  <Company>SOCIAL SECURITY ADMINISTRATION</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dc:title>
  <dc:creator>872610</dc:creator>
  <cp:lastModifiedBy>Naomi Sipple</cp:lastModifiedBy>
  <cp:revision>2</cp:revision>
  <cp:lastPrinted>2011-02-02T18:47:00Z</cp:lastPrinted>
  <dcterms:created xsi:type="dcterms:W3CDTF">2024-05-15T19:32:00Z</dcterms:created>
  <dcterms:modified xsi:type="dcterms:W3CDTF">2024-05-15T19:32:00Z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-2117294016</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[EXTERNAL]   0960-0477 Passback</vt:lpwstr>
  </property>
  <property fmtid="{D5CDD505-2E9C-101B-9397-08002B2CF9AE}" pid="6" name="_NewReviewCycle">
    <vt:lpwstr/>
  </property>
  <property fmtid="{D5CDD505-2E9C-101B-9397-08002B2CF9AE}" pid="7" name="_PreviousAdHocReviewCycleID">
    <vt:i4>-461319712</vt:i4>
  </property>
  <property fmtid="{D5CDD505-2E9C-101B-9397-08002B2CF9AE}" pid="8" name="_ReviewingToolsShownOnce">
    <vt:lpwstr/>
  </property>
</Properties>
</file>