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17F8F" w:rsidP="00817F8F" w14:paraId="756C415C" w14:textId="77777777">
      <w:pPr>
        <w:jc w:val="center"/>
        <w:rPr>
          <w:rFonts w:ascii="Times New Roman" w:hAnsi="Times New Roman"/>
          <w:b/>
          <w:snapToGrid/>
        </w:rPr>
      </w:pPr>
      <w:r>
        <w:rPr>
          <w:rFonts w:ascii="Times New Roman" w:hAnsi="Times New Roman"/>
          <w:b/>
        </w:rPr>
        <w:t>Supporting Statement for Beneficiary Recontact Report</w:t>
      </w:r>
    </w:p>
    <w:p w:rsidR="002A206B" w:rsidRPr="002A206B" w:rsidP="002A206B" w14:paraId="55146713" w14:textId="77777777">
      <w:pPr>
        <w:widowControl/>
        <w:jc w:val="center"/>
        <w:rPr>
          <w:rFonts w:ascii="Times New Roman" w:eastAsia="SimSun" w:hAnsi="Times New Roman"/>
          <w:b/>
          <w:bCs/>
          <w:snapToGrid/>
          <w:lang w:eastAsia="zh-CN"/>
        </w:rPr>
      </w:pPr>
      <w:r>
        <w:rPr>
          <w:rFonts w:ascii="Times New Roman" w:eastAsia="SimSun" w:hAnsi="Times New Roman"/>
          <w:b/>
          <w:bCs/>
          <w:snapToGrid/>
          <w:lang w:eastAsia="zh-CN"/>
        </w:rPr>
        <w:t>Form SSA-1588</w:t>
      </w:r>
    </w:p>
    <w:p w:rsidR="002A206B" w:rsidRPr="002A206B" w:rsidP="007074C5" w14:paraId="0AC31919" w14:textId="77777777">
      <w:pPr>
        <w:widowControl/>
        <w:ind w:left="2880"/>
        <w:rPr>
          <w:rFonts w:ascii="Times New Roman" w:eastAsia="SimSun" w:hAnsi="Times New Roman"/>
          <w:b/>
          <w:bCs/>
          <w:snapToGrid/>
          <w:lang w:eastAsia="zh-CN"/>
        </w:rPr>
      </w:pPr>
      <w:r>
        <w:rPr>
          <w:rFonts w:ascii="Times New Roman" w:eastAsia="SimSun" w:hAnsi="Times New Roman"/>
          <w:b/>
          <w:bCs/>
          <w:snapToGrid/>
          <w:lang w:eastAsia="zh-CN"/>
        </w:rPr>
        <w:t xml:space="preserve">       </w:t>
      </w:r>
      <w:r w:rsidRPr="002A206B">
        <w:rPr>
          <w:rFonts w:ascii="Times New Roman" w:eastAsia="SimSun" w:hAnsi="Times New Roman"/>
          <w:b/>
          <w:bCs/>
          <w:snapToGrid/>
          <w:lang w:eastAsia="zh-CN"/>
        </w:rPr>
        <w:t>OMB No. 0960-</w:t>
      </w:r>
      <w:r w:rsidR="00817F8F">
        <w:rPr>
          <w:rFonts w:ascii="Times New Roman" w:eastAsia="SimSun" w:hAnsi="Times New Roman"/>
          <w:b/>
          <w:bCs/>
          <w:snapToGrid/>
          <w:lang w:eastAsia="zh-CN"/>
        </w:rPr>
        <w:t>0502</w:t>
      </w:r>
    </w:p>
    <w:p w:rsidR="007E17BD" w:rsidRPr="00BC7F42" w:rsidP="00F107B7" w14:paraId="79A69BB6"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p>
    <w:p w:rsidR="00A45D82" w:rsidRPr="002321B0" w:rsidP="00A45D82" w14:paraId="07B087D6" w14:textId="77777777">
      <w:pPr>
        <w:rPr>
          <w:rFonts w:ascii="Times New Roman" w:hAnsi="Times New Roman"/>
          <w:b/>
        </w:rPr>
      </w:pPr>
      <w:bookmarkStart w:id="0" w:name="_Hlk100652624"/>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00A45D82" w:rsidRPr="00BC7F42" w:rsidP="00A45D82" w14:paraId="1A57D3D1" w14:textId="77777777">
      <w:pPr>
        <w:pStyle w:val="Header"/>
        <w:tabs>
          <w:tab w:val="clear" w:pos="4320"/>
          <w:tab w:val="clear" w:pos="8640"/>
        </w:tabs>
        <w:rPr>
          <w:rFonts w:ascii="Times New Roman" w:hAnsi="Times New Roman"/>
        </w:rPr>
      </w:pPr>
    </w:p>
    <w:p w:rsidR="002321B0" w:rsidP="002321B0" w14:paraId="3665BFCF" w14:textId="77777777">
      <w:pPr>
        <w:numPr>
          <w:ilvl w:val="0"/>
          <w:numId w:val="34"/>
        </w:numPr>
        <w:rPr>
          <w:rFonts w:ascii="Times New Roman" w:hAnsi="Times New Roman"/>
          <w:b/>
        </w:rPr>
      </w:pPr>
      <w:r>
        <w:rPr>
          <w:rFonts w:ascii="Times New Roman" w:hAnsi="Times New Roman"/>
          <w:b/>
        </w:rPr>
        <w:t>Introduction/</w:t>
      </w:r>
      <w:r w:rsidRPr="00BC7F42" w:rsidR="00A45D82">
        <w:rPr>
          <w:rFonts w:ascii="Times New Roman" w:hAnsi="Times New Roman"/>
          <w:b/>
        </w:rPr>
        <w:t>Authoring Laws and Regulations</w:t>
      </w:r>
    </w:p>
    <w:p w:rsidR="002745D1" w:rsidP="0045723A" w14:paraId="787C3B97" w14:textId="77777777">
      <w:pPr>
        <w:ind w:left="1440"/>
        <w:rPr>
          <w:rFonts w:ascii="Times New Roman" w:hAnsi="Times New Roman"/>
        </w:rPr>
      </w:pPr>
      <w:r w:rsidRPr="00AB162E">
        <w:rPr>
          <w:rFonts w:ascii="Times New Roman" w:hAnsi="Times New Roman"/>
        </w:rPr>
        <w:t xml:space="preserve">Section </w:t>
      </w:r>
      <w:r w:rsidRPr="00DE23A5">
        <w:rPr>
          <w:rFonts w:ascii="Times New Roman" w:hAnsi="Times New Roman"/>
          <w:i/>
        </w:rPr>
        <w:t>202(g)(1)</w:t>
      </w:r>
      <w:r w:rsidRPr="009D2BB7">
        <w:rPr>
          <w:rFonts w:ascii="Times New Roman" w:hAnsi="Times New Roman"/>
        </w:rPr>
        <w:t xml:space="preserve"> of the </w:t>
      </w:r>
      <w:r w:rsidRPr="00DE23A5">
        <w:rPr>
          <w:rFonts w:ascii="Times New Roman" w:hAnsi="Times New Roman"/>
          <w:i/>
        </w:rPr>
        <w:t>Social Security Act</w:t>
      </w:r>
      <w:r w:rsidRPr="009D2BB7">
        <w:rPr>
          <w:rFonts w:ascii="Times New Roman" w:hAnsi="Times New Roman"/>
        </w:rPr>
        <w:t xml:space="preserve"> states that a surviving spouse</w:t>
      </w:r>
      <w:r w:rsidR="00DA0F7B">
        <w:rPr>
          <w:rFonts w:ascii="Times New Roman" w:hAnsi="Times New Roman"/>
        </w:rPr>
        <w:t xml:space="preserve"> or surviving divorced spouse </w:t>
      </w:r>
      <w:r w:rsidRPr="009D2BB7">
        <w:rPr>
          <w:rFonts w:ascii="Times New Roman" w:hAnsi="Times New Roman"/>
        </w:rPr>
        <w:t xml:space="preserve">of an individual who died and was fully or currently insured </w:t>
      </w:r>
      <w:r>
        <w:rPr>
          <w:rFonts w:ascii="Times New Roman" w:hAnsi="Times New Roman"/>
        </w:rPr>
        <w:t>is</w:t>
      </w:r>
      <w:r w:rsidRPr="009D2BB7">
        <w:rPr>
          <w:rFonts w:ascii="Times New Roman" w:hAnsi="Times New Roman"/>
        </w:rPr>
        <w:t xml:space="preserve"> entitled to mother's</w:t>
      </w:r>
      <w:r>
        <w:rPr>
          <w:rFonts w:ascii="Times New Roman" w:hAnsi="Times New Roman"/>
        </w:rPr>
        <w:t xml:space="preserve"> or </w:t>
      </w:r>
      <w:r w:rsidRPr="009D2BB7">
        <w:rPr>
          <w:rFonts w:ascii="Times New Roman" w:hAnsi="Times New Roman"/>
        </w:rPr>
        <w:t>father's ben</w:t>
      </w:r>
      <w:r>
        <w:rPr>
          <w:rFonts w:ascii="Times New Roman" w:hAnsi="Times New Roman"/>
        </w:rPr>
        <w:t>efits, as</w:t>
      </w:r>
      <w:r w:rsidR="00B65680">
        <w:rPr>
          <w:rFonts w:ascii="Times New Roman" w:hAnsi="Times New Roman"/>
        </w:rPr>
        <w:t xml:space="preserve"> </w:t>
      </w:r>
      <w:r>
        <w:rPr>
          <w:rFonts w:ascii="Times New Roman" w:hAnsi="Times New Roman"/>
        </w:rPr>
        <w:t>long as this spouse</w:t>
      </w:r>
      <w:r w:rsidR="00DA0F7B">
        <w:rPr>
          <w:rFonts w:ascii="Times New Roman" w:hAnsi="Times New Roman"/>
        </w:rPr>
        <w:t xml:space="preserve"> or</w:t>
      </w:r>
    </w:p>
    <w:p w:rsidR="00DA5417" w:rsidP="0045723A" w14:paraId="5107166D" w14:textId="77777777">
      <w:pPr>
        <w:ind w:left="1440"/>
        <w:rPr>
          <w:rFonts w:ascii="Times New Roman" w:hAnsi="Times New Roman"/>
          <w:b/>
        </w:rPr>
      </w:pPr>
      <w:r>
        <w:rPr>
          <w:rFonts w:ascii="Times New Roman" w:hAnsi="Times New Roman"/>
        </w:rPr>
        <w:t xml:space="preserve">ex-spouse has </w:t>
      </w:r>
      <w:r w:rsidRPr="009D2BB7">
        <w:rPr>
          <w:rFonts w:ascii="Times New Roman" w:hAnsi="Times New Roman"/>
        </w:rPr>
        <w:t xml:space="preserve">an entitled child of the deceased in </w:t>
      </w:r>
      <w:r>
        <w:rPr>
          <w:rFonts w:ascii="Times New Roman" w:hAnsi="Times New Roman"/>
        </w:rPr>
        <w:t>their</w:t>
      </w:r>
      <w:r w:rsidRPr="009D2BB7">
        <w:rPr>
          <w:rFonts w:ascii="Times New Roman" w:hAnsi="Times New Roman"/>
        </w:rPr>
        <w:t xml:space="preserve"> care</w:t>
      </w:r>
      <w:r>
        <w:rPr>
          <w:rFonts w:ascii="Times New Roman" w:hAnsi="Times New Roman"/>
        </w:rPr>
        <w:t xml:space="preserve"> and has not remarried, except for certain situations as outlined in Section </w:t>
      </w:r>
      <w:r w:rsidRPr="00BD2ACC">
        <w:rPr>
          <w:rFonts w:ascii="Times New Roman" w:hAnsi="Times New Roman"/>
          <w:i/>
          <w:iCs/>
        </w:rPr>
        <w:t>20 CFR 404.341</w:t>
      </w:r>
      <w:r>
        <w:rPr>
          <w:rFonts w:ascii="Times New Roman" w:hAnsi="Times New Roman"/>
        </w:rPr>
        <w:t xml:space="preserve"> of the </w:t>
      </w:r>
      <w:r w:rsidRPr="002745D1">
        <w:rPr>
          <w:rFonts w:ascii="Times New Roman" w:hAnsi="Times New Roman"/>
          <w:i/>
          <w:iCs/>
        </w:rPr>
        <w:t>Code of Federal Regulations</w:t>
      </w:r>
      <w:r>
        <w:rPr>
          <w:rFonts w:ascii="Times New Roman" w:hAnsi="Times New Roman"/>
        </w:rPr>
        <w:t xml:space="preserve">. </w:t>
      </w:r>
      <w:r w:rsidR="00D93CA5">
        <w:rPr>
          <w:rFonts w:ascii="Times New Roman" w:hAnsi="Times New Roman"/>
        </w:rPr>
        <w:t xml:space="preserve"> </w:t>
      </w:r>
      <w:r>
        <w:rPr>
          <w:rFonts w:ascii="Times New Roman" w:hAnsi="Times New Roman"/>
        </w:rPr>
        <w:t xml:space="preserve">Sections </w:t>
      </w:r>
      <w:r w:rsidRPr="00DE23A5">
        <w:rPr>
          <w:rFonts w:ascii="Times New Roman" w:hAnsi="Times New Roman"/>
          <w:i/>
        </w:rPr>
        <w:t>20 CFR 404.703</w:t>
      </w:r>
      <w:r w:rsidRPr="009D2BB7">
        <w:rPr>
          <w:rFonts w:ascii="Times New Roman" w:hAnsi="Times New Roman"/>
        </w:rPr>
        <w:t xml:space="preserve"> </w:t>
      </w:r>
      <w:r>
        <w:rPr>
          <w:rFonts w:ascii="Times New Roman" w:hAnsi="Times New Roman"/>
        </w:rPr>
        <w:t xml:space="preserve">and </w:t>
      </w:r>
      <w:r w:rsidRPr="00DE23A5">
        <w:rPr>
          <w:rFonts w:ascii="Times New Roman" w:hAnsi="Times New Roman"/>
          <w:i/>
        </w:rPr>
        <w:t>20 CFR 404.705</w:t>
      </w:r>
      <w:r>
        <w:rPr>
          <w:rFonts w:ascii="Times New Roman" w:hAnsi="Times New Roman"/>
          <w:i/>
        </w:rPr>
        <w:t xml:space="preserve"> </w:t>
      </w:r>
      <w:r w:rsidRPr="009D2BB7">
        <w:rPr>
          <w:rFonts w:ascii="Times New Roman" w:hAnsi="Times New Roman"/>
        </w:rPr>
        <w:t xml:space="preserve">of the </w:t>
      </w:r>
      <w:r w:rsidRPr="00DE23A5">
        <w:rPr>
          <w:rFonts w:ascii="Times New Roman" w:hAnsi="Times New Roman"/>
          <w:i/>
        </w:rPr>
        <w:t>Code of Federal Regulations</w:t>
      </w:r>
      <w:r w:rsidRPr="00DB627F">
        <w:rPr>
          <w:rFonts w:ascii="Times New Roman" w:hAnsi="Times New Roman"/>
        </w:rPr>
        <w:t xml:space="preserve"> </w:t>
      </w:r>
      <w:r>
        <w:rPr>
          <w:rFonts w:ascii="Times New Roman" w:hAnsi="Times New Roman"/>
        </w:rPr>
        <w:t xml:space="preserve">authorize </w:t>
      </w:r>
      <w:r w:rsidRPr="00DB627F">
        <w:rPr>
          <w:rFonts w:ascii="Times New Roman" w:hAnsi="Times New Roman"/>
        </w:rPr>
        <w:t>the</w:t>
      </w:r>
      <w:r w:rsidRPr="009D2BB7">
        <w:rPr>
          <w:rFonts w:ascii="Times New Roman" w:hAnsi="Times New Roman"/>
        </w:rPr>
        <w:t xml:space="preserve"> Com</w:t>
      </w:r>
      <w:r>
        <w:rPr>
          <w:rFonts w:ascii="Times New Roman" w:hAnsi="Times New Roman"/>
        </w:rPr>
        <w:t>missioner of the Social Security Administration (SSA) t</w:t>
      </w:r>
      <w:r w:rsidRPr="009D2BB7">
        <w:rPr>
          <w:rFonts w:ascii="Times New Roman" w:hAnsi="Times New Roman"/>
        </w:rPr>
        <w:t xml:space="preserve">o request information </w:t>
      </w:r>
      <w:r>
        <w:rPr>
          <w:rFonts w:ascii="Times New Roman" w:hAnsi="Times New Roman"/>
        </w:rPr>
        <w:t xml:space="preserve">SSA needs </w:t>
      </w:r>
      <w:r w:rsidRPr="009D2BB7">
        <w:rPr>
          <w:rFonts w:ascii="Times New Roman" w:hAnsi="Times New Roman"/>
        </w:rPr>
        <w:t>to decide whether enti</w:t>
      </w:r>
      <w:r>
        <w:rPr>
          <w:rFonts w:ascii="Times New Roman" w:hAnsi="Times New Roman"/>
        </w:rPr>
        <w:t xml:space="preserve">tlement to benefits continues.  SSA may stop benefits </w:t>
      </w:r>
      <w:r w:rsidRPr="009D2BB7">
        <w:rPr>
          <w:rFonts w:ascii="Times New Roman" w:hAnsi="Times New Roman"/>
        </w:rPr>
        <w:t>if</w:t>
      </w:r>
      <w:r>
        <w:rPr>
          <w:rFonts w:ascii="Times New Roman" w:hAnsi="Times New Roman"/>
        </w:rPr>
        <w:t xml:space="preserve"> we do not receive the </w:t>
      </w:r>
      <w:r w:rsidRPr="009D2BB7">
        <w:rPr>
          <w:rFonts w:ascii="Times New Roman" w:hAnsi="Times New Roman"/>
        </w:rPr>
        <w:t>requested information for esta</w:t>
      </w:r>
      <w:r>
        <w:rPr>
          <w:rFonts w:ascii="Times New Roman" w:hAnsi="Times New Roman"/>
        </w:rPr>
        <w:t xml:space="preserve">blishing continuing entitlement.  </w:t>
      </w:r>
    </w:p>
    <w:p w:rsidR="00F57AD9" w:rsidRPr="00F57AD9" w:rsidP="00F57AD9" w14:paraId="17F43622" w14:textId="77777777">
      <w:pPr>
        <w:rPr>
          <w:rFonts w:ascii="Times New Roman" w:hAnsi="Times New Roman"/>
        </w:rPr>
      </w:pPr>
    </w:p>
    <w:p w:rsidR="002E18CF" w:rsidRPr="002E18CF" w:rsidP="0045723A" w14:paraId="0ECD645C" w14:textId="77777777">
      <w:pPr>
        <w:numPr>
          <w:ilvl w:val="0"/>
          <w:numId w:val="20"/>
        </w:numPr>
        <w:tabs>
          <w:tab w:val="clear" w:pos="720"/>
          <w:tab w:val="num" w:pos="1440"/>
        </w:tabs>
        <w:ind w:left="1440"/>
        <w:rPr>
          <w:rFonts w:ascii="Times New Roman" w:hAnsi="Times New Roman"/>
        </w:rPr>
      </w:pPr>
      <w:r>
        <w:rPr>
          <w:rFonts w:ascii="Times New Roman" w:hAnsi="Times New Roman"/>
          <w:b/>
        </w:rPr>
        <w:t xml:space="preserve">Description of Collection </w:t>
      </w:r>
    </w:p>
    <w:p w:rsidR="003018DF" w:rsidRPr="003018DF" w:rsidP="00ED75CE" w14:paraId="43F74284" w14:textId="70A72D7E">
      <w:pPr>
        <w:ind w:left="1440"/>
        <w:rPr>
          <w:rFonts w:ascii="Times New Roman" w:hAnsi="Times New Roman"/>
        </w:rPr>
      </w:pPr>
      <w:r w:rsidRPr="003018DF">
        <w:rPr>
          <w:rFonts w:ascii="Times New Roman" w:hAnsi="Times New Roman"/>
        </w:rPr>
        <w:t>We use the Beneficiary Recontact Program to detect unreported marriages and reports of no child-in-care situations of young surviving spouses</w:t>
      </w:r>
      <w:r>
        <w:rPr>
          <w:rFonts w:ascii="Times New Roman" w:hAnsi="Times New Roman"/>
        </w:rPr>
        <w:t xml:space="preserve"> which may impact a surviving spouse’s continued eligibility for parent’s benefits</w:t>
      </w:r>
      <w:r w:rsidRPr="003018DF">
        <w:rPr>
          <w:rFonts w:ascii="Times New Roman" w:hAnsi="Times New Roman"/>
        </w:rPr>
        <w:t>. Young surviving spouses are under age 60 with a Beneficiary Identification Code (BIC) of E (or E followed by a subscript), and meet the requirements outlined in RS 00208.001C. In the past, the Social Security Administration (SSA) relied mainly on voluntary reports of marriage and other events that cause suspension and termination of benefits. Studies show that some young surviving spouses report only when we ask directly, resulting in significant overpayments that often go undetected.</w:t>
      </w:r>
    </w:p>
    <w:p w:rsidR="003018DF" w:rsidP="00FC1D5B" w14:paraId="0C8B146B" w14:textId="77777777">
      <w:pPr>
        <w:ind w:left="1440"/>
        <w:rPr>
          <w:rFonts w:ascii="Times New Roman" w:hAnsi="Times New Roman"/>
        </w:rPr>
      </w:pPr>
    </w:p>
    <w:p w:rsidR="003018DF" w:rsidP="00FC1D5B" w14:paraId="2ECA6114" w14:textId="233B1C44">
      <w:pPr>
        <w:ind w:left="1440"/>
        <w:rPr>
          <w:rFonts w:ascii="Times New Roman" w:hAnsi="Times New Roman"/>
        </w:rPr>
      </w:pPr>
      <w:r w:rsidRPr="003018DF">
        <w:rPr>
          <w:rFonts w:ascii="Times New Roman" w:hAnsi="Times New Roman"/>
        </w:rPr>
        <w:t>The automated program mails Form SSA-1588-SM (Beneficiary Recontact Report), and a notice to young surviving spouses to determine their continued eligibility. We require all entitled young surviving spouses, with dependent child(ren) in their care, to periodically complete this form to affirm their eligibility. The automated program also sends follow-up mailings to non-responders. If we do not receive a response to the final request notice, the automated program terminates benefits and notifies the young surviving spouse of the action.</w:t>
      </w:r>
    </w:p>
    <w:p w:rsidR="003018DF" w:rsidP="00FC1D5B" w14:paraId="4D8F125F" w14:textId="77777777">
      <w:pPr>
        <w:ind w:left="1440"/>
        <w:rPr>
          <w:rFonts w:ascii="Times New Roman" w:hAnsi="Times New Roman"/>
        </w:rPr>
      </w:pPr>
    </w:p>
    <w:p w:rsidR="005C4DBA" w:rsidP="00FC1D5B" w14:paraId="788FE520" w14:textId="24FB08D8">
      <w:pPr>
        <w:ind w:left="1440"/>
        <w:rPr>
          <w:rFonts w:ascii="Times New Roman" w:hAnsi="Times New Roman"/>
        </w:rPr>
      </w:pPr>
      <w:r w:rsidRPr="00F03B18">
        <w:rPr>
          <w:rFonts w:ascii="Times New Roman" w:hAnsi="Times New Roman"/>
        </w:rPr>
        <w:t xml:space="preserve">Each month </w:t>
      </w:r>
      <w:r w:rsidR="007A0699">
        <w:rPr>
          <w:rFonts w:ascii="Times New Roman" w:hAnsi="Times New Roman"/>
        </w:rPr>
        <w:t xml:space="preserve">the Regular Transcript Attainment and Selection Pass program selects </w:t>
      </w:r>
      <w:r w:rsidRPr="00F03B18">
        <w:rPr>
          <w:rFonts w:ascii="Times New Roman" w:hAnsi="Times New Roman"/>
        </w:rPr>
        <w:t>young surviving spouses eligible for the Recontact process based on their date of birth; date of current entitlement; and a notice indicator in the Recontact data line on the Master Beneficiary</w:t>
      </w:r>
      <w:r w:rsidR="004D5A7C">
        <w:rPr>
          <w:rFonts w:ascii="Times New Roman" w:hAnsi="Times New Roman"/>
        </w:rPr>
        <w:t xml:space="preserve"> </w:t>
      </w:r>
      <w:r w:rsidRPr="00F03B18">
        <w:rPr>
          <w:rFonts w:ascii="Times New Roman" w:hAnsi="Times New Roman"/>
        </w:rPr>
        <w:t xml:space="preserve">Record. </w:t>
      </w:r>
      <w:r w:rsidR="007A0699">
        <w:rPr>
          <w:rFonts w:ascii="Times New Roman" w:hAnsi="Times New Roman"/>
        </w:rPr>
        <w:t xml:space="preserve"> </w:t>
      </w:r>
      <w:r>
        <w:rPr>
          <w:rFonts w:ascii="Times New Roman" w:hAnsi="Times New Roman"/>
        </w:rPr>
        <w:t>SSA’s Systems then sends a</w:t>
      </w:r>
      <w:r w:rsidR="007A0699">
        <w:rPr>
          <w:rFonts w:ascii="Times New Roman" w:hAnsi="Times New Roman"/>
        </w:rPr>
        <w:t xml:space="preserve"> file over</w:t>
      </w:r>
      <w:r>
        <w:rPr>
          <w:rFonts w:ascii="Times New Roman" w:hAnsi="Times New Roman"/>
        </w:rPr>
        <w:t xml:space="preserve"> to</w:t>
      </w:r>
      <w:r w:rsidR="007A0699">
        <w:rPr>
          <w:rFonts w:ascii="Times New Roman" w:hAnsi="Times New Roman"/>
        </w:rPr>
        <w:t xml:space="preserve"> </w:t>
      </w:r>
      <w:r>
        <w:rPr>
          <w:rFonts w:ascii="Times New Roman" w:hAnsi="Times New Roman"/>
        </w:rPr>
        <w:t>SSA’s</w:t>
      </w:r>
      <w:r w:rsidR="007A0699">
        <w:rPr>
          <w:rFonts w:ascii="Times New Roman" w:hAnsi="Times New Roman"/>
        </w:rPr>
        <w:t xml:space="preserve"> vendor, who input</w:t>
      </w:r>
      <w:r>
        <w:rPr>
          <w:rFonts w:ascii="Times New Roman" w:hAnsi="Times New Roman"/>
        </w:rPr>
        <w:t>s</w:t>
      </w:r>
      <w:r w:rsidR="007A0699">
        <w:rPr>
          <w:rFonts w:ascii="Times New Roman" w:hAnsi="Times New Roman"/>
        </w:rPr>
        <w:t xml:space="preserve"> any pre-filled information ,and </w:t>
      </w:r>
      <w:r>
        <w:rPr>
          <w:rFonts w:ascii="Times New Roman" w:hAnsi="Times New Roman"/>
        </w:rPr>
        <w:t>mails the</w:t>
      </w:r>
    </w:p>
    <w:p w:rsidR="007A0699" w:rsidP="00FC1D5B" w14:paraId="4355F64F" w14:textId="38DE6ECF">
      <w:pPr>
        <w:ind w:left="1440"/>
        <w:rPr>
          <w:rFonts w:ascii="Times New Roman" w:hAnsi="Times New Roman"/>
        </w:rPr>
      </w:pPr>
      <w:r>
        <w:rPr>
          <w:rFonts w:ascii="Times New Roman" w:hAnsi="Times New Roman"/>
        </w:rPr>
        <w:t xml:space="preserve">Form SSA-1588 and the instruction page to the respondent along with a prepaid envelope to mail the form back to SSA.  </w:t>
      </w:r>
      <w:r w:rsidRPr="00F03B18" w:rsidR="00F03B18">
        <w:rPr>
          <w:rFonts w:ascii="Times New Roman" w:hAnsi="Times New Roman"/>
        </w:rPr>
        <w:t xml:space="preserve">Surviving spouses receive the initial </w:t>
      </w:r>
      <w:r w:rsidRPr="00F03B18" w:rsidR="00F03B18">
        <w:rPr>
          <w:rFonts w:ascii="Times New Roman" w:hAnsi="Times New Roman"/>
        </w:rPr>
        <w:t>mailing in the same month in which they first became entitled in year 1, 2, 3, 6, and 9 of their entitlement.</w:t>
      </w:r>
    </w:p>
    <w:p w:rsidR="0045723A" w:rsidP="00A336A3" w14:paraId="7C3E96D6" w14:textId="6C9CC183">
      <w:pPr>
        <w:ind w:left="1440"/>
        <w:rPr>
          <w:rFonts w:ascii="Times New Roman" w:hAnsi="Times New Roman"/>
        </w:rPr>
      </w:pPr>
      <w:r>
        <w:rPr>
          <w:rFonts w:ascii="Times New Roman" w:hAnsi="Times New Roman"/>
        </w:rPr>
        <w:t xml:space="preserve">The initial mailing is the </w:t>
      </w:r>
      <w:r w:rsidR="007A0699">
        <w:rPr>
          <w:rFonts w:ascii="Times New Roman" w:hAnsi="Times New Roman"/>
        </w:rPr>
        <w:t xml:space="preserve">first form SSA sends to the beneficiary, and </w:t>
      </w:r>
      <w:r w:rsidR="00203B57">
        <w:rPr>
          <w:rFonts w:ascii="Times New Roman" w:hAnsi="Times New Roman"/>
        </w:rPr>
        <w:t xml:space="preserve"> asks the respondents</w:t>
      </w:r>
      <w:r w:rsidR="007A0699">
        <w:rPr>
          <w:rFonts w:ascii="Times New Roman" w:hAnsi="Times New Roman"/>
        </w:rPr>
        <w:t xml:space="preserve"> the following questions:  </w:t>
      </w:r>
      <w:r w:rsidR="00203B57">
        <w:rPr>
          <w:rFonts w:ascii="Times New Roman" w:hAnsi="Times New Roman"/>
        </w:rPr>
        <w:t>1) if they are married, and</w:t>
      </w:r>
      <w:r>
        <w:rPr>
          <w:rFonts w:ascii="Times New Roman" w:hAnsi="Times New Roman"/>
        </w:rPr>
        <w:t>,</w:t>
      </w:r>
      <w:r w:rsidR="00203B57">
        <w:rPr>
          <w:rFonts w:ascii="Times New Roman" w:hAnsi="Times New Roman"/>
        </w:rPr>
        <w:t xml:space="preserve"> if </w:t>
      </w:r>
      <w:r>
        <w:rPr>
          <w:rFonts w:ascii="Times New Roman" w:hAnsi="Times New Roman"/>
        </w:rPr>
        <w:t>the respondent selects “</w:t>
      </w:r>
      <w:r w:rsidR="00203B57">
        <w:rPr>
          <w:rFonts w:ascii="Times New Roman" w:hAnsi="Times New Roman"/>
        </w:rPr>
        <w:t>yes</w:t>
      </w:r>
      <w:r>
        <w:rPr>
          <w:rFonts w:ascii="Times New Roman" w:hAnsi="Times New Roman"/>
        </w:rPr>
        <w:t>,”</w:t>
      </w:r>
      <w:r w:rsidR="00203B57">
        <w:rPr>
          <w:rFonts w:ascii="Times New Roman" w:hAnsi="Times New Roman"/>
        </w:rPr>
        <w:t xml:space="preserve"> we ask for the full name of their spouse, the date of marriage,</w:t>
      </w:r>
      <w:r>
        <w:rPr>
          <w:rFonts w:ascii="Times New Roman" w:hAnsi="Times New Roman"/>
        </w:rPr>
        <w:t xml:space="preserve"> </w:t>
      </w:r>
      <w:r w:rsidR="00203B57">
        <w:rPr>
          <w:rFonts w:ascii="Times New Roman" w:hAnsi="Times New Roman"/>
        </w:rPr>
        <w:t xml:space="preserve">if their spouse is receiving Social Security benefits, and to provide their spouse’s social security number; and 2) if they have children living with them who receive social security benefits, </w:t>
      </w:r>
      <w:r>
        <w:rPr>
          <w:rFonts w:ascii="Times New Roman" w:hAnsi="Times New Roman"/>
        </w:rPr>
        <w:t>along with a request</w:t>
      </w:r>
      <w:r w:rsidR="00203B57">
        <w:rPr>
          <w:rFonts w:ascii="Times New Roman" w:hAnsi="Times New Roman"/>
        </w:rPr>
        <w:t xml:space="preserve"> to provide the dates the child stopped living with them</w:t>
      </w:r>
      <w:r>
        <w:rPr>
          <w:rFonts w:ascii="Times New Roman" w:hAnsi="Times New Roman"/>
        </w:rPr>
        <w:t>, if applicable</w:t>
      </w:r>
      <w:r w:rsidR="00203B57">
        <w:rPr>
          <w:rFonts w:ascii="Times New Roman" w:hAnsi="Times New Roman"/>
        </w:rPr>
        <w:t xml:space="preserve">.  </w:t>
      </w:r>
      <w:r w:rsidRPr="00F03B18">
        <w:rPr>
          <w:rFonts w:ascii="Times New Roman" w:hAnsi="Times New Roman"/>
        </w:rPr>
        <w:t xml:space="preserve">SSA investigates recipients of disability payments to determine their continuing eligibility for payments.  Research indicates recipients may fail to report circumstances that affect their eligibility.  Two such cases are:  (1) When parents receiving disability benefits for their child marry; and (2) the removal of an entitled child from parents’ care. </w:t>
      </w:r>
      <w:r w:rsidR="006A3A96">
        <w:rPr>
          <w:rFonts w:ascii="Times New Roman" w:hAnsi="Times New Roman"/>
        </w:rPr>
        <w:t xml:space="preserve"> </w:t>
      </w:r>
      <w:r w:rsidRPr="00F03B18">
        <w:rPr>
          <w:rFonts w:ascii="Times New Roman" w:hAnsi="Times New Roman"/>
        </w:rPr>
        <w:t>SSA uses Form SSA</w:t>
      </w:r>
      <w:r>
        <w:rPr>
          <w:rFonts w:ascii="Times New Roman" w:hAnsi="Times New Roman"/>
        </w:rPr>
        <w:noBreakHyphen/>
      </w:r>
      <w:r w:rsidRPr="00F03B18">
        <w:rPr>
          <w:rFonts w:ascii="Times New Roman" w:hAnsi="Times New Roman"/>
        </w:rPr>
        <w:t xml:space="preserve">1588-SM to ask mothers or fathers about both their marital status, and children currently under their care, to detect overpayments and to avoid continuing payment to those no longer entitled.  </w:t>
      </w:r>
      <w:r w:rsidR="007A0699">
        <w:rPr>
          <w:rFonts w:ascii="Times New Roman" w:hAnsi="Times New Roman"/>
        </w:rPr>
        <w:t xml:space="preserve">If SSA does not receive a response to the </w:t>
      </w:r>
      <w:r>
        <w:rPr>
          <w:rFonts w:ascii="Times New Roman" w:hAnsi="Times New Roman"/>
        </w:rPr>
        <w:t xml:space="preserve">initial mailing, SSA sends a follow-up form labeled final request.  </w:t>
      </w:r>
      <w:r w:rsidR="0094069D">
        <w:rPr>
          <w:rFonts w:ascii="Times New Roman" w:hAnsi="Times New Roman"/>
        </w:rPr>
        <w:t>SSA’s WBD</w:t>
      </w:r>
      <w:r w:rsidR="006E0664">
        <w:rPr>
          <w:rFonts w:ascii="Times New Roman" w:hAnsi="Times New Roman"/>
        </w:rPr>
        <w:t>O</w:t>
      </w:r>
      <w:r w:rsidR="0094069D">
        <w:rPr>
          <w:rFonts w:ascii="Times New Roman" w:hAnsi="Times New Roman"/>
        </w:rPr>
        <w:t xml:space="preserve">C staff evaluates </w:t>
      </w:r>
      <w:r w:rsidRPr="00F03B18" w:rsidR="0094069D">
        <w:rPr>
          <w:rFonts w:ascii="Times New Roman" w:hAnsi="Times New Roman"/>
        </w:rPr>
        <w:t>the information listed on the form for program compliance.</w:t>
      </w:r>
      <w:r w:rsidR="0094069D">
        <w:rPr>
          <w:rFonts w:ascii="Times New Roman" w:hAnsi="Times New Roman"/>
        </w:rPr>
        <w:t xml:space="preserve">  The resp</w:t>
      </w:r>
      <w:r w:rsidRPr="00F03B18" w:rsidR="0094069D">
        <w:rPr>
          <w:rFonts w:ascii="Times New Roman" w:hAnsi="Times New Roman"/>
        </w:rPr>
        <w:t>ondents</w:t>
      </w:r>
      <w:r w:rsidRPr="00F03B18">
        <w:rPr>
          <w:rFonts w:ascii="Times New Roman" w:hAnsi="Times New Roman"/>
        </w:rPr>
        <w:t xml:space="preserve"> are recipients of mothers’ or fathers’ Social Security benefits.</w:t>
      </w:r>
    </w:p>
    <w:p w:rsidR="00ED75CE" w:rsidP="00A336A3" w14:paraId="54B8A491" w14:textId="77777777">
      <w:pPr>
        <w:ind w:left="1440"/>
        <w:rPr>
          <w:rFonts w:ascii="Times New Roman" w:hAnsi="Times New Roman"/>
        </w:rPr>
      </w:pPr>
    </w:p>
    <w:bookmarkEnd w:id="0"/>
    <w:p w:rsidR="0036696D" w:rsidRPr="0036696D" w:rsidP="0045723A" w14:paraId="082D8A1B" w14:textId="77777777">
      <w:pPr>
        <w:numPr>
          <w:ilvl w:val="0"/>
          <w:numId w:val="20"/>
        </w:numPr>
        <w:tabs>
          <w:tab w:val="clear" w:pos="720"/>
          <w:tab w:val="num" w:pos="1440"/>
        </w:tabs>
        <w:ind w:left="1440"/>
        <w:rPr>
          <w:rFonts w:ascii="Times New Roman" w:hAnsi="Times New Roman"/>
        </w:rPr>
      </w:pPr>
      <w:r w:rsidRPr="00BC7F42">
        <w:rPr>
          <w:rFonts w:ascii="Times New Roman" w:hAnsi="Times New Roman"/>
          <w:b/>
        </w:rPr>
        <w:t>Use of Information Technology to Collect the Information</w:t>
      </w:r>
    </w:p>
    <w:p w:rsidR="002745D1" w:rsidRPr="00203B57" w:rsidP="00540446" w14:paraId="5617D2BF" w14:textId="2FB73125">
      <w:pPr>
        <w:ind w:left="1440"/>
        <w:rPr>
          <w:rFonts w:ascii="Times New Roman" w:hAnsi="Times New Roman"/>
        </w:rPr>
      </w:pPr>
      <w:r w:rsidRPr="008041B4">
        <w:rPr>
          <w:rFonts w:ascii="Times New Roman" w:hAnsi="Times New Roman"/>
          <w:color w:val="000000"/>
        </w:rPr>
        <w:t>This collection does not currently have a fully public-facing Internet version, as we prioritized other information collections for full electronic conversions.  Given that IT Mod programming is an ongoing, dynamic project, we cannot provide specific timelines for when we will be able to make any particular ICR available via Internet web-based application.  We will ultimately convert most existing ICRs to full electronic versions depending on how they fall within our overall IT Mod schema, but this may be unconnected to the PRA approval lifecycle.</w:t>
      </w:r>
      <w:r>
        <w:rPr>
          <w:rFonts w:ascii="Times New Roman" w:hAnsi="Times New Roman"/>
          <w:color w:val="000000"/>
        </w:rPr>
        <w:t xml:space="preserve">  </w:t>
      </w:r>
      <w:r w:rsidRPr="008041B4">
        <w:rPr>
          <w:rFonts w:ascii="Times New Roman" w:hAnsi="Times New Roman"/>
          <w:color w:val="000000"/>
        </w:rPr>
        <w:t>In the interim, we evaluated this collection for conversion to a submittable PDF.  Given the high volume of conversions we are coordinating and the more urgent nature of some of the other conversions, we ultimately decided not to prioritize this ICR for conversion to fully submittable PDF at this time.  When we are able to schedule this form for conversion to a submittable PDF, we will submit a Change Request to OMB to request prior approval</w:t>
      </w:r>
      <w:r>
        <w:rPr>
          <w:rFonts w:ascii="Times New Roman" w:hAnsi="Times New Roman"/>
          <w:color w:val="000000"/>
        </w:rPr>
        <w:t>.</w:t>
      </w:r>
    </w:p>
    <w:p w:rsidR="00540446" w:rsidP="0045723A" w14:paraId="6AFCD847" w14:textId="77777777">
      <w:pPr>
        <w:ind w:left="1440"/>
        <w:rPr>
          <w:rFonts w:ascii="Times New Roman" w:hAnsi="Times New Roman"/>
        </w:rPr>
      </w:pPr>
      <w:r>
        <w:rPr>
          <w:rFonts w:ascii="Times New Roman" w:hAnsi="Times New Roman"/>
        </w:rPr>
        <w:t xml:space="preserve"> </w:t>
      </w:r>
    </w:p>
    <w:p w:rsidR="000C1D18" w:rsidP="0045723A" w14:paraId="01021568" w14:textId="77777777">
      <w:pPr>
        <w:numPr>
          <w:ilvl w:val="0"/>
          <w:numId w:val="20"/>
        </w:numPr>
        <w:tabs>
          <w:tab w:val="clear" w:pos="720"/>
          <w:tab w:val="num" w:pos="1440"/>
        </w:tabs>
        <w:ind w:left="1440"/>
        <w:rPr>
          <w:rFonts w:ascii="Times New Roman" w:hAnsi="Times New Roman"/>
          <w:b/>
        </w:rPr>
      </w:pPr>
      <w:r w:rsidRPr="00BC7F42">
        <w:rPr>
          <w:rFonts w:ascii="Times New Roman" w:hAnsi="Times New Roman"/>
          <w:b/>
        </w:rPr>
        <w:t xml:space="preserve">Why </w:t>
      </w:r>
      <w:r>
        <w:rPr>
          <w:rFonts w:ascii="Times New Roman" w:hAnsi="Times New Roman"/>
          <w:b/>
        </w:rPr>
        <w:t>We Cannot Use Duplicate Information</w:t>
      </w:r>
    </w:p>
    <w:p w:rsidR="00E90C49" w:rsidRPr="00DB21F2" w:rsidP="0045723A" w14:paraId="47FBE2C4" w14:textId="77777777">
      <w:pPr>
        <w:ind w:left="1440"/>
        <w:rPr>
          <w:rFonts w:ascii="Times New Roman" w:hAnsi="Times New Roman"/>
        </w:rPr>
      </w:pPr>
      <w:r w:rsidRPr="00DB21F2">
        <w:rPr>
          <w:rFonts w:ascii="Times New Roman" w:hAnsi="Times New Roman"/>
        </w:rPr>
        <w:t xml:space="preserve">The nature of the information we collect and the manner in which we collect </w:t>
      </w:r>
      <w:r w:rsidRPr="00DB21F2" w:rsidR="00C027A7">
        <w:rPr>
          <w:rFonts w:ascii="Times New Roman" w:hAnsi="Times New Roman"/>
        </w:rPr>
        <w:t xml:space="preserve">it </w:t>
      </w:r>
      <w:r w:rsidR="00C027A7">
        <w:rPr>
          <w:rFonts w:ascii="Times New Roman" w:hAnsi="Times New Roman"/>
        </w:rPr>
        <w:t>precludes</w:t>
      </w:r>
      <w:r w:rsidRPr="00DB21F2">
        <w:rPr>
          <w:rFonts w:ascii="Times New Roman" w:hAnsi="Times New Roman"/>
        </w:rPr>
        <w:t xml:space="preserve"> duplication.  SSA does not use another collection instrument to obtain similar data. </w:t>
      </w:r>
    </w:p>
    <w:p w:rsidR="00A45D82" w:rsidRPr="00BC7F42" w:rsidP="00A45D82" w14:paraId="25374496" w14:textId="77777777">
      <w:pPr>
        <w:pStyle w:val="Header"/>
        <w:tabs>
          <w:tab w:val="clear" w:pos="4320"/>
          <w:tab w:val="clear" w:pos="8640"/>
        </w:tabs>
        <w:ind w:left="720"/>
        <w:rPr>
          <w:rFonts w:ascii="Times New Roman" w:hAnsi="Times New Roman"/>
        </w:rPr>
      </w:pPr>
    </w:p>
    <w:p w:rsidR="00077E0E" w:rsidRPr="00077E0E" w:rsidP="0045723A" w14:paraId="544EE317" w14:textId="77777777">
      <w:pPr>
        <w:numPr>
          <w:ilvl w:val="0"/>
          <w:numId w:val="28"/>
        </w:numPr>
        <w:tabs>
          <w:tab w:val="clear" w:pos="360"/>
        </w:tabs>
        <w:ind w:left="1440" w:hanging="720"/>
        <w:rPr>
          <w:rFonts w:ascii="Times New Roman" w:hAnsi="Times New Roman"/>
        </w:rPr>
      </w:pPr>
      <w:r>
        <w:rPr>
          <w:rFonts w:ascii="Times New Roman" w:hAnsi="Times New Roman"/>
          <w:b/>
        </w:rPr>
        <w:t>Minimizing Burden on Small Respondents</w:t>
      </w:r>
    </w:p>
    <w:p w:rsidR="00E90C49" w:rsidP="0045723A" w14:paraId="716AD6D3" w14:textId="77777777">
      <w:pPr>
        <w:ind w:left="720" w:firstLine="720"/>
        <w:rPr>
          <w:rFonts w:ascii="Times New Roman" w:hAnsi="Times New Roman"/>
        </w:rPr>
      </w:pPr>
      <w:r w:rsidRPr="00E90C49">
        <w:rPr>
          <w:rFonts w:ascii="Times New Roman" w:hAnsi="Times New Roman"/>
        </w:rPr>
        <w:t>This collection does not affect small businesses or other small entities.</w:t>
      </w:r>
    </w:p>
    <w:p w:rsidR="00E75DB0" w:rsidRPr="00077E0E" w:rsidP="00077E0E" w14:paraId="2AC044F4" w14:textId="77777777">
      <w:pPr>
        <w:ind w:left="720"/>
        <w:rPr>
          <w:rFonts w:ascii="Times New Roman" w:hAnsi="Times New Roman"/>
          <w:b/>
          <w:u w:val="single"/>
        </w:rPr>
      </w:pPr>
    </w:p>
    <w:p w:rsidR="00E90C49" w:rsidP="0045723A" w14:paraId="2D22187D" w14:textId="77777777">
      <w:pPr>
        <w:ind w:left="720"/>
        <w:rPr>
          <w:rFonts w:ascii="Times New Roman" w:hAnsi="Times New Roman"/>
        </w:rPr>
      </w:pPr>
      <w:r w:rsidRPr="005C2C39">
        <w:rPr>
          <w:rFonts w:ascii="Times New Roman" w:hAnsi="Times New Roman"/>
          <w:b/>
        </w:rPr>
        <w:t>6.</w:t>
      </w:r>
      <w:r w:rsidRPr="00BC7F42">
        <w:rPr>
          <w:rFonts w:ascii="Times New Roman" w:hAnsi="Times New Roman"/>
        </w:rPr>
        <w:tab/>
      </w:r>
      <w:r w:rsidRPr="00BC7F42">
        <w:rPr>
          <w:rFonts w:ascii="Times New Roman" w:hAnsi="Times New Roman"/>
          <w:b/>
        </w:rPr>
        <w:t xml:space="preserve">Consequence of Not Collecting Information or Collecting it Less Frequently </w:t>
      </w:r>
    </w:p>
    <w:p w:rsidR="00DD418D" w:rsidP="0045723A" w14:paraId="101230B4" w14:textId="77777777">
      <w:pPr>
        <w:ind w:left="1440"/>
        <w:rPr>
          <w:rFonts w:ascii="Times New Roman" w:hAnsi="Times New Roman"/>
          <w:b/>
        </w:rPr>
      </w:pPr>
      <w:r>
        <w:rPr>
          <w:rFonts w:ascii="Times New Roman" w:hAnsi="Times New Roman"/>
        </w:rPr>
        <w:t xml:space="preserve">If we do not use Form SSA-1588-SM to determine if recipients are still eligible to </w:t>
      </w:r>
      <w:r>
        <w:rPr>
          <w:rFonts w:ascii="Times New Roman" w:hAnsi="Times New Roman"/>
        </w:rPr>
        <w:t>receive payments, SSA may issue incorrect payments to recipients</w:t>
      </w:r>
      <w:r w:rsidR="006E0664">
        <w:rPr>
          <w:rFonts w:ascii="Times New Roman" w:hAnsi="Times New Roman"/>
        </w:rPr>
        <w:t>, possibly causing overpayments</w:t>
      </w:r>
      <w:r>
        <w:rPr>
          <w:rFonts w:ascii="Times New Roman" w:hAnsi="Times New Roman"/>
        </w:rPr>
        <w:t xml:space="preserve">.  We cannot collect this information less frequently, as we </w:t>
      </w:r>
      <w:r w:rsidR="006E0664">
        <w:rPr>
          <w:rFonts w:ascii="Times New Roman" w:hAnsi="Times New Roman"/>
        </w:rPr>
        <w:t xml:space="preserve">send these as needed within specific years of entitlement to </w:t>
      </w:r>
      <w:r>
        <w:rPr>
          <w:rFonts w:ascii="Times New Roman" w:hAnsi="Times New Roman"/>
        </w:rPr>
        <w:t xml:space="preserve">ensure eligibility </w:t>
      </w:r>
      <w:r w:rsidR="006E0664">
        <w:rPr>
          <w:rFonts w:ascii="Times New Roman" w:hAnsi="Times New Roman"/>
        </w:rPr>
        <w:t>and</w:t>
      </w:r>
      <w:r>
        <w:rPr>
          <w:rFonts w:ascii="Times New Roman" w:hAnsi="Times New Roman"/>
        </w:rPr>
        <w:t xml:space="preserve"> avoid fraud.  There are no technical or legal obstacles to burden reduction.</w:t>
      </w:r>
    </w:p>
    <w:p w:rsidR="00A45D82" w:rsidRPr="00BC7F42" w:rsidP="00A45D82" w14:paraId="24E33332" w14:textId="77777777">
      <w:pPr>
        <w:rPr>
          <w:rFonts w:ascii="Times New Roman" w:hAnsi="Times New Roman"/>
        </w:rPr>
      </w:pPr>
    </w:p>
    <w:p w:rsidR="00127980" w:rsidP="0045723A" w14:paraId="3B2FDBC8" w14:textId="77777777">
      <w:pPr>
        <w:ind w:left="720"/>
        <w:rPr>
          <w:rFonts w:ascii="Times New Roman" w:hAnsi="Times New Roman"/>
          <w:b/>
        </w:rPr>
      </w:pPr>
      <w:r w:rsidRPr="00127980">
        <w:rPr>
          <w:rFonts w:ascii="Times New Roman" w:hAnsi="Times New Roman"/>
          <w:b/>
        </w:rPr>
        <w:t>7.</w:t>
      </w:r>
      <w:r w:rsidRPr="00BC7F42">
        <w:rPr>
          <w:rFonts w:ascii="Times New Roman" w:hAnsi="Times New Roman"/>
        </w:rPr>
        <w:tab/>
      </w:r>
      <w:r w:rsidRPr="00BC7F42">
        <w:rPr>
          <w:rFonts w:ascii="Times New Roman" w:hAnsi="Times New Roman"/>
          <w:b/>
        </w:rPr>
        <w:t xml:space="preserve">Special Circumstances </w:t>
      </w:r>
    </w:p>
    <w:p w:rsidR="00E90C49" w:rsidRPr="00E90C49" w:rsidP="0045723A" w14:paraId="360F6099" w14:textId="77777777">
      <w:pPr>
        <w:ind w:left="1440"/>
        <w:rPr>
          <w:rFonts w:ascii="Times New Roman" w:hAnsi="Times New Roman"/>
        </w:rPr>
      </w:pPr>
      <w:r w:rsidRPr="00E90C49">
        <w:rPr>
          <w:rFonts w:ascii="Times New Roman" w:hAnsi="Times New Roman"/>
        </w:rPr>
        <w:t>There are no special circumstances that would cause SSA to conduct this information collection in a manner inconsistent with 5 CFR 1320.5.</w:t>
      </w:r>
    </w:p>
    <w:p w:rsidR="00A45D82" w:rsidRPr="00BC7F42" w:rsidP="00A45D82" w14:paraId="06F9985D" w14:textId="77777777">
      <w:pPr>
        <w:rPr>
          <w:rFonts w:ascii="Times New Roman" w:hAnsi="Times New Roman"/>
          <w:b/>
          <w:i/>
        </w:rPr>
      </w:pPr>
    </w:p>
    <w:p w:rsidR="00A45D82" w:rsidP="0045723A" w14:paraId="3056E5E7" w14:textId="77777777">
      <w:pPr>
        <w:numPr>
          <w:ilvl w:val="0"/>
          <w:numId w:val="14"/>
        </w:numPr>
        <w:tabs>
          <w:tab w:val="clear" w:pos="720"/>
          <w:tab w:val="num" w:pos="1440"/>
        </w:tabs>
        <w:ind w:left="1440"/>
        <w:rPr>
          <w:rFonts w:ascii="Times New Roman" w:hAnsi="Times New Roman"/>
        </w:rPr>
      </w:pPr>
      <w:r w:rsidRPr="00BC7F42">
        <w:rPr>
          <w:rFonts w:ascii="Times New Roman" w:hAnsi="Times New Roman"/>
          <w:b/>
        </w:rPr>
        <w:t xml:space="preserve">Solicitation of Public Comment and Other Consultations with the Public </w:t>
      </w:r>
      <w:r w:rsidR="00527A61">
        <w:rPr>
          <w:rFonts w:ascii="Times New Roman" w:hAnsi="Times New Roman"/>
          <w:b/>
        </w:rPr>
        <w:t xml:space="preserve"> </w:t>
      </w:r>
      <w:r w:rsidRPr="00BC7F42">
        <w:rPr>
          <w:rFonts w:ascii="Times New Roman" w:hAnsi="Times New Roman"/>
        </w:rPr>
        <w:t xml:space="preserve"> </w:t>
      </w:r>
    </w:p>
    <w:p w:rsidR="005B6A85" w:rsidP="005B6A85" w14:paraId="10BE98A7" w14:textId="77777777">
      <w:pPr>
        <w:ind w:left="1440"/>
        <w:rPr>
          <w:rFonts w:ascii="Times New Roman" w:hAnsi="Times New Roman"/>
        </w:rPr>
      </w:pPr>
      <w:r w:rsidRPr="005B6A85">
        <w:rPr>
          <w:rFonts w:ascii="Times New Roman" w:hAnsi="Times New Roman"/>
        </w:rPr>
        <w:t xml:space="preserve">The 60-day advance Federal Register Notice published on </w:t>
      </w:r>
      <w:r>
        <w:rPr>
          <w:rFonts w:ascii="Times New Roman" w:hAnsi="Times New Roman"/>
        </w:rPr>
        <w:t>June 30, 2022</w:t>
      </w:r>
      <w:r w:rsidRPr="005B6A85">
        <w:rPr>
          <w:rFonts w:ascii="Times New Roman" w:hAnsi="Times New Roman"/>
        </w:rPr>
        <w:t xml:space="preserve">, at </w:t>
      </w:r>
    </w:p>
    <w:p w:rsidR="005B6A85" w:rsidRPr="005B6A85" w:rsidP="005B6A85" w14:paraId="7AF2E7F3" w14:textId="77777777">
      <w:pPr>
        <w:ind w:left="1440"/>
        <w:rPr>
          <w:rFonts w:ascii="Times New Roman" w:hAnsi="Times New Roman"/>
          <w:iCs/>
        </w:rPr>
      </w:pPr>
      <w:r>
        <w:rPr>
          <w:rFonts w:ascii="Times New Roman" w:hAnsi="Times New Roman"/>
        </w:rPr>
        <w:t>87</w:t>
      </w:r>
      <w:r w:rsidR="007D48A3">
        <w:rPr>
          <w:rFonts w:ascii="Times New Roman" w:hAnsi="Times New Roman"/>
        </w:rPr>
        <w:t xml:space="preserve"> </w:t>
      </w:r>
      <w:r w:rsidRPr="005B6A85">
        <w:rPr>
          <w:rFonts w:ascii="Times New Roman" w:hAnsi="Times New Roman"/>
        </w:rPr>
        <w:t xml:space="preserve">FR </w:t>
      </w:r>
      <w:r>
        <w:rPr>
          <w:rFonts w:ascii="Times New Roman" w:hAnsi="Times New Roman"/>
        </w:rPr>
        <w:t>39153</w:t>
      </w:r>
      <w:r w:rsidRPr="005B6A85">
        <w:rPr>
          <w:rFonts w:ascii="Times New Roman" w:hAnsi="Times New Roman"/>
        </w:rPr>
        <w:t xml:space="preserve">, and we received no public comments.  The 30-day FRN published on </w:t>
      </w:r>
      <w:r w:rsidR="006E0F42">
        <w:rPr>
          <w:rFonts w:ascii="Times New Roman" w:hAnsi="Times New Roman"/>
        </w:rPr>
        <w:t>September 20, 2022,</w:t>
      </w:r>
      <w:r w:rsidRPr="005B6A85">
        <w:rPr>
          <w:rFonts w:ascii="Times New Roman" w:hAnsi="Times New Roman"/>
        </w:rPr>
        <w:t xml:space="preserve"> at</w:t>
      </w:r>
      <w:r>
        <w:rPr>
          <w:rFonts w:ascii="Times New Roman" w:hAnsi="Times New Roman"/>
        </w:rPr>
        <w:t xml:space="preserve"> 87 FR </w:t>
      </w:r>
      <w:r w:rsidR="006E0F42">
        <w:rPr>
          <w:rFonts w:ascii="Times New Roman" w:hAnsi="Times New Roman"/>
        </w:rPr>
        <w:t>57551</w:t>
      </w:r>
      <w:r w:rsidRPr="005B6A85">
        <w:rPr>
          <w:rFonts w:ascii="Times New Roman" w:hAnsi="Times New Roman"/>
        </w:rPr>
        <w:t xml:space="preserve">.  If we receive any comments in response to this Notice, we will forward them to OMB.  </w:t>
      </w:r>
      <w:r w:rsidRPr="005B6A85">
        <w:rPr>
          <w:rFonts w:ascii="Times New Roman" w:hAnsi="Times New Roman"/>
          <w:iCs/>
        </w:rPr>
        <w:t>We did not consult with the public in the revision of this form</w:t>
      </w:r>
    </w:p>
    <w:p w:rsidR="00A45D82" w:rsidRPr="00BC7F42" w:rsidP="00A45D82" w14:paraId="53B958B3" w14:textId="77777777">
      <w:pPr>
        <w:rPr>
          <w:rFonts w:ascii="Times New Roman" w:hAnsi="Times New Roman"/>
        </w:rPr>
      </w:pPr>
    </w:p>
    <w:p w:rsidR="00640A26" w:rsidP="0045723A" w14:paraId="088CBBF3" w14:textId="77777777">
      <w:pPr>
        <w:numPr>
          <w:ilvl w:val="0"/>
          <w:numId w:val="14"/>
        </w:numPr>
        <w:tabs>
          <w:tab w:val="clear" w:pos="720"/>
          <w:tab w:val="num" w:pos="1440"/>
        </w:tabs>
        <w:ind w:left="1440"/>
        <w:rPr>
          <w:rFonts w:ascii="Times New Roman" w:hAnsi="Times New Roman"/>
          <w:b/>
        </w:rPr>
      </w:pPr>
      <w:r w:rsidRPr="00BC7F42">
        <w:rPr>
          <w:rFonts w:ascii="Times New Roman" w:hAnsi="Times New Roman"/>
          <w:b/>
        </w:rPr>
        <w:t>Payment or Gifts to Respondents</w:t>
      </w:r>
    </w:p>
    <w:p w:rsidR="00E90C49" w:rsidP="0045723A" w14:paraId="1A13027E" w14:textId="77777777">
      <w:pPr>
        <w:ind w:left="720" w:firstLine="720"/>
        <w:rPr>
          <w:rFonts w:ascii="Times New Roman" w:hAnsi="Times New Roman"/>
        </w:rPr>
      </w:pPr>
      <w:r w:rsidRPr="00E90C49">
        <w:rPr>
          <w:rFonts w:ascii="Times New Roman" w:hAnsi="Times New Roman"/>
        </w:rPr>
        <w:t>SSA does not provide payment or gifts to the respondents.</w:t>
      </w:r>
    </w:p>
    <w:p w:rsidR="00A45D82" w:rsidRPr="00BC7F42" w:rsidP="00A45D82" w14:paraId="66534B80" w14:textId="77777777">
      <w:pPr>
        <w:rPr>
          <w:rFonts w:ascii="Times New Roman" w:hAnsi="Times New Roman"/>
        </w:rPr>
      </w:pPr>
    </w:p>
    <w:p w:rsidR="00795BAB" w:rsidP="0045723A" w14:paraId="24846264" w14:textId="77777777">
      <w:pPr>
        <w:numPr>
          <w:ilvl w:val="0"/>
          <w:numId w:val="14"/>
        </w:numPr>
        <w:tabs>
          <w:tab w:val="clear" w:pos="720"/>
          <w:tab w:val="num" w:pos="1440"/>
        </w:tabs>
        <w:ind w:left="1440"/>
        <w:rPr>
          <w:rFonts w:ascii="Times New Roman" w:hAnsi="Times New Roman"/>
          <w:b/>
        </w:rPr>
      </w:pPr>
      <w:r w:rsidRPr="00BC7F42">
        <w:rPr>
          <w:rFonts w:ascii="Times New Roman" w:hAnsi="Times New Roman"/>
          <w:b/>
        </w:rPr>
        <w:t>Assurances of Confidentiality</w:t>
      </w:r>
    </w:p>
    <w:p w:rsidR="00A45D82" w:rsidRPr="00DB21F2" w:rsidP="0045723A" w14:paraId="05BF5798" w14:textId="77777777">
      <w:pPr>
        <w:ind w:left="1440"/>
        <w:rPr>
          <w:rFonts w:ascii="Times New Roman" w:hAnsi="Times New Roman"/>
        </w:rPr>
      </w:pPr>
      <w:r w:rsidRPr="00DB21F2">
        <w:rPr>
          <w:rFonts w:ascii="Times New Roman" w:hAnsi="Times New Roman"/>
        </w:rPr>
        <w:t>SSA pro</w:t>
      </w:r>
      <w:r w:rsidRPr="00DB21F2" w:rsidR="00D0011E">
        <w:rPr>
          <w:rFonts w:ascii="Times New Roman" w:hAnsi="Times New Roman"/>
        </w:rPr>
        <w:t xml:space="preserve">tects and holds confidential the information it </w:t>
      </w:r>
      <w:r w:rsidRPr="00DB21F2" w:rsidR="00E0137B">
        <w:rPr>
          <w:rFonts w:ascii="Times New Roman" w:hAnsi="Times New Roman"/>
        </w:rPr>
        <w:t>collects</w:t>
      </w:r>
      <w:r w:rsidRPr="00DB21F2" w:rsidR="00D0011E">
        <w:rPr>
          <w:rFonts w:ascii="Times New Roman" w:hAnsi="Times New Roman"/>
        </w:rPr>
        <w:t xml:space="preserve"> i</w:t>
      </w:r>
      <w:r w:rsidRPr="00DB21F2">
        <w:rPr>
          <w:rFonts w:ascii="Times New Roman" w:hAnsi="Times New Roman"/>
        </w:rPr>
        <w:t xml:space="preserve">n accordance with </w:t>
      </w:r>
      <w:r w:rsidRPr="007D48A3">
        <w:rPr>
          <w:rFonts w:ascii="Times New Roman" w:hAnsi="Times New Roman"/>
          <w:i/>
          <w:iCs/>
        </w:rPr>
        <w:t>42 U.S.C. 1306, 20 CFR 401</w:t>
      </w:r>
      <w:r w:rsidRPr="00DB21F2">
        <w:rPr>
          <w:rFonts w:ascii="Times New Roman" w:hAnsi="Times New Roman"/>
        </w:rPr>
        <w:t xml:space="preserve"> and </w:t>
      </w:r>
      <w:r w:rsidRPr="007D48A3">
        <w:rPr>
          <w:rFonts w:ascii="Times New Roman" w:hAnsi="Times New Roman"/>
          <w:i/>
          <w:iCs/>
        </w:rPr>
        <w:t>402, 5 U.S.C. 552</w:t>
      </w:r>
      <w:r w:rsidRPr="00DB21F2">
        <w:rPr>
          <w:rFonts w:ascii="Times New Roman" w:hAnsi="Times New Roman"/>
        </w:rPr>
        <w:t xml:space="preserve"> (Freedom of Information Act), </w:t>
      </w:r>
      <w:r w:rsidRPr="007D48A3">
        <w:rPr>
          <w:rFonts w:ascii="Times New Roman" w:hAnsi="Times New Roman"/>
          <w:i/>
          <w:iCs/>
        </w:rPr>
        <w:t>5 U.S.C. 552a</w:t>
      </w:r>
      <w:r w:rsidRPr="00DB21F2">
        <w:rPr>
          <w:rFonts w:ascii="Times New Roman" w:hAnsi="Times New Roman"/>
        </w:rPr>
        <w:t xml:space="preserve"> (Privacy Act of 1974)</w:t>
      </w:r>
      <w:r w:rsidRPr="00DB21F2" w:rsidR="00D0011E">
        <w:rPr>
          <w:rFonts w:ascii="Times New Roman" w:hAnsi="Times New Roman"/>
        </w:rPr>
        <w:t>,</w:t>
      </w:r>
      <w:r w:rsidRPr="00DB21F2">
        <w:rPr>
          <w:rFonts w:ascii="Times New Roman" w:hAnsi="Times New Roman"/>
        </w:rPr>
        <w:t xml:space="preserve"> and OMB Circular No. A-130</w:t>
      </w:r>
      <w:r w:rsidRPr="00DB21F2">
        <w:rPr>
          <w:rFonts w:ascii="Times New Roman" w:hAnsi="Times New Roman"/>
          <w:color w:val="0000FF"/>
        </w:rPr>
        <w:t>.</w:t>
      </w:r>
    </w:p>
    <w:p w:rsidR="00A45D82" w:rsidRPr="00BC7F42" w:rsidP="00A45D82" w14:paraId="18901DB7" w14:textId="77777777">
      <w:pPr>
        <w:pStyle w:val="Header"/>
        <w:tabs>
          <w:tab w:val="clear" w:pos="4320"/>
          <w:tab w:val="clear" w:pos="8640"/>
        </w:tabs>
        <w:rPr>
          <w:rFonts w:ascii="Times New Roman" w:hAnsi="Times New Roman"/>
        </w:rPr>
      </w:pPr>
    </w:p>
    <w:p w:rsidR="00D0011E" w:rsidP="0045723A" w14:paraId="6BD0B17F" w14:textId="77777777">
      <w:pPr>
        <w:numPr>
          <w:ilvl w:val="0"/>
          <w:numId w:val="14"/>
        </w:numPr>
        <w:tabs>
          <w:tab w:val="clear" w:pos="720"/>
          <w:tab w:val="num" w:pos="1440"/>
        </w:tabs>
        <w:ind w:left="1440"/>
        <w:rPr>
          <w:rFonts w:ascii="Times New Roman" w:hAnsi="Times New Roman"/>
          <w:b/>
        </w:rPr>
      </w:pPr>
      <w:r w:rsidRPr="00BC7F42">
        <w:rPr>
          <w:rFonts w:ascii="Times New Roman" w:hAnsi="Times New Roman"/>
          <w:b/>
        </w:rPr>
        <w:t>Justification for Sensitive Questions</w:t>
      </w:r>
    </w:p>
    <w:p w:rsidR="00E90C49" w:rsidRPr="00E90C49" w:rsidP="0045723A" w14:paraId="403641EF" w14:textId="77777777">
      <w:pPr>
        <w:ind w:left="720" w:firstLine="720"/>
        <w:rPr>
          <w:rFonts w:ascii="Times New Roman" w:hAnsi="Times New Roman"/>
        </w:rPr>
      </w:pPr>
      <w:r w:rsidRPr="00E90C49">
        <w:rPr>
          <w:rFonts w:ascii="Times New Roman" w:hAnsi="Times New Roman"/>
        </w:rPr>
        <w:t>The information collection does not contain any questions of a sensitive nature.</w:t>
      </w:r>
    </w:p>
    <w:p w:rsidR="00A45D82" w:rsidRPr="00BC7F42" w:rsidP="00A45D82" w14:paraId="7C8C3DC5" w14:textId="77777777">
      <w:pPr>
        <w:rPr>
          <w:rFonts w:ascii="Times New Roman" w:hAnsi="Times New Roman"/>
        </w:rPr>
      </w:pPr>
    </w:p>
    <w:p w:rsidR="003E145C" w:rsidP="0045723A" w14:paraId="2B2AA781" w14:textId="77777777">
      <w:pPr>
        <w:numPr>
          <w:ilvl w:val="0"/>
          <w:numId w:val="14"/>
        </w:numPr>
        <w:tabs>
          <w:tab w:val="clear" w:pos="720"/>
          <w:tab w:val="num" w:pos="1440"/>
        </w:tabs>
        <w:ind w:left="1440"/>
        <w:rPr>
          <w:rFonts w:ascii="Times New Roman" w:hAnsi="Times New Roman"/>
          <w:b/>
        </w:rPr>
      </w:pPr>
      <w:r w:rsidRPr="00BC7F42">
        <w:rPr>
          <w:rFonts w:ascii="Times New Roman" w:hAnsi="Times New Roman"/>
          <w:b/>
        </w:rPr>
        <w:t>Estimates of Public Reporting Burden</w:t>
      </w:r>
    </w:p>
    <w:p w:rsidR="00AA4CAD" w:rsidP="00AA4CAD" w14:paraId="1E68B9EF" w14:textId="77777777">
      <w:pPr>
        <w:pStyle w:val="ListParagraph"/>
        <w:ind w:left="0" w:firstLine="720"/>
        <w:rPr>
          <w:rFonts w:ascii="Times New Roman" w:hAnsi="Times New Roman"/>
          <w:i/>
        </w:rPr>
      </w:pPr>
    </w:p>
    <w:tbl>
      <w:tblPr>
        <w:tblW w:w="100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7"/>
        <w:gridCol w:w="1523"/>
        <w:gridCol w:w="1310"/>
        <w:gridCol w:w="1190"/>
        <w:gridCol w:w="1256"/>
        <w:gridCol w:w="1389"/>
        <w:gridCol w:w="1536"/>
      </w:tblGrid>
      <w:tr w14:paraId="2762F45A" w14:textId="77777777" w:rsidTr="0045723A">
        <w:tblPrEx>
          <w:tblW w:w="100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817" w:type="dxa"/>
          </w:tcPr>
          <w:p w:rsidR="00AA4CAD" w:rsidRPr="00D678F8" w:rsidP="00FB3A0A" w14:paraId="32B1D6E6" w14:textId="77777777">
            <w:pPr>
              <w:rPr>
                <w:rFonts w:ascii="Times New Roman" w:hAnsi="Times New Roman"/>
                <w:b/>
              </w:rPr>
            </w:pPr>
            <w:r>
              <w:rPr>
                <w:rFonts w:ascii="Times New Roman" w:hAnsi="Times New Roman"/>
                <w:b/>
              </w:rPr>
              <w:t>Modality of Completion</w:t>
            </w:r>
          </w:p>
        </w:tc>
        <w:tc>
          <w:tcPr>
            <w:tcW w:w="1523" w:type="dxa"/>
          </w:tcPr>
          <w:p w:rsidR="00AA4CAD" w:rsidRPr="00D678F8" w:rsidP="00FB3A0A" w14:paraId="6B8DFD8F" w14:textId="77777777">
            <w:pPr>
              <w:rPr>
                <w:rFonts w:ascii="Times New Roman" w:hAnsi="Times New Roman"/>
                <w:b/>
              </w:rPr>
            </w:pPr>
            <w:r w:rsidRPr="00D678F8">
              <w:rPr>
                <w:rFonts w:ascii="Times New Roman" w:hAnsi="Times New Roman"/>
                <w:b/>
              </w:rPr>
              <w:t>Number of Respondents</w:t>
            </w:r>
          </w:p>
        </w:tc>
        <w:tc>
          <w:tcPr>
            <w:tcW w:w="1310" w:type="dxa"/>
          </w:tcPr>
          <w:p w:rsidR="00AA4CAD" w:rsidRPr="00D678F8" w:rsidP="00FB3A0A" w14:paraId="41454625" w14:textId="77777777">
            <w:pPr>
              <w:rPr>
                <w:rFonts w:ascii="Times New Roman" w:hAnsi="Times New Roman"/>
                <w:b/>
              </w:rPr>
            </w:pPr>
            <w:r>
              <w:rPr>
                <w:rFonts w:ascii="Times New Roman" w:hAnsi="Times New Roman"/>
                <w:b/>
              </w:rPr>
              <w:t>Frequency of Response</w:t>
            </w:r>
          </w:p>
        </w:tc>
        <w:tc>
          <w:tcPr>
            <w:tcW w:w="1190" w:type="dxa"/>
          </w:tcPr>
          <w:p w:rsidR="00AA4CAD" w:rsidRPr="00D678F8" w:rsidP="00FB3A0A" w14:paraId="19A0C233" w14:textId="77777777">
            <w:pPr>
              <w:rPr>
                <w:rFonts w:ascii="Times New Roman" w:hAnsi="Times New Roman"/>
                <w:b/>
              </w:rPr>
            </w:pPr>
            <w:r>
              <w:rPr>
                <w:rFonts w:ascii="Times New Roman" w:hAnsi="Times New Roman"/>
                <w:b/>
              </w:rPr>
              <w:t>Average Burden per Response</w:t>
            </w:r>
            <w:r w:rsidRPr="00D678F8">
              <w:rPr>
                <w:rFonts w:ascii="Times New Roman" w:hAnsi="Times New Roman"/>
                <w:b/>
              </w:rPr>
              <w:t xml:space="preserve"> (minutes)</w:t>
            </w:r>
          </w:p>
        </w:tc>
        <w:tc>
          <w:tcPr>
            <w:tcW w:w="1256" w:type="dxa"/>
          </w:tcPr>
          <w:p w:rsidR="00AA4CAD" w:rsidRPr="00D678F8" w:rsidP="00FB3A0A" w14:paraId="4746E050" w14:textId="77777777">
            <w:pPr>
              <w:rPr>
                <w:rFonts w:ascii="Times New Roman" w:hAnsi="Times New Roman"/>
                <w:b/>
              </w:rPr>
            </w:pPr>
            <w:r>
              <w:rPr>
                <w:rFonts w:ascii="Times New Roman" w:hAnsi="Times New Roman"/>
                <w:b/>
              </w:rPr>
              <w:t xml:space="preserve">Estimated Total Annual </w:t>
            </w:r>
            <w:r w:rsidRPr="00D678F8">
              <w:rPr>
                <w:rFonts w:ascii="Times New Roman" w:hAnsi="Times New Roman"/>
                <w:b/>
              </w:rPr>
              <w:t>Burden (hours)</w:t>
            </w:r>
          </w:p>
        </w:tc>
        <w:tc>
          <w:tcPr>
            <w:tcW w:w="1389" w:type="dxa"/>
          </w:tcPr>
          <w:p w:rsidR="00AA4CAD" w:rsidP="00FB3A0A" w14:paraId="05184956" w14:textId="77777777">
            <w:pPr>
              <w:rPr>
                <w:rFonts w:ascii="Times New Roman" w:hAnsi="Times New Roman"/>
                <w:b/>
              </w:rPr>
            </w:pPr>
            <w:r>
              <w:rPr>
                <w:rFonts w:ascii="Times New Roman" w:hAnsi="Times New Roman"/>
                <w:b/>
              </w:rPr>
              <w:t>Average Theoretical Hourly Cost Amount (dollars)*</w:t>
            </w:r>
          </w:p>
        </w:tc>
        <w:tc>
          <w:tcPr>
            <w:tcW w:w="1536" w:type="dxa"/>
          </w:tcPr>
          <w:p w:rsidR="00AA4CAD" w:rsidP="00FB3A0A" w14:paraId="0FC22DC7" w14:textId="77777777">
            <w:pPr>
              <w:rPr>
                <w:rFonts w:ascii="Times New Roman" w:hAnsi="Times New Roman"/>
                <w:b/>
              </w:rPr>
            </w:pPr>
            <w:r>
              <w:rPr>
                <w:rFonts w:ascii="Times New Roman" w:hAnsi="Times New Roman"/>
                <w:b/>
              </w:rPr>
              <w:t>Total Annual Opportunity Cost (dollars)**</w:t>
            </w:r>
          </w:p>
        </w:tc>
      </w:tr>
      <w:tr w14:paraId="552E9C18" w14:textId="77777777" w:rsidTr="0045723A">
        <w:tblPrEx>
          <w:tblW w:w="10021" w:type="dxa"/>
          <w:tblInd w:w="108" w:type="dxa"/>
          <w:tblLook w:val="01E0"/>
        </w:tblPrEx>
        <w:tc>
          <w:tcPr>
            <w:tcW w:w="1817" w:type="dxa"/>
          </w:tcPr>
          <w:p w:rsidR="00AA4CAD" w:rsidRPr="00D678F8" w:rsidP="00FB3A0A" w14:paraId="1A44D7FF" w14:textId="77777777">
            <w:pPr>
              <w:rPr>
                <w:rFonts w:ascii="Times New Roman" w:hAnsi="Times New Roman"/>
              </w:rPr>
            </w:pPr>
            <w:r>
              <w:rPr>
                <w:rFonts w:ascii="Times New Roman" w:hAnsi="Times New Roman"/>
              </w:rPr>
              <w:t>SSA-</w:t>
            </w:r>
            <w:r w:rsidR="00506390">
              <w:rPr>
                <w:rFonts w:ascii="Times New Roman" w:hAnsi="Times New Roman"/>
              </w:rPr>
              <w:t>1588-SM</w:t>
            </w:r>
          </w:p>
        </w:tc>
        <w:tc>
          <w:tcPr>
            <w:tcW w:w="1523" w:type="dxa"/>
          </w:tcPr>
          <w:p w:rsidR="00AA4CAD" w:rsidRPr="00D678F8" w:rsidP="0045723A" w14:paraId="5E1F070F" w14:textId="77777777">
            <w:pPr>
              <w:jc w:val="right"/>
              <w:rPr>
                <w:rFonts w:ascii="Times New Roman" w:hAnsi="Times New Roman"/>
              </w:rPr>
            </w:pPr>
            <w:r>
              <w:rPr>
                <w:rFonts w:ascii="Times New Roman" w:hAnsi="Times New Roman"/>
              </w:rPr>
              <w:t>72,565</w:t>
            </w:r>
          </w:p>
        </w:tc>
        <w:tc>
          <w:tcPr>
            <w:tcW w:w="1310" w:type="dxa"/>
          </w:tcPr>
          <w:p w:rsidR="00AA4CAD" w:rsidRPr="00D678F8" w:rsidP="0045723A" w14:paraId="675EB7D8" w14:textId="77777777">
            <w:pPr>
              <w:jc w:val="right"/>
              <w:rPr>
                <w:rFonts w:ascii="Times New Roman" w:hAnsi="Times New Roman"/>
              </w:rPr>
            </w:pPr>
            <w:r>
              <w:rPr>
                <w:rFonts w:ascii="Times New Roman" w:hAnsi="Times New Roman"/>
              </w:rPr>
              <w:t>1</w:t>
            </w:r>
          </w:p>
        </w:tc>
        <w:tc>
          <w:tcPr>
            <w:tcW w:w="1190" w:type="dxa"/>
          </w:tcPr>
          <w:p w:rsidR="00AA4CAD" w:rsidRPr="00D678F8" w:rsidP="0045723A" w14:paraId="37BFBACD" w14:textId="77777777">
            <w:pPr>
              <w:jc w:val="right"/>
              <w:rPr>
                <w:rFonts w:ascii="Times New Roman" w:hAnsi="Times New Roman"/>
              </w:rPr>
            </w:pPr>
            <w:r>
              <w:rPr>
                <w:rFonts w:ascii="Times New Roman" w:hAnsi="Times New Roman"/>
              </w:rPr>
              <w:t>5</w:t>
            </w:r>
          </w:p>
        </w:tc>
        <w:tc>
          <w:tcPr>
            <w:tcW w:w="1256" w:type="dxa"/>
          </w:tcPr>
          <w:p w:rsidR="00AA4CAD" w:rsidRPr="00D678F8" w:rsidP="0045723A" w14:paraId="516E2270" w14:textId="77777777">
            <w:pPr>
              <w:jc w:val="right"/>
              <w:rPr>
                <w:rFonts w:ascii="Times New Roman" w:hAnsi="Times New Roman"/>
              </w:rPr>
            </w:pPr>
            <w:r>
              <w:rPr>
                <w:rFonts w:ascii="Times New Roman" w:hAnsi="Times New Roman"/>
              </w:rPr>
              <w:t>6,047</w:t>
            </w:r>
          </w:p>
        </w:tc>
        <w:tc>
          <w:tcPr>
            <w:tcW w:w="1389" w:type="dxa"/>
          </w:tcPr>
          <w:p w:rsidR="00AA4CAD" w:rsidRPr="00D678F8" w:rsidP="0045723A" w14:paraId="092C05F9" w14:textId="6D2E3111">
            <w:pPr>
              <w:jc w:val="right"/>
              <w:rPr>
                <w:rFonts w:ascii="Times New Roman" w:hAnsi="Times New Roman"/>
              </w:rPr>
            </w:pPr>
            <w:r>
              <w:rPr>
                <w:rFonts w:ascii="Times New Roman" w:hAnsi="Times New Roman"/>
              </w:rPr>
              <w:t>$</w:t>
            </w:r>
            <w:r w:rsidR="00E05512">
              <w:rPr>
                <w:rFonts w:ascii="Times New Roman" w:hAnsi="Times New Roman"/>
              </w:rPr>
              <w:t>2</w:t>
            </w:r>
            <w:r w:rsidR="000A6265">
              <w:rPr>
                <w:rFonts w:ascii="Times New Roman" w:hAnsi="Times New Roman"/>
              </w:rPr>
              <w:t>9.76</w:t>
            </w:r>
            <w:r w:rsidR="0045723A">
              <w:rPr>
                <w:rFonts w:ascii="Times New Roman" w:hAnsi="Times New Roman"/>
              </w:rPr>
              <w:t>*</w:t>
            </w:r>
          </w:p>
        </w:tc>
        <w:tc>
          <w:tcPr>
            <w:tcW w:w="1536" w:type="dxa"/>
          </w:tcPr>
          <w:p w:rsidR="00AA4CAD" w:rsidRPr="00D678F8" w:rsidP="0045723A" w14:paraId="78EDC86B" w14:textId="74DED8A4">
            <w:pPr>
              <w:jc w:val="right"/>
              <w:rPr>
                <w:rFonts w:ascii="Times New Roman" w:hAnsi="Times New Roman"/>
              </w:rPr>
            </w:pPr>
            <w:r>
              <w:rPr>
                <w:rFonts w:ascii="Times New Roman" w:hAnsi="Times New Roman"/>
              </w:rPr>
              <w:t>1</w:t>
            </w:r>
            <w:r w:rsidR="000A6265">
              <w:rPr>
                <w:rFonts w:ascii="Times New Roman" w:hAnsi="Times New Roman"/>
              </w:rPr>
              <w:t>79,959</w:t>
            </w:r>
            <w:r w:rsidR="0045723A">
              <w:rPr>
                <w:rFonts w:ascii="Times New Roman" w:hAnsi="Times New Roman"/>
              </w:rPr>
              <w:t>**</w:t>
            </w:r>
          </w:p>
        </w:tc>
      </w:tr>
    </w:tbl>
    <w:p w:rsidR="0045723A" w:rsidP="00BF6AEF" w14:paraId="78271BDB" w14:textId="77777777">
      <w:pPr>
        <w:ind w:left="1440"/>
        <w:rPr>
          <w:rFonts w:ascii="Times New Roman" w:hAnsi="Times New Roman"/>
        </w:rPr>
      </w:pPr>
      <w:r w:rsidRPr="0045723A">
        <w:rPr>
          <w:rFonts w:ascii="Times New Roman" w:hAnsi="Times New Roman"/>
          <w:bCs/>
        </w:rPr>
        <w:t>*</w:t>
      </w:r>
      <w:r w:rsidRPr="0045723A">
        <w:rPr>
          <w:rFonts w:ascii="Times New Roman" w:hAnsi="Times New Roman"/>
          <w:b/>
        </w:rPr>
        <w:t xml:space="preserve"> </w:t>
      </w:r>
      <w:r w:rsidRPr="0045723A">
        <w:rPr>
          <w:rFonts w:ascii="Times New Roman" w:hAnsi="Times New Roman"/>
        </w:rPr>
        <w:t>We based this figure on the average U.S. worker’s hourly wages, as reported by Bureau of Labor Statistics data (</w:t>
      </w:r>
      <w:bookmarkStart w:id="1" w:name="_Hlk100217898"/>
      <w:hyperlink r:id="rId5" w:history="1">
        <w:r w:rsidRPr="0045723A">
          <w:rPr>
            <w:rStyle w:val="Hyperlink"/>
            <w:rFonts w:ascii="Times New Roman" w:hAnsi="Times New Roman"/>
          </w:rPr>
          <w:t>https://www.bls.gov/oes/current/oes_nat.htm</w:t>
        </w:r>
      </w:hyperlink>
      <w:bookmarkEnd w:id="1"/>
      <w:r w:rsidRPr="0045723A">
        <w:rPr>
          <w:rFonts w:ascii="Times New Roman" w:hAnsi="Times New Roman"/>
        </w:rPr>
        <w:t>).</w:t>
      </w:r>
    </w:p>
    <w:p w:rsidR="0045723A" w:rsidRPr="0045723A" w:rsidP="00C120C9" w14:paraId="0F64AA48" w14:textId="77777777">
      <w:pPr>
        <w:ind w:left="1530"/>
        <w:rPr>
          <w:rFonts w:ascii="Times New Roman" w:hAnsi="Times New Roman"/>
        </w:rPr>
      </w:pPr>
    </w:p>
    <w:p w:rsidR="00AA4CAD" w:rsidP="00BF6AEF" w14:paraId="23E53A3D" w14:textId="77777777">
      <w:pPr>
        <w:pStyle w:val="ListParagraph"/>
        <w:ind w:left="1440"/>
        <w:rPr>
          <w:rFonts w:ascii="Times New Roman" w:hAnsi="Times New Roman"/>
          <w:b/>
          <w:bCs/>
          <w:u w:val="single"/>
        </w:rPr>
      </w:pPr>
      <w:r w:rsidRPr="0045723A">
        <w:rPr>
          <w:rFonts w:ascii="Times New Roman" w:hAnsi="Times New Roma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45723A">
        <w:rPr>
          <w:rFonts w:ascii="Times New Roman" w:hAnsi="Times New Roman"/>
          <w:b/>
          <w:bCs/>
          <w:u w:val="single"/>
        </w:rPr>
        <w:t>There is no actual charge to respondents to complete the application</w:t>
      </w:r>
      <w:r>
        <w:rPr>
          <w:rFonts w:ascii="Times New Roman" w:hAnsi="Times New Roman"/>
          <w:b/>
          <w:bCs/>
          <w:u w:val="single"/>
        </w:rPr>
        <w:t>.</w:t>
      </w:r>
    </w:p>
    <w:p w:rsidR="00C120C9" w:rsidP="00C120C9" w14:paraId="2BF804D6" w14:textId="77777777">
      <w:pPr>
        <w:pStyle w:val="ListParagraph"/>
        <w:ind w:left="1530"/>
        <w:rPr>
          <w:rFonts w:ascii="Times New Roman" w:hAnsi="Times New Roman"/>
          <w:b/>
          <w:bCs/>
          <w:u w:val="single"/>
        </w:rPr>
      </w:pPr>
    </w:p>
    <w:p w:rsidR="0045723A" w:rsidP="00BF6AEF" w14:paraId="64DE54F1" w14:textId="77777777">
      <w:pPr>
        <w:tabs>
          <w:tab w:val="left" w:pos="360"/>
        </w:tabs>
        <w:ind w:left="1440"/>
        <w:rPr>
          <w:rFonts w:ascii="Times New Roman" w:hAnsi="Times New Roman"/>
          <w:i/>
        </w:rPr>
      </w:pPr>
      <w:r w:rsidRPr="00E6420B">
        <w:rPr>
          <w:rFonts w:ascii="Times New Roman" w:hAnsi="Times New Roman"/>
          <w:noProof/>
        </w:rPr>
        <w:t xml:space="preserve">We base our burden estimates on current management information data, which </w:t>
      </w:r>
      <w:r w:rsidRPr="00E6420B">
        <w:rPr>
          <w:rFonts w:ascii="Times New Roman" w:hAnsi="Times New Roman"/>
          <w:noProof/>
        </w:rPr>
        <w:t>includes data from actual interviews, as well as from years of conducting this information collection.  Per our management information data, we believe that the</w:t>
      </w:r>
      <w:r>
        <w:rPr>
          <w:rFonts w:ascii="Times New Roman" w:hAnsi="Times New Roman"/>
          <w:noProof/>
        </w:rPr>
        <w:t xml:space="preserve"> </w:t>
      </w:r>
      <w:r w:rsidRPr="00736526">
        <w:rPr>
          <w:rFonts w:ascii="Times New Roman" w:hAnsi="Times New Roman"/>
          <w:b/>
          <w:bCs/>
          <w:noProof/>
        </w:rPr>
        <w:t xml:space="preserve">5 </w:t>
      </w:r>
      <w:r w:rsidRPr="00C74924">
        <w:rPr>
          <w:rFonts w:ascii="Times New Roman" w:hAnsi="Times New Roman"/>
          <w:noProof/>
        </w:rPr>
        <w:t>minutes shown in our chart above</w:t>
      </w:r>
      <w:r w:rsidRPr="00E6420B">
        <w:rPr>
          <w:rFonts w:ascii="Times New Roman" w:hAnsi="Times New Roman"/>
          <w:noProof/>
        </w:rPr>
        <w:t xml:space="preserve"> accurately shows the average burden per response for reading the instructions, gathering the facts, and answering the questions.  Based on our current management information data, </w:t>
      </w:r>
      <w:r w:rsidRPr="002F5375">
        <w:rPr>
          <w:rFonts w:ascii="Times New Roman" w:hAnsi="Times New Roman"/>
          <w:noProof/>
        </w:rPr>
        <w:t>the</w:t>
      </w:r>
      <w:r w:rsidRPr="002F5375">
        <w:rPr>
          <w:rFonts w:ascii="Times New Roman" w:hAnsi="Times New Roman"/>
        </w:rPr>
        <w:t>,</w:t>
      </w:r>
      <w:r w:rsidRPr="00736526">
        <w:rPr>
          <w:rFonts w:ascii="Times New Roman" w:hAnsi="Times New Roman"/>
          <w:noProof/>
        </w:rPr>
        <w:t xml:space="preserve"> current burden information we provided is accurate</w:t>
      </w:r>
      <w:r w:rsidRPr="00736526">
        <w:rPr>
          <w:rFonts w:ascii="Times New Roman" w:hAnsi="Times New Roman"/>
        </w:rPr>
        <w:t xml:space="preserve">.  The total burden for this ICR is </w:t>
      </w:r>
      <w:r w:rsidRPr="00736526">
        <w:rPr>
          <w:rFonts w:ascii="Times New Roman" w:hAnsi="Times New Roman"/>
          <w:b/>
        </w:rPr>
        <w:t>6,047</w:t>
      </w:r>
      <w:r w:rsidRPr="00736526">
        <w:rPr>
          <w:rFonts w:ascii="Times New Roman" w:hAnsi="Times New Roman"/>
        </w:rPr>
        <w:t xml:space="preserve"> burden hours (reflecting SSA management information data), which results in an associated theoretical (not actual) opportunity cost financial burden of </w:t>
      </w:r>
      <w:r w:rsidRPr="00736526">
        <w:rPr>
          <w:rFonts w:ascii="Times New Roman" w:hAnsi="Times New Roman"/>
          <w:b/>
        </w:rPr>
        <w:t>$169</w:t>
      </w:r>
      <w:r w:rsidR="00736526">
        <w:rPr>
          <w:rFonts w:ascii="Times New Roman" w:hAnsi="Times New Roman"/>
          <w:b/>
        </w:rPr>
        <w:t>,</w:t>
      </w:r>
      <w:r w:rsidRPr="00736526">
        <w:rPr>
          <w:rFonts w:ascii="Times New Roman" w:hAnsi="Times New Roman"/>
          <w:b/>
        </w:rPr>
        <w:t>376</w:t>
      </w:r>
      <w:r w:rsidRPr="00736526">
        <w:rPr>
          <w:rFonts w:ascii="Times New Roman" w:hAnsi="Times New Roman"/>
        </w:rPr>
        <w:t>.  SSA does</w:t>
      </w:r>
      <w:r w:rsidRPr="00E6420B">
        <w:rPr>
          <w:rFonts w:ascii="Times New Roman" w:hAnsi="Times New Roman"/>
        </w:rPr>
        <w:t xml:space="preserve"> not charge respondents to complete our applications</w:t>
      </w:r>
      <w:r w:rsidRPr="00E6420B">
        <w:rPr>
          <w:rFonts w:ascii="Times New Roman" w:hAnsi="Times New Roman"/>
          <w:noProof/>
        </w:rPr>
        <w:t xml:space="preserve">. </w:t>
      </w:r>
      <w:r>
        <w:rPr>
          <w:rFonts w:ascii="Times New Roman" w:hAnsi="Times New Roman"/>
          <w:b/>
        </w:rPr>
        <w:tab/>
      </w:r>
    </w:p>
    <w:p w:rsidR="0045723A" w:rsidRPr="003B15EC" w:rsidP="0045723A" w14:paraId="406D7B2A" w14:textId="77777777">
      <w:pPr>
        <w:tabs>
          <w:tab w:val="left" w:pos="360"/>
        </w:tabs>
        <w:ind w:left="720"/>
        <w:rPr>
          <w:rFonts w:ascii="Times New Roman" w:hAnsi="Times New Roman"/>
          <w:b/>
          <w:u w:val="single"/>
        </w:rPr>
      </w:pPr>
    </w:p>
    <w:p w:rsidR="00A45D82" w:rsidRPr="00BC7F42" w:rsidP="00C120C9" w14:paraId="431ADD63" w14:textId="77777777">
      <w:pPr>
        <w:ind w:left="720"/>
        <w:rPr>
          <w:rFonts w:ascii="Times New Roman" w:hAnsi="Times New Roman"/>
        </w:rPr>
      </w:pPr>
      <w:r w:rsidRPr="003B15EC">
        <w:rPr>
          <w:rFonts w:ascii="Times New Roman" w:hAnsi="Times New Roman"/>
          <w:b/>
        </w:rPr>
        <w:t>13.</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002479F2" w:rsidP="00C120C9" w14:paraId="78AC04B7" w14:textId="77777777">
      <w:pPr>
        <w:ind w:left="720" w:firstLine="720"/>
        <w:rPr>
          <w:rFonts w:ascii="Times New Roman" w:hAnsi="Times New Roman"/>
        </w:rPr>
      </w:pPr>
      <w:r w:rsidRPr="002479F2">
        <w:rPr>
          <w:rFonts w:ascii="Times New Roman" w:hAnsi="Times New Roman"/>
        </w:rPr>
        <w:t>This collection does not impose a known cost burden to respondents.</w:t>
      </w:r>
    </w:p>
    <w:p w:rsidR="00A45D82" w:rsidRPr="00BC7F42" w:rsidP="00A45D82" w14:paraId="7A3DD3F1" w14:textId="77777777">
      <w:pPr>
        <w:rPr>
          <w:rFonts w:ascii="Times New Roman" w:hAnsi="Times New Roman"/>
        </w:rPr>
      </w:pPr>
    </w:p>
    <w:p w:rsidR="00121032" w:rsidRPr="00121032" w:rsidP="00C120C9" w14:paraId="30F8C14F" w14:textId="77777777">
      <w:pPr>
        <w:numPr>
          <w:ilvl w:val="0"/>
          <w:numId w:val="27"/>
        </w:numPr>
        <w:tabs>
          <w:tab w:val="clear" w:pos="360"/>
          <w:tab w:val="left" w:pos="720"/>
        </w:tabs>
        <w:ind w:left="1440" w:hanging="720"/>
        <w:rPr>
          <w:rFonts w:ascii="Times New Roman" w:hAnsi="Times New Roman"/>
        </w:rPr>
      </w:pPr>
      <w:r w:rsidRPr="00BC7F42">
        <w:rPr>
          <w:rFonts w:ascii="Times New Roman" w:hAnsi="Times New Roman"/>
          <w:b/>
        </w:rPr>
        <w:t xml:space="preserve">Annual Cost </w:t>
      </w:r>
      <w:r w:rsidRPr="00BC7F42" w:rsidR="00606BA9">
        <w:rPr>
          <w:rFonts w:ascii="Times New Roman" w:hAnsi="Times New Roman"/>
          <w:b/>
        </w:rPr>
        <w:t>to</w:t>
      </w:r>
      <w:r w:rsidRPr="00BC7F42">
        <w:rPr>
          <w:rFonts w:ascii="Times New Roman" w:hAnsi="Times New Roman"/>
          <w:b/>
        </w:rPr>
        <w:t xml:space="preserve"> Federal Government</w:t>
      </w:r>
    </w:p>
    <w:p w:rsidR="008D4EF9" w:rsidP="00266BC0" w14:paraId="521CB7CF" w14:textId="77777777">
      <w:pPr>
        <w:ind w:left="1440"/>
        <w:rPr>
          <w:rFonts w:ascii="Times New Roman" w:hAnsi="Times New Roman"/>
          <w:color w:val="000000"/>
        </w:rPr>
      </w:pPr>
      <w:r w:rsidRPr="0047588F">
        <w:rPr>
          <w:rFonts w:ascii="Times New Roman" w:hAnsi="Times New Roman"/>
          <w:color w:val="000000"/>
        </w:rPr>
        <w:t>The annual cost to the Federa</w:t>
      </w:r>
      <w:r w:rsidR="00E57FCA">
        <w:rPr>
          <w:rFonts w:ascii="Times New Roman" w:hAnsi="Times New Roman"/>
          <w:color w:val="000000"/>
        </w:rPr>
        <w:t>l Government is approximately $</w:t>
      </w:r>
      <w:r>
        <w:rPr>
          <w:rFonts w:ascii="Times New Roman" w:hAnsi="Times New Roman"/>
          <w:color w:val="000000"/>
        </w:rPr>
        <w:t>73,649</w:t>
      </w:r>
      <w:r w:rsidR="00E87565">
        <w:rPr>
          <w:rFonts w:ascii="Times New Roman" w:hAnsi="Times New Roman"/>
          <w:color w:val="000000"/>
        </w:rPr>
        <w:t xml:space="preserve">. </w:t>
      </w:r>
      <w:r w:rsidR="00BF6AEF">
        <w:rPr>
          <w:rFonts w:ascii="Times New Roman" w:hAnsi="Times New Roman"/>
          <w:color w:val="000000"/>
        </w:rPr>
        <w:t xml:space="preserve"> </w:t>
      </w:r>
      <w:r w:rsidRPr="0047588F">
        <w:rPr>
          <w:rFonts w:ascii="Times New Roman" w:hAnsi="Times New Roman"/>
          <w:color w:val="000000"/>
        </w:rPr>
        <w:t>This estimate accounts for costs from the following areas:</w:t>
      </w:r>
    </w:p>
    <w:tbl>
      <w:tblPr>
        <w:tblW w:w="863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6"/>
        <w:gridCol w:w="3117"/>
        <w:gridCol w:w="3117"/>
      </w:tblGrid>
      <w:tr w14:paraId="2496A95B" w14:textId="77777777" w:rsidTr="00BF6AEF">
        <w:tblPrEx>
          <w:tblW w:w="863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96" w:type="dxa"/>
            <w:shd w:val="clear" w:color="auto" w:fill="auto"/>
          </w:tcPr>
          <w:p w:rsidR="008D4EF9" w:rsidRPr="00003983" w:rsidP="001B2207" w14:paraId="32C45E4F" w14:textId="77777777">
            <w:pPr>
              <w:pStyle w:val="ListParagraph"/>
              <w:ind w:left="0"/>
              <w:rPr>
                <w:rFonts w:ascii="Times New Roman" w:hAnsi="Times New Roman"/>
                <w:b/>
                <w:bCs/>
                <w:color w:val="000000"/>
              </w:rPr>
            </w:pPr>
            <w:r w:rsidRPr="00003983">
              <w:rPr>
                <w:rFonts w:ascii="Times New Roman" w:hAnsi="Times New Roman"/>
                <w:b/>
                <w:bCs/>
                <w:color w:val="000000"/>
              </w:rPr>
              <w:t>Description of Cost Factor</w:t>
            </w:r>
          </w:p>
        </w:tc>
        <w:tc>
          <w:tcPr>
            <w:tcW w:w="3117" w:type="dxa"/>
            <w:shd w:val="clear" w:color="auto" w:fill="auto"/>
          </w:tcPr>
          <w:p w:rsidR="008D4EF9" w:rsidRPr="00003983" w:rsidP="001B2207" w14:paraId="3262DBEF" w14:textId="77777777">
            <w:pPr>
              <w:pStyle w:val="ListParagraph"/>
              <w:ind w:left="0"/>
              <w:rPr>
                <w:rFonts w:ascii="Times New Roman" w:hAnsi="Times New Roman"/>
                <w:b/>
                <w:bCs/>
                <w:color w:val="000000"/>
              </w:rPr>
            </w:pPr>
            <w:r w:rsidRPr="00003983">
              <w:rPr>
                <w:rFonts w:ascii="Times New Roman" w:hAnsi="Times New Roman"/>
                <w:b/>
                <w:bCs/>
                <w:color w:val="000000"/>
              </w:rPr>
              <w:t>Methodology for Estimating Cost</w:t>
            </w:r>
          </w:p>
        </w:tc>
        <w:tc>
          <w:tcPr>
            <w:tcW w:w="3117" w:type="dxa"/>
            <w:shd w:val="clear" w:color="auto" w:fill="auto"/>
          </w:tcPr>
          <w:p w:rsidR="008D4EF9" w:rsidRPr="00003983" w:rsidP="001B2207" w14:paraId="159C347F" w14:textId="77777777">
            <w:pPr>
              <w:pStyle w:val="ListParagraph"/>
              <w:ind w:left="0"/>
              <w:rPr>
                <w:rFonts w:ascii="Times New Roman" w:hAnsi="Times New Roman"/>
                <w:b/>
                <w:bCs/>
                <w:color w:val="000000"/>
              </w:rPr>
            </w:pPr>
            <w:r w:rsidRPr="00003983">
              <w:rPr>
                <w:rFonts w:ascii="Times New Roman" w:hAnsi="Times New Roman"/>
                <w:b/>
                <w:bCs/>
                <w:color w:val="000000"/>
              </w:rPr>
              <w:t>Cost in Dollars*</w:t>
            </w:r>
          </w:p>
        </w:tc>
      </w:tr>
      <w:tr w14:paraId="715226FD" w14:textId="77777777" w:rsidTr="00BF6AEF">
        <w:tblPrEx>
          <w:tblW w:w="8630" w:type="dxa"/>
          <w:tblInd w:w="1548" w:type="dxa"/>
          <w:tblLook w:val="04A0"/>
        </w:tblPrEx>
        <w:tc>
          <w:tcPr>
            <w:tcW w:w="2396" w:type="dxa"/>
            <w:shd w:val="clear" w:color="auto" w:fill="auto"/>
          </w:tcPr>
          <w:p w:rsidR="008D4EF9" w:rsidRPr="00003983" w:rsidP="001B2207" w14:paraId="42EBCAE5" w14:textId="77777777">
            <w:pPr>
              <w:pStyle w:val="ListParagraph"/>
              <w:ind w:left="0"/>
              <w:rPr>
                <w:rFonts w:ascii="Times New Roman" w:hAnsi="Times New Roman"/>
                <w:color w:val="000000"/>
              </w:rPr>
            </w:pPr>
            <w:r w:rsidRPr="00003983">
              <w:rPr>
                <w:rFonts w:ascii="Times New Roman" w:hAnsi="Times New Roman"/>
                <w:color w:val="000000"/>
              </w:rPr>
              <w:t>Designing and Printing the Form</w:t>
            </w:r>
          </w:p>
        </w:tc>
        <w:tc>
          <w:tcPr>
            <w:tcW w:w="3117" w:type="dxa"/>
            <w:shd w:val="clear" w:color="auto" w:fill="auto"/>
          </w:tcPr>
          <w:p w:rsidR="008D4EF9" w:rsidRPr="00003983" w:rsidP="001B2207" w14:paraId="6AD38DED" w14:textId="77777777">
            <w:pPr>
              <w:pStyle w:val="ListParagraph"/>
              <w:ind w:left="0"/>
              <w:rPr>
                <w:rFonts w:ascii="Times New Roman" w:hAnsi="Times New Roman"/>
                <w:color w:val="000000"/>
              </w:rPr>
            </w:pPr>
            <w:r w:rsidRPr="00003983">
              <w:rPr>
                <w:rFonts w:ascii="Times New Roman" w:hAnsi="Times New Roman"/>
                <w:color w:val="000000"/>
              </w:rPr>
              <w:t>Design Cost + Printing Cost</w:t>
            </w:r>
          </w:p>
        </w:tc>
        <w:tc>
          <w:tcPr>
            <w:tcW w:w="3117" w:type="dxa"/>
            <w:shd w:val="clear" w:color="auto" w:fill="auto"/>
          </w:tcPr>
          <w:p w:rsidR="008D4EF9" w:rsidRPr="00003983" w:rsidP="008D4EF9" w14:paraId="50F8BC07" w14:textId="77777777">
            <w:pPr>
              <w:pStyle w:val="ListParagraph"/>
              <w:ind w:left="0"/>
              <w:jc w:val="right"/>
              <w:rPr>
                <w:rFonts w:ascii="Times New Roman" w:hAnsi="Times New Roman"/>
                <w:color w:val="000000"/>
              </w:rPr>
            </w:pPr>
            <w:r>
              <w:rPr>
                <w:rFonts w:ascii="Times New Roman" w:hAnsi="Times New Roman"/>
                <w:color w:val="000000"/>
              </w:rPr>
              <w:t>$10,149</w:t>
            </w:r>
          </w:p>
        </w:tc>
      </w:tr>
      <w:tr w14:paraId="5104B245" w14:textId="77777777" w:rsidTr="00BF6AEF">
        <w:tblPrEx>
          <w:tblW w:w="8630" w:type="dxa"/>
          <w:tblInd w:w="1548" w:type="dxa"/>
          <w:tblLook w:val="04A0"/>
        </w:tblPrEx>
        <w:tc>
          <w:tcPr>
            <w:tcW w:w="2396" w:type="dxa"/>
            <w:shd w:val="clear" w:color="auto" w:fill="auto"/>
          </w:tcPr>
          <w:p w:rsidR="008D4EF9" w:rsidRPr="00003983" w:rsidP="001B2207" w14:paraId="77AEBEEE" w14:textId="77777777">
            <w:pPr>
              <w:pStyle w:val="ListParagraph"/>
              <w:ind w:left="0"/>
              <w:rPr>
                <w:rFonts w:ascii="Times New Roman" w:hAnsi="Times New Roman"/>
                <w:color w:val="000000"/>
              </w:rPr>
            </w:pPr>
            <w:r w:rsidRPr="00003983">
              <w:rPr>
                <w:rFonts w:ascii="Times New Roman" w:hAnsi="Times New Roman"/>
                <w:color w:val="000000"/>
              </w:rPr>
              <w:t>Distributing, Shipping, and Material Costs for the Form</w:t>
            </w:r>
          </w:p>
        </w:tc>
        <w:tc>
          <w:tcPr>
            <w:tcW w:w="3117" w:type="dxa"/>
            <w:shd w:val="clear" w:color="auto" w:fill="auto"/>
          </w:tcPr>
          <w:p w:rsidR="008D4EF9" w:rsidRPr="00003983" w:rsidP="001B2207" w14:paraId="05DF9698" w14:textId="77777777">
            <w:pPr>
              <w:pStyle w:val="ListParagraph"/>
              <w:ind w:left="0"/>
              <w:rPr>
                <w:rFonts w:ascii="Times New Roman" w:hAnsi="Times New Roman"/>
                <w:color w:val="000000"/>
              </w:rPr>
            </w:pPr>
            <w:r w:rsidRPr="00003983">
              <w:rPr>
                <w:rFonts w:ascii="Times New Roman" w:hAnsi="Times New Roman"/>
                <w:color w:val="000000"/>
              </w:rPr>
              <w:t>Distribution + Shipping + Material Cost</w:t>
            </w:r>
          </w:p>
        </w:tc>
        <w:tc>
          <w:tcPr>
            <w:tcW w:w="3117" w:type="dxa"/>
            <w:shd w:val="clear" w:color="auto" w:fill="auto"/>
          </w:tcPr>
          <w:p w:rsidR="008D4EF9" w:rsidRPr="00003983" w:rsidP="008D4EF9" w14:paraId="6DA0E882" w14:textId="77777777">
            <w:pPr>
              <w:pStyle w:val="ListParagraph"/>
              <w:ind w:left="0"/>
              <w:jc w:val="right"/>
              <w:rPr>
                <w:rFonts w:ascii="Times New Roman" w:hAnsi="Times New Roman"/>
                <w:color w:val="000000"/>
              </w:rPr>
            </w:pPr>
            <w:r>
              <w:rPr>
                <w:rFonts w:ascii="Times New Roman" w:hAnsi="Times New Roman"/>
                <w:color w:val="000000"/>
              </w:rPr>
              <w:t>$43,541</w:t>
            </w:r>
          </w:p>
        </w:tc>
      </w:tr>
      <w:tr w14:paraId="3D511669" w14:textId="77777777" w:rsidTr="00BF6AEF">
        <w:tblPrEx>
          <w:tblW w:w="8630" w:type="dxa"/>
          <w:tblInd w:w="1548" w:type="dxa"/>
          <w:tblLook w:val="04A0"/>
        </w:tblPrEx>
        <w:tc>
          <w:tcPr>
            <w:tcW w:w="2396" w:type="dxa"/>
            <w:shd w:val="clear" w:color="auto" w:fill="auto"/>
          </w:tcPr>
          <w:p w:rsidR="008D4EF9" w:rsidRPr="00003983" w:rsidP="001B2207" w14:paraId="3C37E266" w14:textId="77777777">
            <w:pPr>
              <w:pStyle w:val="ListParagraph"/>
              <w:ind w:left="0"/>
              <w:rPr>
                <w:rFonts w:ascii="Times New Roman" w:hAnsi="Times New Roman"/>
                <w:color w:val="000000"/>
              </w:rPr>
            </w:pPr>
            <w:r w:rsidRPr="00003983">
              <w:rPr>
                <w:rFonts w:ascii="Times New Roman" w:hAnsi="Times New Roman"/>
                <w:color w:val="000000"/>
              </w:rPr>
              <w:t>SSA Employee (e.g., field office, 800 number, DDS staff) Information Collection and Processing Time</w:t>
            </w:r>
          </w:p>
        </w:tc>
        <w:tc>
          <w:tcPr>
            <w:tcW w:w="3117" w:type="dxa"/>
            <w:shd w:val="clear" w:color="auto" w:fill="auto"/>
          </w:tcPr>
          <w:p w:rsidR="008D4EF9" w:rsidRPr="00003983" w:rsidP="001B2207" w14:paraId="46F53B05" w14:textId="77777777">
            <w:pPr>
              <w:pStyle w:val="ListParagraph"/>
              <w:ind w:left="0"/>
              <w:rPr>
                <w:rFonts w:ascii="Times New Roman" w:hAnsi="Times New Roman"/>
                <w:color w:val="000000"/>
              </w:rPr>
            </w:pPr>
            <w:r w:rsidRPr="00003983">
              <w:rPr>
                <w:rFonts w:ascii="Times New Roman" w:hAnsi="Times New Roman"/>
                <w:color w:val="000000"/>
              </w:rPr>
              <w:t>GS-9 employee x # of responses x processing time</w:t>
            </w:r>
          </w:p>
        </w:tc>
        <w:tc>
          <w:tcPr>
            <w:tcW w:w="3117" w:type="dxa"/>
            <w:shd w:val="clear" w:color="auto" w:fill="auto"/>
          </w:tcPr>
          <w:p w:rsidR="008D4EF9" w:rsidRPr="00003983" w:rsidP="008D4EF9" w14:paraId="48E61219" w14:textId="77777777">
            <w:pPr>
              <w:pStyle w:val="ListParagraph"/>
              <w:ind w:left="0"/>
              <w:jc w:val="right"/>
              <w:rPr>
                <w:rFonts w:ascii="Times New Roman" w:hAnsi="Times New Roman"/>
                <w:color w:val="000000"/>
              </w:rPr>
            </w:pPr>
            <w:r>
              <w:rPr>
                <w:rFonts w:ascii="Times New Roman" w:hAnsi="Times New Roman"/>
                <w:color w:val="000000"/>
              </w:rPr>
              <w:t>$165,39</w:t>
            </w:r>
          </w:p>
        </w:tc>
      </w:tr>
      <w:tr w14:paraId="7538067C" w14:textId="77777777" w:rsidTr="00BF6AEF">
        <w:tblPrEx>
          <w:tblW w:w="8630" w:type="dxa"/>
          <w:tblInd w:w="1548" w:type="dxa"/>
          <w:tblLook w:val="04A0"/>
        </w:tblPrEx>
        <w:tc>
          <w:tcPr>
            <w:tcW w:w="2396" w:type="dxa"/>
            <w:shd w:val="clear" w:color="auto" w:fill="auto"/>
          </w:tcPr>
          <w:p w:rsidR="008D4EF9" w:rsidRPr="00003983" w:rsidP="001B2207" w14:paraId="6AD57F00" w14:textId="77777777">
            <w:pPr>
              <w:pStyle w:val="ListParagraph"/>
              <w:ind w:left="0"/>
              <w:rPr>
                <w:rFonts w:ascii="Times New Roman" w:hAnsi="Times New Roman"/>
                <w:color w:val="000000"/>
              </w:rPr>
            </w:pPr>
            <w:r w:rsidRPr="00003983">
              <w:rPr>
                <w:rFonts w:ascii="Times New Roman" w:hAnsi="Times New Roman"/>
                <w:color w:val="000000"/>
              </w:rPr>
              <w:t>Full-Time Equivalent Costs</w:t>
            </w:r>
          </w:p>
        </w:tc>
        <w:tc>
          <w:tcPr>
            <w:tcW w:w="3117" w:type="dxa"/>
            <w:shd w:val="clear" w:color="auto" w:fill="auto"/>
          </w:tcPr>
          <w:p w:rsidR="008D4EF9" w:rsidRPr="00003983" w:rsidP="001B2207" w14:paraId="1B76206F" w14:textId="77777777">
            <w:pPr>
              <w:pStyle w:val="ListParagraph"/>
              <w:ind w:left="0"/>
              <w:rPr>
                <w:rFonts w:ascii="Times New Roman" w:hAnsi="Times New Roman"/>
                <w:color w:val="000000"/>
              </w:rPr>
            </w:pPr>
            <w:r w:rsidRPr="00003983">
              <w:rPr>
                <w:rFonts w:ascii="Times New Roman" w:hAnsi="Times New Roman"/>
                <w:color w:val="000000"/>
              </w:rPr>
              <w:t>Out of pocket costs + Other expenses for providing this service</w:t>
            </w:r>
          </w:p>
        </w:tc>
        <w:tc>
          <w:tcPr>
            <w:tcW w:w="3117" w:type="dxa"/>
            <w:shd w:val="clear" w:color="auto" w:fill="auto"/>
          </w:tcPr>
          <w:p w:rsidR="008D4EF9" w:rsidRPr="00003983" w:rsidP="008D4EF9" w14:paraId="1DC6F880" w14:textId="77777777">
            <w:pPr>
              <w:pStyle w:val="ListParagraph"/>
              <w:ind w:left="0"/>
              <w:jc w:val="right"/>
              <w:rPr>
                <w:rFonts w:ascii="Times New Roman" w:hAnsi="Times New Roman"/>
                <w:color w:val="000000"/>
              </w:rPr>
            </w:pPr>
            <w:r>
              <w:rPr>
                <w:rFonts w:ascii="Times New Roman" w:hAnsi="Times New Roman"/>
                <w:color w:val="000000"/>
              </w:rPr>
              <w:t>$0*</w:t>
            </w:r>
          </w:p>
        </w:tc>
      </w:tr>
      <w:tr w14:paraId="460DEDCF" w14:textId="77777777" w:rsidTr="00BF6AEF">
        <w:tblPrEx>
          <w:tblW w:w="8630" w:type="dxa"/>
          <w:tblInd w:w="1548" w:type="dxa"/>
          <w:tblLook w:val="04A0"/>
        </w:tblPrEx>
        <w:tc>
          <w:tcPr>
            <w:tcW w:w="2396" w:type="dxa"/>
            <w:shd w:val="clear" w:color="auto" w:fill="auto"/>
          </w:tcPr>
          <w:p w:rsidR="008D4EF9" w:rsidRPr="00003983" w:rsidP="001B2207" w14:paraId="015DC7E6" w14:textId="77777777">
            <w:pPr>
              <w:pStyle w:val="ListParagraph"/>
              <w:ind w:left="0"/>
              <w:rPr>
                <w:rFonts w:ascii="Times New Roman" w:hAnsi="Times New Roman"/>
                <w:color w:val="000000"/>
              </w:rPr>
            </w:pPr>
            <w:r w:rsidRPr="00003983">
              <w:rPr>
                <w:rFonts w:ascii="Times New Roman" w:hAnsi="Times New Roman"/>
                <w:color w:val="000000"/>
              </w:rPr>
              <w:t>Systems Development, Updating, and Maintenance</w:t>
            </w:r>
          </w:p>
        </w:tc>
        <w:tc>
          <w:tcPr>
            <w:tcW w:w="3117" w:type="dxa"/>
            <w:shd w:val="clear" w:color="auto" w:fill="auto"/>
          </w:tcPr>
          <w:p w:rsidR="008D4EF9" w:rsidRPr="00003983" w:rsidP="001B2207" w14:paraId="05CA77FC" w14:textId="77777777">
            <w:pPr>
              <w:pStyle w:val="ListParagraph"/>
              <w:ind w:left="0"/>
              <w:rPr>
                <w:rFonts w:ascii="Times New Roman" w:hAnsi="Times New Roman"/>
                <w:color w:val="000000"/>
              </w:rPr>
            </w:pPr>
            <w:r w:rsidRPr="00003983">
              <w:rPr>
                <w:rFonts w:ascii="Times New Roman" w:hAnsi="Times New Roman"/>
                <w:color w:val="000000"/>
              </w:rPr>
              <w:t>GS-9 employee x man hours for development, updating, maintenance</w:t>
            </w:r>
          </w:p>
        </w:tc>
        <w:tc>
          <w:tcPr>
            <w:tcW w:w="3117" w:type="dxa"/>
            <w:shd w:val="clear" w:color="auto" w:fill="auto"/>
          </w:tcPr>
          <w:p w:rsidR="008D4EF9" w:rsidRPr="00003983" w:rsidP="008D4EF9" w14:paraId="43699F38" w14:textId="77777777">
            <w:pPr>
              <w:pStyle w:val="ListParagraph"/>
              <w:ind w:left="0"/>
              <w:jc w:val="right"/>
              <w:rPr>
                <w:rFonts w:ascii="Times New Roman" w:hAnsi="Times New Roman"/>
                <w:color w:val="000000"/>
              </w:rPr>
            </w:pPr>
            <w:r w:rsidRPr="008D4EF9">
              <w:rPr>
                <w:rFonts w:ascii="Times New Roman" w:hAnsi="Times New Roman"/>
                <w:bCs/>
                <w:iCs/>
                <w:color w:val="000000"/>
              </w:rPr>
              <w:t>$3,420</w:t>
            </w:r>
          </w:p>
        </w:tc>
      </w:tr>
      <w:tr w14:paraId="40D181C9" w14:textId="77777777" w:rsidTr="00BF6AEF">
        <w:tblPrEx>
          <w:tblW w:w="8630" w:type="dxa"/>
          <w:tblInd w:w="1548" w:type="dxa"/>
          <w:tblLook w:val="04A0"/>
        </w:tblPrEx>
        <w:tc>
          <w:tcPr>
            <w:tcW w:w="2396" w:type="dxa"/>
            <w:shd w:val="clear" w:color="auto" w:fill="auto"/>
          </w:tcPr>
          <w:p w:rsidR="008D4EF9" w:rsidRPr="00003983" w:rsidP="001B2207" w14:paraId="1F68FD36" w14:textId="77777777">
            <w:pPr>
              <w:pStyle w:val="ListParagraph"/>
              <w:ind w:left="0"/>
              <w:rPr>
                <w:rFonts w:ascii="Times New Roman" w:hAnsi="Times New Roman"/>
                <w:color w:val="000000"/>
              </w:rPr>
            </w:pPr>
            <w:r w:rsidRPr="00003983">
              <w:rPr>
                <w:rFonts w:ascii="Times New Roman" w:hAnsi="Times New Roman"/>
                <w:color w:val="000000"/>
              </w:rPr>
              <w:t>Quantifiable IT Costs</w:t>
            </w:r>
          </w:p>
        </w:tc>
        <w:tc>
          <w:tcPr>
            <w:tcW w:w="3117" w:type="dxa"/>
            <w:shd w:val="clear" w:color="auto" w:fill="auto"/>
          </w:tcPr>
          <w:p w:rsidR="008D4EF9" w:rsidRPr="00003983" w:rsidP="001B2207" w14:paraId="19C6C062" w14:textId="77777777">
            <w:pPr>
              <w:pStyle w:val="ListParagraph"/>
              <w:ind w:left="0"/>
              <w:rPr>
                <w:rFonts w:ascii="Times New Roman" w:hAnsi="Times New Roman"/>
                <w:color w:val="000000"/>
              </w:rPr>
            </w:pPr>
            <w:r w:rsidRPr="00003983">
              <w:rPr>
                <w:rFonts w:ascii="Times New Roman" w:hAnsi="Times New Roman"/>
                <w:color w:val="000000"/>
              </w:rPr>
              <w:t>Any additional IT costs</w:t>
            </w:r>
          </w:p>
        </w:tc>
        <w:tc>
          <w:tcPr>
            <w:tcW w:w="3117" w:type="dxa"/>
            <w:shd w:val="clear" w:color="auto" w:fill="auto"/>
          </w:tcPr>
          <w:p w:rsidR="008D4EF9" w:rsidRPr="00003983" w:rsidP="008D4EF9" w14:paraId="78CF392E" w14:textId="77777777">
            <w:pPr>
              <w:pStyle w:val="ListParagraph"/>
              <w:ind w:left="0"/>
              <w:jc w:val="right"/>
              <w:rPr>
                <w:rFonts w:ascii="Times New Roman" w:hAnsi="Times New Roman"/>
                <w:color w:val="000000"/>
              </w:rPr>
            </w:pPr>
            <w:r>
              <w:rPr>
                <w:rFonts w:ascii="Times New Roman" w:hAnsi="Times New Roman"/>
                <w:color w:val="000000"/>
              </w:rPr>
              <w:t>$0*</w:t>
            </w:r>
          </w:p>
        </w:tc>
      </w:tr>
      <w:tr w14:paraId="2F9D8820" w14:textId="77777777" w:rsidTr="00BF6AEF">
        <w:tblPrEx>
          <w:tblW w:w="8630" w:type="dxa"/>
          <w:tblInd w:w="1548" w:type="dxa"/>
          <w:tblLook w:val="04A0"/>
        </w:tblPrEx>
        <w:tc>
          <w:tcPr>
            <w:tcW w:w="2396" w:type="dxa"/>
            <w:shd w:val="clear" w:color="auto" w:fill="auto"/>
          </w:tcPr>
          <w:p w:rsidR="008D4EF9" w:rsidRPr="00003983" w:rsidP="001B2207" w14:paraId="406CE166" w14:textId="77777777">
            <w:pPr>
              <w:pStyle w:val="ListParagraph"/>
              <w:ind w:left="0"/>
              <w:rPr>
                <w:rFonts w:ascii="Times New Roman" w:hAnsi="Times New Roman"/>
                <w:b/>
                <w:bCs/>
                <w:color w:val="000000"/>
              </w:rPr>
            </w:pPr>
            <w:r w:rsidRPr="00003983">
              <w:rPr>
                <w:rFonts w:ascii="Times New Roman" w:hAnsi="Times New Roman"/>
                <w:b/>
                <w:bCs/>
                <w:color w:val="000000"/>
              </w:rPr>
              <w:t>Total</w:t>
            </w:r>
          </w:p>
        </w:tc>
        <w:tc>
          <w:tcPr>
            <w:tcW w:w="3117" w:type="dxa"/>
            <w:shd w:val="clear" w:color="auto" w:fill="auto"/>
          </w:tcPr>
          <w:p w:rsidR="008D4EF9" w:rsidRPr="00003983" w:rsidP="001B2207" w14:paraId="2C0FD6AE" w14:textId="77777777">
            <w:pPr>
              <w:pStyle w:val="ListParagraph"/>
              <w:ind w:left="0"/>
              <w:rPr>
                <w:rFonts w:ascii="Times New Roman" w:hAnsi="Times New Roman"/>
                <w:b/>
                <w:bCs/>
                <w:color w:val="000000"/>
              </w:rPr>
            </w:pPr>
          </w:p>
        </w:tc>
        <w:tc>
          <w:tcPr>
            <w:tcW w:w="3117" w:type="dxa"/>
            <w:shd w:val="clear" w:color="auto" w:fill="auto"/>
          </w:tcPr>
          <w:p w:rsidR="008D4EF9" w:rsidRPr="00003983" w:rsidP="008D4EF9" w14:paraId="76AB95C4" w14:textId="77777777">
            <w:pPr>
              <w:pStyle w:val="ListParagraph"/>
              <w:ind w:left="0"/>
              <w:jc w:val="right"/>
              <w:rPr>
                <w:rFonts w:ascii="Times New Roman" w:hAnsi="Times New Roman"/>
                <w:b/>
                <w:bCs/>
                <w:color w:val="000000"/>
              </w:rPr>
            </w:pPr>
            <w:r>
              <w:rPr>
                <w:rFonts w:ascii="Times New Roman" w:hAnsi="Times New Roman"/>
                <w:b/>
                <w:bCs/>
                <w:color w:val="000000"/>
              </w:rPr>
              <w:t>$73,649</w:t>
            </w:r>
          </w:p>
        </w:tc>
      </w:tr>
    </w:tbl>
    <w:p w:rsidR="008D4EF9" w:rsidP="00BF6AEF" w14:paraId="497BFA48" w14:textId="77777777">
      <w:pPr>
        <w:ind w:left="1440"/>
        <w:rPr>
          <w:rFonts w:ascii="Times New Roman" w:hAnsi="Times New Roman"/>
          <w:color w:val="000000"/>
        </w:rPr>
      </w:pPr>
      <w:r>
        <w:rPr>
          <w:rFonts w:ascii="Times New Roman" w:hAnsi="Times New Roman"/>
          <w:color w:val="000000"/>
        </w:rPr>
        <w:t>* We have inserted a $0 amount for cost factors that do not apply to this collection.</w:t>
      </w:r>
    </w:p>
    <w:p w:rsidR="008D4EF9" w:rsidP="00BF6AEF" w14:paraId="343D8103" w14:textId="77777777">
      <w:pPr>
        <w:ind w:firstLine="1440"/>
        <w:rPr>
          <w:rFonts w:ascii="Times New Roman" w:hAnsi="Times New Roman"/>
          <w:color w:val="000000"/>
        </w:rPr>
      </w:pPr>
    </w:p>
    <w:p w:rsidR="008D4EF9" w:rsidP="00BF6AEF" w14:paraId="368B164C" w14:textId="77777777">
      <w:pPr>
        <w:ind w:left="1440"/>
        <w:rPr>
          <w:rFonts w:ascii="Times New Roman" w:hAnsi="Times New Roman"/>
          <w:color w:val="000000"/>
        </w:rPr>
      </w:pPr>
      <w:r>
        <w:rPr>
          <w:rFonts w:ascii="Times New Roman" w:hAnsi="Times New Roman"/>
          <w:color w:val="000000"/>
        </w:rPr>
        <w:t xml:space="preserve">SSA is unable to break down the costs to the Federal government further than we already have.  First, since we work with almost every US citizen, we often do bulk mailings, and cannot track the cost for a single mailing.  In addition, it is difficult for us to break down the cost for processing a single form, as field office </w:t>
      </w:r>
      <w:r>
        <w:rPr>
          <w:rFonts w:ascii="Times New Roman" w:hAnsi="Times New Roman"/>
          <w:color w:val="000000"/>
        </w:rPr>
        <w:t>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008D4EF9" w:rsidP="008D4EF9" w14:paraId="10E34305" w14:textId="77777777">
      <w:pPr>
        <w:rPr>
          <w:rFonts w:ascii="Times New Roman" w:hAnsi="Times New Roman"/>
          <w:color w:val="000000"/>
        </w:rPr>
      </w:pPr>
    </w:p>
    <w:p w:rsidR="00063A05" w:rsidP="00BF6AEF" w14:paraId="798ECF62" w14:textId="77777777">
      <w:pPr>
        <w:ind w:left="720" w:firstLine="90"/>
        <w:rPr>
          <w:rFonts w:ascii="Times New Roman" w:hAnsi="Times New Roman"/>
          <w:b/>
        </w:rPr>
      </w:pPr>
      <w:r w:rsidRPr="0069667B">
        <w:rPr>
          <w:rFonts w:ascii="Times New Roman" w:hAnsi="Times New Roman"/>
          <w:b/>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Pr>
          <w:rFonts w:ascii="Times New Roman" w:hAnsi="Times New Roman"/>
          <w:b/>
        </w:rPr>
        <w:t>Request</w:t>
      </w:r>
    </w:p>
    <w:p w:rsidR="00CA5F75" w:rsidP="00BF6AEF" w14:paraId="76B6E81F" w14:textId="77777777">
      <w:pPr>
        <w:ind w:left="1440"/>
        <w:rPr>
          <w:rFonts w:ascii="Times New Roman" w:hAnsi="Times New Roman"/>
        </w:rPr>
      </w:pPr>
      <w:r w:rsidRPr="00B84D9B">
        <w:rPr>
          <w:rFonts w:ascii="Times New Roman" w:hAnsi="Times New Roman"/>
        </w:rPr>
        <w:t>When we last cleared this IC in 201</w:t>
      </w:r>
      <w:r w:rsidR="00217C22">
        <w:rPr>
          <w:rFonts w:ascii="Times New Roman" w:hAnsi="Times New Roman"/>
        </w:rPr>
        <w:t>9</w:t>
      </w:r>
      <w:r w:rsidRPr="00B84D9B">
        <w:rPr>
          <w:rFonts w:ascii="Times New Roman" w:hAnsi="Times New Roman"/>
        </w:rPr>
        <w:t xml:space="preserve">, the burden was </w:t>
      </w:r>
      <w:r w:rsidR="00217C22">
        <w:rPr>
          <w:rFonts w:ascii="Times New Roman" w:hAnsi="Times New Roman"/>
        </w:rPr>
        <w:t>6</w:t>
      </w:r>
      <w:r w:rsidRPr="00B84D9B">
        <w:rPr>
          <w:rFonts w:ascii="Times New Roman" w:hAnsi="Times New Roman"/>
        </w:rPr>
        <w:t>,</w:t>
      </w:r>
      <w:r w:rsidR="00217C22">
        <w:rPr>
          <w:rFonts w:ascii="Times New Roman" w:hAnsi="Times New Roman"/>
        </w:rPr>
        <w:t>412</w:t>
      </w:r>
      <w:r w:rsidRPr="00B84D9B">
        <w:rPr>
          <w:rFonts w:ascii="Times New Roman" w:hAnsi="Times New Roman"/>
        </w:rPr>
        <w:t xml:space="preserve"> hours.  However, we are currently reporting a burden of 6,</w:t>
      </w:r>
      <w:r w:rsidR="00217C22">
        <w:rPr>
          <w:rFonts w:ascii="Times New Roman" w:hAnsi="Times New Roman"/>
        </w:rPr>
        <w:t>047</w:t>
      </w:r>
      <w:r w:rsidRPr="00B84D9B">
        <w:rPr>
          <w:rFonts w:ascii="Times New Roman" w:hAnsi="Times New Roman"/>
        </w:rPr>
        <w:t xml:space="preserve"> hours.  This change stems from a decrease in the number of responses from 76,944</w:t>
      </w:r>
      <w:r w:rsidR="00217C22">
        <w:rPr>
          <w:rFonts w:ascii="Times New Roman" w:hAnsi="Times New Roman"/>
        </w:rPr>
        <w:t xml:space="preserve"> to 72,565</w:t>
      </w:r>
      <w:r w:rsidRPr="00B84D9B">
        <w:rPr>
          <w:rFonts w:ascii="Times New Roman" w:hAnsi="Times New Roman"/>
        </w:rPr>
        <w:t>.  There is no change to the burden time per response.  Although the number of responses changed, SSA did not take any actions to cause this change.</w:t>
      </w:r>
    </w:p>
    <w:p w:rsidR="0059294D" w:rsidP="00B84D9B" w14:paraId="61F3E179" w14:textId="77777777">
      <w:pPr>
        <w:ind w:left="720"/>
        <w:rPr>
          <w:rFonts w:ascii="Times New Roman" w:hAnsi="Times New Roman"/>
        </w:rPr>
      </w:pPr>
    </w:p>
    <w:p w:rsidR="00063A05" w:rsidP="00BF6AEF" w14:paraId="641DD4AB" w14:textId="77777777">
      <w:pPr>
        <w:ind w:left="720"/>
        <w:rPr>
          <w:rFonts w:ascii="Times New Roman" w:hAnsi="Times New Roman"/>
          <w:b/>
        </w:rPr>
      </w:pPr>
      <w:r w:rsidRPr="003B30B4">
        <w:rPr>
          <w:rFonts w:ascii="Times New Roman" w:hAnsi="Times New Roman"/>
          <w:b/>
        </w:rPr>
        <w:t>16.</w:t>
      </w:r>
      <w:r w:rsidRPr="00BC7F42">
        <w:rPr>
          <w:rFonts w:ascii="Times New Roman" w:hAnsi="Times New Roman"/>
        </w:rPr>
        <w:t xml:space="preserve">  </w:t>
      </w:r>
      <w:r w:rsidR="00BF6AEF">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00CC6F8D" w:rsidP="00A45D82" w14:paraId="67748BAB" w14:textId="77777777">
      <w:pPr>
        <w:ind w:left="720" w:hanging="720"/>
        <w:rPr>
          <w:rFonts w:ascii="Times New Roman" w:hAnsi="Times New Roman"/>
        </w:rPr>
      </w:pPr>
      <w:r>
        <w:rPr>
          <w:rFonts w:ascii="Times New Roman" w:hAnsi="Times New Roman"/>
        </w:rPr>
        <w:tab/>
      </w:r>
      <w:r w:rsidR="00BF6AEF">
        <w:rPr>
          <w:rFonts w:ascii="Times New Roman" w:hAnsi="Times New Roman"/>
        </w:rPr>
        <w:tab/>
      </w:r>
      <w:r w:rsidRPr="00CC6F8D">
        <w:rPr>
          <w:rFonts w:ascii="Times New Roman" w:hAnsi="Times New Roman"/>
        </w:rPr>
        <w:t>SSA will not publish the results of the information collection.</w:t>
      </w:r>
    </w:p>
    <w:p w:rsidR="00A45D82" w:rsidRPr="00BC7F42" w:rsidP="00A45D82" w14:paraId="7D1F205E" w14:textId="77777777">
      <w:pPr>
        <w:pStyle w:val="Header"/>
        <w:tabs>
          <w:tab w:val="clear" w:pos="4320"/>
          <w:tab w:val="clear" w:pos="8640"/>
        </w:tabs>
        <w:rPr>
          <w:rFonts w:ascii="Times New Roman" w:hAnsi="Times New Roman"/>
        </w:rPr>
      </w:pPr>
    </w:p>
    <w:p w:rsidR="003B30B4" w:rsidP="00BF6AEF" w14:paraId="2E29C304" w14:textId="77777777">
      <w:pPr>
        <w:ind w:left="720"/>
        <w:rPr>
          <w:rFonts w:ascii="Times New Roman" w:hAnsi="Times New Roman"/>
        </w:rPr>
      </w:pPr>
      <w:r w:rsidRPr="003B30B4">
        <w:rPr>
          <w:rFonts w:ascii="Times New Roman" w:hAnsi="Times New Roman"/>
          <w:b/>
        </w:rPr>
        <w:t>17.</w:t>
      </w:r>
      <w:r w:rsidRPr="00BC7F42">
        <w:rPr>
          <w:rFonts w:ascii="Times New Roman" w:hAnsi="Times New Roman"/>
        </w:rPr>
        <w:tab/>
      </w:r>
      <w:r>
        <w:rPr>
          <w:rFonts w:ascii="Times New Roman" w:hAnsi="Times New Roman"/>
          <w:b/>
        </w:rPr>
        <w:t>Displaying the OMB Approval Expiration Date</w:t>
      </w:r>
    </w:p>
    <w:p w:rsidR="00CC6F8D" w:rsidP="00BF6AEF" w14:paraId="132B3684" w14:textId="77777777">
      <w:pPr>
        <w:pStyle w:val="NoSpacing"/>
        <w:ind w:left="1440"/>
        <w:rPr>
          <w:bCs/>
          <w:iCs/>
        </w:rPr>
      </w:pPr>
      <w:r w:rsidRPr="00CC6F8D">
        <w:rPr>
          <w:bCs/>
          <w:iCs/>
        </w:rPr>
        <w:t xml:space="preserve">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A45D82" w:rsidRPr="00BC7F42" w:rsidP="00A45D82" w14:paraId="7BD7130E"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rPr>
          <w:rFonts w:ascii="Times New Roman" w:hAnsi="Times New Roman"/>
          <w:b w:val="0"/>
          <w:i w:val="0"/>
        </w:rPr>
      </w:pPr>
    </w:p>
    <w:p w:rsidR="000B3B12" w:rsidRPr="00DB21F2" w:rsidP="00DB21F2" w14:paraId="05030DA1" w14:textId="77777777">
      <w:pPr>
        <w:numPr>
          <w:ilvl w:val="0"/>
          <w:numId w:val="43"/>
        </w:numPr>
        <w:rPr>
          <w:rFonts w:ascii="Times New Roman" w:hAnsi="Times New Roman"/>
          <w:b/>
        </w:rPr>
      </w:pPr>
      <w:r w:rsidRPr="00BC7F42">
        <w:rPr>
          <w:rFonts w:ascii="Times New Roman" w:hAnsi="Times New Roman"/>
          <w:b/>
        </w:rPr>
        <w:t>Exceptions to Certification Statement</w:t>
      </w:r>
    </w:p>
    <w:p w:rsidR="00BF6AEF" w:rsidP="00BF6AEF" w14:paraId="612E919C"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Cs w:val="0"/>
        </w:rPr>
      </w:pPr>
      <w:r w:rsidRPr="00DB21F2">
        <w:rPr>
          <w:rFonts w:ascii="Times New Roman" w:hAnsi="Times New Roman"/>
          <w:b w:val="0"/>
          <w:i w:val="0"/>
        </w:rPr>
        <w:t xml:space="preserve">SSA is not requesting an exception to the certification requirements </w:t>
      </w:r>
      <w:r w:rsidRPr="00C120C9">
        <w:rPr>
          <w:rFonts w:ascii="Times New Roman" w:hAnsi="Times New Roman"/>
          <w:b w:val="0"/>
          <w:iCs w:val="0"/>
        </w:rPr>
        <w:t xml:space="preserve">at </w:t>
      </w:r>
    </w:p>
    <w:p w:rsidR="00A45D82" w:rsidRPr="004C4147" w:rsidP="00BF6AEF" w14:paraId="5294E962"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C120C9">
        <w:rPr>
          <w:rFonts w:ascii="Times New Roman" w:hAnsi="Times New Roman"/>
          <w:b w:val="0"/>
          <w:iCs w:val="0"/>
        </w:rPr>
        <w:t>5 CFR 1320.9</w:t>
      </w:r>
      <w:r w:rsidRPr="00DB21F2">
        <w:rPr>
          <w:rFonts w:ascii="Times New Roman" w:hAnsi="Times New Roman"/>
          <w:b w:val="0"/>
          <w:i w:val="0"/>
        </w:rPr>
        <w:t xml:space="preserve"> and related provisions at </w:t>
      </w:r>
      <w:r w:rsidRPr="00C120C9">
        <w:rPr>
          <w:rFonts w:ascii="Times New Roman" w:hAnsi="Times New Roman"/>
          <w:b w:val="0"/>
          <w:iCs w:val="0"/>
        </w:rPr>
        <w:t>5 CFR 1320.8(b)(3</w:t>
      </w:r>
      <w:r w:rsidRPr="00DB21F2">
        <w:rPr>
          <w:rFonts w:ascii="Times New Roman" w:hAnsi="Times New Roman"/>
          <w:b w:val="0"/>
          <w:i w:val="0"/>
        </w:rPr>
        <w:t xml:space="preserve">). </w:t>
      </w:r>
    </w:p>
    <w:sectPr w:rsidSect="004572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44631A7"/>
    <w:multiLevelType w:val="hybridMultilevel"/>
    <w:tmpl w:val="517ECA56"/>
    <w:lvl w:ilvl="0">
      <w:start w:val="18"/>
      <w:numFmt w:val="decimal"/>
      <w:lvlText w:val="%1."/>
      <w:lvlJc w:val="left"/>
      <w:pPr>
        <w:tabs>
          <w:tab w:val="num" w:pos="1440"/>
        </w:tabs>
        <w:ind w:left="1440" w:hanging="72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6">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0602A3E"/>
    <w:multiLevelType w:val="hybridMultilevel"/>
    <w:tmpl w:val="AB9649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0F45D34"/>
    <w:multiLevelType w:val="hybridMultilevel"/>
    <w:tmpl w:val="A0CC2F1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70E7633"/>
    <w:multiLevelType w:val="hybridMultilevel"/>
    <w:tmpl w:val="3F28754C"/>
    <w:lvl w:ilvl="0">
      <w:start w:val="1"/>
      <w:numFmt w:val="decimal"/>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74B1E30"/>
    <w:multiLevelType w:val="hybridMultilevel"/>
    <w:tmpl w:val="929E5D74"/>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3">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7">
    <w:nsid w:val="330C0BA9"/>
    <w:multiLevelType w:val="hybridMultilevel"/>
    <w:tmpl w:val="0F9ACA6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37421940"/>
    <w:multiLevelType w:val="hybridMultilevel"/>
    <w:tmpl w:val="BE568B6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9">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2">
    <w:nsid w:val="41837325"/>
    <w:multiLevelType w:val="hybridMultilevel"/>
    <w:tmpl w:val="63F674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nsid w:val="43985EE9"/>
    <w:multiLevelType w:val="hybridMultilevel"/>
    <w:tmpl w:val="B1628A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46DB132C"/>
    <w:multiLevelType w:val="hybridMultilevel"/>
    <w:tmpl w:val="439E855C"/>
    <w:lvl w:ilvl="0">
      <w:start w:val="1"/>
      <w:numFmt w:val="bullet"/>
      <w:lvlText w:val=""/>
      <w:lvlJc w:val="left"/>
      <w:pPr>
        <w:tabs>
          <w:tab w:val="num" w:pos="2520"/>
        </w:tabs>
        <w:ind w:left="2520" w:hanging="360"/>
      </w:pPr>
      <w:rPr>
        <w:rFonts w:ascii="Wingdings" w:hAnsi="Wingdings" w:hint="default"/>
      </w:rPr>
    </w:lvl>
    <w:lvl w:ilvl="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26">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4C785F9C"/>
    <w:multiLevelType w:val="hybridMultilevel"/>
    <w:tmpl w:val="3A08A69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4D101D77"/>
    <w:multiLevelType w:val="hybridMultilevel"/>
    <w:tmpl w:val="21E6E07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31">
    <w:nsid w:val="5DA832D9"/>
    <w:multiLevelType w:val="hybridMultilevel"/>
    <w:tmpl w:val="F2E49EE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3">
    <w:nsid w:val="616F329C"/>
    <w:multiLevelType w:val="hybridMultilevel"/>
    <w:tmpl w:val="C8028774"/>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4">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5">
    <w:nsid w:val="63C9722E"/>
    <w:multiLevelType w:val="hybridMultilevel"/>
    <w:tmpl w:val="427013D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6">
    <w:nsid w:val="67CE2404"/>
    <w:multiLevelType w:val="hybridMultilevel"/>
    <w:tmpl w:val="EDA45C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8">
    <w:nsid w:val="735608D6"/>
    <w:multiLevelType w:val="hybridMultilevel"/>
    <w:tmpl w:val="501826A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0">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42">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76E50D95"/>
    <w:multiLevelType w:val="hybridMultilevel"/>
    <w:tmpl w:val="9BD6E22C"/>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4">
    <w:nsid w:val="76EF0A82"/>
    <w:multiLevelType w:val="hybridMultilevel"/>
    <w:tmpl w:val="7F3EE3F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5">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46">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47">
    <w:nsid w:val="7B802170"/>
    <w:multiLevelType w:val="hybridMultilevel"/>
    <w:tmpl w:val="02DE369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num w:numId="1" w16cid:durableId="107118127">
    <w:abstractNumId w:val="14"/>
  </w:num>
  <w:num w:numId="2" w16cid:durableId="1597904217">
    <w:abstractNumId w:val="26"/>
  </w:num>
  <w:num w:numId="3" w16cid:durableId="865679449">
    <w:abstractNumId w:val="3"/>
  </w:num>
  <w:num w:numId="4" w16cid:durableId="289554771">
    <w:abstractNumId w:val="19"/>
  </w:num>
  <w:num w:numId="5" w16cid:durableId="943924552">
    <w:abstractNumId w:val="42"/>
  </w:num>
  <w:num w:numId="6" w16cid:durableId="1024552823">
    <w:abstractNumId w:val="7"/>
  </w:num>
  <w:num w:numId="7" w16cid:durableId="262541643">
    <w:abstractNumId w:val="28"/>
  </w:num>
  <w:num w:numId="8" w16cid:durableId="1497643972">
    <w:abstractNumId w:val="34"/>
  </w:num>
  <w:num w:numId="9" w16cid:durableId="992418134">
    <w:abstractNumId w:val="40"/>
  </w:num>
  <w:num w:numId="10" w16cid:durableId="1669556046">
    <w:abstractNumId w:val="4"/>
  </w:num>
  <w:num w:numId="11" w16cid:durableId="287787097">
    <w:abstractNumId w:val="2"/>
  </w:num>
  <w:num w:numId="12" w16cid:durableId="685208013">
    <w:abstractNumId w:val="15"/>
  </w:num>
  <w:num w:numId="13" w16cid:durableId="1771969153">
    <w:abstractNumId w:val="20"/>
  </w:num>
  <w:num w:numId="14" w16cid:durableId="298147582">
    <w:abstractNumId w:val="46"/>
  </w:num>
  <w:num w:numId="15" w16cid:durableId="1312714348">
    <w:abstractNumId w:val="10"/>
  </w:num>
  <w:num w:numId="16" w16cid:durableId="1702896591">
    <w:abstractNumId w:val="13"/>
  </w:num>
  <w:num w:numId="17" w16cid:durableId="1933004531">
    <w:abstractNumId w:val="32"/>
  </w:num>
  <w:num w:numId="18" w16cid:durableId="2058892759">
    <w:abstractNumId w:val="6"/>
  </w:num>
  <w:num w:numId="19" w16cid:durableId="753673173">
    <w:abstractNumId w:val="5"/>
  </w:num>
  <w:num w:numId="20" w16cid:durableId="720665890">
    <w:abstractNumId w:val="45"/>
  </w:num>
  <w:num w:numId="21" w16cid:durableId="622343637">
    <w:abstractNumId w:val="16"/>
  </w:num>
  <w:num w:numId="22" w16cid:durableId="837572000">
    <w:abstractNumId w:val="0"/>
    <w:lvlOverride w:ilvl="0">
      <w:lvl w:ilvl="0">
        <w:start w:val="0"/>
        <w:numFmt w:val="bullet"/>
        <w:lvlText w:val=""/>
        <w:legacy w:legacy="1" w:legacySpace="0" w:legacyIndent="360"/>
        <w:lvlJc w:val="left"/>
        <w:rPr>
          <w:rFonts w:ascii="Symbol" w:hAnsi="Symbol" w:hint="default"/>
        </w:rPr>
      </w:lvl>
    </w:lvlOverride>
  </w:num>
  <w:num w:numId="23" w16cid:durableId="1560939369">
    <w:abstractNumId w:val="39"/>
  </w:num>
  <w:num w:numId="24" w16cid:durableId="897477806">
    <w:abstractNumId w:val="37"/>
  </w:num>
  <w:num w:numId="25" w16cid:durableId="94058329">
    <w:abstractNumId w:val="23"/>
  </w:num>
  <w:num w:numId="26" w16cid:durableId="884945852">
    <w:abstractNumId w:val="21"/>
  </w:num>
  <w:num w:numId="27" w16cid:durableId="667638887">
    <w:abstractNumId w:val="41"/>
  </w:num>
  <w:num w:numId="28" w16cid:durableId="1124545926">
    <w:abstractNumId w:val="30"/>
  </w:num>
  <w:num w:numId="29" w16cid:durableId="1646667519">
    <w:abstractNumId w:val="27"/>
  </w:num>
  <w:num w:numId="30" w16cid:durableId="644971634">
    <w:abstractNumId w:val="38"/>
  </w:num>
  <w:num w:numId="31" w16cid:durableId="319581907">
    <w:abstractNumId w:val="36"/>
  </w:num>
  <w:num w:numId="32" w16cid:durableId="1802652030">
    <w:abstractNumId w:val="12"/>
  </w:num>
  <w:num w:numId="33" w16cid:durableId="1799644286">
    <w:abstractNumId w:val="25"/>
  </w:num>
  <w:num w:numId="34" w16cid:durableId="2013137957">
    <w:abstractNumId w:val="33"/>
  </w:num>
  <w:num w:numId="35" w16cid:durableId="187642865">
    <w:abstractNumId w:val="47"/>
  </w:num>
  <w:num w:numId="36" w16cid:durableId="1539971634">
    <w:abstractNumId w:val="43"/>
  </w:num>
  <w:num w:numId="37" w16cid:durableId="1731151645">
    <w:abstractNumId w:val="18"/>
  </w:num>
  <w:num w:numId="38" w16cid:durableId="952130717">
    <w:abstractNumId w:val="35"/>
  </w:num>
  <w:num w:numId="39" w16cid:durableId="325746466">
    <w:abstractNumId w:val="9"/>
  </w:num>
  <w:num w:numId="40" w16cid:durableId="1934312688">
    <w:abstractNumId w:val="29"/>
  </w:num>
  <w:num w:numId="41" w16cid:durableId="1979266240">
    <w:abstractNumId w:val="22"/>
  </w:num>
  <w:num w:numId="42" w16cid:durableId="1152984508">
    <w:abstractNumId w:val="8"/>
  </w:num>
  <w:num w:numId="43" w16cid:durableId="1573928364">
    <w:abstractNumId w:val="1"/>
  </w:num>
  <w:num w:numId="44" w16cid:durableId="1765420344">
    <w:abstractNumId w:val="11"/>
  </w:num>
  <w:num w:numId="45" w16cid:durableId="1041857536">
    <w:abstractNumId w:val="44"/>
  </w:num>
  <w:num w:numId="46" w16cid:durableId="1260211421">
    <w:abstractNumId w:val="24"/>
  </w:num>
  <w:num w:numId="47" w16cid:durableId="2061661982">
    <w:abstractNumId w:val="31"/>
  </w:num>
  <w:num w:numId="48" w16cid:durableId="17329996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D82"/>
    <w:rsid w:val="00002A1B"/>
    <w:rsid w:val="00003983"/>
    <w:rsid w:val="000222A7"/>
    <w:rsid w:val="00025216"/>
    <w:rsid w:val="00025D75"/>
    <w:rsid w:val="0002659C"/>
    <w:rsid w:val="0002677F"/>
    <w:rsid w:val="0003265D"/>
    <w:rsid w:val="00063A05"/>
    <w:rsid w:val="00064229"/>
    <w:rsid w:val="0006715D"/>
    <w:rsid w:val="0007189E"/>
    <w:rsid w:val="00077720"/>
    <w:rsid w:val="00077E0E"/>
    <w:rsid w:val="00086E84"/>
    <w:rsid w:val="000958AA"/>
    <w:rsid w:val="00097A16"/>
    <w:rsid w:val="000A2BAC"/>
    <w:rsid w:val="000A3E8E"/>
    <w:rsid w:val="000A6265"/>
    <w:rsid w:val="000A6AE3"/>
    <w:rsid w:val="000B2B68"/>
    <w:rsid w:val="000B3B12"/>
    <w:rsid w:val="000C151C"/>
    <w:rsid w:val="000C1D18"/>
    <w:rsid w:val="000D39C7"/>
    <w:rsid w:val="000D5F5C"/>
    <w:rsid w:val="001125AA"/>
    <w:rsid w:val="00115F98"/>
    <w:rsid w:val="00121032"/>
    <w:rsid w:val="00122EE2"/>
    <w:rsid w:val="00127980"/>
    <w:rsid w:val="00133C56"/>
    <w:rsid w:val="00145796"/>
    <w:rsid w:val="00146275"/>
    <w:rsid w:val="0015576E"/>
    <w:rsid w:val="00157AD6"/>
    <w:rsid w:val="00161A18"/>
    <w:rsid w:val="00177414"/>
    <w:rsid w:val="001779F3"/>
    <w:rsid w:val="001805E6"/>
    <w:rsid w:val="00186C90"/>
    <w:rsid w:val="00192897"/>
    <w:rsid w:val="001A3317"/>
    <w:rsid w:val="001A65F9"/>
    <w:rsid w:val="001B2207"/>
    <w:rsid w:val="001B7CF4"/>
    <w:rsid w:val="001C6D3A"/>
    <w:rsid w:val="001D0B21"/>
    <w:rsid w:val="001E1076"/>
    <w:rsid w:val="001F4AAD"/>
    <w:rsid w:val="001F66DC"/>
    <w:rsid w:val="00202C06"/>
    <w:rsid w:val="00203B57"/>
    <w:rsid w:val="00211DD0"/>
    <w:rsid w:val="00214370"/>
    <w:rsid w:val="00217833"/>
    <w:rsid w:val="00217C22"/>
    <w:rsid w:val="00226716"/>
    <w:rsid w:val="002321B0"/>
    <w:rsid w:val="00246836"/>
    <w:rsid w:val="002479F2"/>
    <w:rsid w:val="00255707"/>
    <w:rsid w:val="00255CC2"/>
    <w:rsid w:val="0026052B"/>
    <w:rsid w:val="00266BC0"/>
    <w:rsid w:val="002745D1"/>
    <w:rsid w:val="00276AAF"/>
    <w:rsid w:val="002801F8"/>
    <w:rsid w:val="002925FC"/>
    <w:rsid w:val="0029431D"/>
    <w:rsid w:val="002A206B"/>
    <w:rsid w:val="002A4C30"/>
    <w:rsid w:val="002A79F3"/>
    <w:rsid w:val="002B00BB"/>
    <w:rsid w:val="002B0820"/>
    <w:rsid w:val="002B5578"/>
    <w:rsid w:val="002D3320"/>
    <w:rsid w:val="002D5C51"/>
    <w:rsid w:val="002E18CF"/>
    <w:rsid w:val="002E2A7C"/>
    <w:rsid w:val="002E335E"/>
    <w:rsid w:val="002F1668"/>
    <w:rsid w:val="002F1C11"/>
    <w:rsid w:val="002F5375"/>
    <w:rsid w:val="003018DF"/>
    <w:rsid w:val="00302545"/>
    <w:rsid w:val="00303F65"/>
    <w:rsid w:val="00305930"/>
    <w:rsid w:val="00310CD2"/>
    <w:rsid w:val="00315E68"/>
    <w:rsid w:val="003176E1"/>
    <w:rsid w:val="00331821"/>
    <w:rsid w:val="00333D3D"/>
    <w:rsid w:val="00340D7D"/>
    <w:rsid w:val="003465DC"/>
    <w:rsid w:val="003469CA"/>
    <w:rsid w:val="0036696D"/>
    <w:rsid w:val="0038050B"/>
    <w:rsid w:val="003A2E77"/>
    <w:rsid w:val="003A6E57"/>
    <w:rsid w:val="003A71A9"/>
    <w:rsid w:val="003B0553"/>
    <w:rsid w:val="003B15EC"/>
    <w:rsid w:val="003B30B4"/>
    <w:rsid w:val="003C10BD"/>
    <w:rsid w:val="003E145C"/>
    <w:rsid w:val="003F00B3"/>
    <w:rsid w:val="00401DE1"/>
    <w:rsid w:val="00405548"/>
    <w:rsid w:val="0041131C"/>
    <w:rsid w:val="004145D2"/>
    <w:rsid w:val="004179D8"/>
    <w:rsid w:val="004224F9"/>
    <w:rsid w:val="004238CA"/>
    <w:rsid w:val="004317CB"/>
    <w:rsid w:val="00444FB0"/>
    <w:rsid w:val="00447EE9"/>
    <w:rsid w:val="0045065A"/>
    <w:rsid w:val="004509AD"/>
    <w:rsid w:val="0045723A"/>
    <w:rsid w:val="004733E4"/>
    <w:rsid w:val="00475350"/>
    <w:rsid w:val="0047588F"/>
    <w:rsid w:val="00481B44"/>
    <w:rsid w:val="004844B0"/>
    <w:rsid w:val="00484662"/>
    <w:rsid w:val="004915B5"/>
    <w:rsid w:val="004A14F1"/>
    <w:rsid w:val="004C4147"/>
    <w:rsid w:val="004C41A4"/>
    <w:rsid w:val="004D5A7C"/>
    <w:rsid w:val="004E146D"/>
    <w:rsid w:val="0050197F"/>
    <w:rsid w:val="005040EC"/>
    <w:rsid w:val="00506390"/>
    <w:rsid w:val="00506486"/>
    <w:rsid w:val="00514E13"/>
    <w:rsid w:val="00526DDA"/>
    <w:rsid w:val="00527A61"/>
    <w:rsid w:val="00540446"/>
    <w:rsid w:val="0056163C"/>
    <w:rsid w:val="005721D4"/>
    <w:rsid w:val="0058003A"/>
    <w:rsid w:val="005838E5"/>
    <w:rsid w:val="0059294D"/>
    <w:rsid w:val="00593A36"/>
    <w:rsid w:val="00594CB3"/>
    <w:rsid w:val="005A1198"/>
    <w:rsid w:val="005B15E5"/>
    <w:rsid w:val="005B23A5"/>
    <w:rsid w:val="005B6A85"/>
    <w:rsid w:val="005C2C39"/>
    <w:rsid w:val="005C4DBA"/>
    <w:rsid w:val="005D3B56"/>
    <w:rsid w:val="005D4107"/>
    <w:rsid w:val="005D5B33"/>
    <w:rsid w:val="005F208A"/>
    <w:rsid w:val="006002DD"/>
    <w:rsid w:val="006013A3"/>
    <w:rsid w:val="00606BA9"/>
    <w:rsid w:val="00613BB7"/>
    <w:rsid w:val="006160ED"/>
    <w:rsid w:val="00626C22"/>
    <w:rsid w:val="00631F1B"/>
    <w:rsid w:val="0063304D"/>
    <w:rsid w:val="00637AF5"/>
    <w:rsid w:val="00640A26"/>
    <w:rsid w:val="00651449"/>
    <w:rsid w:val="00663881"/>
    <w:rsid w:val="00664553"/>
    <w:rsid w:val="00664AFC"/>
    <w:rsid w:val="006806E1"/>
    <w:rsid w:val="006815B5"/>
    <w:rsid w:val="0069667B"/>
    <w:rsid w:val="006A3A96"/>
    <w:rsid w:val="006A3B6E"/>
    <w:rsid w:val="006B173F"/>
    <w:rsid w:val="006B17EF"/>
    <w:rsid w:val="006B297F"/>
    <w:rsid w:val="006D1B7B"/>
    <w:rsid w:val="006E0664"/>
    <w:rsid w:val="006E0F42"/>
    <w:rsid w:val="006E2FB4"/>
    <w:rsid w:val="006E59B6"/>
    <w:rsid w:val="006F2B8B"/>
    <w:rsid w:val="006F4D0F"/>
    <w:rsid w:val="0070479A"/>
    <w:rsid w:val="007074C5"/>
    <w:rsid w:val="00712F1B"/>
    <w:rsid w:val="0071437B"/>
    <w:rsid w:val="007245C9"/>
    <w:rsid w:val="007256B3"/>
    <w:rsid w:val="007309E2"/>
    <w:rsid w:val="00736526"/>
    <w:rsid w:val="00736F55"/>
    <w:rsid w:val="00742B56"/>
    <w:rsid w:val="00745462"/>
    <w:rsid w:val="00795BAB"/>
    <w:rsid w:val="007A0699"/>
    <w:rsid w:val="007A08D1"/>
    <w:rsid w:val="007A2DEE"/>
    <w:rsid w:val="007B007C"/>
    <w:rsid w:val="007B30D9"/>
    <w:rsid w:val="007C0384"/>
    <w:rsid w:val="007C64B1"/>
    <w:rsid w:val="007D061D"/>
    <w:rsid w:val="007D17CC"/>
    <w:rsid w:val="007D22EB"/>
    <w:rsid w:val="007D48A3"/>
    <w:rsid w:val="007E17BD"/>
    <w:rsid w:val="007E4A5A"/>
    <w:rsid w:val="008041B4"/>
    <w:rsid w:val="00806984"/>
    <w:rsid w:val="00810485"/>
    <w:rsid w:val="00814772"/>
    <w:rsid w:val="00817F8F"/>
    <w:rsid w:val="00824D72"/>
    <w:rsid w:val="00825B97"/>
    <w:rsid w:val="00831CCD"/>
    <w:rsid w:val="008435D3"/>
    <w:rsid w:val="0084775D"/>
    <w:rsid w:val="00856B21"/>
    <w:rsid w:val="008609BD"/>
    <w:rsid w:val="0086463A"/>
    <w:rsid w:val="008754ED"/>
    <w:rsid w:val="00876482"/>
    <w:rsid w:val="00891CA8"/>
    <w:rsid w:val="00892E12"/>
    <w:rsid w:val="008B6774"/>
    <w:rsid w:val="008D0DA1"/>
    <w:rsid w:val="008D1504"/>
    <w:rsid w:val="008D158E"/>
    <w:rsid w:val="008D4EF9"/>
    <w:rsid w:val="008D50B4"/>
    <w:rsid w:val="008E3A3A"/>
    <w:rsid w:val="008E403A"/>
    <w:rsid w:val="00906892"/>
    <w:rsid w:val="009121F5"/>
    <w:rsid w:val="009252AB"/>
    <w:rsid w:val="0094069D"/>
    <w:rsid w:val="00940CDE"/>
    <w:rsid w:val="00951258"/>
    <w:rsid w:val="00952C5B"/>
    <w:rsid w:val="00955EC4"/>
    <w:rsid w:val="00971762"/>
    <w:rsid w:val="009736FA"/>
    <w:rsid w:val="009748B6"/>
    <w:rsid w:val="00975DD8"/>
    <w:rsid w:val="009A0B16"/>
    <w:rsid w:val="009A7309"/>
    <w:rsid w:val="009D2BB7"/>
    <w:rsid w:val="009E3C50"/>
    <w:rsid w:val="009F0DE2"/>
    <w:rsid w:val="009F21C2"/>
    <w:rsid w:val="009F23D6"/>
    <w:rsid w:val="009F7BB3"/>
    <w:rsid w:val="00A06BE2"/>
    <w:rsid w:val="00A32C8F"/>
    <w:rsid w:val="00A336A3"/>
    <w:rsid w:val="00A337E4"/>
    <w:rsid w:val="00A33C65"/>
    <w:rsid w:val="00A34222"/>
    <w:rsid w:val="00A45D82"/>
    <w:rsid w:val="00A57F0F"/>
    <w:rsid w:val="00A651A7"/>
    <w:rsid w:val="00A67D76"/>
    <w:rsid w:val="00A706B8"/>
    <w:rsid w:val="00A73763"/>
    <w:rsid w:val="00A75742"/>
    <w:rsid w:val="00A805BA"/>
    <w:rsid w:val="00AA06A4"/>
    <w:rsid w:val="00AA0858"/>
    <w:rsid w:val="00AA0C27"/>
    <w:rsid w:val="00AA4CAD"/>
    <w:rsid w:val="00AA6250"/>
    <w:rsid w:val="00AA6365"/>
    <w:rsid w:val="00AB0CA7"/>
    <w:rsid w:val="00AB162E"/>
    <w:rsid w:val="00AC0066"/>
    <w:rsid w:val="00AC2E93"/>
    <w:rsid w:val="00AC39FD"/>
    <w:rsid w:val="00AD0977"/>
    <w:rsid w:val="00AD7CC4"/>
    <w:rsid w:val="00AE0527"/>
    <w:rsid w:val="00AF3BEA"/>
    <w:rsid w:val="00AF7234"/>
    <w:rsid w:val="00B007C5"/>
    <w:rsid w:val="00B01D57"/>
    <w:rsid w:val="00B134CD"/>
    <w:rsid w:val="00B1614B"/>
    <w:rsid w:val="00B2748B"/>
    <w:rsid w:val="00B31254"/>
    <w:rsid w:val="00B51EF0"/>
    <w:rsid w:val="00B525CA"/>
    <w:rsid w:val="00B60A49"/>
    <w:rsid w:val="00B65680"/>
    <w:rsid w:val="00B67C50"/>
    <w:rsid w:val="00B741F6"/>
    <w:rsid w:val="00B84D9B"/>
    <w:rsid w:val="00B92550"/>
    <w:rsid w:val="00BA1653"/>
    <w:rsid w:val="00BA401A"/>
    <w:rsid w:val="00BC04AD"/>
    <w:rsid w:val="00BC27EC"/>
    <w:rsid w:val="00BC5531"/>
    <w:rsid w:val="00BC7F42"/>
    <w:rsid w:val="00BD2ACC"/>
    <w:rsid w:val="00BD74FC"/>
    <w:rsid w:val="00BF026F"/>
    <w:rsid w:val="00BF4955"/>
    <w:rsid w:val="00BF5B0B"/>
    <w:rsid w:val="00BF6AEF"/>
    <w:rsid w:val="00C027A7"/>
    <w:rsid w:val="00C0290B"/>
    <w:rsid w:val="00C120C9"/>
    <w:rsid w:val="00C15F59"/>
    <w:rsid w:val="00C22097"/>
    <w:rsid w:val="00C25FDC"/>
    <w:rsid w:val="00C34553"/>
    <w:rsid w:val="00C34A91"/>
    <w:rsid w:val="00C377BC"/>
    <w:rsid w:val="00C5104E"/>
    <w:rsid w:val="00C60E61"/>
    <w:rsid w:val="00C67C8A"/>
    <w:rsid w:val="00C67F83"/>
    <w:rsid w:val="00C74924"/>
    <w:rsid w:val="00C74A43"/>
    <w:rsid w:val="00C822AE"/>
    <w:rsid w:val="00C93220"/>
    <w:rsid w:val="00C941E2"/>
    <w:rsid w:val="00C96B51"/>
    <w:rsid w:val="00CA0B15"/>
    <w:rsid w:val="00CA5F75"/>
    <w:rsid w:val="00CA6CAE"/>
    <w:rsid w:val="00CB6928"/>
    <w:rsid w:val="00CB7253"/>
    <w:rsid w:val="00CB7557"/>
    <w:rsid w:val="00CC6F8D"/>
    <w:rsid w:val="00CD07B4"/>
    <w:rsid w:val="00CD2F04"/>
    <w:rsid w:val="00CD667A"/>
    <w:rsid w:val="00CE1753"/>
    <w:rsid w:val="00CE23C1"/>
    <w:rsid w:val="00CE243F"/>
    <w:rsid w:val="00CF0595"/>
    <w:rsid w:val="00CF3FC4"/>
    <w:rsid w:val="00D0011E"/>
    <w:rsid w:val="00D017C3"/>
    <w:rsid w:val="00D03E8A"/>
    <w:rsid w:val="00D42EFE"/>
    <w:rsid w:val="00D44900"/>
    <w:rsid w:val="00D5531A"/>
    <w:rsid w:val="00D66470"/>
    <w:rsid w:val="00D678F8"/>
    <w:rsid w:val="00D93CA5"/>
    <w:rsid w:val="00D97D31"/>
    <w:rsid w:val="00DA0F7B"/>
    <w:rsid w:val="00DA5417"/>
    <w:rsid w:val="00DB04B6"/>
    <w:rsid w:val="00DB1DB4"/>
    <w:rsid w:val="00DB21F2"/>
    <w:rsid w:val="00DB309E"/>
    <w:rsid w:val="00DB627F"/>
    <w:rsid w:val="00DC5B17"/>
    <w:rsid w:val="00DD418D"/>
    <w:rsid w:val="00DD494D"/>
    <w:rsid w:val="00DE156B"/>
    <w:rsid w:val="00DE23A5"/>
    <w:rsid w:val="00DE6003"/>
    <w:rsid w:val="00DE6186"/>
    <w:rsid w:val="00DF3CB3"/>
    <w:rsid w:val="00E0137B"/>
    <w:rsid w:val="00E05512"/>
    <w:rsid w:val="00E065DA"/>
    <w:rsid w:val="00E07E9A"/>
    <w:rsid w:val="00E309EB"/>
    <w:rsid w:val="00E3164F"/>
    <w:rsid w:val="00E332DD"/>
    <w:rsid w:val="00E437C5"/>
    <w:rsid w:val="00E503EC"/>
    <w:rsid w:val="00E57FCA"/>
    <w:rsid w:val="00E6420B"/>
    <w:rsid w:val="00E71D26"/>
    <w:rsid w:val="00E75DB0"/>
    <w:rsid w:val="00E80456"/>
    <w:rsid w:val="00E87565"/>
    <w:rsid w:val="00E90C49"/>
    <w:rsid w:val="00E92EC5"/>
    <w:rsid w:val="00E956F3"/>
    <w:rsid w:val="00EA37F2"/>
    <w:rsid w:val="00EA6845"/>
    <w:rsid w:val="00EB17D0"/>
    <w:rsid w:val="00EC015C"/>
    <w:rsid w:val="00EC7EFD"/>
    <w:rsid w:val="00ED36D8"/>
    <w:rsid w:val="00ED54E4"/>
    <w:rsid w:val="00ED75CE"/>
    <w:rsid w:val="00EE6086"/>
    <w:rsid w:val="00EF4071"/>
    <w:rsid w:val="00EF43B0"/>
    <w:rsid w:val="00EF6B96"/>
    <w:rsid w:val="00EF765F"/>
    <w:rsid w:val="00F028DE"/>
    <w:rsid w:val="00F02F68"/>
    <w:rsid w:val="00F03B18"/>
    <w:rsid w:val="00F0585C"/>
    <w:rsid w:val="00F107B7"/>
    <w:rsid w:val="00F11F57"/>
    <w:rsid w:val="00F14BA8"/>
    <w:rsid w:val="00F15EF8"/>
    <w:rsid w:val="00F2154D"/>
    <w:rsid w:val="00F25824"/>
    <w:rsid w:val="00F30234"/>
    <w:rsid w:val="00F36E53"/>
    <w:rsid w:val="00F4316C"/>
    <w:rsid w:val="00F46176"/>
    <w:rsid w:val="00F5149E"/>
    <w:rsid w:val="00F53F8F"/>
    <w:rsid w:val="00F56A74"/>
    <w:rsid w:val="00F57AD9"/>
    <w:rsid w:val="00F765C0"/>
    <w:rsid w:val="00F832E5"/>
    <w:rsid w:val="00F870A3"/>
    <w:rsid w:val="00F91762"/>
    <w:rsid w:val="00F9405B"/>
    <w:rsid w:val="00FA0FE2"/>
    <w:rsid w:val="00FA34E8"/>
    <w:rsid w:val="00FA7D4E"/>
    <w:rsid w:val="00FB3A0A"/>
    <w:rsid w:val="00FC1544"/>
    <w:rsid w:val="00FC1D5B"/>
    <w:rsid w:val="00FC76F7"/>
    <w:rsid w:val="00FD137F"/>
    <w:rsid w:val="00FD549D"/>
    <w:rsid w:val="00FD6374"/>
    <w:rsid w:val="00FF45E4"/>
    <w:rsid w:val="00FF5088"/>
    <w:rsid w:val="00FF760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A700337"/>
  <w15:chartTrackingRefBased/>
  <w15:docId w15:val="{7AD61604-94FE-4B9E-8B73-F7FDDE921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uiPriority w:val="39"/>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link w:val="CommentTextChar"/>
    <w:uiPriority w:val="99"/>
    <w:semiHidden/>
    <w:rsid w:val="002B0820"/>
    <w:rPr>
      <w:sz w:val="20"/>
      <w:szCs w:val="20"/>
    </w:rPr>
  </w:style>
  <w:style w:type="paragraph" w:styleId="CommentSubject">
    <w:name w:val="annotation subject"/>
    <w:basedOn w:val="CommentText"/>
    <w:next w:val="CommentText"/>
    <w:semiHidden/>
    <w:rsid w:val="002B0820"/>
    <w:rPr>
      <w:b/>
      <w:bCs/>
    </w:rPr>
  </w:style>
  <w:style w:type="character" w:customStyle="1" w:styleId="CommentTextChar">
    <w:name w:val="Comment Text Char"/>
    <w:link w:val="CommentText"/>
    <w:uiPriority w:val="99"/>
    <w:semiHidden/>
    <w:rsid w:val="007A0699"/>
    <w:rPr>
      <w:rFonts w:ascii="Courier" w:eastAsia="Times New Roman" w:hAnsi="Courier"/>
      <w:snapToGrid w:val="0"/>
    </w:rPr>
  </w:style>
  <w:style w:type="character" w:styleId="UnresolvedMention">
    <w:name w:val="Unresolved Mention"/>
    <w:basedOn w:val="DefaultParagraphFont"/>
    <w:uiPriority w:val="99"/>
    <w:semiHidden/>
    <w:unhideWhenUsed/>
    <w:rsid w:val="003018DF"/>
    <w:rPr>
      <w:color w:val="605E5C"/>
      <w:shd w:val="clear" w:color="auto" w:fill="E1DFDD"/>
    </w:rPr>
  </w:style>
  <w:style w:type="paragraph" w:styleId="Revision">
    <w:name w:val="Revision"/>
    <w:hidden/>
    <w:uiPriority w:val="99"/>
    <w:semiHidden/>
    <w:rsid w:val="00002A1B"/>
    <w:rPr>
      <w:rFonts w:ascii="Courier" w:eastAsia="Times New Roman" w:hAnsi="Courie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_nat.htm"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0CF9B-11DB-474D-8F6D-73C84A42E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5</Pages>
  <Words>1853</Words>
  <Characters>10145</Characters>
  <Application>Microsoft Office Word</Application>
  <DocSecurity>0</DocSecurity>
  <Lines>84</Lines>
  <Paragraphs>23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Title of Information Collection and Form Number(s)</vt:lpstr>
      <vt:lpstr/>
    </vt:vector>
  </TitlesOfParts>
  <Company>Social Security Administration</Company>
  <LinksUpToDate>false</LinksUpToDate>
  <CharactersWithSpaces>11975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SSA Response</cp:lastModifiedBy>
  <cp:revision>3</cp:revision>
  <dcterms:created xsi:type="dcterms:W3CDTF">2023-10-27T15:35:00Z</dcterms:created>
  <dcterms:modified xsi:type="dcterms:W3CDTF">2023-10-27T17:13:00Z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