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2672" w:rsidRPr="008813EA" w:rsidP="00E3212F" w14:paraId="37747E8B" w14:textId="05AD7FD5">
      <w:pPr>
        <w:pStyle w:val="ReportCover-Title"/>
        <w:spacing w:before="240"/>
        <w:jc w:val="center"/>
        <w:rPr>
          <w:rFonts w:ascii="Arial" w:hAnsi="Arial" w:cs="Arial"/>
          <w:color w:val="auto"/>
        </w:rPr>
      </w:pPr>
      <w:bookmarkStart w:id="0" w:name="_Hlk124493021"/>
      <w:bookmarkStart w:id="1" w:name="_Hlk124350307"/>
      <w:r>
        <w:rPr>
          <w:color w:val="auto"/>
        </w:rPr>
        <w:t xml:space="preserve">The </w:t>
      </w:r>
      <w:r w:rsidR="008D726B">
        <w:rPr>
          <w:color w:val="auto"/>
        </w:rPr>
        <w:t>Adulthood Preparation Subjects (APS</w:t>
      </w:r>
      <w:r w:rsidR="00D93B45">
        <w:rPr>
          <w:color w:val="auto"/>
        </w:rPr>
        <w:t>s</w:t>
      </w:r>
      <w:r w:rsidR="008D726B">
        <w:rPr>
          <w:color w:val="auto"/>
        </w:rPr>
        <w:t>)</w:t>
      </w:r>
      <w:r>
        <w:rPr>
          <w:color w:val="auto"/>
        </w:rPr>
        <w:t xml:space="preserve"> Study of Dosage and Cultural Relevance</w:t>
      </w:r>
      <w:r w:rsidR="008D726B">
        <w:rPr>
          <w:color w:val="auto"/>
        </w:rPr>
        <w:t xml:space="preserve"> </w:t>
      </w:r>
      <w:bookmarkEnd w:id="0"/>
    </w:p>
    <w:bookmarkEnd w:id="1"/>
    <w:p w:rsidR="009D2672" w:rsidRPr="008813EA" w14:paraId="0B276E45" w14:textId="77777777">
      <w:pPr>
        <w:pStyle w:val="ReportCover-Title"/>
        <w:rPr>
          <w:rFonts w:ascii="Arial" w:hAnsi="Arial" w:cs="Arial"/>
          <w:color w:val="auto"/>
        </w:rPr>
      </w:pPr>
    </w:p>
    <w:p w:rsidR="009D2672" w:rsidRPr="008813EA" w14:paraId="02BE0365" w14:textId="77777777">
      <w:pPr>
        <w:pStyle w:val="ReportCover-Title"/>
        <w:rPr>
          <w:rFonts w:ascii="Arial" w:hAnsi="Arial" w:cs="Arial"/>
          <w:color w:val="auto"/>
        </w:rPr>
      </w:pPr>
    </w:p>
    <w:p w:rsidR="009D2672" w:rsidRPr="008813EA" w14:paraId="4E94E141" w14:textId="145F144A">
      <w:pPr>
        <w:pStyle w:val="ReportCover-Title"/>
        <w:jc w:val="center"/>
        <w:rPr>
          <w:rFonts w:ascii="Arial" w:hAnsi="Arial" w:cs="Arial"/>
          <w:color w:val="auto"/>
          <w:sz w:val="32"/>
          <w:szCs w:val="32"/>
        </w:rPr>
      </w:pPr>
      <w:bookmarkStart w:id="2" w:name="_Hlk106017547"/>
      <w:r w:rsidRPr="008813EA">
        <w:rPr>
          <w:rFonts w:ascii="Arial" w:hAnsi="Arial" w:cs="Arial"/>
          <w:color w:val="auto"/>
          <w:sz w:val="32"/>
          <w:szCs w:val="32"/>
        </w:rPr>
        <w:t xml:space="preserve">Formative Data Collections for ACF </w:t>
      </w:r>
      <w:r w:rsidR="0038712D">
        <w:rPr>
          <w:rFonts w:ascii="Arial" w:hAnsi="Arial" w:cs="Arial"/>
          <w:color w:val="auto"/>
          <w:sz w:val="32"/>
          <w:szCs w:val="32"/>
        </w:rPr>
        <w:t>Program Support</w:t>
      </w:r>
    </w:p>
    <w:p w:rsidR="009D2672" w:rsidRPr="008813EA" w14:paraId="4834D506" w14:textId="47BAD6F5">
      <w:pPr>
        <w:pStyle w:val="ReportCover-Title"/>
        <w:jc w:val="center"/>
        <w:rPr>
          <w:rFonts w:ascii="Arial" w:hAnsi="Arial" w:cs="Arial"/>
          <w:color w:val="auto"/>
          <w:sz w:val="32"/>
          <w:szCs w:val="32"/>
        </w:rPr>
      </w:pPr>
      <w:r w:rsidRPr="008813EA">
        <w:rPr>
          <w:rFonts w:ascii="Arial" w:hAnsi="Arial" w:cs="Arial"/>
          <w:color w:val="auto"/>
          <w:sz w:val="32"/>
          <w:szCs w:val="32"/>
        </w:rPr>
        <w:t>0970 - 05</w:t>
      </w:r>
      <w:r w:rsidR="00077E16">
        <w:rPr>
          <w:rFonts w:ascii="Arial" w:hAnsi="Arial" w:cs="Arial"/>
          <w:color w:val="auto"/>
          <w:sz w:val="32"/>
          <w:szCs w:val="32"/>
        </w:rPr>
        <w:t>31</w:t>
      </w:r>
    </w:p>
    <w:p w:rsidR="009D2672" w:rsidRPr="008813EA" w14:paraId="2DDD1D80" w14:textId="77777777">
      <w:pPr>
        <w:pStyle w:val="ReportCover-Title"/>
        <w:jc w:val="center"/>
        <w:rPr>
          <w:rFonts w:ascii="Arial" w:hAnsi="Arial" w:cs="Arial"/>
          <w:color w:val="auto"/>
          <w:sz w:val="32"/>
          <w:szCs w:val="32"/>
        </w:rPr>
      </w:pPr>
    </w:p>
    <w:bookmarkEnd w:id="2"/>
    <w:p w:rsidR="009D2672" w:rsidRPr="008813EA" w14:paraId="16C17492" w14:textId="77777777">
      <w:pPr>
        <w:rPr>
          <w:rFonts w:ascii="Arial" w:hAnsi="Arial" w:cs="Arial"/>
        </w:rPr>
      </w:pPr>
    </w:p>
    <w:p w:rsidR="009D2672" w:rsidRPr="008813EA" w14:paraId="16A1B9F1" w14:textId="77777777">
      <w:pPr>
        <w:pStyle w:val="ReportCover-Date"/>
        <w:jc w:val="center"/>
        <w:rPr>
          <w:rFonts w:ascii="Arial" w:hAnsi="Arial" w:cs="Arial"/>
          <w:color w:val="auto"/>
        </w:rPr>
      </w:pPr>
    </w:p>
    <w:p w:rsidR="009D2672" w:rsidRPr="008813EA" w14:paraId="55670F2B" w14:textId="77777777">
      <w:pPr>
        <w:pStyle w:val="ReportCover-Date"/>
        <w:spacing w:after="360" w:line="240" w:lineRule="auto"/>
        <w:jc w:val="center"/>
        <w:rPr>
          <w:rFonts w:ascii="Arial" w:hAnsi="Arial" w:cs="Arial"/>
          <w:color w:val="auto"/>
          <w:sz w:val="48"/>
          <w:szCs w:val="48"/>
        </w:rPr>
      </w:pPr>
      <w:r w:rsidRPr="008813EA">
        <w:rPr>
          <w:rFonts w:ascii="Arial" w:hAnsi="Arial" w:cs="Arial"/>
          <w:color w:val="auto"/>
          <w:sz w:val="48"/>
          <w:szCs w:val="48"/>
        </w:rPr>
        <w:t>Supporting Statement</w:t>
      </w:r>
    </w:p>
    <w:p w:rsidR="009D2672" w:rsidRPr="008813EA" w14:paraId="6DBDBC6F" w14:textId="77777777">
      <w:pPr>
        <w:pStyle w:val="ReportCover-Date"/>
        <w:spacing w:after="360" w:line="240" w:lineRule="auto"/>
        <w:jc w:val="center"/>
        <w:rPr>
          <w:rFonts w:ascii="Arial" w:hAnsi="Arial" w:cs="Arial"/>
          <w:color w:val="auto"/>
          <w:sz w:val="48"/>
          <w:szCs w:val="48"/>
        </w:rPr>
      </w:pPr>
      <w:r w:rsidRPr="008813EA">
        <w:rPr>
          <w:rFonts w:ascii="Arial" w:hAnsi="Arial" w:cs="Arial"/>
          <w:color w:val="auto"/>
          <w:sz w:val="48"/>
          <w:szCs w:val="48"/>
        </w:rPr>
        <w:t>Part A</w:t>
      </w:r>
    </w:p>
    <w:p w:rsidR="009D2672" w:rsidRPr="008813EA" w14:paraId="22F2EA08" w14:textId="2B325AA2">
      <w:pPr>
        <w:pStyle w:val="ReportCover-Date"/>
        <w:jc w:val="center"/>
        <w:rPr>
          <w:rFonts w:ascii="Arial" w:hAnsi="Arial" w:cs="Arial"/>
          <w:color w:val="auto"/>
        </w:rPr>
      </w:pPr>
      <w:r>
        <w:rPr>
          <w:rFonts w:ascii="Arial" w:hAnsi="Arial" w:cs="Arial"/>
          <w:color w:val="auto"/>
        </w:rPr>
        <w:t>May</w:t>
      </w:r>
      <w:r w:rsidR="000F64BC">
        <w:rPr>
          <w:rFonts w:ascii="Arial" w:hAnsi="Arial" w:cs="Arial"/>
          <w:color w:val="auto"/>
        </w:rPr>
        <w:t xml:space="preserve"> </w:t>
      </w:r>
      <w:r w:rsidRPr="008813EA" w:rsidR="00C52A00">
        <w:rPr>
          <w:rFonts w:ascii="Arial" w:hAnsi="Arial" w:cs="Arial"/>
          <w:color w:val="auto"/>
        </w:rPr>
        <w:t>202</w:t>
      </w:r>
      <w:r w:rsidR="00D53935">
        <w:rPr>
          <w:rFonts w:ascii="Arial" w:hAnsi="Arial" w:cs="Arial"/>
          <w:color w:val="auto"/>
        </w:rPr>
        <w:t>3</w:t>
      </w:r>
    </w:p>
    <w:p w:rsidR="009D2672" w:rsidRPr="008813EA" w14:paraId="5C090A8C" w14:textId="77777777">
      <w:pPr>
        <w:spacing w:after="0" w:line="240" w:lineRule="auto"/>
        <w:jc w:val="center"/>
        <w:rPr>
          <w:rFonts w:ascii="Arial" w:hAnsi="Arial" w:cs="Arial"/>
        </w:rPr>
      </w:pPr>
    </w:p>
    <w:p w:rsidR="009D2672" w:rsidRPr="008813EA" w14:paraId="61E68E4D" w14:textId="77777777">
      <w:pPr>
        <w:spacing w:after="0" w:line="240" w:lineRule="auto"/>
        <w:jc w:val="center"/>
        <w:rPr>
          <w:rFonts w:ascii="Arial" w:hAnsi="Arial" w:cs="Arial"/>
        </w:rPr>
      </w:pPr>
      <w:r w:rsidRPr="008813EA">
        <w:rPr>
          <w:rFonts w:ascii="Arial" w:hAnsi="Arial" w:cs="Arial"/>
        </w:rPr>
        <w:t>Submitted By:</w:t>
      </w:r>
    </w:p>
    <w:p w:rsidR="009D2672" w:rsidRPr="008813EA" w14:paraId="64EDF9F6" w14:textId="77777777">
      <w:pPr>
        <w:spacing w:after="0" w:line="240" w:lineRule="auto"/>
        <w:jc w:val="center"/>
        <w:rPr>
          <w:rFonts w:ascii="Arial" w:hAnsi="Arial" w:cs="Arial"/>
        </w:rPr>
      </w:pPr>
      <w:r w:rsidRPr="008813EA">
        <w:rPr>
          <w:rFonts w:ascii="Arial" w:hAnsi="Arial" w:cs="Arial"/>
        </w:rPr>
        <w:t>Office of Planning, Research, and Evaluation</w:t>
      </w:r>
    </w:p>
    <w:p w:rsidR="009D2672" w:rsidRPr="008813EA" w14:paraId="189B31FA" w14:textId="77777777">
      <w:pPr>
        <w:spacing w:after="0" w:line="240" w:lineRule="auto"/>
        <w:jc w:val="center"/>
        <w:rPr>
          <w:rFonts w:ascii="Arial" w:hAnsi="Arial" w:cs="Arial"/>
        </w:rPr>
      </w:pPr>
      <w:r w:rsidRPr="008813EA">
        <w:rPr>
          <w:rFonts w:ascii="Arial" w:hAnsi="Arial" w:cs="Arial"/>
        </w:rPr>
        <w:t xml:space="preserve">Administration for Children and Families </w:t>
      </w:r>
    </w:p>
    <w:p w:rsidR="009D2672" w:rsidRPr="008813EA" w14:paraId="14D914F8" w14:textId="77777777">
      <w:pPr>
        <w:spacing w:after="0" w:line="240" w:lineRule="auto"/>
        <w:jc w:val="center"/>
        <w:rPr>
          <w:rFonts w:ascii="Arial" w:hAnsi="Arial" w:cs="Arial"/>
        </w:rPr>
      </w:pPr>
      <w:r w:rsidRPr="008813EA">
        <w:rPr>
          <w:rFonts w:ascii="Arial" w:hAnsi="Arial" w:cs="Arial"/>
        </w:rPr>
        <w:t>U.S. Department of Health and Human Services</w:t>
      </w:r>
    </w:p>
    <w:p w:rsidR="009D2672" w:rsidRPr="008813EA" w14:paraId="67063D11" w14:textId="77777777">
      <w:pPr>
        <w:spacing w:after="0" w:line="240" w:lineRule="auto"/>
        <w:jc w:val="center"/>
        <w:rPr>
          <w:rFonts w:ascii="Arial" w:hAnsi="Arial" w:cs="Arial"/>
        </w:rPr>
      </w:pPr>
    </w:p>
    <w:p w:rsidR="009D2672" w:rsidRPr="008813EA" w14:paraId="7561A03F" w14:textId="77777777">
      <w:pPr>
        <w:spacing w:after="0" w:line="240" w:lineRule="auto"/>
        <w:jc w:val="center"/>
        <w:rPr>
          <w:rFonts w:ascii="Arial" w:hAnsi="Arial" w:cs="Arial"/>
        </w:rPr>
      </w:pPr>
      <w:r w:rsidRPr="008813EA">
        <w:rPr>
          <w:rFonts w:ascii="Arial" w:hAnsi="Arial" w:cs="Arial"/>
        </w:rPr>
        <w:t>4</w:t>
      </w:r>
      <w:r w:rsidRPr="008813EA">
        <w:rPr>
          <w:rFonts w:ascii="Arial" w:hAnsi="Arial" w:cs="Arial"/>
          <w:vertAlign w:val="superscript"/>
        </w:rPr>
        <w:t>th</w:t>
      </w:r>
      <w:r w:rsidRPr="008813EA">
        <w:rPr>
          <w:rFonts w:ascii="Arial" w:hAnsi="Arial" w:cs="Arial"/>
        </w:rPr>
        <w:t xml:space="preserve"> Floor, Mary E. Switzer Building</w:t>
      </w:r>
    </w:p>
    <w:p w:rsidR="009D2672" w:rsidRPr="008813EA" w14:paraId="3D4D8061" w14:textId="77777777">
      <w:pPr>
        <w:spacing w:after="0" w:line="240" w:lineRule="auto"/>
        <w:jc w:val="center"/>
        <w:rPr>
          <w:rFonts w:ascii="Arial" w:hAnsi="Arial" w:cs="Arial"/>
        </w:rPr>
      </w:pPr>
      <w:r w:rsidRPr="008813EA">
        <w:rPr>
          <w:rFonts w:ascii="Arial" w:hAnsi="Arial" w:cs="Arial"/>
        </w:rPr>
        <w:t>330 C Street, SW</w:t>
      </w:r>
    </w:p>
    <w:p w:rsidR="009D2672" w:rsidRPr="008813EA" w14:paraId="6142EDDE" w14:textId="04CE8585">
      <w:pPr>
        <w:spacing w:after="0" w:line="240" w:lineRule="auto"/>
        <w:jc w:val="center"/>
        <w:rPr>
          <w:rFonts w:ascii="Arial" w:hAnsi="Arial" w:cs="Arial"/>
        </w:rPr>
      </w:pPr>
      <w:r w:rsidRPr="008813EA">
        <w:rPr>
          <w:rFonts w:ascii="Arial" w:hAnsi="Arial" w:cs="Arial"/>
        </w:rPr>
        <w:t>Washington, DC 20201</w:t>
      </w:r>
    </w:p>
    <w:p w:rsidR="009D2672" w:rsidRPr="008813EA" w14:paraId="5FAC3550" w14:textId="77777777">
      <w:pPr>
        <w:spacing w:after="0" w:line="240" w:lineRule="auto"/>
        <w:jc w:val="center"/>
        <w:rPr>
          <w:rFonts w:ascii="Arial" w:hAnsi="Arial" w:cs="Arial"/>
        </w:rPr>
      </w:pPr>
    </w:p>
    <w:p w:rsidR="009D2672" w:rsidRPr="008813EA" w14:paraId="6C862BD4" w14:textId="77777777">
      <w:pPr>
        <w:spacing w:after="0" w:line="240" w:lineRule="auto"/>
        <w:jc w:val="center"/>
        <w:rPr>
          <w:rFonts w:ascii="Arial" w:hAnsi="Arial" w:cs="Arial"/>
        </w:rPr>
      </w:pPr>
      <w:r w:rsidRPr="008813EA">
        <w:rPr>
          <w:rFonts w:ascii="Arial" w:hAnsi="Arial" w:cs="Arial"/>
        </w:rPr>
        <w:t>Project Officers:</w:t>
      </w:r>
    </w:p>
    <w:p w:rsidR="00DA24EE" w:rsidRPr="008813EA" w:rsidP="008D726B" w14:paraId="08D6CEF7" w14:textId="399D5917">
      <w:pPr>
        <w:spacing w:after="0" w:line="240" w:lineRule="auto"/>
        <w:jc w:val="center"/>
        <w:rPr>
          <w:rFonts w:ascii="Arial" w:hAnsi="Arial" w:cs="Arial"/>
        </w:rPr>
      </w:pPr>
      <w:bookmarkStart w:id="3" w:name="_Hlk105773286"/>
      <w:r>
        <w:rPr>
          <w:rFonts w:ascii="Arial" w:hAnsi="Arial" w:cs="Arial"/>
        </w:rPr>
        <w:t xml:space="preserve">Caryn Blitz </w:t>
      </w:r>
    </w:p>
    <w:p w:rsidR="00DA24EE" w:rsidP="00DA24EE" w14:paraId="33CE9812" w14:textId="646F97D4">
      <w:pPr>
        <w:spacing w:after="0" w:line="240" w:lineRule="auto"/>
        <w:jc w:val="center"/>
        <w:rPr>
          <w:rFonts w:ascii="Arial" w:hAnsi="Arial" w:cs="Arial"/>
        </w:rPr>
      </w:pPr>
      <w:r w:rsidRPr="008813EA">
        <w:rPr>
          <w:rFonts w:ascii="Arial" w:hAnsi="Arial" w:cs="Arial"/>
        </w:rPr>
        <w:t>Tia Brown</w:t>
      </w:r>
    </w:p>
    <w:bookmarkEnd w:id="3"/>
    <w:p w:rsidR="009D2672" w:rsidRPr="008813EA" w14:paraId="2C288120" w14:textId="77777777">
      <w:pPr>
        <w:spacing w:after="0" w:line="240" w:lineRule="auto"/>
        <w:jc w:val="center"/>
        <w:rPr>
          <w:b/>
        </w:rPr>
      </w:pPr>
    </w:p>
    <w:p w:rsidR="009D2672" w:rsidRPr="008813EA" w14:paraId="28EE6B63" w14:textId="77777777">
      <w:pPr>
        <w:spacing w:after="0" w:line="240" w:lineRule="auto"/>
        <w:jc w:val="center"/>
        <w:rPr>
          <w:b/>
        </w:rPr>
      </w:pPr>
    </w:p>
    <w:p w:rsidR="00B87B91" w14:paraId="70F4891F" w14:textId="655C49B0">
      <w:pPr>
        <w:spacing w:after="0" w:line="240" w:lineRule="auto"/>
        <w:jc w:val="center"/>
        <w:rPr>
          <w:b/>
          <w:sz w:val="32"/>
          <w:szCs w:val="32"/>
        </w:rPr>
      </w:pPr>
    </w:p>
    <w:p w:rsidR="00E3212F" w14:paraId="2083D4F5" w14:textId="77777777">
      <w:pPr>
        <w:spacing w:after="0" w:line="240" w:lineRule="auto"/>
        <w:jc w:val="center"/>
        <w:rPr>
          <w:b/>
          <w:sz w:val="32"/>
          <w:szCs w:val="32"/>
        </w:rPr>
      </w:pPr>
    </w:p>
    <w:p w:rsidR="00C64A6C" w:rsidRPr="008813EA" w14:paraId="07AB976F" w14:textId="77777777">
      <w:pPr>
        <w:spacing w:after="0" w:line="240" w:lineRule="auto"/>
        <w:jc w:val="center"/>
        <w:rPr>
          <w:b/>
          <w:sz w:val="32"/>
          <w:szCs w:val="32"/>
        </w:rPr>
      </w:pPr>
    </w:p>
    <w:p w:rsidR="009D2672" w:rsidRPr="008813EA" w14:paraId="1D07417A" w14:textId="0701F3D9">
      <w:pPr>
        <w:spacing w:after="0" w:line="240" w:lineRule="auto"/>
        <w:jc w:val="center"/>
        <w:rPr>
          <w:b/>
          <w:sz w:val="32"/>
          <w:szCs w:val="32"/>
        </w:rPr>
      </w:pPr>
      <w:r w:rsidRPr="008813EA">
        <w:rPr>
          <w:b/>
          <w:sz w:val="32"/>
          <w:szCs w:val="32"/>
        </w:rPr>
        <w:t>Part A</w:t>
      </w:r>
    </w:p>
    <w:p w:rsidR="009D2672" w:rsidRPr="008813EA" w14:paraId="7BFA464A" w14:textId="77777777">
      <w:pPr>
        <w:spacing w:after="0" w:line="240" w:lineRule="auto"/>
        <w:rPr>
          <w:b/>
          <w:u w:val="single"/>
        </w:rPr>
      </w:pPr>
    </w:p>
    <w:p w:rsidR="009D2672" w:rsidRPr="008813EA" w14:paraId="4B678DDA" w14:textId="77777777">
      <w:pPr>
        <w:spacing w:after="0" w:line="240" w:lineRule="auto"/>
        <w:rPr>
          <w:b/>
          <w:sz w:val="28"/>
        </w:rPr>
      </w:pPr>
      <w:r w:rsidRPr="008813EA">
        <w:rPr>
          <w:b/>
          <w:sz w:val="28"/>
          <w:u w:val="single"/>
        </w:rPr>
        <w:t>Executive Summary</w:t>
      </w:r>
    </w:p>
    <w:p w:rsidR="009D2672" w:rsidRPr="008813EA" w14:paraId="5EB9BF88" w14:textId="77777777">
      <w:pPr>
        <w:spacing w:after="0" w:line="240" w:lineRule="auto"/>
        <w:rPr>
          <w:b/>
        </w:rPr>
      </w:pPr>
    </w:p>
    <w:p w:rsidR="0042765B" w:rsidRPr="009F786B" w:rsidP="00BA4BDB" w14:paraId="40EFA505" w14:textId="3EA1E4AC">
      <w:pPr>
        <w:pStyle w:val="ListParagraph"/>
        <w:numPr>
          <w:ilvl w:val="0"/>
          <w:numId w:val="28"/>
        </w:numPr>
        <w:spacing w:after="0" w:line="240" w:lineRule="auto"/>
      </w:pPr>
      <w:r w:rsidRPr="008813EA">
        <w:rPr>
          <w:b/>
        </w:rPr>
        <w:t xml:space="preserve">Type of Request: </w:t>
      </w:r>
      <w:r w:rsidRPr="008813EA">
        <w:t xml:space="preserve">This Information Collection Request is for a generic information collection under the umbrella generic, </w:t>
      </w:r>
      <w:r w:rsidR="00F72524">
        <w:t>Program Support</w:t>
      </w:r>
      <w:r w:rsidRPr="008813EA">
        <w:t xml:space="preserve"> for ACF </w:t>
      </w:r>
      <w:r w:rsidRPr="009F786B">
        <w:t>Research (</w:t>
      </w:r>
      <w:r w:rsidR="009B6C15">
        <w:t>OMB #</w:t>
      </w:r>
      <w:r w:rsidRPr="009F786B">
        <w:t>0970-0</w:t>
      </w:r>
      <w:r w:rsidR="00077E16">
        <w:t>5</w:t>
      </w:r>
      <w:r w:rsidRPr="009F786B">
        <w:t>3</w:t>
      </w:r>
      <w:r w:rsidR="00077E16">
        <w:t>1</w:t>
      </w:r>
      <w:r w:rsidRPr="009F786B">
        <w:t>).</w:t>
      </w:r>
    </w:p>
    <w:p w:rsidR="00BA4BDB" w:rsidP="00BA4BDB" w14:paraId="16DD1782" w14:textId="77777777">
      <w:pPr>
        <w:pStyle w:val="ListParagraph"/>
        <w:spacing w:after="0" w:line="240" w:lineRule="auto"/>
      </w:pPr>
    </w:p>
    <w:p w:rsidR="0042765B" w:rsidRPr="0042765B" w:rsidP="006F4970" w14:paraId="07DD1EC6" w14:textId="41FAE8EC">
      <w:pPr>
        <w:pStyle w:val="ListParagraph"/>
        <w:numPr>
          <w:ilvl w:val="0"/>
          <w:numId w:val="28"/>
        </w:numPr>
        <w:spacing w:before="45" w:after="45" w:line="240" w:lineRule="auto"/>
        <w:rPr>
          <w:bCs/>
        </w:rPr>
      </w:pPr>
      <w:r w:rsidRPr="0042765B">
        <w:rPr>
          <w:b/>
        </w:rPr>
        <w:t xml:space="preserve">Description of Request: </w:t>
      </w:r>
      <w:r w:rsidRPr="0042765B">
        <w:rPr>
          <w:bCs/>
        </w:rPr>
        <w:t xml:space="preserve">The </w:t>
      </w:r>
      <w:r w:rsidR="00DF4226">
        <w:rPr>
          <w:bCs/>
        </w:rPr>
        <w:t>A</w:t>
      </w:r>
      <w:r w:rsidRPr="00DF4226" w:rsidR="00DF4226">
        <w:rPr>
          <w:rFonts w:cstheme="minorHAnsi"/>
        </w:rPr>
        <w:t>dulthood Preparation Subjects (APS</w:t>
      </w:r>
      <w:r w:rsidR="00D93B45">
        <w:rPr>
          <w:rFonts w:cstheme="minorHAnsi"/>
        </w:rPr>
        <w:t>s</w:t>
      </w:r>
      <w:r w:rsidRPr="00DF4226" w:rsidR="00DF4226">
        <w:rPr>
          <w:rFonts w:cstheme="minorHAnsi"/>
        </w:rPr>
        <w:t xml:space="preserve">) </w:t>
      </w:r>
      <w:r w:rsidR="00DF4226">
        <w:rPr>
          <w:rFonts w:cstheme="minorHAnsi"/>
        </w:rPr>
        <w:t xml:space="preserve">Study of Dosage and Cultural Relevance (APS Study) is </w:t>
      </w:r>
      <w:r w:rsidR="00421DFA">
        <w:rPr>
          <w:rFonts w:cstheme="minorHAnsi"/>
        </w:rPr>
        <w:t xml:space="preserve">a formative evaluation </w:t>
      </w:r>
      <w:r w:rsidR="00D51428">
        <w:rPr>
          <w:rFonts w:cstheme="minorHAnsi"/>
        </w:rPr>
        <w:t xml:space="preserve">to gather information from Personal Responsibility Education Program (PREP) grantees </w:t>
      </w:r>
      <w:r w:rsidR="00E94680">
        <w:rPr>
          <w:rFonts w:cstheme="minorHAnsi"/>
        </w:rPr>
        <w:t xml:space="preserve">on the APS topics </w:t>
      </w:r>
      <w:r w:rsidR="00D93B45">
        <w:rPr>
          <w:rFonts w:cstheme="minorHAnsi"/>
        </w:rPr>
        <w:t xml:space="preserve">and content </w:t>
      </w:r>
      <w:r w:rsidR="00E94680">
        <w:rPr>
          <w:rFonts w:cstheme="minorHAnsi"/>
        </w:rPr>
        <w:t xml:space="preserve">delivered as part of PREP programming. </w:t>
      </w:r>
      <w:r w:rsidR="00AD799B">
        <w:rPr>
          <w:bCs/>
        </w:rPr>
        <w:t xml:space="preserve">The Family and Youth Services Bureau (FYSB), who administers the PREP, is interested in a deeper understanding of how programs implement APS topics </w:t>
      </w:r>
      <w:r w:rsidR="00D93B45">
        <w:rPr>
          <w:bCs/>
        </w:rPr>
        <w:t xml:space="preserve">and content </w:t>
      </w:r>
      <w:r w:rsidR="00AD799B">
        <w:rPr>
          <w:bCs/>
        </w:rPr>
        <w:t>and the</w:t>
      </w:r>
      <w:r w:rsidR="00764938">
        <w:rPr>
          <w:bCs/>
        </w:rPr>
        <w:t>ir</w:t>
      </w:r>
      <w:r w:rsidR="00AD799B">
        <w:rPr>
          <w:bCs/>
        </w:rPr>
        <w:t xml:space="preserve"> relevanc</w:t>
      </w:r>
      <w:r w:rsidR="00764938">
        <w:rPr>
          <w:bCs/>
        </w:rPr>
        <w:t>e</w:t>
      </w:r>
      <w:r w:rsidR="00AD799B">
        <w:rPr>
          <w:bCs/>
        </w:rPr>
        <w:t xml:space="preserve"> for youth. </w:t>
      </w:r>
      <w:r w:rsidR="00E94680">
        <w:rPr>
          <w:rFonts w:cstheme="minorHAnsi"/>
        </w:rPr>
        <w:t xml:space="preserve">In particular, we seek to learn more about the dosage of </w:t>
      </w:r>
      <w:r w:rsidR="003C02E5">
        <w:rPr>
          <w:rFonts w:cstheme="minorHAnsi"/>
        </w:rPr>
        <w:t xml:space="preserve">the </w:t>
      </w:r>
      <w:r w:rsidR="00E94680">
        <w:rPr>
          <w:rFonts w:cstheme="minorHAnsi"/>
        </w:rPr>
        <w:t xml:space="preserve">APS </w:t>
      </w:r>
      <w:r w:rsidR="00D93B45">
        <w:rPr>
          <w:rFonts w:cstheme="minorHAnsi"/>
        </w:rPr>
        <w:t xml:space="preserve">topics and </w:t>
      </w:r>
      <w:r w:rsidR="003C02E5">
        <w:rPr>
          <w:rFonts w:cstheme="minorHAnsi"/>
        </w:rPr>
        <w:t xml:space="preserve">content </w:t>
      </w:r>
      <w:r w:rsidR="00E94680">
        <w:rPr>
          <w:rFonts w:cstheme="minorHAnsi"/>
        </w:rPr>
        <w:t xml:space="preserve">delivered to youth, whether the APS </w:t>
      </w:r>
      <w:r w:rsidR="003C02E5">
        <w:rPr>
          <w:rFonts w:cstheme="minorHAnsi"/>
        </w:rPr>
        <w:t>content</w:t>
      </w:r>
      <w:r w:rsidR="00E94680">
        <w:rPr>
          <w:rFonts w:cstheme="minorHAnsi"/>
        </w:rPr>
        <w:t xml:space="preserve"> meet</w:t>
      </w:r>
      <w:r w:rsidR="006C2FE7">
        <w:rPr>
          <w:rFonts w:cstheme="minorHAnsi"/>
        </w:rPr>
        <w:t>s</w:t>
      </w:r>
      <w:r w:rsidR="00E94680">
        <w:rPr>
          <w:rFonts w:cstheme="minorHAnsi"/>
        </w:rPr>
        <w:t xml:space="preserve"> youth</w:t>
      </w:r>
      <w:r w:rsidR="00764938">
        <w:rPr>
          <w:rFonts w:cstheme="minorHAnsi"/>
        </w:rPr>
        <w:t>s’ needs</w:t>
      </w:r>
      <w:r w:rsidR="00E94680">
        <w:rPr>
          <w:rFonts w:cstheme="minorHAnsi"/>
        </w:rPr>
        <w:t xml:space="preserve">, whether the topics </w:t>
      </w:r>
      <w:r w:rsidR="003C02E5">
        <w:rPr>
          <w:rFonts w:cstheme="minorHAnsi"/>
        </w:rPr>
        <w:t xml:space="preserve">and content </w:t>
      </w:r>
      <w:r w:rsidR="00E94680">
        <w:rPr>
          <w:rFonts w:cstheme="minorHAnsi"/>
        </w:rPr>
        <w:t>are culturally relevant</w:t>
      </w:r>
      <w:r w:rsidR="008415F3">
        <w:rPr>
          <w:rFonts w:cstheme="minorHAnsi"/>
        </w:rPr>
        <w:t xml:space="preserve"> to specific groups of youth</w:t>
      </w:r>
      <w:r w:rsidR="00E94680">
        <w:rPr>
          <w:rFonts w:cstheme="minorHAnsi"/>
        </w:rPr>
        <w:t xml:space="preserve">, and </w:t>
      </w:r>
      <w:r w:rsidR="00AD799B">
        <w:rPr>
          <w:rFonts w:cstheme="minorHAnsi"/>
        </w:rPr>
        <w:t xml:space="preserve">potential </w:t>
      </w:r>
      <w:r w:rsidR="00591722">
        <w:rPr>
          <w:rFonts w:cstheme="minorHAnsi"/>
        </w:rPr>
        <w:t>improvements</w:t>
      </w:r>
      <w:r w:rsidR="00D93B45">
        <w:rPr>
          <w:rFonts w:cstheme="minorHAnsi"/>
        </w:rPr>
        <w:t xml:space="preserve"> to the APSs</w:t>
      </w:r>
      <w:r w:rsidR="00AD799B">
        <w:rPr>
          <w:rFonts w:cstheme="minorHAnsi"/>
        </w:rPr>
        <w:t xml:space="preserve">. </w:t>
      </w:r>
      <w:r w:rsidR="00CB5C6C">
        <w:rPr>
          <w:rFonts w:cstheme="minorHAnsi"/>
        </w:rPr>
        <w:t>The proposed d</w:t>
      </w:r>
      <w:r w:rsidR="00AD799B">
        <w:rPr>
          <w:rFonts w:cstheme="minorHAnsi"/>
        </w:rPr>
        <w:t xml:space="preserve">ata collection will occur through </w:t>
      </w:r>
      <w:r w:rsidR="00D93B45">
        <w:rPr>
          <w:rFonts w:cstheme="minorHAnsi"/>
        </w:rPr>
        <w:t xml:space="preserve">up to </w:t>
      </w:r>
      <w:r w:rsidR="00AD799B">
        <w:rPr>
          <w:rFonts w:cstheme="minorHAnsi"/>
        </w:rPr>
        <w:t xml:space="preserve">20 </w:t>
      </w:r>
      <w:r w:rsidR="00AC2BA6">
        <w:rPr>
          <w:rFonts w:cstheme="minorHAnsi"/>
        </w:rPr>
        <w:t>tele</w:t>
      </w:r>
      <w:r w:rsidR="00AD799B">
        <w:rPr>
          <w:rFonts w:cstheme="minorHAnsi"/>
        </w:rPr>
        <w:t xml:space="preserve">phone interviews </w:t>
      </w:r>
      <w:r w:rsidR="00711C5B">
        <w:rPr>
          <w:rFonts w:cstheme="minorHAnsi"/>
        </w:rPr>
        <w:t xml:space="preserve">with </w:t>
      </w:r>
      <w:r w:rsidRPr="008532DE" w:rsidR="00491EAD">
        <w:rPr>
          <w:rFonts w:ascii="Calibri" w:eastAsia="Calibri" w:hAnsi="Calibri" w:cs="Times New Roman"/>
        </w:rPr>
        <w:t>grantees and providers</w:t>
      </w:r>
      <w:r w:rsidR="00491EAD">
        <w:rPr>
          <w:rFonts w:cstheme="minorHAnsi"/>
        </w:rPr>
        <w:t xml:space="preserve"> </w:t>
      </w:r>
      <w:r w:rsidR="00AD799B">
        <w:rPr>
          <w:rFonts w:cstheme="minorHAnsi"/>
        </w:rPr>
        <w:t xml:space="preserve">and </w:t>
      </w:r>
      <w:r w:rsidR="00591722">
        <w:rPr>
          <w:rFonts w:cstheme="minorHAnsi"/>
        </w:rPr>
        <w:t xml:space="preserve">one round of </w:t>
      </w:r>
      <w:r w:rsidR="00AD799B">
        <w:rPr>
          <w:rFonts w:cstheme="minorHAnsi"/>
        </w:rPr>
        <w:t>site visits to three grantees</w:t>
      </w:r>
      <w:r w:rsidR="00591722">
        <w:rPr>
          <w:rFonts w:cstheme="minorHAnsi"/>
        </w:rPr>
        <w:t>.</w:t>
      </w:r>
      <w:r w:rsidR="00AD799B">
        <w:rPr>
          <w:rFonts w:cstheme="minorHAnsi"/>
        </w:rPr>
        <w:t xml:space="preserve"> </w:t>
      </w:r>
      <w:r w:rsidR="00591722">
        <w:rPr>
          <w:rFonts w:cstheme="minorHAnsi"/>
        </w:rPr>
        <w:t xml:space="preserve">The site visits </w:t>
      </w:r>
      <w:r w:rsidR="00AD799B">
        <w:rPr>
          <w:rFonts w:cstheme="minorHAnsi"/>
        </w:rPr>
        <w:t xml:space="preserve">will include interviews with program </w:t>
      </w:r>
      <w:r w:rsidR="009E35B3">
        <w:rPr>
          <w:rFonts w:cstheme="minorHAnsi"/>
        </w:rPr>
        <w:t>leaders</w:t>
      </w:r>
      <w:r w:rsidR="00AD799B">
        <w:rPr>
          <w:rFonts w:cstheme="minorHAnsi"/>
        </w:rPr>
        <w:t xml:space="preserve"> and </w:t>
      </w:r>
      <w:r w:rsidR="009E35B3">
        <w:rPr>
          <w:rFonts w:cstheme="minorHAnsi"/>
        </w:rPr>
        <w:t>managers</w:t>
      </w:r>
      <w:r w:rsidR="00AD799B">
        <w:rPr>
          <w:rFonts w:cstheme="minorHAnsi"/>
        </w:rPr>
        <w:t xml:space="preserve">, interviews with </w:t>
      </w:r>
      <w:r w:rsidR="00D93B45">
        <w:rPr>
          <w:rFonts w:cstheme="minorHAnsi"/>
        </w:rPr>
        <w:t xml:space="preserve">program </w:t>
      </w:r>
      <w:r w:rsidR="00AD799B">
        <w:rPr>
          <w:rFonts w:cstheme="minorHAnsi"/>
        </w:rPr>
        <w:t xml:space="preserve">facilitators, </w:t>
      </w:r>
      <w:r w:rsidR="00591722">
        <w:rPr>
          <w:rFonts w:cstheme="minorHAnsi"/>
        </w:rPr>
        <w:t xml:space="preserve">and </w:t>
      </w:r>
      <w:r w:rsidR="00AD799B">
        <w:rPr>
          <w:rFonts w:cstheme="minorHAnsi"/>
        </w:rPr>
        <w:t xml:space="preserve">focus groups with community members </w:t>
      </w:r>
      <w:r w:rsidR="00887B61">
        <w:rPr>
          <w:rFonts w:cstheme="minorHAnsi"/>
        </w:rPr>
        <w:t>(</w:t>
      </w:r>
      <w:r w:rsidR="00AD799B">
        <w:rPr>
          <w:rFonts w:cstheme="minorHAnsi"/>
        </w:rPr>
        <w:t>including parents</w:t>
      </w:r>
      <w:r w:rsidR="00887B61">
        <w:rPr>
          <w:rFonts w:cstheme="minorHAnsi"/>
        </w:rPr>
        <w:t>)</w:t>
      </w:r>
      <w:r w:rsidR="00AD799B">
        <w:rPr>
          <w:rFonts w:cstheme="minorHAnsi"/>
        </w:rPr>
        <w:t xml:space="preserve"> and youth</w:t>
      </w:r>
      <w:r w:rsidR="00D93B45">
        <w:rPr>
          <w:rFonts w:cstheme="minorHAnsi"/>
        </w:rPr>
        <w:t xml:space="preserve"> participants in PREP programming</w:t>
      </w:r>
      <w:r w:rsidR="00AD799B">
        <w:rPr>
          <w:rFonts w:cstheme="minorHAnsi"/>
        </w:rPr>
        <w:t xml:space="preserve">. </w:t>
      </w:r>
    </w:p>
    <w:p w:rsidR="007C0137" w:rsidP="007C0137" w14:paraId="2BB54FD5" w14:textId="77777777">
      <w:pPr>
        <w:pStyle w:val="ListParagraph"/>
        <w:spacing w:before="45" w:after="45" w:line="240" w:lineRule="auto"/>
        <w:rPr>
          <w:b/>
        </w:rPr>
      </w:pPr>
    </w:p>
    <w:p w:rsidR="003346D0" w:rsidP="00A54C41" w14:paraId="6CABB342" w14:textId="1548A55B">
      <w:pPr>
        <w:pStyle w:val="ListParagraph"/>
        <w:spacing w:before="45" w:after="45" w:line="240" w:lineRule="auto"/>
      </w:pPr>
      <w:bookmarkStart w:id="4" w:name="_Hlk110438982"/>
      <w:r>
        <w:rPr>
          <w:rFonts w:cs="Calibri"/>
        </w:rPr>
        <w:t>Ultimately, the data</w:t>
      </w:r>
      <w:r w:rsidR="00AD799B">
        <w:rPr>
          <w:rFonts w:cs="Calibri"/>
        </w:rPr>
        <w:t xml:space="preserve"> </w:t>
      </w:r>
      <w:bookmarkStart w:id="5" w:name="_Hlk135406052"/>
      <w:r w:rsidR="00DA0CB8">
        <w:rPr>
          <w:rFonts w:cs="Calibri"/>
        </w:rPr>
        <w:t xml:space="preserve">gathered </w:t>
      </w:r>
      <w:r>
        <w:rPr>
          <w:rFonts w:cs="Calibri"/>
        </w:rPr>
        <w:t xml:space="preserve">will </w:t>
      </w:r>
      <w:r w:rsidRPr="008813EA" w:rsidR="00C13B73">
        <w:rPr>
          <w:rFonts w:cs="Calibri"/>
        </w:rPr>
        <w:t>inform</w:t>
      </w:r>
      <w:r>
        <w:rPr>
          <w:rFonts w:cs="Calibri"/>
        </w:rPr>
        <w:t xml:space="preserve"> </w:t>
      </w:r>
      <w:bookmarkEnd w:id="4"/>
      <w:r w:rsidRPr="008813EA" w:rsidR="00C52A00">
        <w:rPr>
          <w:rFonts w:cs="Calibri"/>
        </w:rPr>
        <w:t>technical assistance</w:t>
      </w:r>
      <w:r w:rsidRPr="008813EA" w:rsidR="00AD0449">
        <w:rPr>
          <w:rFonts w:cs="Calibri"/>
        </w:rPr>
        <w:t xml:space="preserve"> planning and resources</w:t>
      </w:r>
      <w:r w:rsidR="00DF4226">
        <w:rPr>
          <w:rFonts w:cs="Calibri"/>
        </w:rPr>
        <w:t xml:space="preserve"> for PREP grantees related to the design and </w:t>
      </w:r>
      <w:r w:rsidR="00AD799B">
        <w:rPr>
          <w:rFonts w:cs="Calibri"/>
        </w:rPr>
        <w:t xml:space="preserve">delivery </w:t>
      </w:r>
      <w:r w:rsidR="00DF4226">
        <w:rPr>
          <w:rFonts w:cs="Calibri"/>
        </w:rPr>
        <w:t>of</w:t>
      </w:r>
      <w:r w:rsidR="00CB5C6C">
        <w:rPr>
          <w:rFonts w:cs="Calibri"/>
        </w:rPr>
        <w:t xml:space="preserve"> </w:t>
      </w:r>
      <w:r w:rsidR="00DF4226">
        <w:rPr>
          <w:rFonts w:cs="Calibri"/>
        </w:rPr>
        <w:t xml:space="preserve">APS </w:t>
      </w:r>
      <w:r w:rsidR="00C92DA7">
        <w:rPr>
          <w:rFonts w:cs="Calibri"/>
        </w:rPr>
        <w:t xml:space="preserve">topics and content </w:t>
      </w:r>
      <w:r w:rsidR="00DF4226">
        <w:rPr>
          <w:rFonts w:cs="Calibri"/>
        </w:rPr>
        <w:t>within their programs</w:t>
      </w:r>
      <w:bookmarkEnd w:id="5"/>
      <w:r w:rsidR="00EF7159">
        <w:rPr>
          <w:rFonts w:cs="Calibri"/>
        </w:rPr>
        <w:t xml:space="preserve">. The data may also inform future learning agendas and research plans. </w:t>
      </w:r>
      <w:r w:rsidR="00C64A6C">
        <w:rPr>
          <w:rFonts w:cs="Calibri"/>
        </w:rPr>
        <w:t>We do not intend for t</w:t>
      </w:r>
      <w:r>
        <w:rPr>
          <w:bCs/>
        </w:rPr>
        <w:t xml:space="preserve">he data </w:t>
      </w:r>
      <w:r w:rsidR="00DA0CB8">
        <w:rPr>
          <w:bCs/>
        </w:rPr>
        <w:t xml:space="preserve">gathered </w:t>
      </w:r>
      <w:r>
        <w:rPr>
          <w:bCs/>
        </w:rPr>
        <w:t xml:space="preserve">for </w:t>
      </w:r>
      <w:r w:rsidR="00CB5C6C">
        <w:rPr>
          <w:bCs/>
        </w:rPr>
        <w:t xml:space="preserve">this </w:t>
      </w:r>
      <w:r>
        <w:rPr>
          <w:bCs/>
        </w:rPr>
        <w:t xml:space="preserve">study to be generalized to a broader population. </w:t>
      </w:r>
      <w:r w:rsidRPr="001051B4" w:rsidR="00C52A00">
        <w:t xml:space="preserve">We </w:t>
      </w:r>
      <w:r w:rsidRPr="001051B4" w:rsidR="00C64A6C">
        <w:t xml:space="preserve">also </w:t>
      </w:r>
      <w:r w:rsidRPr="001051B4" w:rsidR="00C52A00">
        <w:t>do not intend for this information to be used as the principal basis for public policy decisions.</w:t>
      </w:r>
    </w:p>
    <w:p w:rsidR="00CB5C6C" w:rsidRPr="0083305A" w:rsidP="00A54C41" w14:paraId="2E68F43B" w14:textId="77777777">
      <w:pPr>
        <w:pStyle w:val="ListParagraph"/>
        <w:spacing w:before="45" w:after="45" w:line="240" w:lineRule="auto"/>
        <w:rPr>
          <w:color w:val="C00000"/>
        </w:rPr>
      </w:pPr>
    </w:p>
    <w:p w:rsidR="003346D0" w:rsidRPr="008813EA" w:rsidP="00815373" w14:paraId="442B57AD" w14:textId="38C5FA81">
      <w:pPr>
        <w:pStyle w:val="ListParagraph"/>
        <w:numPr>
          <w:ilvl w:val="0"/>
          <w:numId w:val="28"/>
        </w:numPr>
        <w:spacing w:before="45" w:after="45" w:line="240" w:lineRule="auto"/>
        <w:contextualSpacing w:val="0"/>
      </w:pPr>
      <w:r w:rsidRPr="00DF4226">
        <w:rPr>
          <w:b/>
        </w:rPr>
        <w:t xml:space="preserve">Timing: </w:t>
      </w:r>
      <w:r w:rsidRPr="00DF4226">
        <w:rPr>
          <w:bCs/>
        </w:rPr>
        <w:t xml:space="preserve">The goal is to </w:t>
      </w:r>
      <w:r w:rsidR="00DA0CB8">
        <w:rPr>
          <w:bCs/>
        </w:rPr>
        <w:t>gather</w:t>
      </w:r>
      <w:r w:rsidRPr="00DF4226" w:rsidR="00DA0CB8">
        <w:rPr>
          <w:bCs/>
        </w:rPr>
        <w:t xml:space="preserve"> </w:t>
      </w:r>
      <w:r w:rsidRPr="00DF4226">
        <w:rPr>
          <w:bCs/>
        </w:rPr>
        <w:t xml:space="preserve">information </w:t>
      </w:r>
      <w:r w:rsidRPr="00DF4226" w:rsidR="00DF4226">
        <w:rPr>
          <w:bCs/>
        </w:rPr>
        <w:t xml:space="preserve">beginning </w:t>
      </w:r>
      <w:r w:rsidR="00491EAD">
        <w:rPr>
          <w:bCs/>
        </w:rPr>
        <w:t>in</w:t>
      </w:r>
      <w:r w:rsidRPr="00DF4226" w:rsidR="00DF4226">
        <w:rPr>
          <w:bCs/>
        </w:rPr>
        <w:t xml:space="preserve"> </w:t>
      </w:r>
      <w:r w:rsidR="00F72524">
        <w:rPr>
          <w:bCs/>
        </w:rPr>
        <w:t xml:space="preserve">late </w:t>
      </w:r>
      <w:r w:rsidR="00FE0881">
        <w:rPr>
          <w:bCs/>
        </w:rPr>
        <w:t>June</w:t>
      </w:r>
      <w:r w:rsidRPr="00DF4226" w:rsidR="00FE0881">
        <w:rPr>
          <w:bCs/>
        </w:rPr>
        <w:t xml:space="preserve"> </w:t>
      </w:r>
      <w:r w:rsidRPr="00DF4226" w:rsidR="00DF4226">
        <w:rPr>
          <w:bCs/>
        </w:rPr>
        <w:t xml:space="preserve">2023. </w:t>
      </w:r>
    </w:p>
    <w:p w:rsidR="009D2672" w:rsidRPr="008813EA" w:rsidP="00757263" w14:paraId="26F16EBA" w14:textId="28E21A0B">
      <w:pPr>
        <w:spacing w:after="120"/>
      </w:pPr>
      <w:r w:rsidRPr="008813EA">
        <w:br w:type="page"/>
      </w:r>
      <w:r w:rsidRPr="008813EA">
        <w:rPr>
          <w:b/>
        </w:rPr>
        <w:t>A1</w:t>
      </w:r>
      <w:r w:rsidRPr="008813EA">
        <w:t>.</w:t>
      </w:r>
      <w:r w:rsidRPr="008813EA">
        <w:tab/>
      </w:r>
      <w:r w:rsidRPr="00964EF3">
        <w:rPr>
          <w:b/>
        </w:rPr>
        <w:t>Necessity for Collection</w:t>
      </w:r>
      <w:r w:rsidRPr="008813EA">
        <w:t xml:space="preserve"> </w:t>
      </w:r>
    </w:p>
    <w:p w:rsidR="009D2672" w:rsidP="00757263" w14:paraId="17318BF9" w14:textId="0E124D8B">
      <w:pPr>
        <w:spacing w:after="120" w:line="240" w:lineRule="auto"/>
        <w:rPr>
          <w:i/>
        </w:rPr>
      </w:pPr>
      <w:r w:rsidRPr="008813EA">
        <w:rPr>
          <w:i/>
        </w:rPr>
        <w:t>Study Background</w:t>
      </w:r>
    </w:p>
    <w:p w:rsidR="00AB1B16" w:rsidP="00704043" w14:paraId="69BDA161" w14:textId="15F445C5">
      <w:pPr>
        <w:spacing w:after="0"/>
        <w:rPr>
          <w:rFonts w:ascii="Calibri" w:eastAsia="Calibri" w:hAnsi="Calibri" w:cs="Times New Roman"/>
        </w:rPr>
      </w:pPr>
      <w:r w:rsidRPr="00E87228">
        <w:rPr>
          <w:rFonts w:ascii="Calibri" w:eastAsia="Calibri" w:hAnsi="Calibri" w:cs="Times New Roman"/>
        </w:rPr>
        <w:t xml:space="preserve">The Administration for Children and Families (ACF) at the U.S. Department of Health and Human Services (HHS) oversees the Personal Responsibility Education Program (PREP), which comprises </w:t>
      </w:r>
      <w:r w:rsidR="00BE14F8">
        <w:rPr>
          <w:rFonts w:ascii="Calibri" w:eastAsia="Calibri" w:hAnsi="Calibri" w:cs="Times New Roman"/>
        </w:rPr>
        <w:t>numerous</w:t>
      </w:r>
      <w:r>
        <w:rPr>
          <w:rFonts w:ascii="Calibri" w:eastAsia="Calibri" w:hAnsi="Calibri" w:cs="Times New Roman"/>
        </w:rPr>
        <w:t xml:space="preserve"> adolescent </w:t>
      </w:r>
      <w:r w:rsidRPr="00E87228">
        <w:rPr>
          <w:rFonts w:ascii="Calibri" w:eastAsia="Calibri" w:hAnsi="Calibri" w:cs="Times New Roman"/>
        </w:rPr>
        <w:t xml:space="preserve">pregnancy prevention programs. ACF’s Family and Youth Services Bureau (FYSB) administers </w:t>
      </w:r>
      <w:r w:rsidR="00C92DA7">
        <w:rPr>
          <w:rFonts w:ascii="Calibri" w:eastAsia="Calibri" w:hAnsi="Calibri" w:cs="Times New Roman"/>
        </w:rPr>
        <w:t xml:space="preserve">the </w:t>
      </w:r>
      <w:r w:rsidRPr="00E87228">
        <w:rPr>
          <w:rFonts w:ascii="Calibri" w:eastAsia="Calibri" w:hAnsi="Calibri" w:cs="Times New Roman"/>
        </w:rPr>
        <w:t xml:space="preserve">PREP, and ACF’s Office of Planning, Research, and Evaluation (OPRE) collaborates with FYSB to conduct </w:t>
      </w:r>
      <w:r w:rsidRPr="00E87228" w:rsidR="00C92DA7">
        <w:rPr>
          <w:rFonts w:ascii="Calibri" w:eastAsia="Calibri" w:hAnsi="Calibri" w:cs="Times New Roman"/>
        </w:rPr>
        <w:t xml:space="preserve">research and evaluation </w:t>
      </w:r>
      <w:r w:rsidR="00C92DA7">
        <w:rPr>
          <w:rFonts w:ascii="Calibri" w:eastAsia="Calibri" w:hAnsi="Calibri" w:cs="Times New Roman"/>
        </w:rPr>
        <w:t xml:space="preserve">related to </w:t>
      </w:r>
      <w:r w:rsidRPr="00E87228">
        <w:rPr>
          <w:rFonts w:ascii="Calibri" w:eastAsia="Calibri" w:hAnsi="Calibri" w:cs="Times New Roman"/>
        </w:rPr>
        <w:t xml:space="preserve">PREP. To support PREP programming, ACF funded </w:t>
      </w:r>
      <w:r>
        <w:rPr>
          <w:rFonts w:ascii="Calibri" w:eastAsia="Calibri" w:hAnsi="Calibri" w:cs="Times New Roman"/>
        </w:rPr>
        <w:t xml:space="preserve">the </w:t>
      </w:r>
      <w:r w:rsidR="000F64BC">
        <w:rPr>
          <w:rFonts w:ascii="Calibri" w:eastAsia="Calibri" w:hAnsi="Calibri" w:cs="Times New Roman"/>
        </w:rPr>
        <w:t xml:space="preserve">PREP </w:t>
      </w:r>
      <w:r>
        <w:rPr>
          <w:rFonts w:ascii="Calibri" w:eastAsia="Calibri" w:hAnsi="Calibri" w:cs="Times New Roman"/>
        </w:rPr>
        <w:t>Studies of Performance Measures and Adulthood Preparation Subjects (PMAPS) in June 2016</w:t>
      </w:r>
      <w:r w:rsidR="00704043">
        <w:rPr>
          <w:rFonts w:ascii="Calibri" w:eastAsia="Calibri" w:hAnsi="Calibri" w:cs="Times New Roman"/>
        </w:rPr>
        <w:t xml:space="preserve"> (OMB #0970-0497)</w:t>
      </w:r>
      <w:r>
        <w:rPr>
          <w:rFonts w:ascii="Calibri" w:eastAsia="Calibri" w:hAnsi="Calibri" w:cs="Times New Roman"/>
        </w:rPr>
        <w:t xml:space="preserve">. PMAPS included </w:t>
      </w:r>
      <w:r w:rsidR="00E144EB">
        <w:rPr>
          <w:rFonts w:ascii="Calibri" w:eastAsia="Calibri" w:hAnsi="Calibri" w:cs="Times New Roman"/>
        </w:rPr>
        <w:t xml:space="preserve">activities </w:t>
      </w:r>
      <w:r>
        <w:rPr>
          <w:rFonts w:ascii="Calibri" w:eastAsia="Calibri" w:hAnsi="Calibri" w:cs="Times New Roman"/>
        </w:rPr>
        <w:t xml:space="preserve">related to the refinement, </w:t>
      </w:r>
      <w:r w:rsidR="00355D91">
        <w:rPr>
          <w:rFonts w:ascii="Calibri" w:eastAsia="Calibri" w:hAnsi="Calibri" w:cs="Times New Roman"/>
        </w:rPr>
        <w:t xml:space="preserve">support for data </w:t>
      </w:r>
      <w:r>
        <w:rPr>
          <w:rFonts w:ascii="Calibri" w:eastAsia="Calibri" w:hAnsi="Calibri" w:cs="Times New Roman"/>
        </w:rPr>
        <w:t>collection</w:t>
      </w:r>
      <w:r w:rsidR="00355D91">
        <w:rPr>
          <w:rFonts w:ascii="Calibri" w:eastAsia="Calibri" w:hAnsi="Calibri" w:cs="Times New Roman"/>
        </w:rPr>
        <w:t xml:space="preserve"> and submission</w:t>
      </w:r>
      <w:r>
        <w:rPr>
          <w:rFonts w:ascii="Calibri" w:eastAsia="Calibri" w:hAnsi="Calibri" w:cs="Times New Roman"/>
        </w:rPr>
        <w:t>, analysis</w:t>
      </w:r>
      <w:r w:rsidR="00355D91">
        <w:rPr>
          <w:rFonts w:ascii="Calibri" w:eastAsia="Calibri" w:hAnsi="Calibri" w:cs="Times New Roman"/>
        </w:rPr>
        <w:t>, and reporting</w:t>
      </w:r>
      <w:r>
        <w:rPr>
          <w:rFonts w:ascii="Calibri" w:eastAsia="Calibri" w:hAnsi="Calibri" w:cs="Times New Roman"/>
        </w:rPr>
        <w:t xml:space="preserve"> of the PREP performance measures, as well as the development of conceptual models for PREP’s </w:t>
      </w:r>
      <w:r w:rsidR="00072A35">
        <w:rPr>
          <w:rFonts w:ascii="Calibri" w:eastAsia="Calibri" w:hAnsi="Calibri" w:cs="Times New Roman"/>
        </w:rPr>
        <w:t>A</w:t>
      </w:r>
      <w:r>
        <w:rPr>
          <w:rFonts w:ascii="Calibri" w:eastAsia="Calibri" w:hAnsi="Calibri" w:cs="Times New Roman"/>
        </w:rPr>
        <w:t xml:space="preserve">dulthood </w:t>
      </w:r>
      <w:r w:rsidR="00072A35">
        <w:rPr>
          <w:rFonts w:ascii="Calibri" w:eastAsia="Calibri" w:hAnsi="Calibri" w:cs="Times New Roman"/>
        </w:rPr>
        <w:t>P</w:t>
      </w:r>
      <w:r>
        <w:rPr>
          <w:rFonts w:ascii="Calibri" w:eastAsia="Calibri" w:hAnsi="Calibri" w:cs="Times New Roman"/>
        </w:rPr>
        <w:t xml:space="preserve">reparation </w:t>
      </w:r>
      <w:r w:rsidR="00072A35">
        <w:rPr>
          <w:rFonts w:ascii="Calibri" w:eastAsia="Calibri" w:hAnsi="Calibri" w:cs="Times New Roman"/>
        </w:rPr>
        <w:t>S</w:t>
      </w:r>
      <w:r>
        <w:rPr>
          <w:rFonts w:ascii="Calibri" w:eastAsia="Calibri" w:hAnsi="Calibri" w:cs="Times New Roman"/>
        </w:rPr>
        <w:t>ubjects (APS</w:t>
      </w:r>
      <w:r w:rsidR="006B4603">
        <w:rPr>
          <w:rFonts w:ascii="Calibri" w:eastAsia="Calibri" w:hAnsi="Calibri" w:cs="Times New Roman"/>
        </w:rPr>
        <w:t>s</w:t>
      </w:r>
      <w:r>
        <w:rPr>
          <w:rFonts w:ascii="Calibri" w:eastAsia="Calibri" w:hAnsi="Calibri" w:cs="Times New Roman"/>
        </w:rPr>
        <w:t xml:space="preserve">). </w:t>
      </w:r>
      <w:r w:rsidR="00777853">
        <w:rPr>
          <w:bCs/>
        </w:rPr>
        <w:t>PREP grantees are required to address at least three of the six APS</w:t>
      </w:r>
      <w:r w:rsidR="006B4603">
        <w:rPr>
          <w:bCs/>
        </w:rPr>
        <w:t>s</w:t>
      </w:r>
      <w:r w:rsidR="00777853">
        <w:rPr>
          <w:bCs/>
        </w:rPr>
        <w:t xml:space="preserve">: healthy relationships, healthy life skills, adolescent development, parent-child communication, educational and career success, and financial literacy. </w:t>
      </w:r>
      <w:r w:rsidR="004443CD">
        <w:rPr>
          <w:rFonts w:ascii="Calibri" w:eastAsia="Calibri" w:hAnsi="Calibri" w:cs="Times New Roman"/>
        </w:rPr>
        <w:t xml:space="preserve">For each APS, there are a set of topics that grantees </w:t>
      </w:r>
      <w:r w:rsidR="00D93B45">
        <w:rPr>
          <w:rFonts w:ascii="Calibri" w:eastAsia="Calibri" w:hAnsi="Calibri" w:cs="Times New Roman"/>
        </w:rPr>
        <w:t>address</w:t>
      </w:r>
      <w:r w:rsidR="004443CD">
        <w:rPr>
          <w:rFonts w:ascii="Calibri" w:eastAsia="Calibri" w:hAnsi="Calibri" w:cs="Times New Roman"/>
        </w:rPr>
        <w:t xml:space="preserve"> as part of the APS. For instance, for the APS on healthy life skills, grantees may cover topics such as cognitive skills, emotional coping skills, social skills, and physical and sexual health skills. The grantees can select </w:t>
      </w:r>
      <w:r w:rsidR="00072A35">
        <w:rPr>
          <w:rFonts w:ascii="Calibri" w:eastAsia="Calibri" w:hAnsi="Calibri" w:cs="Times New Roman"/>
        </w:rPr>
        <w:t>the</w:t>
      </w:r>
      <w:r w:rsidR="004443CD">
        <w:rPr>
          <w:rFonts w:ascii="Calibri" w:eastAsia="Calibri" w:hAnsi="Calibri" w:cs="Times New Roman"/>
        </w:rPr>
        <w:t xml:space="preserve"> content (such as materials, activities, or curricul</w:t>
      </w:r>
      <w:r w:rsidR="00355D91">
        <w:rPr>
          <w:rFonts w:ascii="Calibri" w:eastAsia="Calibri" w:hAnsi="Calibri" w:cs="Times New Roman"/>
        </w:rPr>
        <w:t>a</w:t>
      </w:r>
      <w:r w:rsidR="004443CD">
        <w:rPr>
          <w:rFonts w:ascii="Calibri" w:eastAsia="Calibri" w:hAnsi="Calibri" w:cs="Times New Roman"/>
        </w:rPr>
        <w:t xml:space="preserve">) </w:t>
      </w:r>
      <w:r w:rsidR="00A86290">
        <w:rPr>
          <w:rFonts w:ascii="Calibri" w:eastAsia="Calibri" w:hAnsi="Calibri" w:cs="Times New Roman"/>
        </w:rPr>
        <w:t>to</w:t>
      </w:r>
      <w:r w:rsidR="004443CD">
        <w:rPr>
          <w:rFonts w:ascii="Calibri" w:eastAsia="Calibri" w:hAnsi="Calibri" w:cs="Times New Roman"/>
        </w:rPr>
        <w:t xml:space="preserve"> address the </w:t>
      </w:r>
      <w:r w:rsidR="00A86290">
        <w:rPr>
          <w:rFonts w:ascii="Calibri" w:eastAsia="Calibri" w:hAnsi="Calibri" w:cs="Times New Roman"/>
        </w:rPr>
        <w:t xml:space="preserve">APS </w:t>
      </w:r>
      <w:r w:rsidR="004443CD">
        <w:rPr>
          <w:rFonts w:ascii="Calibri" w:eastAsia="Calibri" w:hAnsi="Calibri" w:cs="Times New Roman"/>
        </w:rPr>
        <w:t xml:space="preserve">topics. </w:t>
      </w:r>
      <w:r>
        <w:rPr>
          <w:rFonts w:ascii="Calibri" w:eastAsia="Calibri" w:hAnsi="Calibri" w:cs="Times New Roman"/>
        </w:rPr>
        <w:t xml:space="preserve">In September 2021, ACF funded PMAPS 2.0 to continue to support </w:t>
      </w:r>
      <w:r w:rsidR="00355D91">
        <w:rPr>
          <w:rFonts w:ascii="Calibri" w:eastAsia="Calibri" w:hAnsi="Calibri" w:cs="Times New Roman"/>
        </w:rPr>
        <w:t xml:space="preserve">PREP </w:t>
      </w:r>
      <w:r w:rsidR="00C92DA7">
        <w:rPr>
          <w:rFonts w:ascii="Calibri" w:eastAsia="Calibri" w:hAnsi="Calibri" w:cs="Times New Roman"/>
        </w:rPr>
        <w:t>performance measures data collection</w:t>
      </w:r>
      <w:r w:rsidR="00355D91">
        <w:rPr>
          <w:rFonts w:ascii="Calibri" w:eastAsia="Calibri" w:hAnsi="Calibri" w:cs="Times New Roman"/>
        </w:rPr>
        <w:t xml:space="preserve"> and submission</w:t>
      </w:r>
      <w:r w:rsidR="00C92DA7">
        <w:rPr>
          <w:rFonts w:ascii="Calibri" w:eastAsia="Calibri" w:hAnsi="Calibri" w:cs="Times New Roman"/>
        </w:rPr>
        <w:t xml:space="preserve">, analysis, and reporting </w:t>
      </w:r>
      <w:r w:rsidR="00355D91">
        <w:rPr>
          <w:rFonts w:ascii="Calibri" w:eastAsia="Calibri" w:hAnsi="Calibri" w:cs="Times New Roman"/>
        </w:rPr>
        <w:t>and</w:t>
      </w:r>
      <w:r w:rsidR="00C92DA7">
        <w:rPr>
          <w:rFonts w:ascii="Calibri" w:eastAsia="Calibri" w:hAnsi="Calibri" w:cs="Times New Roman"/>
        </w:rPr>
        <w:t xml:space="preserve"> </w:t>
      </w:r>
      <w:r w:rsidR="00D93B45">
        <w:rPr>
          <w:rFonts w:ascii="Calibri" w:eastAsia="Calibri" w:hAnsi="Calibri" w:cs="Times New Roman"/>
        </w:rPr>
        <w:t xml:space="preserve">this </w:t>
      </w:r>
      <w:r>
        <w:rPr>
          <w:rFonts w:ascii="Calibri" w:eastAsia="Calibri" w:hAnsi="Calibri" w:cs="Times New Roman"/>
        </w:rPr>
        <w:t>study to examine the dosage and cultural relevance of the APS</w:t>
      </w:r>
      <w:r w:rsidR="006B4603">
        <w:rPr>
          <w:rFonts w:ascii="Calibri" w:eastAsia="Calibri" w:hAnsi="Calibri" w:cs="Times New Roman"/>
        </w:rPr>
        <w:t>s</w:t>
      </w:r>
      <w:r>
        <w:rPr>
          <w:rFonts w:ascii="Calibri" w:eastAsia="Calibri" w:hAnsi="Calibri" w:cs="Times New Roman"/>
        </w:rPr>
        <w:t xml:space="preserve"> topics.</w:t>
      </w:r>
    </w:p>
    <w:p w:rsidR="00704043" w:rsidP="00F72524" w14:paraId="4F61FA9D" w14:textId="77777777">
      <w:pPr>
        <w:spacing w:after="0"/>
        <w:rPr>
          <w:rFonts w:ascii="Calibri" w:eastAsia="Calibri" w:hAnsi="Calibri" w:cs="Times New Roman"/>
        </w:rPr>
      </w:pPr>
    </w:p>
    <w:p w:rsidR="00AB1B16" w:rsidP="00704043" w14:paraId="29DCAC49" w14:textId="0363E2F2">
      <w:pPr>
        <w:spacing w:after="0"/>
      </w:pPr>
      <w:r>
        <w:rPr>
          <w:rFonts w:cs="Calibri"/>
        </w:rPr>
        <w:t>This</w:t>
      </w:r>
      <w:r w:rsidR="00704043">
        <w:rPr>
          <w:rFonts w:cs="Calibri"/>
        </w:rPr>
        <w:t xml:space="preserve"> formative data collection aims to gather feedback on</w:t>
      </w:r>
      <w:r w:rsidR="00355D91">
        <w:rPr>
          <w:rFonts w:cs="Calibri"/>
        </w:rPr>
        <w:t xml:space="preserve"> the dosage and cultural relevance of the APS</w:t>
      </w:r>
      <w:r w:rsidR="005238FE">
        <w:rPr>
          <w:rFonts w:cs="Calibri"/>
        </w:rPr>
        <w:t>s</w:t>
      </w:r>
      <w:r w:rsidR="00355D91">
        <w:rPr>
          <w:rFonts w:cs="Calibri"/>
        </w:rPr>
        <w:t xml:space="preserve"> </w:t>
      </w:r>
      <w:r w:rsidR="005238FE">
        <w:rPr>
          <w:rFonts w:cs="Calibri"/>
        </w:rPr>
        <w:t>for youth</w:t>
      </w:r>
      <w:r w:rsidR="00355D91">
        <w:rPr>
          <w:rFonts w:cs="Calibri"/>
        </w:rPr>
        <w:t>.</w:t>
      </w:r>
      <w:r w:rsidR="00421DFA">
        <w:rPr>
          <w:rFonts w:cs="Calibri"/>
        </w:rPr>
        <w:t xml:space="preserve"> </w:t>
      </w:r>
      <w:r w:rsidR="00355D91">
        <w:rPr>
          <w:rFonts w:cs="Calibri"/>
        </w:rPr>
        <w:t xml:space="preserve"> </w:t>
      </w:r>
      <w:r>
        <w:rPr>
          <w:rFonts w:cs="Calibri"/>
        </w:rPr>
        <w:t xml:space="preserve">This information collection is necessary to learn about the program design and implementation experiences of grantees and providers who deliver APS programming to youth through their PREP programs. In particular, ACF seeks </w:t>
      </w:r>
      <w:r w:rsidR="00355D91">
        <w:rPr>
          <w:rFonts w:cs="Calibri"/>
        </w:rPr>
        <w:t xml:space="preserve">a </w:t>
      </w:r>
      <w:r>
        <w:rPr>
          <w:bCs/>
        </w:rPr>
        <w:t xml:space="preserve">deeper understanding of how </w:t>
      </w:r>
      <w:r w:rsidR="00D93B45">
        <w:rPr>
          <w:bCs/>
        </w:rPr>
        <w:t>grantees and providers</w:t>
      </w:r>
      <w:r>
        <w:rPr>
          <w:bCs/>
        </w:rPr>
        <w:t xml:space="preserve"> implement APS topics </w:t>
      </w:r>
      <w:r w:rsidR="003C02E5">
        <w:rPr>
          <w:bCs/>
        </w:rPr>
        <w:t>and related content</w:t>
      </w:r>
      <w:r w:rsidR="00B41649">
        <w:rPr>
          <w:bCs/>
        </w:rPr>
        <w:t>;</w:t>
      </w:r>
      <w:r w:rsidR="003C02E5">
        <w:rPr>
          <w:bCs/>
        </w:rPr>
        <w:t xml:space="preserve"> </w:t>
      </w:r>
      <w:r>
        <w:rPr>
          <w:bCs/>
        </w:rPr>
        <w:t xml:space="preserve">the relevancy of </w:t>
      </w:r>
      <w:r w:rsidR="00D93B45">
        <w:rPr>
          <w:bCs/>
        </w:rPr>
        <w:t>these topics and</w:t>
      </w:r>
      <w:r w:rsidR="003C02E5">
        <w:rPr>
          <w:bCs/>
        </w:rPr>
        <w:t xml:space="preserve"> content </w:t>
      </w:r>
      <w:r>
        <w:rPr>
          <w:bCs/>
        </w:rPr>
        <w:t>for youth, including</w:t>
      </w:r>
      <w:r>
        <w:rPr>
          <w:rFonts w:cstheme="minorHAnsi"/>
        </w:rPr>
        <w:t xml:space="preserve"> </w:t>
      </w:r>
      <w:r w:rsidR="006B4055">
        <w:rPr>
          <w:rFonts w:cstheme="minorHAnsi"/>
        </w:rPr>
        <w:t>how</w:t>
      </w:r>
      <w:r>
        <w:rPr>
          <w:rFonts w:cstheme="minorHAnsi"/>
        </w:rPr>
        <w:t xml:space="preserve"> the APS</w:t>
      </w:r>
      <w:r w:rsidR="006B3F76">
        <w:rPr>
          <w:rFonts w:cstheme="minorHAnsi"/>
        </w:rPr>
        <w:t>s</w:t>
      </w:r>
      <w:r>
        <w:rPr>
          <w:rFonts w:cstheme="minorHAnsi"/>
        </w:rPr>
        <w:t xml:space="preserve"> meet the needs of youth</w:t>
      </w:r>
      <w:r w:rsidR="00D93B45">
        <w:rPr>
          <w:rFonts w:cstheme="minorHAnsi"/>
        </w:rPr>
        <w:t xml:space="preserve"> and</w:t>
      </w:r>
      <w:r>
        <w:rPr>
          <w:rFonts w:cstheme="minorHAnsi"/>
        </w:rPr>
        <w:t xml:space="preserve"> whether they are culturally relevant</w:t>
      </w:r>
      <w:r w:rsidR="00BE14F8">
        <w:rPr>
          <w:rFonts w:cstheme="minorHAnsi"/>
        </w:rPr>
        <w:t xml:space="preserve"> for different groups of youth</w:t>
      </w:r>
      <w:r w:rsidR="00B41649">
        <w:rPr>
          <w:rFonts w:cstheme="minorHAnsi"/>
        </w:rPr>
        <w:t>;</w:t>
      </w:r>
      <w:r>
        <w:rPr>
          <w:rFonts w:cstheme="minorHAnsi"/>
        </w:rPr>
        <w:t xml:space="preserve"> and what potential improvements</w:t>
      </w:r>
      <w:r w:rsidR="00D93B45">
        <w:rPr>
          <w:rFonts w:cstheme="minorHAnsi"/>
        </w:rPr>
        <w:t xml:space="preserve"> to the APSs</w:t>
      </w:r>
      <w:r>
        <w:rPr>
          <w:rFonts w:cstheme="minorHAnsi"/>
        </w:rPr>
        <w:t xml:space="preserve"> might be considered.</w:t>
      </w:r>
      <w:bookmarkStart w:id="6" w:name="_Hlk106361737"/>
      <w:r w:rsidRPr="00777853" w:rsidR="00777853">
        <w:t xml:space="preserve"> </w:t>
      </w:r>
      <w:bookmarkEnd w:id="6"/>
    </w:p>
    <w:p w:rsidR="00704043" w:rsidP="00077E16" w14:paraId="7DE3E149" w14:textId="77777777">
      <w:pPr>
        <w:spacing w:after="0"/>
        <w:rPr>
          <w:rFonts w:cs="Calibri"/>
        </w:rPr>
      </w:pPr>
    </w:p>
    <w:p w:rsidR="00AB1B16" w:rsidP="00704043" w14:paraId="6EBE8389" w14:textId="3C53D589">
      <w:pPr>
        <w:spacing w:after="0"/>
        <w:rPr>
          <w:rFonts w:cs="Calibri"/>
        </w:rPr>
      </w:pPr>
      <w:r>
        <w:rPr>
          <w:rFonts w:cs="Calibri"/>
        </w:rPr>
        <w:t xml:space="preserve">ACF is undertaking the collection at the discretion of the agency. OPRE contracted with Mathematica to conduct the APS </w:t>
      </w:r>
      <w:r w:rsidR="006B4603">
        <w:rPr>
          <w:rFonts w:cs="Calibri"/>
        </w:rPr>
        <w:t>S</w:t>
      </w:r>
      <w:r>
        <w:rPr>
          <w:rFonts w:cs="Calibri"/>
        </w:rPr>
        <w:t xml:space="preserve">tudy. </w:t>
      </w:r>
    </w:p>
    <w:p w:rsidR="00704043" w:rsidRPr="00757263" w:rsidP="00077E16" w14:paraId="7733BB90" w14:textId="77777777">
      <w:pPr>
        <w:spacing w:after="0"/>
        <w:rPr>
          <w:rFonts w:cs="Calibri"/>
        </w:rPr>
      </w:pPr>
    </w:p>
    <w:p w:rsidR="009D2672" w:rsidRPr="008813EA" w:rsidP="007A4513" w14:paraId="32688772" w14:textId="77777777">
      <w:pPr>
        <w:spacing w:after="120"/>
        <w:rPr>
          <w:b/>
        </w:rPr>
      </w:pPr>
      <w:r w:rsidRPr="005F1369">
        <w:rPr>
          <w:b/>
        </w:rPr>
        <w:t>A2</w:t>
      </w:r>
      <w:r w:rsidRPr="005F1369">
        <w:t>.</w:t>
      </w:r>
      <w:r w:rsidRPr="005F1369">
        <w:tab/>
      </w:r>
      <w:r w:rsidRPr="005F1369">
        <w:rPr>
          <w:b/>
        </w:rPr>
        <w:t>Purpose</w:t>
      </w:r>
    </w:p>
    <w:p w:rsidR="009D2672" w:rsidRPr="008813EA" w:rsidP="00077E16" w14:paraId="6F20EFC3" w14:textId="77777777">
      <w:pPr>
        <w:spacing w:after="60" w:line="240" w:lineRule="auto"/>
        <w:rPr>
          <w:i/>
        </w:rPr>
      </w:pPr>
      <w:r w:rsidRPr="008813EA">
        <w:rPr>
          <w:i/>
        </w:rPr>
        <w:t xml:space="preserve">Purpose and Use </w:t>
      </w:r>
    </w:p>
    <w:p w:rsidR="009D2672" w:rsidP="00704043" w14:paraId="5D9AF364" w14:textId="73B1E398">
      <w:pPr>
        <w:tabs>
          <w:tab w:val="left" w:pos="-720"/>
        </w:tabs>
        <w:suppressAutoHyphens/>
        <w:spacing w:after="0"/>
        <w:rPr>
          <w:iCs/>
        </w:rPr>
      </w:pPr>
      <w:bookmarkStart w:id="7" w:name="_Hlk105773397"/>
      <w:r w:rsidRPr="008813EA">
        <w:rPr>
          <w:iCs/>
        </w:rPr>
        <w:t>The goal of this proposed data collection is</w:t>
      </w:r>
      <w:r w:rsidR="007D680B">
        <w:rPr>
          <w:iCs/>
        </w:rPr>
        <w:t xml:space="preserve"> to</w:t>
      </w:r>
      <w:r w:rsidRPr="008813EA">
        <w:rPr>
          <w:iCs/>
        </w:rPr>
        <w:t xml:space="preserve"> </w:t>
      </w:r>
      <w:r w:rsidR="00777853">
        <w:t>help</w:t>
      </w:r>
      <w:r w:rsidRPr="008A59F6" w:rsidR="00777853">
        <w:rPr>
          <w:rFonts w:cs="Calibri"/>
        </w:rPr>
        <w:t xml:space="preserve"> refine </w:t>
      </w:r>
      <w:r w:rsidR="00777853">
        <w:rPr>
          <w:rFonts w:cs="Calibri"/>
        </w:rPr>
        <w:t>PREP</w:t>
      </w:r>
      <w:r w:rsidRPr="008A59F6" w:rsidR="00777853">
        <w:rPr>
          <w:rFonts w:cs="Calibri"/>
        </w:rPr>
        <w:t xml:space="preserve"> program delivery strategies</w:t>
      </w:r>
      <w:r w:rsidR="00777853">
        <w:rPr>
          <w:rFonts w:cs="Calibri"/>
        </w:rPr>
        <w:t xml:space="preserve"> and assess the appropriateness of the APS</w:t>
      </w:r>
      <w:r w:rsidR="0060189C">
        <w:rPr>
          <w:rFonts w:cs="Calibri"/>
        </w:rPr>
        <w:t>s</w:t>
      </w:r>
      <w:r w:rsidR="00777853">
        <w:rPr>
          <w:rFonts w:cs="Calibri"/>
        </w:rPr>
        <w:t xml:space="preserve"> for all PREP grantees</w:t>
      </w:r>
      <w:r w:rsidRPr="008A59F6" w:rsidR="00777853">
        <w:rPr>
          <w:rFonts w:cs="Calibri"/>
        </w:rPr>
        <w:t>.</w:t>
      </w:r>
      <w:r w:rsidR="00777853">
        <w:rPr>
          <w:rFonts w:cs="Calibri"/>
        </w:rPr>
        <w:t xml:space="preserve"> </w:t>
      </w:r>
      <w:r w:rsidRPr="008813EA" w:rsidR="009571CC">
        <w:rPr>
          <w:iCs/>
        </w:rPr>
        <w:t xml:space="preserve">This </w:t>
      </w:r>
      <w:r w:rsidR="00421DFA">
        <w:rPr>
          <w:iCs/>
        </w:rPr>
        <w:t xml:space="preserve">formative </w:t>
      </w:r>
      <w:r w:rsidR="00D93B45">
        <w:rPr>
          <w:iCs/>
        </w:rPr>
        <w:t>evaluation</w:t>
      </w:r>
      <w:r w:rsidR="00B65216">
        <w:rPr>
          <w:iCs/>
        </w:rPr>
        <w:t xml:space="preserve"> </w:t>
      </w:r>
      <w:r w:rsidR="007B4F0B">
        <w:rPr>
          <w:iCs/>
        </w:rPr>
        <w:t xml:space="preserve">seeks to </w:t>
      </w:r>
      <w:r w:rsidR="00421DFA">
        <w:rPr>
          <w:iCs/>
        </w:rPr>
        <w:t>improve</w:t>
      </w:r>
      <w:r w:rsidR="007B4F0B">
        <w:rPr>
          <w:iCs/>
        </w:rPr>
        <w:t xml:space="preserve"> </w:t>
      </w:r>
      <w:r w:rsidR="00777853">
        <w:rPr>
          <w:iCs/>
        </w:rPr>
        <w:t xml:space="preserve">ACF’s </w:t>
      </w:r>
      <w:r w:rsidR="007B4F0B">
        <w:rPr>
          <w:iCs/>
        </w:rPr>
        <w:t xml:space="preserve">understanding of the dosage and cultural relevance of the APS topics for different groups of youth, </w:t>
      </w:r>
      <w:r w:rsidRPr="008532DE" w:rsidR="00272AFE">
        <w:rPr>
          <w:rFonts w:ascii="Calibri" w:eastAsia="Calibri" w:hAnsi="Calibri" w:cs="Times New Roman"/>
        </w:rPr>
        <w:t xml:space="preserve">such as </w:t>
      </w:r>
      <w:r w:rsidR="00272AFE">
        <w:rPr>
          <w:rFonts w:ascii="Calibri" w:eastAsia="Calibri" w:hAnsi="Calibri" w:cs="Times New Roman"/>
        </w:rPr>
        <w:t>those</w:t>
      </w:r>
      <w:r w:rsidRPr="008532DE" w:rsidR="00272AFE">
        <w:rPr>
          <w:rFonts w:ascii="Calibri" w:eastAsia="Calibri" w:hAnsi="Calibri" w:cs="Times New Roman"/>
        </w:rPr>
        <w:t xml:space="preserve"> serving </w:t>
      </w:r>
      <w:r w:rsidR="00272AFE">
        <w:rPr>
          <w:rFonts w:ascii="Calibri" w:eastAsia="Calibri" w:hAnsi="Calibri" w:cs="Times New Roman"/>
        </w:rPr>
        <w:t>t</w:t>
      </w:r>
      <w:r w:rsidRPr="008532DE" w:rsidR="00272AFE">
        <w:rPr>
          <w:rFonts w:ascii="Calibri" w:eastAsia="Calibri" w:hAnsi="Calibri" w:cs="Times New Roman"/>
        </w:rPr>
        <w:t>ribal and American Indian and Alaska Native (AI/AN)</w:t>
      </w:r>
      <w:r w:rsidR="00272AFE">
        <w:rPr>
          <w:rFonts w:ascii="Calibri" w:eastAsia="Calibri" w:hAnsi="Calibri" w:cs="Times New Roman"/>
        </w:rPr>
        <w:t xml:space="preserve"> </w:t>
      </w:r>
      <w:r w:rsidRPr="008532DE" w:rsidR="00272AFE">
        <w:rPr>
          <w:rFonts w:ascii="Calibri" w:eastAsia="Calibri" w:hAnsi="Calibri" w:cs="Times New Roman"/>
        </w:rPr>
        <w:t xml:space="preserve">youth, Latino youth, youth living </w:t>
      </w:r>
      <w:r w:rsidR="00272AFE">
        <w:rPr>
          <w:rFonts w:ascii="Calibri" w:eastAsia="Calibri" w:hAnsi="Calibri" w:cs="Times New Roman"/>
        </w:rPr>
        <w:t xml:space="preserve">in </w:t>
      </w:r>
      <w:r w:rsidRPr="008532DE" w:rsidR="00272AFE">
        <w:rPr>
          <w:rFonts w:ascii="Calibri" w:eastAsia="Calibri" w:hAnsi="Calibri" w:cs="Times New Roman"/>
        </w:rPr>
        <w:t>rural areas, and youth living in child welfare or juvenile justice setting</w:t>
      </w:r>
      <w:r w:rsidR="00272AFE">
        <w:rPr>
          <w:rFonts w:ascii="Calibri" w:eastAsia="Calibri" w:hAnsi="Calibri" w:cs="Times New Roman"/>
        </w:rPr>
        <w:t>s</w:t>
      </w:r>
      <w:r w:rsidR="007B4F0B">
        <w:rPr>
          <w:iCs/>
        </w:rPr>
        <w:t xml:space="preserve">. </w:t>
      </w:r>
      <w:bookmarkStart w:id="8" w:name="_Hlk110439716"/>
      <w:bookmarkStart w:id="9" w:name="_Hlk105773607"/>
      <w:r w:rsidR="001D6B5A">
        <w:rPr>
          <w:iCs/>
        </w:rPr>
        <w:t>The study will examine all six APS</w:t>
      </w:r>
      <w:r w:rsidR="0060189C">
        <w:rPr>
          <w:iCs/>
        </w:rPr>
        <w:t>s</w:t>
      </w:r>
      <w:r w:rsidR="001D6B5A">
        <w:rPr>
          <w:iCs/>
        </w:rPr>
        <w:t xml:space="preserve">, </w:t>
      </w:r>
      <w:r w:rsidR="00966E30">
        <w:rPr>
          <w:iCs/>
        </w:rPr>
        <w:t xml:space="preserve">with emphasis </w:t>
      </w:r>
      <w:r w:rsidR="001D6B5A">
        <w:rPr>
          <w:iCs/>
        </w:rPr>
        <w:t xml:space="preserve">on the three most commonly implemented </w:t>
      </w:r>
      <w:r w:rsidR="00966E30">
        <w:rPr>
          <w:iCs/>
        </w:rPr>
        <w:t xml:space="preserve">subjects </w:t>
      </w:r>
      <w:r w:rsidR="001D6B5A">
        <w:rPr>
          <w:iCs/>
        </w:rPr>
        <w:t xml:space="preserve">(healthy relationships, healthy life skills, and adolescent development). </w:t>
      </w:r>
      <w:r w:rsidR="00D82800">
        <w:rPr>
          <w:iCs/>
        </w:rPr>
        <w:t>T</w:t>
      </w:r>
      <w:r w:rsidRPr="008813EA" w:rsidR="00E14F60">
        <w:rPr>
          <w:iCs/>
        </w:rPr>
        <w:t xml:space="preserve">he information collected through this study </w:t>
      </w:r>
      <w:r w:rsidR="00D82800">
        <w:rPr>
          <w:iCs/>
        </w:rPr>
        <w:t xml:space="preserve">will be used </w:t>
      </w:r>
      <w:r w:rsidRPr="008813EA" w:rsidR="00E14F60">
        <w:rPr>
          <w:iCs/>
        </w:rPr>
        <w:t xml:space="preserve">to </w:t>
      </w:r>
      <w:r w:rsidRPr="008813EA" w:rsidR="00E14F60">
        <w:rPr>
          <w:iCs/>
        </w:rPr>
        <w:t>inform</w:t>
      </w:r>
      <w:r w:rsidRPr="008813EA" w:rsidR="00447C89">
        <w:rPr>
          <w:iCs/>
        </w:rPr>
        <w:t xml:space="preserve"> </w:t>
      </w:r>
      <w:bookmarkEnd w:id="8"/>
      <w:r w:rsidR="00070984">
        <w:rPr>
          <w:iCs/>
        </w:rPr>
        <w:t>f</w:t>
      </w:r>
      <w:r w:rsidR="00AA2FE1">
        <w:rPr>
          <w:iCs/>
        </w:rPr>
        <w:t>uture</w:t>
      </w:r>
      <w:r w:rsidRPr="008813EA">
        <w:rPr>
          <w:iCs/>
        </w:rPr>
        <w:t xml:space="preserve"> </w:t>
      </w:r>
      <w:r w:rsidR="00AA2FE1">
        <w:rPr>
          <w:iCs/>
        </w:rPr>
        <w:t>technical assistance</w:t>
      </w:r>
      <w:bookmarkEnd w:id="7"/>
      <w:bookmarkEnd w:id="9"/>
      <w:r w:rsidR="00AA2FE1">
        <w:rPr>
          <w:iCs/>
        </w:rPr>
        <w:t xml:space="preserve"> offerings to grantees</w:t>
      </w:r>
      <w:r w:rsidR="00330A94">
        <w:rPr>
          <w:iCs/>
        </w:rPr>
        <w:t xml:space="preserve"> and providers</w:t>
      </w:r>
      <w:r w:rsidR="00AA2FE1">
        <w:rPr>
          <w:iCs/>
        </w:rPr>
        <w:t xml:space="preserve"> </w:t>
      </w:r>
      <w:r w:rsidR="00B65216">
        <w:rPr>
          <w:iCs/>
        </w:rPr>
        <w:t>related to APS programming</w:t>
      </w:r>
      <w:r w:rsidR="00391AA0">
        <w:rPr>
          <w:iCs/>
        </w:rPr>
        <w:t xml:space="preserve">, as well as future </w:t>
      </w:r>
      <w:r w:rsidR="00927779">
        <w:rPr>
          <w:iCs/>
        </w:rPr>
        <w:t xml:space="preserve">ACF </w:t>
      </w:r>
      <w:r w:rsidR="00391AA0">
        <w:rPr>
          <w:iCs/>
        </w:rPr>
        <w:t>learning agendas and research priorities.</w:t>
      </w:r>
      <w:r w:rsidR="00070984">
        <w:rPr>
          <w:iCs/>
        </w:rPr>
        <w:t xml:space="preserve"> </w:t>
      </w:r>
    </w:p>
    <w:p w:rsidR="00704043" w:rsidRPr="00AA2FE1" w:rsidP="00927779" w14:paraId="2EF14D63" w14:textId="77777777">
      <w:pPr>
        <w:tabs>
          <w:tab w:val="left" w:pos="-720"/>
        </w:tabs>
        <w:suppressAutoHyphens/>
        <w:spacing w:after="0"/>
        <w:rPr>
          <w:iCs/>
        </w:rPr>
      </w:pPr>
    </w:p>
    <w:p w:rsidR="00DA2252" w:rsidRPr="008813EA" w:rsidP="00927779" w14:paraId="44399D53" w14:textId="7359A9A8">
      <w:pPr>
        <w:spacing w:after="60"/>
        <w:rPr>
          <w:rFonts w:cstheme="minorHAnsi"/>
          <w:b/>
        </w:rPr>
      </w:pPr>
      <w:r w:rsidRPr="008813EA">
        <w:rPr>
          <w:rFonts w:cstheme="minorHAnsi"/>
        </w:rPr>
        <w:t xml:space="preserve">This proposed information collection meets the following goals of ACF’s generic clearance for </w:t>
      </w:r>
      <w:r w:rsidR="00F72524">
        <w:rPr>
          <w:rFonts w:cstheme="minorHAnsi"/>
        </w:rPr>
        <w:t>program support</w:t>
      </w:r>
      <w:r w:rsidRPr="008813EA">
        <w:rPr>
          <w:rFonts w:cstheme="minorHAnsi"/>
        </w:rPr>
        <w:t xml:space="preserve"> (</w:t>
      </w:r>
      <w:r w:rsidR="009B6C15">
        <w:rPr>
          <w:rFonts w:cstheme="minorHAnsi"/>
        </w:rPr>
        <w:t xml:space="preserve">OMB </w:t>
      </w:r>
      <w:r w:rsidR="00077E16">
        <w:rPr>
          <w:rFonts w:cstheme="minorHAnsi"/>
        </w:rPr>
        <w:t>#</w:t>
      </w:r>
      <w:r w:rsidRPr="008813EA">
        <w:rPr>
          <w:rFonts w:cstheme="minorHAnsi"/>
        </w:rPr>
        <w:t>0970-0</w:t>
      </w:r>
      <w:r w:rsidR="00077E16">
        <w:rPr>
          <w:rFonts w:cstheme="minorHAnsi"/>
        </w:rPr>
        <w:t>5</w:t>
      </w:r>
      <w:r w:rsidRPr="008813EA">
        <w:rPr>
          <w:rFonts w:cstheme="minorHAnsi"/>
        </w:rPr>
        <w:t>3</w:t>
      </w:r>
      <w:r w:rsidR="00077E16">
        <w:rPr>
          <w:rFonts w:cstheme="minorHAnsi"/>
        </w:rPr>
        <w:t>1</w:t>
      </w:r>
      <w:r w:rsidRPr="008813EA">
        <w:rPr>
          <w:rFonts w:cstheme="minorHAnsi"/>
        </w:rPr>
        <w:t>):</w:t>
      </w:r>
    </w:p>
    <w:p w:rsidR="00F72524" w:rsidP="00927779" w14:paraId="2DBF40EB" w14:textId="1761A61D">
      <w:pPr>
        <w:pStyle w:val="xxxmsolistparagraph"/>
        <w:numPr>
          <w:ilvl w:val="0"/>
          <w:numId w:val="28"/>
        </w:numPr>
        <w:spacing w:before="0" w:beforeAutospacing="0" w:after="60" w:afterAutospacing="0"/>
        <w:rPr>
          <w:rFonts w:asciiTheme="minorHAnsi" w:hAnsiTheme="minorHAnsi" w:cstheme="minorHAnsi"/>
        </w:rPr>
      </w:pPr>
      <w:r w:rsidRPr="00927779">
        <w:rPr>
          <w:rFonts w:asciiTheme="minorHAnsi" w:hAnsiTheme="minorHAnsi" w:cstheme="minorHAnsi"/>
        </w:rPr>
        <w:t>Planning for provision of programmatic or evaluation-related T/TA</w:t>
      </w:r>
    </w:p>
    <w:p w:rsidR="00F72524" w:rsidP="00927779" w14:paraId="437E2484" w14:textId="045D04D6">
      <w:pPr>
        <w:pStyle w:val="xxxmsolistparagraph"/>
        <w:numPr>
          <w:ilvl w:val="0"/>
          <w:numId w:val="28"/>
        </w:numPr>
        <w:spacing w:before="0" w:beforeAutospacing="0" w:after="60" w:afterAutospacing="0"/>
        <w:rPr>
          <w:rFonts w:asciiTheme="minorHAnsi" w:hAnsiTheme="minorHAnsi" w:cstheme="minorHAnsi"/>
        </w:rPr>
      </w:pPr>
      <w:r>
        <w:rPr>
          <w:rFonts w:asciiTheme="minorHAnsi" w:hAnsiTheme="minorHAnsi" w:cstheme="minorHAnsi"/>
        </w:rPr>
        <w:t>Obtaining</w:t>
      </w:r>
      <w:r w:rsidRPr="00927779">
        <w:rPr>
          <w:rFonts w:asciiTheme="minorHAnsi" w:hAnsiTheme="minorHAnsi" w:cstheme="minorHAnsi"/>
        </w:rPr>
        <w:t xml:space="preserve"> feedback about processes and/or practices to inform ACF program development or support</w:t>
      </w:r>
    </w:p>
    <w:p w:rsidR="00F72524" w:rsidRPr="00927779" w:rsidP="00927779" w14:paraId="4008E9A2" w14:textId="0673286D">
      <w:pPr>
        <w:pStyle w:val="xxxmsolistparagraph"/>
        <w:numPr>
          <w:ilvl w:val="0"/>
          <w:numId w:val="28"/>
        </w:numPr>
        <w:spacing w:before="0" w:beforeAutospacing="0" w:after="60" w:afterAutospacing="0"/>
        <w:rPr>
          <w:rFonts w:asciiTheme="minorHAnsi" w:hAnsiTheme="minorHAnsi" w:cstheme="minorHAnsi"/>
        </w:rPr>
      </w:pPr>
      <w:r w:rsidRPr="00927779">
        <w:rPr>
          <w:rFonts w:asciiTheme="minorHAnsi" w:hAnsiTheme="minorHAnsi" w:cstheme="minorHAnsi"/>
        </w:rPr>
        <w:t>Dev</w:t>
      </w:r>
      <w:r w:rsidRPr="00927779">
        <w:rPr>
          <w:rFonts w:asciiTheme="minorHAnsi" w:hAnsiTheme="minorHAnsi" w:cstheme="minorHAnsi"/>
        </w:rPr>
        <w:t>elopment of learning agendas and research priorities</w:t>
      </w:r>
    </w:p>
    <w:p w:rsidR="00927779" w:rsidRPr="00927779" w:rsidP="00927779" w14:paraId="4DD49365" w14:textId="77777777">
      <w:pPr>
        <w:pStyle w:val="xxxmsolistparagraph"/>
        <w:spacing w:before="0" w:beforeAutospacing="0" w:after="60" w:afterAutospacing="0"/>
        <w:ind w:left="720"/>
        <w:rPr>
          <w:rFonts w:asciiTheme="minorHAnsi" w:hAnsiTheme="minorHAnsi" w:cstheme="minorHAnsi"/>
        </w:rPr>
      </w:pPr>
    </w:p>
    <w:p w:rsidR="00C7376B" w:rsidP="00B50852" w14:paraId="40B4C9A2" w14:textId="4520E685">
      <w:pPr>
        <w:spacing w:after="0"/>
        <w:rPr>
          <w:rFonts w:cstheme="minorHAnsi"/>
        </w:rPr>
      </w:pPr>
      <w:r w:rsidRPr="008813EA">
        <w:rPr>
          <w:rFonts w:cstheme="minorHAnsi"/>
        </w:rPr>
        <w:t>The information collected is meant to contribute to the body of knowledge on ACF programs.</w:t>
      </w:r>
      <w:r w:rsidRPr="008813EA" w:rsidR="00202558">
        <w:rPr>
          <w:rFonts w:cstheme="minorHAnsi"/>
        </w:rPr>
        <w:t xml:space="preserve"> </w:t>
      </w:r>
      <w:r w:rsidRPr="008813EA">
        <w:rPr>
          <w:rFonts w:cstheme="minorHAnsi"/>
        </w:rPr>
        <w:t>It is not intended to be used as the principal basis for a decision by a federal decision</w:t>
      </w:r>
      <w:r w:rsidR="00FF2A7C">
        <w:rPr>
          <w:rFonts w:cstheme="minorHAnsi"/>
        </w:rPr>
        <w:t xml:space="preserve"> </w:t>
      </w:r>
      <w:r w:rsidRPr="008813EA" w:rsidR="001A0C63">
        <w:rPr>
          <w:rFonts w:cstheme="minorHAnsi"/>
        </w:rPr>
        <w:t>maker and</w:t>
      </w:r>
      <w:r w:rsidRPr="008813EA">
        <w:rPr>
          <w:rFonts w:cstheme="minorHAnsi"/>
        </w:rPr>
        <w:t xml:space="preserve"> is not expected to meet the threshold of influential or highly influential scientific information.</w:t>
      </w:r>
    </w:p>
    <w:p w:rsidR="00B50852" w:rsidRPr="008813EA" w:rsidP="00927779" w14:paraId="1A385230" w14:textId="77777777">
      <w:pPr>
        <w:spacing w:after="0"/>
        <w:rPr>
          <w:rFonts w:cstheme="minorHAnsi"/>
        </w:rPr>
      </w:pPr>
    </w:p>
    <w:p w:rsidR="009D2672" w:rsidRPr="008813EA" w:rsidP="00757263" w14:paraId="4731CA39" w14:textId="46BCD52D">
      <w:pPr>
        <w:spacing w:after="120" w:line="240" w:lineRule="auto"/>
        <w:rPr>
          <w:i/>
        </w:rPr>
      </w:pPr>
      <w:r w:rsidRPr="008813EA">
        <w:rPr>
          <w:i/>
        </w:rPr>
        <w:t>Research Questions</w:t>
      </w:r>
    </w:p>
    <w:p w:rsidR="007A2DED" w:rsidRPr="007A2DED" w:rsidP="00757263" w14:paraId="70A15C7E" w14:textId="72438A08">
      <w:pPr>
        <w:spacing w:after="120" w:line="240" w:lineRule="auto"/>
        <w:rPr>
          <w:rFonts w:cstheme="minorHAnsi"/>
          <w:iCs/>
        </w:rPr>
      </w:pPr>
      <w:r w:rsidRPr="008813EA">
        <w:rPr>
          <w:iCs/>
        </w:rPr>
        <w:t xml:space="preserve">This </w:t>
      </w:r>
      <w:r w:rsidR="00070984">
        <w:rPr>
          <w:iCs/>
        </w:rPr>
        <w:t xml:space="preserve">study </w:t>
      </w:r>
      <w:r w:rsidRPr="008813EA" w:rsidR="00C52A00">
        <w:rPr>
          <w:iCs/>
        </w:rPr>
        <w:t xml:space="preserve">will address </w:t>
      </w:r>
      <w:r w:rsidR="00557013">
        <w:rPr>
          <w:iCs/>
        </w:rPr>
        <w:t>f</w:t>
      </w:r>
      <w:r w:rsidR="003D6203">
        <w:rPr>
          <w:iCs/>
        </w:rPr>
        <w:t xml:space="preserve">our primary </w:t>
      </w:r>
      <w:r>
        <w:rPr>
          <w:iCs/>
        </w:rPr>
        <w:t>r</w:t>
      </w:r>
      <w:r w:rsidRPr="008813EA" w:rsidR="00C52A00">
        <w:rPr>
          <w:iCs/>
        </w:rPr>
        <w:t>esearch question</w:t>
      </w:r>
      <w:r w:rsidR="00557013">
        <w:rPr>
          <w:iCs/>
        </w:rPr>
        <w:t>s</w:t>
      </w:r>
      <w:r w:rsidRPr="008813EA" w:rsidR="00825423">
        <w:rPr>
          <w:iCs/>
        </w:rPr>
        <w:t xml:space="preserve">. </w:t>
      </w:r>
    </w:p>
    <w:p w:rsidR="007A2DED" w:rsidRPr="00757263" w:rsidP="00077E16" w14:paraId="3B855631" w14:textId="5EB5D6BC">
      <w:pPr>
        <w:pStyle w:val="xxxmsolistparagraph"/>
        <w:numPr>
          <w:ilvl w:val="0"/>
          <w:numId w:val="52"/>
        </w:numPr>
        <w:spacing w:before="0" w:beforeAutospacing="0" w:after="60" w:afterAutospacing="0"/>
        <w:rPr>
          <w:rFonts w:asciiTheme="minorHAnsi" w:hAnsiTheme="minorHAnsi" w:cstheme="minorHAnsi"/>
        </w:rPr>
      </w:pPr>
      <w:r w:rsidRPr="00C45A50">
        <w:rPr>
          <w:rFonts w:asciiTheme="minorHAnsi" w:hAnsiTheme="minorHAnsi" w:cstheme="minorHAnsi"/>
        </w:rPr>
        <w:t xml:space="preserve">What APS </w:t>
      </w:r>
      <w:r w:rsidR="003B008F">
        <w:rPr>
          <w:rFonts w:asciiTheme="minorHAnsi" w:hAnsiTheme="minorHAnsi" w:cstheme="minorHAnsi"/>
        </w:rPr>
        <w:t xml:space="preserve">topics and </w:t>
      </w:r>
      <w:r w:rsidRPr="00C45A50">
        <w:rPr>
          <w:rFonts w:asciiTheme="minorHAnsi" w:hAnsiTheme="minorHAnsi" w:cstheme="minorHAnsi"/>
        </w:rPr>
        <w:t xml:space="preserve">content </w:t>
      </w:r>
      <w:r w:rsidR="00C12357">
        <w:rPr>
          <w:rFonts w:asciiTheme="minorHAnsi" w:hAnsiTheme="minorHAnsi" w:cstheme="minorHAnsi"/>
        </w:rPr>
        <w:t xml:space="preserve">do </w:t>
      </w:r>
      <w:r w:rsidRPr="00C45A50">
        <w:rPr>
          <w:rFonts w:asciiTheme="minorHAnsi" w:hAnsiTheme="minorHAnsi" w:cstheme="minorHAnsi"/>
        </w:rPr>
        <w:t>grantees deliver</w:t>
      </w:r>
      <w:r w:rsidR="00C12357">
        <w:rPr>
          <w:rFonts w:asciiTheme="minorHAnsi" w:hAnsiTheme="minorHAnsi" w:cstheme="minorHAnsi"/>
        </w:rPr>
        <w:t xml:space="preserve"> </w:t>
      </w:r>
      <w:r w:rsidRPr="00C45A50">
        <w:rPr>
          <w:rFonts w:asciiTheme="minorHAnsi" w:hAnsiTheme="minorHAnsi" w:cstheme="minorHAnsi"/>
        </w:rPr>
        <w:t>to youth</w:t>
      </w:r>
      <w:r w:rsidR="003D6203">
        <w:rPr>
          <w:rFonts w:asciiTheme="minorHAnsi" w:hAnsiTheme="minorHAnsi" w:cstheme="minorHAnsi"/>
        </w:rPr>
        <w:t xml:space="preserve">, how is it delivered, and how much </w:t>
      </w:r>
      <w:r w:rsidR="00BF566A">
        <w:rPr>
          <w:rFonts w:asciiTheme="minorHAnsi" w:hAnsiTheme="minorHAnsi" w:cstheme="minorHAnsi"/>
        </w:rPr>
        <w:t xml:space="preserve">is delivered </w:t>
      </w:r>
      <w:r w:rsidR="003D6203">
        <w:rPr>
          <w:rFonts w:asciiTheme="minorHAnsi" w:hAnsiTheme="minorHAnsi" w:cstheme="minorHAnsi"/>
        </w:rPr>
        <w:t>(</w:t>
      </w:r>
      <w:r w:rsidR="00C12357">
        <w:rPr>
          <w:rFonts w:asciiTheme="minorHAnsi" w:hAnsiTheme="minorHAnsi" w:cstheme="minorHAnsi"/>
        </w:rPr>
        <w:t xml:space="preserve">what is the </w:t>
      </w:r>
      <w:r w:rsidR="003D6203">
        <w:rPr>
          <w:rFonts w:asciiTheme="minorHAnsi" w:hAnsiTheme="minorHAnsi" w:cstheme="minorHAnsi"/>
        </w:rPr>
        <w:t xml:space="preserve">dosage)? </w:t>
      </w:r>
    </w:p>
    <w:p w:rsidR="007A2DED" w:rsidRPr="00757263" w:rsidP="00077E16" w14:paraId="0B3C8AAE" w14:textId="00FBD0A7">
      <w:pPr>
        <w:pStyle w:val="xxxmsolistparagraph"/>
        <w:numPr>
          <w:ilvl w:val="0"/>
          <w:numId w:val="52"/>
        </w:numPr>
        <w:spacing w:before="0" w:beforeAutospacing="0" w:after="60" w:afterAutospacing="0"/>
        <w:rPr>
          <w:rFonts w:asciiTheme="minorHAnsi" w:hAnsiTheme="minorHAnsi" w:cstheme="minorHAnsi"/>
        </w:rPr>
      </w:pPr>
      <w:r>
        <w:rPr>
          <w:rFonts w:asciiTheme="minorHAnsi" w:hAnsiTheme="minorHAnsi" w:cstheme="minorHAnsi"/>
        </w:rPr>
        <w:t>Is there</w:t>
      </w:r>
      <w:r w:rsidRPr="00C45A50">
        <w:rPr>
          <w:rFonts w:asciiTheme="minorHAnsi" w:hAnsiTheme="minorHAnsi" w:cstheme="minorHAnsi"/>
        </w:rPr>
        <w:t xml:space="preserve"> alignment between the APS content and dosage and the needs of the populations served?</w:t>
      </w:r>
    </w:p>
    <w:p w:rsidR="007A2DED" w:rsidP="00077E16" w14:paraId="542065BD" w14:textId="57804ECA">
      <w:pPr>
        <w:pStyle w:val="xxxmsolistparagraph"/>
        <w:numPr>
          <w:ilvl w:val="0"/>
          <w:numId w:val="52"/>
        </w:numPr>
        <w:spacing w:before="0" w:beforeAutospacing="0" w:after="60" w:afterAutospacing="0"/>
        <w:rPr>
          <w:rFonts w:asciiTheme="minorHAnsi" w:hAnsiTheme="minorHAnsi" w:cstheme="minorHAnsi"/>
        </w:rPr>
      </w:pPr>
      <w:r>
        <w:rPr>
          <w:rFonts w:asciiTheme="minorHAnsi" w:hAnsiTheme="minorHAnsi" w:cstheme="minorHAnsi"/>
        </w:rPr>
        <w:t xml:space="preserve">What </w:t>
      </w:r>
      <w:r w:rsidRPr="00C45A50">
        <w:rPr>
          <w:rFonts w:asciiTheme="minorHAnsi" w:hAnsiTheme="minorHAnsi" w:cstheme="minorHAnsi"/>
        </w:rPr>
        <w:t xml:space="preserve">is the cultural relevance of the APS </w:t>
      </w:r>
      <w:r w:rsidR="003B008F">
        <w:rPr>
          <w:rFonts w:asciiTheme="minorHAnsi" w:hAnsiTheme="minorHAnsi" w:cstheme="minorHAnsi"/>
        </w:rPr>
        <w:t xml:space="preserve">topics and </w:t>
      </w:r>
      <w:r w:rsidRPr="00C45A50">
        <w:rPr>
          <w:rFonts w:asciiTheme="minorHAnsi" w:hAnsiTheme="minorHAnsi" w:cstheme="minorHAnsi"/>
        </w:rPr>
        <w:t xml:space="preserve">content delivered by grantees to youth? </w:t>
      </w:r>
    </w:p>
    <w:p w:rsidR="007A2DED" w:rsidP="00077E16" w14:paraId="79DDD9B0" w14:textId="584AA3C7">
      <w:pPr>
        <w:pStyle w:val="xxxmsolistparagraph"/>
        <w:numPr>
          <w:ilvl w:val="1"/>
          <w:numId w:val="52"/>
        </w:numPr>
        <w:spacing w:before="0" w:beforeAutospacing="0" w:after="60" w:afterAutospacing="0"/>
        <w:rPr>
          <w:rFonts w:asciiTheme="minorHAnsi" w:hAnsiTheme="minorHAnsi" w:cstheme="minorHAnsi"/>
        </w:rPr>
      </w:pPr>
      <w:r w:rsidRPr="00C45A50">
        <w:rPr>
          <w:rFonts w:asciiTheme="minorHAnsi" w:hAnsiTheme="minorHAnsi" w:cstheme="minorHAnsi"/>
        </w:rPr>
        <w:t>Does this differ by racial</w:t>
      </w:r>
      <w:r w:rsidR="00F43A72">
        <w:rPr>
          <w:rFonts w:asciiTheme="minorHAnsi" w:hAnsiTheme="minorHAnsi" w:cstheme="minorHAnsi"/>
        </w:rPr>
        <w:t xml:space="preserve">, </w:t>
      </w:r>
      <w:r w:rsidRPr="00C45A50">
        <w:rPr>
          <w:rFonts w:asciiTheme="minorHAnsi" w:hAnsiTheme="minorHAnsi" w:cstheme="minorHAnsi"/>
        </w:rPr>
        <w:t>ethnic</w:t>
      </w:r>
      <w:r w:rsidR="00F43A72">
        <w:rPr>
          <w:rFonts w:asciiTheme="minorHAnsi" w:hAnsiTheme="minorHAnsi" w:cstheme="minorHAnsi"/>
        </w:rPr>
        <w:t xml:space="preserve">, </w:t>
      </w:r>
      <w:r w:rsidRPr="00C45A50">
        <w:rPr>
          <w:rFonts w:asciiTheme="minorHAnsi" w:hAnsiTheme="minorHAnsi" w:cstheme="minorHAnsi"/>
        </w:rPr>
        <w:t>age</w:t>
      </w:r>
      <w:r w:rsidR="00F43A72">
        <w:rPr>
          <w:rFonts w:asciiTheme="minorHAnsi" w:hAnsiTheme="minorHAnsi" w:cstheme="minorHAnsi"/>
        </w:rPr>
        <w:t xml:space="preserve">, </w:t>
      </w:r>
      <w:r w:rsidR="008A0CBF">
        <w:rPr>
          <w:rFonts w:asciiTheme="minorHAnsi" w:hAnsiTheme="minorHAnsi" w:cstheme="minorHAnsi"/>
        </w:rPr>
        <w:t xml:space="preserve">or </w:t>
      </w:r>
      <w:r w:rsidRPr="00C45A50">
        <w:rPr>
          <w:rFonts w:asciiTheme="minorHAnsi" w:hAnsiTheme="minorHAnsi" w:cstheme="minorHAnsi"/>
        </w:rPr>
        <w:t xml:space="preserve">gender group? </w:t>
      </w:r>
    </w:p>
    <w:p w:rsidR="007A2DED" w:rsidP="00077E16" w14:paraId="7B3E4F6F" w14:textId="522894B6">
      <w:pPr>
        <w:pStyle w:val="xxxmsolistparagraph"/>
        <w:numPr>
          <w:ilvl w:val="1"/>
          <w:numId w:val="52"/>
        </w:numPr>
        <w:spacing w:before="0" w:beforeAutospacing="0" w:after="60" w:afterAutospacing="0"/>
        <w:rPr>
          <w:rFonts w:asciiTheme="minorHAnsi" w:hAnsiTheme="minorHAnsi" w:cstheme="minorHAnsi"/>
        </w:rPr>
      </w:pPr>
      <w:r w:rsidRPr="00C45A50">
        <w:rPr>
          <w:rFonts w:asciiTheme="minorHAnsi" w:hAnsiTheme="minorHAnsi" w:cstheme="minorHAnsi"/>
        </w:rPr>
        <w:t xml:space="preserve">What </w:t>
      </w:r>
      <w:r w:rsidRPr="00C45A50">
        <w:rPr>
          <w:rFonts w:asciiTheme="minorHAnsi" w:hAnsiTheme="minorHAnsi" w:cstheme="minorHAnsi"/>
        </w:rPr>
        <w:t>are</w:t>
      </w:r>
      <w:r w:rsidRPr="00C45A50">
        <w:rPr>
          <w:rFonts w:asciiTheme="minorHAnsi" w:hAnsiTheme="minorHAnsi" w:cstheme="minorHAnsi"/>
        </w:rPr>
        <w:t xml:space="preserve"> youth not getting that parents, caregivers, or community leaders/members think they need? </w:t>
      </w:r>
    </w:p>
    <w:p w:rsidR="007A2DED" w:rsidRPr="00757263" w:rsidP="00077E16" w14:paraId="63E46073" w14:textId="4B6C7261">
      <w:pPr>
        <w:pStyle w:val="xxxmsolistparagraph"/>
        <w:numPr>
          <w:ilvl w:val="1"/>
          <w:numId w:val="52"/>
        </w:numPr>
        <w:spacing w:before="0" w:beforeAutospacing="0" w:after="60" w:afterAutospacing="0"/>
        <w:rPr>
          <w:rFonts w:asciiTheme="minorHAnsi" w:hAnsiTheme="minorHAnsi" w:cstheme="minorHAnsi"/>
        </w:rPr>
      </w:pPr>
      <w:r w:rsidRPr="00C45A50">
        <w:rPr>
          <w:rFonts w:asciiTheme="minorHAnsi" w:hAnsiTheme="minorHAnsi" w:cstheme="minorHAnsi"/>
        </w:rPr>
        <w:t>Are there differences by type of grantee?</w:t>
      </w:r>
    </w:p>
    <w:p w:rsidR="003D6203" w:rsidRPr="00757263" w:rsidP="00077E16" w14:paraId="14A8C574" w14:textId="705B7718">
      <w:pPr>
        <w:pStyle w:val="xxxmsolistparagraph"/>
        <w:numPr>
          <w:ilvl w:val="0"/>
          <w:numId w:val="52"/>
        </w:numPr>
        <w:spacing w:before="0" w:beforeAutospacing="0" w:after="240" w:afterAutospacing="0"/>
        <w:rPr>
          <w:i/>
        </w:rPr>
      </w:pPr>
      <w:r w:rsidRPr="003B008F">
        <w:rPr>
          <w:rFonts w:asciiTheme="minorHAnsi" w:hAnsiTheme="minorHAnsi" w:cstheme="minorHAnsi"/>
        </w:rPr>
        <w:t>W</w:t>
      </w:r>
      <w:r w:rsidRPr="003B008F">
        <w:rPr>
          <w:rFonts w:asciiTheme="minorHAnsi" w:hAnsiTheme="minorHAnsi" w:cstheme="minorHAnsi"/>
        </w:rPr>
        <w:t xml:space="preserve">hat successes, challenges, and lessons have been learned about delivering relevant APS </w:t>
      </w:r>
      <w:r>
        <w:rPr>
          <w:rFonts w:asciiTheme="minorHAnsi" w:hAnsiTheme="minorHAnsi" w:cstheme="minorHAnsi"/>
        </w:rPr>
        <w:t xml:space="preserve">topics and </w:t>
      </w:r>
      <w:r w:rsidRPr="003B008F">
        <w:rPr>
          <w:rFonts w:asciiTheme="minorHAnsi" w:hAnsiTheme="minorHAnsi" w:cstheme="minorHAnsi"/>
        </w:rPr>
        <w:t xml:space="preserve">content to youth? </w:t>
      </w:r>
      <w:r w:rsidRPr="007A2DED">
        <w:rPr>
          <w:rFonts w:asciiTheme="minorHAnsi" w:hAnsiTheme="minorHAnsi" w:cstheme="minorHAnsi"/>
        </w:rPr>
        <w:t xml:space="preserve">Are </w:t>
      </w:r>
      <w:r w:rsidRPr="00C45A50">
        <w:rPr>
          <w:rFonts w:asciiTheme="minorHAnsi" w:hAnsiTheme="minorHAnsi" w:cstheme="minorHAnsi"/>
        </w:rPr>
        <w:t xml:space="preserve">there ways to adapt </w:t>
      </w:r>
      <w:r w:rsidR="00777853">
        <w:rPr>
          <w:rFonts w:asciiTheme="minorHAnsi" w:hAnsiTheme="minorHAnsi" w:cstheme="minorHAnsi"/>
        </w:rPr>
        <w:t xml:space="preserve">the </w:t>
      </w:r>
      <w:r w:rsidRPr="00C45A50">
        <w:rPr>
          <w:rFonts w:asciiTheme="minorHAnsi" w:hAnsiTheme="minorHAnsi" w:cstheme="minorHAnsi"/>
        </w:rPr>
        <w:t>existing APS</w:t>
      </w:r>
      <w:r w:rsidR="006B3F76">
        <w:rPr>
          <w:rFonts w:asciiTheme="minorHAnsi" w:hAnsiTheme="minorHAnsi" w:cstheme="minorHAnsi"/>
        </w:rPr>
        <w:t>s</w:t>
      </w:r>
      <w:r w:rsidRPr="00C45A50">
        <w:rPr>
          <w:rFonts w:asciiTheme="minorHAnsi" w:hAnsiTheme="minorHAnsi" w:cstheme="minorHAnsi"/>
        </w:rPr>
        <w:t xml:space="preserve"> </w:t>
      </w:r>
      <w:r w:rsidR="00777853">
        <w:rPr>
          <w:rFonts w:asciiTheme="minorHAnsi" w:hAnsiTheme="minorHAnsi" w:cstheme="minorHAnsi"/>
        </w:rPr>
        <w:t xml:space="preserve">and their </w:t>
      </w:r>
      <w:r>
        <w:rPr>
          <w:rFonts w:asciiTheme="minorHAnsi" w:hAnsiTheme="minorHAnsi" w:cstheme="minorHAnsi"/>
        </w:rPr>
        <w:t>topics</w:t>
      </w:r>
      <w:r w:rsidRPr="00C45A50">
        <w:rPr>
          <w:rFonts w:asciiTheme="minorHAnsi" w:hAnsiTheme="minorHAnsi" w:cstheme="minorHAnsi"/>
        </w:rPr>
        <w:t xml:space="preserve"> to ensure the</w:t>
      </w:r>
      <w:r w:rsidR="0060189C">
        <w:rPr>
          <w:rFonts w:asciiTheme="minorHAnsi" w:hAnsiTheme="minorHAnsi" w:cstheme="minorHAnsi"/>
        </w:rPr>
        <w:t>y</w:t>
      </w:r>
      <w:r w:rsidRPr="00C45A50">
        <w:rPr>
          <w:rFonts w:asciiTheme="minorHAnsi" w:hAnsiTheme="minorHAnsi" w:cstheme="minorHAnsi"/>
        </w:rPr>
        <w:t xml:space="preserve"> </w:t>
      </w:r>
      <w:r w:rsidR="0060189C">
        <w:rPr>
          <w:rFonts w:asciiTheme="minorHAnsi" w:hAnsiTheme="minorHAnsi" w:cstheme="minorHAnsi"/>
        </w:rPr>
        <w:t>are</w:t>
      </w:r>
      <w:r w:rsidRPr="00C45A50">
        <w:rPr>
          <w:rFonts w:asciiTheme="minorHAnsi" w:hAnsiTheme="minorHAnsi" w:cstheme="minorHAnsi"/>
        </w:rPr>
        <w:t xml:space="preserve"> culturally relevant for the youth grantees are serving?</w:t>
      </w:r>
    </w:p>
    <w:p w:rsidR="009D2672" w:rsidP="00077E16" w14:paraId="4E484607" w14:textId="67837A5D">
      <w:pPr>
        <w:spacing w:after="60" w:line="240" w:lineRule="auto"/>
        <w:rPr>
          <w:i/>
        </w:rPr>
      </w:pPr>
      <w:r w:rsidRPr="008813EA">
        <w:rPr>
          <w:i/>
        </w:rPr>
        <w:t>Study Design</w:t>
      </w:r>
    </w:p>
    <w:p w:rsidR="008532DE" w:rsidP="00B50852" w14:paraId="37DE749A" w14:textId="60B4235A">
      <w:pPr>
        <w:spacing w:after="0"/>
      </w:pPr>
      <w:r w:rsidRPr="008532DE">
        <w:rPr>
          <w:rFonts w:ascii="Calibri" w:eastAsia="Calibri" w:hAnsi="Calibri" w:cs="Times New Roman"/>
        </w:rPr>
        <w:t xml:space="preserve">The proposed </w:t>
      </w:r>
      <w:r w:rsidR="00B50852">
        <w:rPr>
          <w:rFonts w:ascii="Calibri" w:eastAsia="Calibri" w:hAnsi="Calibri" w:cs="Times New Roman"/>
        </w:rPr>
        <w:t xml:space="preserve">formative </w:t>
      </w:r>
      <w:r w:rsidRPr="008532DE">
        <w:rPr>
          <w:rFonts w:ascii="Calibri" w:eastAsia="Calibri" w:hAnsi="Calibri" w:cs="Times New Roman"/>
        </w:rPr>
        <w:t xml:space="preserve">data collection will occur through 20 </w:t>
      </w:r>
      <w:r w:rsidR="00AC2BA6">
        <w:rPr>
          <w:rFonts w:ascii="Calibri" w:eastAsia="Calibri" w:hAnsi="Calibri" w:cs="Times New Roman"/>
        </w:rPr>
        <w:t>tele</w:t>
      </w:r>
      <w:r w:rsidRPr="008532DE">
        <w:rPr>
          <w:rFonts w:ascii="Calibri" w:eastAsia="Calibri" w:hAnsi="Calibri" w:cs="Times New Roman"/>
        </w:rPr>
        <w:t xml:space="preserve">phone interviews with PREP grantees and providers and </w:t>
      </w:r>
      <w:r w:rsidR="00D93B45">
        <w:rPr>
          <w:rFonts w:ascii="Calibri" w:eastAsia="Calibri" w:hAnsi="Calibri" w:cs="Times New Roman"/>
        </w:rPr>
        <w:t>an</w:t>
      </w:r>
      <w:r w:rsidR="00C65829">
        <w:rPr>
          <w:rFonts w:ascii="Calibri" w:eastAsia="Calibri" w:hAnsi="Calibri" w:cs="Times New Roman"/>
        </w:rPr>
        <w:t xml:space="preserve"> </w:t>
      </w:r>
      <w:r w:rsidRPr="008532DE">
        <w:rPr>
          <w:rFonts w:ascii="Calibri" w:eastAsia="Calibri" w:hAnsi="Calibri" w:cs="Times New Roman"/>
        </w:rPr>
        <w:t xml:space="preserve">in-person site visit to </w:t>
      </w:r>
      <w:r w:rsidR="00C65829">
        <w:rPr>
          <w:rFonts w:ascii="Calibri" w:eastAsia="Calibri" w:hAnsi="Calibri" w:cs="Times New Roman"/>
        </w:rPr>
        <w:t xml:space="preserve">each of </w:t>
      </w:r>
      <w:r w:rsidRPr="008532DE" w:rsidR="0092071E">
        <w:rPr>
          <w:rFonts w:ascii="Calibri" w:eastAsia="Calibri" w:hAnsi="Calibri" w:cs="Times New Roman"/>
        </w:rPr>
        <w:t>t</w:t>
      </w:r>
      <w:r w:rsidRPr="008532DE">
        <w:rPr>
          <w:rFonts w:ascii="Calibri" w:eastAsia="Calibri" w:hAnsi="Calibri" w:cs="Times New Roman"/>
        </w:rPr>
        <w:t xml:space="preserve">hree PREP grantees. </w:t>
      </w:r>
      <w:r w:rsidRPr="008532DE" w:rsidR="0092071E">
        <w:rPr>
          <w:rFonts w:ascii="Calibri" w:eastAsia="Calibri" w:hAnsi="Calibri" w:cs="Times New Roman"/>
        </w:rPr>
        <w:t xml:space="preserve">The site visits will include interviews with program </w:t>
      </w:r>
      <w:r w:rsidR="009E35B3">
        <w:rPr>
          <w:rFonts w:ascii="Calibri" w:eastAsia="Calibri" w:hAnsi="Calibri" w:cs="Times New Roman"/>
        </w:rPr>
        <w:t>leaders and managers</w:t>
      </w:r>
      <w:r w:rsidRPr="008532DE" w:rsidR="0092071E">
        <w:rPr>
          <w:rFonts w:ascii="Calibri" w:eastAsia="Calibri" w:hAnsi="Calibri" w:cs="Times New Roman"/>
        </w:rPr>
        <w:t xml:space="preserve">, interviews with </w:t>
      </w:r>
      <w:r w:rsidR="00D93B45">
        <w:rPr>
          <w:rFonts w:ascii="Calibri" w:eastAsia="Calibri" w:hAnsi="Calibri" w:cs="Times New Roman"/>
        </w:rPr>
        <w:t xml:space="preserve">program </w:t>
      </w:r>
      <w:r w:rsidRPr="008532DE" w:rsidR="0092071E">
        <w:rPr>
          <w:rFonts w:ascii="Calibri" w:eastAsia="Calibri" w:hAnsi="Calibri" w:cs="Times New Roman"/>
        </w:rPr>
        <w:t xml:space="preserve">facilitators, focus groups with community </w:t>
      </w:r>
      <w:r w:rsidR="00C65829">
        <w:rPr>
          <w:rFonts w:ascii="Calibri" w:eastAsia="Calibri" w:hAnsi="Calibri" w:cs="Times New Roman"/>
        </w:rPr>
        <w:t>members</w:t>
      </w:r>
      <w:r w:rsidRPr="008532DE" w:rsidR="0092071E">
        <w:rPr>
          <w:rFonts w:ascii="Calibri" w:eastAsia="Calibri" w:hAnsi="Calibri" w:cs="Times New Roman"/>
        </w:rPr>
        <w:t xml:space="preserve"> (including parents), </w:t>
      </w:r>
      <w:r w:rsidR="00C65829">
        <w:rPr>
          <w:rFonts w:ascii="Calibri" w:eastAsia="Calibri" w:hAnsi="Calibri" w:cs="Times New Roman"/>
        </w:rPr>
        <w:t xml:space="preserve">and </w:t>
      </w:r>
      <w:r w:rsidRPr="008532DE" w:rsidR="0092071E">
        <w:rPr>
          <w:rFonts w:ascii="Calibri" w:eastAsia="Calibri" w:hAnsi="Calibri" w:cs="Times New Roman"/>
        </w:rPr>
        <w:t xml:space="preserve">focus groups </w:t>
      </w:r>
      <w:r w:rsidRPr="008532DE">
        <w:rPr>
          <w:rFonts w:ascii="Calibri" w:eastAsia="Calibri" w:hAnsi="Calibri" w:cs="Times New Roman"/>
        </w:rPr>
        <w:t>with</w:t>
      </w:r>
      <w:r w:rsidRPr="008532DE" w:rsidR="0092071E">
        <w:rPr>
          <w:rFonts w:ascii="Calibri" w:eastAsia="Calibri" w:hAnsi="Calibri" w:cs="Times New Roman"/>
        </w:rPr>
        <w:t xml:space="preserve"> youth </w:t>
      </w:r>
      <w:r w:rsidRPr="008532DE">
        <w:rPr>
          <w:rFonts w:ascii="Calibri" w:eastAsia="Calibri" w:hAnsi="Calibri" w:cs="Times New Roman"/>
        </w:rPr>
        <w:t>participat</w:t>
      </w:r>
      <w:r w:rsidR="005238FE">
        <w:rPr>
          <w:rFonts w:ascii="Calibri" w:eastAsia="Calibri" w:hAnsi="Calibri" w:cs="Times New Roman"/>
        </w:rPr>
        <w:t>ing</w:t>
      </w:r>
      <w:r w:rsidR="00D93B45">
        <w:rPr>
          <w:rFonts w:ascii="Calibri" w:eastAsia="Calibri" w:hAnsi="Calibri" w:cs="Times New Roman"/>
        </w:rPr>
        <w:t xml:space="preserve"> in PREP programming</w:t>
      </w:r>
      <w:r w:rsidRPr="008532DE" w:rsidR="0092071E">
        <w:rPr>
          <w:rFonts w:ascii="Calibri" w:eastAsia="Calibri" w:hAnsi="Calibri" w:cs="Times New Roman"/>
        </w:rPr>
        <w:t xml:space="preserve">. </w:t>
      </w:r>
      <w:r>
        <w:rPr>
          <w:rFonts w:ascii="Calibri" w:eastAsia="Calibri" w:hAnsi="Calibri" w:cs="Times New Roman"/>
        </w:rPr>
        <w:t xml:space="preserve">These </w:t>
      </w:r>
      <w:r w:rsidR="00CD63CE">
        <w:rPr>
          <w:rFonts w:ascii="Calibri" w:eastAsia="Calibri" w:hAnsi="Calibri" w:cs="Times New Roman"/>
        </w:rPr>
        <w:t xml:space="preserve">various </w:t>
      </w:r>
      <w:r w:rsidR="00274FCF">
        <w:rPr>
          <w:rFonts w:ascii="Calibri" w:eastAsia="Calibri" w:hAnsi="Calibri" w:cs="Times New Roman"/>
        </w:rPr>
        <w:t>activities</w:t>
      </w:r>
      <w:r>
        <w:rPr>
          <w:rFonts w:ascii="Calibri" w:eastAsia="Calibri" w:hAnsi="Calibri" w:cs="Times New Roman"/>
        </w:rPr>
        <w:t xml:space="preserve"> are described below. In addition, </w:t>
      </w:r>
      <w:r w:rsidRPr="008813EA">
        <w:t xml:space="preserve">Table A.1 includes </w:t>
      </w:r>
      <w:r>
        <w:t>a study design summary, including respondents</w:t>
      </w:r>
      <w:r w:rsidRPr="008813EA">
        <w:t>, content, purpose, mode</w:t>
      </w:r>
      <w:r w:rsidR="00311FC8">
        <w:t xml:space="preserve">, </w:t>
      </w:r>
      <w:r w:rsidRPr="008813EA">
        <w:t xml:space="preserve">and </w:t>
      </w:r>
      <w:r w:rsidRPr="008813EA">
        <w:rPr>
          <w:bCs/>
        </w:rPr>
        <w:t>duration</w:t>
      </w:r>
      <w:r w:rsidRPr="008813EA">
        <w:t xml:space="preserve"> of the data collection</w:t>
      </w:r>
      <w:r w:rsidR="00C65829">
        <w:t xml:space="preserve"> activities.</w:t>
      </w:r>
    </w:p>
    <w:p w:rsidR="00B50852" w:rsidRPr="00757263" w:rsidP="00077E16" w14:paraId="25F8D5F6" w14:textId="77777777">
      <w:pPr>
        <w:spacing w:after="0"/>
      </w:pPr>
    </w:p>
    <w:p w:rsidR="00CD63CE" w:rsidP="00B50852" w14:paraId="05D72922" w14:textId="18C2E9F3">
      <w:pPr>
        <w:spacing w:after="0"/>
        <w:rPr>
          <w:rFonts w:ascii="Calibri" w:eastAsia="Calibri" w:hAnsi="Calibri" w:cs="Times New Roman"/>
        </w:rPr>
      </w:pPr>
      <w:r w:rsidRPr="008532DE">
        <w:rPr>
          <w:rFonts w:ascii="Calibri" w:eastAsia="Calibri" w:hAnsi="Calibri" w:cs="Times New Roman"/>
        </w:rPr>
        <w:t xml:space="preserve">For the </w:t>
      </w:r>
      <w:r w:rsidR="00AC2BA6">
        <w:rPr>
          <w:rFonts w:ascii="Calibri" w:eastAsia="Calibri" w:hAnsi="Calibri" w:cs="Times New Roman"/>
        </w:rPr>
        <w:t>tele</w:t>
      </w:r>
      <w:r w:rsidRPr="008532DE">
        <w:rPr>
          <w:rFonts w:ascii="Calibri" w:eastAsia="Calibri" w:hAnsi="Calibri" w:cs="Times New Roman"/>
        </w:rPr>
        <w:t xml:space="preserve">phone </w:t>
      </w:r>
      <w:r w:rsidRPr="008532DE" w:rsidR="008532DE">
        <w:rPr>
          <w:rFonts w:ascii="Calibri" w:eastAsia="Calibri" w:hAnsi="Calibri" w:cs="Times New Roman"/>
        </w:rPr>
        <w:t>interviews</w:t>
      </w:r>
      <w:r w:rsidRPr="008532DE">
        <w:rPr>
          <w:rFonts w:ascii="Calibri" w:eastAsia="Calibri" w:hAnsi="Calibri" w:cs="Times New Roman"/>
        </w:rPr>
        <w:t xml:space="preserve">, the team will identify up to 20 PREP grantees </w:t>
      </w:r>
      <w:r>
        <w:rPr>
          <w:rFonts w:ascii="Calibri" w:eastAsia="Calibri" w:hAnsi="Calibri" w:cs="Times New Roman"/>
        </w:rPr>
        <w:t xml:space="preserve">or </w:t>
      </w:r>
      <w:r w:rsidRPr="008532DE">
        <w:rPr>
          <w:rFonts w:ascii="Calibri" w:eastAsia="Calibri" w:hAnsi="Calibri" w:cs="Times New Roman"/>
        </w:rPr>
        <w:t xml:space="preserve">providers from among the universe of all PREP grantees </w:t>
      </w:r>
      <w:r w:rsidR="00A9764C">
        <w:rPr>
          <w:rFonts w:ascii="Calibri" w:eastAsia="Calibri" w:hAnsi="Calibri" w:cs="Times New Roman"/>
        </w:rPr>
        <w:t>(</w:t>
      </w:r>
      <w:r w:rsidRPr="008532DE">
        <w:rPr>
          <w:rFonts w:ascii="Calibri" w:eastAsia="Calibri" w:hAnsi="Calibri" w:cs="Times New Roman"/>
        </w:rPr>
        <w:t>including Competitive PREP, State PREP, Tribal PREP, and Personal Responsibility Education Innovative Strategies (PREIS) grantees</w:t>
      </w:r>
      <w:r w:rsidR="00A86290">
        <w:rPr>
          <w:rFonts w:ascii="Calibri" w:eastAsia="Calibri" w:hAnsi="Calibri" w:cs="Times New Roman"/>
        </w:rPr>
        <w:t>)</w:t>
      </w:r>
      <w:r w:rsidR="00B948FE">
        <w:rPr>
          <w:rFonts w:ascii="Calibri" w:eastAsia="Calibri" w:hAnsi="Calibri" w:cs="Times New Roman"/>
        </w:rPr>
        <w:t>, and their providers</w:t>
      </w:r>
      <w:r w:rsidRPr="008532DE">
        <w:rPr>
          <w:rFonts w:ascii="Calibri" w:eastAsia="Calibri" w:hAnsi="Calibri" w:cs="Times New Roman"/>
        </w:rPr>
        <w:t xml:space="preserve">. </w:t>
      </w:r>
      <w:r w:rsidRPr="008813EA" w:rsidR="008532DE">
        <w:rPr>
          <w:iCs/>
        </w:rPr>
        <w:t xml:space="preserve">To </w:t>
      </w:r>
      <w:r w:rsidRPr="008813EA" w:rsidR="008532DE">
        <w:t>understand</w:t>
      </w:r>
      <w:r w:rsidRPr="008813EA" w:rsidR="008532DE">
        <w:rPr>
          <w:iCs/>
        </w:rPr>
        <w:t xml:space="preserve"> </w:t>
      </w:r>
      <w:r w:rsidR="008532DE">
        <w:rPr>
          <w:iCs/>
        </w:rPr>
        <w:t xml:space="preserve">program experiences </w:t>
      </w:r>
      <w:r w:rsidR="00421DFA">
        <w:rPr>
          <w:iCs/>
        </w:rPr>
        <w:t xml:space="preserve">selecting or </w:t>
      </w:r>
      <w:r w:rsidR="008532DE">
        <w:rPr>
          <w:iCs/>
        </w:rPr>
        <w:t xml:space="preserve">designing and </w:t>
      </w:r>
      <w:r w:rsidR="00274FCF">
        <w:rPr>
          <w:iCs/>
        </w:rPr>
        <w:t>delivering</w:t>
      </w:r>
      <w:r w:rsidR="008532DE">
        <w:rPr>
          <w:iCs/>
        </w:rPr>
        <w:t xml:space="preserve"> APS content to youth, </w:t>
      </w:r>
      <w:r w:rsidR="00C65829">
        <w:rPr>
          <w:iCs/>
        </w:rPr>
        <w:t>the study team will focus d</w:t>
      </w:r>
      <w:r w:rsidRPr="008813EA" w:rsidR="008532DE">
        <w:rPr>
          <w:iCs/>
        </w:rPr>
        <w:t xml:space="preserve">ata collection on </w:t>
      </w:r>
      <w:r w:rsidR="008532DE">
        <w:rPr>
          <w:iCs/>
        </w:rPr>
        <w:t xml:space="preserve">a diverse set of grantees and providers who deliver several of the most commonly </w:t>
      </w:r>
      <w:r w:rsidR="00274FCF">
        <w:rPr>
          <w:iCs/>
        </w:rPr>
        <w:t>implemented</w:t>
      </w:r>
      <w:r w:rsidR="008532DE">
        <w:rPr>
          <w:iCs/>
        </w:rPr>
        <w:t xml:space="preserve"> APS</w:t>
      </w:r>
      <w:r w:rsidR="006578E0">
        <w:rPr>
          <w:iCs/>
        </w:rPr>
        <w:t>s</w:t>
      </w:r>
      <w:r w:rsidR="008532DE">
        <w:rPr>
          <w:iCs/>
        </w:rPr>
        <w:t xml:space="preserve">. </w:t>
      </w:r>
      <w:r w:rsidRPr="008532DE">
        <w:rPr>
          <w:rFonts w:ascii="Calibri" w:eastAsia="Calibri" w:hAnsi="Calibri" w:cs="Times New Roman"/>
        </w:rPr>
        <w:t xml:space="preserve">Organizations will be selected into the study based in part on PREP performance measures data that </w:t>
      </w:r>
      <w:r w:rsidR="007F2641">
        <w:rPr>
          <w:rFonts w:ascii="Calibri" w:eastAsia="Calibri" w:hAnsi="Calibri" w:cs="Times New Roman"/>
        </w:rPr>
        <w:t>grantees</w:t>
      </w:r>
      <w:r w:rsidRPr="008532DE" w:rsidR="007F2641">
        <w:rPr>
          <w:rFonts w:ascii="Calibri" w:eastAsia="Calibri" w:hAnsi="Calibri" w:cs="Times New Roman"/>
        </w:rPr>
        <w:t xml:space="preserve"> </w:t>
      </w:r>
      <w:r w:rsidRPr="008532DE">
        <w:rPr>
          <w:rFonts w:ascii="Calibri" w:eastAsia="Calibri" w:hAnsi="Calibri" w:cs="Times New Roman"/>
        </w:rPr>
        <w:t xml:space="preserve">are required to complete. </w:t>
      </w:r>
      <w:r w:rsidR="007F2641">
        <w:rPr>
          <w:rFonts w:ascii="Calibri" w:eastAsia="Calibri" w:hAnsi="Calibri" w:cs="Times New Roman"/>
        </w:rPr>
        <w:t>Through the</w:t>
      </w:r>
      <w:r w:rsidRPr="008532DE">
        <w:rPr>
          <w:rFonts w:ascii="Calibri" w:eastAsia="Calibri" w:hAnsi="Calibri" w:cs="Times New Roman"/>
        </w:rPr>
        <w:t xml:space="preserve"> </w:t>
      </w:r>
      <w:r w:rsidR="005238FE">
        <w:rPr>
          <w:rFonts w:ascii="Calibri" w:eastAsia="Calibri" w:hAnsi="Calibri" w:cs="Times New Roman"/>
        </w:rPr>
        <w:t xml:space="preserve">PREP </w:t>
      </w:r>
      <w:r w:rsidRPr="008532DE">
        <w:rPr>
          <w:rFonts w:ascii="Calibri" w:eastAsia="Calibri" w:hAnsi="Calibri" w:cs="Times New Roman"/>
        </w:rPr>
        <w:t>performance measure</w:t>
      </w:r>
      <w:r w:rsidR="007F2641">
        <w:rPr>
          <w:rFonts w:ascii="Calibri" w:eastAsia="Calibri" w:hAnsi="Calibri" w:cs="Times New Roman"/>
        </w:rPr>
        <w:t>s</w:t>
      </w:r>
      <w:r w:rsidR="00A7518B">
        <w:rPr>
          <w:rFonts w:ascii="Calibri" w:eastAsia="Calibri" w:hAnsi="Calibri" w:cs="Times New Roman"/>
        </w:rPr>
        <w:t xml:space="preserve"> (</w:t>
      </w:r>
      <w:r w:rsidRPr="008A532C" w:rsidR="00A7518B">
        <w:rPr>
          <w:rFonts w:eastAsia="Times New Roman" w:cstheme="minorHAnsi"/>
          <w:iCs/>
          <w:color w:val="000000"/>
        </w:rPr>
        <w:t xml:space="preserve">OMB </w:t>
      </w:r>
      <w:r w:rsidR="00B50852">
        <w:rPr>
          <w:rFonts w:eastAsia="Times New Roman" w:cstheme="minorHAnsi"/>
          <w:iCs/>
          <w:color w:val="000000"/>
        </w:rPr>
        <w:t>#</w:t>
      </w:r>
      <w:r w:rsidRPr="00A7518B" w:rsidR="00A7518B">
        <w:rPr>
          <w:rFonts w:eastAsia="Times New Roman" w:cstheme="minorHAnsi"/>
          <w:iCs/>
          <w:color w:val="000000"/>
        </w:rPr>
        <w:t xml:space="preserve"> 0970-0497; Exp Date 06/30/2023</w:t>
      </w:r>
      <w:r>
        <w:rPr>
          <w:rStyle w:val="FootnoteReference"/>
          <w:rFonts w:eastAsia="Times New Roman" w:cstheme="minorHAnsi"/>
          <w:iCs/>
          <w:color w:val="000000"/>
        </w:rPr>
        <w:footnoteReference w:id="2"/>
      </w:r>
      <w:r w:rsidR="00E02AB1">
        <w:rPr>
          <w:rFonts w:eastAsia="Times New Roman" w:cstheme="minorHAnsi"/>
          <w:iCs/>
          <w:color w:val="000000"/>
        </w:rPr>
        <w:t xml:space="preserve">) </w:t>
      </w:r>
      <w:r w:rsidR="007F2641">
        <w:rPr>
          <w:rFonts w:ascii="Calibri" w:eastAsia="Calibri" w:hAnsi="Calibri" w:cs="Times New Roman"/>
        </w:rPr>
        <w:t xml:space="preserve">grantees report about </w:t>
      </w:r>
      <w:r w:rsidRPr="008532DE">
        <w:rPr>
          <w:rFonts w:ascii="Calibri" w:eastAsia="Calibri" w:hAnsi="Calibri" w:cs="Times New Roman"/>
        </w:rPr>
        <w:t xml:space="preserve">the </w:t>
      </w:r>
      <w:r w:rsidR="008F026A">
        <w:rPr>
          <w:rFonts w:ascii="Calibri" w:eastAsia="Calibri" w:hAnsi="Calibri" w:cs="Times New Roman"/>
        </w:rPr>
        <w:t xml:space="preserve">youth </w:t>
      </w:r>
      <w:r w:rsidRPr="008532DE">
        <w:rPr>
          <w:rFonts w:ascii="Calibri" w:eastAsia="Calibri" w:hAnsi="Calibri" w:cs="Times New Roman"/>
        </w:rPr>
        <w:t xml:space="preserve">populations </w:t>
      </w:r>
      <w:r w:rsidR="007F2641">
        <w:rPr>
          <w:rFonts w:ascii="Calibri" w:eastAsia="Calibri" w:hAnsi="Calibri" w:cs="Times New Roman"/>
        </w:rPr>
        <w:t>their providers</w:t>
      </w:r>
      <w:r w:rsidRPr="008532DE" w:rsidR="007F2641">
        <w:rPr>
          <w:rFonts w:ascii="Calibri" w:eastAsia="Calibri" w:hAnsi="Calibri" w:cs="Times New Roman"/>
        </w:rPr>
        <w:t xml:space="preserve"> </w:t>
      </w:r>
      <w:r w:rsidRPr="008532DE">
        <w:rPr>
          <w:rFonts w:ascii="Calibri" w:eastAsia="Calibri" w:hAnsi="Calibri" w:cs="Times New Roman"/>
        </w:rPr>
        <w:t xml:space="preserve">serve and the settings in which </w:t>
      </w:r>
      <w:r w:rsidR="008F026A">
        <w:rPr>
          <w:rFonts w:ascii="Calibri" w:eastAsia="Calibri" w:hAnsi="Calibri" w:cs="Times New Roman"/>
        </w:rPr>
        <w:t>the</w:t>
      </w:r>
      <w:r w:rsidR="009624F3">
        <w:rPr>
          <w:rFonts w:ascii="Calibri" w:eastAsia="Calibri" w:hAnsi="Calibri" w:cs="Times New Roman"/>
        </w:rPr>
        <w:t xml:space="preserve">y </w:t>
      </w:r>
      <w:r w:rsidR="008F026A">
        <w:rPr>
          <w:rFonts w:ascii="Calibri" w:eastAsia="Calibri" w:hAnsi="Calibri" w:cs="Times New Roman"/>
        </w:rPr>
        <w:t>se</w:t>
      </w:r>
      <w:r w:rsidR="009624F3">
        <w:rPr>
          <w:rFonts w:ascii="Calibri" w:eastAsia="Calibri" w:hAnsi="Calibri" w:cs="Times New Roman"/>
        </w:rPr>
        <w:t>rve them</w:t>
      </w:r>
      <w:r w:rsidRPr="008532DE">
        <w:rPr>
          <w:rFonts w:ascii="Calibri" w:eastAsia="Calibri" w:hAnsi="Calibri" w:cs="Times New Roman"/>
        </w:rPr>
        <w:t xml:space="preserve">. Using existing </w:t>
      </w:r>
      <w:r w:rsidR="009624F3">
        <w:rPr>
          <w:rFonts w:ascii="Calibri" w:eastAsia="Calibri" w:hAnsi="Calibri" w:cs="Times New Roman"/>
        </w:rPr>
        <w:t xml:space="preserve">PREP </w:t>
      </w:r>
      <w:r w:rsidRPr="008532DE">
        <w:rPr>
          <w:rFonts w:ascii="Calibri" w:eastAsia="Calibri" w:hAnsi="Calibri" w:cs="Times New Roman"/>
        </w:rPr>
        <w:t xml:space="preserve">data will </w:t>
      </w:r>
      <w:r w:rsidR="00FF573B">
        <w:rPr>
          <w:rFonts w:ascii="Calibri" w:eastAsia="Calibri" w:hAnsi="Calibri" w:cs="Times New Roman"/>
        </w:rPr>
        <w:t>enable</w:t>
      </w:r>
      <w:r w:rsidRPr="008532DE" w:rsidR="00FF573B">
        <w:rPr>
          <w:rFonts w:ascii="Calibri" w:eastAsia="Calibri" w:hAnsi="Calibri" w:cs="Times New Roman"/>
        </w:rPr>
        <w:t xml:space="preserve"> </w:t>
      </w:r>
      <w:r w:rsidRPr="008532DE">
        <w:rPr>
          <w:rFonts w:ascii="Calibri" w:eastAsia="Calibri" w:hAnsi="Calibri" w:cs="Times New Roman"/>
        </w:rPr>
        <w:t>the study team to identify and recruit a diverse sample of PR</w:t>
      </w:r>
      <w:r w:rsidR="00C65829">
        <w:rPr>
          <w:rFonts w:ascii="Calibri" w:eastAsia="Calibri" w:hAnsi="Calibri" w:cs="Times New Roman"/>
        </w:rPr>
        <w:t>EP</w:t>
      </w:r>
      <w:r w:rsidRPr="008532DE">
        <w:rPr>
          <w:rFonts w:ascii="Calibri" w:eastAsia="Calibri" w:hAnsi="Calibri" w:cs="Times New Roman"/>
        </w:rPr>
        <w:t xml:space="preserve"> grantees and provider organizations that vary by funding stream, method of addressing APS</w:t>
      </w:r>
      <w:r w:rsidR="006578E0">
        <w:rPr>
          <w:rFonts w:ascii="Calibri" w:eastAsia="Calibri" w:hAnsi="Calibri" w:cs="Times New Roman"/>
        </w:rPr>
        <w:t>s</w:t>
      </w:r>
      <w:r w:rsidRPr="008532DE">
        <w:rPr>
          <w:rFonts w:ascii="Calibri" w:eastAsia="Calibri" w:hAnsi="Calibri" w:cs="Times New Roman"/>
        </w:rPr>
        <w:t xml:space="preserve">, and population of youth served. </w:t>
      </w:r>
      <w:r w:rsidR="00B948FE">
        <w:rPr>
          <w:rFonts w:ascii="Calibri" w:eastAsia="Calibri" w:hAnsi="Calibri" w:cs="Times New Roman"/>
        </w:rPr>
        <w:t xml:space="preserve">In addition, </w:t>
      </w:r>
      <w:r w:rsidR="00B50852">
        <w:rPr>
          <w:rFonts w:ascii="Calibri" w:eastAsia="Calibri" w:hAnsi="Calibri" w:cs="Times New Roman"/>
        </w:rPr>
        <w:t>ACF program staff will</w:t>
      </w:r>
      <w:r w:rsidR="00D93B45">
        <w:rPr>
          <w:rFonts w:ascii="Calibri" w:eastAsia="Calibri" w:hAnsi="Calibri" w:cs="Times New Roman"/>
        </w:rPr>
        <w:t xml:space="preserve"> help</w:t>
      </w:r>
      <w:r w:rsidR="00B948FE">
        <w:rPr>
          <w:rFonts w:ascii="Calibri" w:eastAsia="Calibri" w:hAnsi="Calibri" w:cs="Times New Roman"/>
        </w:rPr>
        <w:t xml:space="preserve"> purposefully select grantees and providers for the interviews, prioritizing those organizations that are </w:t>
      </w:r>
      <w:r w:rsidRPr="008532DE">
        <w:rPr>
          <w:rFonts w:ascii="Calibri" w:eastAsia="Calibri" w:hAnsi="Calibri" w:cs="Times New Roman"/>
        </w:rPr>
        <w:t>implement</w:t>
      </w:r>
      <w:r w:rsidR="00B948FE">
        <w:rPr>
          <w:rFonts w:ascii="Calibri" w:eastAsia="Calibri" w:hAnsi="Calibri" w:cs="Times New Roman"/>
        </w:rPr>
        <w:t>ing</w:t>
      </w:r>
      <w:r w:rsidRPr="008532DE">
        <w:rPr>
          <w:rFonts w:ascii="Calibri" w:eastAsia="Calibri" w:hAnsi="Calibri" w:cs="Times New Roman"/>
        </w:rPr>
        <w:t xml:space="preserve"> innovative APS programming, have adapt</w:t>
      </w:r>
      <w:r w:rsidR="009624F3">
        <w:rPr>
          <w:rFonts w:ascii="Calibri" w:eastAsia="Calibri" w:hAnsi="Calibri" w:cs="Times New Roman"/>
        </w:rPr>
        <w:t xml:space="preserve">ed APS </w:t>
      </w:r>
      <w:r w:rsidRPr="008532DE">
        <w:rPr>
          <w:rFonts w:ascii="Calibri" w:eastAsia="Calibri" w:hAnsi="Calibri" w:cs="Times New Roman"/>
        </w:rPr>
        <w:t xml:space="preserve">for cultural relevance, </w:t>
      </w:r>
      <w:r w:rsidR="00B948FE">
        <w:rPr>
          <w:rFonts w:ascii="Calibri" w:eastAsia="Calibri" w:hAnsi="Calibri" w:cs="Times New Roman"/>
        </w:rPr>
        <w:t>or</w:t>
      </w:r>
      <w:r w:rsidRPr="008532DE">
        <w:rPr>
          <w:rFonts w:ascii="Calibri" w:eastAsia="Calibri" w:hAnsi="Calibri" w:cs="Times New Roman"/>
        </w:rPr>
        <w:t xml:space="preserve"> </w:t>
      </w:r>
      <w:r w:rsidR="00B948FE">
        <w:rPr>
          <w:rFonts w:ascii="Calibri" w:eastAsia="Calibri" w:hAnsi="Calibri" w:cs="Times New Roman"/>
        </w:rPr>
        <w:t xml:space="preserve">are </w:t>
      </w:r>
      <w:r w:rsidRPr="008532DE">
        <w:rPr>
          <w:rFonts w:ascii="Calibri" w:eastAsia="Calibri" w:hAnsi="Calibri" w:cs="Times New Roman"/>
        </w:rPr>
        <w:t>serv</w:t>
      </w:r>
      <w:r w:rsidR="00B948FE">
        <w:rPr>
          <w:rFonts w:ascii="Calibri" w:eastAsia="Calibri" w:hAnsi="Calibri" w:cs="Times New Roman"/>
        </w:rPr>
        <w:t xml:space="preserve">ing </w:t>
      </w:r>
      <w:r w:rsidRPr="008532DE">
        <w:rPr>
          <w:rFonts w:ascii="Calibri" w:eastAsia="Calibri" w:hAnsi="Calibri" w:cs="Times New Roman"/>
        </w:rPr>
        <w:t>subgroups of youth that may have particularly useful insights on cultural relevance</w:t>
      </w:r>
      <w:r w:rsidRPr="00336614" w:rsidR="00336614">
        <w:rPr>
          <w:rFonts w:ascii="Calibri" w:eastAsia="Calibri" w:hAnsi="Calibri" w:cs="Times New Roman"/>
        </w:rPr>
        <w:t>—</w:t>
      </w:r>
      <w:r w:rsidR="00746573">
        <w:rPr>
          <w:rFonts w:ascii="Calibri" w:eastAsia="Calibri" w:hAnsi="Calibri" w:cs="Times New Roman"/>
        </w:rPr>
        <w:t xml:space="preserve">for example, </w:t>
      </w:r>
      <w:r w:rsidR="00C65829">
        <w:rPr>
          <w:rFonts w:ascii="Calibri" w:eastAsia="Calibri" w:hAnsi="Calibri" w:cs="Times New Roman"/>
        </w:rPr>
        <w:t>those</w:t>
      </w:r>
      <w:r w:rsidRPr="008532DE">
        <w:rPr>
          <w:rFonts w:ascii="Calibri" w:eastAsia="Calibri" w:hAnsi="Calibri" w:cs="Times New Roman"/>
        </w:rPr>
        <w:t xml:space="preserve"> serving </w:t>
      </w:r>
      <w:r w:rsidR="00336614">
        <w:rPr>
          <w:rFonts w:ascii="Calibri" w:eastAsia="Calibri" w:hAnsi="Calibri" w:cs="Times New Roman"/>
        </w:rPr>
        <w:t>t</w:t>
      </w:r>
      <w:r w:rsidRPr="008532DE">
        <w:rPr>
          <w:rFonts w:ascii="Calibri" w:eastAsia="Calibri" w:hAnsi="Calibri" w:cs="Times New Roman"/>
        </w:rPr>
        <w:t xml:space="preserve">ribal </w:t>
      </w:r>
      <w:r w:rsidR="00DF44C9">
        <w:rPr>
          <w:rFonts w:ascii="Calibri" w:eastAsia="Calibri" w:hAnsi="Calibri" w:cs="Times New Roman"/>
        </w:rPr>
        <w:t xml:space="preserve">and </w:t>
      </w:r>
      <w:r w:rsidRPr="008532DE">
        <w:rPr>
          <w:rFonts w:ascii="Calibri" w:eastAsia="Calibri" w:hAnsi="Calibri" w:cs="Times New Roman"/>
        </w:rPr>
        <w:t>AI/AN</w:t>
      </w:r>
      <w:r w:rsidR="00C65829">
        <w:rPr>
          <w:rFonts w:ascii="Calibri" w:eastAsia="Calibri" w:hAnsi="Calibri" w:cs="Times New Roman"/>
        </w:rPr>
        <w:t xml:space="preserve"> </w:t>
      </w:r>
      <w:r w:rsidRPr="008532DE">
        <w:rPr>
          <w:rFonts w:ascii="Calibri" w:eastAsia="Calibri" w:hAnsi="Calibri" w:cs="Times New Roman"/>
        </w:rPr>
        <w:t xml:space="preserve">youth, Latino youth, youth living </w:t>
      </w:r>
      <w:r w:rsidR="00C65829">
        <w:rPr>
          <w:rFonts w:ascii="Calibri" w:eastAsia="Calibri" w:hAnsi="Calibri" w:cs="Times New Roman"/>
        </w:rPr>
        <w:t xml:space="preserve">in </w:t>
      </w:r>
      <w:r w:rsidRPr="008532DE">
        <w:rPr>
          <w:rFonts w:ascii="Calibri" w:eastAsia="Calibri" w:hAnsi="Calibri" w:cs="Times New Roman"/>
        </w:rPr>
        <w:t>rural areas, and youth living in child welfare or juvenile justice setting</w:t>
      </w:r>
      <w:r w:rsidR="00C65829">
        <w:rPr>
          <w:rFonts w:ascii="Calibri" w:eastAsia="Calibri" w:hAnsi="Calibri" w:cs="Times New Roman"/>
        </w:rPr>
        <w:t>s</w:t>
      </w:r>
      <w:r w:rsidRPr="008532DE">
        <w:rPr>
          <w:rFonts w:ascii="Calibri" w:eastAsia="Calibri" w:hAnsi="Calibri" w:cs="Times New Roman"/>
        </w:rPr>
        <w:t xml:space="preserve">. </w:t>
      </w:r>
      <w:r w:rsidRPr="008532DE" w:rsidR="008532DE">
        <w:rPr>
          <w:rFonts w:ascii="Calibri" w:eastAsia="Calibri" w:hAnsi="Calibri" w:cs="Times New Roman"/>
        </w:rPr>
        <w:t xml:space="preserve"> </w:t>
      </w:r>
    </w:p>
    <w:p w:rsidR="00B50852" w:rsidP="00077E16" w14:paraId="6152E9B5" w14:textId="77777777">
      <w:pPr>
        <w:spacing w:after="0"/>
        <w:rPr>
          <w:rFonts w:ascii="Calibri" w:eastAsia="Calibri" w:hAnsi="Calibri" w:cs="Times New Roman"/>
        </w:rPr>
      </w:pPr>
    </w:p>
    <w:p w:rsidR="008532DE" w:rsidP="00B50852" w14:paraId="60E224BD" w14:textId="03A21697">
      <w:pPr>
        <w:spacing w:after="0"/>
        <w:rPr>
          <w:rFonts w:ascii="Calibri" w:eastAsia="Calibri" w:hAnsi="Calibri" w:cs="Times New Roman"/>
        </w:rPr>
      </w:pPr>
      <w:r w:rsidRPr="008532DE">
        <w:rPr>
          <w:rFonts w:ascii="Calibri" w:eastAsia="Calibri" w:hAnsi="Calibri" w:cs="Times New Roman"/>
        </w:rPr>
        <w:t>Once the grantee</w:t>
      </w:r>
      <w:r w:rsidR="00B948FE">
        <w:rPr>
          <w:rFonts w:ascii="Calibri" w:eastAsia="Calibri" w:hAnsi="Calibri" w:cs="Times New Roman"/>
        </w:rPr>
        <w:t xml:space="preserve">s and providers </w:t>
      </w:r>
      <w:r w:rsidRPr="008532DE">
        <w:rPr>
          <w:rFonts w:ascii="Calibri" w:eastAsia="Calibri" w:hAnsi="Calibri" w:cs="Times New Roman"/>
        </w:rPr>
        <w:t xml:space="preserve">have been selected, </w:t>
      </w:r>
      <w:r w:rsidR="00B50852">
        <w:rPr>
          <w:rFonts w:ascii="Calibri" w:eastAsia="Calibri" w:hAnsi="Calibri" w:cs="Times New Roman"/>
        </w:rPr>
        <w:t>the study team</w:t>
      </w:r>
      <w:r w:rsidRPr="008532DE" w:rsidR="00B50852">
        <w:rPr>
          <w:rFonts w:ascii="Calibri" w:eastAsia="Calibri" w:hAnsi="Calibri" w:cs="Times New Roman"/>
        </w:rPr>
        <w:t xml:space="preserve"> </w:t>
      </w:r>
      <w:r w:rsidRPr="008532DE">
        <w:rPr>
          <w:rFonts w:ascii="Calibri" w:eastAsia="Calibri" w:hAnsi="Calibri" w:cs="Times New Roman"/>
        </w:rPr>
        <w:t xml:space="preserve">will </w:t>
      </w:r>
      <w:r>
        <w:rPr>
          <w:rFonts w:ascii="Calibri" w:eastAsia="Calibri" w:hAnsi="Calibri" w:cs="Times New Roman"/>
        </w:rPr>
        <w:t xml:space="preserve">notify them of the study and </w:t>
      </w:r>
      <w:r w:rsidRPr="008532DE">
        <w:rPr>
          <w:rFonts w:ascii="Calibri" w:eastAsia="Calibri" w:hAnsi="Calibri" w:cs="Times New Roman"/>
        </w:rPr>
        <w:t>invite the</w:t>
      </w:r>
      <w:r>
        <w:rPr>
          <w:rFonts w:ascii="Calibri" w:eastAsia="Calibri" w:hAnsi="Calibri" w:cs="Times New Roman"/>
        </w:rPr>
        <w:t>m to participate in an interview</w:t>
      </w:r>
      <w:r w:rsidR="00B50852">
        <w:rPr>
          <w:rFonts w:ascii="Calibri" w:eastAsia="Calibri" w:hAnsi="Calibri" w:cs="Times New Roman"/>
        </w:rPr>
        <w:t xml:space="preserve">. Pending OMB approval, </w:t>
      </w:r>
      <w:r w:rsidR="00887BEE">
        <w:rPr>
          <w:rFonts w:ascii="Calibri" w:eastAsia="Calibri" w:hAnsi="Calibri" w:cs="Times New Roman"/>
        </w:rPr>
        <w:t xml:space="preserve">we will conduct interviews </w:t>
      </w:r>
      <w:r w:rsidR="000F64BC">
        <w:rPr>
          <w:rFonts w:ascii="Calibri" w:eastAsia="Calibri" w:hAnsi="Calibri" w:cs="Times New Roman"/>
        </w:rPr>
        <w:t xml:space="preserve">between </w:t>
      </w:r>
      <w:r w:rsidR="00887BEE">
        <w:rPr>
          <w:rFonts w:ascii="Calibri" w:eastAsia="Calibri" w:hAnsi="Calibri" w:cs="Times New Roman"/>
        </w:rPr>
        <w:t xml:space="preserve">June </w:t>
      </w:r>
      <w:r w:rsidR="000F64BC">
        <w:rPr>
          <w:rFonts w:ascii="Calibri" w:eastAsia="Calibri" w:hAnsi="Calibri" w:cs="Times New Roman"/>
        </w:rPr>
        <w:t xml:space="preserve">and </w:t>
      </w:r>
      <w:r w:rsidR="00887BEE">
        <w:rPr>
          <w:rFonts w:ascii="Calibri" w:eastAsia="Calibri" w:hAnsi="Calibri" w:cs="Times New Roman"/>
        </w:rPr>
        <w:t>August 2023</w:t>
      </w:r>
      <w:r>
        <w:rPr>
          <w:rFonts w:ascii="Calibri" w:eastAsia="Calibri" w:hAnsi="Calibri" w:cs="Times New Roman"/>
        </w:rPr>
        <w:t>. (Appendix A includes outreach materials for the telephone interviews</w:t>
      </w:r>
      <w:r w:rsidR="00260F12">
        <w:rPr>
          <w:rFonts w:ascii="Calibri" w:eastAsia="Calibri" w:hAnsi="Calibri" w:cs="Times New Roman"/>
        </w:rPr>
        <w:t>,</w:t>
      </w:r>
      <w:r>
        <w:rPr>
          <w:rFonts w:ascii="Calibri" w:eastAsia="Calibri" w:hAnsi="Calibri" w:cs="Times New Roman"/>
        </w:rPr>
        <w:t xml:space="preserve"> and Instrument 1 includes the </w:t>
      </w:r>
      <w:r w:rsidR="00D93B45">
        <w:rPr>
          <w:rFonts w:ascii="Calibri" w:eastAsia="Calibri" w:hAnsi="Calibri" w:cs="Times New Roman"/>
        </w:rPr>
        <w:t xml:space="preserve">telephone </w:t>
      </w:r>
      <w:r>
        <w:rPr>
          <w:rFonts w:ascii="Calibri" w:eastAsia="Calibri" w:hAnsi="Calibri" w:cs="Times New Roman"/>
        </w:rPr>
        <w:t>interview topic guide</w:t>
      </w:r>
      <w:r w:rsidR="00887BEE">
        <w:rPr>
          <w:rFonts w:ascii="Calibri" w:eastAsia="Calibri" w:hAnsi="Calibri" w:cs="Times New Roman"/>
        </w:rPr>
        <w:t>.</w:t>
      </w:r>
      <w:r>
        <w:rPr>
          <w:rFonts w:ascii="Calibri" w:eastAsia="Calibri" w:hAnsi="Calibri" w:cs="Times New Roman"/>
        </w:rPr>
        <w:t xml:space="preserve">) </w:t>
      </w:r>
      <w:r w:rsidRPr="008532DE">
        <w:rPr>
          <w:rFonts w:ascii="Calibri" w:eastAsia="Calibri" w:hAnsi="Calibri" w:cs="Times New Roman"/>
        </w:rPr>
        <w:t>Respondents involved in</w:t>
      </w:r>
      <w:r w:rsidR="00C65829">
        <w:rPr>
          <w:rFonts w:ascii="Calibri" w:eastAsia="Calibri" w:hAnsi="Calibri" w:cs="Times New Roman"/>
        </w:rPr>
        <w:t xml:space="preserve"> the</w:t>
      </w:r>
      <w:r w:rsidRPr="008532DE">
        <w:rPr>
          <w:rFonts w:ascii="Calibri" w:eastAsia="Calibri" w:hAnsi="Calibri" w:cs="Times New Roman"/>
        </w:rPr>
        <w:t xml:space="preserve"> </w:t>
      </w:r>
      <w:r w:rsidR="00AC2BA6">
        <w:rPr>
          <w:rFonts w:ascii="Calibri" w:eastAsia="Calibri" w:hAnsi="Calibri" w:cs="Times New Roman"/>
        </w:rPr>
        <w:t>tele</w:t>
      </w:r>
      <w:r w:rsidRPr="008532DE">
        <w:rPr>
          <w:rFonts w:ascii="Calibri" w:eastAsia="Calibri" w:hAnsi="Calibri" w:cs="Times New Roman"/>
        </w:rPr>
        <w:t>phone interview data collection will be from a convenience sample; they may not be representative of all PREP grantees</w:t>
      </w:r>
      <w:r w:rsidR="00B948FE">
        <w:rPr>
          <w:rFonts w:ascii="Calibri" w:eastAsia="Calibri" w:hAnsi="Calibri" w:cs="Times New Roman"/>
        </w:rPr>
        <w:t xml:space="preserve"> and their providers</w:t>
      </w:r>
      <w:r w:rsidRPr="008532DE">
        <w:rPr>
          <w:rFonts w:ascii="Calibri" w:eastAsia="Calibri" w:hAnsi="Calibri" w:cs="Times New Roman"/>
        </w:rPr>
        <w:t>.</w:t>
      </w:r>
    </w:p>
    <w:p w:rsidR="00B50852" w:rsidRPr="00757263" w:rsidP="00077E16" w14:paraId="57ED5FC8" w14:textId="77777777">
      <w:pPr>
        <w:spacing w:after="0"/>
        <w:rPr>
          <w:rFonts w:ascii="Calibri" w:eastAsia="Calibri" w:hAnsi="Calibri" w:cs="Times New Roman"/>
        </w:rPr>
      </w:pPr>
    </w:p>
    <w:p w:rsidR="003B007A" w:rsidP="00B0353A" w14:paraId="76BF9400" w14:textId="39686EBC">
      <w:pPr>
        <w:spacing w:after="0"/>
        <w:rPr>
          <w:rFonts w:ascii="Calibri" w:eastAsia="Calibri" w:hAnsi="Calibri" w:cs="Times New Roman"/>
        </w:rPr>
      </w:pPr>
      <w:r w:rsidRPr="008532DE">
        <w:rPr>
          <w:rFonts w:ascii="Calibri" w:eastAsia="Calibri" w:hAnsi="Calibri" w:cs="Times New Roman"/>
        </w:rPr>
        <w:t xml:space="preserve">For the site </w:t>
      </w:r>
      <w:r w:rsidRPr="008532DE" w:rsidR="008532DE">
        <w:rPr>
          <w:rFonts w:ascii="Calibri" w:eastAsia="Calibri" w:hAnsi="Calibri" w:cs="Times New Roman"/>
        </w:rPr>
        <w:t>visits</w:t>
      </w:r>
      <w:r w:rsidRPr="008532DE">
        <w:rPr>
          <w:rFonts w:ascii="Calibri" w:eastAsia="Calibri" w:hAnsi="Calibri" w:cs="Times New Roman"/>
        </w:rPr>
        <w:t xml:space="preserve">, </w:t>
      </w:r>
      <w:r w:rsidR="00B50852">
        <w:rPr>
          <w:rFonts w:ascii="Calibri" w:eastAsia="Calibri" w:hAnsi="Calibri" w:cs="Times New Roman"/>
        </w:rPr>
        <w:t xml:space="preserve">Mathematica, OPRE, and </w:t>
      </w:r>
      <w:r w:rsidR="00127539">
        <w:rPr>
          <w:rFonts w:ascii="Calibri" w:eastAsia="Calibri" w:hAnsi="Calibri" w:cs="Times New Roman"/>
        </w:rPr>
        <w:t xml:space="preserve">FYSB project officers who work with grantees </w:t>
      </w:r>
      <w:r w:rsidR="00B50852">
        <w:rPr>
          <w:rFonts w:ascii="Calibri" w:eastAsia="Calibri" w:hAnsi="Calibri" w:cs="Times New Roman"/>
        </w:rPr>
        <w:t xml:space="preserve">will coordinate </w:t>
      </w:r>
      <w:r w:rsidRPr="008532DE" w:rsidR="00FA6380">
        <w:rPr>
          <w:rFonts w:ascii="Calibri" w:eastAsia="Calibri" w:hAnsi="Calibri" w:cs="Times New Roman"/>
        </w:rPr>
        <w:t xml:space="preserve">to identify three </w:t>
      </w:r>
      <w:r w:rsidR="007D7A58">
        <w:rPr>
          <w:rFonts w:ascii="Calibri" w:eastAsia="Calibri" w:hAnsi="Calibri" w:cs="Times New Roman"/>
        </w:rPr>
        <w:t xml:space="preserve">grantees </w:t>
      </w:r>
      <w:r w:rsidRPr="008532DE" w:rsidR="00FA6380">
        <w:rPr>
          <w:rFonts w:ascii="Calibri" w:eastAsia="Calibri" w:hAnsi="Calibri" w:cs="Times New Roman"/>
        </w:rPr>
        <w:t xml:space="preserve">to participate in an in-person site visit lasting two </w:t>
      </w:r>
      <w:r w:rsidR="00474C04">
        <w:rPr>
          <w:rFonts w:ascii="Calibri" w:eastAsia="Calibri" w:hAnsi="Calibri" w:cs="Times New Roman"/>
        </w:rPr>
        <w:t xml:space="preserve">to </w:t>
      </w:r>
      <w:r w:rsidRPr="008532DE" w:rsidR="00FA6380">
        <w:rPr>
          <w:rFonts w:ascii="Calibri" w:eastAsia="Calibri" w:hAnsi="Calibri" w:cs="Times New Roman"/>
        </w:rPr>
        <w:t xml:space="preserve">three days. </w:t>
      </w:r>
      <w:r w:rsidR="00127539">
        <w:rPr>
          <w:rFonts w:ascii="Calibri" w:eastAsia="Calibri" w:hAnsi="Calibri" w:cs="Times New Roman"/>
        </w:rPr>
        <w:t xml:space="preserve">We will </w:t>
      </w:r>
      <w:r w:rsidR="00C52C8D">
        <w:rPr>
          <w:rFonts w:ascii="Calibri" w:eastAsia="Calibri" w:hAnsi="Calibri" w:cs="Times New Roman"/>
        </w:rPr>
        <w:t xml:space="preserve">purposively </w:t>
      </w:r>
      <w:r w:rsidR="00127539">
        <w:rPr>
          <w:rFonts w:ascii="Calibri" w:eastAsia="Calibri" w:hAnsi="Calibri" w:cs="Times New Roman"/>
        </w:rPr>
        <w:t xml:space="preserve">select grantees with experience or insights related to adapting APS materials or implementing innovative APS-related </w:t>
      </w:r>
      <w:r w:rsidR="006B3F76">
        <w:rPr>
          <w:rFonts w:ascii="Calibri" w:eastAsia="Calibri" w:hAnsi="Calibri" w:cs="Times New Roman"/>
        </w:rPr>
        <w:t>content</w:t>
      </w:r>
      <w:r w:rsidR="00127539">
        <w:rPr>
          <w:rFonts w:ascii="Calibri" w:eastAsia="Calibri" w:hAnsi="Calibri" w:cs="Times New Roman"/>
        </w:rPr>
        <w:t xml:space="preserve">. </w:t>
      </w:r>
      <w:r>
        <w:rPr>
          <w:rFonts w:ascii="Calibri" w:eastAsia="Calibri" w:hAnsi="Calibri" w:cs="Times New Roman"/>
        </w:rPr>
        <w:t>With ACF’s input, w</w:t>
      </w:r>
      <w:r w:rsidR="00A12B40">
        <w:rPr>
          <w:rFonts w:ascii="Calibri" w:eastAsia="Calibri" w:hAnsi="Calibri" w:cs="Times New Roman"/>
        </w:rPr>
        <w:t xml:space="preserve">e </w:t>
      </w:r>
      <w:r>
        <w:rPr>
          <w:rFonts w:ascii="Calibri" w:eastAsia="Calibri" w:hAnsi="Calibri" w:cs="Times New Roman"/>
        </w:rPr>
        <w:t xml:space="preserve">will select grantees from two or more of the PREP funding streams (Competitive PREP, State PREP, Tribal PREP, and PREIS grant programs) with at least one Tribal PREP grantee represented. </w:t>
      </w:r>
      <w:r w:rsidR="00C52C8D">
        <w:rPr>
          <w:rFonts w:ascii="Calibri" w:eastAsia="Calibri" w:hAnsi="Calibri" w:cs="Times New Roman"/>
        </w:rPr>
        <w:t xml:space="preserve">Through the site visits we expect to </w:t>
      </w:r>
      <w:r w:rsidRPr="008532DE">
        <w:rPr>
          <w:rFonts w:ascii="Calibri" w:eastAsia="Calibri" w:hAnsi="Calibri" w:cs="Times New Roman"/>
        </w:rPr>
        <w:t xml:space="preserve">gain a deeper understanding of the APS topics’ cultural relevancy for </w:t>
      </w:r>
      <w:r>
        <w:rPr>
          <w:rFonts w:ascii="Calibri" w:eastAsia="Calibri" w:hAnsi="Calibri" w:cs="Times New Roman"/>
        </w:rPr>
        <w:t xml:space="preserve">youth in tribal and other types of communities. </w:t>
      </w:r>
    </w:p>
    <w:p w:rsidR="00B0353A" w:rsidP="00077E16" w14:paraId="57979656" w14:textId="77777777">
      <w:pPr>
        <w:spacing w:after="0"/>
        <w:rPr>
          <w:rFonts w:ascii="Calibri" w:eastAsia="Calibri" w:hAnsi="Calibri" w:cs="Times New Roman"/>
        </w:rPr>
      </w:pPr>
    </w:p>
    <w:p w:rsidR="003D6203" w:rsidP="00C52C8D" w14:paraId="19226FA3" w14:textId="51F54B84">
      <w:pPr>
        <w:spacing w:after="120"/>
      </w:pPr>
      <w:r>
        <w:rPr>
          <w:rFonts w:ascii="Calibri" w:eastAsia="Calibri" w:hAnsi="Calibri" w:cs="Times New Roman"/>
        </w:rPr>
        <w:t>During</w:t>
      </w:r>
      <w:r w:rsidR="00CD63CE">
        <w:rPr>
          <w:rFonts w:ascii="Calibri" w:eastAsia="Calibri" w:hAnsi="Calibri" w:cs="Times New Roman"/>
        </w:rPr>
        <w:t xml:space="preserve"> the site </w:t>
      </w:r>
      <w:r>
        <w:rPr>
          <w:rFonts w:ascii="Calibri" w:eastAsia="Calibri" w:hAnsi="Calibri" w:cs="Times New Roman"/>
        </w:rPr>
        <w:t>visits</w:t>
      </w:r>
      <w:r w:rsidR="00D977CC">
        <w:rPr>
          <w:rFonts w:ascii="Calibri" w:eastAsia="Calibri" w:hAnsi="Calibri" w:cs="Times New Roman"/>
        </w:rPr>
        <w:t>,</w:t>
      </w:r>
      <w:r w:rsidR="00CD63CE">
        <w:rPr>
          <w:rFonts w:ascii="Calibri" w:eastAsia="Calibri" w:hAnsi="Calibri" w:cs="Times New Roman"/>
        </w:rPr>
        <w:t xml:space="preserve"> we will conduct </w:t>
      </w:r>
      <w:r>
        <w:rPr>
          <w:rFonts w:ascii="Calibri" w:eastAsia="Calibri" w:hAnsi="Calibri" w:cs="Times New Roman"/>
        </w:rPr>
        <w:t>interviews</w:t>
      </w:r>
      <w:r w:rsidR="00203A81">
        <w:rPr>
          <w:rFonts w:ascii="Calibri" w:eastAsia="Calibri" w:hAnsi="Calibri" w:cs="Times New Roman"/>
        </w:rPr>
        <w:t xml:space="preserve"> with</w:t>
      </w:r>
      <w:r w:rsidRPr="008532DE" w:rsidR="00CD63CE">
        <w:rPr>
          <w:rFonts w:ascii="Calibri" w:eastAsia="Calibri" w:hAnsi="Calibri" w:cs="Times New Roman"/>
        </w:rPr>
        <w:t xml:space="preserve"> program </w:t>
      </w:r>
      <w:r w:rsidR="009E35B3">
        <w:rPr>
          <w:rFonts w:ascii="Calibri" w:eastAsia="Calibri" w:hAnsi="Calibri" w:cs="Times New Roman"/>
        </w:rPr>
        <w:t>leaders and managers</w:t>
      </w:r>
      <w:r w:rsidR="00CD63CE">
        <w:rPr>
          <w:rFonts w:ascii="Calibri" w:eastAsia="Calibri" w:hAnsi="Calibri" w:cs="Times New Roman"/>
        </w:rPr>
        <w:t xml:space="preserve">, and </w:t>
      </w:r>
      <w:r w:rsidRPr="008532DE" w:rsidR="00CD63CE">
        <w:rPr>
          <w:rFonts w:ascii="Calibri" w:eastAsia="Calibri" w:hAnsi="Calibri" w:cs="Times New Roman"/>
        </w:rPr>
        <w:t>facilitators</w:t>
      </w:r>
      <w:r w:rsidR="00CD63CE">
        <w:rPr>
          <w:rFonts w:ascii="Calibri" w:eastAsia="Calibri" w:hAnsi="Calibri" w:cs="Times New Roman"/>
        </w:rPr>
        <w:t xml:space="preserve"> who deliver programming to youth. We will also conduct two 60-minute focus groups </w:t>
      </w:r>
      <w:r w:rsidR="009624F3">
        <w:rPr>
          <w:rFonts w:ascii="Calibri" w:eastAsia="Calibri" w:hAnsi="Calibri" w:cs="Times New Roman"/>
        </w:rPr>
        <w:t xml:space="preserve">at </w:t>
      </w:r>
      <w:r w:rsidR="00CD63CE">
        <w:rPr>
          <w:rFonts w:ascii="Calibri" w:eastAsia="Calibri" w:hAnsi="Calibri" w:cs="Times New Roman"/>
        </w:rPr>
        <w:t>each site, one with comm</w:t>
      </w:r>
      <w:r w:rsidRPr="008532DE" w:rsidR="00CD63CE">
        <w:rPr>
          <w:rFonts w:ascii="Calibri" w:eastAsia="Calibri" w:hAnsi="Calibri" w:cs="Times New Roman"/>
        </w:rPr>
        <w:t xml:space="preserve">unity </w:t>
      </w:r>
      <w:r w:rsidR="00203A81">
        <w:rPr>
          <w:rFonts w:ascii="Calibri" w:eastAsia="Calibri" w:hAnsi="Calibri" w:cs="Times New Roman"/>
        </w:rPr>
        <w:t>members</w:t>
      </w:r>
      <w:r w:rsidRPr="008532DE" w:rsidR="00CD63CE">
        <w:rPr>
          <w:rFonts w:ascii="Calibri" w:eastAsia="Calibri" w:hAnsi="Calibri" w:cs="Times New Roman"/>
        </w:rPr>
        <w:t xml:space="preserve"> (including parents</w:t>
      </w:r>
      <w:r w:rsidR="00203A81">
        <w:rPr>
          <w:rFonts w:ascii="Calibri" w:eastAsia="Calibri" w:hAnsi="Calibri" w:cs="Times New Roman"/>
        </w:rPr>
        <w:t xml:space="preserve"> and PREP program partners</w:t>
      </w:r>
      <w:r w:rsidRPr="008532DE" w:rsidR="00CD63CE">
        <w:rPr>
          <w:rFonts w:ascii="Calibri" w:eastAsia="Calibri" w:hAnsi="Calibri" w:cs="Times New Roman"/>
        </w:rPr>
        <w:t>)</w:t>
      </w:r>
      <w:r w:rsidR="00CD63CE">
        <w:rPr>
          <w:rFonts w:ascii="Calibri" w:eastAsia="Calibri" w:hAnsi="Calibri" w:cs="Times New Roman"/>
        </w:rPr>
        <w:t xml:space="preserve"> and a second with </w:t>
      </w:r>
      <w:r w:rsidRPr="008532DE" w:rsidR="00CD63CE">
        <w:rPr>
          <w:rFonts w:ascii="Calibri" w:eastAsia="Calibri" w:hAnsi="Calibri" w:cs="Times New Roman"/>
        </w:rPr>
        <w:t xml:space="preserve">youth participants. </w:t>
      </w:r>
      <w:r w:rsidR="00CD63CE">
        <w:rPr>
          <w:rFonts w:ascii="Calibri" w:eastAsia="Calibri" w:hAnsi="Calibri" w:cs="Times New Roman"/>
        </w:rPr>
        <w:t xml:space="preserve">We will include no more than 10 individuals in each focus group. </w:t>
      </w:r>
      <w:r w:rsidRPr="002C7CA8" w:rsidR="00CD63CE">
        <w:t>We will work with the grantee project director to identify the appropriate respondents for each data collection activity</w:t>
      </w:r>
      <w:r w:rsidR="00203A81">
        <w:t xml:space="preserve">. </w:t>
      </w:r>
      <w:r w:rsidR="00CD63CE">
        <w:t>We will also ask the project director to share information about the study with potential community member</w:t>
      </w:r>
      <w:r w:rsidR="007F3E99">
        <w:t>s</w:t>
      </w:r>
      <w:r w:rsidR="00CD63CE">
        <w:t xml:space="preserve"> and youth respondents for the focus group</w:t>
      </w:r>
      <w:r w:rsidR="00203A81">
        <w:t>. (</w:t>
      </w:r>
      <w:r w:rsidR="00CD63CE">
        <w:t>Appendix B</w:t>
      </w:r>
      <w:r w:rsidR="00203A81">
        <w:t xml:space="preserve"> includes r</w:t>
      </w:r>
      <w:r w:rsidR="00CD63CE">
        <w:t xml:space="preserve">ecruitment </w:t>
      </w:r>
      <w:r w:rsidR="00203A81">
        <w:t>m</w:t>
      </w:r>
      <w:r w:rsidR="00CD63CE">
        <w:t xml:space="preserve">aterials for </w:t>
      </w:r>
      <w:r w:rsidR="00203A81">
        <w:t>f</w:t>
      </w:r>
      <w:r w:rsidR="00CD63CE">
        <w:t xml:space="preserve">ocus </w:t>
      </w:r>
      <w:r w:rsidR="00203A81">
        <w:t>g</w:t>
      </w:r>
      <w:r w:rsidR="00CD63CE">
        <w:t>roups</w:t>
      </w:r>
      <w:r w:rsidR="007F3E99">
        <w:t>,</w:t>
      </w:r>
      <w:r w:rsidR="00CD63CE">
        <w:t xml:space="preserve"> and </w:t>
      </w:r>
      <w:r w:rsidR="00CD63CE">
        <w:rPr>
          <w:rFonts w:ascii="Calibri" w:eastAsia="Calibri" w:hAnsi="Calibri" w:cs="Times New Roman"/>
        </w:rPr>
        <w:t xml:space="preserve">Instrument 2 </w:t>
      </w:r>
      <w:r w:rsidR="00757263">
        <w:rPr>
          <w:rFonts w:ascii="Calibri" w:eastAsia="Calibri" w:hAnsi="Calibri" w:cs="Times New Roman"/>
        </w:rPr>
        <w:t>is</w:t>
      </w:r>
      <w:r w:rsidR="00CD63CE">
        <w:rPr>
          <w:rFonts w:ascii="Calibri" w:eastAsia="Calibri" w:hAnsi="Calibri" w:cs="Times New Roman"/>
        </w:rPr>
        <w:t xml:space="preserve"> the topic guide for the site visit </w:t>
      </w:r>
      <w:r w:rsidR="00757263">
        <w:rPr>
          <w:rFonts w:ascii="Calibri" w:eastAsia="Calibri" w:hAnsi="Calibri" w:cs="Times New Roman"/>
        </w:rPr>
        <w:t xml:space="preserve">data collection </w:t>
      </w:r>
      <w:r w:rsidR="00CD63CE">
        <w:rPr>
          <w:rFonts w:ascii="Calibri" w:eastAsia="Calibri" w:hAnsi="Calibri" w:cs="Times New Roman"/>
        </w:rPr>
        <w:t>activities</w:t>
      </w:r>
      <w:r w:rsidR="00A7518B">
        <w:rPr>
          <w:rFonts w:ascii="Calibri" w:eastAsia="Calibri" w:hAnsi="Calibri" w:cs="Times New Roman"/>
        </w:rPr>
        <w:t>.</w:t>
      </w:r>
      <w:r w:rsidR="00203A81">
        <w:rPr>
          <w:rFonts w:ascii="Calibri" w:eastAsia="Calibri" w:hAnsi="Calibri" w:cs="Times New Roman"/>
        </w:rPr>
        <w:t>)</w:t>
      </w:r>
      <w:r w:rsidR="00CD63CE">
        <w:rPr>
          <w:rFonts w:ascii="Calibri" w:eastAsia="Calibri" w:hAnsi="Calibri" w:cs="Times New Roman"/>
        </w:rPr>
        <w:t xml:space="preserve"> </w:t>
      </w:r>
      <w:r w:rsidR="00A7518B">
        <w:t>As part of the recruitment efforts for youth respondents, we will collect parent</w:t>
      </w:r>
      <w:r w:rsidR="004D347F">
        <w:t xml:space="preserve"> or guardian</w:t>
      </w:r>
      <w:r w:rsidR="00A7518B">
        <w:t xml:space="preserve"> consent for </w:t>
      </w:r>
      <w:r w:rsidR="00757263">
        <w:t xml:space="preserve">their child to </w:t>
      </w:r>
      <w:r w:rsidR="00757263">
        <w:t xml:space="preserve">participate </w:t>
      </w:r>
      <w:r w:rsidR="00A7518B">
        <w:t xml:space="preserve">and will request parental contact information (phone number and email address) so that we can send reminder emails or texts about the time and date of the youth focus group. </w:t>
      </w:r>
    </w:p>
    <w:p w:rsidR="00115BF9" w:rsidRPr="00F9601B" w:rsidP="00C57C9A" w14:paraId="3928860B" w14:textId="04ACE522">
      <w:pPr>
        <w:keepNext/>
        <w:keepLines/>
        <w:spacing w:before="40" w:after="40"/>
        <w:rPr>
          <w:rFonts w:cstheme="minorHAnsi"/>
          <w:iCs/>
          <w:sz w:val="18"/>
          <w:szCs w:val="18"/>
        </w:rPr>
      </w:pPr>
      <w:r w:rsidRPr="00F9601B">
        <w:rPr>
          <w:rFonts w:cstheme="minorHAnsi"/>
          <w:b/>
          <w:color w:val="000000" w:themeColor="text1"/>
          <w:sz w:val="20"/>
        </w:rPr>
        <w:t>Table A.1. Study design summary</w:t>
      </w:r>
    </w:p>
    <w:tbl>
      <w:tblPr>
        <w:tblStyle w:val="TableGrid11"/>
        <w:tblW w:w="9625" w:type="dxa"/>
        <w:tblInd w:w="0" w:type="dxa"/>
        <w:tblLook w:val="04A0"/>
      </w:tblPr>
      <w:tblGrid>
        <w:gridCol w:w="1705"/>
        <w:gridCol w:w="6390"/>
        <w:gridCol w:w="1530"/>
      </w:tblGrid>
      <w:tr w14:paraId="37CC552F" w14:textId="77777777" w:rsidTr="00C57C9A">
        <w:tblPrEx>
          <w:tblW w:w="9625" w:type="dxa"/>
          <w:tblInd w:w="0" w:type="dxa"/>
          <w:tblLook w:val="04A0"/>
        </w:tblPrEx>
        <w:trPr>
          <w:tblHeader/>
        </w:trPr>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7C9A" w:rsidRPr="00F9601B" w:rsidP="00C57C9A" w14:paraId="4F44115D" w14:textId="286E234F">
            <w:pPr>
              <w:spacing w:before="60" w:after="60"/>
              <w:rPr>
                <w:rFonts w:asciiTheme="minorHAnsi" w:hAnsiTheme="minorHAnsi" w:cstheme="minorHAnsi"/>
                <w:b/>
                <w:bCs/>
                <w:iCs/>
              </w:rPr>
            </w:pPr>
            <w:r w:rsidRPr="00F9601B">
              <w:rPr>
                <w:rFonts w:asciiTheme="minorHAnsi" w:hAnsiTheme="minorHAnsi" w:cstheme="minorHAnsi"/>
                <w:b/>
                <w:bCs/>
                <w:iCs/>
              </w:rPr>
              <w:t>Instrument</w:t>
            </w:r>
            <w:r w:rsidR="00D94135">
              <w:rPr>
                <w:rFonts w:asciiTheme="minorHAnsi" w:hAnsiTheme="minorHAnsi" w:cstheme="minorHAnsi"/>
                <w:b/>
                <w:bCs/>
                <w:iCs/>
              </w:rPr>
              <w:t xml:space="preserve"> and </w:t>
            </w:r>
            <w:r w:rsidR="00926DE7">
              <w:rPr>
                <w:rFonts w:asciiTheme="minorHAnsi" w:hAnsiTheme="minorHAnsi" w:cstheme="minorHAnsi"/>
                <w:b/>
                <w:bCs/>
                <w:iCs/>
              </w:rPr>
              <w:t>d</w:t>
            </w:r>
            <w:r w:rsidRPr="00F9601B">
              <w:rPr>
                <w:rFonts w:asciiTheme="minorHAnsi" w:hAnsiTheme="minorHAnsi" w:cstheme="minorHAnsi"/>
                <w:b/>
                <w:bCs/>
                <w:iCs/>
              </w:rPr>
              <w:t xml:space="preserve">ata </w:t>
            </w:r>
            <w:r w:rsidR="00926DE7">
              <w:rPr>
                <w:rFonts w:asciiTheme="minorHAnsi" w:hAnsiTheme="minorHAnsi" w:cstheme="minorHAnsi"/>
                <w:b/>
                <w:bCs/>
                <w:iCs/>
              </w:rPr>
              <w:t>c</w:t>
            </w:r>
            <w:r w:rsidRPr="00F9601B">
              <w:rPr>
                <w:rFonts w:asciiTheme="minorHAnsi" w:hAnsiTheme="minorHAnsi" w:cstheme="minorHAnsi"/>
                <w:b/>
                <w:bCs/>
                <w:iCs/>
              </w:rPr>
              <w:t xml:space="preserve">ollection </w:t>
            </w:r>
            <w:r w:rsidR="00926DE7">
              <w:rPr>
                <w:rFonts w:asciiTheme="minorHAnsi" w:hAnsiTheme="minorHAnsi" w:cstheme="minorHAnsi"/>
                <w:b/>
                <w:bCs/>
                <w:iCs/>
              </w:rPr>
              <w:t>a</w:t>
            </w:r>
            <w:r w:rsidRPr="00F9601B">
              <w:rPr>
                <w:rFonts w:asciiTheme="minorHAnsi" w:hAnsiTheme="minorHAnsi" w:cstheme="minorHAnsi"/>
                <w:b/>
                <w:bCs/>
                <w:iCs/>
              </w:rPr>
              <w:t>ctivity</w:t>
            </w:r>
          </w:p>
        </w:tc>
        <w:tc>
          <w:tcPr>
            <w:tcW w:w="6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7C9A" w:rsidRPr="00F9601B" w:rsidP="00E14739" w14:paraId="015AEDF0" w14:textId="17034C0F">
            <w:pPr>
              <w:spacing w:before="60" w:after="60"/>
              <w:rPr>
                <w:rFonts w:asciiTheme="minorHAnsi" w:hAnsiTheme="minorHAnsi" w:cstheme="minorHAnsi"/>
                <w:b/>
                <w:bCs/>
                <w:iCs/>
              </w:rPr>
            </w:pPr>
            <w:r w:rsidRPr="00F9601B">
              <w:rPr>
                <w:rFonts w:asciiTheme="minorHAnsi" w:hAnsiTheme="minorHAnsi" w:cstheme="minorHAnsi"/>
                <w:b/>
                <w:bCs/>
                <w:iCs/>
              </w:rPr>
              <w:t xml:space="preserve">Respondent, </w:t>
            </w:r>
            <w:r w:rsidR="00926DE7">
              <w:rPr>
                <w:rFonts w:asciiTheme="minorHAnsi" w:hAnsiTheme="minorHAnsi" w:cstheme="minorHAnsi"/>
                <w:b/>
                <w:bCs/>
                <w:iCs/>
              </w:rPr>
              <w:t>c</w:t>
            </w:r>
            <w:r w:rsidRPr="00F9601B">
              <w:rPr>
                <w:rFonts w:asciiTheme="minorHAnsi" w:hAnsiTheme="minorHAnsi" w:cstheme="minorHAnsi"/>
                <w:b/>
                <w:bCs/>
                <w:iCs/>
              </w:rPr>
              <w:t xml:space="preserve">ontent, </w:t>
            </w:r>
            <w:r w:rsidR="00926DE7">
              <w:rPr>
                <w:rFonts w:asciiTheme="minorHAnsi" w:hAnsiTheme="minorHAnsi" w:cstheme="minorHAnsi"/>
                <w:b/>
                <w:bCs/>
                <w:iCs/>
              </w:rPr>
              <w:t>p</w:t>
            </w:r>
            <w:r w:rsidRPr="00F9601B">
              <w:rPr>
                <w:rFonts w:asciiTheme="minorHAnsi" w:hAnsiTheme="minorHAnsi" w:cstheme="minorHAnsi"/>
                <w:b/>
                <w:bCs/>
                <w:iCs/>
              </w:rPr>
              <w:t xml:space="preserve">urpose of </w:t>
            </w:r>
            <w:r w:rsidR="00926DE7">
              <w:rPr>
                <w:rFonts w:asciiTheme="minorHAnsi" w:hAnsiTheme="minorHAnsi" w:cstheme="minorHAnsi"/>
                <w:b/>
                <w:bCs/>
                <w:iCs/>
              </w:rPr>
              <w:t>c</w:t>
            </w:r>
            <w:r w:rsidRPr="00F9601B">
              <w:rPr>
                <w:rFonts w:asciiTheme="minorHAnsi" w:hAnsiTheme="minorHAnsi" w:cstheme="minorHAnsi"/>
                <w:b/>
                <w:bCs/>
                <w:iCs/>
              </w:rPr>
              <w:t>ollection</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7C9A" w:rsidRPr="00F9601B" w:rsidP="00E14739" w14:paraId="1866B8CD" w14:textId="67C8596D">
            <w:pPr>
              <w:spacing w:before="60" w:after="60"/>
              <w:rPr>
                <w:rFonts w:asciiTheme="minorHAnsi" w:hAnsiTheme="minorHAnsi" w:cstheme="minorHAnsi"/>
                <w:b/>
                <w:bCs/>
                <w:iCs/>
              </w:rPr>
            </w:pPr>
            <w:r w:rsidRPr="00F9601B">
              <w:rPr>
                <w:rFonts w:asciiTheme="minorHAnsi" w:hAnsiTheme="minorHAnsi" w:cstheme="minorHAnsi"/>
                <w:b/>
                <w:bCs/>
                <w:iCs/>
              </w:rPr>
              <w:t xml:space="preserve">Mode and </w:t>
            </w:r>
            <w:r w:rsidR="00926DE7">
              <w:rPr>
                <w:rFonts w:asciiTheme="minorHAnsi" w:hAnsiTheme="minorHAnsi" w:cstheme="minorHAnsi"/>
                <w:b/>
                <w:bCs/>
                <w:iCs/>
              </w:rPr>
              <w:t>d</w:t>
            </w:r>
            <w:r w:rsidRPr="00F9601B">
              <w:rPr>
                <w:rFonts w:asciiTheme="minorHAnsi" w:hAnsiTheme="minorHAnsi" w:cstheme="minorHAnsi"/>
                <w:b/>
                <w:bCs/>
                <w:iCs/>
              </w:rPr>
              <w:t>uration</w:t>
            </w:r>
          </w:p>
        </w:tc>
      </w:tr>
      <w:tr w14:paraId="6E946D52" w14:textId="77777777" w:rsidTr="00C57C9A">
        <w:tblPrEx>
          <w:tblW w:w="9625" w:type="dxa"/>
          <w:tblInd w:w="0" w:type="dxa"/>
          <w:tblLook w:val="04A0"/>
        </w:tblPrEx>
        <w:tc>
          <w:tcPr>
            <w:tcW w:w="1705" w:type="dxa"/>
            <w:tcBorders>
              <w:top w:val="single" w:sz="4" w:space="0" w:color="auto"/>
              <w:left w:val="single" w:sz="4" w:space="0" w:color="auto"/>
              <w:bottom w:val="single" w:sz="4" w:space="0" w:color="auto"/>
              <w:right w:val="single" w:sz="4" w:space="0" w:color="auto"/>
            </w:tcBorders>
          </w:tcPr>
          <w:p w:rsidR="005B3DD1" w:rsidRPr="00F9601B" w:rsidP="00E14739" w14:paraId="79A9ACA1" w14:textId="342DD2BE">
            <w:pPr>
              <w:spacing w:before="60" w:after="60"/>
              <w:rPr>
                <w:rFonts w:asciiTheme="minorHAnsi" w:hAnsiTheme="minorHAnsi" w:cstheme="minorHAnsi"/>
              </w:rPr>
            </w:pPr>
            <w:r w:rsidRPr="00F9601B">
              <w:rPr>
                <w:rFonts w:asciiTheme="minorHAnsi" w:hAnsiTheme="minorHAnsi" w:cstheme="minorHAnsi"/>
              </w:rPr>
              <w:t xml:space="preserve">Instrument 1:  </w:t>
            </w:r>
            <w:r w:rsidRPr="00F9601B" w:rsidR="00C57C9A">
              <w:rPr>
                <w:rFonts w:asciiTheme="minorHAnsi" w:hAnsiTheme="minorHAnsi" w:cstheme="minorHAnsi"/>
              </w:rPr>
              <w:t xml:space="preserve"> </w:t>
            </w:r>
            <w:r w:rsidRPr="00F9601B">
              <w:rPr>
                <w:rFonts w:asciiTheme="minorHAnsi" w:hAnsiTheme="minorHAnsi" w:cstheme="minorHAnsi"/>
              </w:rPr>
              <w:t>Topic guide for</w:t>
            </w:r>
            <w:r w:rsidRPr="00F9601B" w:rsidR="00C57C9A">
              <w:rPr>
                <w:rFonts w:asciiTheme="minorHAnsi" w:hAnsiTheme="minorHAnsi" w:cstheme="minorHAnsi"/>
              </w:rPr>
              <w:t xml:space="preserve"> telephone interviews with PREP </w:t>
            </w:r>
            <w:r w:rsidRPr="00F9601B">
              <w:rPr>
                <w:rFonts w:asciiTheme="minorHAnsi" w:hAnsiTheme="minorHAnsi" w:cstheme="minorHAnsi"/>
              </w:rPr>
              <w:t>grantee</w:t>
            </w:r>
            <w:r w:rsidR="004F7019">
              <w:rPr>
                <w:rFonts w:asciiTheme="minorHAnsi" w:hAnsiTheme="minorHAnsi" w:cstheme="minorHAnsi"/>
              </w:rPr>
              <w:t>s</w:t>
            </w:r>
            <w:r w:rsidRPr="00F9601B" w:rsidR="00C57C9A">
              <w:rPr>
                <w:rFonts w:asciiTheme="minorHAnsi" w:hAnsiTheme="minorHAnsi" w:cstheme="minorHAnsi"/>
              </w:rPr>
              <w:t xml:space="preserve"> and </w:t>
            </w:r>
            <w:r w:rsidRPr="00F9601B">
              <w:rPr>
                <w:rFonts w:asciiTheme="minorHAnsi" w:hAnsiTheme="minorHAnsi" w:cstheme="minorHAnsi"/>
              </w:rPr>
              <w:t>provider</w:t>
            </w:r>
            <w:r w:rsidR="004F7019">
              <w:rPr>
                <w:rFonts w:asciiTheme="minorHAnsi" w:hAnsiTheme="minorHAnsi" w:cstheme="minorHAnsi"/>
              </w:rPr>
              <w:t>s</w:t>
            </w:r>
          </w:p>
        </w:tc>
        <w:tc>
          <w:tcPr>
            <w:tcW w:w="6390" w:type="dxa"/>
            <w:tcBorders>
              <w:top w:val="single" w:sz="4" w:space="0" w:color="auto"/>
              <w:left w:val="single" w:sz="4" w:space="0" w:color="auto"/>
              <w:bottom w:val="single" w:sz="4" w:space="0" w:color="auto"/>
              <w:right w:val="single" w:sz="4" w:space="0" w:color="auto"/>
            </w:tcBorders>
          </w:tcPr>
          <w:p w:rsidR="008415F3" w:rsidP="00E14739" w14:paraId="3342EF0A" w14:textId="77777777">
            <w:pPr>
              <w:spacing w:before="60" w:after="60"/>
              <w:rPr>
                <w:rFonts w:asciiTheme="minorHAnsi" w:hAnsiTheme="minorHAnsi" w:cstheme="minorHAnsi"/>
              </w:rPr>
            </w:pPr>
            <w:r w:rsidRPr="00F9601B">
              <w:rPr>
                <w:rFonts w:asciiTheme="minorHAnsi" w:hAnsiTheme="minorHAnsi" w:cstheme="minorHAnsi"/>
                <w:b/>
              </w:rPr>
              <w:t xml:space="preserve">Purpose: </w:t>
            </w:r>
            <w:r w:rsidRPr="00F9601B">
              <w:rPr>
                <w:rFonts w:asciiTheme="minorHAnsi" w:hAnsiTheme="minorHAnsi" w:cstheme="minorHAnsi"/>
                <w:bCs/>
              </w:rPr>
              <w:t xml:space="preserve">To gather descriptive information and qualitative feedback on the design, delivery, dosage, and relevance of the APS </w:t>
            </w:r>
            <w:r>
              <w:rPr>
                <w:rFonts w:asciiTheme="minorHAnsi" w:hAnsiTheme="minorHAnsi" w:cstheme="minorHAnsi"/>
                <w:bCs/>
              </w:rPr>
              <w:t xml:space="preserve">topics and </w:t>
            </w:r>
            <w:r w:rsidRPr="00F9601B">
              <w:rPr>
                <w:rFonts w:asciiTheme="minorHAnsi" w:hAnsiTheme="minorHAnsi" w:cstheme="minorHAnsi"/>
                <w:bCs/>
              </w:rPr>
              <w:t xml:space="preserve">content for youth, as well as reflections on </w:t>
            </w:r>
            <w:r w:rsidRPr="00F9601B">
              <w:rPr>
                <w:rFonts w:asciiTheme="minorHAnsi" w:hAnsiTheme="minorHAnsi" w:cstheme="minorHAnsi"/>
              </w:rPr>
              <w:t>lessons learned and potential improvements</w:t>
            </w:r>
          </w:p>
          <w:p w:rsidR="005B3DD1" w:rsidRPr="00F9601B" w:rsidP="00E14739" w14:paraId="3BABD881" w14:textId="790E4390">
            <w:pPr>
              <w:spacing w:before="60" w:after="60"/>
              <w:rPr>
                <w:rFonts w:asciiTheme="minorHAnsi" w:hAnsiTheme="minorHAnsi" w:cstheme="minorHAnsi"/>
              </w:rPr>
            </w:pPr>
            <w:r w:rsidRPr="00F9601B">
              <w:rPr>
                <w:rFonts w:asciiTheme="minorHAnsi" w:hAnsiTheme="minorHAnsi" w:cstheme="minorHAnsi"/>
                <w:b/>
              </w:rPr>
              <w:t>Respondents</w:t>
            </w:r>
            <w:r w:rsidRPr="00F9601B">
              <w:rPr>
                <w:rFonts w:asciiTheme="minorHAnsi" w:hAnsiTheme="minorHAnsi" w:cstheme="minorHAnsi"/>
                <w:b/>
                <w:bCs/>
              </w:rPr>
              <w:t xml:space="preserve">: </w:t>
            </w:r>
            <w:r w:rsidRPr="00F9601B">
              <w:rPr>
                <w:rFonts w:asciiTheme="minorHAnsi" w:hAnsiTheme="minorHAnsi" w:cstheme="minorHAnsi"/>
              </w:rPr>
              <w:t xml:space="preserve">Grantee and provider </w:t>
            </w:r>
            <w:r w:rsidR="009438EE">
              <w:rPr>
                <w:rFonts w:asciiTheme="minorHAnsi" w:hAnsiTheme="minorHAnsi" w:cstheme="minorHAnsi"/>
              </w:rPr>
              <w:t xml:space="preserve">program </w:t>
            </w:r>
            <w:r w:rsidRPr="00F9601B">
              <w:rPr>
                <w:rFonts w:asciiTheme="minorHAnsi" w:hAnsiTheme="minorHAnsi" w:cstheme="minorHAnsi"/>
              </w:rPr>
              <w:t xml:space="preserve">leaders </w:t>
            </w:r>
            <w:r w:rsidR="00043116">
              <w:rPr>
                <w:rFonts w:asciiTheme="minorHAnsi" w:hAnsiTheme="minorHAnsi" w:cstheme="minorHAnsi"/>
              </w:rPr>
              <w:t xml:space="preserve">(such as </w:t>
            </w:r>
            <w:r w:rsidR="009438EE">
              <w:rPr>
                <w:rFonts w:asciiTheme="minorHAnsi" w:hAnsiTheme="minorHAnsi" w:cstheme="minorHAnsi"/>
              </w:rPr>
              <w:t xml:space="preserve">PREP </w:t>
            </w:r>
            <w:r w:rsidR="00043116">
              <w:rPr>
                <w:rFonts w:asciiTheme="minorHAnsi" w:hAnsiTheme="minorHAnsi" w:cstheme="minorHAnsi"/>
              </w:rPr>
              <w:t>project director or grant administrator)</w:t>
            </w:r>
          </w:p>
          <w:p w:rsidR="005B3DD1" w:rsidRPr="00F9601B" w:rsidP="00E14739" w14:paraId="4A9DB10B" w14:textId="3DDFB866">
            <w:pPr>
              <w:spacing w:before="40" w:after="120"/>
              <w:rPr>
                <w:rFonts w:asciiTheme="minorHAnsi" w:hAnsiTheme="minorHAnsi" w:cstheme="minorHAnsi"/>
                <w:b/>
                <w:bCs/>
              </w:rPr>
            </w:pPr>
            <w:r w:rsidRPr="00F9601B">
              <w:rPr>
                <w:rFonts w:asciiTheme="minorHAnsi" w:hAnsiTheme="minorHAnsi" w:cstheme="minorHAnsi"/>
                <w:b/>
                <w:bCs/>
              </w:rPr>
              <w:t xml:space="preserve">Content: </w:t>
            </w:r>
            <w:r w:rsidRPr="00F9601B">
              <w:rPr>
                <w:rFonts w:asciiTheme="minorHAnsi" w:hAnsiTheme="minorHAnsi" w:cstheme="minorHAnsi"/>
              </w:rPr>
              <w:t>Program context and youth needs, APS content and method of delivery, dosage of APS topics</w:t>
            </w:r>
            <w:r w:rsidR="006B3F76">
              <w:rPr>
                <w:rFonts w:asciiTheme="minorHAnsi" w:hAnsiTheme="minorHAnsi" w:cstheme="minorHAnsi"/>
              </w:rPr>
              <w:t xml:space="preserve"> and content</w:t>
            </w:r>
            <w:r w:rsidRPr="00F9601B">
              <w:rPr>
                <w:rFonts w:asciiTheme="minorHAnsi" w:hAnsiTheme="minorHAnsi" w:cstheme="minorHAnsi"/>
              </w:rPr>
              <w:t xml:space="preserve">, and relevance of APS </w:t>
            </w:r>
            <w:r w:rsidR="006B3F76">
              <w:rPr>
                <w:rFonts w:asciiTheme="minorHAnsi" w:hAnsiTheme="minorHAnsi" w:cstheme="minorHAnsi"/>
              </w:rPr>
              <w:t>topics and content</w:t>
            </w:r>
            <w:r w:rsidRPr="00F9601B">
              <w:rPr>
                <w:rFonts w:asciiTheme="minorHAnsi" w:hAnsiTheme="minorHAnsi" w:cstheme="minorHAnsi"/>
              </w:rPr>
              <w:t xml:space="preserve"> to youth </w:t>
            </w:r>
          </w:p>
          <w:p w:rsidR="005B3DD1" w:rsidRPr="00F9601B" w:rsidP="00E14739" w14:paraId="2D354870" w14:textId="55441624">
            <w:pPr>
              <w:spacing w:before="60" w:after="60"/>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rsidR="005B3DD1" w:rsidRPr="00F9601B" w:rsidP="00E14739" w14:paraId="7028BAB7" w14:textId="3F5D56D1">
            <w:pPr>
              <w:spacing w:before="60" w:after="60"/>
              <w:rPr>
                <w:rFonts w:asciiTheme="minorHAnsi" w:hAnsiTheme="minorHAnsi" w:cstheme="minorHAnsi"/>
              </w:rPr>
            </w:pPr>
            <w:r w:rsidRPr="00F9601B">
              <w:rPr>
                <w:rFonts w:asciiTheme="minorHAnsi" w:hAnsiTheme="minorHAnsi" w:cstheme="minorHAnsi"/>
                <w:b/>
              </w:rPr>
              <w:t>Mode</w:t>
            </w:r>
            <w:r w:rsidRPr="00F9601B">
              <w:rPr>
                <w:rFonts w:asciiTheme="minorHAnsi" w:hAnsiTheme="minorHAnsi" w:cstheme="minorHAnsi"/>
              </w:rPr>
              <w:t>:</w:t>
            </w:r>
            <w:r w:rsidR="00F9601B">
              <w:rPr>
                <w:rFonts w:asciiTheme="minorHAnsi" w:hAnsiTheme="minorHAnsi" w:cstheme="minorHAnsi"/>
              </w:rPr>
              <w:t xml:space="preserve"> </w:t>
            </w:r>
            <w:r w:rsidRPr="00F9601B">
              <w:rPr>
                <w:rFonts w:asciiTheme="minorHAnsi" w:hAnsiTheme="minorHAnsi" w:cstheme="minorHAnsi"/>
              </w:rPr>
              <w:t>Telephone interview</w:t>
            </w:r>
          </w:p>
          <w:p w:rsidR="005B3DD1" w:rsidRPr="00F9601B" w:rsidP="00E14739" w14:paraId="5D10F503" w14:textId="5AB5C281">
            <w:pPr>
              <w:spacing w:before="60" w:after="60"/>
              <w:rPr>
                <w:rFonts w:asciiTheme="minorHAnsi" w:hAnsiTheme="minorHAnsi" w:cstheme="minorHAnsi"/>
              </w:rPr>
            </w:pPr>
            <w:r w:rsidRPr="00F9601B">
              <w:rPr>
                <w:rFonts w:asciiTheme="minorHAnsi" w:hAnsiTheme="minorHAnsi" w:cstheme="minorHAnsi"/>
                <w:b/>
              </w:rPr>
              <w:t>Duration</w:t>
            </w:r>
            <w:r w:rsidRPr="00F9601B">
              <w:rPr>
                <w:rFonts w:asciiTheme="minorHAnsi" w:hAnsiTheme="minorHAnsi" w:cstheme="minorHAnsi"/>
              </w:rPr>
              <w:t>: 60 minutes</w:t>
            </w:r>
          </w:p>
        </w:tc>
      </w:tr>
      <w:tr w14:paraId="00570A03" w14:textId="77777777" w:rsidTr="00C57C9A">
        <w:tblPrEx>
          <w:tblW w:w="9625" w:type="dxa"/>
          <w:tblInd w:w="0" w:type="dxa"/>
          <w:tblLook w:val="04A0"/>
        </w:tblPrEx>
        <w:tc>
          <w:tcPr>
            <w:tcW w:w="1705" w:type="dxa"/>
            <w:tcBorders>
              <w:top w:val="single" w:sz="4" w:space="0" w:color="auto"/>
              <w:left w:val="single" w:sz="4" w:space="0" w:color="auto"/>
              <w:bottom w:val="single" w:sz="4" w:space="0" w:color="auto"/>
              <w:right w:val="single" w:sz="4" w:space="0" w:color="auto"/>
            </w:tcBorders>
          </w:tcPr>
          <w:p w:rsidR="00C57C9A" w:rsidRPr="00F9601B" w:rsidP="00C57C9A" w14:paraId="6D9FC300" w14:textId="406FD5A9">
            <w:pPr>
              <w:spacing w:before="60" w:after="60"/>
              <w:rPr>
                <w:rFonts w:asciiTheme="minorHAnsi" w:hAnsiTheme="minorHAnsi" w:cstheme="minorHAnsi"/>
              </w:rPr>
            </w:pPr>
            <w:r w:rsidRPr="00F9601B">
              <w:rPr>
                <w:rFonts w:asciiTheme="minorHAnsi" w:hAnsiTheme="minorHAnsi" w:cstheme="minorHAnsi"/>
              </w:rPr>
              <w:t xml:space="preserve">Instrument 2.a: Topic guide for in-person site visit:  Interview with program leaders and managers </w:t>
            </w:r>
          </w:p>
        </w:tc>
        <w:tc>
          <w:tcPr>
            <w:tcW w:w="6390" w:type="dxa"/>
            <w:tcBorders>
              <w:top w:val="single" w:sz="4" w:space="0" w:color="auto"/>
              <w:left w:val="single" w:sz="4" w:space="0" w:color="auto"/>
              <w:bottom w:val="single" w:sz="4" w:space="0" w:color="auto"/>
              <w:right w:val="single" w:sz="4" w:space="0" w:color="auto"/>
            </w:tcBorders>
          </w:tcPr>
          <w:p w:rsidR="008415F3" w:rsidP="00514E22" w14:paraId="6F663DF0" w14:textId="77777777">
            <w:pPr>
              <w:spacing w:before="60" w:after="60"/>
              <w:rPr>
                <w:rFonts w:asciiTheme="minorHAnsi" w:hAnsiTheme="minorHAnsi" w:cstheme="minorHAnsi"/>
              </w:rPr>
            </w:pPr>
            <w:r w:rsidRPr="00F9601B">
              <w:rPr>
                <w:rFonts w:asciiTheme="minorHAnsi" w:hAnsiTheme="minorHAnsi" w:cstheme="minorHAnsi"/>
                <w:b/>
              </w:rPr>
              <w:t xml:space="preserve">Purpose: </w:t>
            </w:r>
            <w:r w:rsidRPr="00F9601B">
              <w:rPr>
                <w:rFonts w:asciiTheme="minorHAnsi" w:hAnsiTheme="minorHAnsi" w:cstheme="minorHAnsi"/>
                <w:bCs/>
              </w:rPr>
              <w:t xml:space="preserve">To gather qualitative feedback on the design, delivery, dosage, and relevance of the APS </w:t>
            </w:r>
            <w:r>
              <w:rPr>
                <w:rFonts w:asciiTheme="minorHAnsi" w:hAnsiTheme="minorHAnsi" w:cstheme="minorHAnsi"/>
                <w:bCs/>
              </w:rPr>
              <w:t xml:space="preserve">topics and </w:t>
            </w:r>
            <w:r w:rsidRPr="00F9601B">
              <w:rPr>
                <w:rFonts w:asciiTheme="minorHAnsi" w:hAnsiTheme="minorHAnsi" w:cstheme="minorHAnsi"/>
                <w:bCs/>
              </w:rPr>
              <w:t xml:space="preserve">content for youth, and reflections on </w:t>
            </w:r>
            <w:r w:rsidRPr="00F9601B">
              <w:rPr>
                <w:rFonts w:asciiTheme="minorHAnsi" w:hAnsiTheme="minorHAnsi" w:cstheme="minorHAnsi"/>
              </w:rPr>
              <w:t>lessons learned and potential adaptations and improvements for cultural relevance</w:t>
            </w:r>
          </w:p>
          <w:p w:rsidR="00C57C9A" w:rsidRPr="00F9601B" w:rsidP="00514E22" w14:paraId="133A5465" w14:textId="5D5DB7EF">
            <w:pPr>
              <w:spacing w:before="60" w:after="60"/>
              <w:rPr>
                <w:rFonts w:asciiTheme="minorHAnsi" w:hAnsiTheme="minorHAnsi" w:cstheme="minorHAnsi"/>
              </w:rPr>
            </w:pPr>
            <w:r w:rsidRPr="00F9601B">
              <w:rPr>
                <w:rFonts w:asciiTheme="minorHAnsi" w:hAnsiTheme="minorHAnsi" w:cstheme="minorHAnsi"/>
                <w:b/>
              </w:rPr>
              <w:t>Respondents</w:t>
            </w:r>
            <w:r w:rsidRPr="00F9601B">
              <w:rPr>
                <w:rFonts w:asciiTheme="minorHAnsi" w:hAnsiTheme="minorHAnsi" w:cstheme="minorHAnsi"/>
                <w:b/>
                <w:bCs/>
              </w:rPr>
              <w:t xml:space="preserve">: </w:t>
            </w:r>
            <w:r w:rsidRPr="00F9601B">
              <w:rPr>
                <w:rFonts w:asciiTheme="minorHAnsi" w:hAnsiTheme="minorHAnsi" w:cstheme="minorHAnsi"/>
              </w:rPr>
              <w:t xml:space="preserve">Program leaders and managers </w:t>
            </w:r>
            <w:r w:rsidR="009438EE">
              <w:rPr>
                <w:rFonts w:asciiTheme="minorHAnsi" w:hAnsiTheme="minorHAnsi" w:cstheme="minorHAnsi"/>
              </w:rPr>
              <w:t>(such as PREP project director or grant administrator)</w:t>
            </w:r>
          </w:p>
          <w:p w:rsidR="00C57C9A" w:rsidRPr="00F9601B" w:rsidP="00AA5460" w14:paraId="3FC45320" w14:textId="571D5E7E">
            <w:pPr>
              <w:spacing w:before="40" w:after="120"/>
              <w:rPr>
                <w:rFonts w:asciiTheme="minorHAnsi" w:hAnsiTheme="minorHAnsi" w:cstheme="minorHAnsi"/>
                <w:b/>
                <w:bCs/>
              </w:rPr>
            </w:pPr>
            <w:r w:rsidRPr="00F9601B">
              <w:rPr>
                <w:rFonts w:asciiTheme="minorHAnsi" w:hAnsiTheme="minorHAnsi" w:cstheme="minorHAnsi"/>
                <w:b/>
                <w:bCs/>
              </w:rPr>
              <w:t xml:space="preserve">Content: </w:t>
            </w:r>
            <w:r w:rsidRPr="00F9601B">
              <w:rPr>
                <w:rFonts w:asciiTheme="minorHAnsi" w:hAnsiTheme="minorHAnsi" w:cstheme="minorHAnsi"/>
              </w:rPr>
              <w:t xml:space="preserve">APS content and method of delivery, </w:t>
            </w:r>
            <w:r w:rsidRPr="00F9601B" w:rsidR="006B3F76">
              <w:rPr>
                <w:rFonts w:asciiTheme="minorHAnsi" w:hAnsiTheme="minorHAnsi" w:cstheme="minorHAnsi"/>
              </w:rPr>
              <w:t>dosage of APS topics</w:t>
            </w:r>
            <w:r w:rsidR="006B3F76">
              <w:rPr>
                <w:rFonts w:asciiTheme="minorHAnsi" w:hAnsiTheme="minorHAnsi" w:cstheme="minorHAnsi"/>
              </w:rPr>
              <w:t xml:space="preserve"> and content</w:t>
            </w:r>
            <w:r w:rsidRPr="00F9601B" w:rsidR="006B3F76">
              <w:rPr>
                <w:rFonts w:asciiTheme="minorHAnsi" w:hAnsiTheme="minorHAnsi" w:cstheme="minorHAnsi"/>
              </w:rPr>
              <w:t xml:space="preserve">, relevance of APS </w:t>
            </w:r>
            <w:r w:rsidR="006B3F76">
              <w:rPr>
                <w:rFonts w:asciiTheme="minorHAnsi" w:hAnsiTheme="minorHAnsi" w:cstheme="minorHAnsi"/>
              </w:rPr>
              <w:t>topics and content</w:t>
            </w:r>
            <w:r w:rsidRPr="00F9601B" w:rsidR="006B3F76">
              <w:rPr>
                <w:rFonts w:asciiTheme="minorHAnsi" w:hAnsiTheme="minorHAnsi" w:cstheme="minorHAnsi"/>
              </w:rPr>
              <w:t xml:space="preserve"> to youth</w:t>
            </w:r>
            <w:r w:rsidR="006B3F76">
              <w:rPr>
                <w:rFonts w:asciiTheme="minorHAnsi" w:hAnsiTheme="minorHAnsi" w:cstheme="minorHAnsi"/>
              </w:rPr>
              <w:t xml:space="preserve">, </w:t>
            </w:r>
            <w:r w:rsidR="00E12981">
              <w:rPr>
                <w:rFonts w:asciiTheme="minorHAnsi" w:hAnsiTheme="minorHAnsi" w:cstheme="minorHAnsi"/>
              </w:rPr>
              <w:t xml:space="preserve">and </w:t>
            </w:r>
            <w:r w:rsidRPr="00F9601B">
              <w:rPr>
                <w:rFonts w:asciiTheme="minorHAnsi" w:hAnsiTheme="minorHAnsi" w:cstheme="minorHAnsi"/>
              </w:rPr>
              <w:t>adaptations or enhancements made for cultural relevance</w:t>
            </w:r>
          </w:p>
          <w:p w:rsidR="00C57C9A" w:rsidRPr="00F9601B" w:rsidP="00816689" w14:paraId="0E52B458" w14:textId="54584809">
            <w:pPr>
              <w:spacing w:before="60" w:after="60"/>
              <w:rPr>
                <w:rFonts w:asciiTheme="minorHAnsi" w:hAnsiTheme="minorHAnsi" w:cstheme="minorHAnsi"/>
                <w:b/>
              </w:rPr>
            </w:pPr>
          </w:p>
        </w:tc>
        <w:tc>
          <w:tcPr>
            <w:tcW w:w="1530" w:type="dxa"/>
            <w:tcBorders>
              <w:top w:val="single" w:sz="4" w:space="0" w:color="auto"/>
              <w:left w:val="single" w:sz="4" w:space="0" w:color="auto"/>
              <w:bottom w:val="single" w:sz="4" w:space="0" w:color="auto"/>
              <w:right w:val="single" w:sz="4" w:space="0" w:color="auto"/>
            </w:tcBorders>
          </w:tcPr>
          <w:p w:rsidR="00C57C9A" w:rsidRPr="00F9601B" w:rsidP="00E14739" w14:paraId="15DD5C94" w14:textId="34F97C25">
            <w:pPr>
              <w:spacing w:before="60" w:after="60"/>
              <w:rPr>
                <w:rFonts w:asciiTheme="minorHAnsi" w:hAnsiTheme="minorHAnsi" w:cstheme="minorHAnsi"/>
              </w:rPr>
            </w:pPr>
            <w:r w:rsidRPr="00F9601B">
              <w:rPr>
                <w:rFonts w:asciiTheme="minorHAnsi" w:hAnsiTheme="minorHAnsi" w:cstheme="minorHAnsi"/>
                <w:b/>
              </w:rPr>
              <w:t>Mode</w:t>
            </w:r>
            <w:r w:rsidR="00F9601B">
              <w:rPr>
                <w:rFonts w:asciiTheme="minorHAnsi" w:hAnsiTheme="minorHAnsi" w:cstheme="minorHAnsi"/>
              </w:rPr>
              <w:t xml:space="preserve">: </w:t>
            </w:r>
            <w:r w:rsidRPr="00F9601B">
              <w:rPr>
                <w:rFonts w:asciiTheme="minorHAnsi" w:hAnsiTheme="minorHAnsi" w:cstheme="minorHAnsi"/>
              </w:rPr>
              <w:t>In-person interview</w:t>
            </w:r>
          </w:p>
          <w:p w:rsidR="00C57C9A" w:rsidRPr="00F9601B" w:rsidP="00E14739" w14:paraId="5FEF748C" w14:textId="16F70397">
            <w:pPr>
              <w:spacing w:before="60" w:after="60"/>
              <w:rPr>
                <w:rFonts w:asciiTheme="minorHAnsi" w:hAnsiTheme="minorHAnsi" w:cstheme="minorHAnsi"/>
                <w:b/>
              </w:rPr>
            </w:pPr>
            <w:r w:rsidRPr="00F9601B">
              <w:rPr>
                <w:rFonts w:asciiTheme="minorHAnsi" w:hAnsiTheme="minorHAnsi" w:cstheme="minorHAnsi"/>
                <w:b/>
              </w:rPr>
              <w:t>Duration</w:t>
            </w:r>
            <w:r w:rsidRPr="00F9601B">
              <w:rPr>
                <w:rFonts w:asciiTheme="minorHAnsi" w:hAnsiTheme="minorHAnsi" w:cstheme="minorHAnsi"/>
              </w:rPr>
              <w:t>:</w:t>
            </w:r>
            <w:r w:rsidR="00F9601B">
              <w:rPr>
                <w:rFonts w:asciiTheme="minorHAnsi" w:hAnsiTheme="minorHAnsi" w:cstheme="minorHAnsi"/>
              </w:rPr>
              <w:t xml:space="preserve"> </w:t>
            </w:r>
            <w:r w:rsidRPr="00F9601B">
              <w:rPr>
                <w:rFonts w:asciiTheme="minorHAnsi" w:hAnsiTheme="minorHAnsi" w:cstheme="minorHAnsi"/>
              </w:rPr>
              <w:t xml:space="preserve">90 minutes </w:t>
            </w:r>
          </w:p>
        </w:tc>
      </w:tr>
      <w:tr w14:paraId="6B4633B1" w14:textId="77777777" w:rsidTr="00C57C9A">
        <w:tblPrEx>
          <w:tblW w:w="9625" w:type="dxa"/>
          <w:tblInd w:w="0" w:type="dxa"/>
          <w:tblLook w:val="04A0"/>
        </w:tblPrEx>
        <w:trPr>
          <w:cantSplit/>
          <w:trHeight w:val="2330"/>
        </w:trPr>
        <w:tc>
          <w:tcPr>
            <w:tcW w:w="1705" w:type="dxa"/>
            <w:tcBorders>
              <w:top w:val="single" w:sz="4" w:space="0" w:color="auto"/>
              <w:left w:val="single" w:sz="4" w:space="0" w:color="auto"/>
              <w:bottom w:val="single" w:sz="4" w:space="0" w:color="auto"/>
              <w:right w:val="single" w:sz="4" w:space="0" w:color="auto"/>
            </w:tcBorders>
          </w:tcPr>
          <w:p w:rsidR="00C57C9A" w:rsidRPr="00F9601B" w:rsidP="00C57C9A" w14:paraId="7028F191" w14:textId="4B0F2A5A">
            <w:pPr>
              <w:tabs>
                <w:tab w:val="num" w:pos="1080"/>
              </w:tabs>
              <w:spacing w:before="60" w:after="60"/>
              <w:rPr>
                <w:rFonts w:asciiTheme="minorHAnsi" w:hAnsiTheme="minorHAnsi" w:cstheme="minorHAnsi"/>
              </w:rPr>
            </w:pPr>
            <w:r w:rsidRPr="00F9601B">
              <w:rPr>
                <w:rFonts w:asciiTheme="minorHAnsi" w:hAnsiTheme="minorHAnsi" w:cstheme="minorHAnsi"/>
              </w:rPr>
              <w:t>Instrument 2.b: Topic guide for in-person site visit:  Interview with program facilitators</w:t>
            </w:r>
          </w:p>
        </w:tc>
        <w:tc>
          <w:tcPr>
            <w:tcW w:w="6390" w:type="dxa"/>
            <w:tcBorders>
              <w:top w:val="single" w:sz="4" w:space="0" w:color="auto"/>
              <w:left w:val="single" w:sz="4" w:space="0" w:color="auto"/>
              <w:bottom w:val="single" w:sz="4" w:space="0" w:color="auto"/>
              <w:right w:val="single" w:sz="4" w:space="0" w:color="auto"/>
            </w:tcBorders>
          </w:tcPr>
          <w:p w:rsidR="008415F3" w:rsidP="00514E22" w14:paraId="0E152238" w14:textId="77777777">
            <w:pPr>
              <w:spacing w:before="60" w:after="60"/>
              <w:rPr>
                <w:rFonts w:asciiTheme="minorHAnsi" w:hAnsiTheme="minorHAnsi" w:cstheme="minorHAnsi"/>
              </w:rPr>
            </w:pPr>
            <w:r w:rsidRPr="00F9601B">
              <w:rPr>
                <w:rFonts w:asciiTheme="minorHAnsi" w:hAnsiTheme="minorHAnsi" w:cstheme="minorHAnsi"/>
                <w:b/>
              </w:rPr>
              <w:t xml:space="preserve">Purpose: </w:t>
            </w:r>
            <w:r w:rsidRPr="00F9601B">
              <w:rPr>
                <w:rFonts w:asciiTheme="minorHAnsi" w:hAnsiTheme="minorHAnsi" w:cstheme="minorHAnsi"/>
                <w:bCs/>
              </w:rPr>
              <w:t xml:space="preserve">To gather qualitative feedback on the design, delivery, dosage, and relevance of the APS </w:t>
            </w:r>
            <w:r>
              <w:rPr>
                <w:rFonts w:asciiTheme="minorHAnsi" w:hAnsiTheme="minorHAnsi" w:cstheme="minorHAnsi"/>
                <w:bCs/>
              </w:rPr>
              <w:t xml:space="preserve">topics and </w:t>
            </w:r>
            <w:r w:rsidRPr="00F9601B">
              <w:rPr>
                <w:rFonts w:asciiTheme="minorHAnsi" w:hAnsiTheme="minorHAnsi" w:cstheme="minorHAnsi"/>
                <w:bCs/>
              </w:rPr>
              <w:t xml:space="preserve">content for youth, and reflections on </w:t>
            </w:r>
            <w:r w:rsidRPr="00F9601B">
              <w:rPr>
                <w:rFonts w:asciiTheme="minorHAnsi" w:hAnsiTheme="minorHAnsi" w:cstheme="minorHAnsi"/>
              </w:rPr>
              <w:t>lessons learned and potential adaptations and improvements for cultural relevance</w:t>
            </w:r>
          </w:p>
          <w:p w:rsidR="00C57C9A" w:rsidRPr="00F9601B" w:rsidP="00514E22" w14:paraId="40C9CD63" w14:textId="38F79B7F">
            <w:pPr>
              <w:spacing w:before="60" w:after="60"/>
              <w:rPr>
                <w:rFonts w:asciiTheme="minorHAnsi" w:hAnsiTheme="minorHAnsi" w:cstheme="minorHAnsi"/>
              </w:rPr>
            </w:pPr>
            <w:r w:rsidRPr="00F9601B">
              <w:rPr>
                <w:rFonts w:asciiTheme="minorHAnsi" w:hAnsiTheme="minorHAnsi" w:cstheme="minorHAnsi"/>
                <w:b/>
              </w:rPr>
              <w:t>Respondents</w:t>
            </w:r>
            <w:r w:rsidRPr="00F9601B">
              <w:rPr>
                <w:rFonts w:asciiTheme="minorHAnsi" w:hAnsiTheme="minorHAnsi" w:cstheme="minorHAnsi"/>
                <w:b/>
                <w:bCs/>
              </w:rPr>
              <w:t xml:space="preserve">: </w:t>
            </w:r>
            <w:r w:rsidRPr="00F9601B">
              <w:rPr>
                <w:rFonts w:asciiTheme="minorHAnsi" w:hAnsiTheme="minorHAnsi" w:cstheme="minorHAnsi"/>
              </w:rPr>
              <w:t>PREP</w:t>
            </w:r>
            <w:r w:rsidRPr="00F9601B">
              <w:rPr>
                <w:rFonts w:asciiTheme="minorHAnsi" w:hAnsiTheme="minorHAnsi" w:cstheme="minorHAnsi"/>
                <w:b/>
                <w:bCs/>
              </w:rPr>
              <w:t xml:space="preserve"> </w:t>
            </w:r>
            <w:r w:rsidRPr="00F9601B">
              <w:rPr>
                <w:rFonts w:asciiTheme="minorHAnsi" w:hAnsiTheme="minorHAnsi" w:cstheme="minorHAnsi"/>
              </w:rPr>
              <w:t xml:space="preserve">program </w:t>
            </w:r>
            <w:r w:rsidRPr="00F9601B" w:rsidR="00F9601B">
              <w:rPr>
                <w:rFonts w:asciiTheme="minorHAnsi" w:hAnsiTheme="minorHAnsi" w:cstheme="minorHAnsi"/>
              </w:rPr>
              <w:t>facilitators</w:t>
            </w:r>
            <w:r w:rsidRPr="00F9601B">
              <w:rPr>
                <w:rFonts w:asciiTheme="minorHAnsi" w:hAnsiTheme="minorHAnsi" w:cstheme="minorHAnsi"/>
              </w:rPr>
              <w:t xml:space="preserve"> who deliver </w:t>
            </w:r>
            <w:r w:rsidR="001A72CD">
              <w:rPr>
                <w:rFonts w:asciiTheme="minorHAnsi" w:hAnsiTheme="minorHAnsi" w:cstheme="minorHAnsi"/>
              </w:rPr>
              <w:t>PREP</w:t>
            </w:r>
            <w:r w:rsidRPr="00F9601B">
              <w:rPr>
                <w:rFonts w:asciiTheme="minorHAnsi" w:hAnsiTheme="minorHAnsi" w:cstheme="minorHAnsi"/>
              </w:rPr>
              <w:t xml:space="preserve"> programming to youth </w:t>
            </w:r>
          </w:p>
          <w:p w:rsidR="00C57C9A" w:rsidRPr="00F9601B" w:rsidP="003169DA" w14:paraId="5C40C424" w14:textId="6A37A748">
            <w:pPr>
              <w:spacing w:before="40" w:after="120"/>
              <w:rPr>
                <w:rFonts w:asciiTheme="minorHAnsi" w:hAnsiTheme="minorHAnsi" w:cstheme="minorHAnsi"/>
                <w:b/>
                <w:bCs/>
              </w:rPr>
            </w:pPr>
            <w:r w:rsidRPr="00F9601B">
              <w:rPr>
                <w:rFonts w:asciiTheme="minorHAnsi" w:hAnsiTheme="minorHAnsi" w:cstheme="minorHAnsi"/>
                <w:b/>
                <w:bCs/>
              </w:rPr>
              <w:t xml:space="preserve">Content: </w:t>
            </w:r>
            <w:r w:rsidRPr="00F9601B">
              <w:rPr>
                <w:rFonts w:asciiTheme="minorHAnsi" w:hAnsiTheme="minorHAnsi" w:cstheme="minorHAnsi"/>
              </w:rPr>
              <w:t>APS content and method of delivery, dosage of APS topics</w:t>
            </w:r>
            <w:r w:rsidR="006B3F76">
              <w:rPr>
                <w:rFonts w:asciiTheme="minorHAnsi" w:hAnsiTheme="minorHAnsi" w:cstheme="minorHAnsi"/>
              </w:rPr>
              <w:t xml:space="preserve"> and content</w:t>
            </w:r>
            <w:r w:rsidRPr="00F9601B">
              <w:rPr>
                <w:rFonts w:asciiTheme="minorHAnsi" w:hAnsiTheme="minorHAnsi" w:cstheme="minorHAnsi"/>
              </w:rPr>
              <w:t>, relevance of APS</w:t>
            </w:r>
            <w:r w:rsidRPr="00F9601B" w:rsidR="00C12357">
              <w:rPr>
                <w:rFonts w:asciiTheme="minorHAnsi" w:hAnsiTheme="minorHAnsi" w:cstheme="minorHAnsi"/>
              </w:rPr>
              <w:t xml:space="preserve"> </w:t>
            </w:r>
            <w:r w:rsidR="006B3F76">
              <w:rPr>
                <w:rFonts w:asciiTheme="minorHAnsi" w:hAnsiTheme="minorHAnsi" w:cstheme="minorHAnsi"/>
              </w:rPr>
              <w:t xml:space="preserve">topics and </w:t>
            </w:r>
            <w:r w:rsidRPr="00F9601B" w:rsidR="00C12357">
              <w:rPr>
                <w:rFonts w:asciiTheme="minorHAnsi" w:hAnsiTheme="minorHAnsi" w:cstheme="minorHAnsi"/>
              </w:rPr>
              <w:t>content</w:t>
            </w:r>
            <w:r w:rsidRPr="00F9601B">
              <w:rPr>
                <w:rFonts w:asciiTheme="minorHAnsi" w:hAnsiTheme="minorHAnsi" w:cstheme="minorHAnsi"/>
              </w:rPr>
              <w:t xml:space="preserve"> to youth, </w:t>
            </w:r>
            <w:r w:rsidR="00E12981">
              <w:rPr>
                <w:rFonts w:asciiTheme="minorHAnsi" w:hAnsiTheme="minorHAnsi" w:cstheme="minorHAnsi"/>
              </w:rPr>
              <w:t xml:space="preserve">and </w:t>
            </w:r>
            <w:r w:rsidRPr="00F9601B">
              <w:rPr>
                <w:rFonts w:asciiTheme="minorHAnsi" w:hAnsiTheme="minorHAnsi" w:cstheme="minorHAnsi"/>
              </w:rPr>
              <w:t>adaptations or enhancements made for cultural relevance</w:t>
            </w:r>
          </w:p>
          <w:p w:rsidR="00C57C9A" w:rsidRPr="00F9601B" w:rsidP="003169DA" w14:paraId="6DC83E23" w14:textId="2557C9C5">
            <w:pPr>
              <w:spacing w:before="40" w:after="120"/>
              <w:rPr>
                <w:rFonts w:asciiTheme="minorHAnsi" w:hAnsiTheme="minorHAnsi" w:cstheme="minorHAnsi"/>
                <w:b/>
              </w:rPr>
            </w:pPr>
          </w:p>
        </w:tc>
        <w:tc>
          <w:tcPr>
            <w:tcW w:w="1530" w:type="dxa"/>
            <w:tcBorders>
              <w:top w:val="single" w:sz="4" w:space="0" w:color="auto"/>
              <w:left w:val="single" w:sz="4" w:space="0" w:color="auto"/>
              <w:bottom w:val="single" w:sz="4" w:space="0" w:color="auto"/>
              <w:right w:val="single" w:sz="4" w:space="0" w:color="auto"/>
            </w:tcBorders>
          </w:tcPr>
          <w:p w:rsidR="00C57C9A" w:rsidRPr="00F9601B" w:rsidP="008975CF" w14:paraId="6C63552A" w14:textId="574CDDB0">
            <w:pPr>
              <w:spacing w:before="60" w:after="60"/>
              <w:rPr>
                <w:rFonts w:asciiTheme="minorHAnsi" w:hAnsiTheme="minorHAnsi" w:cstheme="minorHAnsi"/>
              </w:rPr>
            </w:pPr>
            <w:r w:rsidRPr="00F9601B">
              <w:rPr>
                <w:rFonts w:asciiTheme="minorHAnsi" w:hAnsiTheme="minorHAnsi" w:cstheme="minorHAnsi"/>
                <w:b/>
              </w:rPr>
              <w:t>Mode</w:t>
            </w:r>
            <w:r w:rsidRPr="00F9601B">
              <w:rPr>
                <w:rFonts w:asciiTheme="minorHAnsi" w:hAnsiTheme="minorHAnsi" w:cstheme="minorHAnsi"/>
              </w:rPr>
              <w:t>: In-person interview</w:t>
            </w:r>
          </w:p>
          <w:p w:rsidR="00C57C9A" w:rsidRPr="00F9601B" w:rsidP="008975CF" w14:paraId="3604A54C" w14:textId="35DAC2C6">
            <w:pPr>
              <w:spacing w:before="60" w:after="60"/>
              <w:rPr>
                <w:rFonts w:asciiTheme="minorHAnsi" w:hAnsiTheme="minorHAnsi" w:cstheme="minorHAnsi"/>
                <w:b/>
              </w:rPr>
            </w:pPr>
            <w:r w:rsidRPr="00F9601B">
              <w:rPr>
                <w:rFonts w:asciiTheme="minorHAnsi" w:hAnsiTheme="minorHAnsi" w:cstheme="minorHAnsi"/>
                <w:b/>
              </w:rPr>
              <w:t>Duration</w:t>
            </w:r>
            <w:r w:rsidRPr="00F9601B">
              <w:rPr>
                <w:rFonts w:asciiTheme="minorHAnsi" w:hAnsiTheme="minorHAnsi" w:cstheme="minorHAnsi"/>
              </w:rPr>
              <w:t>: 60 minutes</w:t>
            </w:r>
          </w:p>
        </w:tc>
      </w:tr>
      <w:tr w14:paraId="7EA4D559" w14:textId="77777777" w:rsidTr="009A43A5">
        <w:tblPrEx>
          <w:tblW w:w="9625" w:type="dxa"/>
          <w:tblInd w:w="0" w:type="dxa"/>
          <w:tblLook w:val="04A0"/>
        </w:tblPrEx>
        <w:trPr>
          <w:cantSplit/>
          <w:trHeight w:val="2393"/>
        </w:trPr>
        <w:tc>
          <w:tcPr>
            <w:tcW w:w="1705" w:type="dxa"/>
            <w:tcBorders>
              <w:top w:val="single" w:sz="4" w:space="0" w:color="auto"/>
              <w:left w:val="single" w:sz="4" w:space="0" w:color="auto"/>
              <w:bottom w:val="single" w:sz="4" w:space="0" w:color="auto"/>
              <w:right w:val="single" w:sz="4" w:space="0" w:color="auto"/>
            </w:tcBorders>
          </w:tcPr>
          <w:p w:rsidR="00C57C9A" w:rsidRPr="00F9601B" w:rsidP="00E14739" w14:paraId="1A6F664C" w14:textId="171F6AA0">
            <w:pPr>
              <w:spacing w:before="60" w:after="60"/>
              <w:rPr>
                <w:rFonts w:asciiTheme="minorHAnsi" w:hAnsiTheme="minorHAnsi" w:cstheme="minorHAnsi"/>
              </w:rPr>
            </w:pPr>
            <w:r w:rsidRPr="00F9601B">
              <w:rPr>
                <w:rFonts w:asciiTheme="minorHAnsi" w:hAnsiTheme="minorHAnsi" w:cstheme="minorHAnsi"/>
              </w:rPr>
              <w:t xml:space="preserve">Instrument 2.c: Topic guide for in-person site visit: Focus group with community members </w:t>
            </w:r>
          </w:p>
        </w:tc>
        <w:tc>
          <w:tcPr>
            <w:tcW w:w="6390" w:type="dxa"/>
            <w:tcBorders>
              <w:top w:val="single" w:sz="4" w:space="0" w:color="auto"/>
              <w:left w:val="single" w:sz="4" w:space="0" w:color="auto"/>
              <w:bottom w:val="single" w:sz="4" w:space="0" w:color="auto"/>
              <w:right w:val="single" w:sz="4" w:space="0" w:color="auto"/>
            </w:tcBorders>
          </w:tcPr>
          <w:p w:rsidR="008415F3" w:rsidP="00AA5460" w14:paraId="0DC674E9" w14:textId="77777777">
            <w:pPr>
              <w:spacing w:before="60" w:after="60"/>
              <w:rPr>
                <w:rFonts w:asciiTheme="minorHAnsi" w:hAnsiTheme="minorHAnsi" w:cstheme="minorHAnsi"/>
                <w:b/>
              </w:rPr>
            </w:pPr>
            <w:r w:rsidRPr="00F9601B">
              <w:rPr>
                <w:rFonts w:asciiTheme="minorHAnsi" w:hAnsiTheme="minorHAnsi" w:cstheme="minorHAnsi"/>
                <w:b/>
              </w:rPr>
              <w:t xml:space="preserve">Purpose: </w:t>
            </w:r>
            <w:r w:rsidRPr="00F9601B">
              <w:rPr>
                <w:rFonts w:asciiTheme="minorHAnsi" w:hAnsiTheme="minorHAnsi" w:cstheme="minorHAnsi"/>
                <w:bCs/>
              </w:rPr>
              <w:t xml:space="preserve">To gather qualitative feedback on the design, delivery, dosage, and relevance of the APS </w:t>
            </w:r>
            <w:r>
              <w:rPr>
                <w:rFonts w:asciiTheme="minorHAnsi" w:hAnsiTheme="minorHAnsi" w:cstheme="minorHAnsi"/>
                <w:bCs/>
              </w:rPr>
              <w:t xml:space="preserve">topics and </w:t>
            </w:r>
            <w:r w:rsidRPr="00F9601B">
              <w:rPr>
                <w:rFonts w:asciiTheme="minorHAnsi" w:hAnsiTheme="minorHAnsi" w:cstheme="minorHAnsi"/>
                <w:bCs/>
              </w:rPr>
              <w:t xml:space="preserve">content for youth, and </w:t>
            </w:r>
            <w:r w:rsidRPr="00F9601B">
              <w:rPr>
                <w:rFonts w:asciiTheme="minorHAnsi" w:hAnsiTheme="minorHAnsi" w:cstheme="minorHAnsi"/>
              </w:rPr>
              <w:t>potential adaptations and improvements for cultural relevance</w:t>
            </w:r>
            <w:r w:rsidRPr="00F9601B">
              <w:rPr>
                <w:rFonts w:asciiTheme="minorHAnsi" w:hAnsiTheme="minorHAnsi" w:cstheme="minorHAnsi"/>
                <w:b/>
              </w:rPr>
              <w:t xml:space="preserve"> </w:t>
            </w:r>
          </w:p>
          <w:p w:rsidR="00C57C9A" w:rsidRPr="00F9601B" w:rsidP="00AA5460" w14:paraId="69DD53EE" w14:textId="31726CD8">
            <w:pPr>
              <w:spacing w:before="60" w:after="60"/>
              <w:rPr>
                <w:rFonts w:asciiTheme="minorHAnsi" w:hAnsiTheme="minorHAnsi" w:cstheme="minorHAnsi"/>
              </w:rPr>
            </w:pPr>
            <w:r w:rsidRPr="00F9601B">
              <w:rPr>
                <w:rFonts w:asciiTheme="minorHAnsi" w:hAnsiTheme="minorHAnsi" w:cstheme="minorHAnsi"/>
                <w:b/>
              </w:rPr>
              <w:t>Respondents</w:t>
            </w:r>
            <w:r w:rsidRPr="00F9601B">
              <w:rPr>
                <w:rFonts w:asciiTheme="minorHAnsi" w:hAnsiTheme="minorHAnsi" w:cstheme="minorHAnsi"/>
                <w:b/>
                <w:bCs/>
              </w:rPr>
              <w:t xml:space="preserve">: </w:t>
            </w:r>
            <w:r w:rsidRPr="00F9601B">
              <w:rPr>
                <w:rFonts w:asciiTheme="minorHAnsi" w:hAnsiTheme="minorHAnsi" w:cstheme="minorHAnsi"/>
              </w:rPr>
              <w:t xml:space="preserve">Parents of youth who participate in </w:t>
            </w:r>
            <w:r w:rsidR="001A72CD">
              <w:rPr>
                <w:rFonts w:asciiTheme="minorHAnsi" w:hAnsiTheme="minorHAnsi" w:cstheme="minorHAnsi"/>
              </w:rPr>
              <w:t>PREP</w:t>
            </w:r>
            <w:r w:rsidRPr="00F9601B">
              <w:rPr>
                <w:rFonts w:asciiTheme="minorHAnsi" w:hAnsiTheme="minorHAnsi" w:cstheme="minorHAnsi"/>
              </w:rPr>
              <w:t xml:space="preserve"> programming, community </w:t>
            </w:r>
            <w:r w:rsidR="00872261">
              <w:rPr>
                <w:rFonts w:asciiTheme="minorHAnsi" w:hAnsiTheme="minorHAnsi" w:cstheme="minorHAnsi"/>
              </w:rPr>
              <w:t>members</w:t>
            </w:r>
            <w:r w:rsidRPr="00F9601B">
              <w:rPr>
                <w:rFonts w:asciiTheme="minorHAnsi" w:hAnsiTheme="minorHAnsi" w:cstheme="minorHAnsi"/>
              </w:rPr>
              <w:t xml:space="preserve"> who helped develop</w:t>
            </w:r>
            <w:r w:rsidR="00872261">
              <w:rPr>
                <w:rFonts w:asciiTheme="minorHAnsi" w:hAnsiTheme="minorHAnsi" w:cstheme="minorHAnsi"/>
              </w:rPr>
              <w:t xml:space="preserve"> or </w:t>
            </w:r>
            <w:r w:rsidRPr="00F9601B">
              <w:rPr>
                <w:rFonts w:asciiTheme="minorHAnsi" w:hAnsiTheme="minorHAnsi" w:cstheme="minorHAnsi"/>
              </w:rPr>
              <w:t>adapt APS materials</w:t>
            </w:r>
            <w:r w:rsidRPr="00F9601B" w:rsidR="009A43A5">
              <w:rPr>
                <w:rFonts w:asciiTheme="minorHAnsi" w:hAnsiTheme="minorHAnsi" w:cstheme="minorHAnsi"/>
              </w:rPr>
              <w:t xml:space="preserve"> or </w:t>
            </w:r>
            <w:r w:rsidRPr="00F9601B">
              <w:rPr>
                <w:rFonts w:asciiTheme="minorHAnsi" w:hAnsiTheme="minorHAnsi" w:cstheme="minorHAnsi"/>
              </w:rPr>
              <w:t>collaborate with the PREP program</w:t>
            </w:r>
            <w:r w:rsidRPr="00F9601B" w:rsidR="009A43A5">
              <w:rPr>
                <w:rFonts w:asciiTheme="minorHAnsi" w:hAnsiTheme="minorHAnsi" w:cstheme="minorHAnsi"/>
              </w:rPr>
              <w:t xml:space="preserve"> in other ways</w:t>
            </w:r>
          </w:p>
          <w:p w:rsidR="00C57C9A" w:rsidRPr="00F9601B" w:rsidP="00AA5460" w14:paraId="2DE7E955" w14:textId="503E920B">
            <w:pPr>
              <w:spacing w:before="40" w:after="120"/>
              <w:rPr>
                <w:rFonts w:asciiTheme="minorHAnsi" w:hAnsiTheme="minorHAnsi" w:cstheme="minorHAnsi"/>
                <w:b/>
                <w:bCs/>
              </w:rPr>
            </w:pPr>
            <w:r w:rsidRPr="00F9601B">
              <w:rPr>
                <w:rFonts w:asciiTheme="minorHAnsi" w:hAnsiTheme="minorHAnsi" w:cstheme="minorHAnsi"/>
                <w:b/>
                <w:bCs/>
              </w:rPr>
              <w:t xml:space="preserve">Content: </w:t>
            </w:r>
            <w:r w:rsidRPr="00F9601B">
              <w:rPr>
                <w:rFonts w:asciiTheme="minorHAnsi" w:hAnsiTheme="minorHAnsi" w:cstheme="minorHAnsi"/>
              </w:rPr>
              <w:t>Youth needs, relevance of APS</w:t>
            </w:r>
            <w:r w:rsidR="00BC40A9">
              <w:rPr>
                <w:rFonts w:asciiTheme="minorHAnsi" w:hAnsiTheme="minorHAnsi" w:cstheme="minorHAnsi"/>
              </w:rPr>
              <w:t xml:space="preserve"> topics and</w:t>
            </w:r>
            <w:r w:rsidRPr="00F9601B">
              <w:rPr>
                <w:rFonts w:asciiTheme="minorHAnsi" w:hAnsiTheme="minorHAnsi" w:cstheme="minorHAnsi"/>
              </w:rPr>
              <w:t xml:space="preserve"> </w:t>
            </w:r>
            <w:r w:rsidRPr="00F9601B" w:rsidR="00C12357">
              <w:rPr>
                <w:rFonts w:asciiTheme="minorHAnsi" w:hAnsiTheme="minorHAnsi" w:cstheme="minorHAnsi"/>
              </w:rPr>
              <w:t>content</w:t>
            </w:r>
            <w:r w:rsidRPr="00F9601B">
              <w:rPr>
                <w:rFonts w:asciiTheme="minorHAnsi" w:hAnsiTheme="minorHAnsi" w:cstheme="minorHAnsi"/>
              </w:rPr>
              <w:t xml:space="preserve"> to youth, dosage guidelines, and adaptations</w:t>
            </w:r>
            <w:r w:rsidR="00872261">
              <w:rPr>
                <w:rFonts w:asciiTheme="minorHAnsi" w:hAnsiTheme="minorHAnsi" w:cstheme="minorHAnsi"/>
              </w:rPr>
              <w:t xml:space="preserve"> or </w:t>
            </w:r>
            <w:r w:rsidRPr="00F9601B">
              <w:rPr>
                <w:rFonts w:asciiTheme="minorHAnsi" w:hAnsiTheme="minorHAnsi" w:cstheme="minorHAnsi"/>
              </w:rPr>
              <w:t>enhancements for cultural relevance</w:t>
            </w:r>
          </w:p>
          <w:p w:rsidR="00C57C9A" w:rsidRPr="00F9601B" w:rsidP="00AA5460" w14:paraId="3EB4290F" w14:textId="03C9EE30">
            <w:pPr>
              <w:spacing w:before="60" w:after="60"/>
              <w:rPr>
                <w:rFonts w:asciiTheme="minorHAnsi" w:hAnsiTheme="minorHAnsi" w:cstheme="minorHAnsi"/>
                <w:b/>
              </w:rPr>
            </w:pPr>
          </w:p>
        </w:tc>
        <w:tc>
          <w:tcPr>
            <w:tcW w:w="1530" w:type="dxa"/>
            <w:tcBorders>
              <w:top w:val="single" w:sz="4" w:space="0" w:color="auto"/>
              <w:left w:val="single" w:sz="4" w:space="0" w:color="auto"/>
              <w:bottom w:val="single" w:sz="4" w:space="0" w:color="auto"/>
              <w:right w:val="single" w:sz="4" w:space="0" w:color="auto"/>
            </w:tcBorders>
          </w:tcPr>
          <w:p w:rsidR="00C57C9A" w:rsidRPr="00F9601B" w:rsidP="00E14739" w14:paraId="45E05D24" w14:textId="378EC5B5">
            <w:pPr>
              <w:spacing w:before="60" w:after="60"/>
              <w:rPr>
                <w:rFonts w:asciiTheme="minorHAnsi" w:hAnsiTheme="minorHAnsi" w:cstheme="minorHAnsi"/>
                <w:b/>
              </w:rPr>
            </w:pPr>
            <w:r w:rsidRPr="00F9601B">
              <w:rPr>
                <w:rFonts w:asciiTheme="minorHAnsi" w:hAnsiTheme="minorHAnsi" w:cstheme="minorHAnsi"/>
                <w:b/>
              </w:rPr>
              <w:t>Mode</w:t>
            </w:r>
            <w:r w:rsidRPr="00F9601B">
              <w:rPr>
                <w:rFonts w:asciiTheme="minorHAnsi" w:hAnsiTheme="minorHAnsi" w:cstheme="minorHAnsi"/>
                <w:bCs/>
              </w:rPr>
              <w:t>:</w:t>
            </w:r>
            <w:r w:rsidRPr="00F9601B">
              <w:rPr>
                <w:rFonts w:asciiTheme="minorHAnsi" w:hAnsiTheme="minorHAnsi" w:cstheme="minorHAnsi"/>
                <w:b/>
              </w:rPr>
              <w:t xml:space="preserve"> </w:t>
            </w:r>
            <w:r w:rsidRPr="00F9601B">
              <w:rPr>
                <w:rFonts w:asciiTheme="minorHAnsi" w:hAnsiTheme="minorHAnsi" w:cstheme="minorHAnsi"/>
                <w:bCs/>
              </w:rPr>
              <w:t>In-person focus group</w:t>
            </w:r>
            <w:r w:rsidRPr="00F9601B">
              <w:rPr>
                <w:rFonts w:asciiTheme="minorHAnsi" w:hAnsiTheme="minorHAnsi" w:cstheme="minorHAnsi"/>
                <w:b/>
              </w:rPr>
              <w:t xml:space="preserve"> </w:t>
            </w:r>
          </w:p>
          <w:p w:rsidR="00C57C9A" w:rsidRPr="00F9601B" w:rsidP="00E14739" w14:paraId="2097E7D0" w14:textId="2A25CD28">
            <w:pPr>
              <w:spacing w:before="60" w:after="60"/>
              <w:rPr>
                <w:rFonts w:asciiTheme="minorHAnsi" w:hAnsiTheme="minorHAnsi" w:cstheme="minorHAnsi"/>
                <w:b/>
              </w:rPr>
            </w:pPr>
            <w:r w:rsidRPr="00F9601B">
              <w:rPr>
                <w:rFonts w:asciiTheme="minorHAnsi" w:hAnsiTheme="minorHAnsi" w:cstheme="minorHAnsi"/>
                <w:b/>
              </w:rPr>
              <w:t>Duration</w:t>
            </w:r>
            <w:r w:rsidRPr="00F9601B">
              <w:rPr>
                <w:rFonts w:asciiTheme="minorHAnsi" w:hAnsiTheme="minorHAnsi" w:cstheme="minorHAnsi"/>
              </w:rPr>
              <w:t>: 60 minutes</w:t>
            </w:r>
          </w:p>
        </w:tc>
      </w:tr>
      <w:tr w14:paraId="3D970B59" w14:textId="77777777" w:rsidTr="00C57C9A">
        <w:tblPrEx>
          <w:tblW w:w="9625" w:type="dxa"/>
          <w:tblInd w:w="0" w:type="dxa"/>
          <w:tblLook w:val="04A0"/>
        </w:tblPrEx>
        <w:trPr>
          <w:cantSplit/>
          <w:trHeight w:val="2330"/>
        </w:trPr>
        <w:tc>
          <w:tcPr>
            <w:tcW w:w="1705" w:type="dxa"/>
            <w:tcBorders>
              <w:top w:val="single" w:sz="4" w:space="0" w:color="auto"/>
              <w:left w:val="single" w:sz="4" w:space="0" w:color="auto"/>
              <w:bottom w:val="single" w:sz="4" w:space="0" w:color="auto"/>
              <w:right w:val="single" w:sz="4" w:space="0" w:color="auto"/>
            </w:tcBorders>
          </w:tcPr>
          <w:p w:rsidR="00C57C9A" w:rsidRPr="00F9601B" w:rsidP="00E14739" w14:paraId="23915C53" w14:textId="0721820F">
            <w:pPr>
              <w:spacing w:before="60" w:after="60"/>
              <w:rPr>
                <w:rFonts w:asciiTheme="minorHAnsi" w:hAnsiTheme="minorHAnsi" w:cstheme="minorHAnsi"/>
                <w:highlight w:val="yellow"/>
              </w:rPr>
            </w:pPr>
            <w:r w:rsidRPr="00F9601B">
              <w:rPr>
                <w:rFonts w:asciiTheme="minorHAnsi" w:hAnsiTheme="minorHAnsi" w:cstheme="minorHAnsi"/>
              </w:rPr>
              <w:t>Instrument 2.d</w:t>
            </w:r>
            <w:r w:rsidR="00F9601B">
              <w:rPr>
                <w:rFonts w:asciiTheme="minorHAnsi" w:hAnsiTheme="minorHAnsi" w:cstheme="minorHAnsi"/>
              </w:rPr>
              <w:t xml:space="preserve">: </w:t>
            </w:r>
            <w:r w:rsidRPr="00F9601B" w:rsidR="00C12357">
              <w:rPr>
                <w:rFonts w:asciiTheme="minorHAnsi" w:hAnsiTheme="minorHAnsi" w:cstheme="minorHAnsi"/>
              </w:rPr>
              <w:t xml:space="preserve"> </w:t>
            </w:r>
            <w:r w:rsidRPr="00F9601B">
              <w:rPr>
                <w:rFonts w:asciiTheme="minorHAnsi" w:hAnsiTheme="minorHAnsi" w:cstheme="minorHAnsi"/>
              </w:rPr>
              <w:t xml:space="preserve">In-person site visit: </w:t>
            </w:r>
            <w:r w:rsidR="004F7019">
              <w:rPr>
                <w:rFonts w:asciiTheme="minorHAnsi" w:hAnsiTheme="minorHAnsi" w:cstheme="minorHAnsi"/>
              </w:rPr>
              <w:t>F</w:t>
            </w:r>
            <w:r w:rsidRPr="00F9601B">
              <w:rPr>
                <w:rFonts w:asciiTheme="minorHAnsi" w:hAnsiTheme="minorHAnsi" w:cstheme="minorHAnsi"/>
              </w:rPr>
              <w:t xml:space="preserve">ocus group </w:t>
            </w:r>
            <w:r w:rsidR="004F7019">
              <w:rPr>
                <w:rFonts w:asciiTheme="minorHAnsi" w:hAnsiTheme="minorHAnsi" w:cstheme="minorHAnsi"/>
              </w:rPr>
              <w:t xml:space="preserve">with youth </w:t>
            </w:r>
            <w:r w:rsidR="003E5C16">
              <w:rPr>
                <w:rFonts w:asciiTheme="minorHAnsi" w:hAnsiTheme="minorHAnsi" w:cstheme="minorHAnsi"/>
              </w:rPr>
              <w:t>participat</w:t>
            </w:r>
            <w:r w:rsidR="00E06007">
              <w:rPr>
                <w:rFonts w:asciiTheme="minorHAnsi" w:hAnsiTheme="minorHAnsi" w:cstheme="minorHAnsi"/>
              </w:rPr>
              <w:t>ing</w:t>
            </w:r>
            <w:r w:rsidR="004F7019">
              <w:rPr>
                <w:rFonts w:asciiTheme="minorHAnsi" w:hAnsiTheme="minorHAnsi" w:cstheme="minorHAnsi"/>
              </w:rPr>
              <w:t xml:space="preserve"> in PREP programming </w:t>
            </w:r>
          </w:p>
        </w:tc>
        <w:tc>
          <w:tcPr>
            <w:tcW w:w="6390" w:type="dxa"/>
            <w:tcBorders>
              <w:top w:val="single" w:sz="4" w:space="0" w:color="auto"/>
              <w:left w:val="single" w:sz="4" w:space="0" w:color="auto"/>
              <w:bottom w:val="single" w:sz="4" w:space="0" w:color="auto"/>
              <w:right w:val="single" w:sz="4" w:space="0" w:color="auto"/>
            </w:tcBorders>
          </w:tcPr>
          <w:p w:rsidR="008415F3" w:rsidP="00E14739" w14:paraId="0E728CD3" w14:textId="77777777">
            <w:pPr>
              <w:spacing w:before="60" w:after="60"/>
              <w:rPr>
                <w:rFonts w:asciiTheme="minorHAnsi" w:hAnsiTheme="minorHAnsi" w:cstheme="minorHAnsi"/>
              </w:rPr>
            </w:pPr>
            <w:r w:rsidRPr="00F9601B">
              <w:rPr>
                <w:rFonts w:asciiTheme="minorHAnsi" w:hAnsiTheme="minorHAnsi" w:cstheme="minorHAnsi"/>
                <w:b/>
              </w:rPr>
              <w:t>Purpose</w:t>
            </w:r>
            <w:r w:rsidRPr="00F9601B">
              <w:rPr>
                <w:rFonts w:asciiTheme="minorHAnsi" w:hAnsiTheme="minorHAnsi" w:cstheme="minorHAnsi"/>
              </w:rPr>
              <w:t xml:space="preserve">: To </w:t>
            </w:r>
            <w:r>
              <w:rPr>
                <w:rFonts w:asciiTheme="minorHAnsi" w:hAnsiTheme="minorHAnsi" w:cstheme="minorHAnsi"/>
              </w:rPr>
              <w:t>gather</w:t>
            </w:r>
            <w:r w:rsidRPr="00F9601B">
              <w:rPr>
                <w:rFonts w:asciiTheme="minorHAnsi" w:hAnsiTheme="minorHAnsi" w:cstheme="minorHAnsi"/>
              </w:rPr>
              <w:t xml:space="preserve"> youths’ feedback and perceptions of the </w:t>
            </w:r>
            <w:r>
              <w:rPr>
                <w:rFonts w:asciiTheme="minorHAnsi" w:hAnsiTheme="minorHAnsi" w:cstheme="minorHAnsi"/>
              </w:rPr>
              <w:t>APS topics and</w:t>
            </w:r>
            <w:r w:rsidRPr="00F9601B">
              <w:rPr>
                <w:rFonts w:asciiTheme="minorHAnsi" w:hAnsiTheme="minorHAnsi" w:cstheme="minorHAnsi"/>
              </w:rPr>
              <w:t xml:space="preserve"> content, the extent of their participation and engagement in the </w:t>
            </w:r>
            <w:r>
              <w:rPr>
                <w:rFonts w:asciiTheme="minorHAnsi" w:hAnsiTheme="minorHAnsi" w:cstheme="minorHAnsi"/>
              </w:rPr>
              <w:t>content</w:t>
            </w:r>
            <w:r w:rsidRPr="00F9601B">
              <w:rPr>
                <w:rFonts w:asciiTheme="minorHAnsi" w:hAnsiTheme="minorHAnsi" w:cstheme="minorHAnsi"/>
              </w:rPr>
              <w:t>, and potential adaptations and improvements for cultural relevance</w:t>
            </w:r>
          </w:p>
          <w:p w:rsidR="00C57C9A" w:rsidRPr="00F9601B" w:rsidP="00E14739" w14:paraId="1A8F9B3F" w14:textId="7ED5AF1B">
            <w:pPr>
              <w:spacing w:before="60" w:after="60"/>
              <w:rPr>
                <w:rFonts w:asciiTheme="minorHAnsi" w:hAnsiTheme="minorHAnsi" w:cstheme="minorHAnsi"/>
              </w:rPr>
            </w:pPr>
            <w:r w:rsidRPr="00F9601B">
              <w:rPr>
                <w:rFonts w:asciiTheme="minorHAnsi" w:hAnsiTheme="minorHAnsi" w:cstheme="minorHAnsi"/>
                <w:b/>
              </w:rPr>
              <w:t>Respondents</w:t>
            </w:r>
            <w:r w:rsidRPr="00F9601B">
              <w:rPr>
                <w:rFonts w:asciiTheme="minorHAnsi" w:hAnsiTheme="minorHAnsi" w:cstheme="minorHAnsi"/>
              </w:rPr>
              <w:t xml:space="preserve">: </w:t>
            </w:r>
            <w:r w:rsidR="003E5C16">
              <w:rPr>
                <w:rFonts w:asciiTheme="minorHAnsi" w:hAnsiTheme="minorHAnsi" w:cstheme="minorHAnsi"/>
              </w:rPr>
              <w:t>Y</w:t>
            </w:r>
            <w:r w:rsidRPr="00F9601B">
              <w:rPr>
                <w:rFonts w:asciiTheme="minorHAnsi" w:hAnsiTheme="minorHAnsi" w:cstheme="minorHAnsi"/>
              </w:rPr>
              <w:t xml:space="preserve">outh </w:t>
            </w:r>
            <w:r w:rsidR="003E5C16">
              <w:rPr>
                <w:rFonts w:asciiTheme="minorHAnsi" w:hAnsiTheme="minorHAnsi" w:cstheme="minorHAnsi"/>
              </w:rPr>
              <w:t>participat</w:t>
            </w:r>
            <w:r w:rsidR="00E06007">
              <w:rPr>
                <w:rFonts w:asciiTheme="minorHAnsi" w:hAnsiTheme="minorHAnsi" w:cstheme="minorHAnsi"/>
              </w:rPr>
              <w:t>ing</w:t>
            </w:r>
            <w:r w:rsidRPr="00F9601B">
              <w:rPr>
                <w:rFonts w:asciiTheme="minorHAnsi" w:hAnsiTheme="minorHAnsi" w:cstheme="minorHAnsi"/>
              </w:rPr>
              <w:t xml:space="preserve"> in PREP programming </w:t>
            </w:r>
          </w:p>
          <w:p w:rsidR="00C57C9A" w:rsidRPr="00F9601B" w:rsidP="00E14739" w14:paraId="1243711E" w14:textId="21186936">
            <w:pPr>
              <w:spacing w:before="60" w:after="60"/>
              <w:rPr>
                <w:rFonts w:asciiTheme="minorHAnsi" w:hAnsiTheme="minorHAnsi" w:cstheme="minorHAnsi"/>
              </w:rPr>
            </w:pPr>
            <w:r w:rsidRPr="00F9601B">
              <w:rPr>
                <w:rFonts w:asciiTheme="minorHAnsi" w:hAnsiTheme="minorHAnsi" w:cstheme="minorHAnsi"/>
                <w:b/>
              </w:rPr>
              <w:t>Content</w:t>
            </w:r>
            <w:r w:rsidRPr="00F9601B">
              <w:rPr>
                <w:rFonts w:asciiTheme="minorHAnsi" w:hAnsiTheme="minorHAnsi" w:cstheme="minorHAnsi"/>
              </w:rPr>
              <w:t xml:space="preserve">: </w:t>
            </w:r>
            <w:r w:rsidR="00872261">
              <w:rPr>
                <w:rFonts w:asciiTheme="minorHAnsi" w:hAnsiTheme="minorHAnsi" w:cstheme="minorHAnsi"/>
              </w:rPr>
              <w:t>APS</w:t>
            </w:r>
            <w:r w:rsidRPr="00F9601B">
              <w:rPr>
                <w:rFonts w:asciiTheme="minorHAnsi" w:hAnsiTheme="minorHAnsi" w:cstheme="minorHAnsi"/>
              </w:rPr>
              <w:t xml:space="preserve"> content and delivery, participation and engagement in </w:t>
            </w:r>
            <w:r w:rsidR="00872261">
              <w:rPr>
                <w:rFonts w:asciiTheme="minorHAnsi" w:hAnsiTheme="minorHAnsi" w:cstheme="minorHAnsi"/>
              </w:rPr>
              <w:t>APS content</w:t>
            </w:r>
            <w:r w:rsidRPr="00F9601B">
              <w:rPr>
                <w:rFonts w:asciiTheme="minorHAnsi" w:hAnsiTheme="minorHAnsi" w:cstheme="minorHAnsi"/>
              </w:rPr>
              <w:t xml:space="preserve">, satisfaction with </w:t>
            </w:r>
            <w:r w:rsidR="00872261">
              <w:rPr>
                <w:rFonts w:asciiTheme="minorHAnsi" w:hAnsiTheme="minorHAnsi" w:cstheme="minorHAnsi"/>
              </w:rPr>
              <w:t>APS</w:t>
            </w:r>
            <w:r w:rsidRPr="00F9601B">
              <w:rPr>
                <w:rFonts w:asciiTheme="minorHAnsi" w:hAnsiTheme="minorHAnsi" w:cstheme="minorHAnsi"/>
              </w:rPr>
              <w:t xml:space="preserve"> content and relevance to their lives, and how the </w:t>
            </w:r>
            <w:r w:rsidR="00872261">
              <w:rPr>
                <w:rFonts w:asciiTheme="minorHAnsi" w:hAnsiTheme="minorHAnsi" w:cstheme="minorHAnsi"/>
              </w:rPr>
              <w:t>content</w:t>
            </w:r>
            <w:r w:rsidRPr="00F9601B">
              <w:rPr>
                <w:rFonts w:asciiTheme="minorHAnsi" w:hAnsiTheme="minorHAnsi" w:cstheme="minorHAnsi"/>
              </w:rPr>
              <w:t xml:space="preserve"> could be improved</w:t>
            </w:r>
          </w:p>
          <w:p w:rsidR="00C57C9A" w:rsidRPr="00F9601B" w:rsidP="00E14739" w14:paraId="40574C56" w14:textId="682DB2AF">
            <w:pPr>
              <w:spacing w:before="60" w:after="60"/>
              <w:rPr>
                <w:rFonts w:asciiTheme="minorHAnsi" w:hAnsiTheme="minorHAnsi" w:cstheme="minorHAnsi"/>
                <w:b/>
              </w:rPr>
            </w:pPr>
          </w:p>
        </w:tc>
        <w:tc>
          <w:tcPr>
            <w:tcW w:w="1530" w:type="dxa"/>
            <w:tcBorders>
              <w:top w:val="single" w:sz="4" w:space="0" w:color="auto"/>
              <w:left w:val="single" w:sz="4" w:space="0" w:color="auto"/>
              <w:bottom w:val="single" w:sz="4" w:space="0" w:color="auto"/>
              <w:right w:val="single" w:sz="4" w:space="0" w:color="auto"/>
            </w:tcBorders>
          </w:tcPr>
          <w:p w:rsidR="00C57C9A" w:rsidRPr="00F9601B" w:rsidP="00E14739" w14:paraId="7018612C" w14:textId="05E2B4B5">
            <w:pPr>
              <w:spacing w:before="60" w:after="60"/>
              <w:rPr>
                <w:rFonts w:asciiTheme="minorHAnsi" w:hAnsiTheme="minorHAnsi" w:cstheme="minorHAnsi"/>
              </w:rPr>
            </w:pPr>
            <w:r w:rsidRPr="00F9601B">
              <w:rPr>
                <w:rFonts w:asciiTheme="minorHAnsi" w:hAnsiTheme="minorHAnsi" w:cstheme="minorHAnsi"/>
                <w:b/>
              </w:rPr>
              <w:t>Mode</w:t>
            </w:r>
            <w:r w:rsidRPr="00F9601B">
              <w:rPr>
                <w:rFonts w:asciiTheme="minorHAnsi" w:hAnsiTheme="minorHAnsi" w:cstheme="minorHAnsi"/>
              </w:rPr>
              <w:t xml:space="preserve">: In-person focus group </w:t>
            </w:r>
          </w:p>
          <w:p w:rsidR="00C57C9A" w:rsidRPr="00F9601B" w:rsidP="00AA5460" w14:paraId="4CCA6187" w14:textId="6ADB3254">
            <w:pPr>
              <w:spacing w:before="60" w:after="60"/>
              <w:rPr>
                <w:rFonts w:asciiTheme="minorHAnsi" w:hAnsiTheme="minorHAnsi" w:cstheme="minorHAnsi"/>
                <w:bCs/>
              </w:rPr>
            </w:pPr>
            <w:r w:rsidRPr="00F9601B">
              <w:rPr>
                <w:rFonts w:asciiTheme="minorHAnsi" w:hAnsiTheme="minorHAnsi" w:cstheme="minorHAnsi"/>
                <w:b/>
              </w:rPr>
              <w:t>Duration</w:t>
            </w:r>
            <w:r w:rsidRPr="00F9601B">
              <w:rPr>
                <w:rFonts w:asciiTheme="minorHAnsi" w:hAnsiTheme="minorHAnsi" w:cstheme="minorHAnsi"/>
              </w:rPr>
              <w:t>: 60 minutes</w:t>
            </w:r>
          </w:p>
          <w:p w:rsidR="00C57C9A" w:rsidRPr="00F9601B" w:rsidP="00E14739" w14:paraId="58C5F6B9" w14:textId="29801E10">
            <w:pPr>
              <w:spacing w:before="60" w:after="60"/>
              <w:rPr>
                <w:rFonts w:asciiTheme="minorHAnsi" w:hAnsiTheme="minorHAnsi" w:cstheme="minorHAnsi"/>
                <w:bCs/>
              </w:rPr>
            </w:pPr>
            <w:r w:rsidRPr="00F9601B">
              <w:rPr>
                <w:rFonts w:asciiTheme="minorHAnsi" w:hAnsiTheme="minorHAnsi" w:cstheme="minorHAnsi"/>
                <w:bCs/>
              </w:rPr>
              <w:t xml:space="preserve"> </w:t>
            </w:r>
          </w:p>
        </w:tc>
      </w:tr>
    </w:tbl>
    <w:p w:rsidR="00BA4BDB" w:rsidP="00757263" w14:paraId="5070DB46" w14:textId="77777777">
      <w:pPr>
        <w:spacing w:after="120"/>
        <w:rPr>
          <w:iCs/>
          <w:sz w:val="18"/>
          <w:szCs w:val="18"/>
        </w:rPr>
      </w:pPr>
    </w:p>
    <w:p w:rsidR="009D2672" w:rsidRPr="008813EA" w:rsidP="00077E16" w14:paraId="75074E19" w14:textId="3A28F5F7">
      <w:pPr>
        <w:spacing w:after="60"/>
        <w:rPr>
          <w:i/>
        </w:rPr>
      </w:pPr>
      <w:r w:rsidRPr="008813EA">
        <w:rPr>
          <w:i/>
        </w:rPr>
        <w:t>Other Data Sources and Uses of Information</w:t>
      </w:r>
    </w:p>
    <w:p w:rsidR="00BB2ADB" w:rsidP="00077E16" w14:paraId="533A7AC6" w14:textId="0895BDBD">
      <w:pPr>
        <w:tabs>
          <w:tab w:val="left" w:pos="-720"/>
        </w:tabs>
        <w:suppressAutoHyphens/>
        <w:spacing w:after="0"/>
        <w:rPr>
          <w:bCs/>
        </w:rPr>
      </w:pPr>
      <w:r>
        <w:rPr>
          <w:bCs/>
        </w:rPr>
        <w:t xml:space="preserve">The study team will draw on information previously collected through PMAPS to inform the selection of grantees and providers for the telephone interviews and site visits. In addition, </w:t>
      </w:r>
      <w:r w:rsidR="00EE7565">
        <w:rPr>
          <w:bCs/>
        </w:rPr>
        <w:t>as</w:t>
      </w:r>
      <w:r w:rsidR="007132C6">
        <w:rPr>
          <w:bCs/>
        </w:rPr>
        <w:t xml:space="preserve"> part of the in-person site visits</w:t>
      </w:r>
      <w:r w:rsidR="000B5B4D">
        <w:rPr>
          <w:bCs/>
        </w:rPr>
        <w:t>,</w:t>
      </w:r>
      <w:r>
        <w:rPr>
          <w:bCs/>
        </w:rPr>
        <w:t xml:space="preserve"> and if feasible,</w:t>
      </w:r>
      <w:r w:rsidR="007132C6">
        <w:rPr>
          <w:bCs/>
        </w:rPr>
        <w:t xml:space="preserve"> the study team</w:t>
      </w:r>
      <w:r>
        <w:rPr>
          <w:bCs/>
        </w:rPr>
        <w:t xml:space="preserve"> </w:t>
      </w:r>
      <w:r w:rsidR="007132C6">
        <w:rPr>
          <w:bCs/>
        </w:rPr>
        <w:t>will observe the delivery of at least one APS</w:t>
      </w:r>
      <w:r>
        <w:rPr>
          <w:bCs/>
        </w:rPr>
        <w:t>-</w:t>
      </w:r>
      <w:r w:rsidR="007132C6">
        <w:rPr>
          <w:bCs/>
        </w:rPr>
        <w:t>related program activity per site</w:t>
      </w:r>
      <w:r>
        <w:rPr>
          <w:bCs/>
        </w:rPr>
        <w:t xml:space="preserve">. </w:t>
      </w:r>
    </w:p>
    <w:p w:rsidR="00B0353A" w:rsidP="00077E16" w14:paraId="7ACB3EA6" w14:textId="77777777">
      <w:pPr>
        <w:tabs>
          <w:tab w:val="left" w:pos="-720"/>
        </w:tabs>
        <w:suppressAutoHyphens/>
        <w:spacing w:after="0"/>
        <w:rPr>
          <w:bCs/>
        </w:rPr>
      </w:pPr>
    </w:p>
    <w:p w:rsidR="009D2672" w:rsidRPr="008813EA" w:rsidP="00757263" w14:paraId="3CAF1309" w14:textId="75480B10">
      <w:pPr>
        <w:tabs>
          <w:tab w:val="left" w:pos="-720"/>
        </w:tabs>
        <w:suppressAutoHyphens/>
        <w:spacing w:after="120"/>
        <w:rPr>
          <w:b/>
        </w:rPr>
      </w:pPr>
      <w:r w:rsidRPr="008813EA">
        <w:rPr>
          <w:b/>
        </w:rPr>
        <w:t>A3</w:t>
      </w:r>
      <w:r w:rsidRPr="008813EA">
        <w:t>.</w:t>
      </w:r>
      <w:r w:rsidRPr="008813EA">
        <w:tab/>
      </w:r>
      <w:r w:rsidRPr="008813EA">
        <w:rPr>
          <w:b/>
        </w:rPr>
        <w:t>Use of Information Technology to Reduce Burden</w:t>
      </w:r>
    </w:p>
    <w:p w:rsidR="004B2322" w:rsidP="00077E16" w14:paraId="68A74DF0" w14:textId="3B57EE18">
      <w:pPr>
        <w:spacing w:after="0"/>
      </w:pPr>
      <w:r w:rsidRPr="008813EA">
        <w:t xml:space="preserve">The study team plans to use information technology wherever possible. </w:t>
      </w:r>
      <w:r w:rsidR="000C71DE">
        <w:t>The study team</w:t>
      </w:r>
      <w:r w:rsidRPr="003A64CF" w:rsidR="000C71DE">
        <w:t xml:space="preserve"> </w:t>
      </w:r>
      <w:r w:rsidRPr="003A64CF">
        <w:t>will collect qualitative information from the</w:t>
      </w:r>
      <w:r w:rsidR="00AE07F6">
        <w:t xml:space="preserve"> </w:t>
      </w:r>
      <w:r w:rsidR="00AC2BA6">
        <w:t>tele</w:t>
      </w:r>
      <w:r w:rsidR="00AE07F6">
        <w:t>phone</w:t>
      </w:r>
      <w:r w:rsidRPr="003A64CF">
        <w:t xml:space="preserve"> interviews via </w:t>
      </w:r>
      <w:r w:rsidR="00AE07F6">
        <w:t>video conference</w:t>
      </w:r>
      <w:r w:rsidR="00F9601B">
        <w:t xml:space="preserve">; this will </w:t>
      </w:r>
      <w:r w:rsidR="000B5B4D">
        <w:t xml:space="preserve">enable </w:t>
      </w:r>
      <w:r w:rsidR="00F9601B">
        <w:t xml:space="preserve">us to complete the interviews at a time that is most convenient for the respondent and eliminate any burden </w:t>
      </w:r>
      <w:r w:rsidR="00AC2BA6">
        <w:t>they would have for</w:t>
      </w:r>
      <w:r w:rsidR="00F9601B">
        <w:t xml:space="preserve"> </w:t>
      </w:r>
      <w:r w:rsidR="00AC2BA6">
        <w:t>travel time to attend an in-person interview</w:t>
      </w:r>
      <w:r w:rsidR="00AE07F6">
        <w:t xml:space="preserve">. </w:t>
      </w:r>
      <w:r w:rsidR="004D347F">
        <w:t>Parents and guardians can provide c</w:t>
      </w:r>
      <w:r w:rsidR="00AE07F6">
        <w:t xml:space="preserve">onsent for </w:t>
      </w:r>
      <w:r w:rsidR="004D347F">
        <w:t>their child to</w:t>
      </w:r>
      <w:r w:rsidR="00AE07F6">
        <w:t xml:space="preserve"> </w:t>
      </w:r>
      <w:r w:rsidR="004D347F">
        <w:t>participate</w:t>
      </w:r>
      <w:r w:rsidR="00AE07F6">
        <w:t xml:space="preserve"> in the focus groups using an online consent form</w:t>
      </w:r>
      <w:r w:rsidR="000B5B4D">
        <w:t>,</w:t>
      </w:r>
      <w:r w:rsidR="00AE07F6">
        <w:t xml:space="preserve"> which will reduce the burden of distributing and returning paper consent forms. </w:t>
      </w:r>
      <w:r w:rsidR="00101FA3">
        <w:t xml:space="preserve">The study team will email each parent or guardian a unique link, and they will follow the link to complete the consent form. </w:t>
      </w:r>
      <w:r w:rsidR="00B55A0B">
        <w:t xml:space="preserve">The consent form will be securely completed on </w:t>
      </w:r>
      <w:r w:rsidR="004D6B8E">
        <w:t xml:space="preserve">QuestionPro GovCloud.  </w:t>
      </w:r>
      <w:r w:rsidRPr="00235B2F" w:rsidR="00A51C7B">
        <w:t>QuestionPro GovCloud has protections for the security and privacy of all information entered into it</w:t>
      </w:r>
      <w:r w:rsidR="00A51C7B">
        <w:t xml:space="preserve">.  It is </w:t>
      </w:r>
      <w:r w:rsidRPr="00FE45D7" w:rsidR="00A51C7B">
        <w:t xml:space="preserve">hosted in a </w:t>
      </w:r>
      <w:r w:rsidRPr="00235B2F" w:rsidR="00A51C7B">
        <w:t xml:space="preserve">FedRAMP compliant </w:t>
      </w:r>
      <w:r w:rsidR="00A51C7B">
        <w:t xml:space="preserve">GovCloud </w:t>
      </w:r>
      <w:r w:rsidRPr="00235B2F" w:rsidR="00A51C7B">
        <w:t>environment</w:t>
      </w:r>
      <w:r w:rsidR="00927779">
        <w:t xml:space="preserve">. It is also </w:t>
      </w:r>
      <w:r w:rsidRPr="00235B2F" w:rsidR="00A51C7B">
        <w:t>compliant with the General Data Protection Regulation (GDPR), Section 508, ISO 27001, California Consumer Privacy Act (CCPA), Payment Card Industry’s Data Security Standards (PCI - DSS), and FERPA.</w:t>
      </w:r>
      <w:r w:rsidRPr="00A51C7B" w:rsidR="00A51C7B">
        <w:t xml:space="preserve"> </w:t>
      </w:r>
    </w:p>
    <w:p w:rsidR="00B0353A" w:rsidP="00077E16" w14:paraId="376B5E0E" w14:textId="77777777">
      <w:pPr>
        <w:spacing w:after="0"/>
      </w:pPr>
    </w:p>
    <w:p w:rsidR="009D2672" w:rsidRPr="008813EA" w:rsidP="00757263" w14:paraId="19A11461" w14:textId="77777777">
      <w:pPr>
        <w:spacing w:after="120"/>
        <w:ind w:left="720" w:hanging="720"/>
        <w:rPr>
          <w:b/>
        </w:rPr>
      </w:pPr>
      <w:r w:rsidRPr="008813EA">
        <w:rPr>
          <w:b/>
        </w:rPr>
        <w:t>A4</w:t>
      </w:r>
      <w:r w:rsidRPr="008813EA">
        <w:t>.</w:t>
      </w:r>
      <w:r w:rsidRPr="008813EA">
        <w:tab/>
      </w:r>
      <w:r w:rsidRPr="008813EA">
        <w:rPr>
          <w:b/>
        </w:rPr>
        <w:t>Use of Existing Data: Efforts to reduce duplication, minimize burden, and increase utility and government efficiency</w:t>
      </w:r>
    </w:p>
    <w:p w:rsidR="009D2672" w:rsidP="00B0353A" w14:paraId="5397958B" w14:textId="1E8EB9D4">
      <w:pPr>
        <w:spacing w:after="0"/>
      </w:pPr>
      <w:r w:rsidRPr="008813EA">
        <w:t xml:space="preserve">None of the instruments ask for information that can be reliably obtained through other sources. </w:t>
      </w:r>
    </w:p>
    <w:p w:rsidR="00B0353A" w:rsidRPr="008813EA" w:rsidP="00077E16" w14:paraId="647BC88A" w14:textId="77777777">
      <w:pPr>
        <w:spacing w:after="0"/>
      </w:pPr>
    </w:p>
    <w:p w:rsidR="009D2672" w:rsidRPr="008813EA" w:rsidP="00757263" w14:paraId="2DCFB52A" w14:textId="77777777">
      <w:pPr>
        <w:spacing w:after="120"/>
      </w:pPr>
      <w:r w:rsidRPr="008813EA">
        <w:rPr>
          <w:b/>
        </w:rPr>
        <w:t>A5</w:t>
      </w:r>
      <w:r w:rsidRPr="008813EA">
        <w:t>.</w:t>
      </w:r>
      <w:r w:rsidRPr="008813EA">
        <w:tab/>
      </w:r>
      <w:r w:rsidRPr="008813EA">
        <w:rPr>
          <w:b/>
        </w:rPr>
        <w:t>Impact on Small Businesses</w:t>
      </w:r>
      <w:r w:rsidRPr="008813EA">
        <w:t xml:space="preserve"> </w:t>
      </w:r>
    </w:p>
    <w:p w:rsidR="009D2672" w:rsidP="00B0353A" w14:paraId="1465CF9F" w14:textId="4B67A93A">
      <w:pPr>
        <w:spacing w:after="0"/>
      </w:pPr>
      <w:r w:rsidRPr="008813EA">
        <w:t xml:space="preserve">The </w:t>
      </w:r>
      <w:r w:rsidR="002A4BFF">
        <w:t>grantees and providers</w:t>
      </w:r>
      <w:r w:rsidRPr="008813EA">
        <w:t xml:space="preserve"> participating in the study will be small, nonprofit organizations</w:t>
      </w:r>
      <w:r w:rsidR="00330A94">
        <w:t xml:space="preserve"> or state </w:t>
      </w:r>
      <w:r w:rsidR="00F51CBE">
        <w:t xml:space="preserve">or </w:t>
      </w:r>
      <w:r w:rsidR="00524905">
        <w:t>t</w:t>
      </w:r>
      <w:r w:rsidR="00F51CBE">
        <w:t xml:space="preserve">ribal </w:t>
      </w:r>
      <w:r w:rsidR="00330A94">
        <w:t>agencies</w:t>
      </w:r>
      <w:r w:rsidRPr="008813EA">
        <w:t xml:space="preserve">. The </w:t>
      </w:r>
      <w:r w:rsidR="00FF33D6">
        <w:t>study</w:t>
      </w:r>
      <w:r w:rsidRPr="008813EA">
        <w:t xml:space="preserve"> team will request information required only for the intended use. The burden for respondents will be minimized by restricting the interview </w:t>
      </w:r>
      <w:r w:rsidR="00AE07F6">
        <w:t xml:space="preserve">and focus group </w:t>
      </w:r>
      <w:r w:rsidRPr="008813EA">
        <w:t xml:space="preserve">length to the required </w:t>
      </w:r>
      <w:r w:rsidRPr="008813EA">
        <w:t>minimum, conducting interviews</w:t>
      </w:r>
      <w:r w:rsidR="00AE07F6">
        <w:t xml:space="preserve"> and focus groups</w:t>
      </w:r>
      <w:r w:rsidRPr="008813EA">
        <w:t xml:space="preserve"> at times convenient for the respondents, and not requiring additional record-keeping on the part of the </w:t>
      </w:r>
      <w:r w:rsidR="002A4BFF">
        <w:t>grantees</w:t>
      </w:r>
      <w:r w:rsidRPr="008813EA">
        <w:t>.</w:t>
      </w:r>
    </w:p>
    <w:p w:rsidR="00B0353A" w:rsidRPr="008813EA" w:rsidP="00077E16" w14:paraId="62D3F9BA" w14:textId="77777777">
      <w:pPr>
        <w:spacing w:after="0"/>
      </w:pPr>
    </w:p>
    <w:p w:rsidR="009D2672" w:rsidRPr="008813EA" w:rsidP="00757263" w14:paraId="03D9944F" w14:textId="36728BA2">
      <w:pPr>
        <w:spacing w:after="120"/>
      </w:pPr>
      <w:r w:rsidRPr="008813EA">
        <w:rPr>
          <w:b/>
        </w:rPr>
        <w:t>A6</w:t>
      </w:r>
      <w:r w:rsidRPr="008813EA">
        <w:t>.</w:t>
      </w:r>
      <w:r w:rsidRPr="008813EA">
        <w:tab/>
      </w:r>
      <w:r w:rsidRPr="008813EA">
        <w:rPr>
          <w:b/>
        </w:rPr>
        <w:t>Consequences of Less Frequent Collection</w:t>
      </w:r>
    </w:p>
    <w:p w:rsidR="009D2672" w:rsidP="00B0353A" w14:paraId="4D1B4542" w14:textId="77343257">
      <w:pPr>
        <w:spacing w:after="0"/>
      </w:pPr>
      <w:r w:rsidRPr="008813EA">
        <w:t>This is a one-time data collection.</w:t>
      </w:r>
    </w:p>
    <w:p w:rsidR="00B0353A" w:rsidRPr="008813EA" w:rsidP="00077E16" w14:paraId="287C2E91" w14:textId="77777777">
      <w:pPr>
        <w:spacing w:after="0"/>
      </w:pPr>
    </w:p>
    <w:p w:rsidR="00A7360E" w:rsidRPr="008813EA" w:rsidP="00757263" w14:paraId="66CC0A3B" w14:textId="342858F3">
      <w:pPr>
        <w:spacing w:after="120"/>
        <w:rPr>
          <w:b/>
        </w:rPr>
      </w:pPr>
      <w:r w:rsidRPr="008813EA">
        <w:rPr>
          <w:b/>
        </w:rPr>
        <w:t>A7</w:t>
      </w:r>
      <w:r w:rsidRPr="008813EA">
        <w:t>.</w:t>
      </w:r>
      <w:r w:rsidRPr="008813EA">
        <w:tab/>
      </w:r>
      <w:r w:rsidRPr="008813EA">
        <w:rPr>
          <w:b/>
        </w:rPr>
        <w:t xml:space="preserve">Now subsumed under 2(b) </w:t>
      </w:r>
      <w:r w:rsidR="007653F4">
        <w:rPr>
          <w:b/>
        </w:rPr>
        <w:t>(</w:t>
      </w:r>
      <w:r w:rsidRPr="008813EA">
        <w:rPr>
          <w:b/>
        </w:rPr>
        <w:t>above</w:t>
      </w:r>
      <w:r w:rsidR="007653F4">
        <w:rPr>
          <w:b/>
        </w:rPr>
        <w:t>)</w:t>
      </w:r>
      <w:r w:rsidRPr="008813EA">
        <w:rPr>
          <w:b/>
        </w:rPr>
        <w:t xml:space="preserve"> and 10 (below)</w:t>
      </w:r>
    </w:p>
    <w:p w:rsidR="009D2672" w:rsidRPr="008813EA" w:rsidP="00757263" w14:paraId="0F6F1F9B" w14:textId="7BD69796">
      <w:pPr>
        <w:spacing w:after="120"/>
        <w:rPr>
          <w:b/>
        </w:rPr>
      </w:pPr>
      <w:r w:rsidRPr="008813EA">
        <w:rPr>
          <w:b/>
        </w:rPr>
        <w:t>A8</w:t>
      </w:r>
      <w:r w:rsidRPr="008813EA">
        <w:t>.</w:t>
      </w:r>
      <w:r w:rsidRPr="008813EA">
        <w:tab/>
      </w:r>
      <w:r w:rsidRPr="008813EA">
        <w:rPr>
          <w:b/>
        </w:rPr>
        <w:t>Consultation</w:t>
      </w:r>
    </w:p>
    <w:p w:rsidR="009D2672" w:rsidRPr="008813EA" w:rsidP="00077E16" w14:paraId="351C26AC" w14:textId="77777777">
      <w:pPr>
        <w:spacing w:after="60" w:line="240" w:lineRule="auto"/>
        <w:rPr>
          <w:i/>
        </w:rPr>
      </w:pPr>
      <w:bookmarkStart w:id="11" w:name="_Hlk129856914"/>
      <w:r w:rsidRPr="008813EA">
        <w:rPr>
          <w:i/>
        </w:rPr>
        <w:t>Federal Register Notice and Comments</w:t>
      </w:r>
    </w:p>
    <w:p w:rsidR="00E02AB1" w:rsidP="00B0353A" w14:paraId="6F7BF7AE" w14:textId="368182BF">
      <w:pPr>
        <w:tabs>
          <w:tab w:val="left" w:pos="-720"/>
        </w:tabs>
        <w:suppressAutoHyphens/>
        <w:spacing w:after="0"/>
      </w:pPr>
      <w:r w:rsidRPr="008813EA">
        <w:t xml:space="preserve">In accordance with the Paperwork Reduction Act of 1995 (Pub. L. 104-13) and Office of Management and Budget (OMB) regulations at 5 CFR Part 1320 (60 FR 44978, August 29, 1995), ACF published two notices in the Federal Register announcing the agency’s intention to request an OMB review of the overarching generic clearance for </w:t>
      </w:r>
      <w:r w:rsidR="00077E16">
        <w:t xml:space="preserve">formative data collections for ACF </w:t>
      </w:r>
      <w:r w:rsidR="00F72524">
        <w:t>program support</w:t>
      </w:r>
      <w:r w:rsidRPr="00E02AB1">
        <w:t xml:space="preserve"> (</w:t>
      </w:r>
      <w:r w:rsidR="009B6C15">
        <w:t>OMB #</w:t>
      </w:r>
      <w:r w:rsidRPr="00E02AB1">
        <w:t>0970-</w:t>
      </w:r>
      <w:r w:rsidRPr="00E02AB1" w:rsidR="003F64D4">
        <w:t>0</w:t>
      </w:r>
      <w:r w:rsidR="003F64D4">
        <w:t>531</w:t>
      </w:r>
      <w:r w:rsidRPr="00E02AB1">
        <w:t>).</w:t>
      </w:r>
      <w:r w:rsidRPr="008813EA">
        <w:t xml:space="preserve"> This first notice was published on </w:t>
      </w:r>
      <w:r w:rsidR="001505A4">
        <w:t xml:space="preserve">January 28, 2022, Volume 87, Number 19, page 4603, </w:t>
      </w:r>
      <w:r w:rsidRPr="001505A4">
        <w:t xml:space="preserve">and </w:t>
      </w:r>
      <w:r w:rsidRPr="001505A4" w:rsidR="00D16850">
        <w:t xml:space="preserve">it </w:t>
      </w:r>
      <w:r w:rsidRPr="001505A4">
        <w:t xml:space="preserve">provided a </w:t>
      </w:r>
      <w:r w:rsidRPr="001505A4" w:rsidR="00D16850">
        <w:t>60</w:t>
      </w:r>
      <w:r w:rsidRPr="001505A4">
        <w:t xml:space="preserve">-day period for public comment. The second notice </w:t>
      </w:r>
      <w:r w:rsidRPr="001505A4" w:rsidR="00D16850">
        <w:t xml:space="preserve">was </w:t>
      </w:r>
      <w:r w:rsidRPr="001505A4">
        <w:t>published on</w:t>
      </w:r>
      <w:r w:rsidRPr="004F738E" w:rsidR="001505A4">
        <w:t xml:space="preserve"> July 13, 2022, Volume 87, Number 1</w:t>
      </w:r>
      <w:r w:rsidR="00077E16">
        <w:t>3</w:t>
      </w:r>
      <w:r w:rsidR="003F64D4">
        <w:t>3</w:t>
      </w:r>
      <w:r w:rsidRPr="004F738E" w:rsidR="001505A4">
        <w:t xml:space="preserve">, page 41723, </w:t>
      </w:r>
      <w:r w:rsidRPr="001505A4">
        <w:t xml:space="preserve">and </w:t>
      </w:r>
      <w:r w:rsidRPr="001505A4" w:rsidR="00D16850">
        <w:t xml:space="preserve">it </w:t>
      </w:r>
      <w:r w:rsidRPr="001505A4">
        <w:t xml:space="preserve">provided a </w:t>
      </w:r>
      <w:r w:rsidRPr="001505A4" w:rsidR="00D16850">
        <w:t>30</w:t>
      </w:r>
      <w:r w:rsidRPr="001505A4">
        <w:t>-day period for public comment. ACF did not receive any substantive comments.</w:t>
      </w:r>
      <w:r w:rsidRPr="00E02AB1">
        <w:t xml:space="preserve"> </w:t>
      </w:r>
    </w:p>
    <w:p w:rsidR="00B0353A" w:rsidRPr="00E02AB1" w:rsidP="00077E16" w14:paraId="3D81CDB1" w14:textId="77777777">
      <w:pPr>
        <w:tabs>
          <w:tab w:val="left" w:pos="-720"/>
        </w:tabs>
        <w:suppressAutoHyphens/>
        <w:spacing w:after="0"/>
      </w:pPr>
    </w:p>
    <w:bookmarkEnd w:id="11"/>
    <w:p w:rsidR="009D2672" w:rsidRPr="008813EA" w:rsidP="00077E16" w14:paraId="4A43EC27" w14:textId="20548F11">
      <w:pPr>
        <w:pStyle w:val="Heading4"/>
        <w:spacing w:before="0"/>
        <w:rPr>
          <w:rFonts w:asciiTheme="minorHAnsi" w:hAnsiTheme="minorHAnsi" w:cstheme="minorHAnsi"/>
          <w:b w:val="0"/>
          <w:i/>
          <w:sz w:val="22"/>
          <w:szCs w:val="22"/>
        </w:rPr>
      </w:pPr>
      <w:r w:rsidRPr="008813EA">
        <w:rPr>
          <w:rFonts w:asciiTheme="minorHAnsi" w:hAnsiTheme="minorHAnsi" w:cstheme="minorHAnsi"/>
          <w:b w:val="0"/>
          <w:i/>
          <w:sz w:val="22"/>
          <w:szCs w:val="22"/>
        </w:rPr>
        <w:t>Consultation with Experts Outside of the Study</w:t>
      </w:r>
    </w:p>
    <w:p w:rsidR="009D2672" w:rsidP="00B0353A" w14:paraId="2AC76EFC" w14:textId="58375022">
      <w:pPr>
        <w:spacing w:after="0"/>
      </w:pPr>
      <w:r>
        <w:t xml:space="preserve">No </w:t>
      </w:r>
      <w:r w:rsidR="0047497F">
        <w:t xml:space="preserve">outside </w:t>
      </w:r>
      <w:r>
        <w:t xml:space="preserve">experts will be consulted for </w:t>
      </w:r>
      <w:r w:rsidR="00BC40A9">
        <w:t>the APS Study</w:t>
      </w:r>
      <w:r>
        <w:t xml:space="preserve">. </w:t>
      </w:r>
      <w:r w:rsidRPr="008813EA" w:rsidR="00C52A00">
        <w:t xml:space="preserve"> </w:t>
      </w:r>
    </w:p>
    <w:p w:rsidR="00B0353A" w:rsidRPr="008813EA" w:rsidP="00077E16" w14:paraId="5D0A1705" w14:textId="77777777">
      <w:pPr>
        <w:spacing w:after="0"/>
      </w:pPr>
    </w:p>
    <w:p w:rsidR="009D2672" w:rsidRPr="008813EA" w:rsidP="00757263" w14:paraId="5FB2C705" w14:textId="68B764D4">
      <w:pPr>
        <w:tabs>
          <w:tab w:val="left" w:pos="720"/>
          <w:tab w:val="left" w:pos="1440"/>
          <w:tab w:val="left" w:pos="2160"/>
          <w:tab w:val="left" w:pos="2880"/>
          <w:tab w:val="left" w:pos="3301"/>
        </w:tabs>
        <w:spacing w:after="120"/>
      </w:pPr>
      <w:r w:rsidRPr="008813EA">
        <w:rPr>
          <w:b/>
        </w:rPr>
        <w:t>A9</w:t>
      </w:r>
      <w:r w:rsidRPr="008813EA">
        <w:t>.</w:t>
      </w:r>
      <w:r w:rsidRPr="008813EA">
        <w:tab/>
      </w:r>
      <w:r w:rsidRPr="001126E1">
        <w:rPr>
          <w:b/>
        </w:rPr>
        <w:t>Tokens of Appreciation</w:t>
      </w:r>
    </w:p>
    <w:p w:rsidR="006E4CF1" w:rsidP="00B0353A" w14:paraId="5B8BCD90" w14:textId="0663B27E">
      <w:pPr>
        <w:spacing w:after="0"/>
        <w:rPr>
          <w:rFonts w:ascii="Calibri" w:eastAsia="Calibri" w:hAnsi="Calibri" w:cs="Times New Roman"/>
        </w:rPr>
      </w:pPr>
      <w:r w:rsidRPr="0047497F">
        <w:rPr>
          <w:rFonts w:ascii="Calibri" w:eastAsia="Calibri" w:hAnsi="Calibri" w:cs="Times New Roman"/>
        </w:rPr>
        <w:t xml:space="preserve">To recruit </w:t>
      </w:r>
      <w:r w:rsidRPr="0047497F" w:rsidR="00384350">
        <w:rPr>
          <w:rFonts w:ascii="Calibri" w:eastAsia="Calibri" w:hAnsi="Calibri" w:cs="Times New Roman"/>
        </w:rPr>
        <w:t xml:space="preserve">for </w:t>
      </w:r>
      <w:r w:rsidRPr="0047497F">
        <w:rPr>
          <w:rFonts w:ascii="Calibri" w:eastAsia="Calibri" w:hAnsi="Calibri" w:cs="Times New Roman"/>
        </w:rPr>
        <w:t xml:space="preserve">and conduct the </w:t>
      </w:r>
      <w:r w:rsidRPr="0047497F" w:rsidR="00384350">
        <w:rPr>
          <w:rFonts w:ascii="Calibri" w:eastAsia="Calibri" w:hAnsi="Calibri" w:cs="Times New Roman"/>
        </w:rPr>
        <w:t xml:space="preserve">in-person </w:t>
      </w:r>
      <w:r w:rsidRPr="0047497F">
        <w:rPr>
          <w:rFonts w:ascii="Calibri" w:eastAsia="Calibri" w:hAnsi="Calibri" w:cs="Times New Roman"/>
        </w:rPr>
        <w:t>focus groups with community members</w:t>
      </w:r>
      <w:r w:rsidR="00311567">
        <w:rPr>
          <w:rFonts w:ascii="Calibri" w:eastAsia="Calibri" w:hAnsi="Calibri" w:cs="Times New Roman"/>
        </w:rPr>
        <w:t xml:space="preserve"> and youth</w:t>
      </w:r>
      <w:r w:rsidRPr="0047497F">
        <w:rPr>
          <w:rFonts w:ascii="Calibri" w:eastAsia="Calibri" w:hAnsi="Calibri" w:cs="Times New Roman"/>
        </w:rPr>
        <w:t xml:space="preserve">, </w:t>
      </w:r>
      <w:r w:rsidRPr="0047497F" w:rsidR="00872261">
        <w:rPr>
          <w:rFonts w:ascii="Calibri" w:eastAsia="Calibri" w:hAnsi="Calibri" w:cs="Times New Roman"/>
        </w:rPr>
        <w:t xml:space="preserve">the study team </w:t>
      </w:r>
      <w:r w:rsidRPr="0047497F">
        <w:rPr>
          <w:rFonts w:ascii="Calibri" w:eastAsia="Calibri" w:hAnsi="Calibri" w:cs="Times New Roman"/>
        </w:rPr>
        <w:t xml:space="preserve">will collaborate with three PREP programs to identify willing participants. </w:t>
      </w:r>
      <w:r w:rsidRPr="00927779" w:rsidR="001126E1">
        <w:t xml:space="preserve">To obtain </w:t>
      </w:r>
      <w:r w:rsidR="007010AD">
        <w:t xml:space="preserve">a </w:t>
      </w:r>
      <w:r w:rsidRPr="00927779" w:rsidR="001126E1">
        <w:t>representat</w:t>
      </w:r>
      <w:r w:rsidR="007010AD">
        <w:t xml:space="preserve">ive set of individuals for </w:t>
      </w:r>
      <w:r w:rsidR="006F19A4">
        <w:t xml:space="preserve">the </w:t>
      </w:r>
      <w:r w:rsidR="00DC7DAA">
        <w:t xml:space="preserve">focus groups </w:t>
      </w:r>
      <w:r w:rsidRPr="00927779" w:rsidR="001126E1">
        <w:t>and help ensure a high participation rate</w:t>
      </w:r>
      <w:r w:rsidRPr="001126E1" w:rsidR="001126E1">
        <w:t>, we</w:t>
      </w:r>
      <w:r w:rsidRPr="0047497F" w:rsidR="00275D0C">
        <w:rPr>
          <w:rFonts w:ascii="Calibri" w:eastAsia="Calibri" w:hAnsi="Calibri" w:cs="Times New Roman"/>
        </w:rPr>
        <w:t xml:space="preserve"> propose to provide t</w:t>
      </w:r>
      <w:r w:rsidRPr="0047497F" w:rsidR="008B3887">
        <w:rPr>
          <w:rFonts w:ascii="Calibri" w:eastAsia="Calibri" w:hAnsi="Calibri" w:cs="Times New Roman"/>
        </w:rPr>
        <w:t>okens of appreciat</w:t>
      </w:r>
      <w:r w:rsidRPr="0047497F" w:rsidR="003C3D20">
        <w:rPr>
          <w:rFonts w:ascii="Calibri" w:eastAsia="Calibri" w:hAnsi="Calibri" w:cs="Times New Roman"/>
        </w:rPr>
        <w:t>ion</w:t>
      </w:r>
      <w:r w:rsidRPr="0047497F" w:rsidR="00384350">
        <w:rPr>
          <w:rFonts w:ascii="Calibri" w:eastAsia="Calibri" w:hAnsi="Calibri" w:cs="Times New Roman"/>
        </w:rPr>
        <w:t xml:space="preserve"> in the form </w:t>
      </w:r>
      <w:r w:rsidRPr="0047497F" w:rsidR="008B3887">
        <w:rPr>
          <w:rFonts w:ascii="Calibri" w:eastAsia="Calibri" w:hAnsi="Calibri" w:cs="Times New Roman"/>
        </w:rPr>
        <w:t>of $</w:t>
      </w:r>
      <w:r w:rsidRPr="0047497F" w:rsidR="00B44B97">
        <w:rPr>
          <w:rFonts w:ascii="Calibri" w:eastAsia="Calibri" w:hAnsi="Calibri" w:cs="Times New Roman"/>
        </w:rPr>
        <w:t>40</w:t>
      </w:r>
      <w:r w:rsidRPr="0047497F" w:rsidR="008B3887">
        <w:rPr>
          <w:rFonts w:ascii="Calibri" w:eastAsia="Calibri" w:hAnsi="Calibri" w:cs="Times New Roman"/>
        </w:rPr>
        <w:t xml:space="preserve"> gift cards </w:t>
      </w:r>
      <w:r w:rsidRPr="0047497F" w:rsidR="00275D0C">
        <w:rPr>
          <w:rFonts w:ascii="Calibri" w:eastAsia="Calibri" w:hAnsi="Calibri" w:cs="Times New Roman"/>
        </w:rPr>
        <w:t xml:space="preserve">to </w:t>
      </w:r>
      <w:r w:rsidR="00311567">
        <w:rPr>
          <w:rFonts w:ascii="Calibri" w:eastAsia="Calibri" w:hAnsi="Calibri" w:cs="Times New Roman"/>
        </w:rPr>
        <w:t>individuals</w:t>
      </w:r>
      <w:r w:rsidRPr="0047497F" w:rsidR="008B3887">
        <w:rPr>
          <w:rFonts w:ascii="Calibri" w:eastAsia="Calibri" w:hAnsi="Calibri" w:cs="Times New Roman"/>
        </w:rPr>
        <w:t xml:space="preserve"> </w:t>
      </w:r>
      <w:r w:rsidRPr="0047497F" w:rsidR="00384350">
        <w:rPr>
          <w:rFonts w:ascii="Calibri" w:eastAsia="Calibri" w:hAnsi="Calibri" w:cs="Times New Roman"/>
        </w:rPr>
        <w:t>who</w:t>
      </w:r>
      <w:r w:rsidRPr="0047497F" w:rsidR="008B3887">
        <w:rPr>
          <w:rFonts w:ascii="Calibri" w:eastAsia="Calibri" w:hAnsi="Calibri" w:cs="Times New Roman"/>
        </w:rPr>
        <w:t xml:space="preserve"> participate in </w:t>
      </w:r>
      <w:r w:rsidRPr="0047497F" w:rsidR="00E06007">
        <w:rPr>
          <w:rFonts w:ascii="Calibri" w:eastAsia="Calibri" w:hAnsi="Calibri" w:cs="Times New Roman"/>
        </w:rPr>
        <w:t xml:space="preserve">the </w:t>
      </w:r>
      <w:r w:rsidRPr="0047497F" w:rsidR="008B3887">
        <w:rPr>
          <w:rFonts w:ascii="Calibri" w:eastAsia="Calibri" w:hAnsi="Calibri" w:cs="Times New Roman"/>
        </w:rPr>
        <w:t xml:space="preserve">focus groups. </w:t>
      </w:r>
      <w:r w:rsidRPr="0047497F" w:rsidR="00B44B97">
        <w:rPr>
          <w:rFonts w:ascii="Calibri" w:eastAsia="Calibri" w:hAnsi="Calibri" w:cs="Times New Roman"/>
        </w:rPr>
        <w:t>Th</w:t>
      </w:r>
      <w:r w:rsidRPr="0047497F" w:rsidR="00275D0C">
        <w:rPr>
          <w:rFonts w:ascii="Calibri" w:eastAsia="Calibri" w:hAnsi="Calibri" w:cs="Times New Roman"/>
        </w:rPr>
        <w:t xml:space="preserve">is token of appreciation is intended to </w:t>
      </w:r>
      <w:r w:rsidRPr="0047497F" w:rsidR="00DE3084">
        <w:rPr>
          <w:rFonts w:ascii="Calibri" w:eastAsia="Calibri" w:hAnsi="Calibri" w:cs="Times New Roman"/>
        </w:rPr>
        <w:t>encourag</w:t>
      </w:r>
      <w:r w:rsidRPr="0047497F" w:rsidR="00275D0C">
        <w:rPr>
          <w:rFonts w:ascii="Calibri" w:eastAsia="Calibri" w:hAnsi="Calibri" w:cs="Times New Roman"/>
        </w:rPr>
        <w:t>e</w:t>
      </w:r>
      <w:r w:rsidRPr="0047497F" w:rsidR="00DE3084">
        <w:rPr>
          <w:rFonts w:ascii="Calibri" w:eastAsia="Calibri" w:hAnsi="Calibri" w:cs="Times New Roman"/>
        </w:rPr>
        <w:t xml:space="preserve"> </w:t>
      </w:r>
      <w:r w:rsidRPr="0047497F" w:rsidR="00275D0C">
        <w:rPr>
          <w:rFonts w:ascii="Calibri" w:eastAsia="Calibri" w:hAnsi="Calibri" w:cs="Times New Roman"/>
        </w:rPr>
        <w:t>participation</w:t>
      </w:r>
      <w:r w:rsidRPr="0047497F" w:rsidR="00DE3084">
        <w:rPr>
          <w:rFonts w:ascii="Calibri" w:eastAsia="Calibri" w:hAnsi="Calibri" w:cs="Times New Roman"/>
        </w:rPr>
        <w:t xml:space="preserve"> </w:t>
      </w:r>
      <w:r w:rsidRPr="0047497F" w:rsidR="00275D0C">
        <w:rPr>
          <w:rFonts w:ascii="Calibri" w:eastAsia="Calibri" w:hAnsi="Calibri" w:cs="Times New Roman"/>
        </w:rPr>
        <w:t xml:space="preserve">in the focus groups and </w:t>
      </w:r>
      <w:r w:rsidRPr="0047497F" w:rsidR="0067580E">
        <w:rPr>
          <w:rFonts w:ascii="Calibri" w:eastAsia="Calibri" w:hAnsi="Calibri" w:cs="Times New Roman"/>
        </w:rPr>
        <w:t xml:space="preserve">demonstrate respect to </w:t>
      </w:r>
      <w:r w:rsidRPr="0047497F" w:rsidR="00B44B97">
        <w:rPr>
          <w:rFonts w:ascii="Calibri" w:eastAsia="Calibri" w:hAnsi="Calibri" w:cs="Times New Roman"/>
        </w:rPr>
        <w:t xml:space="preserve">the </w:t>
      </w:r>
      <w:r w:rsidRPr="0047497F" w:rsidR="00E94AF9">
        <w:rPr>
          <w:rFonts w:ascii="Calibri" w:eastAsia="Calibri" w:hAnsi="Calibri" w:cs="Times New Roman"/>
        </w:rPr>
        <w:t xml:space="preserve">individuals and </w:t>
      </w:r>
      <w:r w:rsidRPr="0047497F" w:rsidR="00B44B97">
        <w:rPr>
          <w:rFonts w:ascii="Calibri" w:eastAsia="Calibri" w:hAnsi="Calibri" w:cs="Times New Roman"/>
        </w:rPr>
        <w:t>communities participating in th</w:t>
      </w:r>
      <w:r w:rsidRPr="0047497F" w:rsidR="00275D0C">
        <w:rPr>
          <w:rFonts w:ascii="Calibri" w:eastAsia="Calibri" w:hAnsi="Calibri" w:cs="Times New Roman"/>
        </w:rPr>
        <w:t>e</w:t>
      </w:r>
      <w:r w:rsidRPr="0047497F" w:rsidR="00B44B97">
        <w:rPr>
          <w:rFonts w:ascii="Calibri" w:eastAsia="Calibri" w:hAnsi="Calibri" w:cs="Times New Roman"/>
        </w:rPr>
        <w:t xml:space="preserve"> study</w:t>
      </w:r>
      <w:r w:rsidRPr="0047497F" w:rsidR="00DE3084">
        <w:rPr>
          <w:rFonts w:ascii="Calibri" w:eastAsia="Calibri" w:hAnsi="Calibri" w:cs="Times New Roman"/>
        </w:rPr>
        <w:t xml:space="preserve">. </w:t>
      </w:r>
      <w:r w:rsidRPr="0047497F" w:rsidR="00DE3084">
        <w:rPr>
          <w:rFonts w:ascii="Calibri" w:eastAsia="Calibri" w:hAnsi="Calibri" w:cs="Times New Roman"/>
        </w:rPr>
        <w:t xml:space="preserve"> </w:t>
      </w:r>
    </w:p>
    <w:p w:rsidR="00B0353A" w:rsidRPr="0047497F" w:rsidP="00077E16" w14:paraId="68BB0B79" w14:textId="77777777">
      <w:pPr>
        <w:spacing w:after="0"/>
        <w:rPr>
          <w:rFonts w:ascii="Calibri" w:eastAsia="Calibri" w:hAnsi="Calibri" w:cs="Times New Roman"/>
        </w:rPr>
      </w:pPr>
    </w:p>
    <w:p w:rsidR="006767D9" w:rsidP="00B0353A" w14:paraId="2865B82F" w14:textId="13BFDC05">
      <w:pPr>
        <w:spacing w:after="0"/>
        <w:rPr>
          <w:rFonts w:ascii="Calibri" w:eastAsia="Calibri" w:hAnsi="Calibri" w:cs="Times New Roman"/>
        </w:rPr>
      </w:pPr>
      <w:r w:rsidRPr="0047497F">
        <w:rPr>
          <w:rFonts w:ascii="Calibri" w:eastAsia="Calibri" w:hAnsi="Calibri" w:cs="Times New Roman"/>
        </w:rPr>
        <w:t xml:space="preserve">First, </w:t>
      </w:r>
      <w:r w:rsidRPr="0047497F" w:rsidR="005E5B23">
        <w:rPr>
          <w:rFonts w:ascii="Calibri" w:eastAsia="Calibri" w:hAnsi="Calibri" w:cs="Times New Roman"/>
        </w:rPr>
        <w:t xml:space="preserve">a </w:t>
      </w:r>
      <w:r w:rsidRPr="0047497F" w:rsidR="003D2188">
        <w:rPr>
          <w:rFonts w:ascii="Calibri" w:eastAsia="Calibri" w:hAnsi="Calibri" w:cs="Times New Roman"/>
        </w:rPr>
        <w:t xml:space="preserve">token of appreciation is intended to </w:t>
      </w:r>
      <w:r w:rsidRPr="0047497F" w:rsidR="005E5B23">
        <w:rPr>
          <w:rFonts w:ascii="Calibri" w:eastAsia="Calibri" w:hAnsi="Calibri" w:cs="Times New Roman"/>
        </w:rPr>
        <w:t xml:space="preserve">encourage </w:t>
      </w:r>
      <w:r w:rsidRPr="0047497F" w:rsidR="00AE3B08">
        <w:rPr>
          <w:rFonts w:ascii="Calibri" w:eastAsia="Calibri" w:hAnsi="Calibri" w:cs="Times New Roman"/>
        </w:rPr>
        <w:t xml:space="preserve">in-person </w:t>
      </w:r>
      <w:r w:rsidRPr="0047497F" w:rsidR="005E5B23">
        <w:rPr>
          <w:rFonts w:ascii="Calibri" w:eastAsia="Calibri" w:hAnsi="Calibri" w:cs="Times New Roman"/>
        </w:rPr>
        <w:t>attendance and active participation in the discussion</w:t>
      </w:r>
      <w:r w:rsidRPr="0047497F" w:rsidR="0067580E">
        <w:rPr>
          <w:rFonts w:ascii="Calibri" w:eastAsia="Calibri" w:hAnsi="Calibri" w:cs="Times New Roman"/>
        </w:rPr>
        <w:t>,</w:t>
      </w:r>
      <w:r w:rsidRPr="0047497F" w:rsidR="005E5B23">
        <w:rPr>
          <w:rFonts w:ascii="Calibri" w:eastAsia="Calibri" w:hAnsi="Calibri" w:cs="Times New Roman"/>
        </w:rPr>
        <w:t xml:space="preserve"> </w:t>
      </w:r>
      <w:r w:rsidRPr="0047497F" w:rsidR="00275D0C">
        <w:rPr>
          <w:rFonts w:ascii="Calibri" w:eastAsia="Calibri" w:hAnsi="Calibri" w:cs="Times New Roman"/>
        </w:rPr>
        <w:t xml:space="preserve">both </w:t>
      </w:r>
      <w:r w:rsidRPr="0047497F" w:rsidR="005E5B23">
        <w:rPr>
          <w:rFonts w:ascii="Calibri" w:eastAsia="Calibri" w:hAnsi="Calibri" w:cs="Times New Roman"/>
        </w:rPr>
        <w:t xml:space="preserve">by recognizing the value of </w:t>
      </w:r>
      <w:r w:rsidRPr="0047497F" w:rsidR="00275D0C">
        <w:rPr>
          <w:rFonts w:ascii="Calibri" w:eastAsia="Calibri" w:hAnsi="Calibri" w:cs="Times New Roman"/>
        </w:rPr>
        <w:t>participants</w:t>
      </w:r>
      <w:r w:rsidRPr="0047497F" w:rsidR="005E5B23">
        <w:rPr>
          <w:rFonts w:ascii="Calibri" w:eastAsia="Calibri" w:hAnsi="Calibri" w:cs="Times New Roman"/>
        </w:rPr>
        <w:t xml:space="preserve">’ time and </w:t>
      </w:r>
      <w:r w:rsidRPr="0047497F" w:rsidR="003D2188">
        <w:rPr>
          <w:rFonts w:ascii="Calibri" w:eastAsia="Calibri" w:hAnsi="Calibri" w:cs="Times New Roman"/>
        </w:rPr>
        <w:t>help</w:t>
      </w:r>
      <w:r w:rsidRPr="0047497F" w:rsidR="005E5B23">
        <w:rPr>
          <w:rFonts w:ascii="Calibri" w:eastAsia="Calibri" w:hAnsi="Calibri" w:cs="Times New Roman"/>
        </w:rPr>
        <w:t xml:space="preserve">ing </w:t>
      </w:r>
      <w:r w:rsidRPr="0047497F" w:rsidR="003D2188">
        <w:rPr>
          <w:rFonts w:ascii="Calibri" w:eastAsia="Calibri" w:hAnsi="Calibri" w:cs="Times New Roman"/>
        </w:rPr>
        <w:t>offset the cost of attending the focus group</w:t>
      </w:r>
      <w:r w:rsidR="00311567">
        <w:rPr>
          <w:rFonts w:ascii="Calibri" w:eastAsia="Calibri" w:hAnsi="Calibri" w:cs="Times New Roman"/>
        </w:rPr>
        <w:t xml:space="preserve"> (</w:t>
      </w:r>
      <w:r w:rsidRPr="0047497F" w:rsidR="003D2188">
        <w:rPr>
          <w:rFonts w:ascii="Calibri" w:eastAsia="Calibri" w:hAnsi="Calibri" w:cs="Times New Roman"/>
        </w:rPr>
        <w:t xml:space="preserve">for example, </w:t>
      </w:r>
      <w:r w:rsidRPr="0047497F" w:rsidR="003A3466">
        <w:rPr>
          <w:rFonts w:ascii="Calibri" w:eastAsia="Calibri" w:hAnsi="Calibri" w:cs="Times New Roman"/>
        </w:rPr>
        <w:t>r</w:t>
      </w:r>
      <w:r w:rsidRPr="0047497F" w:rsidR="003D2188">
        <w:rPr>
          <w:rFonts w:ascii="Calibri" w:eastAsia="Calibri" w:hAnsi="Calibri" w:cs="Times New Roman"/>
        </w:rPr>
        <w:t xml:space="preserve">elated to </w:t>
      </w:r>
      <w:r w:rsidRPr="0047497F" w:rsidR="005E5B23">
        <w:rPr>
          <w:rFonts w:ascii="Calibri" w:eastAsia="Calibri" w:hAnsi="Calibri" w:cs="Times New Roman"/>
        </w:rPr>
        <w:t>child</w:t>
      </w:r>
      <w:r w:rsidR="00311567">
        <w:rPr>
          <w:rFonts w:ascii="Calibri" w:eastAsia="Calibri" w:hAnsi="Calibri" w:cs="Times New Roman"/>
        </w:rPr>
        <w:t xml:space="preserve"> </w:t>
      </w:r>
      <w:r w:rsidRPr="0047497F" w:rsidR="005E5B23">
        <w:rPr>
          <w:rFonts w:ascii="Calibri" w:eastAsia="Calibri" w:hAnsi="Calibri" w:cs="Times New Roman"/>
        </w:rPr>
        <w:t>care</w:t>
      </w:r>
      <w:r w:rsidRPr="0047497F" w:rsidR="005E5B23">
        <w:rPr>
          <w:rFonts w:ascii="Calibri" w:eastAsia="Calibri" w:hAnsi="Calibri" w:cs="Times New Roman"/>
        </w:rPr>
        <w:t xml:space="preserve"> and </w:t>
      </w:r>
      <w:r w:rsidRPr="0047497F" w:rsidR="003D2188">
        <w:rPr>
          <w:rFonts w:ascii="Calibri" w:eastAsia="Calibri" w:hAnsi="Calibri" w:cs="Times New Roman"/>
        </w:rPr>
        <w:t>transportation</w:t>
      </w:r>
      <w:r w:rsidR="00311567">
        <w:rPr>
          <w:rFonts w:ascii="Calibri" w:eastAsia="Calibri" w:hAnsi="Calibri" w:cs="Times New Roman"/>
        </w:rPr>
        <w:t>)</w:t>
      </w:r>
      <w:r w:rsidRPr="0047497F" w:rsidR="005E5B23">
        <w:rPr>
          <w:rFonts w:ascii="Calibri" w:eastAsia="Calibri" w:hAnsi="Calibri" w:cs="Times New Roman"/>
        </w:rPr>
        <w:t xml:space="preserve">. </w:t>
      </w:r>
      <w:r w:rsidRPr="0047497F" w:rsidR="003A3466">
        <w:rPr>
          <w:rFonts w:ascii="Calibri" w:eastAsia="Calibri" w:hAnsi="Calibri" w:cs="Times New Roman"/>
        </w:rPr>
        <w:t xml:space="preserve"> </w:t>
      </w:r>
      <w:r w:rsidRPr="0047497F" w:rsidR="0067580E">
        <w:rPr>
          <w:rFonts w:ascii="Calibri" w:eastAsia="Calibri" w:hAnsi="Calibri" w:cs="Times New Roman"/>
        </w:rPr>
        <w:t xml:space="preserve">A token can </w:t>
      </w:r>
      <w:r w:rsidRPr="0047497F" w:rsidR="003A3466">
        <w:rPr>
          <w:rFonts w:ascii="Calibri" w:eastAsia="Calibri" w:hAnsi="Calibri" w:cs="Times New Roman"/>
        </w:rPr>
        <w:t xml:space="preserve">also </w:t>
      </w:r>
      <w:r w:rsidRPr="0047497F" w:rsidR="003D2188">
        <w:rPr>
          <w:rFonts w:ascii="Calibri" w:eastAsia="Calibri" w:hAnsi="Calibri" w:cs="Times New Roman"/>
        </w:rPr>
        <w:t xml:space="preserve">help encourage participation from respondents </w:t>
      </w:r>
      <w:r w:rsidRPr="0047497F" w:rsidR="006433E2">
        <w:rPr>
          <w:rFonts w:ascii="Calibri" w:eastAsia="Calibri" w:hAnsi="Calibri" w:cs="Times New Roman"/>
        </w:rPr>
        <w:t xml:space="preserve">with </w:t>
      </w:r>
      <w:r w:rsidRPr="0047497F" w:rsidR="003A3466">
        <w:rPr>
          <w:rFonts w:ascii="Calibri" w:eastAsia="Calibri" w:hAnsi="Calibri" w:cs="Times New Roman"/>
        </w:rPr>
        <w:t>a</w:t>
      </w:r>
      <w:r w:rsidRPr="0047497F" w:rsidR="003D2188">
        <w:rPr>
          <w:rFonts w:ascii="Calibri" w:eastAsia="Calibri" w:hAnsi="Calibri" w:cs="Times New Roman"/>
        </w:rPr>
        <w:t xml:space="preserve"> range of background characteristics</w:t>
      </w:r>
      <w:r w:rsidRPr="001B798B" w:rsidR="00C2180F">
        <w:rPr>
          <w:rFonts w:ascii="Calibri" w:eastAsia="Calibri" w:hAnsi="Calibri" w:cs="Times New Roman"/>
        </w:rPr>
        <w:t>,</w:t>
      </w:r>
      <w:r w:rsidRPr="00927779" w:rsidR="001126E1">
        <w:rPr>
          <w:rFonts w:ascii="Calibri" w:eastAsia="Calibri" w:hAnsi="Calibri" w:cs="Times New Roman"/>
        </w:rPr>
        <w:t xml:space="preserve"> thus reducing potential inequities</w:t>
      </w:r>
      <w:r w:rsidR="007010AD">
        <w:rPr>
          <w:rFonts w:ascii="Calibri" w:eastAsia="Calibri" w:hAnsi="Calibri" w:cs="Times New Roman"/>
        </w:rPr>
        <w:t xml:space="preserve">. </w:t>
      </w:r>
      <w:r w:rsidRPr="0047497F" w:rsidR="003A3466">
        <w:rPr>
          <w:rFonts w:ascii="Calibri" w:eastAsia="Calibri" w:hAnsi="Calibri" w:cs="Times New Roman"/>
        </w:rPr>
        <w:t>Since</w:t>
      </w:r>
      <w:r w:rsidRPr="0047497F" w:rsidR="003D2188">
        <w:rPr>
          <w:rFonts w:ascii="Calibri" w:eastAsia="Calibri" w:hAnsi="Calibri" w:cs="Times New Roman"/>
        </w:rPr>
        <w:t xml:space="preserve"> many PREP programs serve populations experiencing disadvantage and economic hardship, the focus group participants are likely to have low incomes. Without offsetting the direct costs of participating in the focus groups, such as arranging </w:t>
      </w:r>
      <w:r w:rsidRPr="0047497F" w:rsidR="003D2188">
        <w:rPr>
          <w:rFonts w:ascii="Calibri" w:eastAsia="Calibri" w:hAnsi="Calibri" w:cs="Times New Roman"/>
        </w:rPr>
        <w:t>child</w:t>
      </w:r>
      <w:r w:rsidR="00311567">
        <w:rPr>
          <w:rFonts w:ascii="Calibri" w:eastAsia="Calibri" w:hAnsi="Calibri" w:cs="Times New Roman"/>
        </w:rPr>
        <w:t xml:space="preserve"> </w:t>
      </w:r>
      <w:r w:rsidRPr="0047497F" w:rsidR="003D2188">
        <w:rPr>
          <w:rFonts w:ascii="Calibri" w:eastAsia="Calibri" w:hAnsi="Calibri" w:cs="Times New Roman"/>
        </w:rPr>
        <w:t>care</w:t>
      </w:r>
      <w:r w:rsidRPr="0047497F" w:rsidR="003D2188">
        <w:rPr>
          <w:rFonts w:ascii="Calibri" w:eastAsia="Calibri" w:hAnsi="Calibri" w:cs="Times New Roman"/>
        </w:rPr>
        <w:t xml:space="preserve"> and transportation, only individuals able to overcome financial barriers </w:t>
      </w:r>
      <w:r w:rsidRPr="0047497F" w:rsidR="00E94AF9">
        <w:rPr>
          <w:rFonts w:ascii="Calibri" w:eastAsia="Calibri" w:hAnsi="Calibri" w:cs="Times New Roman"/>
        </w:rPr>
        <w:t xml:space="preserve">may be able to </w:t>
      </w:r>
      <w:r w:rsidRPr="0047497F" w:rsidR="003D2188">
        <w:rPr>
          <w:rFonts w:ascii="Calibri" w:eastAsia="Calibri" w:hAnsi="Calibri" w:cs="Times New Roman"/>
        </w:rPr>
        <w:t xml:space="preserve">participate. </w:t>
      </w:r>
      <w:r w:rsidRPr="0047497F" w:rsidR="005E5B23">
        <w:rPr>
          <w:rFonts w:ascii="Calibri" w:eastAsia="Calibri" w:hAnsi="Calibri" w:cs="Times New Roman"/>
        </w:rPr>
        <w:t xml:space="preserve"> We</w:t>
      </w:r>
      <w:r w:rsidRPr="0047497F" w:rsidR="003A3466">
        <w:rPr>
          <w:rFonts w:ascii="Calibri" w:eastAsia="Calibri" w:hAnsi="Calibri" w:cs="Times New Roman"/>
        </w:rPr>
        <w:t xml:space="preserve"> do not want to discourage p</w:t>
      </w:r>
      <w:r w:rsidRPr="0047497F" w:rsidR="005E5B23">
        <w:rPr>
          <w:rFonts w:ascii="Calibri" w:eastAsia="Calibri" w:hAnsi="Calibri" w:cs="Times New Roman"/>
        </w:rPr>
        <w:t xml:space="preserve">otential respondents </w:t>
      </w:r>
      <w:r w:rsidRPr="0047497F" w:rsidR="006433E2">
        <w:rPr>
          <w:rFonts w:ascii="Calibri" w:eastAsia="Calibri" w:hAnsi="Calibri" w:cs="Times New Roman"/>
        </w:rPr>
        <w:t xml:space="preserve">from </w:t>
      </w:r>
      <w:r w:rsidRPr="0047497F" w:rsidR="003A3466">
        <w:rPr>
          <w:rFonts w:ascii="Calibri" w:eastAsia="Calibri" w:hAnsi="Calibri" w:cs="Times New Roman"/>
        </w:rPr>
        <w:t>attend</w:t>
      </w:r>
      <w:r w:rsidRPr="0047497F" w:rsidR="006433E2">
        <w:rPr>
          <w:rFonts w:ascii="Calibri" w:eastAsia="Calibri" w:hAnsi="Calibri" w:cs="Times New Roman"/>
        </w:rPr>
        <w:t>ing</w:t>
      </w:r>
      <w:r w:rsidR="00311567">
        <w:rPr>
          <w:rFonts w:ascii="Calibri" w:eastAsia="Calibri" w:hAnsi="Calibri" w:cs="Times New Roman"/>
        </w:rPr>
        <w:t xml:space="preserve"> the focus group</w:t>
      </w:r>
      <w:r w:rsidRPr="0047497F" w:rsidR="003A3466">
        <w:rPr>
          <w:rFonts w:ascii="Calibri" w:eastAsia="Calibri" w:hAnsi="Calibri" w:cs="Times New Roman"/>
        </w:rPr>
        <w:t xml:space="preserve"> because of cost. </w:t>
      </w:r>
    </w:p>
    <w:p w:rsidR="00B0353A" w:rsidRPr="0047497F" w:rsidP="00077E16" w14:paraId="4A124292" w14:textId="77777777">
      <w:pPr>
        <w:spacing w:after="0"/>
        <w:rPr>
          <w:rFonts w:ascii="Calibri" w:eastAsia="Calibri" w:hAnsi="Calibri" w:cs="Times New Roman"/>
        </w:rPr>
      </w:pPr>
    </w:p>
    <w:p w:rsidR="00F54BF2" w:rsidRPr="00927779" w:rsidP="00F54BF2" w14:paraId="0AC999A8" w14:textId="2BC347C1">
      <w:pPr>
        <w:kinsoku w:val="0"/>
        <w:overflowPunct w:val="0"/>
        <w:autoSpaceDE w:val="0"/>
        <w:autoSpaceDN w:val="0"/>
        <w:adjustRightInd w:val="0"/>
        <w:ind w:left="120" w:right="112"/>
        <w:jc w:val="both"/>
        <w:rPr>
          <w:rFonts w:cstheme="minorHAnsi"/>
        </w:rPr>
      </w:pPr>
      <w:r w:rsidRPr="0047497F">
        <w:rPr>
          <w:rFonts w:ascii="Calibri" w:eastAsia="Calibri" w:hAnsi="Calibri" w:cs="Times New Roman"/>
        </w:rPr>
        <w:t>Second, to demons</w:t>
      </w:r>
      <w:r w:rsidRPr="0047497F" w:rsidR="00402724">
        <w:rPr>
          <w:rFonts w:ascii="Calibri" w:eastAsia="Calibri" w:hAnsi="Calibri" w:cs="Times New Roman"/>
        </w:rPr>
        <w:t>t</w:t>
      </w:r>
      <w:r w:rsidRPr="0047497F">
        <w:rPr>
          <w:rFonts w:ascii="Calibri" w:eastAsia="Calibri" w:hAnsi="Calibri" w:cs="Times New Roman"/>
        </w:rPr>
        <w:t>rate</w:t>
      </w:r>
      <w:r w:rsidRPr="004F738E" w:rsidR="00E741D6">
        <w:t xml:space="preserve"> a</w:t>
      </w:r>
      <w:r w:rsidRPr="004F738E">
        <w:t xml:space="preserve"> respect</w:t>
      </w:r>
      <w:r w:rsidRPr="004F738E" w:rsidR="00E741D6">
        <w:t xml:space="preserve"> for cultural protocols</w:t>
      </w:r>
      <w:r w:rsidRPr="004F738E">
        <w:t>, a</w:t>
      </w:r>
      <w:r>
        <w:t xml:space="preserve"> token of appreciation </w:t>
      </w:r>
      <w:r w:rsidR="003A3466">
        <w:t xml:space="preserve">is </w:t>
      </w:r>
      <w:r w:rsidR="003D2188">
        <w:t>important</w:t>
      </w:r>
      <w:r w:rsidR="003A3466">
        <w:t xml:space="preserve">, </w:t>
      </w:r>
      <w:r w:rsidR="00275D0C">
        <w:t xml:space="preserve">especially </w:t>
      </w:r>
      <w:r w:rsidR="007A4C09">
        <w:t xml:space="preserve">in tribal </w:t>
      </w:r>
      <w:r w:rsidR="009368D8">
        <w:t>communit</w:t>
      </w:r>
      <w:r w:rsidR="004F738E">
        <w:t>y</w:t>
      </w:r>
      <w:r w:rsidR="00746573">
        <w:t>(</w:t>
      </w:r>
      <w:r w:rsidR="009368D8">
        <w:t>ies</w:t>
      </w:r>
      <w:r w:rsidR="00746573">
        <w:t>)</w:t>
      </w:r>
      <w:r w:rsidR="009368D8">
        <w:t xml:space="preserve"> </w:t>
      </w:r>
      <w:r w:rsidR="007A4C09">
        <w:t xml:space="preserve">that </w:t>
      </w:r>
      <w:r w:rsidR="003A3466">
        <w:t xml:space="preserve">may </w:t>
      </w:r>
      <w:r w:rsidR="007A4C09">
        <w:t xml:space="preserve">participate in a site visit. </w:t>
      </w:r>
      <w:r w:rsidR="00AC20F6">
        <w:t>Tokens of appreciation</w:t>
      </w:r>
      <w:r w:rsidR="00275D0C">
        <w:t xml:space="preserve"> </w:t>
      </w:r>
      <w:r w:rsidR="003A3466">
        <w:t xml:space="preserve">generally </w:t>
      </w:r>
      <w:r w:rsidR="00275D0C">
        <w:t xml:space="preserve">reinforce the notion that the knowledge being shared by local participants is valued, respected, and honored. </w:t>
      </w:r>
      <w:r w:rsidR="003A3466">
        <w:t xml:space="preserve">In particular, </w:t>
      </w:r>
      <w:r w:rsidR="00311567">
        <w:t xml:space="preserve">and since we propose conducting a site visit in at least one tribal community, </w:t>
      </w:r>
      <w:r w:rsidRPr="00B44B97" w:rsidR="00E741D6">
        <w:t>our team’s experience</w:t>
      </w:r>
      <w:r w:rsidR="00BA75DB">
        <w:t>s</w:t>
      </w:r>
      <w:r w:rsidRPr="00B44B97" w:rsidR="00E741D6">
        <w:t xml:space="preserve"> within tribal </w:t>
      </w:r>
      <w:r w:rsidR="00E741D6">
        <w:t>communities</w:t>
      </w:r>
      <w:r w:rsidR="00275D0C">
        <w:t xml:space="preserve"> suggest that t</w:t>
      </w:r>
      <w:r w:rsidRPr="00B44B97" w:rsidR="00E741D6">
        <w:t xml:space="preserve">he use of </w:t>
      </w:r>
      <w:r w:rsidR="00AC20F6">
        <w:t>tokens of appreciation</w:t>
      </w:r>
      <w:r w:rsidRPr="00B44B97" w:rsidR="00AC20F6">
        <w:t xml:space="preserve"> </w:t>
      </w:r>
      <w:r w:rsidRPr="00B44B97" w:rsidR="00E741D6">
        <w:t>for participation in research is expected by both research participants and tribal leaders. This is especially true for studies conducted by researchers external to the community.</w:t>
      </w:r>
      <w:r w:rsidR="00E741D6">
        <w:t xml:space="preserve"> </w:t>
      </w:r>
      <w:r w:rsidRPr="001B798B" w:rsidR="006433E2">
        <w:t>For example, b</w:t>
      </w:r>
      <w:r w:rsidRPr="001B798B" w:rsidR="00E741D6">
        <w:t xml:space="preserve">est practice guidelines developed by AI/AN communities confirm our experience, explicitly stating that incentivizing respondents for their time is an essential element of reciprocity between the researcher and AI/AN </w:t>
      </w:r>
      <w:r w:rsidRPr="001B798B" w:rsidR="00275D0C">
        <w:t>k</w:t>
      </w:r>
      <w:r w:rsidRPr="001B798B" w:rsidR="00E741D6">
        <w:t>nowledge holders (</w:t>
      </w:r>
      <w:r w:rsidRPr="001B798B" w:rsidR="00E741D6">
        <w:t>Mihesuah</w:t>
      </w:r>
      <w:r w:rsidRPr="001B798B" w:rsidR="00E741D6">
        <w:t xml:space="preserve"> 1993; </w:t>
      </w:r>
      <w:r w:rsidRPr="001B798B" w:rsidR="00E741D6">
        <w:t>Sobeck</w:t>
      </w:r>
      <w:r w:rsidRPr="001B798B" w:rsidR="00E741D6">
        <w:t xml:space="preserve"> et al., 2003; Davis &amp; Reid, 1999).</w:t>
      </w:r>
      <w:r>
        <w:rPr>
          <w:rStyle w:val="FootnoteReference"/>
        </w:rPr>
        <w:footnoteReference w:id="3"/>
      </w:r>
      <w:r w:rsidRPr="001B798B" w:rsidR="00E741D6">
        <w:t xml:space="preserve"> </w:t>
      </w:r>
      <w:r w:rsidRPr="00927779">
        <w:t xml:space="preserve"> </w:t>
      </w:r>
      <w:r w:rsidRPr="00927779">
        <w:rPr>
          <w:rFonts w:cstheme="minorHAnsi"/>
        </w:rPr>
        <w:t>Moreover, Tribal</w:t>
      </w:r>
      <w:r w:rsidRPr="00927779">
        <w:rPr>
          <w:rFonts w:cstheme="minorHAnsi"/>
          <w:spacing w:val="10"/>
        </w:rPr>
        <w:t xml:space="preserve"> </w:t>
      </w:r>
      <w:r w:rsidRPr="00927779">
        <w:rPr>
          <w:rFonts w:cstheme="minorHAnsi"/>
        </w:rPr>
        <w:t>research review</w:t>
      </w:r>
      <w:r w:rsidRPr="00927779">
        <w:rPr>
          <w:rFonts w:cstheme="minorHAnsi"/>
          <w:spacing w:val="-9"/>
        </w:rPr>
        <w:t xml:space="preserve"> </w:t>
      </w:r>
      <w:r w:rsidRPr="00927779">
        <w:rPr>
          <w:rFonts w:cstheme="minorHAnsi"/>
        </w:rPr>
        <w:t>entities</w:t>
      </w:r>
      <w:r w:rsidRPr="00927779">
        <w:rPr>
          <w:rFonts w:cstheme="minorHAnsi"/>
          <w:spacing w:val="-7"/>
        </w:rPr>
        <w:t xml:space="preserve"> </w:t>
      </w:r>
      <w:r w:rsidRPr="00927779">
        <w:rPr>
          <w:rFonts w:cstheme="minorHAnsi"/>
        </w:rPr>
        <w:t>such</w:t>
      </w:r>
      <w:r w:rsidRPr="00927779">
        <w:rPr>
          <w:rFonts w:cstheme="minorHAnsi"/>
          <w:spacing w:val="-8"/>
        </w:rPr>
        <w:t xml:space="preserve"> </w:t>
      </w:r>
      <w:r w:rsidRPr="00927779">
        <w:rPr>
          <w:rFonts w:cstheme="minorHAnsi"/>
        </w:rPr>
        <w:t>as</w:t>
      </w:r>
      <w:r w:rsidRPr="00927779">
        <w:rPr>
          <w:rFonts w:cstheme="minorHAnsi"/>
          <w:spacing w:val="-7"/>
        </w:rPr>
        <w:t xml:space="preserve"> </w:t>
      </w:r>
      <w:r w:rsidRPr="00927779">
        <w:rPr>
          <w:rFonts w:cstheme="minorHAnsi"/>
        </w:rPr>
        <w:t>Tribal</w:t>
      </w:r>
      <w:r w:rsidRPr="00927779">
        <w:rPr>
          <w:rFonts w:cstheme="minorHAnsi"/>
          <w:spacing w:val="-5"/>
        </w:rPr>
        <w:t xml:space="preserve"> </w:t>
      </w:r>
      <w:r w:rsidRPr="00927779">
        <w:rPr>
          <w:rFonts w:cstheme="minorHAnsi"/>
        </w:rPr>
        <w:t>IRBs</w:t>
      </w:r>
      <w:r w:rsidRPr="00927779">
        <w:rPr>
          <w:rFonts w:cstheme="minorHAnsi"/>
          <w:spacing w:val="-7"/>
        </w:rPr>
        <w:t xml:space="preserve"> </w:t>
      </w:r>
      <w:r w:rsidRPr="00927779">
        <w:rPr>
          <w:rFonts w:cstheme="minorHAnsi"/>
        </w:rPr>
        <w:t>and</w:t>
      </w:r>
      <w:r w:rsidRPr="00927779">
        <w:rPr>
          <w:rFonts w:cstheme="minorHAnsi"/>
          <w:spacing w:val="-8"/>
        </w:rPr>
        <w:t xml:space="preserve"> </w:t>
      </w:r>
      <w:r w:rsidRPr="00927779">
        <w:rPr>
          <w:rFonts w:cstheme="minorHAnsi"/>
        </w:rPr>
        <w:t>Tribal</w:t>
      </w:r>
      <w:r w:rsidRPr="00927779">
        <w:rPr>
          <w:rFonts w:cstheme="minorHAnsi"/>
          <w:spacing w:val="-8"/>
        </w:rPr>
        <w:t xml:space="preserve"> </w:t>
      </w:r>
      <w:r w:rsidRPr="00927779">
        <w:rPr>
          <w:rFonts w:cstheme="minorHAnsi"/>
        </w:rPr>
        <w:t>Councils</w:t>
      </w:r>
      <w:r w:rsidRPr="00927779">
        <w:rPr>
          <w:rFonts w:cstheme="minorHAnsi"/>
          <w:spacing w:val="-7"/>
        </w:rPr>
        <w:t xml:space="preserve"> </w:t>
      </w:r>
      <w:r w:rsidRPr="00927779">
        <w:rPr>
          <w:rFonts w:cstheme="minorHAnsi"/>
        </w:rPr>
        <w:t>have</w:t>
      </w:r>
      <w:r w:rsidRPr="00927779">
        <w:rPr>
          <w:rFonts w:cstheme="minorHAnsi"/>
          <w:spacing w:val="-9"/>
        </w:rPr>
        <w:t xml:space="preserve"> </w:t>
      </w:r>
      <w:r w:rsidRPr="00927779">
        <w:rPr>
          <w:rFonts w:cstheme="minorHAnsi"/>
        </w:rPr>
        <w:t>codified</w:t>
      </w:r>
      <w:r w:rsidRPr="00927779">
        <w:rPr>
          <w:rFonts w:cstheme="minorHAnsi"/>
          <w:spacing w:val="-8"/>
        </w:rPr>
        <w:t xml:space="preserve"> </w:t>
      </w:r>
      <w:r w:rsidRPr="00927779">
        <w:rPr>
          <w:rFonts w:cstheme="minorHAnsi"/>
        </w:rPr>
        <w:t>these</w:t>
      </w:r>
      <w:r w:rsidRPr="00927779">
        <w:rPr>
          <w:rFonts w:cstheme="minorHAnsi"/>
          <w:spacing w:val="-6"/>
        </w:rPr>
        <w:t xml:space="preserve"> </w:t>
      </w:r>
      <w:r w:rsidRPr="00927779">
        <w:rPr>
          <w:rFonts w:cstheme="minorHAnsi"/>
        </w:rPr>
        <w:t>community</w:t>
      </w:r>
      <w:r w:rsidRPr="00927779">
        <w:rPr>
          <w:rFonts w:cstheme="minorHAnsi"/>
          <w:spacing w:val="-15"/>
        </w:rPr>
        <w:t xml:space="preserve"> </w:t>
      </w:r>
      <w:r w:rsidRPr="00927779">
        <w:rPr>
          <w:rFonts w:cstheme="minorHAnsi"/>
        </w:rPr>
        <w:t>norms</w:t>
      </w:r>
      <w:r w:rsidRPr="00927779">
        <w:rPr>
          <w:rFonts w:cstheme="minorHAnsi"/>
          <w:spacing w:val="-8"/>
        </w:rPr>
        <w:t xml:space="preserve"> </w:t>
      </w:r>
      <w:r w:rsidRPr="00927779">
        <w:rPr>
          <w:rFonts w:cstheme="minorHAnsi"/>
        </w:rPr>
        <w:t>and best</w:t>
      </w:r>
      <w:r w:rsidRPr="00927779">
        <w:rPr>
          <w:rFonts w:cstheme="minorHAnsi"/>
          <w:spacing w:val="-7"/>
        </w:rPr>
        <w:t xml:space="preserve"> </w:t>
      </w:r>
      <w:r w:rsidRPr="00927779">
        <w:rPr>
          <w:rFonts w:cstheme="minorHAnsi"/>
        </w:rPr>
        <w:t>practices</w:t>
      </w:r>
      <w:r w:rsidRPr="00927779">
        <w:rPr>
          <w:rFonts w:cstheme="minorHAnsi"/>
          <w:spacing w:val="-7"/>
        </w:rPr>
        <w:t xml:space="preserve"> </w:t>
      </w:r>
      <w:r w:rsidRPr="00927779">
        <w:rPr>
          <w:rFonts w:cstheme="minorHAnsi"/>
        </w:rPr>
        <w:t>by</w:t>
      </w:r>
      <w:r w:rsidRPr="00927779">
        <w:rPr>
          <w:rFonts w:cstheme="minorHAnsi"/>
          <w:spacing w:val="-10"/>
        </w:rPr>
        <w:t xml:space="preserve"> </w:t>
      </w:r>
      <w:r w:rsidRPr="00927779">
        <w:rPr>
          <w:rFonts w:cstheme="minorHAnsi"/>
        </w:rPr>
        <w:t>requiring</w:t>
      </w:r>
      <w:r w:rsidRPr="00927779">
        <w:rPr>
          <w:rFonts w:cstheme="minorHAnsi"/>
          <w:spacing w:val="-8"/>
        </w:rPr>
        <w:t xml:space="preserve"> </w:t>
      </w:r>
      <w:r w:rsidRPr="00927779">
        <w:rPr>
          <w:rFonts w:cstheme="minorHAnsi"/>
        </w:rPr>
        <w:t>compensation</w:t>
      </w:r>
      <w:r w:rsidRPr="00927779">
        <w:rPr>
          <w:rFonts w:cstheme="minorHAnsi"/>
          <w:spacing w:val="-8"/>
        </w:rPr>
        <w:t xml:space="preserve"> </w:t>
      </w:r>
      <w:r w:rsidRPr="00927779">
        <w:rPr>
          <w:rFonts w:cstheme="minorHAnsi"/>
        </w:rPr>
        <w:t>for</w:t>
      </w:r>
      <w:r w:rsidRPr="00927779">
        <w:rPr>
          <w:rFonts w:cstheme="minorHAnsi"/>
          <w:spacing w:val="-8"/>
        </w:rPr>
        <w:t xml:space="preserve"> </w:t>
      </w:r>
      <w:r w:rsidRPr="00927779">
        <w:rPr>
          <w:rFonts w:cstheme="minorHAnsi"/>
        </w:rPr>
        <w:t>research</w:t>
      </w:r>
      <w:r w:rsidRPr="00927779">
        <w:rPr>
          <w:rFonts w:cstheme="minorHAnsi"/>
          <w:spacing w:val="-8"/>
        </w:rPr>
        <w:t xml:space="preserve"> </w:t>
      </w:r>
      <w:r w:rsidRPr="00927779">
        <w:rPr>
          <w:rFonts w:cstheme="minorHAnsi"/>
        </w:rPr>
        <w:t>participants</w:t>
      </w:r>
      <w:r w:rsidRPr="00927779">
        <w:rPr>
          <w:rFonts w:cstheme="minorHAnsi"/>
          <w:spacing w:val="-7"/>
        </w:rPr>
        <w:t xml:space="preserve"> </w:t>
      </w:r>
      <w:r w:rsidRPr="00927779">
        <w:rPr>
          <w:rFonts w:cstheme="minorHAnsi"/>
        </w:rPr>
        <w:t>as</w:t>
      </w:r>
      <w:r w:rsidRPr="00927779">
        <w:rPr>
          <w:rFonts w:cstheme="minorHAnsi"/>
          <w:spacing w:val="-5"/>
        </w:rPr>
        <w:t xml:space="preserve"> </w:t>
      </w:r>
      <w:r w:rsidRPr="00927779">
        <w:rPr>
          <w:rFonts w:cstheme="minorHAnsi"/>
        </w:rPr>
        <w:t>a</w:t>
      </w:r>
      <w:r w:rsidRPr="00927779">
        <w:rPr>
          <w:rFonts w:cstheme="minorHAnsi"/>
          <w:spacing w:val="-6"/>
        </w:rPr>
        <w:t xml:space="preserve"> </w:t>
      </w:r>
      <w:r w:rsidRPr="00927779">
        <w:rPr>
          <w:rFonts w:cstheme="minorHAnsi"/>
        </w:rPr>
        <w:t>condition</w:t>
      </w:r>
      <w:r w:rsidRPr="00927779">
        <w:rPr>
          <w:rFonts w:cstheme="minorHAnsi"/>
          <w:spacing w:val="-7"/>
        </w:rPr>
        <w:t xml:space="preserve"> </w:t>
      </w:r>
      <w:r w:rsidRPr="00927779">
        <w:rPr>
          <w:rFonts w:cstheme="minorHAnsi"/>
        </w:rPr>
        <w:t>of</w:t>
      </w:r>
      <w:r w:rsidRPr="00927779">
        <w:rPr>
          <w:rFonts w:cstheme="minorHAnsi"/>
          <w:spacing w:val="-8"/>
        </w:rPr>
        <w:t xml:space="preserve"> </w:t>
      </w:r>
      <w:r w:rsidRPr="00927779">
        <w:rPr>
          <w:rFonts w:cstheme="minorHAnsi"/>
        </w:rPr>
        <w:t>study</w:t>
      </w:r>
      <w:r w:rsidRPr="00927779">
        <w:rPr>
          <w:rFonts w:cstheme="minorHAnsi"/>
          <w:spacing w:val="-10"/>
        </w:rPr>
        <w:t xml:space="preserve"> </w:t>
      </w:r>
      <w:r w:rsidRPr="00927779">
        <w:rPr>
          <w:rFonts w:cstheme="minorHAnsi"/>
        </w:rPr>
        <w:t>approval (Doughty</w:t>
      </w:r>
      <w:r w:rsidRPr="00927779" w:rsidR="000D520D">
        <w:rPr>
          <w:rFonts w:cstheme="minorHAnsi"/>
        </w:rPr>
        <w:t>,</w:t>
      </w:r>
      <w:r w:rsidRPr="00927779">
        <w:rPr>
          <w:rFonts w:cstheme="minorHAnsi"/>
        </w:rPr>
        <w:t xml:space="preserve"> 2017).</w:t>
      </w:r>
      <w:r>
        <w:rPr>
          <w:rStyle w:val="FootnoteReference"/>
          <w:rFonts w:cstheme="minorHAnsi"/>
        </w:rPr>
        <w:footnoteReference w:id="4"/>
      </w:r>
    </w:p>
    <w:p w:rsidR="003A3466" w:rsidP="001B798B" w14:paraId="0C1D81C2" w14:textId="78525674">
      <w:pPr>
        <w:spacing w:after="0"/>
        <w:rPr>
          <w:rFonts w:cstheme="minorHAnsi"/>
        </w:rPr>
      </w:pPr>
      <w:r>
        <w:t>Overall, s</w:t>
      </w:r>
      <w:r w:rsidRPr="00927779" w:rsidR="001B798B">
        <w:t xml:space="preserve">tudies continue to find that tokens of appreciation increase </w:t>
      </w:r>
      <w:r w:rsidR="006F19A4">
        <w:t xml:space="preserve">participation and </w:t>
      </w:r>
      <w:r w:rsidRPr="00927779" w:rsidR="001B798B">
        <w:t>response rates and reduce nonresponse bias (ASA/AAPOR, 2017; Brick and Tourangeau</w:t>
      </w:r>
      <w:r w:rsidR="00927779">
        <w:t>,</w:t>
      </w:r>
      <w:r w:rsidRPr="00927779" w:rsidR="001B798B">
        <w:t xml:space="preserve"> 2017).</w:t>
      </w:r>
      <w:r>
        <w:rPr>
          <w:rStyle w:val="FootnoteReference"/>
        </w:rPr>
        <w:footnoteReference w:id="5"/>
      </w:r>
      <w:r w:rsidRPr="00927779" w:rsidR="001B798B">
        <w:rPr>
          <w:vertAlign w:val="superscript"/>
        </w:rPr>
        <w:t>,</w:t>
      </w:r>
      <w:r>
        <w:rPr>
          <w:rStyle w:val="FootnoteReference"/>
        </w:rPr>
        <w:footnoteReference w:id="6"/>
      </w:r>
      <w:r w:rsidRPr="00927779" w:rsidR="001B798B">
        <w:rPr>
          <w:vertAlign w:val="superscript"/>
        </w:rPr>
        <w:t xml:space="preserve">    </w:t>
      </w:r>
      <w:r w:rsidR="00AC20F6">
        <w:t>The proposed amount</w:t>
      </w:r>
      <w:r w:rsidRPr="00927779" w:rsidR="00AC20F6">
        <w:t xml:space="preserve"> </w:t>
      </w:r>
      <w:r w:rsidRPr="00927779" w:rsidR="001B798B">
        <w:t xml:space="preserve">of $40 </w:t>
      </w:r>
      <w:r w:rsidR="00AC20F6">
        <w:t>is consistent with other research completed by ACF that aim to engage</w:t>
      </w:r>
      <w:r w:rsidRPr="00927779" w:rsidR="001B798B">
        <w:t xml:space="preserve"> vulnerable populations </w:t>
      </w:r>
      <w:r w:rsidR="00AC20F6">
        <w:t xml:space="preserve">in an effort </w:t>
      </w:r>
      <w:r w:rsidRPr="00927779" w:rsidR="001B798B">
        <w:t>to</w:t>
      </w:r>
      <w:r w:rsidRPr="00927779" w:rsidR="001B798B">
        <w:t xml:space="preserve"> help promote participation in data collection. </w:t>
      </w:r>
      <w:r w:rsidRPr="00927779" w:rsidR="001B798B">
        <w:rPr>
          <w:rFonts w:cstheme="minorHAnsi"/>
        </w:rPr>
        <w:t>For example,</w:t>
      </w:r>
      <w:r w:rsidRPr="00284FDC" w:rsidR="001B798B">
        <w:rPr>
          <w:rFonts w:cstheme="minorHAnsi"/>
        </w:rPr>
        <w:t xml:space="preserve"> </w:t>
      </w:r>
      <w:r w:rsidRPr="00927779">
        <w:rPr>
          <w:rFonts w:cstheme="minorHAnsi"/>
        </w:rPr>
        <w:t xml:space="preserve">as </w:t>
      </w:r>
      <w:r w:rsidRPr="00284FDC" w:rsidR="006767D9">
        <w:rPr>
          <w:rFonts w:cstheme="minorHAnsi"/>
        </w:rPr>
        <w:t>part of the Multi-Site Implementation Evaluation of Tribal Home Visiting (MUSE)</w:t>
      </w:r>
      <w:r w:rsidRPr="00284FDC" w:rsidR="00B0353A">
        <w:rPr>
          <w:rFonts w:cstheme="minorHAnsi"/>
        </w:rPr>
        <w:t xml:space="preserve"> (OMB #0970-0521)</w:t>
      </w:r>
      <w:r w:rsidRPr="00284FDC" w:rsidR="006767D9">
        <w:rPr>
          <w:rFonts w:cstheme="minorHAnsi"/>
        </w:rPr>
        <w:t>,</w:t>
      </w:r>
      <w:r w:rsidRPr="00927779" w:rsidR="001B798B">
        <w:rPr>
          <w:rFonts w:cstheme="minorHAnsi"/>
        </w:rPr>
        <w:t xml:space="preserve"> </w:t>
      </w:r>
      <w:r w:rsidRPr="00284FDC" w:rsidR="00B0353A">
        <w:rPr>
          <w:rFonts w:cstheme="minorHAnsi"/>
        </w:rPr>
        <w:t xml:space="preserve">participants were offered </w:t>
      </w:r>
      <w:r w:rsidRPr="00284FDC" w:rsidR="006767D9">
        <w:rPr>
          <w:rFonts w:cstheme="minorHAnsi"/>
        </w:rPr>
        <w:t>$40 for one-hour cognitive interviews, in recognition of the time commitment and because respondents were asked for their impressions rather than only factual information.</w:t>
      </w:r>
      <w:r w:rsidRPr="00284FDC">
        <w:rPr>
          <w:rFonts w:cstheme="minorHAnsi"/>
        </w:rPr>
        <w:t xml:space="preserve"> </w:t>
      </w:r>
      <w:r w:rsidRPr="007010AD" w:rsidR="006433E2">
        <w:rPr>
          <w:rFonts w:cstheme="minorHAnsi"/>
        </w:rPr>
        <w:t xml:space="preserve">Similarly, </w:t>
      </w:r>
      <w:r w:rsidRPr="007010AD">
        <w:rPr>
          <w:rFonts w:cstheme="minorHAnsi"/>
        </w:rPr>
        <w:t>we recommend</w:t>
      </w:r>
      <w:r w:rsidRPr="007010AD" w:rsidR="00B0353A">
        <w:rPr>
          <w:rFonts w:cstheme="minorHAnsi"/>
        </w:rPr>
        <w:t xml:space="preserve"> offering</w:t>
      </w:r>
      <w:r w:rsidRPr="007010AD">
        <w:rPr>
          <w:rFonts w:cstheme="minorHAnsi"/>
        </w:rPr>
        <w:t xml:space="preserve"> $40 for the one-hour focus group discussions in the proposed APS </w:t>
      </w:r>
      <w:r w:rsidRPr="007010AD" w:rsidR="00AE3B08">
        <w:rPr>
          <w:rFonts w:cstheme="minorHAnsi"/>
        </w:rPr>
        <w:t>S</w:t>
      </w:r>
      <w:r w:rsidRPr="007010AD">
        <w:rPr>
          <w:rFonts w:cstheme="minorHAnsi"/>
        </w:rPr>
        <w:t>tudy</w:t>
      </w:r>
      <w:r w:rsidRPr="007010AD" w:rsidR="00746573">
        <w:rPr>
          <w:rFonts w:cstheme="minorHAnsi"/>
        </w:rPr>
        <w:t xml:space="preserve"> for community members and youth in </w:t>
      </w:r>
      <w:r w:rsidRPr="007010AD" w:rsidR="006433E2">
        <w:rPr>
          <w:rFonts w:cstheme="minorHAnsi"/>
        </w:rPr>
        <w:t>both tribal and non-tribal communities that participate.</w:t>
      </w:r>
      <w:r w:rsidR="006433E2">
        <w:rPr>
          <w:rFonts w:cstheme="minorHAnsi"/>
        </w:rPr>
        <w:t xml:space="preserve"> </w:t>
      </w:r>
    </w:p>
    <w:p w:rsidR="00B0353A" w:rsidP="00927779" w14:paraId="26CBC5A8" w14:textId="77777777">
      <w:pPr>
        <w:spacing w:after="0"/>
      </w:pPr>
    </w:p>
    <w:p w:rsidR="009D2672" w:rsidRPr="008813EA" w:rsidP="0095272C" w14:paraId="6153AAA3" w14:textId="77777777">
      <w:pPr>
        <w:spacing w:after="120"/>
      </w:pPr>
      <w:r w:rsidRPr="008F23B7">
        <w:rPr>
          <w:b/>
        </w:rPr>
        <w:t>A10</w:t>
      </w:r>
      <w:r w:rsidRPr="008F23B7">
        <w:t>.</w:t>
      </w:r>
      <w:r w:rsidRPr="008F23B7">
        <w:tab/>
      </w:r>
      <w:r w:rsidRPr="008F23B7">
        <w:rPr>
          <w:b/>
        </w:rPr>
        <w:t>Privacy: Procedures to protect privacy of information, while maximizing data sharing</w:t>
      </w:r>
    </w:p>
    <w:p w:rsidR="009D2672" w:rsidRPr="008813EA" w:rsidP="00927779" w14:paraId="61C62872" w14:textId="489FDCDE">
      <w:pPr>
        <w:spacing w:after="60" w:line="240" w:lineRule="auto"/>
        <w:rPr>
          <w:i/>
        </w:rPr>
      </w:pPr>
      <w:r w:rsidRPr="008813EA">
        <w:rPr>
          <w:i/>
        </w:rPr>
        <w:t>Personally Identifiable Information</w:t>
      </w:r>
      <w:r w:rsidR="00291201">
        <w:rPr>
          <w:i/>
        </w:rPr>
        <w:t xml:space="preserve"> (PII)</w:t>
      </w:r>
    </w:p>
    <w:p w:rsidR="00772079" w:rsidRPr="00F51ED0" w:rsidP="00F51ED0" w14:paraId="51759A6B" w14:textId="5B874026">
      <w:pPr>
        <w:spacing w:after="0"/>
      </w:pPr>
      <w:r w:rsidRPr="000D30C8">
        <w:t xml:space="preserve">This request comprises the collection of information about organizations, not individuals. </w:t>
      </w:r>
      <w:r w:rsidR="000D30C8">
        <w:t xml:space="preserve">Although we will collect information from individuals, </w:t>
      </w:r>
      <w:r w:rsidRPr="000D30C8">
        <w:t>personally identifiable information will</w:t>
      </w:r>
      <w:r w:rsidR="000D30C8">
        <w:t xml:space="preserve"> not</w:t>
      </w:r>
      <w:r w:rsidRPr="000D30C8">
        <w:t xml:space="preserve"> be collected</w:t>
      </w:r>
      <w:r w:rsidR="00EB59AB">
        <w:t xml:space="preserve"> during the </w:t>
      </w:r>
      <w:r w:rsidR="00AC2BA6">
        <w:t>tele</w:t>
      </w:r>
      <w:r w:rsidR="00EB59AB">
        <w:t xml:space="preserve">phone interviews, site visit interviews with program </w:t>
      </w:r>
      <w:r w:rsidR="009E35B3">
        <w:t>leaders and managers</w:t>
      </w:r>
      <w:r w:rsidR="00EB59AB">
        <w:t xml:space="preserve">, site visit interviews with </w:t>
      </w:r>
      <w:r w:rsidR="00872261">
        <w:t xml:space="preserve">program </w:t>
      </w:r>
      <w:r w:rsidR="00EB59AB">
        <w:t>facilitators, and site visit focus groups with community members</w:t>
      </w:r>
      <w:r w:rsidRPr="000D30C8">
        <w:t>.</w:t>
      </w:r>
      <w:r w:rsidR="00EB59AB">
        <w:t xml:space="preserve"> For the site visit focus </w:t>
      </w:r>
      <w:r w:rsidR="00EB59AB">
        <w:t xml:space="preserve">groups with youth, we </w:t>
      </w:r>
      <w:r w:rsidR="00291201">
        <w:t xml:space="preserve">will </w:t>
      </w:r>
      <w:r w:rsidR="00EB59AB">
        <w:t>need to collect a</w:t>
      </w:r>
      <w:r w:rsidR="004D347F">
        <w:t xml:space="preserve"> </w:t>
      </w:r>
      <w:r w:rsidR="00EB59AB">
        <w:t>consent form</w:t>
      </w:r>
      <w:r w:rsidR="004D347F">
        <w:t xml:space="preserve"> from parents and guardians</w:t>
      </w:r>
      <w:r w:rsidR="00EB59AB">
        <w:t>. The consent form will request the name and contact information (email address and phone number)</w:t>
      </w:r>
      <w:r w:rsidR="004D347F">
        <w:t xml:space="preserve"> for the parent or guardian</w:t>
      </w:r>
      <w:r w:rsidR="00EB59AB">
        <w:t>.</w:t>
      </w:r>
      <w:r w:rsidRPr="00EB59AB" w:rsidR="00EB59AB">
        <w:t xml:space="preserve"> </w:t>
      </w:r>
      <w:r w:rsidR="00EB59AB">
        <w:t xml:space="preserve">An email address and phone number are needed to send reminder emails and texts to </w:t>
      </w:r>
      <w:r w:rsidR="00D56CC9">
        <w:t xml:space="preserve">parents of </w:t>
      </w:r>
      <w:r w:rsidR="00EB59AB">
        <w:t>focus group participants</w:t>
      </w:r>
      <w:r w:rsidR="00872261">
        <w:t xml:space="preserve">, with information on </w:t>
      </w:r>
      <w:r w:rsidR="00EB59AB">
        <w:t xml:space="preserve">the time and location of the focus group. However, this contact information will be stored separately from the focus group data on a secure drive. Youth will provide their name when they complete the assent form, </w:t>
      </w:r>
      <w:r w:rsidR="00291201">
        <w:t xml:space="preserve">and </w:t>
      </w:r>
      <w:r w:rsidR="00EB59AB">
        <w:t xml:space="preserve">this information will </w:t>
      </w:r>
      <w:r w:rsidR="00291201">
        <w:t xml:space="preserve">also </w:t>
      </w:r>
      <w:r w:rsidR="00EB59AB">
        <w:t xml:space="preserve">be stored separately from the focus group data on a secure drive. </w:t>
      </w:r>
      <w:r w:rsidR="00777886">
        <w:t>P</w:t>
      </w:r>
      <w:r w:rsidR="00F564CF">
        <w:t>II</w:t>
      </w:r>
      <w:r w:rsidRPr="000D30C8" w:rsidR="00777886">
        <w:t xml:space="preserve"> </w:t>
      </w:r>
      <w:r w:rsidR="00EB59AB">
        <w:t>will not be collected during the focus groups</w:t>
      </w:r>
      <w:r w:rsidR="00872261">
        <w:t xml:space="preserve"> with youth</w:t>
      </w:r>
      <w:r w:rsidR="00EB59AB">
        <w:t xml:space="preserve">. At the beginning of the focus groups, participants will be </w:t>
      </w:r>
      <w:r w:rsidRPr="00F51ED0" w:rsidR="00EB59AB">
        <w:t xml:space="preserve">instructed to only use their first names. </w:t>
      </w:r>
      <w:r w:rsidRPr="00F51ED0">
        <w:t xml:space="preserve"> </w:t>
      </w:r>
    </w:p>
    <w:p w:rsidR="00F51ED0" w:rsidRPr="00F51ED0" w:rsidP="00F51ED0" w14:paraId="24F90BD2" w14:textId="77777777">
      <w:pPr>
        <w:spacing w:after="0"/>
      </w:pPr>
    </w:p>
    <w:p w:rsidR="00F51ED0" w:rsidP="00F51ED0" w14:paraId="04EB9737" w14:textId="4B023A89">
      <w:pPr>
        <w:spacing w:after="0"/>
        <w:rPr>
          <w:color w:val="000000"/>
        </w:rPr>
      </w:pPr>
      <w:r w:rsidRPr="00F51ED0">
        <w:rPr>
          <w:color w:val="000000"/>
        </w:rPr>
        <w:t>Information will not be maintained in a paper or electronic system from which data are actually or directly retrieved by an individuals’ personal identifier.</w:t>
      </w:r>
    </w:p>
    <w:p w:rsidR="00F51ED0" w:rsidRPr="00F51ED0" w:rsidP="00F51ED0" w14:paraId="2F8C6DFE" w14:textId="77777777">
      <w:pPr>
        <w:spacing w:after="0"/>
      </w:pPr>
    </w:p>
    <w:p w:rsidR="009D2672" w:rsidRPr="00501FB3" w:rsidP="006578E0" w14:paraId="7A8F9DD4" w14:textId="77777777">
      <w:pPr>
        <w:spacing w:after="120"/>
        <w:rPr>
          <w:i/>
          <w:iCs/>
        </w:rPr>
      </w:pPr>
      <w:r w:rsidRPr="00501FB3">
        <w:rPr>
          <w:i/>
          <w:iCs/>
        </w:rPr>
        <w:t>Assurances of Privacy</w:t>
      </w:r>
    </w:p>
    <w:p w:rsidR="008F23B7" w:rsidP="006578E0" w14:paraId="5DCD4566" w14:textId="047C2A9C">
      <w:pPr>
        <w:spacing w:after="120"/>
      </w:pPr>
      <w:r w:rsidRPr="00772079">
        <w:t xml:space="preserve">Information collected will be kept private to the extent permitted by law. Respondents will be informed of all planned uses of data and that their information will be kept private to the extent permitted by law. </w:t>
      </w:r>
      <w:r w:rsidR="00872261">
        <w:rPr>
          <w:rFonts w:eastAsia="Times New Roman"/>
        </w:rPr>
        <w:t>I</w:t>
      </w:r>
      <w:r w:rsidRPr="0081234A" w:rsidR="00872261">
        <w:rPr>
          <w:rFonts w:eastAsia="Times New Roman"/>
        </w:rPr>
        <w:t>f we learn that a child has been hurt</w:t>
      </w:r>
      <w:r w:rsidR="00872261">
        <w:rPr>
          <w:rFonts w:eastAsia="Times New Roman"/>
        </w:rPr>
        <w:t xml:space="preserve">, is in danger, or plans </w:t>
      </w:r>
      <w:r w:rsidRPr="0081234A" w:rsidR="00872261">
        <w:rPr>
          <w:rFonts w:eastAsia="Times New Roman"/>
        </w:rPr>
        <w:t>to seriously hurt themselves or someone else, then, by law, we must make a report to the appropriate legal authorities</w:t>
      </w:r>
      <w:r w:rsidR="00872261">
        <w:rPr>
          <w:rFonts w:eastAsia="Times New Roman"/>
        </w:rPr>
        <w:t xml:space="preserve">. The study team will inform participants of this legal requirement. </w:t>
      </w:r>
      <w:r w:rsidRPr="00772079">
        <w:t xml:space="preserve">The </w:t>
      </w:r>
      <w:r w:rsidR="00872261">
        <w:t>study team</w:t>
      </w:r>
      <w:r w:rsidRPr="00772079">
        <w:t xml:space="preserve"> will also notify respondents that although participation in </w:t>
      </w:r>
      <w:r w:rsidR="000D30C8">
        <w:t xml:space="preserve">study activities </w:t>
      </w:r>
      <w:r w:rsidRPr="00772079">
        <w:t xml:space="preserve">is a condition of their grant, they may choose not to respond to specific questions. </w:t>
      </w:r>
    </w:p>
    <w:p w:rsidR="008F23B7" w:rsidP="006578E0" w14:paraId="26EC4F05" w14:textId="31E66DB0">
      <w:pPr>
        <w:spacing w:after="120"/>
      </w:pPr>
      <w:r w:rsidRPr="008B444B">
        <w:t xml:space="preserve">Recruitment and </w:t>
      </w:r>
      <w:r>
        <w:t>data collection</w:t>
      </w:r>
      <w:r w:rsidRPr="008B444B">
        <w:t xml:space="preserve"> procedures will incorporate measures for protecting the confidentiality and privacy of participants as well as processes for obtaining informed consent.</w:t>
      </w:r>
      <w:r w:rsidR="00872261">
        <w:t xml:space="preserve"> Before each data collection activity, the study team will explain the procedures to protect the privacy of each respondent (Instruments 1 and 2 provide more information on the what the study team will share with respondents).</w:t>
      </w:r>
      <w:r w:rsidRPr="008B444B">
        <w:t xml:space="preserve"> These procedures will include requiring that focus group participants use only their first names during discussions. In addition, when reporting the results, researchers will not identify participants by their names. </w:t>
      </w:r>
      <w:r>
        <w:t xml:space="preserve">Appendices </w:t>
      </w:r>
      <w:r w:rsidR="003C26EA">
        <w:t>C and D</w:t>
      </w:r>
      <w:r>
        <w:t xml:space="preserve"> </w:t>
      </w:r>
      <w:r w:rsidRPr="00611908">
        <w:t xml:space="preserve">provide the </w:t>
      </w:r>
      <w:r w:rsidR="003C26EA">
        <w:t>parent</w:t>
      </w:r>
      <w:r w:rsidR="004D347F">
        <w:t xml:space="preserve"> and guardian</w:t>
      </w:r>
      <w:r w:rsidR="003C26EA">
        <w:t xml:space="preserve"> </w:t>
      </w:r>
      <w:r w:rsidRPr="00611908">
        <w:t>consent</w:t>
      </w:r>
      <w:r>
        <w:t xml:space="preserve"> and </w:t>
      </w:r>
      <w:r w:rsidR="003C26EA">
        <w:t xml:space="preserve">youth </w:t>
      </w:r>
      <w:r>
        <w:t>assent</w:t>
      </w:r>
      <w:r w:rsidRPr="00611908">
        <w:t xml:space="preserve"> form</w:t>
      </w:r>
      <w:r>
        <w:t>s</w:t>
      </w:r>
      <w:r w:rsidR="003C26EA">
        <w:t xml:space="preserve"> for the youth focus groups</w:t>
      </w:r>
      <w:r>
        <w:t xml:space="preserve">, </w:t>
      </w:r>
      <w:r w:rsidR="004D347F">
        <w:t xml:space="preserve">respectively, which </w:t>
      </w:r>
      <w:r>
        <w:t>contain assurances of privacy</w:t>
      </w:r>
      <w:r w:rsidR="004D347F">
        <w:t xml:space="preserve">. </w:t>
      </w:r>
    </w:p>
    <w:p w:rsidR="009D2672" w:rsidRPr="008813EA" w:rsidP="006578E0" w14:paraId="6EC78B25" w14:textId="77777777">
      <w:pPr>
        <w:spacing w:after="120" w:line="240" w:lineRule="auto"/>
        <w:rPr>
          <w:i/>
        </w:rPr>
      </w:pPr>
      <w:bookmarkStart w:id="12" w:name="_Hlk127964528"/>
      <w:r w:rsidRPr="008813EA">
        <w:rPr>
          <w:i/>
        </w:rPr>
        <w:t>Data Security and Monitoring</w:t>
      </w:r>
    </w:p>
    <w:p w:rsidR="003C26EA" w:rsidP="00F564CF" w14:paraId="7EB8D207" w14:textId="1971D6F4">
      <w:pPr>
        <w:spacing w:after="0"/>
      </w:pPr>
      <w:r w:rsidRPr="00772079">
        <w:t xml:space="preserve">The contractor has developed a Data Safety and Monitoring Plan that assesses all protections of respondents’ information. The contractor will ensure that all of its employees who perform work under this contract are trained in data privacy issues and comply with the above requirements. All study team staff involved in the project will receive training in (1) limitations of disclosure; (2) safeguarding the physical work environment; and (3) storing, transmitting, and destroying data securely. All Mathematica staff sign the Mathematica Confidentiality Agreement </w:t>
      </w:r>
      <w:r w:rsidR="000325C1">
        <w:t xml:space="preserve">and </w:t>
      </w:r>
      <w:r w:rsidRPr="00772079">
        <w:t xml:space="preserve">complete online security awareness training when they are hired, and </w:t>
      </w:r>
      <w:r w:rsidR="000325C1">
        <w:t xml:space="preserve">then </w:t>
      </w:r>
      <w:r w:rsidR="003E73DC">
        <w:t xml:space="preserve">they </w:t>
      </w:r>
      <w:r w:rsidRPr="00772079">
        <w:t>receive annual refresher training</w:t>
      </w:r>
      <w:r w:rsidR="00F63576">
        <w:t>s</w:t>
      </w:r>
      <w:r w:rsidRPr="00772079">
        <w:t xml:space="preserve"> thereafter. </w:t>
      </w:r>
      <w:bookmarkEnd w:id="12"/>
    </w:p>
    <w:p w:rsidR="00F564CF" w:rsidP="00927779" w14:paraId="3F50197F" w14:textId="77777777">
      <w:pPr>
        <w:spacing w:after="0"/>
      </w:pPr>
    </w:p>
    <w:p w:rsidR="00F80170" w:rsidP="00F564CF" w14:paraId="6B9CE996" w14:textId="26808E06">
      <w:pPr>
        <w:pStyle w:val="Paragraph"/>
        <w:spacing w:after="0"/>
      </w:pPr>
      <w:r>
        <w:t xml:space="preserve">Data collected </w:t>
      </w:r>
      <w:r>
        <w:rPr>
          <w:rFonts w:eastAsia="Times New Roman" w:cstheme="minorHAnsi"/>
          <w:bCs/>
          <w:iCs/>
          <w:color w:val="000000"/>
        </w:rPr>
        <w:t xml:space="preserve">will be saved on a secure drive only accessible to Mathematica study team members. </w:t>
      </w:r>
      <w:r w:rsidRPr="007C4441">
        <w:t xml:space="preserve">Any </w:t>
      </w:r>
      <w:r w:rsidR="00F564CF">
        <w:t>PII</w:t>
      </w:r>
      <w:r w:rsidRPr="007C4441">
        <w:t xml:space="preserve"> used to contact respondents will be stored in secure files, separate from other data. </w:t>
      </w:r>
    </w:p>
    <w:p w:rsidR="00F564CF" w:rsidRPr="00757263" w:rsidP="00927779" w14:paraId="609FA2BE" w14:textId="77777777">
      <w:pPr>
        <w:pStyle w:val="Paragraph"/>
        <w:spacing w:after="0"/>
      </w:pPr>
    </w:p>
    <w:p w:rsidR="009D2672" w:rsidRPr="008813EA" w:rsidP="00757263" w14:paraId="0504F1D3" w14:textId="1D98024C">
      <w:pPr>
        <w:spacing w:after="120"/>
      </w:pPr>
      <w:r w:rsidRPr="008813EA">
        <w:rPr>
          <w:b/>
        </w:rPr>
        <w:t>A11</w:t>
      </w:r>
      <w:r w:rsidRPr="008813EA">
        <w:t>.</w:t>
      </w:r>
      <w:r w:rsidRPr="008813EA">
        <w:tab/>
      </w:r>
      <w:r w:rsidRPr="008813EA">
        <w:rPr>
          <w:b/>
        </w:rPr>
        <w:t>Sensitive Information</w:t>
      </w:r>
      <w:r w:rsidRPr="008813EA">
        <w:rPr>
          <w:rStyle w:val="FootnoteReference"/>
        </w:rPr>
        <w:t xml:space="preserve"> </w:t>
      </w:r>
      <w:r>
        <w:rPr>
          <w:rStyle w:val="FootnoteReference"/>
        </w:rPr>
        <w:footnoteReference w:id="7"/>
      </w:r>
    </w:p>
    <w:p w:rsidR="009D2672" w:rsidP="00D056BB" w14:paraId="29BDE712" w14:textId="2A31C86F">
      <w:pPr>
        <w:spacing w:after="0"/>
      </w:pPr>
      <w:r w:rsidRPr="008813EA">
        <w:t xml:space="preserve">There are no sensitive questions </w:t>
      </w:r>
      <w:r w:rsidR="00772079">
        <w:t>in this data collection.</w:t>
      </w:r>
    </w:p>
    <w:p w:rsidR="00D056BB" w:rsidRPr="008813EA" w:rsidP="00927779" w14:paraId="52E311E1" w14:textId="77777777">
      <w:pPr>
        <w:spacing w:after="0"/>
      </w:pPr>
    </w:p>
    <w:p w:rsidR="009D2672" w:rsidRPr="008813EA" w:rsidP="0095272C" w14:paraId="4F0094D0" w14:textId="77777777">
      <w:pPr>
        <w:spacing w:after="120"/>
        <w:rPr>
          <w:b/>
        </w:rPr>
      </w:pPr>
      <w:r w:rsidRPr="008813EA">
        <w:rPr>
          <w:b/>
        </w:rPr>
        <w:t>A12</w:t>
      </w:r>
      <w:r w:rsidRPr="008813EA">
        <w:t>.</w:t>
      </w:r>
      <w:r w:rsidRPr="008813EA">
        <w:tab/>
      </w:r>
      <w:r w:rsidRPr="008813EA">
        <w:rPr>
          <w:b/>
        </w:rPr>
        <w:t>Burden</w:t>
      </w:r>
    </w:p>
    <w:p w:rsidR="009D2672" w:rsidRPr="008813EA" w:rsidP="00927779" w14:paraId="6459CC9F" w14:textId="77777777">
      <w:pPr>
        <w:spacing w:after="60" w:line="240" w:lineRule="auto"/>
        <w:rPr>
          <w:i/>
        </w:rPr>
      </w:pPr>
      <w:r w:rsidRPr="008813EA">
        <w:rPr>
          <w:i/>
        </w:rPr>
        <w:t>Explanation of Burden Estimates</w:t>
      </w:r>
    </w:p>
    <w:p w:rsidR="00524385" w:rsidP="00F51ED0" w14:paraId="456D532A" w14:textId="7B945FC6">
      <w:pPr>
        <w:tabs>
          <w:tab w:val="left" w:pos="-720"/>
        </w:tabs>
        <w:suppressAutoHyphens/>
        <w:spacing w:after="0"/>
      </w:pPr>
      <w:r w:rsidRPr="008813EA">
        <w:t>In Table A.2</w:t>
      </w:r>
      <w:r w:rsidR="00F63576">
        <w:t>,</w:t>
      </w:r>
      <w:r w:rsidRPr="008813EA">
        <w:t xml:space="preserve"> we summarize the estimated reporting burden and costs for each </w:t>
      </w:r>
      <w:r w:rsidR="000E749A">
        <w:t>data collection activity</w:t>
      </w:r>
      <w:r w:rsidRPr="008813EA">
        <w:t xml:space="preserve">. </w:t>
      </w:r>
      <w:r w:rsidR="00A212D6">
        <w:t xml:space="preserve">All </w:t>
      </w:r>
      <w:r w:rsidR="00645C7C">
        <w:t>data collection activit</w:t>
      </w:r>
      <w:r w:rsidR="00BD01C4">
        <w:t>ies</w:t>
      </w:r>
      <w:r w:rsidR="00645C7C">
        <w:t xml:space="preserve"> will take </w:t>
      </w:r>
      <w:r w:rsidR="0010377D">
        <w:t xml:space="preserve">75 </w:t>
      </w:r>
      <w:r w:rsidR="00F63576">
        <w:t>minutes</w:t>
      </w:r>
      <w:r w:rsidR="00645C7C">
        <w:t xml:space="preserve"> to complete</w:t>
      </w:r>
      <w:r w:rsidR="0010377D">
        <w:t xml:space="preserve"> (15 minutes for scheduling and consent processes, along with 60 minutes to cover the interview or focus group questions)</w:t>
      </w:r>
      <w:r w:rsidR="00BD01C4">
        <w:t xml:space="preserve">, </w:t>
      </w:r>
      <w:r w:rsidR="00A212D6">
        <w:t xml:space="preserve">with </w:t>
      </w:r>
      <w:r w:rsidR="00BD01C4">
        <w:t xml:space="preserve">the </w:t>
      </w:r>
      <w:r w:rsidR="00A212D6">
        <w:t xml:space="preserve">exception of </w:t>
      </w:r>
      <w:r w:rsidRPr="00BD01C4" w:rsidR="00BD01C4">
        <w:t xml:space="preserve">site visit interviews with program </w:t>
      </w:r>
      <w:r w:rsidR="009438EE">
        <w:t>leaders and managers</w:t>
      </w:r>
      <w:r w:rsidR="00A212D6">
        <w:t>, which</w:t>
      </w:r>
      <w:r w:rsidR="009438EE">
        <w:t xml:space="preserve"> </w:t>
      </w:r>
      <w:r w:rsidRPr="00BD01C4" w:rsidR="00BD01C4">
        <w:t xml:space="preserve">will take </w:t>
      </w:r>
      <w:r w:rsidR="0010377D">
        <w:t>105</w:t>
      </w:r>
      <w:r w:rsidRPr="00BD01C4" w:rsidR="0010377D">
        <w:t xml:space="preserve"> </w:t>
      </w:r>
      <w:r w:rsidRPr="00BD01C4" w:rsidR="00BD01C4">
        <w:t>minutes</w:t>
      </w:r>
      <w:r w:rsidR="0010377D">
        <w:t xml:space="preserve"> (15 minutes for scheduling and consent processes, along with 90 minutes to cover the interview questions)</w:t>
      </w:r>
      <w:r w:rsidR="00645C7C">
        <w:t>.</w:t>
      </w:r>
      <w:r w:rsidRPr="008813EA">
        <w:t xml:space="preserve"> The study team expects the total annual burden to be </w:t>
      </w:r>
      <w:r w:rsidR="00F51197">
        <w:t xml:space="preserve">134.5 </w:t>
      </w:r>
      <w:r w:rsidRPr="008813EA">
        <w:t xml:space="preserve">hours for all the </w:t>
      </w:r>
      <w:r w:rsidR="00940819">
        <w:t>activities</w:t>
      </w:r>
      <w:r w:rsidRPr="008813EA">
        <w:t xml:space="preserve"> in this information collection request. </w:t>
      </w:r>
      <w:r w:rsidR="0035694F">
        <w:t>To calculate the total annual burden, w</w:t>
      </w:r>
      <w:r w:rsidRPr="008813EA" w:rsidR="0035694F">
        <w:t xml:space="preserve">e estimate that </w:t>
      </w:r>
      <w:r w:rsidR="008B3887">
        <w:t xml:space="preserve">20 </w:t>
      </w:r>
      <w:r w:rsidR="0035694F">
        <w:t>grantee</w:t>
      </w:r>
      <w:r w:rsidR="008B3887">
        <w:t>s (</w:t>
      </w:r>
      <w:r w:rsidR="007D7A58">
        <w:t>each with one respondent</w:t>
      </w:r>
      <w:r w:rsidRPr="00E32B26" w:rsidR="00E32B26">
        <w:t>—</w:t>
      </w:r>
      <w:r w:rsidR="007D7A58">
        <w:t xml:space="preserve">either their program director, grant administrator, or another staff member </w:t>
      </w:r>
      <w:r w:rsidR="00E32B26">
        <w:t xml:space="preserve">whom </w:t>
      </w:r>
      <w:r w:rsidR="007D7A58">
        <w:t>the grantee or provider feels could best answer the questions</w:t>
      </w:r>
      <w:r w:rsidR="008B3887">
        <w:t xml:space="preserve">) will complete the </w:t>
      </w:r>
      <w:r w:rsidR="00AC2BA6">
        <w:t>tele</w:t>
      </w:r>
      <w:r w:rsidR="008B3887">
        <w:t xml:space="preserve">phone interviews, </w:t>
      </w:r>
      <w:r w:rsidR="004B19A0">
        <w:t xml:space="preserve">nine </w:t>
      </w:r>
      <w:r w:rsidRPr="00311FC8" w:rsidR="008B3887">
        <w:t xml:space="preserve">program </w:t>
      </w:r>
      <w:r w:rsidR="009E35B3">
        <w:t>leaders or managers</w:t>
      </w:r>
      <w:r w:rsidR="008B3887">
        <w:t xml:space="preserve"> (</w:t>
      </w:r>
      <w:r w:rsidR="004B19A0">
        <w:t xml:space="preserve">three </w:t>
      </w:r>
      <w:r w:rsidR="008B3887">
        <w:t xml:space="preserve">staff per site visit) will complete the site visit interviews, 15 </w:t>
      </w:r>
      <w:r w:rsidR="00940819">
        <w:t xml:space="preserve">program </w:t>
      </w:r>
      <w:r w:rsidR="008B3887">
        <w:t>facilitators (</w:t>
      </w:r>
      <w:r w:rsidR="004B19A0">
        <w:t xml:space="preserve">five </w:t>
      </w:r>
      <w:r w:rsidR="008B3887">
        <w:t xml:space="preserve">staff per site visit) will complete the site visit interviews, 30 community members (10 per site visit) will complete the site visit focus groups, and 30 youth (10 per site visit) will complete the site visit focus groups. Across all data collection activities, we expect to have 104 respondents. Each data collection activity will occur once.   </w:t>
      </w:r>
    </w:p>
    <w:p w:rsidR="00F51ED0" w:rsidRPr="0035694F" w:rsidP="00927779" w14:paraId="70CF1E4B" w14:textId="77777777">
      <w:pPr>
        <w:tabs>
          <w:tab w:val="left" w:pos="-720"/>
        </w:tabs>
        <w:suppressAutoHyphens/>
        <w:spacing w:after="0"/>
      </w:pPr>
    </w:p>
    <w:p w:rsidR="009D2672" w:rsidRPr="008813EA" w:rsidP="00927779" w14:paraId="27232C6A" w14:textId="2B0DA485">
      <w:pPr>
        <w:spacing w:after="0" w:line="240" w:lineRule="auto"/>
        <w:rPr>
          <w:i/>
        </w:rPr>
      </w:pPr>
      <w:r w:rsidRPr="008813EA">
        <w:rPr>
          <w:i/>
        </w:rPr>
        <w:t>Estimated Annualized Cost to Respondents</w:t>
      </w:r>
    </w:p>
    <w:p w:rsidR="00DF0280" w:rsidRPr="004F738E" w:rsidP="004F738E" w14:paraId="06E618B3" w14:textId="3677737A">
      <w:pPr>
        <w:tabs>
          <w:tab w:val="left" w:pos="-720"/>
        </w:tabs>
        <w:suppressAutoHyphens/>
        <w:spacing w:after="60"/>
        <w:rPr>
          <w:iCs/>
        </w:rPr>
      </w:pPr>
      <w:r w:rsidRPr="008813EA">
        <w:rPr>
          <w:iCs/>
        </w:rPr>
        <w:t>The study team expects the total annual cost to be $</w:t>
      </w:r>
      <w:r w:rsidR="00F51197">
        <w:rPr>
          <w:iCs/>
        </w:rPr>
        <w:t>3,70</w:t>
      </w:r>
      <w:r w:rsidR="00382DF6">
        <w:rPr>
          <w:iCs/>
        </w:rPr>
        <w:t>6</w:t>
      </w:r>
      <w:r w:rsidR="000E749A">
        <w:rPr>
          <w:iCs/>
        </w:rPr>
        <w:t xml:space="preserve"> </w:t>
      </w:r>
      <w:r w:rsidRPr="008813EA">
        <w:rPr>
          <w:iCs/>
        </w:rPr>
        <w:t xml:space="preserve">for all </w:t>
      </w:r>
      <w:r w:rsidR="00940819">
        <w:rPr>
          <w:iCs/>
        </w:rPr>
        <w:t>activities</w:t>
      </w:r>
      <w:r w:rsidRPr="008813EA">
        <w:rPr>
          <w:iCs/>
        </w:rPr>
        <w:t xml:space="preserve"> in the current information collection request. The Occupational Employment Statistics (202</w:t>
      </w:r>
      <w:r w:rsidR="00E776BD">
        <w:rPr>
          <w:iCs/>
        </w:rPr>
        <w:t>2</w:t>
      </w:r>
      <w:r w:rsidRPr="008813EA">
        <w:rPr>
          <w:iCs/>
        </w:rPr>
        <w:t xml:space="preserve">) from the Bureau of Labor Statistics have been used to estimate the average hourly wage for the </w:t>
      </w:r>
      <w:r w:rsidRPr="008813EA">
        <w:t>participants</w:t>
      </w:r>
      <w:r w:rsidRPr="008813EA">
        <w:rPr>
          <w:iCs/>
        </w:rPr>
        <w:t xml:space="preserve"> of this study and derive total annual costs. For </w:t>
      </w:r>
      <w:r w:rsidR="00B2489F">
        <w:rPr>
          <w:iCs/>
        </w:rPr>
        <w:t xml:space="preserve">each of </w:t>
      </w:r>
      <w:r w:rsidR="000E749A">
        <w:rPr>
          <w:iCs/>
        </w:rPr>
        <w:t>the data collection activities</w:t>
      </w:r>
      <w:r w:rsidRPr="008813EA">
        <w:rPr>
          <w:iCs/>
        </w:rPr>
        <w:t xml:space="preserve"> listed in Table A.2, the study team calculated the total annual cost by multiplying the annual burden hours by the average hourly wage</w:t>
      </w:r>
      <w:r w:rsidR="003A12FD">
        <w:rPr>
          <w:iCs/>
        </w:rPr>
        <w:t xml:space="preserve">. </w:t>
      </w:r>
    </w:p>
    <w:p w:rsidR="00927779" w:rsidP="003A12FD" w14:paraId="4FE14E50" w14:textId="77777777">
      <w:pPr>
        <w:tabs>
          <w:tab w:val="left" w:pos="-720"/>
        </w:tabs>
        <w:suppressAutoHyphens/>
        <w:spacing w:after="60"/>
        <w:rPr>
          <w:rFonts w:cstheme="minorHAnsi"/>
          <w:b/>
          <w:color w:val="000000" w:themeColor="text1"/>
          <w:sz w:val="20"/>
        </w:rPr>
      </w:pPr>
    </w:p>
    <w:p w:rsidR="00927779" w:rsidP="003A12FD" w14:paraId="668EC7E5" w14:textId="77777777">
      <w:pPr>
        <w:tabs>
          <w:tab w:val="left" w:pos="-720"/>
        </w:tabs>
        <w:suppressAutoHyphens/>
        <w:spacing w:after="60"/>
        <w:rPr>
          <w:rFonts w:cstheme="minorHAnsi"/>
          <w:b/>
          <w:color w:val="000000" w:themeColor="text1"/>
          <w:sz w:val="20"/>
        </w:rPr>
      </w:pPr>
    </w:p>
    <w:p w:rsidR="00927779" w:rsidP="003A12FD" w14:paraId="658C0C13" w14:textId="77777777">
      <w:pPr>
        <w:tabs>
          <w:tab w:val="left" w:pos="-720"/>
        </w:tabs>
        <w:suppressAutoHyphens/>
        <w:spacing w:after="60"/>
        <w:rPr>
          <w:rFonts w:cstheme="minorHAnsi"/>
          <w:b/>
          <w:color w:val="000000" w:themeColor="text1"/>
          <w:sz w:val="20"/>
        </w:rPr>
      </w:pPr>
    </w:p>
    <w:p w:rsidR="00927779" w:rsidP="003A12FD" w14:paraId="59CF4D09" w14:textId="77777777">
      <w:pPr>
        <w:tabs>
          <w:tab w:val="left" w:pos="-720"/>
        </w:tabs>
        <w:suppressAutoHyphens/>
        <w:spacing w:after="60"/>
        <w:rPr>
          <w:rFonts w:cstheme="minorHAnsi"/>
          <w:b/>
          <w:color w:val="000000" w:themeColor="text1"/>
          <w:sz w:val="20"/>
        </w:rPr>
      </w:pPr>
    </w:p>
    <w:p w:rsidR="00927779" w:rsidP="003A12FD" w14:paraId="11339422" w14:textId="77777777">
      <w:pPr>
        <w:tabs>
          <w:tab w:val="left" w:pos="-720"/>
        </w:tabs>
        <w:suppressAutoHyphens/>
        <w:spacing w:after="60"/>
        <w:rPr>
          <w:rFonts w:cstheme="minorHAnsi"/>
          <w:b/>
          <w:color w:val="000000" w:themeColor="text1"/>
          <w:sz w:val="20"/>
        </w:rPr>
      </w:pPr>
    </w:p>
    <w:p w:rsidR="00927779" w:rsidP="003A12FD" w14:paraId="1A70E830" w14:textId="77777777">
      <w:pPr>
        <w:tabs>
          <w:tab w:val="left" w:pos="-720"/>
        </w:tabs>
        <w:suppressAutoHyphens/>
        <w:spacing w:after="60"/>
        <w:rPr>
          <w:rFonts w:cstheme="minorHAnsi"/>
          <w:b/>
          <w:color w:val="000000" w:themeColor="text1"/>
          <w:sz w:val="20"/>
        </w:rPr>
      </w:pPr>
    </w:p>
    <w:p w:rsidR="00927779" w:rsidP="003A12FD" w14:paraId="1B1D4687" w14:textId="77777777">
      <w:pPr>
        <w:tabs>
          <w:tab w:val="left" w:pos="-720"/>
        </w:tabs>
        <w:suppressAutoHyphens/>
        <w:spacing w:after="60"/>
        <w:rPr>
          <w:rFonts w:cstheme="minorHAnsi"/>
          <w:b/>
          <w:color w:val="000000" w:themeColor="text1"/>
          <w:sz w:val="20"/>
        </w:rPr>
      </w:pPr>
    </w:p>
    <w:p w:rsidR="009D2672" w:rsidRPr="004F7019" w:rsidP="003A12FD" w14:paraId="4E584ADD" w14:textId="78882C6D">
      <w:pPr>
        <w:tabs>
          <w:tab w:val="left" w:pos="-720"/>
        </w:tabs>
        <w:suppressAutoHyphens/>
        <w:spacing w:after="60"/>
        <w:rPr>
          <w:rFonts w:cstheme="minorHAnsi"/>
          <w:b/>
          <w:color w:val="000000" w:themeColor="text1"/>
          <w:sz w:val="20"/>
        </w:rPr>
      </w:pPr>
      <w:r w:rsidRPr="004F7019">
        <w:rPr>
          <w:rFonts w:cstheme="minorHAnsi"/>
          <w:b/>
          <w:color w:val="000000" w:themeColor="text1"/>
          <w:sz w:val="20"/>
        </w:rPr>
        <w:t>Table A.2. Total burden requested under this information collection</w:t>
      </w:r>
    </w:p>
    <w:tbl>
      <w:tblPr>
        <w:tblStyle w:val="TableGrid1"/>
        <w:tblW w:w="9545" w:type="dxa"/>
        <w:tblInd w:w="-5" w:type="dxa"/>
        <w:tblBorders>
          <w:top w:val="none" w:sz="0" w:space="0" w:color="auto"/>
          <w:bottom w:val="none" w:sz="0" w:space="0" w:color="auto"/>
        </w:tblBorders>
        <w:tblLayout w:type="fixed"/>
        <w:tblLook w:val="01E0"/>
      </w:tblPr>
      <w:tblGrid>
        <w:gridCol w:w="2525"/>
        <w:gridCol w:w="1165"/>
        <w:gridCol w:w="1530"/>
        <w:gridCol w:w="995"/>
        <w:gridCol w:w="1170"/>
        <w:gridCol w:w="1260"/>
        <w:gridCol w:w="900"/>
      </w:tblGrid>
      <w:tr w14:paraId="02C60794" w14:textId="77777777" w:rsidTr="00940819">
        <w:tblPrEx>
          <w:tblW w:w="9545" w:type="dxa"/>
          <w:tblInd w:w="-5" w:type="dxa"/>
          <w:tblBorders>
            <w:top w:val="none" w:sz="0" w:space="0" w:color="auto"/>
            <w:bottom w:val="none" w:sz="0" w:space="0" w:color="auto"/>
          </w:tblBorders>
          <w:tblLayout w:type="fixed"/>
          <w:tblLook w:val="01E0"/>
        </w:tblPrEx>
        <w:trPr>
          <w:tblHeader/>
        </w:trPr>
        <w:tc>
          <w:tcPr>
            <w:tcW w:w="2525" w:type="dxa"/>
            <w:tcBorders>
              <w:right w:val="single" w:sz="4" w:space="0" w:color="FFFFFF" w:themeColor="background1"/>
            </w:tcBorders>
            <w:shd w:val="clear" w:color="auto" w:fill="1F497D" w:themeFill="text2"/>
            <w:vAlign w:val="bottom"/>
            <w:hideMark/>
          </w:tcPr>
          <w:p w:rsidR="009D2672" w:rsidRPr="004F7019" w14:paraId="2C3CE358" w14:textId="0279D45A">
            <w:pPr>
              <w:pStyle w:val="TableHeaderCenter"/>
              <w:ind w:left="-72" w:right="-72"/>
              <w:jc w:val="left"/>
              <w:rPr>
                <w:rFonts w:asciiTheme="minorHAnsi" w:hAnsiTheme="minorHAnsi" w:cstheme="minorHAnsi"/>
                <w:b/>
                <w:bCs/>
                <w:szCs w:val="20"/>
              </w:rPr>
            </w:pPr>
            <w:r w:rsidRPr="004F7019">
              <w:rPr>
                <w:rFonts w:asciiTheme="minorHAnsi" w:hAnsiTheme="minorHAnsi" w:cstheme="minorHAnsi"/>
                <w:b/>
                <w:bCs/>
                <w:szCs w:val="20"/>
              </w:rPr>
              <w:t>Data collection activity</w:t>
            </w:r>
          </w:p>
        </w:tc>
        <w:tc>
          <w:tcPr>
            <w:tcW w:w="1165" w:type="dxa"/>
            <w:tcBorders>
              <w:left w:val="single" w:sz="4" w:space="0" w:color="FFFFFF" w:themeColor="background1"/>
              <w:right w:val="single" w:sz="4" w:space="0" w:color="FFFFFF" w:themeColor="background1"/>
            </w:tcBorders>
            <w:shd w:val="clear" w:color="auto" w:fill="1F497D" w:themeFill="text2"/>
            <w:vAlign w:val="bottom"/>
            <w:hideMark/>
          </w:tcPr>
          <w:p w:rsidR="009D2672" w:rsidRPr="004F7019" w14:paraId="36EA5F64" w14:textId="3CB9D5A3">
            <w:pPr>
              <w:pStyle w:val="TableHeaderCenter"/>
              <w:ind w:left="-72" w:right="-72"/>
              <w:rPr>
                <w:rFonts w:asciiTheme="minorHAnsi" w:hAnsiTheme="minorHAnsi" w:cstheme="minorHAnsi"/>
                <w:b/>
                <w:bCs/>
                <w:szCs w:val="20"/>
              </w:rPr>
            </w:pPr>
            <w:r w:rsidRPr="004F7019">
              <w:rPr>
                <w:rFonts w:asciiTheme="minorHAnsi" w:hAnsiTheme="minorHAnsi" w:cstheme="minorHAnsi"/>
                <w:b/>
                <w:bCs/>
                <w:szCs w:val="20"/>
              </w:rPr>
              <w:t>No. of participants (total over request period)</w:t>
            </w:r>
          </w:p>
        </w:tc>
        <w:tc>
          <w:tcPr>
            <w:tcW w:w="1530" w:type="dxa"/>
            <w:tcBorders>
              <w:left w:val="single" w:sz="4" w:space="0" w:color="FFFFFF" w:themeColor="background1"/>
              <w:right w:val="single" w:sz="4" w:space="0" w:color="FFFFFF" w:themeColor="background1"/>
            </w:tcBorders>
            <w:shd w:val="clear" w:color="auto" w:fill="1F497D" w:themeFill="text2"/>
            <w:vAlign w:val="bottom"/>
            <w:hideMark/>
          </w:tcPr>
          <w:p w:rsidR="009D2672" w:rsidRPr="004F7019" w14:paraId="585A508D" w14:textId="77777777">
            <w:pPr>
              <w:pStyle w:val="TableHeaderCenter"/>
              <w:ind w:left="-72" w:right="-72"/>
              <w:rPr>
                <w:rFonts w:asciiTheme="minorHAnsi" w:hAnsiTheme="minorHAnsi" w:cstheme="minorHAnsi"/>
                <w:b/>
                <w:bCs/>
                <w:szCs w:val="20"/>
              </w:rPr>
            </w:pPr>
            <w:r w:rsidRPr="004F7019">
              <w:rPr>
                <w:rFonts w:asciiTheme="minorHAnsi" w:hAnsiTheme="minorHAnsi" w:cstheme="minorHAnsi"/>
                <w:b/>
                <w:bCs/>
                <w:szCs w:val="20"/>
              </w:rPr>
              <w:t>No. of responses per participant (total over request period)</w:t>
            </w:r>
          </w:p>
        </w:tc>
        <w:tc>
          <w:tcPr>
            <w:tcW w:w="995" w:type="dxa"/>
            <w:tcBorders>
              <w:left w:val="single" w:sz="4" w:space="0" w:color="FFFFFF" w:themeColor="background1"/>
              <w:right w:val="single" w:sz="4" w:space="0" w:color="FFFFFF" w:themeColor="background1"/>
            </w:tcBorders>
            <w:shd w:val="clear" w:color="auto" w:fill="1F497D" w:themeFill="text2"/>
            <w:vAlign w:val="bottom"/>
            <w:hideMark/>
          </w:tcPr>
          <w:p w:rsidR="009D2672" w:rsidRPr="004F7019" w14:paraId="1BD1072B" w14:textId="77777777">
            <w:pPr>
              <w:pStyle w:val="TableHeaderCenter"/>
              <w:ind w:left="-72" w:right="-72"/>
              <w:rPr>
                <w:rFonts w:asciiTheme="minorHAnsi" w:hAnsiTheme="minorHAnsi" w:cstheme="minorHAnsi"/>
                <w:b/>
                <w:bCs/>
                <w:szCs w:val="20"/>
              </w:rPr>
            </w:pPr>
            <w:r w:rsidRPr="004F7019">
              <w:rPr>
                <w:rFonts w:asciiTheme="minorHAnsi" w:hAnsiTheme="minorHAnsi" w:cstheme="minorHAnsi"/>
                <w:b/>
                <w:bCs/>
                <w:szCs w:val="20"/>
              </w:rPr>
              <w:t>Avg. burden per response (hours)</w:t>
            </w:r>
          </w:p>
        </w:tc>
        <w:tc>
          <w:tcPr>
            <w:tcW w:w="1170" w:type="dxa"/>
            <w:tcBorders>
              <w:left w:val="single" w:sz="4" w:space="0" w:color="FFFFFF" w:themeColor="background1"/>
              <w:right w:val="single" w:sz="4" w:space="0" w:color="FFFFFF" w:themeColor="background1"/>
            </w:tcBorders>
            <w:shd w:val="clear" w:color="auto" w:fill="1F497D" w:themeFill="text2"/>
            <w:vAlign w:val="bottom"/>
          </w:tcPr>
          <w:p w:rsidR="009D2672" w:rsidRPr="004F7019" w14:paraId="3D0CBD36" w14:textId="77777777">
            <w:pPr>
              <w:pStyle w:val="TableHeaderCenter"/>
              <w:ind w:left="-72" w:right="-72"/>
              <w:rPr>
                <w:rFonts w:asciiTheme="minorHAnsi" w:hAnsiTheme="minorHAnsi" w:cstheme="minorHAnsi"/>
                <w:b/>
                <w:bCs/>
                <w:szCs w:val="20"/>
              </w:rPr>
            </w:pPr>
            <w:r w:rsidRPr="004F7019">
              <w:rPr>
                <w:rFonts w:asciiTheme="minorHAnsi" w:hAnsiTheme="minorHAnsi" w:cstheme="minorHAnsi"/>
                <w:b/>
                <w:bCs/>
                <w:szCs w:val="20"/>
              </w:rPr>
              <w:t>Total/annual burden (hours)</w:t>
            </w:r>
          </w:p>
        </w:tc>
        <w:tc>
          <w:tcPr>
            <w:tcW w:w="1260" w:type="dxa"/>
            <w:tcBorders>
              <w:left w:val="single" w:sz="4" w:space="0" w:color="FFFFFF" w:themeColor="background1"/>
              <w:right w:val="single" w:sz="4" w:space="0" w:color="FFFFFF" w:themeColor="background1"/>
            </w:tcBorders>
            <w:shd w:val="clear" w:color="auto" w:fill="1F497D" w:themeFill="text2"/>
            <w:vAlign w:val="bottom"/>
            <w:hideMark/>
          </w:tcPr>
          <w:p w:rsidR="009D2672" w:rsidRPr="004F7019" w14:paraId="2CC38A20" w14:textId="77777777">
            <w:pPr>
              <w:pStyle w:val="TableHeaderCenter"/>
              <w:ind w:left="-72" w:right="-72"/>
              <w:rPr>
                <w:rFonts w:asciiTheme="minorHAnsi" w:hAnsiTheme="minorHAnsi" w:cstheme="minorHAnsi"/>
                <w:b/>
                <w:bCs/>
                <w:szCs w:val="20"/>
              </w:rPr>
            </w:pPr>
            <w:r w:rsidRPr="004F7019">
              <w:rPr>
                <w:rFonts w:asciiTheme="minorHAnsi" w:hAnsiTheme="minorHAnsi" w:cstheme="minorHAnsi"/>
                <w:b/>
                <w:bCs/>
                <w:szCs w:val="20"/>
              </w:rPr>
              <w:t>Avg. hourly wage rate</w:t>
            </w:r>
          </w:p>
        </w:tc>
        <w:tc>
          <w:tcPr>
            <w:tcW w:w="900" w:type="dxa"/>
            <w:tcBorders>
              <w:left w:val="single" w:sz="4" w:space="0" w:color="FFFFFF" w:themeColor="background1"/>
            </w:tcBorders>
            <w:shd w:val="clear" w:color="auto" w:fill="1F497D" w:themeFill="text2"/>
            <w:vAlign w:val="bottom"/>
            <w:hideMark/>
          </w:tcPr>
          <w:p w:rsidR="009D2672" w:rsidRPr="004F7019" w14:paraId="6496A85E" w14:textId="77777777">
            <w:pPr>
              <w:pStyle w:val="TableHeaderCenter"/>
              <w:ind w:left="-72" w:right="-72"/>
              <w:rPr>
                <w:rFonts w:asciiTheme="minorHAnsi" w:hAnsiTheme="minorHAnsi" w:cstheme="minorHAnsi"/>
                <w:b/>
                <w:bCs/>
                <w:szCs w:val="20"/>
              </w:rPr>
            </w:pPr>
            <w:r w:rsidRPr="004F7019">
              <w:rPr>
                <w:rFonts w:asciiTheme="minorHAnsi" w:hAnsiTheme="minorHAnsi" w:cstheme="minorHAnsi"/>
                <w:b/>
                <w:bCs/>
                <w:szCs w:val="20"/>
              </w:rPr>
              <w:t>Total annual participant cost</w:t>
            </w:r>
          </w:p>
        </w:tc>
      </w:tr>
    </w:tbl>
    <w:tbl>
      <w:tblPr>
        <w:tblStyle w:val="TableGrid"/>
        <w:tblW w:w="9540" w:type="dxa"/>
        <w:tblInd w:w="-5" w:type="dxa"/>
        <w:tblLayout w:type="fixed"/>
        <w:tblLook w:val="01E0"/>
      </w:tblPr>
      <w:tblGrid>
        <w:gridCol w:w="2520"/>
        <w:gridCol w:w="1170"/>
        <w:gridCol w:w="1530"/>
        <w:gridCol w:w="995"/>
        <w:gridCol w:w="1170"/>
        <w:gridCol w:w="990"/>
        <w:gridCol w:w="1165"/>
      </w:tblGrid>
      <w:tr w14:paraId="48169833" w14:textId="77777777" w:rsidTr="00DF0280">
        <w:tblPrEx>
          <w:tblW w:w="9540" w:type="dxa"/>
          <w:tblInd w:w="-5" w:type="dxa"/>
          <w:tblLayout w:type="fixed"/>
          <w:tblLook w:val="01E0"/>
        </w:tblPrEx>
        <w:tc>
          <w:tcPr>
            <w:tcW w:w="2520" w:type="dxa"/>
            <w:tcBorders>
              <w:top w:val="nil"/>
              <w:left w:val="nil"/>
              <w:bottom w:val="single" w:sz="4" w:space="0" w:color="auto"/>
              <w:right w:val="nil"/>
            </w:tcBorders>
          </w:tcPr>
          <w:p w:rsidR="009D2672" w:rsidRPr="004F7019" w14:paraId="021D5BB0" w14:textId="4A74A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rPr>
                <w:rFonts w:asciiTheme="minorHAnsi" w:hAnsiTheme="minorHAnsi" w:cstheme="minorHAnsi"/>
                <w:bCs/>
              </w:rPr>
            </w:pPr>
            <w:r w:rsidRPr="004F7019">
              <w:rPr>
                <w:rFonts w:asciiTheme="minorHAnsi" w:hAnsiTheme="minorHAnsi" w:cstheme="minorHAnsi"/>
              </w:rPr>
              <w:t>Telep</w:t>
            </w:r>
            <w:r w:rsidRPr="004F7019" w:rsidR="00B3330B">
              <w:rPr>
                <w:rFonts w:asciiTheme="minorHAnsi" w:hAnsiTheme="minorHAnsi" w:cstheme="minorHAnsi"/>
              </w:rPr>
              <w:t>hone</w:t>
            </w:r>
            <w:r w:rsidRPr="004F7019" w:rsidR="00C52A00">
              <w:rPr>
                <w:rFonts w:asciiTheme="minorHAnsi" w:hAnsiTheme="minorHAnsi" w:cstheme="minorHAnsi"/>
              </w:rPr>
              <w:t xml:space="preserve"> </w:t>
            </w:r>
            <w:r w:rsidRPr="004F7019" w:rsidR="00B3330B">
              <w:rPr>
                <w:rFonts w:asciiTheme="minorHAnsi" w:hAnsiTheme="minorHAnsi" w:cstheme="minorHAnsi"/>
              </w:rPr>
              <w:t>i</w:t>
            </w:r>
            <w:r w:rsidRPr="004F7019" w:rsidR="007C4FE1">
              <w:rPr>
                <w:rFonts w:asciiTheme="minorHAnsi" w:hAnsiTheme="minorHAnsi" w:cstheme="minorHAnsi"/>
              </w:rPr>
              <w:t>nterview</w:t>
            </w:r>
            <w:r w:rsidRPr="004F7019" w:rsidR="00B3330B">
              <w:rPr>
                <w:rFonts w:asciiTheme="minorHAnsi" w:hAnsiTheme="minorHAnsi" w:cstheme="minorHAnsi"/>
              </w:rPr>
              <w:t>s with</w:t>
            </w:r>
            <w:r w:rsidRPr="004F7019" w:rsidR="009438EE">
              <w:rPr>
                <w:rFonts w:asciiTheme="minorHAnsi" w:hAnsiTheme="minorHAnsi" w:cstheme="minorHAnsi"/>
              </w:rPr>
              <w:t xml:space="preserve"> PREP grantees and providers </w:t>
            </w:r>
          </w:p>
        </w:tc>
        <w:tc>
          <w:tcPr>
            <w:tcW w:w="1170" w:type="dxa"/>
            <w:tcBorders>
              <w:top w:val="nil"/>
              <w:left w:val="nil"/>
              <w:bottom w:val="single" w:sz="4" w:space="0" w:color="auto"/>
              <w:right w:val="nil"/>
            </w:tcBorders>
            <w:vAlign w:val="center"/>
          </w:tcPr>
          <w:p w:rsidR="009D2672" w:rsidRPr="004F7019" w14:paraId="3B5314C7" w14:textId="70A64D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2</w:t>
            </w:r>
            <w:r w:rsidRPr="004F7019" w:rsidR="003D4FC3">
              <w:rPr>
                <w:rFonts w:asciiTheme="minorHAnsi" w:hAnsiTheme="minorHAnsi" w:cstheme="minorHAnsi"/>
                <w:bCs/>
              </w:rPr>
              <w:t>0</w:t>
            </w:r>
          </w:p>
        </w:tc>
        <w:tc>
          <w:tcPr>
            <w:tcW w:w="1530" w:type="dxa"/>
            <w:tcBorders>
              <w:top w:val="nil"/>
              <w:left w:val="nil"/>
              <w:bottom w:val="single" w:sz="4" w:space="0" w:color="auto"/>
              <w:right w:val="nil"/>
            </w:tcBorders>
            <w:vAlign w:val="center"/>
          </w:tcPr>
          <w:p w:rsidR="009D2672" w:rsidRPr="004F7019" w14:paraId="7D50FC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1</w:t>
            </w:r>
          </w:p>
        </w:tc>
        <w:tc>
          <w:tcPr>
            <w:tcW w:w="995" w:type="dxa"/>
            <w:tcBorders>
              <w:top w:val="nil"/>
              <w:left w:val="nil"/>
              <w:bottom w:val="single" w:sz="4" w:space="0" w:color="auto"/>
              <w:right w:val="nil"/>
            </w:tcBorders>
            <w:vAlign w:val="center"/>
          </w:tcPr>
          <w:p w:rsidR="009D2672" w:rsidRPr="004F7019" w14:paraId="26FBD64B" w14:textId="39AC58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1</w:t>
            </w:r>
            <w:r w:rsidR="0010377D">
              <w:rPr>
                <w:rFonts w:asciiTheme="minorHAnsi" w:hAnsiTheme="minorHAnsi" w:cstheme="minorHAnsi"/>
                <w:bCs/>
              </w:rPr>
              <w:t>.25</w:t>
            </w:r>
          </w:p>
        </w:tc>
        <w:tc>
          <w:tcPr>
            <w:tcW w:w="1170" w:type="dxa"/>
            <w:tcBorders>
              <w:top w:val="nil"/>
              <w:left w:val="nil"/>
              <w:bottom w:val="single" w:sz="4" w:space="0" w:color="auto"/>
              <w:right w:val="nil"/>
            </w:tcBorders>
            <w:vAlign w:val="center"/>
          </w:tcPr>
          <w:p w:rsidR="009D2672" w:rsidRPr="004F7019" w14:paraId="2658BE9C" w14:textId="1F95D1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2</w:t>
            </w:r>
            <w:r w:rsidR="0010377D">
              <w:rPr>
                <w:rFonts w:asciiTheme="minorHAnsi" w:hAnsiTheme="minorHAnsi" w:cstheme="minorHAnsi"/>
                <w:bCs/>
              </w:rPr>
              <w:t>5</w:t>
            </w:r>
          </w:p>
        </w:tc>
        <w:tc>
          <w:tcPr>
            <w:tcW w:w="990" w:type="dxa"/>
            <w:tcBorders>
              <w:top w:val="nil"/>
              <w:left w:val="nil"/>
              <w:bottom w:val="single" w:sz="4" w:space="0" w:color="auto"/>
              <w:right w:val="nil"/>
            </w:tcBorders>
            <w:vAlign w:val="center"/>
          </w:tcPr>
          <w:p w:rsidR="009D2672" w:rsidRPr="004F7019" w14:paraId="35952576" w14:textId="2C71D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w:t>
            </w:r>
            <w:r w:rsidR="00E776BD">
              <w:rPr>
                <w:rFonts w:asciiTheme="minorHAnsi" w:hAnsiTheme="minorHAnsi" w:cstheme="minorHAnsi"/>
                <w:bCs/>
              </w:rPr>
              <w:t>45.46</w:t>
            </w:r>
            <w:r>
              <w:rPr>
                <w:rStyle w:val="FootnoteReference"/>
                <w:rFonts w:asciiTheme="minorHAnsi" w:hAnsiTheme="minorHAnsi" w:cstheme="minorHAnsi"/>
                <w:bCs/>
              </w:rPr>
              <w:footnoteReference w:id="8"/>
            </w:r>
          </w:p>
        </w:tc>
        <w:tc>
          <w:tcPr>
            <w:tcW w:w="1165" w:type="dxa"/>
            <w:tcBorders>
              <w:top w:val="nil"/>
              <w:left w:val="nil"/>
              <w:bottom w:val="single" w:sz="4" w:space="0" w:color="auto"/>
              <w:right w:val="nil"/>
            </w:tcBorders>
            <w:vAlign w:val="center"/>
          </w:tcPr>
          <w:p w:rsidR="009D2672" w:rsidRPr="004F7019" w14:paraId="35CB01F3" w14:textId="3820A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w:t>
            </w:r>
            <w:r w:rsidR="0010377D">
              <w:rPr>
                <w:rFonts w:asciiTheme="minorHAnsi" w:hAnsiTheme="minorHAnsi" w:cstheme="minorHAnsi"/>
                <w:bCs/>
              </w:rPr>
              <w:t>1,136.50</w:t>
            </w:r>
          </w:p>
        </w:tc>
      </w:tr>
      <w:tr w14:paraId="439F3295" w14:textId="77777777" w:rsidTr="00DF0280">
        <w:tblPrEx>
          <w:tblW w:w="9540" w:type="dxa"/>
          <w:tblInd w:w="-5" w:type="dxa"/>
          <w:tblLayout w:type="fixed"/>
          <w:tblLook w:val="01E0"/>
        </w:tblPrEx>
        <w:tc>
          <w:tcPr>
            <w:tcW w:w="2520" w:type="dxa"/>
            <w:tcBorders>
              <w:top w:val="nil"/>
              <w:left w:val="nil"/>
              <w:bottom w:val="single" w:sz="4" w:space="0" w:color="auto"/>
              <w:right w:val="nil"/>
            </w:tcBorders>
          </w:tcPr>
          <w:p w:rsidR="00B3330B" w:rsidRPr="004F7019" w14:paraId="2C985C9B" w14:textId="0E216D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rPr>
                <w:rFonts w:asciiTheme="minorHAnsi" w:hAnsiTheme="minorHAnsi" w:cstheme="minorHAnsi"/>
              </w:rPr>
            </w:pPr>
            <w:r w:rsidRPr="004F7019">
              <w:rPr>
                <w:rFonts w:asciiTheme="minorHAnsi" w:hAnsiTheme="minorHAnsi" w:cstheme="minorHAnsi"/>
              </w:rPr>
              <w:t>Site visits: Interview</w:t>
            </w:r>
            <w:r w:rsidRPr="004F7019" w:rsidR="00DE774A">
              <w:rPr>
                <w:rFonts w:asciiTheme="minorHAnsi" w:hAnsiTheme="minorHAnsi" w:cstheme="minorHAnsi"/>
              </w:rPr>
              <w:t>s</w:t>
            </w:r>
            <w:r w:rsidRPr="004F7019">
              <w:rPr>
                <w:rFonts w:asciiTheme="minorHAnsi" w:hAnsiTheme="minorHAnsi" w:cstheme="minorHAnsi"/>
              </w:rPr>
              <w:t xml:space="preserve"> with program </w:t>
            </w:r>
            <w:r w:rsidRPr="004F7019" w:rsidR="009438EE">
              <w:rPr>
                <w:rFonts w:asciiTheme="minorHAnsi" w:hAnsiTheme="minorHAnsi" w:cstheme="minorHAnsi"/>
              </w:rPr>
              <w:t>leaders and managers</w:t>
            </w:r>
          </w:p>
        </w:tc>
        <w:tc>
          <w:tcPr>
            <w:tcW w:w="1170" w:type="dxa"/>
            <w:tcBorders>
              <w:top w:val="nil"/>
              <w:left w:val="nil"/>
              <w:bottom w:val="single" w:sz="4" w:space="0" w:color="auto"/>
              <w:right w:val="nil"/>
            </w:tcBorders>
            <w:vAlign w:val="center"/>
          </w:tcPr>
          <w:p w:rsidR="00B3330B" w:rsidRPr="004F7019" w14:paraId="6C257B80" w14:textId="00DA1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9</w:t>
            </w:r>
          </w:p>
        </w:tc>
        <w:tc>
          <w:tcPr>
            <w:tcW w:w="1530" w:type="dxa"/>
            <w:tcBorders>
              <w:top w:val="nil"/>
              <w:left w:val="nil"/>
              <w:bottom w:val="single" w:sz="4" w:space="0" w:color="auto"/>
              <w:right w:val="nil"/>
            </w:tcBorders>
            <w:vAlign w:val="center"/>
          </w:tcPr>
          <w:p w:rsidR="00B3330B" w:rsidRPr="004F7019" w14:paraId="74FFCB7E" w14:textId="737E35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1</w:t>
            </w:r>
          </w:p>
        </w:tc>
        <w:tc>
          <w:tcPr>
            <w:tcW w:w="995" w:type="dxa"/>
            <w:tcBorders>
              <w:top w:val="nil"/>
              <w:left w:val="nil"/>
              <w:bottom w:val="single" w:sz="4" w:space="0" w:color="auto"/>
              <w:right w:val="nil"/>
            </w:tcBorders>
            <w:vAlign w:val="center"/>
          </w:tcPr>
          <w:p w:rsidR="00B3330B" w:rsidRPr="004F7019" w14:paraId="142E937E" w14:textId="589B61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1</w:t>
            </w:r>
            <w:r w:rsidRPr="004F7019" w:rsidR="006231FC">
              <w:rPr>
                <w:rFonts w:asciiTheme="minorHAnsi" w:hAnsiTheme="minorHAnsi" w:cstheme="minorHAnsi"/>
                <w:bCs/>
              </w:rPr>
              <w:t>.</w:t>
            </w:r>
            <w:r w:rsidR="0010377D">
              <w:rPr>
                <w:rFonts w:asciiTheme="minorHAnsi" w:hAnsiTheme="minorHAnsi" w:cstheme="minorHAnsi"/>
                <w:bCs/>
              </w:rPr>
              <w:t>75</w:t>
            </w:r>
          </w:p>
        </w:tc>
        <w:tc>
          <w:tcPr>
            <w:tcW w:w="1170" w:type="dxa"/>
            <w:tcBorders>
              <w:top w:val="nil"/>
              <w:left w:val="nil"/>
              <w:bottom w:val="single" w:sz="4" w:space="0" w:color="auto"/>
              <w:right w:val="nil"/>
            </w:tcBorders>
            <w:vAlign w:val="center"/>
          </w:tcPr>
          <w:p w:rsidR="00B3330B" w:rsidRPr="004F7019" w14:paraId="59DCFFD8" w14:textId="5BEAED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Pr>
                <w:rFonts w:asciiTheme="minorHAnsi" w:hAnsiTheme="minorHAnsi" w:cstheme="minorHAnsi"/>
                <w:bCs/>
              </w:rPr>
              <w:t>15.75</w:t>
            </w:r>
          </w:p>
        </w:tc>
        <w:tc>
          <w:tcPr>
            <w:tcW w:w="990" w:type="dxa"/>
            <w:tcBorders>
              <w:top w:val="nil"/>
              <w:left w:val="nil"/>
              <w:bottom w:val="single" w:sz="4" w:space="0" w:color="auto"/>
              <w:right w:val="nil"/>
            </w:tcBorders>
            <w:vAlign w:val="center"/>
          </w:tcPr>
          <w:p w:rsidR="00B3330B" w:rsidRPr="004F7019" w14:paraId="0E4FEEB8" w14:textId="1D15E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w:t>
            </w:r>
            <w:r w:rsidR="00E776BD">
              <w:rPr>
                <w:rFonts w:asciiTheme="minorHAnsi" w:hAnsiTheme="minorHAnsi" w:cstheme="minorHAnsi"/>
                <w:bCs/>
              </w:rPr>
              <w:t>45.46</w:t>
            </w:r>
            <w:r w:rsidR="00E776BD">
              <w:rPr>
                <w:rFonts w:asciiTheme="minorHAnsi" w:hAnsiTheme="minorHAnsi" w:cstheme="minorHAnsi"/>
                <w:vertAlign w:val="superscript"/>
              </w:rPr>
              <w:t>4</w:t>
            </w:r>
          </w:p>
        </w:tc>
        <w:tc>
          <w:tcPr>
            <w:tcW w:w="1165" w:type="dxa"/>
            <w:tcBorders>
              <w:top w:val="nil"/>
              <w:left w:val="nil"/>
              <w:bottom w:val="single" w:sz="4" w:space="0" w:color="auto"/>
              <w:right w:val="nil"/>
            </w:tcBorders>
            <w:vAlign w:val="center"/>
          </w:tcPr>
          <w:p w:rsidR="00B3330B" w:rsidRPr="004F7019" w14:paraId="2B85B5E1" w14:textId="6D6351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w:t>
            </w:r>
            <w:r w:rsidR="0043387E">
              <w:rPr>
                <w:rFonts w:asciiTheme="minorHAnsi" w:hAnsiTheme="minorHAnsi" w:cstheme="minorHAnsi"/>
                <w:bCs/>
              </w:rPr>
              <w:t>716.00</w:t>
            </w:r>
          </w:p>
        </w:tc>
      </w:tr>
      <w:tr w14:paraId="2ECE5C2C" w14:textId="77777777" w:rsidTr="003D2C17">
        <w:tblPrEx>
          <w:tblW w:w="9540" w:type="dxa"/>
          <w:tblInd w:w="-5" w:type="dxa"/>
          <w:tblLayout w:type="fixed"/>
          <w:tblLook w:val="01E0"/>
        </w:tblPrEx>
        <w:tc>
          <w:tcPr>
            <w:tcW w:w="2520" w:type="dxa"/>
            <w:tcBorders>
              <w:top w:val="nil"/>
              <w:left w:val="nil"/>
              <w:bottom w:val="single" w:sz="4" w:space="0" w:color="auto"/>
              <w:right w:val="nil"/>
            </w:tcBorders>
          </w:tcPr>
          <w:p w:rsidR="00B3330B" w:rsidRPr="004F7019" w14:paraId="4C689589" w14:textId="7A2B7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rPr>
                <w:rFonts w:asciiTheme="minorHAnsi" w:hAnsiTheme="minorHAnsi" w:cstheme="minorHAnsi"/>
              </w:rPr>
            </w:pPr>
            <w:r w:rsidRPr="004F7019">
              <w:rPr>
                <w:rFonts w:asciiTheme="minorHAnsi" w:hAnsiTheme="minorHAnsi" w:cstheme="minorHAnsi"/>
              </w:rPr>
              <w:t xml:space="preserve">Site visit: Interviews with </w:t>
            </w:r>
            <w:r w:rsidRPr="004F7019" w:rsidR="004F7019">
              <w:rPr>
                <w:rFonts w:asciiTheme="minorHAnsi" w:hAnsiTheme="minorHAnsi" w:cstheme="minorHAnsi"/>
              </w:rPr>
              <w:t xml:space="preserve">program </w:t>
            </w:r>
            <w:r w:rsidRPr="004F7019" w:rsidR="000E749A">
              <w:rPr>
                <w:rFonts w:asciiTheme="minorHAnsi" w:hAnsiTheme="minorHAnsi" w:cstheme="minorHAnsi"/>
              </w:rPr>
              <w:t>facilitators</w:t>
            </w:r>
            <w:r w:rsidRPr="004F7019">
              <w:rPr>
                <w:rFonts w:asciiTheme="minorHAnsi" w:hAnsiTheme="minorHAnsi" w:cstheme="minorHAnsi"/>
              </w:rPr>
              <w:t xml:space="preserve"> </w:t>
            </w:r>
          </w:p>
        </w:tc>
        <w:tc>
          <w:tcPr>
            <w:tcW w:w="1170" w:type="dxa"/>
            <w:tcBorders>
              <w:top w:val="nil"/>
              <w:left w:val="nil"/>
              <w:bottom w:val="single" w:sz="4" w:space="0" w:color="auto"/>
              <w:right w:val="nil"/>
            </w:tcBorders>
            <w:vAlign w:val="center"/>
          </w:tcPr>
          <w:p w:rsidR="00B3330B" w:rsidRPr="004F7019" w14:paraId="633D8BAC" w14:textId="59630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15</w:t>
            </w:r>
          </w:p>
        </w:tc>
        <w:tc>
          <w:tcPr>
            <w:tcW w:w="1530" w:type="dxa"/>
            <w:tcBorders>
              <w:top w:val="nil"/>
              <w:left w:val="nil"/>
              <w:bottom w:val="single" w:sz="4" w:space="0" w:color="auto"/>
              <w:right w:val="nil"/>
            </w:tcBorders>
            <w:vAlign w:val="center"/>
          </w:tcPr>
          <w:p w:rsidR="00B3330B" w:rsidRPr="004F7019" w14:paraId="4B243CB2" w14:textId="712F57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1</w:t>
            </w:r>
          </w:p>
        </w:tc>
        <w:tc>
          <w:tcPr>
            <w:tcW w:w="995" w:type="dxa"/>
            <w:tcBorders>
              <w:top w:val="nil"/>
              <w:left w:val="nil"/>
              <w:bottom w:val="single" w:sz="4" w:space="0" w:color="auto"/>
              <w:right w:val="nil"/>
            </w:tcBorders>
            <w:vAlign w:val="center"/>
          </w:tcPr>
          <w:p w:rsidR="00B3330B" w:rsidRPr="004F7019" w14:paraId="48395221" w14:textId="59EA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1</w:t>
            </w:r>
            <w:r w:rsidR="0010377D">
              <w:rPr>
                <w:rFonts w:asciiTheme="minorHAnsi" w:hAnsiTheme="minorHAnsi" w:cstheme="minorHAnsi"/>
                <w:bCs/>
              </w:rPr>
              <w:t>.25</w:t>
            </w:r>
          </w:p>
        </w:tc>
        <w:tc>
          <w:tcPr>
            <w:tcW w:w="1170" w:type="dxa"/>
            <w:tcBorders>
              <w:top w:val="nil"/>
              <w:left w:val="nil"/>
              <w:bottom w:val="single" w:sz="4" w:space="0" w:color="auto"/>
              <w:right w:val="nil"/>
            </w:tcBorders>
            <w:vAlign w:val="center"/>
          </w:tcPr>
          <w:p w:rsidR="00B3330B" w:rsidRPr="004F7019" w14:paraId="5A10912E" w14:textId="16355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Pr>
                <w:rFonts w:asciiTheme="minorHAnsi" w:hAnsiTheme="minorHAnsi" w:cstheme="minorHAnsi"/>
                <w:bCs/>
              </w:rPr>
              <w:t>18.75</w:t>
            </w:r>
          </w:p>
        </w:tc>
        <w:tc>
          <w:tcPr>
            <w:tcW w:w="990" w:type="dxa"/>
            <w:tcBorders>
              <w:top w:val="nil"/>
              <w:left w:val="nil"/>
              <w:bottom w:val="single" w:sz="4" w:space="0" w:color="auto"/>
              <w:right w:val="nil"/>
            </w:tcBorders>
            <w:vAlign w:val="center"/>
          </w:tcPr>
          <w:p w:rsidR="00B3330B" w:rsidRPr="004F7019" w14:paraId="489E7FB5" w14:textId="1859E6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$24.</w:t>
            </w:r>
            <w:r w:rsidR="00E776BD">
              <w:rPr>
                <w:rFonts w:asciiTheme="minorHAnsi" w:hAnsiTheme="minorHAnsi" w:cstheme="minorHAnsi"/>
                <w:bCs/>
              </w:rPr>
              <w:t>82</w:t>
            </w:r>
            <w:r>
              <w:rPr>
                <w:rStyle w:val="FootnoteReference"/>
                <w:rFonts w:asciiTheme="minorHAnsi" w:hAnsiTheme="minorHAnsi" w:cstheme="minorHAnsi"/>
                <w:bCs/>
              </w:rPr>
              <w:footnoteReference w:id="9"/>
            </w:r>
          </w:p>
        </w:tc>
        <w:tc>
          <w:tcPr>
            <w:tcW w:w="1165" w:type="dxa"/>
            <w:tcBorders>
              <w:top w:val="nil"/>
              <w:left w:val="nil"/>
              <w:bottom w:val="single" w:sz="4" w:space="0" w:color="auto"/>
              <w:right w:val="nil"/>
            </w:tcBorders>
            <w:vAlign w:val="center"/>
          </w:tcPr>
          <w:p w:rsidR="00B3330B" w:rsidRPr="004F7019" w14:paraId="03960F1C" w14:textId="68A24B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w:t>
            </w:r>
            <w:r w:rsidR="0043387E">
              <w:rPr>
                <w:rFonts w:asciiTheme="minorHAnsi" w:hAnsiTheme="minorHAnsi" w:cstheme="minorHAnsi"/>
                <w:bCs/>
              </w:rPr>
              <w:t>465.38</w:t>
            </w:r>
          </w:p>
        </w:tc>
      </w:tr>
      <w:tr w14:paraId="5D60C552" w14:textId="77777777" w:rsidTr="003D2C17">
        <w:tblPrEx>
          <w:tblW w:w="9540" w:type="dxa"/>
          <w:tblInd w:w="-5" w:type="dxa"/>
          <w:tblLayout w:type="fixed"/>
          <w:tblLook w:val="01E0"/>
        </w:tblPrEx>
        <w:tc>
          <w:tcPr>
            <w:tcW w:w="2520" w:type="dxa"/>
            <w:tcBorders>
              <w:top w:val="nil"/>
              <w:left w:val="nil"/>
              <w:bottom w:val="single" w:sz="4" w:space="0" w:color="auto"/>
              <w:right w:val="nil"/>
            </w:tcBorders>
          </w:tcPr>
          <w:p w:rsidR="00B3330B" w:rsidRPr="004F7019" w14:paraId="3DB2C3E6" w14:textId="3B740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rPr>
                <w:rFonts w:asciiTheme="minorHAnsi" w:hAnsiTheme="minorHAnsi" w:cstheme="minorHAnsi"/>
              </w:rPr>
            </w:pPr>
            <w:r w:rsidRPr="004F7019">
              <w:rPr>
                <w:rFonts w:asciiTheme="minorHAnsi" w:hAnsiTheme="minorHAnsi" w:cstheme="minorHAnsi"/>
              </w:rPr>
              <w:t xml:space="preserve">Site visit: Focus groups with community members </w:t>
            </w:r>
          </w:p>
        </w:tc>
        <w:tc>
          <w:tcPr>
            <w:tcW w:w="1170" w:type="dxa"/>
            <w:tcBorders>
              <w:top w:val="nil"/>
              <w:left w:val="nil"/>
              <w:bottom w:val="single" w:sz="4" w:space="0" w:color="auto"/>
              <w:right w:val="nil"/>
            </w:tcBorders>
            <w:vAlign w:val="center"/>
          </w:tcPr>
          <w:p w:rsidR="00B3330B" w:rsidRPr="004F7019" w14:paraId="0E122613" w14:textId="0F873D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30</w:t>
            </w:r>
          </w:p>
        </w:tc>
        <w:tc>
          <w:tcPr>
            <w:tcW w:w="1530" w:type="dxa"/>
            <w:tcBorders>
              <w:top w:val="nil"/>
              <w:left w:val="nil"/>
              <w:bottom w:val="single" w:sz="4" w:space="0" w:color="auto"/>
              <w:right w:val="nil"/>
            </w:tcBorders>
            <w:vAlign w:val="center"/>
          </w:tcPr>
          <w:p w:rsidR="00B3330B" w:rsidRPr="004F7019" w14:paraId="694B605F" w14:textId="7A9FFB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1</w:t>
            </w:r>
          </w:p>
        </w:tc>
        <w:tc>
          <w:tcPr>
            <w:tcW w:w="995" w:type="dxa"/>
            <w:tcBorders>
              <w:top w:val="nil"/>
              <w:left w:val="nil"/>
              <w:bottom w:val="single" w:sz="4" w:space="0" w:color="auto"/>
              <w:right w:val="nil"/>
            </w:tcBorders>
            <w:vAlign w:val="center"/>
          </w:tcPr>
          <w:p w:rsidR="00B3330B" w:rsidRPr="004F7019" w14:paraId="0BBD0291" w14:textId="502C8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1</w:t>
            </w:r>
            <w:r w:rsidR="0010377D">
              <w:rPr>
                <w:rFonts w:asciiTheme="minorHAnsi" w:hAnsiTheme="minorHAnsi" w:cstheme="minorHAnsi"/>
                <w:bCs/>
              </w:rPr>
              <w:t>.25</w:t>
            </w:r>
          </w:p>
        </w:tc>
        <w:tc>
          <w:tcPr>
            <w:tcW w:w="1170" w:type="dxa"/>
            <w:tcBorders>
              <w:top w:val="nil"/>
              <w:left w:val="nil"/>
              <w:bottom w:val="single" w:sz="4" w:space="0" w:color="auto"/>
              <w:right w:val="nil"/>
            </w:tcBorders>
            <w:vAlign w:val="center"/>
          </w:tcPr>
          <w:p w:rsidR="00B3330B" w:rsidRPr="004F7019" w14:paraId="6D183749" w14:textId="353D71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Pr>
                <w:rFonts w:asciiTheme="minorHAnsi" w:hAnsiTheme="minorHAnsi" w:cstheme="minorHAnsi"/>
                <w:bCs/>
              </w:rPr>
              <w:t>37.5</w:t>
            </w:r>
          </w:p>
        </w:tc>
        <w:tc>
          <w:tcPr>
            <w:tcW w:w="990" w:type="dxa"/>
            <w:tcBorders>
              <w:top w:val="nil"/>
              <w:left w:val="nil"/>
              <w:bottom w:val="single" w:sz="4" w:space="0" w:color="auto"/>
              <w:right w:val="nil"/>
            </w:tcBorders>
            <w:vAlign w:val="center"/>
          </w:tcPr>
          <w:p w:rsidR="00B3330B" w:rsidRPr="004F7019" w14:paraId="550DD7B7" w14:textId="21B55E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$2</w:t>
            </w:r>
            <w:r w:rsidR="00E776BD">
              <w:rPr>
                <w:rFonts w:asciiTheme="minorHAnsi" w:hAnsiTheme="minorHAnsi" w:cstheme="minorHAnsi"/>
                <w:bCs/>
              </w:rPr>
              <w:t>9</w:t>
            </w:r>
            <w:r w:rsidRPr="004F7019">
              <w:rPr>
                <w:rFonts w:asciiTheme="minorHAnsi" w:hAnsiTheme="minorHAnsi" w:cstheme="minorHAnsi"/>
                <w:bCs/>
              </w:rPr>
              <w:t>.7</w:t>
            </w:r>
            <w:r w:rsidR="00E776BD">
              <w:rPr>
                <w:rFonts w:asciiTheme="minorHAnsi" w:hAnsiTheme="minorHAnsi" w:cstheme="minorHAnsi"/>
                <w:bCs/>
              </w:rPr>
              <w:t>6</w:t>
            </w:r>
            <w:r>
              <w:rPr>
                <w:rStyle w:val="FootnoteReference"/>
                <w:rFonts w:asciiTheme="minorHAnsi" w:hAnsiTheme="minorHAnsi" w:cstheme="minorHAnsi"/>
                <w:bCs/>
              </w:rPr>
              <w:footnoteReference w:id="10"/>
            </w:r>
          </w:p>
        </w:tc>
        <w:tc>
          <w:tcPr>
            <w:tcW w:w="1165" w:type="dxa"/>
            <w:tcBorders>
              <w:top w:val="nil"/>
              <w:left w:val="nil"/>
              <w:bottom w:val="single" w:sz="4" w:space="0" w:color="auto"/>
              <w:right w:val="nil"/>
            </w:tcBorders>
            <w:vAlign w:val="center"/>
          </w:tcPr>
          <w:p w:rsidR="00B3330B" w:rsidRPr="004F7019" w14:paraId="0F196C6A" w14:textId="7E872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w:t>
            </w:r>
            <w:r w:rsidR="0043387E">
              <w:rPr>
                <w:rFonts w:asciiTheme="minorHAnsi" w:hAnsiTheme="minorHAnsi" w:cstheme="minorHAnsi"/>
                <w:bCs/>
              </w:rPr>
              <w:t>1,116.00</w:t>
            </w:r>
          </w:p>
        </w:tc>
      </w:tr>
      <w:tr w14:paraId="73D7C53B" w14:textId="77777777" w:rsidTr="003D2C17">
        <w:tblPrEx>
          <w:tblW w:w="9540" w:type="dxa"/>
          <w:tblInd w:w="-5" w:type="dxa"/>
          <w:tblLayout w:type="fixed"/>
          <w:tblLook w:val="01E0"/>
        </w:tblPrEx>
        <w:tc>
          <w:tcPr>
            <w:tcW w:w="2520" w:type="dxa"/>
            <w:tcBorders>
              <w:top w:val="nil"/>
              <w:left w:val="nil"/>
              <w:bottom w:val="single" w:sz="4" w:space="0" w:color="auto"/>
              <w:right w:val="nil"/>
            </w:tcBorders>
          </w:tcPr>
          <w:p w:rsidR="00B3330B" w:rsidRPr="004F7019" w14:paraId="4688D3C1" w14:textId="6234C3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rPr>
                <w:rFonts w:asciiTheme="minorHAnsi" w:hAnsiTheme="minorHAnsi" w:cstheme="minorHAnsi"/>
              </w:rPr>
            </w:pPr>
            <w:r w:rsidRPr="004F7019">
              <w:rPr>
                <w:rFonts w:asciiTheme="minorHAnsi" w:hAnsiTheme="minorHAnsi" w:cstheme="minorHAnsi"/>
              </w:rPr>
              <w:t xml:space="preserve">Site visit: </w:t>
            </w:r>
            <w:r w:rsidRPr="004F7019" w:rsidR="00DE774A">
              <w:rPr>
                <w:rFonts w:asciiTheme="minorHAnsi" w:hAnsiTheme="minorHAnsi" w:cstheme="minorHAnsi"/>
              </w:rPr>
              <w:t>Focus</w:t>
            </w:r>
            <w:r w:rsidRPr="004F7019">
              <w:rPr>
                <w:rFonts w:asciiTheme="minorHAnsi" w:hAnsiTheme="minorHAnsi" w:cstheme="minorHAnsi"/>
              </w:rPr>
              <w:t xml:space="preserve"> groups</w:t>
            </w:r>
            <w:r w:rsidRPr="004F7019" w:rsidR="00DE774A">
              <w:rPr>
                <w:rFonts w:asciiTheme="minorHAnsi" w:hAnsiTheme="minorHAnsi" w:cstheme="minorHAnsi"/>
              </w:rPr>
              <w:t xml:space="preserve"> with youth</w:t>
            </w:r>
            <w:r w:rsidRPr="004F7019" w:rsidR="004F7019">
              <w:rPr>
                <w:rFonts w:asciiTheme="minorHAnsi" w:hAnsiTheme="minorHAnsi" w:cstheme="minorHAnsi"/>
              </w:rPr>
              <w:t xml:space="preserve"> </w:t>
            </w:r>
            <w:r w:rsidR="008E6771">
              <w:rPr>
                <w:rFonts w:asciiTheme="minorHAnsi" w:hAnsiTheme="minorHAnsi" w:cstheme="minorHAnsi"/>
              </w:rPr>
              <w:t>participants</w:t>
            </w:r>
            <w:r w:rsidRPr="004F7019" w:rsidR="004F7019">
              <w:rPr>
                <w:rFonts w:asciiTheme="minorHAnsi" w:hAnsiTheme="minorHAnsi" w:cstheme="minorHAnsi"/>
              </w:rPr>
              <w:t xml:space="preserve"> </w:t>
            </w:r>
            <w:r w:rsidR="00AE1FEC">
              <w:rPr>
                <w:rFonts w:asciiTheme="minorHAnsi" w:hAnsiTheme="minorHAnsi" w:cstheme="minorHAnsi"/>
              </w:rPr>
              <w:t xml:space="preserve">in </w:t>
            </w:r>
            <w:r w:rsidRPr="004F7019" w:rsidR="004F7019">
              <w:rPr>
                <w:rFonts w:asciiTheme="minorHAnsi" w:hAnsiTheme="minorHAnsi" w:cstheme="minorHAnsi"/>
              </w:rPr>
              <w:t>PREP programming</w:t>
            </w:r>
          </w:p>
        </w:tc>
        <w:tc>
          <w:tcPr>
            <w:tcW w:w="1170" w:type="dxa"/>
            <w:tcBorders>
              <w:top w:val="nil"/>
              <w:left w:val="nil"/>
              <w:bottom w:val="single" w:sz="4" w:space="0" w:color="auto"/>
              <w:right w:val="nil"/>
            </w:tcBorders>
            <w:vAlign w:val="center"/>
          </w:tcPr>
          <w:p w:rsidR="00B3330B" w:rsidRPr="004F7019" w14:paraId="0A30714D" w14:textId="07E7E8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30</w:t>
            </w:r>
          </w:p>
        </w:tc>
        <w:tc>
          <w:tcPr>
            <w:tcW w:w="1530" w:type="dxa"/>
            <w:tcBorders>
              <w:top w:val="nil"/>
              <w:left w:val="nil"/>
              <w:bottom w:val="single" w:sz="4" w:space="0" w:color="auto"/>
              <w:right w:val="nil"/>
            </w:tcBorders>
            <w:vAlign w:val="center"/>
          </w:tcPr>
          <w:p w:rsidR="00B3330B" w:rsidRPr="004F7019" w14:paraId="7F7756CF" w14:textId="2EB505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1</w:t>
            </w:r>
          </w:p>
        </w:tc>
        <w:tc>
          <w:tcPr>
            <w:tcW w:w="995" w:type="dxa"/>
            <w:tcBorders>
              <w:top w:val="nil"/>
              <w:left w:val="nil"/>
              <w:bottom w:val="single" w:sz="4" w:space="0" w:color="auto"/>
              <w:right w:val="nil"/>
            </w:tcBorders>
            <w:vAlign w:val="center"/>
          </w:tcPr>
          <w:p w:rsidR="00B3330B" w:rsidRPr="004F7019" w14:paraId="204A3A1D" w14:textId="2B996F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1</w:t>
            </w:r>
            <w:r w:rsidR="0010377D">
              <w:rPr>
                <w:rFonts w:asciiTheme="minorHAnsi" w:hAnsiTheme="minorHAnsi" w:cstheme="minorHAnsi"/>
                <w:bCs/>
              </w:rPr>
              <w:t>.25</w:t>
            </w:r>
          </w:p>
        </w:tc>
        <w:tc>
          <w:tcPr>
            <w:tcW w:w="1170" w:type="dxa"/>
            <w:tcBorders>
              <w:top w:val="nil"/>
              <w:left w:val="nil"/>
              <w:bottom w:val="single" w:sz="4" w:space="0" w:color="auto"/>
              <w:right w:val="nil"/>
            </w:tcBorders>
            <w:vAlign w:val="center"/>
          </w:tcPr>
          <w:p w:rsidR="00B3330B" w:rsidRPr="004F7019" w14:paraId="5AA42833" w14:textId="219A2E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Pr>
                <w:rFonts w:asciiTheme="minorHAnsi" w:hAnsiTheme="minorHAnsi" w:cstheme="minorHAnsi"/>
                <w:bCs/>
              </w:rPr>
              <w:t>37.5</w:t>
            </w:r>
          </w:p>
        </w:tc>
        <w:tc>
          <w:tcPr>
            <w:tcW w:w="990" w:type="dxa"/>
            <w:tcBorders>
              <w:top w:val="nil"/>
              <w:left w:val="nil"/>
              <w:bottom w:val="single" w:sz="4" w:space="0" w:color="auto"/>
              <w:right w:val="nil"/>
            </w:tcBorders>
            <w:vAlign w:val="center"/>
          </w:tcPr>
          <w:p w:rsidR="00B3330B" w:rsidRPr="004F7019" w14:paraId="66A7192C" w14:textId="7DEBB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$7.25</w:t>
            </w:r>
            <w:r>
              <w:rPr>
                <w:rStyle w:val="FootnoteReference"/>
                <w:rFonts w:asciiTheme="minorHAnsi" w:hAnsiTheme="minorHAnsi" w:cstheme="minorHAnsi"/>
                <w:bCs/>
              </w:rPr>
              <w:footnoteReference w:id="11"/>
            </w:r>
          </w:p>
        </w:tc>
        <w:tc>
          <w:tcPr>
            <w:tcW w:w="1165" w:type="dxa"/>
            <w:tcBorders>
              <w:top w:val="nil"/>
              <w:left w:val="nil"/>
              <w:bottom w:val="single" w:sz="4" w:space="0" w:color="auto"/>
              <w:right w:val="nil"/>
            </w:tcBorders>
            <w:vAlign w:val="center"/>
          </w:tcPr>
          <w:p w:rsidR="00B3330B" w:rsidRPr="004F7019" w14:paraId="337D955C" w14:textId="32E466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Cs/>
              </w:rPr>
            </w:pPr>
            <w:r w:rsidRPr="004F7019">
              <w:rPr>
                <w:rFonts w:asciiTheme="minorHAnsi" w:hAnsiTheme="minorHAnsi" w:cstheme="minorHAnsi"/>
                <w:bCs/>
              </w:rPr>
              <w:t>$2</w:t>
            </w:r>
            <w:r w:rsidR="0043387E">
              <w:rPr>
                <w:rFonts w:asciiTheme="minorHAnsi" w:hAnsiTheme="minorHAnsi" w:cstheme="minorHAnsi"/>
                <w:bCs/>
              </w:rPr>
              <w:t>71.88</w:t>
            </w:r>
          </w:p>
        </w:tc>
      </w:tr>
      <w:tr w14:paraId="50013BB5" w14:textId="77777777" w:rsidTr="003D2C17">
        <w:tblPrEx>
          <w:tblW w:w="9540" w:type="dxa"/>
          <w:tblInd w:w="-5" w:type="dxa"/>
          <w:tblLayout w:type="fixed"/>
          <w:tblLook w:val="01E0"/>
        </w:tblPrEx>
        <w:tc>
          <w:tcPr>
            <w:tcW w:w="6215" w:type="dxa"/>
            <w:gridSpan w:val="4"/>
            <w:tcBorders>
              <w:top w:val="single" w:sz="4" w:space="0" w:color="auto"/>
              <w:left w:val="nil"/>
              <w:bottom w:val="single" w:sz="4" w:space="0" w:color="auto"/>
              <w:right w:val="nil"/>
            </w:tcBorders>
            <w:vAlign w:val="center"/>
          </w:tcPr>
          <w:p w:rsidR="009D2672" w:rsidRPr="004F7019" w14:paraId="5A67F4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rPr>
                <w:rFonts w:asciiTheme="minorHAnsi" w:hAnsiTheme="minorHAnsi" w:cstheme="minorHAnsi"/>
                <w:b/>
              </w:rPr>
            </w:pPr>
            <w:r w:rsidRPr="004F7019">
              <w:rPr>
                <w:rFonts w:asciiTheme="minorHAnsi" w:hAnsiTheme="minorHAnsi" w:cstheme="minorHAnsi"/>
                <w:b/>
              </w:rPr>
              <w:t>Estimated total annual burden</w:t>
            </w:r>
          </w:p>
        </w:tc>
        <w:tc>
          <w:tcPr>
            <w:tcW w:w="1170" w:type="dxa"/>
            <w:tcBorders>
              <w:top w:val="single" w:sz="4" w:space="0" w:color="auto"/>
              <w:left w:val="nil"/>
              <w:bottom w:val="single" w:sz="4" w:space="0" w:color="auto"/>
              <w:right w:val="nil"/>
            </w:tcBorders>
            <w:vAlign w:val="center"/>
          </w:tcPr>
          <w:p w:rsidR="009D2672" w:rsidRPr="004F7019" w14:paraId="61292729" w14:textId="1E5CA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
              </w:rPr>
            </w:pPr>
            <w:r>
              <w:rPr>
                <w:rFonts w:asciiTheme="minorHAnsi" w:hAnsiTheme="minorHAnsi" w:cstheme="minorHAnsi"/>
                <w:b/>
              </w:rPr>
              <w:t>134.5</w:t>
            </w:r>
          </w:p>
        </w:tc>
        <w:tc>
          <w:tcPr>
            <w:tcW w:w="990" w:type="dxa"/>
            <w:tcBorders>
              <w:top w:val="single" w:sz="4" w:space="0" w:color="auto"/>
              <w:left w:val="nil"/>
              <w:bottom w:val="single" w:sz="4" w:space="0" w:color="auto"/>
              <w:right w:val="nil"/>
            </w:tcBorders>
            <w:vAlign w:val="center"/>
          </w:tcPr>
          <w:p w:rsidR="009D2672" w:rsidRPr="004F7019" w14:paraId="02D033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
              </w:rPr>
            </w:pPr>
          </w:p>
        </w:tc>
        <w:tc>
          <w:tcPr>
            <w:tcW w:w="1165" w:type="dxa"/>
            <w:tcBorders>
              <w:top w:val="single" w:sz="4" w:space="0" w:color="auto"/>
              <w:left w:val="nil"/>
              <w:bottom w:val="single" w:sz="4" w:space="0" w:color="auto"/>
              <w:right w:val="nil"/>
            </w:tcBorders>
            <w:vAlign w:val="center"/>
          </w:tcPr>
          <w:p w:rsidR="009D2672" w:rsidRPr="004F7019" w14:paraId="084812AD" w14:textId="48526B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inorHAnsi" w:hAnsiTheme="minorHAnsi" w:cstheme="minorHAnsi"/>
                <w:b/>
              </w:rPr>
            </w:pPr>
            <w:r w:rsidRPr="004F7019">
              <w:rPr>
                <w:rFonts w:asciiTheme="minorHAnsi" w:hAnsiTheme="minorHAnsi" w:cstheme="minorHAnsi"/>
                <w:b/>
              </w:rPr>
              <w:t>$</w:t>
            </w:r>
            <w:r w:rsidR="00E776BD">
              <w:rPr>
                <w:rFonts w:asciiTheme="minorHAnsi" w:hAnsiTheme="minorHAnsi" w:cstheme="minorHAnsi"/>
                <w:b/>
              </w:rPr>
              <w:t>3,</w:t>
            </w:r>
            <w:r w:rsidR="0043387E">
              <w:rPr>
                <w:rFonts w:asciiTheme="minorHAnsi" w:hAnsiTheme="minorHAnsi" w:cstheme="minorHAnsi"/>
                <w:b/>
              </w:rPr>
              <w:t>705.</w:t>
            </w:r>
            <w:r w:rsidR="00F51197">
              <w:rPr>
                <w:rFonts w:asciiTheme="minorHAnsi" w:hAnsiTheme="minorHAnsi" w:cstheme="minorHAnsi"/>
                <w:b/>
              </w:rPr>
              <w:t>76</w:t>
            </w:r>
          </w:p>
        </w:tc>
      </w:tr>
    </w:tbl>
    <w:p w:rsidR="00524385" w:rsidRPr="004F7019" w:rsidP="00757263" w14:paraId="66D881C7" w14:textId="77777777">
      <w:pPr>
        <w:spacing w:after="120"/>
        <w:rPr>
          <w:rFonts w:cstheme="minorHAnsi"/>
          <w:b/>
          <w:sz w:val="20"/>
          <w:szCs w:val="20"/>
        </w:rPr>
      </w:pPr>
    </w:p>
    <w:p w:rsidR="009D2672" w:rsidRPr="008813EA" w:rsidP="00757263" w14:paraId="437CB182" w14:textId="4D9A8EAA">
      <w:pPr>
        <w:spacing w:after="120"/>
        <w:rPr>
          <w:rFonts w:cstheme="minorHAnsi"/>
        </w:rPr>
      </w:pPr>
      <w:r w:rsidRPr="008813EA">
        <w:rPr>
          <w:rFonts w:cstheme="minorHAnsi"/>
          <w:b/>
        </w:rPr>
        <w:t>A13</w:t>
      </w:r>
      <w:r w:rsidRPr="008813EA">
        <w:rPr>
          <w:rFonts w:cstheme="minorHAnsi"/>
        </w:rPr>
        <w:t>.</w:t>
      </w:r>
      <w:r w:rsidRPr="008813EA">
        <w:rPr>
          <w:rFonts w:cstheme="minorHAnsi"/>
        </w:rPr>
        <w:tab/>
      </w:r>
      <w:r w:rsidRPr="008813EA">
        <w:rPr>
          <w:rFonts w:cstheme="minorHAnsi"/>
          <w:b/>
        </w:rPr>
        <w:t>Costs</w:t>
      </w:r>
    </w:p>
    <w:p w:rsidR="009D2672" w:rsidRPr="008813EA" w:rsidP="00927779" w14:paraId="21B2AB95" w14:textId="77777777">
      <w:pPr>
        <w:spacing w:after="0"/>
      </w:pPr>
      <w:r w:rsidRPr="008813EA">
        <w:t>There are no additional costs to respondents.</w:t>
      </w:r>
    </w:p>
    <w:p w:rsidR="00DF32E9" w:rsidP="00927779" w14:paraId="3ABEB385" w14:textId="77777777">
      <w:pPr>
        <w:spacing w:after="0"/>
        <w:rPr>
          <w:rFonts w:cstheme="minorHAnsi"/>
          <w:b/>
        </w:rPr>
      </w:pPr>
    </w:p>
    <w:p w:rsidR="009D2672" w:rsidRPr="008813EA" w:rsidP="00757263" w14:paraId="2159E157" w14:textId="21DC77EA">
      <w:pPr>
        <w:spacing w:after="120"/>
        <w:rPr>
          <w:rFonts w:cstheme="minorHAnsi"/>
        </w:rPr>
      </w:pPr>
      <w:r w:rsidRPr="008D49CC">
        <w:rPr>
          <w:rFonts w:cstheme="minorHAnsi"/>
          <w:b/>
        </w:rPr>
        <w:t>A14</w:t>
      </w:r>
      <w:r w:rsidRPr="008D49CC">
        <w:rPr>
          <w:rFonts w:cstheme="minorHAnsi"/>
        </w:rPr>
        <w:t>.</w:t>
      </w:r>
      <w:r w:rsidRPr="008D49CC">
        <w:rPr>
          <w:rFonts w:cstheme="minorHAnsi"/>
        </w:rPr>
        <w:tab/>
      </w:r>
      <w:r w:rsidRPr="008D49CC">
        <w:rPr>
          <w:rFonts w:cstheme="minorHAnsi"/>
          <w:b/>
        </w:rPr>
        <w:t>Estimated Annualized Costs to the Federal Government</w:t>
      </w:r>
      <w:r w:rsidRPr="008813EA">
        <w:rPr>
          <w:rFonts w:cstheme="minorHAnsi"/>
        </w:rPr>
        <w:t xml:space="preserve"> </w:t>
      </w:r>
    </w:p>
    <w:p w:rsidR="009D2672" w:rsidP="00927779" w14:paraId="102677B0" w14:textId="06530ABF">
      <w:pPr>
        <w:tabs>
          <w:tab w:val="left" w:pos="-720"/>
        </w:tabs>
        <w:suppressAutoHyphens/>
        <w:spacing w:after="0"/>
      </w:pPr>
      <w:r w:rsidRPr="008813EA">
        <w:t xml:space="preserve">The estimated total cost to the federal government for </w:t>
      </w:r>
      <w:r w:rsidR="00940819">
        <w:t>the APS Study</w:t>
      </w:r>
      <w:r w:rsidRPr="008813EA">
        <w:t xml:space="preserve"> is $</w:t>
      </w:r>
      <w:r w:rsidR="008D49CC">
        <w:t>155</w:t>
      </w:r>
      <w:r w:rsidR="00465EF7">
        <w:t>,000</w:t>
      </w:r>
      <w:r w:rsidRPr="008813EA">
        <w:t xml:space="preserve"> (Table A.3). This includes the costs for collection and processing the data, conducting analysis, and report</w:t>
      </w:r>
      <w:r w:rsidR="008D49CC">
        <w:t>ing</w:t>
      </w:r>
      <w:r w:rsidRPr="008813EA">
        <w:t>.</w:t>
      </w:r>
    </w:p>
    <w:p w:rsidR="0047497F" w:rsidP="00927779" w14:paraId="4A522B8F" w14:textId="77777777">
      <w:pPr>
        <w:keepNext/>
        <w:keepLines/>
        <w:spacing w:after="0"/>
        <w:rPr>
          <w:rFonts w:cstheme="minorHAnsi"/>
          <w:b/>
          <w:color w:val="000000" w:themeColor="text1"/>
          <w:sz w:val="20"/>
        </w:rPr>
      </w:pPr>
      <w:bookmarkStart w:id="13" w:name="_Toc77949003"/>
    </w:p>
    <w:p w:rsidR="009D2672" w:rsidRPr="003D2C17" w:rsidP="00927779" w14:paraId="2ECA4D71" w14:textId="01A56313">
      <w:pPr>
        <w:keepNext/>
        <w:keepLines/>
        <w:spacing w:after="40"/>
        <w:rPr>
          <w:rFonts w:cstheme="minorHAnsi"/>
          <w:b/>
          <w:color w:val="000000" w:themeColor="text1"/>
          <w:sz w:val="20"/>
        </w:rPr>
      </w:pPr>
      <w:r w:rsidRPr="003D2C17">
        <w:rPr>
          <w:rFonts w:cstheme="minorHAnsi"/>
          <w:b/>
          <w:color w:val="000000" w:themeColor="text1"/>
          <w:sz w:val="20"/>
        </w:rPr>
        <w:t>Table A.3. Estimated total cost by category</w:t>
      </w:r>
      <w:bookmarkEnd w:id="13"/>
    </w:p>
    <w:tbl>
      <w:tblPr>
        <w:tblStyle w:val="MathUBaseTable"/>
        <w:tblW w:w="9350" w:type="dxa"/>
        <w:tblLook w:val="04A0"/>
      </w:tblPr>
      <w:tblGrid>
        <w:gridCol w:w="4878"/>
        <w:gridCol w:w="4472"/>
      </w:tblGrid>
      <w:tr w14:paraId="3BE18109" w14:textId="77777777" w:rsidTr="009D2672">
        <w:tblPrEx>
          <w:tblW w:w="9350" w:type="dxa"/>
          <w:tblLook w:val="04A0"/>
        </w:tblPrEx>
        <w:tc>
          <w:tcPr>
            <w:tcW w:w="4878" w:type="dxa"/>
            <w:tcBorders>
              <w:bottom w:val="nil"/>
            </w:tcBorders>
            <w:hideMark/>
          </w:tcPr>
          <w:p w:rsidR="009D2672" w:rsidRPr="003D2C17" w14:paraId="2209ABDD" w14:textId="77777777">
            <w:pPr>
              <w:pStyle w:val="TableHeaderCenter"/>
              <w:jc w:val="left"/>
              <w:rPr>
                <w:rFonts w:eastAsia="Times New Roman" w:asciiTheme="minorHAnsi" w:hAnsiTheme="minorHAnsi" w:cstheme="minorHAnsi"/>
              </w:rPr>
            </w:pPr>
            <w:r w:rsidRPr="003D2C17">
              <w:rPr>
                <w:rFonts w:eastAsia="Times New Roman" w:asciiTheme="minorHAnsi" w:hAnsiTheme="minorHAnsi" w:cstheme="minorHAnsi"/>
              </w:rPr>
              <w:t>Cost category</w:t>
            </w:r>
          </w:p>
        </w:tc>
        <w:tc>
          <w:tcPr>
            <w:tcW w:w="4472" w:type="dxa"/>
            <w:tcBorders>
              <w:bottom w:val="nil"/>
            </w:tcBorders>
            <w:hideMark/>
          </w:tcPr>
          <w:p w:rsidR="009D2672" w:rsidRPr="003D2C17" w14:paraId="6812FF85" w14:textId="77777777">
            <w:pPr>
              <w:pStyle w:val="TableHeaderCenter"/>
              <w:rPr>
                <w:rFonts w:eastAsia="Times New Roman" w:asciiTheme="minorHAnsi" w:hAnsiTheme="minorHAnsi" w:cstheme="minorHAnsi"/>
              </w:rPr>
            </w:pPr>
            <w:r w:rsidRPr="003D2C17">
              <w:rPr>
                <w:rFonts w:eastAsia="Times New Roman" w:asciiTheme="minorHAnsi" w:hAnsiTheme="minorHAnsi" w:cstheme="minorHAnsi"/>
              </w:rPr>
              <w:t>Estimated costs</w:t>
            </w:r>
          </w:p>
        </w:tc>
      </w:tr>
    </w:tbl>
    <w:tbl>
      <w:tblPr>
        <w:tblW w:w="9355" w:type="dxa"/>
        <w:tblBorders>
          <w:bottom w:val="single" w:sz="4" w:space="0" w:color="auto"/>
          <w:insideH w:val="single" w:sz="4" w:space="0" w:color="auto"/>
          <w:insideV w:val="single" w:sz="4" w:space="0" w:color="auto"/>
        </w:tblBorders>
        <w:tblCellMar>
          <w:left w:w="0" w:type="dxa"/>
          <w:right w:w="0" w:type="dxa"/>
        </w:tblCellMar>
        <w:tblLook w:val="04A0"/>
      </w:tblPr>
      <w:tblGrid>
        <w:gridCol w:w="4878"/>
        <w:gridCol w:w="4477"/>
      </w:tblGrid>
      <w:tr w14:paraId="124F0E98" w14:textId="77777777">
        <w:tblPrEx>
          <w:tblW w:w="9355" w:type="dxa"/>
          <w:tblBorders>
            <w:bottom w:val="single" w:sz="4" w:space="0" w:color="auto"/>
            <w:insideH w:val="single" w:sz="4" w:space="0" w:color="auto"/>
            <w:insideV w:val="single" w:sz="4" w:space="0" w:color="auto"/>
          </w:tblBorders>
          <w:tblCellMar>
            <w:left w:w="0" w:type="dxa"/>
            <w:right w:w="0" w:type="dxa"/>
          </w:tblCellMar>
          <w:tblLook w:val="04A0"/>
        </w:tblPrEx>
        <w:tc>
          <w:tcPr>
            <w:tcW w:w="4878" w:type="dxa"/>
            <w:tcMar>
              <w:top w:w="0" w:type="dxa"/>
              <w:left w:w="108" w:type="dxa"/>
              <w:bottom w:w="0" w:type="dxa"/>
              <w:right w:w="108" w:type="dxa"/>
            </w:tcMar>
            <w:vAlign w:val="center"/>
            <w:hideMark/>
          </w:tcPr>
          <w:p w:rsidR="009D2672" w:rsidRPr="003D2C17" w14:paraId="55200970" w14:textId="3B92D03E">
            <w:pPr>
              <w:spacing w:before="40" w:after="20"/>
              <w:rPr>
                <w:rFonts w:eastAsia="Calibri" w:cstheme="minorHAnsi"/>
                <w:sz w:val="20"/>
              </w:rPr>
            </w:pPr>
            <w:r w:rsidRPr="003D2C17">
              <w:rPr>
                <w:rFonts w:cstheme="minorHAnsi"/>
                <w:sz w:val="20"/>
              </w:rPr>
              <w:t xml:space="preserve">Telephone </w:t>
            </w:r>
            <w:r w:rsidR="003D2C17">
              <w:rPr>
                <w:rFonts w:cstheme="minorHAnsi"/>
                <w:sz w:val="20"/>
              </w:rPr>
              <w:t xml:space="preserve">interview </w:t>
            </w:r>
            <w:r w:rsidRPr="003D2C17">
              <w:rPr>
                <w:rFonts w:cstheme="minorHAnsi"/>
                <w:sz w:val="20"/>
              </w:rPr>
              <w:t>data collection</w:t>
            </w:r>
          </w:p>
        </w:tc>
        <w:tc>
          <w:tcPr>
            <w:tcW w:w="4477" w:type="dxa"/>
            <w:tcMar>
              <w:top w:w="0" w:type="dxa"/>
              <w:left w:w="108" w:type="dxa"/>
              <w:bottom w:w="0" w:type="dxa"/>
              <w:right w:w="108" w:type="dxa"/>
            </w:tcMar>
            <w:vAlign w:val="center"/>
            <w:hideMark/>
          </w:tcPr>
          <w:p w:rsidR="009D2672" w:rsidRPr="003D2C17" w14:paraId="4916FF5A" w14:textId="5122F4D3">
            <w:pPr>
              <w:spacing w:before="40" w:after="20"/>
              <w:jc w:val="center"/>
              <w:rPr>
                <w:rFonts w:cstheme="minorHAnsi"/>
                <w:sz w:val="20"/>
              </w:rPr>
            </w:pPr>
            <w:r w:rsidRPr="003D2C17">
              <w:rPr>
                <w:rFonts w:cstheme="minorHAnsi"/>
                <w:sz w:val="20"/>
              </w:rPr>
              <w:t>$</w:t>
            </w:r>
            <w:r w:rsidRPr="003D2C17" w:rsidR="007A49DD">
              <w:rPr>
                <w:rFonts w:cstheme="minorHAnsi"/>
                <w:sz w:val="20"/>
              </w:rPr>
              <w:t xml:space="preserve"> </w:t>
            </w:r>
            <w:r w:rsidRPr="003D2C17" w:rsidR="008D49CC">
              <w:rPr>
                <w:rFonts w:cstheme="minorHAnsi"/>
                <w:sz w:val="20"/>
              </w:rPr>
              <w:t>3</w:t>
            </w:r>
            <w:r w:rsidRPr="003D2C17" w:rsidR="00465EF7">
              <w:rPr>
                <w:rFonts w:cstheme="minorHAnsi"/>
                <w:sz w:val="20"/>
              </w:rPr>
              <w:t>0,000</w:t>
            </w:r>
          </w:p>
        </w:tc>
      </w:tr>
      <w:tr w14:paraId="3EAD9DC0" w14:textId="77777777">
        <w:tblPrEx>
          <w:tblW w:w="9355" w:type="dxa"/>
          <w:tblCellMar>
            <w:left w:w="0" w:type="dxa"/>
            <w:right w:w="0" w:type="dxa"/>
          </w:tblCellMar>
          <w:tblLook w:val="04A0"/>
        </w:tblPrEx>
        <w:tc>
          <w:tcPr>
            <w:tcW w:w="4878" w:type="dxa"/>
            <w:tcMar>
              <w:top w:w="0" w:type="dxa"/>
              <w:left w:w="108" w:type="dxa"/>
              <w:bottom w:w="0" w:type="dxa"/>
              <w:right w:w="108" w:type="dxa"/>
            </w:tcMar>
            <w:vAlign w:val="center"/>
          </w:tcPr>
          <w:p w:rsidR="008D49CC" w:rsidRPr="003D2C17" w14:paraId="1AF51254" w14:textId="58E41FCC">
            <w:pPr>
              <w:spacing w:before="40" w:after="20"/>
              <w:rPr>
                <w:rFonts w:cstheme="minorHAnsi"/>
                <w:sz w:val="20"/>
              </w:rPr>
            </w:pPr>
            <w:r w:rsidRPr="003D2C17">
              <w:rPr>
                <w:rFonts w:cstheme="minorHAnsi"/>
                <w:sz w:val="20"/>
              </w:rPr>
              <w:t>Site visit data collection</w:t>
            </w:r>
          </w:p>
        </w:tc>
        <w:tc>
          <w:tcPr>
            <w:tcW w:w="4477" w:type="dxa"/>
            <w:tcMar>
              <w:top w:w="0" w:type="dxa"/>
              <w:left w:w="108" w:type="dxa"/>
              <w:bottom w:w="0" w:type="dxa"/>
              <w:right w:w="108" w:type="dxa"/>
            </w:tcMar>
            <w:vAlign w:val="center"/>
          </w:tcPr>
          <w:p w:rsidR="008D49CC" w:rsidRPr="003D2C17" w14:paraId="46CCED04" w14:textId="28A979B4">
            <w:pPr>
              <w:spacing w:before="40" w:after="20"/>
              <w:jc w:val="center"/>
              <w:rPr>
                <w:rFonts w:cstheme="minorHAnsi"/>
                <w:sz w:val="20"/>
              </w:rPr>
            </w:pPr>
            <w:r w:rsidRPr="003D2C17">
              <w:rPr>
                <w:rFonts w:cstheme="minorHAnsi"/>
                <w:sz w:val="20"/>
              </w:rPr>
              <w:t>$ 60,000</w:t>
            </w:r>
          </w:p>
        </w:tc>
      </w:tr>
      <w:tr w14:paraId="1B5A2C68" w14:textId="77777777">
        <w:tblPrEx>
          <w:tblW w:w="9355" w:type="dxa"/>
          <w:tblCellMar>
            <w:left w:w="0" w:type="dxa"/>
            <w:right w:w="0" w:type="dxa"/>
          </w:tblCellMar>
          <w:tblLook w:val="04A0"/>
        </w:tblPrEx>
        <w:trPr>
          <w:trHeight w:val="170"/>
        </w:trPr>
        <w:tc>
          <w:tcPr>
            <w:tcW w:w="4878" w:type="dxa"/>
            <w:tcMar>
              <w:top w:w="0" w:type="dxa"/>
              <w:left w:w="108" w:type="dxa"/>
              <w:bottom w:w="0" w:type="dxa"/>
              <w:right w:w="108" w:type="dxa"/>
            </w:tcMar>
            <w:vAlign w:val="center"/>
            <w:hideMark/>
          </w:tcPr>
          <w:p w:rsidR="009D2672" w:rsidRPr="003D2C17" w14:paraId="7DEF8A19" w14:textId="77777777">
            <w:pPr>
              <w:spacing w:before="40" w:after="20"/>
              <w:rPr>
                <w:rFonts w:eastAsia="Calibri" w:cstheme="minorHAnsi"/>
                <w:sz w:val="20"/>
              </w:rPr>
            </w:pPr>
            <w:r w:rsidRPr="003D2C17">
              <w:rPr>
                <w:rFonts w:cstheme="minorHAnsi"/>
                <w:sz w:val="20"/>
              </w:rPr>
              <w:t>Analysis and reporting</w:t>
            </w:r>
          </w:p>
        </w:tc>
        <w:tc>
          <w:tcPr>
            <w:tcW w:w="4477" w:type="dxa"/>
            <w:tcMar>
              <w:top w:w="0" w:type="dxa"/>
              <w:left w:w="108" w:type="dxa"/>
              <w:bottom w:w="0" w:type="dxa"/>
              <w:right w:w="108" w:type="dxa"/>
            </w:tcMar>
            <w:vAlign w:val="center"/>
            <w:hideMark/>
          </w:tcPr>
          <w:p w:rsidR="009D2672" w:rsidRPr="003D2C17" w14:paraId="6991D9B7" w14:textId="24E8E5B6">
            <w:pPr>
              <w:spacing w:before="40" w:after="20"/>
              <w:jc w:val="center"/>
              <w:rPr>
                <w:rFonts w:cstheme="minorHAnsi"/>
                <w:sz w:val="20"/>
              </w:rPr>
            </w:pPr>
            <w:r w:rsidRPr="003D2C17">
              <w:rPr>
                <w:rFonts w:cstheme="minorHAnsi"/>
                <w:sz w:val="20"/>
              </w:rPr>
              <w:t>$</w:t>
            </w:r>
            <w:r w:rsidRPr="003D2C17" w:rsidR="007A49DD">
              <w:rPr>
                <w:rFonts w:cstheme="minorHAnsi"/>
                <w:sz w:val="20"/>
              </w:rPr>
              <w:t xml:space="preserve"> </w:t>
            </w:r>
            <w:r w:rsidRPr="003D2C17" w:rsidR="008D49CC">
              <w:rPr>
                <w:rFonts w:cstheme="minorHAnsi"/>
                <w:sz w:val="20"/>
              </w:rPr>
              <w:t>65</w:t>
            </w:r>
            <w:r w:rsidRPr="003D2C17" w:rsidR="00465EF7">
              <w:rPr>
                <w:rFonts w:cstheme="minorHAnsi"/>
                <w:sz w:val="20"/>
              </w:rPr>
              <w:t>,000</w:t>
            </w:r>
          </w:p>
        </w:tc>
      </w:tr>
      <w:tr w14:paraId="10D54283" w14:textId="77777777">
        <w:tblPrEx>
          <w:tblW w:w="9355" w:type="dxa"/>
          <w:tblCellMar>
            <w:left w:w="0" w:type="dxa"/>
            <w:right w:w="0" w:type="dxa"/>
          </w:tblCellMar>
          <w:tblLook w:val="04A0"/>
        </w:tblPrEx>
        <w:tc>
          <w:tcPr>
            <w:tcW w:w="4878" w:type="dxa"/>
            <w:tcMar>
              <w:top w:w="0" w:type="dxa"/>
              <w:left w:w="108" w:type="dxa"/>
              <w:bottom w:w="0" w:type="dxa"/>
              <w:right w:w="108" w:type="dxa"/>
            </w:tcMar>
            <w:vAlign w:val="center"/>
            <w:hideMark/>
          </w:tcPr>
          <w:p w:rsidR="009D2672" w:rsidRPr="003D2C17" w14:paraId="6D664CF9" w14:textId="77777777">
            <w:pPr>
              <w:spacing w:before="40" w:after="20"/>
              <w:rPr>
                <w:rFonts w:eastAsia="Calibri" w:cstheme="minorHAnsi"/>
                <w:b/>
                <w:sz w:val="20"/>
              </w:rPr>
            </w:pPr>
            <w:r w:rsidRPr="003D2C17">
              <w:rPr>
                <w:rFonts w:cstheme="minorHAnsi"/>
                <w:b/>
                <w:color w:val="000000"/>
                <w:sz w:val="20"/>
              </w:rPr>
              <w:t>Total/annual costs over the request period</w:t>
            </w:r>
          </w:p>
        </w:tc>
        <w:tc>
          <w:tcPr>
            <w:tcW w:w="4477" w:type="dxa"/>
            <w:tcMar>
              <w:top w:w="0" w:type="dxa"/>
              <w:left w:w="108" w:type="dxa"/>
              <w:bottom w:w="0" w:type="dxa"/>
              <w:right w:w="108" w:type="dxa"/>
            </w:tcMar>
            <w:vAlign w:val="center"/>
            <w:hideMark/>
          </w:tcPr>
          <w:p w:rsidR="009D2672" w:rsidRPr="003D2C17" w14:paraId="08A3D955" w14:textId="320F926A">
            <w:pPr>
              <w:spacing w:before="40" w:after="20"/>
              <w:jc w:val="center"/>
              <w:rPr>
                <w:rFonts w:cstheme="minorHAnsi"/>
                <w:b/>
                <w:sz w:val="20"/>
              </w:rPr>
            </w:pPr>
            <w:r w:rsidRPr="003D2C17">
              <w:rPr>
                <w:rFonts w:cstheme="minorHAnsi"/>
                <w:b/>
                <w:sz w:val="20"/>
              </w:rPr>
              <w:t>$</w:t>
            </w:r>
            <w:r w:rsidRPr="003D2C17" w:rsidR="007A49DD">
              <w:rPr>
                <w:rFonts w:cstheme="minorHAnsi"/>
                <w:b/>
                <w:sz w:val="20"/>
              </w:rPr>
              <w:t xml:space="preserve"> </w:t>
            </w:r>
            <w:r w:rsidRPr="003D2C17" w:rsidR="008D49CC">
              <w:rPr>
                <w:rFonts w:cstheme="minorHAnsi"/>
                <w:b/>
                <w:sz w:val="20"/>
              </w:rPr>
              <w:t>155</w:t>
            </w:r>
            <w:r w:rsidRPr="003D2C17" w:rsidR="00465EF7">
              <w:rPr>
                <w:rFonts w:cstheme="minorHAnsi"/>
                <w:b/>
                <w:sz w:val="20"/>
              </w:rPr>
              <w:t>,000</w:t>
            </w:r>
          </w:p>
        </w:tc>
      </w:tr>
    </w:tbl>
    <w:p w:rsidR="009D2672" w:rsidRPr="008813EA" w:rsidP="00757263" w14:paraId="60654AA5" w14:textId="77777777">
      <w:pPr>
        <w:spacing w:after="120"/>
      </w:pPr>
    </w:p>
    <w:p w:rsidR="009D2672" w:rsidRPr="008813EA" w:rsidP="00757263" w14:paraId="28ED787B" w14:textId="77777777">
      <w:pPr>
        <w:spacing w:after="120"/>
        <w:rPr>
          <w:rFonts w:cstheme="minorHAnsi"/>
        </w:rPr>
      </w:pPr>
      <w:r w:rsidRPr="008813EA">
        <w:rPr>
          <w:rFonts w:cstheme="minorHAnsi"/>
          <w:b/>
        </w:rPr>
        <w:t>A15</w:t>
      </w:r>
      <w:r w:rsidRPr="008813EA">
        <w:rPr>
          <w:rFonts w:cstheme="minorHAnsi"/>
        </w:rPr>
        <w:t>.</w:t>
      </w:r>
      <w:r w:rsidRPr="008813EA">
        <w:rPr>
          <w:rFonts w:cstheme="minorHAnsi"/>
        </w:rPr>
        <w:tab/>
      </w:r>
      <w:r w:rsidRPr="008813EA">
        <w:rPr>
          <w:rFonts w:cstheme="minorHAnsi"/>
          <w:b/>
        </w:rPr>
        <w:t>Reasons for changes in burden</w:t>
      </w:r>
      <w:r w:rsidRPr="008813EA">
        <w:rPr>
          <w:rFonts w:cstheme="minorHAnsi"/>
        </w:rPr>
        <w:t xml:space="preserve"> </w:t>
      </w:r>
    </w:p>
    <w:p w:rsidR="009D2672" w:rsidP="00F51ED0" w14:paraId="3933C6AC" w14:textId="098BCC71">
      <w:pPr>
        <w:spacing w:after="0"/>
      </w:pPr>
      <w:r w:rsidRPr="008813EA">
        <w:t xml:space="preserve">This is for an individual information collection under the umbrella formative generic clearance for ACF </w:t>
      </w:r>
      <w:r w:rsidR="009B6C15">
        <w:t>program support</w:t>
      </w:r>
      <w:r w:rsidRPr="008813EA">
        <w:t xml:space="preserve"> (</w:t>
      </w:r>
      <w:r w:rsidR="009B6C15">
        <w:t>#</w:t>
      </w:r>
      <w:r w:rsidRPr="008813EA">
        <w:t>0970-0</w:t>
      </w:r>
      <w:r w:rsidR="009B6C15">
        <w:t>531</w:t>
      </w:r>
      <w:r w:rsidRPr="008813EA">
        <w:t>).</w:t>
      </w:r>
    </w:p>
    <w:p w:rsidR="00F51ED0" w:rsidRPr="008813EA" w:rsidP="00927779" w14:paraId="0F4F769F" w14:textId="77777777">
      <w:pPr>
        <w:spacing w:after="0"/>
      </w:pPr>
    </w:p>
    <w:p w:rsidR="009D2672" w:rsidRPr="008813EA" w:rsidP="00757263" w14:paraId="11680FCF" w14:textId="77777777">
      <w:pPr>
        <w:spacing w:after="120"/>
        <w:rPr>
          <w:rFonts w:cstheme="minorHAnsi"/>
        </w:rPr>
      </w:pPr>
      <w:r w:rsidRPr="008813EA">
        <w:rPr>
          <w:rFonts w:cstheme="minorHAnsi"/>
          <w:b/>
        </w:rPr>
        <w:t>A16</w:t>
      </w:r>
      <w:r w:rsidRPr="008813EA">
        <w:rPr>
          <w:rFonts w:cstheme="minorHAnsi"/>
        </w:rPr>
        <w:t>.</w:t>
      </w:r>
      <w:r w:rsidRPr="008813EA">
        <w:rPr>
          <w:rFonts w:cstheme="minorHAnsi"/>
        </w:rPr>
        <w:tab/>
      </w:r>
      <w:r w:rsidRPr="008813EA">
        <w:rPr>
          <w:rFonts w:cstheme="minorHAnsi"/>
          <w:b/>
        </w:rPr>
        <w:t>Timeline</w:t>
      </w:r>
    </w:p>
    <w:p w:rsidR="009D2672" w:rsidP="00757263" w14:paraId="60333843" w14:textId="40F9D9DF">
      <w:pPr>
        <w:tabs>
          <w:tab w:val="left" w:pos="-720"/>
        </w:tabs>
        <w:suppressAutoHyphens/>
        <w:spacing w:after="120"/>
      </w:pPr>
      <w:r w:rsidRPr="008813EA">
        <w:t>Table A.4 contains the timeline for data collection, analysis, and reporting activities for the</w:t>
      </w:r>
      <w:r w:rsidR="007D6255">
        <w:t xml:space="preserve"> APS</w:t>
      </w:r>
      <w:r w:rsidR="006B3F76">
        <w:t xml:space="preserve"> Study</w:t>
      </w:r>
      <w:r w:rsidRPr="008813EA">
        <w:t xml:space="preserve">. The study team </w:t>
      </w:r>
      <w:r w:rsidR="007D6255">
        <w:t>aims</w:t>
      </w:r>
      <w:r w:rsidRPr="008813EA">
        <w:t xml:space="preserve"> to </w:t>
      </w:r>
      <w:r w:rsidRPr="008813EA">
        <w:rPr>
          <w:iCs/>
        </w:rPr>
        <w:t>collect</w:t>
      </w:r>
      <w:r w:rsidRPr="008813EA">
        <w:t xml:space="preserve"> data </w:t>
      </w:r>
      <w:r w:rsidR="00AC19E5">
        <w:t>in</w:t>
      </w:r>
      <w:r w:rsidRPr="008813EA">
        <w:t xml:space="preserve"> </w:t>
      </w:r>
      <w:r w:rsidR="00D65D3D">
        <w:t xml:space="preserve">late </w:t>
      </w:r>
      <w:r w:rsidRPr="008813EA">
        <w:t>spring 2023</w:t>
      </w:r>
      <w:r w:rsidR="00D65D3D">
        <w:t xml:space="preserve"> through fall 2023</w:t>
      </w:r>
      <w:r w:rsidRPr="008813EA">
        <w:t xml:space="preserve">, followed by analysis </w:t>
      </w:r>
      <w:r w:rsidR="00D65D3D">
        <w:t xml:space="preserve">in </w:t>
      </w:r>
      <w:r w:rsidR="00CE26AE">
        <w:t xml:space="preserve">fall </w:t>
      </w:r>
      <w:r w:rsidR="00D65D3D">
        <w:t xml:space="preserve">2023 </w:t>
      </w:r>
      <w:r w:rsidR="00AC19E5">
        <w:t>and</w:t>
      </w:r>
      <w:r w:rsidRPr="008813EA">
        <w:t xml:space="preserve"> reporting in </w:t>
      </w:r>
      <w:r w:rsidR="00D65D3D">
        <w:t>late fall and winter</w:t>
      </w:r>
      <w:r w:rsidRPr="008813EA" w:rsidR="00D65D3D">
        <w:t xml:space="preserve"> </w:t>
      </w:r>
      <w:r w:rsidRPr="008813EA">
        <w:t>2023.</w:t>
      </w:r>
    </w:p>
    <w:p w:rsidR="00DF32E9" w14:paraId="5F117CA8" w14:textId="77777777">
      <w:pPr>
        <w:pStyle w:val="TableTitle"/>
        <w:rPr>
          <w:rFonts w:asciiTheme="minorHAnsi" w:hAnsiTheme="minorHAnsi" w:cstheme="minorHAnsi"/>
        </w:rPr>
      </w:pPr>
    </w:p>
    <w:p w:rsidR="009D2672" w:rsidRPr="005D0A01" w14:paraId="280247CB" w14:textId="1B77D41F">
      <w:pPr>
        <w:pStyle w:val="TableTitle"/>
        <w:rPr>
          <w:rFonts w:asciiTheme="minorHAnsi" w:hAnsiTheme="minorHAnsi" w:cstheme="minorHAnsi"/>
        </w:rPr>
      </w:pPr>
      <w:r w:rsidRPr="005D0A01">
        <w:rPr>
          <w:rFonts w:asciiTheme="minorHAnsi" w:hAnsiTheme="minorHAnsi" w:cstheme="minorHAnsi"/>
        </w:rPr>
        <w:t>Table A.4. Schedule for data collection and reporting</w:t>
      </w:r>
    </w:p>
    <w:tbl>
      <w:tblPr>
        <w:tblStyle w:val="MathUBaseTable"/>
        <w:tblW w:w="5000" w:type="pct"/>
        <w:tblLook w:val="04A0"/>
      </w:tblPr>
      <w:tblGrid>
        <w:gridCol w:w="6299"/>
        <w:gridCol w:w="3061"/>
      </w:tblGrid>
      <w:tr w14:paraId="1E5AE7EE" w14:textId="77777777" w:rsidTr="009D2672">
        <w:tblPrEx>
          <w:tblW w:w="5000" w:type="pct"/>
          <w:tblLook w:val="04A0"/>
        </w:tblPrEx>
        <w:trPr>
          <w:trHeight w:val="120"/>
          <w:tblHeader/>
        </w:trPr>
        <w:tc>
          <w:tcPr>
            <w:tcW w:w="3365" w:type="pct"/>
          </w:tcPr>
          <w:p w:rsidR="009D2672" w:rsidRPr="005D0A01" w14:paraId="7A890E56" w14:textId="77777777">
            <w:pPr>
              <w:pStyle w:val="TableHeaderLeft"/>
              <w:rPr>
                <w:rFonts w:asciiTheme="minorHAnsi" w:hAnsiTheme="minorHAnsi" w:cstheme="minorHAnsi"/>
                <w:b w:val="0"/>
                <w:lang w:bidi="en-US"/>
              </w:rPr>
            </w:pPr>
            <w:r w:rsidRPr="005D0A01">
              <w:rPr>
                <w:rFonts w:asciiTheme="minorHAnsi" w:hAnsiTheme="minorHAnsi" w:cstheme="minorHAnsi"/>
                <w:lang w:bidi="en-US"/>
              </w:rPr>
              <w:t>Activity</w:t>
            </w:r>
          </w:p>
        </w:tc>
        <w:tc>
          <w:tcPr>
            <w:tcW w:w="1635" w:type="pct"/>
          </w:tcPr>
          <w:p w:rsidR="009D2672" w:rsidRPr="005D0A01" w14:paraId="76F7E00A" w14:textId="50A88D60">
            <w:pPr>
              <w:pStyle w:val="TableHeaderCenter"/>
              <w:rPr>
                <w:rFonts w:asciiTheme="minorHAnsi" w:hAnsiTheme="minorHAnsi" w:cstheme="minorHAnsi"/>
                <w:b w:val="0"/>
                <w:vertAlign w:val="superscript"/>
                <w:lang w:bidi="en-US"/>
              </w:rPr>
            </w:pPr>
            <w:r w:rsidRPr="005D0A01">
              <w:rPr>
                <w:rFonts w:asciiTheme="minorHAnsi" w:hAnsiTheme="minorHAnsi" w:cstheme="minorHAnsi"/>
                <w:lang w:bidi="en-US"/>
              </w:rPr>
              <w:t>Timing</w:t>
            </w:r>
            <w:r w:rsidR="004501D7">
              <w:rPr>
                <w:rFonts w:asciiTheme="minorHAnsi" w:hAnsiTheme="minorHAnsi" w:cstheme="minorHAnsi"/>
                <w:lang w:bidi="en-US"/>
              </w:rPr>
              <w:t xml:space="preserve"> </w:t>
            </w:r>
            <w:r w:rsidRPr="005D0A01">
              <w:rPr>
                <w:rFonts w:asciiTheme="minorHAnsi" w:hAnsiTheme="minorHAnsi" w:cstheme="minorHAnsi"/>
                <w:vertAlign w:val="superscript"/>
                <w:lang w:bidi="en-US"/>
              </w:rPr>
              <w:t>a</w:t>
            </w:r>
          </w:p>
        </w:tc>
      </w:tr>
      <w:tr w14:paraId="44AD0A92" w14:textId="77777777" w:rsidTr="009D2672">
        <w:tblPrEx>
          <w:tblW w:w="5000" w:type="pct"/>
          <w:tblLook w:val="04A0"/>
        </w:tblPrEx>
        <w:trPr>
          <w:trHeight w:val="120"/>
        </w:trPr>
        <w:tc>
          <w:tcPr>
            <w:tcW w:w="3365" w:type="pct"/>
          </w:tcPr>
          <w:p w:rsidR="009D2672" w:rsidRPr="005D0A01" w14:paraId="20805886" w14:textId="1F805281">
            <w:pPr>
              <w:pStyle w:val="TableTextLeft"/>
              <w:rPr>
                <w:rFonts w:asciiTheme="minorHAnsi" w:hAnsiTheme="minorHAnsi" w:cstheme="minorHAnsi"/>
                <w:b/>
                <w:bCs/>
                <w:sz w:val="20"/>
                <w:szCs w:val="20"/>
                <w:lang w:bidi="en-US"/>
              </w:rPr>
            </w:pPr>
            <w:r>
              <w:rPr>
                <w:rFonts w:asciiTheme="minorHAnsi" w:hAnsiTheme="minorHAnsi" w:cstheme="minorHAnsi"/>
                <w:sz w:val="20"/>
                <w:szCs w:val="20"/>
                <w:lang w:bidi="en-US"/>
              </w:rPr>
              <w:t>Telep</w:t>
            </w:r>
            <w:r w:rsidRPr="005D0A01" w:rsidR="00AD799B">
              <w:rPr>
                <w:rFonts w:asciiTheme="minorHAnsi" w:hAnsiTheme="minorHAnsi" w:cstheme="minorHAnsi"/>
                <w:sz w:val="20"/>
                <w:szCs w:val="20"/>
                <w:lang w:bidi="en-US"/>
              </w:rPr>
              <w:t>hone</w:t>
            </w:r>
            <w:r w:rsidRPr="005D0A01" w:rsidR="00AC19E5">
              <w:rPr>
                <w:rFonts w:asciiTheme="minorHAnsi" w:hAnsiTheme="minorHAnsi" w:cstheme="minorHAnsi"/>
                <w:sz w:val="20"/>
                <w:szCs w:val="20"/>
                <w:lang w:bidi="en-US"/>
              </w:rPr>
              <w:t xml:space="preserve"> </w:t>
            </w:r>
            <w:r w:rsidR="0060189C">
              <w:rPr>
                <w:rFonts w:asciiTheme="minorHAnsi" w:hAnsiTheme="minorHAnsi" w:cstheme="minorHAnsi"/>
                <w:sz w:val="20"/>
                <w:szCs w:val="20"/>
                <w:lang w:bidi="en-US"/>
              </w:rPr>
              <w:t>i</w:t>
            </w:r>
            <w:r w:rsidRPr="005D0A01" w:rsidR="00AC19E5">
              <w:rPr>
                <w:rFonts w:asciiTheme="minorHAnsi" w:hAnsiTheme="minorHAnsi" w:cstheme="minorHAnsi"/>
                <w:sz w:val="20"/>
                <w:szCs w:val="20"/>
                <w:lang w:bidi="en-US"/>
              </w:rPr>
              <w:t>nterviews</w:t>
            </w:r>
          </w:p>
        </w:tc>
        <w:tc>
          <w:tcPr>
            <w:tcW w:w="1635" w:type="pct"/>
          </w:tcPr>
          <w:p w:rsidR="009D2672" w:rsidRPr="005D0A01" w14:paraId="76D0D5F5" w14:textId="291800F5">
            <w:pPr>
              <w:pStyle w:val="TableTextLeft"/>
              <w:rPr>
                <w:rFonts w:asciiTheme="minorHAnsi" w:hAnsiTheme="minorHAnsi" w:cstheme="minorHAnsi"/>
                <w:b/>
                <w:bCs/>
                <w:sz w:val="20"/>
                <w:szCs w:val="20"/>
                <w:lang w:bidi="en-US"/>
              </w:rPr>
            </w:pPr>
            <w:r w:rsidRPr="005D0A01">
              <w:rPr>
                <w:rFonts w:asciiTheme="minorHAnsi" w:hAnsiTheme="minorHAnsi" w:cstheme="minorHAnsi"/>
                <w:sz w:val="20"/>
                <w:szCs w:val="20"/>
                <w:lang w:bidi="en-US"/>
              </w:rPr>
              <w:t xml:space="preserve">Late </w:t>
            </w:r>
            <w:r w:rsidRPr="005D0A01" w:rsidR="00D65D3D">
              <w:rPr>
                <w:rFonts w:asciiTheme="minorHAnsi" w:hAnsiTheme="minorHAnsi" w:cstheme="minorHAnsi"/>
                <w:sz w:val="20"/>
                <w:szCs w:val="20"/>
                <w:lang w:bidi="en-US"/>
              </w:rPr>
              <w:t>s</w:t>
            </w:r>
            <w:r w:rsidRPr="005D0A01">
              <w:rPr>
                <w:rFonts w:asciiTheme="minorHAnsi" w:hAnsiTheme="minorHAnsi" w:cstheme="minorHAnsi"/>
                <w:sz w:val="20"/>
                <w:szCs w:val="20"/>
                <w:lang w:bidi="en-US"/>
              </w:rPr>
              <w:t xml:space="preserve">pring </w:t>
            </w:r>
            <w:r w:rsidRPr="005D0A01" w:rsidR="00AD799B">
              <w:rPr>
                <w:rFonts w:asciiTheme="minorHAnsi" w:hAnsiTheme="minorHAnsi" w:cstheme="minorHAnsi"/>
                <w:sz w:val="20"/>
                <w:szCs w:val="20"/>
                <w:lang w:bidi="en-US"/>
              </w:rPr>
              <w:t xml:space="preserve">and </w:t>
            </w:r>
            <w:r w:rsidRPr="005D0A01" w:rsidR="00D65D3D">
              <w:rPr>
                <w:rFonts w:asciiTheme="minorHAnsi" w:hAnsiTheme="minorHAnsi" w:cstheme="minorHAnsi"/>
                <w:sz w:val="20"/>
                <w:szCs w:val="20"/>
                <w:lang w:bidi="en-US"/>
              </w:rPr>
              <w:t>s</w:t>
            </w:r>
            <w:r w:rsidRPr="005D0A01" w:rsidR="00AD799B">
              <w:rPr>
                <w:rFonts w:asciiTheme="minorHAnsi" w:hAnsiTheme="minorHAnsi" w:cstheme="minorHAnsi"/>
                <w:sz w:val="20"/>
                <w:szCs w:val="20"/>
                <w:lang w:bidi="en-US"/>
              </w:rPr>
              <w:t xml:space="preserve">ummer </w:t>
            </w:r>
            <w:r w:rsidRPr="005D0A01">
              <w:rPr>
                <w:rFonts w:asciiTheme="minorHAnsi" w:hAnsiTheme="minorHAnsi" w:cstheme="minorHAnsi"/>
                <w:sz w:val="20"/>
                <w:szCs w:val="20"/>
                <w:lang w:bidi="en-US"/>
              </w:rPr>
              <w:t>2023</w:t>
            </w:r>
          </w:p>
        </w:tc>
      </w:tr>
      <w:tr w14:paraId="791DED81" w14:textId="77777777" w:rsidTr="009D2672">
        <w:tblPrEx>
          <w:tblW w:w="5000" w:type="pct"/>
          <w:tblLook w:val="04A0"/>
        </w:tblPrEx>
        <w:trPr>
          <w:trHeight w:val="120"/>
        </w:trPr>
        <w:tc>
          <w:tcPr>
            <w:tcW w:w="3365" w:type="pct"/>
          </w:tcPr>
          <w:p w:rsidR="00AD799B" w:rsidRPr="005D0A01" w14:paraId="59E2DCDB" w14:textId="269B4315">
            <w:pPr>
              <w:pStyle w:val="TableTextLeft"/>
              <w:rPr>
                <w:rFonts w:asciiTheme="minorHAnsi" w:hAnsiTheme="minorHAnsi" w:cstheme="minorHAnsi"/>
                <w:sz w:val="20"/>
                <w:szCs w:val="20"/>
                <w:lang w:bidi="en-US"/>
              </w:rPr>
            </w:pPr>
            <w:r w:rsidRPr="005D0A01">
              <w:rPr>
                <w:rFonts w:asciiTheme="minorHAnsi" w:hAnsiTheme="minorHAnsi" w:cstheme="minorHAnsi"/>
                <w:sz w:val="20"/>
                <w:szCs w:val="20"/>
                <w:lang w:bidi="en-US"/>
              </w:rPr>
              <w:t>Site visits</w:t>
            </w:r>
          </w:p>
        </w:tc>
        <w:tc>
          <w:tcPr>
            <w:tcW w:w="1635" w:type="pct"/>
          </w:tcPr>
          <w:p w:rsidR="00AD799B" w:rsidRPr="005D0A01" w14:paraId="6F3FAEB3" w14:textId="10A484CB">
            <w:pPr>
              <w:pStyle w:val="TableTextLeft"/>
              <w:rPr>
                <w:rFonts w:asciiTheme="minorHAnsi" w:hAnsiTheme="minorHAnsi" w:cstheme="minorHAnsi"/>
                <w:sz w:val="20"/>
                <w:szCs w:val="20"/>
                <w:lang w:bidi="en-US"/>
              </w:rPr>
            </w:pPr>
            <w:r w:rsidRPr="005D0A01">
              <w:rPr>
                <w:rFonts w:asciiTheme="minorHAnsi" w:hAnsiTheme="minorHAnsi" w:cstheme="minorHAnsi"/>
                <w:sz w:val="20"/>
                <w:szCs w:val="20"/>
                <w:lang w:bidi="en-US"/>
              </w:rPr>
              <w:t>Late summer and fall 2023</w:t>
            </w:r>
          </w:p>
        </w:tc>
      </w:tr>
      <w:tr w14:paraId="0601D732" w14:textId="77777777" w:rsidTr="009D2672">
        <w:tblPrEx>
          <w:tblW w:w="5000" w:type="pct"/>
          <w:tblLook w:val="04A0"/>
        </w:tblPrEx>
        <w:trPr>
          <w:trHeight w:val="120"/>
        </w:trPr>
        <w:tc>
          <w:tcPr>
            <w:tcW w:w="3365" w:type="pct"/>
          </w:tcPr>
          <w:p w:rsidR="009D2672" w:rsidRPr="005D0A01" w14:paraId="57B34690" w14:textId="161295AF">
            <w:pPr>
              <w:pStyle w:val="TableTextLeft"/>
              <w:rPr>
                <w:rFonts w:asciiTheme="minorHAnsi" w:hAnsiTheme="minorHAnsi" w:cstheme="minorHAnsi"/>
                <w:sz w:val="20"/>
                <w:szCs w:val="20"/>
                <w:lang w:bidi="en-US"/>
              </w:rPr>
            </w:pPr>
            <w:r w:rsidRPr="005D0A01">
              <w:rPr>
                <w:rFonts w:asciiTheme="minorHAnsi" w:hAnsiTheme="minorHAnsi" w:cstheme="minorHAnsi"/>
                <w:sz w:val="20"/>
                <w:szCs w:val="20"/>
                <w:lang w:bidi="en-US"/>
              </w:rPr>
              <w:t xml:space="preserve">Data </w:t>
            </w:r>
            <w:r w:rsidR="008C2046">
              <w:rPr>
                <w:rFonts w:asciiTheme="minorHAnsi" w:hAnsiTheme="minorHAnsi" w:cstheme="minorHAnsi"/>
                <w:sz w:val="20"/>
                <w:szCs w:val="20"/>
                <w:lang w:bidi="en-US"/>
              </w:rPr>
              <w:t>a</w:t>
            </w:r>
            <w:r w:rsidRPr="005D0A01">
              <w:rPr>
                <w:rFonts w:asciiTheme="minorHAnsi" w:hAnsiTheme="minorHAnsi" w:cstheme="minorHAnsi"/>
                <w:sz w:val="20"/>
                <w:szCs w:val="20"/>
                <w:lang w:bidi="en-US"/>
              </w:rPr>
              <w:t>nalysis</w:t>
            </w:r>
          </w:p>
        </w:tc>
        <w:tc>
          <w:tcPr>
            <w:tcW w:w="1635" w:type="pct"/>
          </w:tcPr>
          <w:p w:rsidR="009D2672" w:rsidRPr="005D0A01" w14:paraId="13A6EDEA" w14:textId="18E9848F">
            <w:pPr>
              <w:pStyle w:val="TableTextLeft"/>
              <w:rPr>
                <w:rFonts w:asciiTheme="minorHAnsi" w:hAnsiTheme="minorHAnsi" w:cstheme="minorHAnsi"/>
                <w:b/>
                <w:bCs/>
                <w:sz w:val="20"/>
                <w:szCs w:val="20"/>
                <w:lang w:bidi="en-US"/>
              </w:rPr>
            </w:pPr>
            <w:r w:rsidRPr="005D0A01">
              <w:rPr>
                <w:rFonts w:asciiTheme="minorHAnsi" w:hAnsiTheme="minorHAnsi" w:cstheme="minorHAnsi"/>
                <w:sz w:val="20"/>
                <w:szCs w:val="20"/>
                <w:lang w:bidi="en-US"/>
              </w:rPr>
              <w:t xml:space="preserve">Fall </w:t>
            </w:r>
            <w:r w:rsidRPr="005D0A01" w:rsidR="00C52A00">
              <w:rPr>
                <w:rFonts w:asciiTheme="minorHAnsi" w:hAnsiTheme="minorHAnsi" w:cstheme="minorHAnsi"/>
                <w:sz w:val="20"/>
                <w:szCs w:val="20"/>
                <w:lang w:bidi="en-US"/>
              </w:rPr>
              <w:t>2023</w:t>
            </w:r>
          </w:p>
        </w:tc>
      </w:tr>
      <w:tr w14:paraId="31BE024A" w14:textId="77777777" w:rsidTr="009D2672">
        <w:tblPrEx>
          <w:tblW w:w="5000" w:type="pct"/>
          <w:tblLook w:val="04A0"/>
        </w:tblPrEx>
        <w:trPr>
          <w:trHeight w:val="120"/>
        </w:trPr>
        <w:tc>
          <w:tcPr>
            <w:tcW w:w="3365" w:type="pct"/>
          </w:tcPr>
          <w:p w:rsidR="009D2672" w:rsidRPr="005D0A01" w14:paraId="644BDF09" w14:textId="2A67EB67">
            <w:pPr>
              <w:pStyle w:val="TableTextLeft"/>
              <w:rPr>
                <w:rFonts w:asciiTheme="minorHAnsi" w:hAnsiTheme="minorHAnsi" w:cstheme="minorHAnsi"/>
                <w:sz w:val="20"/>
                <w:szCs w:val="20"/>
                <w:lang w:bidi="en-US"/>
              </w:rPr>
            </w:pPr>
            <w:r w:rsidRPr="005D0A01">
              <w:rPr>
                <w:rFonts w:asciiTheme="minorHAnsi" w:hAnsiTheme="minorHAnsi" w:cstheme="minorHAnsi"/>
                <w:sz w:val="20"/>
                <w:szCs w:val="20"/>
                <w:lang w:bidi="en-US"/>
              </w:rPr>
              <w:t>Reporting</w:t>
            </w:r>
            <w:r w:rsidR="00AC20F6">
              <w:rPr>
                <w:rFonts w:asciiTheme="minorHAnsi" w:hAnsiTheme="minorHAnsi" w:cstheme="minorHAnsi"/>
                <w:sz w:val="20"/>
                <w:szCs w:val="20"/>
                <w:lang w:bidi="en-US"/>
              </w:rPr>
              <w:t xml:space="preserve"> (internal)</w:t>
            </w:r>
          </w:p>
        </w:tc>
        <w:tc>
          <w:tcPr>
            <w:tcW w:w="1635" w:type="pct"/>
          </w:tcPr>
          <w:p w:rsidR="009D2672" w:rsidRPr="005D0A01" w14:paraId="4DB84864" w14:textId="518F1559">
            <w:pPr>
              <w:pStyle w:val="TableTextLeft"/>
              <w:rPr>
                <w:rFonts w:asciiTheme="minorHAnsi" w:hAnsiTheme="minorHAnsi" w:cstheme="minorHAnsi"/>
                <w:b/>
                <w:bCs/>
                <w:sz w:val="20"/>
                <w:szCs w:val="20"/>
                <w:lang w:bidi="en-US"/>
              </w:rPr>
            </w:pPr>
            <w:r w:rsidRPr="005D0A01">
              <w:rPr>
                <w:rFonts w:asciiTheme="minorHAnsi" w:hAnsiTheme="minorHAnsi" w:cstheme="minorHAnsi"/>
                <w:sz w:val="20"/>
                <w:szCs w:val="20"/>
                <w:lang w:bidi="en-US"/>
              </w:rPr>
              <w:t xml:space="preserve">Late </w:t>
            </w:r>
            <w:r w:rsidRPr="005D0A01" w:rsidR="00D65D3D">
              <w:rPr>
                <w:rFonts w:asciiTheme="minorHAnsi" w:hAnsiTheme="minorHAnsi" w:cstheme="minorHAnsi"/>
                <w:sz w:val="20"/>
                <w:szCs w:val="20"/>
                <w:lang w:bidi="en-US"/>
              </w:rPr>
              <w:t xml:space="preserve">fall and winter </w:t>
            </w:r>
            <w:r w:rsidRPr="005D0A01" w:rsidR="00C52A00">
              <w:rPr>
                <w:rFonts w:asciiTheme="minorHAnsi" w:hAnsiTheme="minorHAnsi" w:cstheme="minorHAnsi"/>
                <w:sz w:val="20"/>
                <w:szCs w:val="20"/>
                <w:lang w:bidi="en-US"/>
              </w:rPr>
              <w:t>2023</w:t>
            </w:r>
          </w:p>
        </w:tc>
      </w:tr>
    </w:tbl>
    <w:p w:rsidR="009D2672" w:rsidRPr="005D0A01" w:rsidP="00757263" w14:paraId="0563265C" w14:textId="77777777">
      <w:pPr>
        <w:spacing w:after="0" w:line="240" w:lineRule="auto"/>
        <w:rPr>
          <w:rFonts w:cstheme="minorHAnsi"/>
          <w:sz w:val="18"/>
          <w:szCs w:val="18"/>
        </w:rPr>
      </w:pPr>
      <w:r w:rsidRPr="005D0A01">
        <w:rPr>
          <w:rFonts w:cstheme="minorHAnsi"/>
          <w:sz w:val="18"/>
          <w:szCs w:val="18"/>
          <w:vertAlign w:val="superscript"/>
        </w:rPr>
        <w:t>a</w:t>
      </w:r>
      <w:r w:rsidRPr="005D0A01">
        <w:rPr>
          <w:rFonts w:cstheme="minorHAnsi"/>
          <w:sz w:val="18"/>
          <w:szCs w:val="18"/>
          <w:vertAlign w:val="superscript"/>
        </w:rPr>
        <w:t xml:space="preserve"> </w:t>
      </w:r>
      <w:r w:rsidRPr="005D0A01">
        <w:rPr>
          <w:rFonts w:cstheme="minorHAnsi"/>
          <w:sz w:val="18"/>
          <w:szCs w:val="18"/>
        </w:rPr>
        <w:t>After obtaining OMB approval.</w:t>
      </w:r>
    </w:p>
    <w:p w:rsidR="009D2672" w:rsidRPr="008813EA" w:rsidP="00757263" w14:paraId="47C34EA5" w14:textId="77777777">
      <w:pPr>
        <w:spacing w:after="120" w:line="240" w:lineRule="auto"/>
        <w:rPr>
          <w:rFonts w:cstheme="minorHAnsi"/>
        </w:rPr>
      </w:pPr>
    </w:p>
    <w:p w:rsidR="009D2672" w:rsidRPr="008813EA" w:rsidP="00757263" w14:paraId="2AACE4C3" w14:textId="77777777">
      <w:pPr>
        <w:spacing w:after="120"/>
        <w:rPr>
          <w:rFonts w:cstheme="minorHAnsi"/>
        </w:rPr>
      </w:pPr>
      <w:r w:rsidRPr="008813EA">
        <w:rPr>
          <w:rFonts w:cstheme="minorHAnsi"/>
          <w:b/>
        </w:rPr>
        <w:t>A17</w:t>
      </w:r>
      <w:r w:rsidRPr="008813EA">
        <w:rPr>
          <w:rFonts w:cstheme="minorHAnsi"/>
        </w:rPr>
        <w:t>.</w:t>
      </w:r>
      <w:r w:rsidRPr="008813EA">
        <w:rPr>
          <w:rFonts w:cstheme="minorHAnsi"/>
        </w:rPr>
        <w:tab/>
      </w:r>
      <w:r w:rsidRPr="008813EA">
        <w:rPr>
          <w:rFonts w:cstheme="minorHAnsi"/>
          <w:b/>
        </w:rPr>
        <w:t>Exceptions</w:t>
      </w:r>
    </w:p>
    <w:p w:rsidR="009D2672" w:rsidRPr="008813EA" w:rsidP="00757263" w14:paraId="45D0D7FE" w14:textId="77777777">
      <w:pPr>
        <w:spacing w:after="120"/>
      </w:pPr>
      <w:r w:rsidRPr="008813EA">
        <w:t>No exceptions are necessary for this information collection.</w:t>
      </w:r>
      <w:r w:rsidRPr="008813EA">
        <w:tab/>
      </w:r>
    </w:p>
    <w:p w:rsidR="009D2672" w:rsidRPr="008813EA" w:rsidP="003D2C17" w14:paraId="77FB0C3A" w14:textId="77777777">
      <w:pPr>
        <w:spacing w:after="120"/>
        <w:rPr>
          <w:b/>
        </w:rPr>
      </w:pPr>
      <w:bookmarkStart w:id="14" w:name="_Hlk105773345"/>
      <w:r w:rsidRPr="008813EA">
        <w:rPr>
          <w:b/>
        </w:rPr>
        <w:t>Attachments</w:t>
      </w:r>
    </w:p>
    <w:p w:rsidR="00AD799B" w:rsidRPr="00B81040" w:rsidP="003D2C17" w14:paraId="3E77EFB6" w14:textId="77777777">
      <w:pPr>
        <w:spacing w:after="120"/>
        <w:ind w:left="187"/>
        <w:rPr>
          <w:b/>
          <w:bCs/>
        </w:rPr>
      </w:pPr>
      <w:bookmarkStart w:id="15" w:name="_Hlk110439196"/>
      <w:r w:rsidRPr="00B81040">
        <w:rPr>
          <w:b/>
          <w:bCs/>
        </w:rPr>
        <w:t>Appendices</w:t>
      </w:r>
    </w:p>
    <w:p w:rsidR="00AD799B" w:rsidP="003D2C17" w14:paraId="1A33EF70" w14:textId="73CF0AEA">
      <w:pPr>
        <w:spacing w:after="120"/>
        <w:ind w:left="180"/>
      </w:pPr>
      <w:r w:rsidRPr="00B81040">
        <w:t xml:space="preserve">Appendix A: </w:t>
      </w:r>
      <w:r w:rsidRPr="00EA109E" w:rsidR="00EA109E">
        <w:t xml:space="preserve">Telephone Interview Outreach Materials  </w:t>
      </w:r>
    </w:p>
    <w:p w:rsidR="00B6400F" w:rsidP="003D2C17" w14:paraId="1AF5C9B0" w14:textId="68E2AA97">
      <w:pPr>
        <w:spacing w:after="120"/>
        <w:ind w:left="180"/>
      </w:pPr>
      <w:bookmarkStart w:id="16" w:name="_Hlk127800339"/>
      <w:r>
        <w:t xml:space="preserve">Appendix B: </w:t>
      </w:r>
      <w:bookmarkStart w:id="17" w:name="_Hlk127953941"/>
      <w:r>
        <w:t xml:space="preserve">Recruitment Materials </w:t>
      </w:r>
      <w:r w:rsidR="001D7F59">
        <w:t xml:space="preserve">for </w:t>
      </w:r>
      <w:r w:rsidR="00B339EE">
        <w:t xml:space="preserve">Site Visit </w:t>
      </w:r>
      <w:r w:rsidR="001D7F59">
        <w:t>Focus Groups with Community Members and Youth</w:t>
      </w:r>
      <w:bookmarkEnd w:id="17"/>
    </w:p>
    <w:bookmarkEnd w:id="16"/>
    <w:p w:rsidR="00B6400F" w:rsidP="003D2C17" w14:paraId="08A866FF" w14:textId="744E16C1">
      <w:pPr>
        <w:spacing w:after="120"/>
        <w:ind w:left="180"/>
      </w:pPr>
      <w:r>
        <w:t xml:space="preserve">Appendix C: </w:t>
      </w:r>
      <w:r w:rsidRPr="003E670F" w:rsidR="003E670F">
        <w:t>Parent and Guardian Consent Form for Youth Focus Groups</w:t>
      </w:r>
    </w:p>
    <w:p w:rsidR="00B6400F" w:rsidRPr="00B81040" w:rsidP="003D2C17" w14:paraId="574558C9" w14:textId="3E12FB7C">
      <w:pPr>
        <w:spacing w:after="120"/>
        <w:ind w:left="180"/>
      </w:pPr>
      <w:r>
        <w:t xml:space="preserve">Appendix D: Youth Assent Form for Youth Focus Groups </w:t>
      </w:r>
    </w:p>
    <w:p w:rsidR="00AD799B" w:rsidRPr="00B81040" w:rsidP="003D2C17" w14:paraId="557558C1" w14:textId="77777777">
      <w:pPr>
        <w:spacing w:after="120"/>
        <w:ind w:left="187"/>
        <w:rPr>
          <w:b/>
          <w:bCs/>
        </w:rPr>
      </w:pPr>
      <w:r w:rsidRPr="00B81040">
        <w:rPr>
          <w:b/>
          <w:bCs/>
        </w:rPr>
        <w:t>Instruments</w:t>
      </w:r>
    </w:p>
    <w:p w:rsidR="00AD799B" w:rsidRPr="00B81040" w:rsidP="003D2C17" w14:paraId="11DABF61" w14:textId="07250D9B">
      <w:pPr>
        <w:spacing w:after="120"/>
        <w:ind w:left="180"/>
        <w:rPr>
          <w:rFonts w:eastAsia="Times New Roman"/>
        </w:rPr>
      </w:pPr>
      <w:bookmarkStart w:id="18" w:name="_Hlk126594173"/>
      <w:r w:rsidRPr="00B81040">
        <w:t xml:space="preserve">Instrument 1. </w:t>
      </w:r>
      <w:r w:rsidR="001D7F59">
        <w:t xml:space="preserve">Telephone </w:t>
      </w:r>
      <w:r w:rsidRPr="00B81040">
        <w:rPr>
          <w:rFonts w:eastAsia="Times New Roman"/>
        </w:rPr>
        <w:t xml:space="preserve">Interview Topic Guide for </w:t>
      </w:r>
      <w:r w:rsidR="00581F47">
        <w:rPr>
          <w:rFonts w:eastAsia="Times New Roman"/>
        </w:rPr>
        <w:t>PREP Grantees</w:t>
      </w:r>
      <w:r w:rsidR="000A3FF9">
        <w:rPr>
          <w:rFonts w:eastAsia="Times New Roman"/>
        </w:rPr>
        <w:t xml:space="preserve"> and Providers</w:t>
      </w:r>
      <w:r w:rsidR="00700CE0">
        <w:rPr>
          <w:rFonts w:eastAsia="Times New Roman"/>
        </w:rPr>
        <w:t xml:space="preserve"> </w:t>
      </w:r>
    </w:p>
    <w:p w:rsidR="009D2672" w:rsidP="0047497F" w14:paraId="13ABB8BF" w14:textId="4D5DDA0D">
      <w:pPr>
        <w:spacing w:after="120"/>
        <w:ind w:left="180"/>
      </w:pPr>
      <w:r w:rsidRPr="00B81040">
        <w:rPr>
          <w:rFonts w:eastAsia="Times New Roman"/>
        </w:rPr>
        <w:t xml:space="preserve">Instrument 2. </w:t>
      </w:r>
      <w:r w:rsidR="003D2C17">
        <w:rPr>
          <w:rFonts w:eastAsia="Times New Roman"/>
        </w:rPr>
        <w:t xml:space="preserve">Site </w:t>
      </w:r>
      <w:r w:rsidRPr="00B81040">
        <w:rPr>
          <w:rFonts w:eastAsia="Times New Roman"/>
        </w:rPr>
        <w:t xml:space="preserve">Visit </w:t>
      </w:r>
      <w:r w:rsidR="003D2C17">
        <w:rPr>
          <w:rFonts w:eastAsia="Times New Roman"/>
        </w:rPr>
        <w:t>Topic Guide</w:t>
      </w:r>
      <w:r w:rsidRPr="00B81040">
        <w:rPr>
          <w:rFonts w:eastAsia="Times New Roman"/>
        </w:rPr>
        <w:t xml:space="preserve"> </w:t>
      </w:r>
      <w:r w:rsidR="003D2C17">
        <w:rPr>
          <w:rFonts w:eastAsia="Times New Roman"/>
        </w:rPr>
        <w:t>for</w:t>
      </w:r>
      <w:r w:rsidR="00700CE0">
        <w:rPr>
          <w:rFonts w:eastAsia="Times New Roman"/>
        </w:rPr>
        <w:t xml:space="preserve"> PREP </w:t>
      </w:r>
      <w:r w:rsidR="000A3FF9">
        <w:rPr>
          <w:rFonts w:eastAsia="Times New Roman"/>
        </w:rPr>
        <w:t>G</w:t>
      </w:r>
      <w:r w:rsidR="00700CE0">
        <w:rPr>
          <w:rFonts w:eastAsia="Times New Roman"/>
        </w:rPr>
        <w:t>rantees</w:t>
      </w:r>
      <w:r w:rsidR="000A3FF9">
        <w:rPr>
          <w:rFonts w:eastAsia="Times New Roman"/>
        </w:rPr>
        <w:t xml:space="preserve"> </w:t>
      </w:r>
      <w:bookmarkEnd w:id="14"/>
      <w:bookmarkEnd w:id="15"/>
      <w:bookmarkEnd w:id="18"/>
    </w:p>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9D2672" w14:paraId="6C38C2BF" w14:textId="1FF21762">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9D2672" w14:paraId="58941C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D17CA" w14:paraId="5727401C" w14:textId="77777777">
      <w:pPr>
        <w:spacing w:after="0" w:line="240" w:lineRule="auto"/>
      </w:pPr>
      <w:r>
        <w:separator/>
      </w:r>
    </w:p>
  </w:footnote>
  <w:footnote w:type="continuationSeparator" w:id="1">
    <w:p w:rsidR="003D17CA" w14:paraId="23C6B658" w14:textId="77777777">
      <w:pPr>
        <w:spacing w:after="0" w:line="240" w:lineRule="auto"/>
      </w:pPr>
      <w:r>
        <w:continuationSeparator/>
      </w:r>
    </w:p>
  </w:footnote>
  <w:footnote w:id="2">
    <w:p w:rsidR="00B50852" w14:paraId="0875CE20" w14:textId="19A83988">
      <w:pPr>
        <w:pStyle w:val="FootnoteText"/>
      </w:pPr>
      <w:bookmarkStart w:id="10" w:name="_Hlk134798080"/>
      <w:r>
        <w:rPr>
          <w:rStyle w:val="FootnoteReference"/>
        </w:rPr>
        <w:footnoteRef/>
      </w:r>
      <w:r>
        <w:t xml:space="preserve"> An extension request is currently in process for these measures with the 60-day comment period currently underway (88 FR 17576)</w:t>
      </w:r>
      <w:bookmarkEnd w:id="10"/>
    </w:p>
  </w:footnote>
  <w:footnote w:id="3">
    <w:p w:rsidR="00E741D6" w:rsidP="00E741D6" w14:paraId="5F699C62" w14:textId="77777777">
      <w:pPr>
        <w:pStyle w:val="FootnoteText"/>
      </w:pPr>
      <w:r>
        <w:rPr>
          <w:rStyle w:val="FootnoteReference"/>
        </w:rPr>
        <w:footnoteRef/>
      </w:r>
      <w:r>
        <w:t xml:space="preserve"> </w:t>
      </w:r>
      <w:r w:rsidRPr="00722325">
        <w:t>Mihesuah, D.A. (1993)</w:t>
      </w:r>
      <w:r>
        <w:t>. “</w:t>
      </w:r>
      <w:r w:rsidRPr="00722325">
        <w:t>Suggested guidelines for institutions with scholars who conduct research on American Indians.</w:t>
      </w:r>
      <w:r>
        <w:t>”</w:t>
      </w:r>
      <w:r w:rsidRPr="00722325">
        <w:t xml:space="preserve"> </w:t>
      </w:r>
      <w:r w:rsidRPr="00722325">
        <w:rPr>
          <w:i/>
          <w:iCs/>
        </w:rPr>
        <w:t>American Indian Culture and Research Journal</w:t>
      </w:r>
      <w:r w:rsidRPr="00722325">
        <w:t>, 17, 131-139.</w:t>
      </w:r>
    </w:p>
    <w:p w:rsidR="00E741D6" w:rsidP="00E741D6" w14:paraId="71A1342A" w14:textId="77777777">
      <w:pPr>
        <w:pStyle w:val="FootnoteText"/>
      </w:pPr>
      <w:r>
        <w:t xml:space="preserve">Sobeck, J.A., E.E. Chapleski, &amp; C. Fisher. (2003). “Conducting research with American Indians.” </w:t>
      </w:r>
      <w:r>
        <w:rPr>
          <w:i/>
          <w:iCs/>
        </w:rPr>
        <w:t>Journal of Ethnic &amp; Cultural Diversity in Social Work</w:t>
      </w:r>
      <w:r>
        <w:t xml:space="preserve">, 12(1), 69-84. </w:t>
      </w:r>
    </w:p>
    <w:p w:rsidR="00E741D6" w:rsidRPr="006578E0" w:rsidP="00E741D6" w14:paraId="505B23EC" w14:textId="77777777">
      <w:pPr>
        <w:pStyle w:val="FootnoteText"/>
        <w:rPr>
          <w:i/>
          <w:iCs/>
        </w:rPr>
      </w:pPr>
      <w:r>
        <w:t>Davis, S.M., &amp; R. Reid. (1999). “</w:t>
      </w:r>
      <w:r w:rsidRPr="00722325">
        <w:t>Practicing participatory research in American Indian communities</w:t>
      </w:r>
      <w:r>
        <w:t xml:space="preserve">.” </w:t>
      </w:r>
      <w:r>
        <w:rPr>
          <w:i/>
          <w:iCs/>
        </w:rPr>
        <w:t>American Journal of Clinical Nutrition</w:t>
      </w:r>
      <w:r w:rsidRPr="00722325">
        <w:t>, 69(4), 755S-759S.</w:t>
      </w:r>
      <w:r>
        <w:rPr>
          <w:i/>
          <w:iCs/>
        </w:rPr>
        <w:t xml:space="preserve"> </w:t>
      </w:r>
    </w:p>
  </w:footnote>
  <w:footnote w:id="4">
    <w:p w:rsidR="00115AC5" w14:paraId="06993EC7" w14:textId="33F50B39">
      <w:pPr>
        <w:pStyle w:val="FootnoteText"/>
      </w:pPr>
      <w:r>
        <w:rPr>
          <w:rStyle w:val="FootnoteReference"/>
        </w:rPr>
        <w:footnoteRef/>
      </w:r>
      <w:r>
        <w:t xml:space="preserve"> Doughty, M. (2017). “Compensation for Study of Participation in Tribal Communities: A Research Note.” </w:t>
      </w:r>
      <w:r w:rsidRPr="00927779">
        <w:rPr>
          <w:i/>
          <w:iCs/>
        </w:rPr>
        <w:t>Indigenous Policy Journal</w:t>
      </w:r>
      <w:r>
        <w:t xml:space="preserve">, 28(1).  </w:t>
      </w:r>
    </w:p>
  </w:footnote>
  <w:footnote w:id="5">
    <w:p w:rsidR="001B798B" w:rsidP="001B798B" w14:paraId="6510DD4E" w14:textId="77777777">
      <w:pPr>
        <w:pStyle w:val="FootnoteText"/>
      </w:pPr>
      <w:r>
        <w:rPr>
          <w:rStyle w:val="FootnoteReference"/>
        </w:rPr>
        <w:footnoteRef/>
      </w:r>
      <w:r>
        <w:t xml:space="preserve"> </w:t>
      </w:r>
      <w:r w:rsidRPr="00C24C86">
        <w:rPr>
          <w:rFonts w:cstheme="minorHAnsi"/>
        </w:rPr>
        <w:t>American Statistical Association</w:t>
      </w:r>
      <w:r>
        <w:rPr>
          <w:rFonts w:cstheme="minorHAnsi"/>
        </w:rPr>
        <w:t xml:space="preserve"> (ASA)</w:t>
      </w:r>
      <w:r w:rsidRPr="00C24C86">
        <w:rPr>
          <w:rFonts w:cstheme="minorHAnsi"/>
        </w:rPr>
        <w:t xml:space="preserve"> and American Association for Public Opinion Research</w:t>
      </w:r>
      <w:r>
        <w:rPr>
          <w:rFonts w:cstheme="minorHAnsi"/>
        </w:rPr>
        <w:t xml:space="preserve"> (AAPOR)</w:t>
      </w:r>
      <w:r w:rsidRPr="00C24C86">
        <w:rPr>
          <w:rFonts w:cstheme="minorHAnsi"/>
        </w:rPr>
        <w:t xml:space="preserve">. “Joint American Statistical Association/AAPOR Statement on Use of Incentives in Survey Participation.” 2016. Available at </w:t>
      </w:r>
      <w:hyperlink r:id="rId1" w:history="1">
        <w:r w:rsidRPr="00C24C86">
          <w:rPr>
            <w:rStyle w:val="Hyperlink"/>
            <w:rFonts w:cstheme="minorHAnsi"/>
          </w:rPr>
          <w:t>https://www.aapor.org/Publications-Media/Public-Statements/AAPOR-Statement-on-Use-of-Incentives-in-Survey-Par.aspx</w:t>
        </w:r>
      </w:hyperlink>
      <w:r w:rsidRPr="00C24C86">
        <w:rPr>
          <w:rFonts w:cstheme="minorHAnsi"/>
        </w:rPr>
        <w:t>. Accessed August 17, 2017.</w:t>
      </w:r>
    </w:p>
  </w:footnote>
  <w:footnote w:id="6">
    <w:p w:rsidR="001B798B" w:rsidRPr="00C24C86" w:rsidP="001B798B" w14:paraId="5306E47C" w14:textId="77777777">
      <w:pPr>
        <w:pStyle w:val="FootnoteText"/>
      </w:pPr>
      <w:r w:rsidRPr="00DC7DAA">
        <w:rPr>
          <w:rStyle w:val="FootnoteReference"/>
        </w:rPr>
        <w:footnoteRef/>
      </w:r>
      <w:r w:rsidRPr="00DC7DAA">
        <w:t xml:space="preserve"> </w:t>
      </w:r>
      <w:r w:rsidRPr="00927779">
        <w:rPr>
          <w:rFonts w:cstheme="minorHAnsi"/>
        </w:rPr>
        <w:t xml:space="preserve">Brick, J.M. and R. Tourangeau. “Responsive Survey Designs for Reducing Nonresponse Bias.” </w:t>
      </w:r>
      <w:r w:rsidRPr="00927779">
        <w:rPr>
          <w:rFonts w:cstheme="minorHAnsi"/>
          <w:i/>
          <w:iCs/>
        </w:rPr>
        <w:t>Journal of Official Statistics</w:t>
      </w:r>
      <w:r w:rsidRPr="00927779">
        <w:rPr>
          <w:rFonts w:cstheme="minorHAnsi"/>
        </w:rPr>
        <w:t>, vol. 33, no. 3, 2017, pp. 735-752.</w:t>
      </w:r>
    </w:p>
    <w:p w:rsidR="001B798B" w:rsidP="001B798B" w14:paraId="4A783925" w14:textId="77777777">
      <w:pPr>
        <w:pStyle w:val="FootnoteText"/>
      </w:pPr>
    </w:p>
  </w:footnote>
  <w:footnote w:id="7">
    <w:p w:rsidR="009D2672" w14:paraId="424C706B" w14:textId="7E67490B">
      <w:pPr>
        <w:pStyle w:val="FootnoteText"/>
      </w:pPr>
      <w:r>
        <w:rPr>
          <w:rStyle w:val="FootnoteReference"/>
        </w:rPr>
        <w:footnoteRef/>
      </w:r>
      <w:r>
        <w:t xml:space="preserve"> </w:t>
      </w:r>
      <w:r>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8">
    <w:p w:rsidR="00B3330B" w14:paraId="1B352E34" w14:textId="54FA4379">
      <w:pPr>
        <w:pStyle w:val="FootnoteText"/>
      </w:pPr>
      <w:r>
        <w:rPr>
          <w:rStyle w:val="FootnoteReference"/>
        </w:rPr>
        <w:footnoteRef/>
      </w:r>
      <w:r>
        <w:t xml:space="preserve"> </w:t>
      </w:r>
      <w:r w:rsidRPr="008813EA" w:rsidR="00615E09">
        <w:rPr>
          <w:iCs/>
        </w:rPr>
        <w:t xml:space="preserve">The </w:t>
      </w:r>
      <w:r w:rsidR="00DE774A">
        <w:rPr>
          <w:iCs/>
        </w:rPr>
        <w:t xml:space="preserve">average hourly wage for grantee program </w:t>
      </w:r>
      <w:r w:rsidR="009E35B3">
        <w:rPr>
          <w:iCs/>
        </w:rPr>
        <w:t>leaders or managers</w:t>
      </w:r>
      <w:r w:rsidR="00DE774A">
        <w:rPr>
          <w:iCs/>
        </w:rPr>
        <w:t xml:space="preserve"> who </w:t>
      </w:r>
      <w:r w:rsidRPr="008813EA" w:rsidR="00DE774A">
        <w:rPr>
          <w:iCs/>
        </w:rPr>
        <w:t xml:space="preserve">complete the </w:t>
      </w:r>
      <w:r w:rsidR="00AC2BA6">
        <w:rPr>
          <w:iCs/>
        </w:rPr>
        <w:t>tele</w:t>
      </w:r>
      <w:r w:rsidR="00DE774A">
        <w:rPr>
          <w:iCs/>
        </w:rPr>
        <w:t xml:space="preserve">phone </w:t>
      </w:r>
      <w:r w:rsidR="00392932">
        <w:rPr>
          <w:iCs/>
        </w:rPr>
        <w:t xml:space="preserve">or site visit </w:t>
      </w:r>
      <w:r w:rsidR="00DE774A">
        <w:rPr>
          <w:iCs/>
        </w:rPr>
        <w:t xml:space="preserve">interviews is the </w:t>
      </w:r>
      <w:r w:rsidRPr="008813EA" w:rsidR="00615E09">
        <w:rPr>
          <w:iCs/>
        </w:rPr>
        <w:t xml:space="preserve">mean hourly wage </w:t>
      </w:r>
      <w:r w:rsidRPr="003A12FD" w:rsidR="00615E09">
        <w:rPr>
          <w:iCs/>
        </w:rPr>
        <w:t xml:space="preserve">for </w:t>
      </w:r>
      <w:r w:rsidRPr="003A12FD" w:rsidR="00615E09">
        <w:t>social scientists and related workers (Occupational Code 19-3099</w:t>
      </w:r>
      <w:r w:rsidR="00DE774A">
        <w:t>)</w:t>
      </w:r>
      <w:r w:rsidR="00A204F2">
        <w:t>.</w:t>
      </w:r>
      <w:r w:rsidR="00DE774A">
        <w:rPr>
          <w:iCs/>
        </w:rPr>
        <w:t xml:space="preserve"> </w:t>
      </w:r>
      <w:hyperlink r:id="rId2" w:history="1">
        <w:r w:rsidRPr="001F0039" w:rsidR="00615E09">
          <w:rPr>
            <w:rStyle w:val="Hyperlink"/>
          </w:rPr>
          <w:t>https://www.bls.gov/oes/current/oes193099.htm</w:t>
        </w:r>
      </w:hyperlink>
      <w:r w:rsidRPr="003A12FD" w:rsidR="00615E09">
        <w:rPr>
          <w:rStyle w:val="Hyperlink"/>
          <w:color w:val="auto"/>
          <w:u w:val="none"/>
        </w:rPr>
        <w:t>.</w:t>
      </w:r>
    </w:p>
  </w:footnote>
  <w:footnote w:id="9">
    <w:p w:rsidR="00392932" w14:paraId="7B2C78C7" w14:textId="3B2B1739">
      <w:pPr>
        <w:pStyle w:val="FootnoteText"/>
      </w:pPr>
      <w:r>
        <w:rPr>
          <w:rStyle w:val="FootnoteReference"/>
        </w:rPr>
        <w:footnoteRef/>
      </w:r>
      <w:r>
        <w:t xml:space="preserve"> The average hourly wage for facilitators is the mean hourly wage for community and social service specialists </w:t>
      </w:r>
      <w:r w:rsidR="000E749A">
        <w:t>(Occupational Code 21-1099)</w:t>
      </w:r>
      <w:r w:rsidR="00A204F2">
        <w:t>.</w:t>
      </w:r>
      <w:r w:rsidR="000E749A">
        <w:t xml:space="preserve"> </w:t>
      </w:r>
      <w:hyperlink r:id="rId3" w:history="1">
        <w:r w:rsidRPr="006946F5" w:rsidR="007D7A58">
          <w:rPr>
            <w:rStyle w:val="Hyperlink"/>
          </w:rPr>
          <w:t>https://www.bls.gov/oes/current/oes211099.htm</w:t>
        </w:r>
      </w:hyperlink>
      <w:r w:rsidR="000E749A">
        <w:t>.</w:t>
      </w:r>
    </w:p>
  </w:footnote>
  <w:footnote w:id="10">
    <w:p w:rsidR="00DE774A" w14:paraId="5FC4B004" w14:textId="3996DD11">
      <w:pPr>
        <w:pStyle w:val="FootnoteText"/>
      </w:pPr>
      <w:r>
        <w:rPr>
          <w:rStyle w:val="FootnoteReference"/>
        </w:rPr>
        <w:footnoteRef/>
      </w:r>
      <w:r>
        <w:t xml:space="preserve"> </w:t>
      </w:r>
      <w:r w:rsidRPr="008813EA">
        <w:rPr>
          <w:iCs/>
        </w:rPr>
        <w:t xml:space="preserve">The </w:t>
      </w:r>
      <w:r>
        <w:rPr>
          <w:iCs/>
        </w:rPr>
        <w:t xml:space="preserve">average hourly wage for community members who </w:t>
      </w:r>
      <w:r w:rsidRPr="008813EA">
        <w:rPr>
          <w:iCs/>
        </w:rPr>
        <w:t xml:space="preserve">complete </w:t>
      </w:r>
      <w:r>
        <w:rPr>
          <w:iCs/>
        </w:rPr>
        <w:t>focus groups</w:t>
      </w:r>
      <w:r w:rsidRPr="008813EA">
        <w:rPr>
          <w:iCs/>
        </w:rPr>
        <w:t xml:space="preserve"> </w:t>
      </w:r>
      <w:r>
        <w:rPr>
          <w:iCs/>
        </w:rPr>
        <w:t>is the “All Occupations” wage for the May 2021 Bureau of Labor Statistics</w:t>
      </w:r>
      <w:r w:rsidR="00A204F2">
        <w:rPr>
          <w:iCs/>
        </w:rPr>
        <w:t>.</w:t>
      </w:r>
      <w:r>
        <w:rPr>
          <w:iCs/>
        </w:rPr>
        <w:t xml:space="preserve"> </w:t>
      </w:r>
      <w:hyperlink r:id="rId4" w:anchor="00-0000" w:history="1">
        <w:r w:rsidRPr="00BC59F0" w:rsidR="00C15919">
          <w:rPr>
            <w:rStyle w:val="Hyperlink"/>
            <w:iCs/>
          </w:rPr>
          <w:t>https://www.bls.gov/oes/current/oes_nat.htm#00-0000</w:t>
        </w:r>
      </w:hyperlink>
      <w:r>
        <w:rPr>
          <w:iCs/>
        </w:rPr>
        <w:t xml:space="preserve">. </w:t>
      </w:r>
    </w:p>
  </w:footnote>
  <w:footnote w:id="11">
    <w:p w:rsidR="00B3330B" w14:paraId="55F5D42A" w14:textId="39C85817">
      <w:pPr>
        <w:pStyle w:val="FootnoteText"/>
      </w:pPr>
      <w:r>
        <w:rPr>
          <w:rStyle w:val="FootnoteReference"/>
        </w:rPr>
        <w:footnoteRef/>
      </w:r>
      <w:r>
        <w:t xml:space="preserve"> The average hourly wage for youth is the federal minimum wage in the United States. </w:t>
      </w:r>
      <w:hyperlink r:id="rId5" w:history="1">
        <w:r w:rsidRPr="006946F5" w:rsidR="007D7A58">
          <w:rPr>
            <w:rStyle w:val="Hyperlink"/>
          </w:rPr>
          <w:t>https://www.dol.gov/general/topic/wages/minimumwage</w:t>
        </w:r>
      </w:hyperlink>
      <w:r w:rsidR="000E749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2672" w14:paraId="13281E9B" w14:textId="77777777">
    <w:pPr>
      <w:spacing w:after="0" w:line="240" w:lineRule="auto"/>
      <w:jc w:val="center"/>
      <w:rPr>
        <w:b/>
      </w:rPr>
    </w:pPr>
    <w:r>
      <w:rPr>
        <w:b/>
      </w:rPr>
      <w:t xml:space="preserve">Alternative Supporting Statement Instructions for Information Collections Designed for </w:t>
    </w:r>
  </w:p>
  <w:p w:rsidR="009D2672" w14:paraId="052AEDCA" w14:textId="77777777">
    <w:pPr>
      <w:pStyle w:val="Header"/>
      <w:jc w:val="center"/>
    </w:pPr>
    <w:r>
      <w:rPr>
        <w:b/>
      </w:rPr>
      <w:t>Research, Public Health 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2912A05"/>
    <w:multiLevelType w:val="multilevel"/>
    <w:tmpl w:val="00EA8BDA"/>
    <w:lvl w:ilvl="0">
      <w:start w:val="1"/>
      <w:numFmt w:val="bullet"/>
      <w:lvlText w:val=""/>
      <w:lvlJc w:val="left"/>
      <w:pPr>
        <w:tabs>
          <w:tab w:val="num" w:pos="-240"/>
        </w:tabs>
        <w:ind w:left="-240" w:hanging="360"/>
      </w:pPr>
      <w:rPr>
        <w:rFonts w:ascii="Symbol" w:hAnsi="Symbol" w:hint="default"/>
        <w:sz w:val="20"/>
      </w:rPr>
    </w:lvl>
    <w:lvl w:ilvl="1">
      <w:start w:val="1"/>
      <w:numFmt w:val="bullet"/>
      <w:lvlText w:val=""/>
      <w:lvlJc w:val="left"/>
      <w:pPr>
        <w:tabs>
          <w:tab w:val="num" w:pos="480"/>
        </w:tabs>
        <w:ind w:left="480" w:hanging="360"/>
      </w:pPr>
      <w:rPr>
        <w:rFonts w:ascii="Symbol" w:hAnsi="Symbol" w:hint="default"/>
        <w:sz w:val="20"/>
      </w:rPr>
    </w:lvl>
    <w:lvl w:ilvl="2">
      <w:start w:val="1"/>
      <w:numFmt w:val="bullet"/>
      <w:lvlText w:val=""/>
      <w:lvlJc w:val="left"/>
      <w:pPr>
        <w:tabs>
          <w:tab w:val="num" w:pos="1200"/>
        </w:tabs>
        <w:ind w:left="1200" w:hanging="360"/>
      </w:pPr>
      <w:rPr>
        <w:rFonts w:ascii="Symbol" w:hAnsi="Symbol" w:hint="default"/>
        <w:sz w:val="20"/>
      </w:rPr>
    </w:lvl>
    <w:lvl w:ilvl="3">
      <w:start w:val="1"/>
      <w:numFmt w:val="bullet"/>
      <w:lvlText w:val=""/>
      <w:lvlJc w:val="left"/>
      <w:pPr>
        <w:tabs>
          <w:tab w:val="num" w:pos="1920"/>
        </w:tabs>
        <w:ind w:left="1920" w:hanging="360"/>
      </w:pPr>
      <w:rPr>
        <w:rFonts w:ascii="Symbol" w:hAnsi="Symbol" w:hint="default"/>
        <w:sz w:val="20"/>
      </w:rPr>
    </w:lvl>
    <w:lvl w:ilvl="4">
      <w:start w:val="1"/>
      <w:numFmt w:val="bullet"/>
      <w:lvlText w:val=""/>
      <w:lvlJc w:val="left"/>
      <w:pPr>
        <w:tabs>
          <w:tab w:val="num" w:pos="2640"/>
        </w:tabs>
        <w:ind w:left="2640" w:hanging="360"/>
      </w:pPr>
      <w:rPr>
        <w:rFonts w:ascii="Symbol" w:hAnsi="Symbol" w:hint="default"/>
        <w:sz w:val="20"/>
      </w:rPr>
    </w:lvl>
    <w:lvl w:ilvl="5">
      <w:start w:val="1"/>
      <w:numFmt w:val="bullet"/>
      <w:lvlText w:val=""/>
      <w:lvlJc w:val="left"/>
      <w:pPr>
        <w:tabs>
          <w:tab w:val="num" w:pos="3360"/>
        </w:tabs>
        <w:ind w:left="3360" w:hanging="360"/>
      </w:pPr>
      <w:rPr>
        <w:rFonts w:ascii="Symbol" w:hAnsi="Symbol" w:hint="default"/>
        <w:sz w:val="20"/>
      </w:rPr>
    </w:lvl>
    <w:lvl w:ilvl="6">
      <w:start w:val="1"/>
      <w:numFmt w:val="bullet"/>
      <w:lvlText w:val=""/>
      <w:lvlJc w:val="left"/>
      <w:pPr>
        <w:tabs>
          <w:tab w:val="num" w:pos="4080"/>
        </w:tabs>
        <w:ind w:left="4080" w:hanging="360"/>
      </w:pPr>
      <w:rPr>
        <w:rFonts w:ascii="Symbol" w:hAnsi="Symbol" w:hint="default"/>
        <w:sz w:val="20"/>
      </w:rPr>
    </w:lvl>
    <w:lvl w:ilvl="7">
      <w:start w:val="1"/>
      <w:numFmt w:val="bullet"/>
      <w:lvlText w:val=""/>
      <w:lvlJc w:val="left"/>
      <w:pPr>
        <w:tabs>
          <w:tab w:val="num" w:pos="4800"/>
        </w:tabs>
        <w:ind w:left="4800" w:hanging="360"/>
      </w:pPr>
      <w:rPr>
        <w:rFonts w:ascii="Symbol" w:hAnsi="Symbol" w:hint="default"/>
        <w:sz w:val="20"/>
      </w:rPr>
    </w:lvl>
    <w:lvl w:ilvl="8">
      <w:start w:val="1"/>
      <w:numFmt w:val="bullet"/>
      <w:lvlText w:val=""/>
      <w:lvlJc w:val="left"/>
      <w:pPr>
        <w:tabs>
          <w:tab w:val="num" w:pos="5520"/>
        </w:tabs>
        <w:ind w:left="5520" w:hanging="360"/>
      </w:pPr>
      <w:rPr>
        <w:rFonts w:ascii="Symbol" w:hAnsi="Symbol" w:hint="default"/>
        <w:sz w:val="20"/>
      </w:r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05237F"/>
    <w:multiLevelType w:val="hybridMultilevel"/>
    <w:tmpl w:val="CB0AF9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777350"/>
    <w:multiLevelType w:val="hybridMultilevel"/>
    <w:tmpl w:val="39667E1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94B12DB"/>
    <w:multiLevelType w:val="hybridMultilevel"/>
    <w:tmpl w:val="59C2BF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21421A"/>
    <w:multiLevelType w:val="hybridMultilevel"/>
    <w:tmpl w:val="3718E186"/>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2DE56C7"/>
    <w:multiLevelType w:val="hybridMultilevel"/>
    <w:tmpl w:val="ECBEF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A0A799E"/>
    <w:multiLevelType w:val="hybridMultilevel"/>
    <w:tmpl w:val="DBFE3A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1C0CE1"/>
    <w:multiLevelType w:val="hybridMultilevel"/>
    <w:tmpl w:val="74E861AE"/>
    <w:lvl w:ilvl="0">
      <w:start w:val="1"/>
      <w:numFmt w:val="bullet"/>
      <w:lvlText w:val="-"/>
      <w:lvlJc w:val="left"/>
      <w:pPr>
        <w:ind w:left="753" w:hanging="360"/>
      </w:pPr>
      <w:rPr>
        <w:rFonts w:ascii="Calibri" w:hAnsi="Calibri" w:eastAsiaTheme="minorHAnsi" w:cs="Calibri"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24">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6">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BCF2D9B"/>
    <w:multiLevelType w:val="hybridMultilevel"/>
    <w:tmpl w:val="A962A1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A237435"/>
    <w:multiLevelType w:val="hybridMultilevel"/>
    <w:tmpl w:val="C8C848E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57F21E17"/>
    <w:multiLevelType w:val="hybridMultilevel"/>
    <w:tmpl w:val="5A96B760"/>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7">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nsid w:val="722A78DE"/>
    <w:multiLevelType w:val="hybridMultilevel"/>
    <w:tmpl w:val="B44EAD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91F794A"/>
    <w:multiLevelType w:val="hybridMultilevel"/>
    <w:tmpl w:val="780CEB5C"/>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9">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C5A66E2"/>
    <w:multiLevelType w:val="hybridMultilevel"/>
    <w:tmpl w:val="58FAF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94703520">
    <w:abstractNumId w:val="9"/>
  </w:num>
  <w:num w:numId="2" w16cid:durableId="145631131">
    <w:abstractNumId w:val="33"/>
  </w:num>
  <w:num w:numId="3" w16cid:durableId="567572248">
    <w:abstractNumId w:val="7"/>
  </w:num>
  <w:num w:numId="4" w16cid:durableId="278224570">
    <w:abstractNumId w:val="38"/>
  </w:num>
  <w:num w:numId="5" w16cid:durableId="884684984">
    <w:abstractNumId w:val="25"/>
  </w:num>
  <w:num w:numId="6" w16cid:durableId="2084251798">
    <w:abstractNumId w:val="50"/>
  </w:num>
  <w:num w:numId="7" w16cid:durableId="2098014032">
    <w:abstractNumId w:val="6"/>
  </w:num>
  <w:num w:numId="8" w16cid:durableId="574782315">
    <w:abstractNumId w:val="15"/>
  </w:num>
  <w:num w:numId="9" w16cid:durableId="1335573768">
    <w:abstractNumId w:val="24"/>
  </w:num>
  <w:num w:numId="10" w16cid:durableId="867914696">
    <w:abstractNumId w:val="48"/>
  </w:num>
  <w:num w:numId="11" w16cid:durableId="803162380">
    <w:abstractNumId w:val="53"/>
  </w:num>
  <w:num w:numId="12" w16cid:durableId="1113786918">
    <w:abstractNumId w:val="45"/>
  </w:num>
  <w:num w:numId="13" w16cid:durableId="569005245">
    <w:abstractNumId w:val="37"/>
  </w:num>
  <w:num w:numId="14" w16cid:durableId="1272281805">
    <w:abstractNumId w:val="47"/>
  </w:num>
  <w:num w:numId="15" w16cid:durableId="1541744529">
    <w:abstractNumId w:val="28"/>
  </w:num>
  <w:num w:numId="16" w16cid:durableId="819153594">
    <w:abstractNumId w:val="36"/>
  </w:num>
  <w:num w:numId="17" w16cid:durableId="1682275324">
    <w:abstractNumId w:val="22"/>
  </w:num>
  <w:num w:numId="18" w16cid:durableId="710619285">
    <w:abstractNumId w:val="13"/>
  </w:num>
  <w:num w:numId="19" w16cid:durableId="529876618">
    <w:abstractNumId w:val="12"/>
  </w:num>
  <w:num w:numId="20" w16cid:durableId="5861913">
    <w:abstractNumId w:val="34"/>
  </w:num>
  <w:num w:numId="21" w16cid:durableId="1786540321">
    <w:abstractNumId w:val="0"/>
  </w:num>
  <w:num w:numId="22" w16cid:durableId="795567412">
    <w:abstractNumId w:val="2"/>
  </w:num>
  <w:num w:numId="23" w16cid:durableId="870071873">
    <w:abstractNumId w:val="29"/>
  </w:num>
  <w:num w:numId="24" w16cid:durableId="1701320820">
    <w:abstractNumId w:val="4"/>
  </w:num>
  <w:num w:numId="25" w16cid:durableId="1591505404">
    <w:abstractNumId w:val="18"/>
  </w:num>
  <w:num w:numId="26" w16cid:durableId="1641881276">
    <w:abstractNumId w:val="52"/>
  </w:num>
  <w:num w:numId="27" w16cid:durableId="915557309">
    <w:abstractNumId w:val="46"/>
  </w:num>
  <w:num w:numId="28" w16cid:durableId="818614730">
    <w:abstractNumId w:val="20"/>
  </w:num>
  <w:num w:numId="29" w16cid:durableId="531577704">
    <w:abstractNumId w:val="19"/>
  </w:num>
  <w:num w:numId="30" w16cid:durableId="1909268601">
    <w:abstractNumId w:val="5"/>
  </w:num>
  <w:num w:numId="31" w16cid:durableId="398596278">
    <w:abstractNumId w:val="14"/>
  </w:num>
  <w:num w:numId="32" w16cid:durableId="1857424744">
    <w:abstractNumId w:val="30"/>
  </w:num>
  <w:num w:numId="33" w16cid:durableId="924919559">
    <w:abstractNumId w:val="39"/>
  </w:num>
  <w:num w:numId="34" w16cid:durableId="1886672142">
    <w:abstractNumId w:val="17"/>
  </w:num>
  <w:num w:numId="35" w16cid:durableId="1586954623">
    <w:abstractNumId w:val="26"/>
  </w:num>
  <w:num w:numId="36" w16cid:durableId="2013290443">
    <w:abstractNumId w:val="21"/>
  </w:num>
  <w:num w:numId="37" w16cid:durableId="1375884026">
    <w:abstractNumId w:val="40"/>
  </w:num>
  <w:num w:numId="38" w16cid:durableId="1953244315">
    <w:abstractNumId w:val="31"/>
  </w:num>
  <w:num w:numId="39" w16cid:durableId="1454908491">
    <w:abstractNumId w:val="11"/>
  </w:num>
  <w:num w:numId="40" w16cid:durableId="2002348417">
    <w:abstractNumId w:val="49"/>
  </w:num>
  <w:num w:numId="41" w16cid:durableId="175853403">
    <w:abstractNumId w:val="41"/>
  </w:num>
  <w:num w:numId="42" w16cid:durableId="4208172">
    <w:abstractNumId w:val="8"/>
  </w:num>
  <w:num w:numId="43" w16cid:durableId="156310651">
    <w:abstractNumId w:val="16"/>
  </w:num>
  <w:num w:numId="44" w16cid:durableId="1729111694">
    <w:abstractNumId w:val="32"/>
  </w:num>
  <w:num w:numId="45" w16cid:durableId="1111323087">
    <w:abstractNumId w:val="51"/>
  </w:num>
  <w:num w:numId="46" w16cid:durableId="2074037279">
    <w:abstractNumId w:val="23"/>
  </w:num>
  <w:num w:numId="47" w16cid:durableId="2108112311">
    <w:abstractNumId w:val="1"/>
  </w:num>
  <w:num w:numId="48" w16cid:durableId="688457889">
    <w:abstractNumId w:val="3"/>
  </w:num>
  <w:num w:numId="49" w16cid:durableId="66998217">
    <w:abstractNumId w:val="10"/>
  </w:num>
  <w:num w:numId="50" w16cid:durableId="801851769">
    <w:abstractNumId w:val="44"/>
  </w:num>
  <w:num w:numId="51" w16cid:durableId="1818184585">
    <w:abstractNumId w:val="27"/>
  </w:num>
  <w:num w:numId="52" w16cid:durableId="675037348">
    <w:abstractNumId w:val="35"/>
  </w:num>
  <w:num w:numId="53" w16cid:durableId="296375266">
    <w:abstractNumId w:val="42"/>
  </w:num>
  <w:num w:numId="54" w16cid:durableId="2071730871">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672"/>
    <w:rsid w:val="00001338"/>
    <w:rsid w:val="000015D2"/>
    <w:rsid w:val="0000567A"/>
    <w:rsid w:val="00013E16"/>
    <w:rsid w:val="000218C7"/>
    <w:rsid w:val="00022241"/>
    <w:rsid w:val="00022785"/>
    <w:rsid w:val="000325C1"/>
    <w:rsid w:val="00035831"/>
    <w:rsid w:val="00040EDF"/>
    <w:rsid w:val="00042125"/>
    <w:rsid w:val="00042AF8"/>
    <w:rsid w:val="00043116"/>
    <w:rsid w:val="000517FF"/>
    <w:rsid w:val="00054192"/>
    <w:rsid w:val="0005518A"/>
    <w:rsid w:val="00063797"/>
    <w:rsid w:val="00070984"/>
    <w:rsid w:val="00072A35"/>
    <w:rsid w:val="00076FBB"/>
    <w:rsid w:val="00077DBB"/>
    <w:rsid w:val="00077E16"/>
    <w:rsid w:val="00081965"/>
    <w:rsid w:val="00087623"/>
    <w:rsid w:val="0009526F"/>
    <w:rsid w:val="000A0DFE"/>
    <w:rsid w:val="000A3FF9"/>
    <w:rsid w:val="000A5FAB"/>
    <w:rsid w:val="000B2B12"/>
    <w:rsid w:val="000B5B4D"/>
    <w:rsid w:val="000C4B4A"/>
    <w:rsid w:val="000C71DE"/>
    <w:rsid w:val="000D290A"/>
    <w:rsid w:val="000D2FEF"/>
    <w:rsid w:val="000D30C8"/>
    <w:rsid w:val="000D35F6"/>
    <w:rsid w:val="000D520D"/>
    <w:rsid w:val="000D6364"/>
    <w:rsid w:val="000E749A"/>
    <w:rsid w:val="000F3D89"/>
    <w:rsid w:val="000F64BC"/>
    <w:rsid w:val="00101E12"/>
    <w:rsid w:val="00101FA3"/>
    <w:rsid w:val="0010377D"/>
    <w:rsid w:val="001051B4"/>
    <w:rsid w:val="00107AF7"/>
    <w:rsid w:val="00107DC9"/>
    <w:rsid w:val="001126E1"/>
    <w:rsid w:val="001145AA"/>
    <w:rsid w:val="00115AC5"/>
    <w:rsid w:val="00115BF9"/>
    <w:rsid w:val="00124676"/>
    <w:rsid w:val="00127539"/>
    <w:rsid w:val="00127D02"/>
    <w:rsid w:val="00146164"/>
    <w:rsid w:val="00146EFB"/>
    <w:rsid w:val="001505A4"/>
    <w:rsid w:val="00160DDB"/>
    <w:rsid w:val="00164286"/>
    <w:rsid w:val="00166DDD"/>
    <w:rsid w:val="0017115E"/>
    <w:rsid w:val="0017184D"/>
    <w:rsid w:val="00174D58"/>
    <w:rsid w:val="001825F7"/>
    <w:rsid w:val="0018347D"/>
    <w:rsid w:val="00187940"/>
    <w:rsid w:val="00190C5D"/>
    <w:rsid w:val="00197A0A"/>
    <w:rsid w:val="001A0C63"/>
    <w:rsid w:val="001A72CD"/>
    <w:rsid w:val="001B3F4E"/>
    <w:rsid w:val="001B630B"/>
    <w:rsid w:val="001B798B"/>
    <w:rsid w:val="001C32D9"/>
    <w:rsid w:val="001D12C3"/>
    <w:rsid w:val="001D4E0F"/>
    <w:rsid w:val="001D6B5A"/>
    <w:rsid w:val="001D7F59"/>
    <w:rsid w:val="001F0039"/>
    <w:rsid w:val="0020068C"/>
    <w:rsid w:val="00202558"/>
    <w:rsid w:val="00203A81"/>
    <w:rsid w:val="0020514F"/>
    <w:rsid w:val="002168DF"/>
    <w:rsid w:val="00234C09"/>
    <w:rsid w:val="00235755"/>
    <w:rsid w:val="00235B2F"/>
    <w:rsid w:val="00256B57"/>
    <w:rsid w:val="00260F12"/>
    <w:rsid w:val="00261671"/>
    <w:rsid w:val="002646FA"/>
    <w:rsid w:val="0027105B"/>
    <w:rsid w:val="00271090"/>
    <w:rsid w:val="00272AFE"/>
    <w:rsid w:val="00274FCF"/>
    <w:rsid w:val="00275D0C"/>
    <w:rsid w:val="00275E41"/>
    <w:rsid w:val="00277655"/>
    <w:rsid w:val="0028324D"/>
    <w:rsid w:val="00284FDC"/>
    <w:rsid w:val="002911A1"/>
    <w:rsid w:val="00291201"/>
    <w:rsid w:val="002A1FE9"/>
    <w:rsid w:val="002A4BFF"/>
    <w:rsid w:val="002C7CA8"/>
    <w:rsid w:val="002D5686"/>
    <w:rsid w:val="002E19B6"/>
    <w:rsid w:val="002F2381"/>
    <w:rsid w:val="002F26C7"/>
    <w:rsid w:val="00300AAD"/>
    <w:rsid w:val="00311567"/>
    <w:rsid w:val="00311FC8"/>
    <w:rsid w:val="003153D0"/>
    <w:rsid w:val="003169DA"/>
    <w:rsid w:val="00330A94"/>
    <w:rsid w:val="00333BD3"/>
    <w:rsid w:val="003346D0"/>
    <w:rsid w:val="00336614"/>
    <w:rsid w:val="003451BF"/>
    <w:rsid w:val="00345B70"/>
    <w:rsid w:val="003506E6"/>
    <w:rsid w:val="003559FC"/>
    <w:rsid w:val="00355D91"/>
    <w:rsid w:val="0035694F"/>
    <w:rsid w:val="00365D23"/>
    <w:rsid w:val="0037256F"/>
    <w:rsid w:val="0038263C"/>
    <w:rsid w:val="00382DF6"/>
    <w:rsid w:val="00384350"/>
    <w:rsid w:val="0038712D"/>
    <w:rsid w:val="00391AA0"/>
    <w:rsid w:val="00392932"/>
    <w:rsid w:val="003A12FD"/>
    <w:rsid w:val="003A3466"/>
    <w:rsid w:val="003A4170"/>
    <w:rsid w:val="003A64CF"/>
    <w:rsid w:val="003B007A"/>
    <w:rsid w:val="003B008F"/>
    <w:rsid w:val="003B6EB9"/>
    <w:rsid w:val="003C02E5"/>
    <w:rsid w:val="003C26EA"/>
    <w:rsid w:val="003C3D20"/>
    <w:rsid w:val="003C6EBB"/>
    <w:rsid w:val="003D17CA"/>
    <w:rsid w:val="003D2188"/>
    <w:rsid w:val="003D25A6"/>
    <w:rsid w:val="003D2C17"/>
    <w:rsid w:val="003D4FC3"/>
    <w:rsid w:val="003D52C4"/>
    <w:rsid w:val="003D5322"/>
    <w:rsid w:val="003D6203"/>
    <w:rsid w:val="003E0156"/>
    <w:rsid w:val="003E30BD"/>
    <w:rsid w:val="003E3DA4"/>
    <w:rsid w:val="003E5C16"/>
    <w:rsid w:val="003E6551"/>
    <w:rsid w:val="003E670F"/>
    <w:rsid w:val="003E73DC"/>
    <w:rsid w:val="003F0593"/>
    <w:rsid w:val="003F3507"/>
    <w:rsid w:val="003F64D4"/>
    <w:rsid w:val="00402724"/>
    <w:rsid w:val="00413489"/>
    <w:rsid w:val="0041769F"/>
    <w:rsid w:val="00421DFA"/>
    <w:rsid w:val="0042329B"/>
    <w:rsid w:val="004241A2"/>
    <w:rsid w:val="0042765B"/>
    <w:rsid w:val="00431D60"/>
    <w:rsid w:val="0043387E"/>
    <w:rsid w:val="00434579"/>
    <w:rsid w:val="00434B76"/>
    <w:rsid w:val="004378D0"/>
    <w:rsid w:val="004443CD"/>
    <w:rsid w:val="00445954"/>
    <w:rsid w:val="00447C89"/>
    <w:rsid w:val="004501D7"/>
    <w:rsid w:val="00453540"/>
    <w:rsid w:val="0045480B"/>
    <w:rsid w:val="00455D05"/>
    <w:rsid w:val="00457C8C"/>
    <w:rsid w:val="00460D81"/>
    <w:rsid w:val="00461F01"/>
    <w:rsid w:val="00463730"/>
    <w:rsid w:val="004642E4"/>
    <w:rsid w:val="004645B7"/>
    <w:rsid w:val="00465EF7"/>
    <w:rsid w:val="00467E4B"/>
    <w:rsid w:val="0047497F"/>
    <w:rsid w:val="00474C04"/>
    <w:rsid w:val="00481CD0"/>
    <w:rsid w:val="00485973"/>
    <w:rsid w:val="00486D6D"/>
    <w:rsid w:val="00491EAD"/>
    <w:rsid w:val="00494FE6"/>
    <w:rsid w:val="004955C6"/>
    <w:rsid w:val="004B06BF"/>
    <w:rsid w:val="004B15EC"/>
    <w:rsid w:val="004B19A0"/>
    <w:rsid w:val="004B1AA5"/>
    <w:rsid w:val="004B2322"/>
    <w:rsid w:val="004C16CB"/>
    <w:rsid w:val="004D28B4"/>
    <w:rsid w:val="004D347F"/>
    <w:rsid w:val="004D38C8"/>
    <w:rsid w:val="004D56D0"/>
    <w:rsid w:val="004D6B8E"/>
    <w:rsid w:val="004D780A"/>
    <w:rsid w:val="004E208A"/>
    <w:rsid w:val="004F1047"/>
    <w:rsid w:val="004F7019"/>
    <w:rsid w:val="004F738E"/>
    <w:rsid w:val="00501FB3"/>
    <w:rsid w:val="00504F9D"/>
    <w:rsid w:val="00511835"/>
    <w:rsid w:val="00514E22"/>
    <w:rsid w:val="0052062D"/>
    <w:rsid w:val="005230D0"/>
    <w:rsid w:val="00523798"/>
    <w:rsid w:val="005238FE"/>
    <w:rsid w:val="00524385"/>
    <w:rsid w:val="00524905"/>
    <w:rsid w:val="0052505A"/>
    <w:rsid w:val="00533725"/>
    <w:rsid w:val="0053775C"/>
    <w:rsid w:val="005433A9"/>
    <w:rsid w:val="00546EFA"/>
    <w:rsid w:val="00551ACB"/>
    <w:rsid w:val="00557013"/>
    <w:rsid w:val="0056284E"/>
    <w:rsid w:val="00581F47"/>
    <w:rsid w:val="00591722"/>
    <w:rsid w:val="005A4A84"/>
    <w:rsid w:val="005A755C"/>
    <w:rsid w:val="005B3DD1"/>
    <w:rsid w:val="005B4123"/>
    <w:rsid w:val="005D0A01"/>
    <w:rsid w:val="005D514F"/>
    <w:rsid w:val="005E5B23"/>
    <w:rsid w:val="005F0B6F"/>
    <w:rsid w:val="005F1369"/>
    <w:rsid w:val="005F23F1"/>
    <w:rsid w:val="005F24E9"/>
    <w:rsid w:val="005F6713"/>
    <w:rsid w:val="00600BDF"/>
    <w:rsid w:val="0060189C"/>
    <w:rsid w:val="00606B89"/>
    <w:rsid w:val="00611908"/>
    <w:rsid w:val="00612122"/>
    <w:rsid w:val="006136D0"/>
    <w:rsid w:val="00615E09"/>
    <w:rsid w:val="006231FC"/>
    <w:rsid w:val="00625F15"/>
    <w:rsid w:val="00626060"/>
    <w:rsid w:val="0063017A"/>
    <w:rsid w:val="006306F2"/>
    <w:rsid w:val="006328FA"/>
    <w:rsid w:val="00636E64"/>
    <w:rsid w:val="00640A41"/>
    <w:rsid w:val="006433E2"/>
    <w:rsid w:val="00645C7C"/>
    <w:rsid w:val="00652A2F"/>
    <w:rsid w:val="006573A0"/>
    <w:rsid w:val="006578E0"/>
    <w:rsid w:val="00665255"/>
    <w:rsid w:val="006676F4"/>
    <w:rsid w:val="00670669"/>
    <w:rsid w:val="0067580E"/>
    <w:rsid w:val="006767D9"/>
    <w:rsid w:val="0068395B"/>
    <w:rsid w:val="006875C2"/>
    <w:rsid w:val="00694343"/>
    <w:rsid w:val="006946F5"/>
    <w:rsid w:val="006A38B1"/>
    <w:rsid w:val="006A3EFE"/>
    <w:rsid w:val="006A5AF8"/>
    <w:rsid w:val="006B3890"/>
    <w:rsid w:val="006B3F76"/>
    <w:rsid w:val="006B4055"/>
    <w:rsid w:val="006B415A"/>
    <w:rsid w:val="006B4603"/>
    <w:rsid w:val="006C0901"/>
    <w:rsid w:val="006C10D9"/>
    <w:rsid w:val="006C2FE7"/>
    <w:rsid w:val="006D05E0"/>
    <w:rsid w:val="006E434D"/>
    <w:rsid w:val="006E4CF1"/>
    <w:rsid w:val="006F19A4"/>
    <w:rsid w:val="006F4970"/>
    <w:rsid w:val="00700CE0"/>
    <w:rsid w:val="007010AD"/>
    <w:rsid w:val="00704043"/>
    <w:rsid w:val="0070674C"/>
    <w:rsid w:val="00707D3C"/>
    <w:rsid w:val="00711C5B"/>
    <w:rsid w:val="007132C6"/>
    <w:rsid w:val="00722325"/>
    <w:rsid w:val="007253C8"/>
    <w:rsid w:val="007302B3"/>
    <w:rsid w:val="007308EF"/>
    <w:rsid w:val="00732928"/>
    <w:rsid w:val="00733995"/>
    <w:rsid w:val="00736CEC"/>
    <w:rsid w:val="007405BF"/>
    <w:rsid w:val="007417AC"/>
    <w:rsid w:val="00742B52"/>
    <w:rsid w:val="00744553"/>
    <w:rsid w:val="00746573"/>
    <w:rsid w:val="00747813"/>
    <w:rsid w:val="00757263"/>
    <w:rsid w:val="007623BA"/>
    <w:rsid w:val="007630E3"/>
    <w:rsid w:val="00764938"/>
    <w:rsid w:val="007653F4"/>
    <w:rsid w:val="00766B04"/>
    <w:rsid w:val="00772079"/>
    <w:rsid w:val="007727B5"/>
    <w:rsid w:val="00777853"/>
    <w:rsid w:val="00777886"/>
    <w:rsid w:val="00780805"/>
    <w:rsid w:val="007829FB"/>
    <w:rsid w:val="00783774"/>
    <w:rsid w:val="00793665"/>
    <w:rsid w:val="007A2DED"/>
    <w:rsid w:val="007A4513"/>
    <w:rsid w:val="007A49DD"/>
    <w:rsid w:val="007A4C09"/>
    <w:rsid w:val="007B4F0B"/>
    <w:rsid w:val="007B7035"/>
    <w:rsid w:val="007C0137"/>
    <w:rsid w:val="007C4391"/>
    <w:rsid w:val="007C4441"/>
    <w:rsid w:val="007C4FE1"/>
    <w:rsid w:val="007C5624"/>
    <w:rsid w:val="007C7AD6"/>
    <w:rsid w:val="007D0BD3"/>
    <w:rsid w:val="007D6255"/>
    <w:rsid w:val="007D680B"/>
    <w:rsid w:val="007D7A58"/>
    <w:rsid w:val="007F2641"/>
    <w:rsid w:val="007F3AB0"/>
    <w:rsid w:val="007F3E99"/>
    <w:rsid w:val="008061E1"/>
    <w:rsid w:val="0081234A"/>
    <w:rsid w:val="00814E24"/>
    <w:rsid w:val="00815373"/>
    <w:rsid w:val="00816689"/>
    <w:rsid w:val="008177C3"/>
    <w:rsid w:val="00825423"/>
    <w:rsid w:val="00826D77"/>
    <w:rsid w:val="00827B53"/>
    <w:rsid w:val="0083305A"/>
    <w:rsid w:val="0083385B"/>
    <w:rsid w:val="008346E3"/>
    <w:rsid w:val="00837F90"/>
    <w:rsid w:val="00841211"/>
    <w:rsid w:val="008415F3"/>
    <w:rsid w:val="00844563"/>
    <w:rsid w:val="00846EA8"/>
    <w:rsid w:val="008532DE"/>
    <w:rsid w:val="0085466E"/>
    <w:rsid w:val="008626A0"/>
    <w:rsid w:val="008658C9"/>
    <w:rsid w:val="00870D58"/>
    <w:rsid w:val="00872261"/>
    <w:rsid w:val="008813EA"/>
    <w:rsid w:val="00887B61"/>
    <w:rsid w:val="00887BEE"/>
    <w:rsid w:val="008974EB"/>
    <w:rsid w:val="008975CF"/>
    <w:rsid w:val="008A0C12"/>
    <w:rsid w:val="008A0CBF"/>
    <w:rsid w:val="008A1C15"/>
    <w:rsid w:val="008A532C"/>
    <w:rsid w:val="008A59F6"/>
    <w:rsid w:val="008B1CB2"/>
    <w:rsid w:val="008B26E6"/>
    <w:rsid w:val="008B3887"/>
    <w:rsid w:val="008B444B"/>
    <w:rsid w:val="008B45BC"/>
    <w:rsid w:val="008C2046"/>
    <w:rsid w:val="008D49CC"/>
    <w:rsid w:val="008D726B"/>
    <w:rsid w:val="008E1D66"/>
    <w:rsid w:val="008E2982"/>
    <w:rsid w:val="008E6771"/>
    <w:rsid w:val="008F026A"/>
    <w:rsid w:val="008F23B7"/>
    <w:rsid w:val="0092071E"/>
    <w:rsid w:val="00921FFC"/>
    <w:rsid w:val="00926DE7"/>
    <w:rsid w:val="00927779"/>
    <w:rsid w:val="00927EE1"/>
    <w:rsid w:val="009368D8"/>
    <w:rsid w:val="00936EB3"/>
    <w:rsid w:val="009402CB"/>
    <w:rsid w:val="00940819"/>
    <w:rsid w:val="00942B97"/>
    <w:rsid w:val="009438EE"/>
    <w:rsid w:val="0095272C"/>
    <w:rsid w:val="009571CC"/>
    <w:rsid w:val="00961B03"/>
    <w:rsid w:val="009624F3"/>
    <w:rsid w:val="00964EF3"/>
    <w:rsid w:val="00966E30"/>
    <w:rsid w:val="00985CD2"/>
    <w:rsid w:val="009877C7"/>
    <w:rsid w:val="00992368"/>
    <w:rsid w:val="00994E31"/>
    <w:rsid w:val="009A0CC7"/>
    <w:rsid w:val="009A31DC"/>
    <w:rsid w:val="009A43A5"/>
    <w:rsid w:val="009A6687"/>
    <w:rsid w:val="009B6C15"/>
    <w:rsid w:val="009C33C4"/>
    <w:rsid w:val="009C4925"/>
    <w:rsid w:val="009C7C11"/>
    <w:rsid w:val="009D2672"/>
    <w:rsid w:val="009D29CC"/>
    <w:rsid w:val="009E35B3"/>
    <w:rsid w:val="009F1FB6"/>
    <w:rsid w:val="009F3942"/>
    <w:rsid w:val="009F6B90"/>
    <w:rsid w:val="009F786B"/>
    <w:rsid w:val="00A004E0"/>
    <w:rsid w:val="00A04E27"/>
    <w:rsid w:val="00A07B3F"/>
    <w:rsid w:val="00A108A4"/>
    <w:rsid w:val="00A12B40"/>
    <w:rsid w:val="00A13CAF"/>
    <w:rsid w:val="00A14C56"/>
    <w:rsid w:val="00A204F2"/>
    <w:rsid w:val="00A212D6"/>
    <w:rsid w:val="00A27407"/>
    <w:rsid w:val="00A51C7B"/>
    <w:rsid w:val="00A54C41"/>
    <w:rsid w:val="00A64C33"/>
    <w:rsid w:val="00A6695D"/>
    <w:rsid w:val="00A7360E"/>
    <w:rsid w:val="00A7518B"/>
    <w:rsid w:val="00A816CA"/>
    <w:rsid w:val="00A84C1C"/>
    <w:rsid w:val="00A86290"/>
    <w:rsid w:val="00A90F66"/>
    <w:rsid w:val="00A93B14"/>
    <w:rsid w:val="00A96A5D"/>
    <w:rsid w:val="00A9764C"/>
    <w:rsid w:val="00A97BD1"/>
    <w:rsid w:val="00AA2FE1"/>
    <w:rsid w:val="00AA46B0"/>
    <w:rsid w:val="00AA5460"/>
    <w:rsid w:val="00AB1B16"/>
    <w:rsid w:val="00AB260F"/>
    <w:rsid w:val="00AB4C36"/>
    <w:rsid w:val="00AB5D11"/>
    <w:rsid w:val="00AB62FB"/>
    <w:rsid w:val="00AC19E5"/>
    <w:rsid w:val="00AC20F6"/>
    <w:rsid w:val="00AC2BA6"/>
    <w:rsid w:val="00AC40AB"/>
    <w:rsid w:val="00AD0449"/>
    <w:rsid w:val="00AD1562"/>
    <w:rsid w:val="00AD799B"/>
    <w:rsid w:val="00AE07F6"/>
    <w:rsid w:val="00AE1FEC"/>
    <w:rsid w:val="00AE3B08"/>
    <w:rsid w:val="00AE3F14"/>
    <w:rsid w:val="00AF1D80"/>
    <w:rsid w:val="00B00A36"/>
    <w:rsid w:val="00B00B74"/>
    <w:rsid w:val="00B0353A"/>
    <w:rsid w:val="00B04163"/>
    <w:rsid w:val="00B05B8A"/>
    <w:rsid w:val="00B16D0E"/>
    <w:rsid w:val="00B2489F"/>
    <w:rsid w:val="00B25077"/>
    <w:rsid w:val="00B272C1"/>
    <w:rsid w:val="00B3330B"/>
    <w:rsid w:val="00B339EE"/>
    <w:rsid w:val="00B35A73"/>
    <w:rsid w:val="00B36013"/>
    <w:rsid w:val="00B362D6"/>
    <w:rsid w:val="00B41649"/>
    <w:rsid w:val="00B44B97"/>
    <w:rsid w:val="00B50852"/>
    <w:rsid w:val="00B55191"/>
    <w:rsid w:val="00B55A0B"/>
    <w:rsid w:val="00B6400F"/>
    <w:rsid w:val="00B65216"/>
    <w:rsid w:val="00B6736A"/>
    <w:rsid w:val="00B7713C"/>
    <w:rsid w:val="00B81040"/>
    <w:rsid w:val="00B87B91"/>
    <w:rsid w:val="00B948FE"/>
    <w:rsid w:val="00BA4BDB"/>
    <w:rsid w:val="00BA75DB"/>
    <w:rsid w:val="00BB2428"/>
    <w:rsid w:val="00BB2ADB"/>
    <w:rsid w:val="00BB5B87"/>
    <w:rsid w:val="00BB7310"/>
    <w:rsid w:val="00BC087B"/>
    <w:rsid w:val="00BC1CFD"/>
    <w:rsid w:val="00BC40A9"/>
    <w:rsid w:val="00BC48D2"/>
    <w:rsid w:val="00BC59F0"/>
    <w:rsid w:val="00BD01C4"/>
    <w:rsid w:val="00BD23C3"/>
    <w:rsid w:val="00BD6E43"/>
    <w:rsid w:val="00BE14F8"/>
    <w:rsid w:val="00BF0A9A"/>
    <w:rsid w:val="00BF566A"/>
    <w:rsid w:val="00BF643A"/>
    <w:rsid w:val="00BF7055"/>
    <w:rsid w:val="00C01463"/>
    <w:rsid w:val="00C03C33"/>
    <w:rsid w:val="00C0603E"/>
    <w:rsid w:val="00C11AD3"/>
    <w:rsid w:val="00C12357"/>
    <w:rsid w:val="00C13B73"/>
    <w:rsid w:val="00C15919"/>
    <w:rsid w:val="00C2180F"/>
    <w:rsid w:val="00C24C86"/>
    <w:rsid w:val="00C24EB0"/>
    <w:rsid w:val="00C30BFC"/>
    <w:rsid w:val="00C344D4"/>
    <w:rsid w:val="00C45A50"/>
    <w:rsid w:val="00C52A00"/>
    <w:rsid w:val="00C52C8D"/>
    <w:rsid w:val="00C57C9A"/>
    <w:rsid w:val="00C62ABA"/>
    <w:rsid w:val="00C64A6C"/>
    <w:rsid w:val="00C65758"/>
    <w:rsid w:val="00C65829"/>
    <w:rsid w:val="00C7040E"/>
    <w:rsid w:val="00C7376B"/>
    <w:rsid w:val="00C83116"/>
    <w:rsid w:val="00C85B80"/>
    <w:rsid w:val="00C9149C"/>
    <w:rsid w:val="00C91B54"/>
    <w:rsid w:val="00C92DA7"/>
    <w:rsid w:val="00C97F9B"/>
    <w:rsid w:val="00CA40F0"/>
    <w:rsid w:val="00CB5C6C"/>
    <w:rsid w:val="00CC3D3F"/>
    <w:rsid w:val="00CC5C93"/>
    <w:rsid w:val="00CD1418"/>
    <w:rsid w:val="00CD63CE"/>
    <w:rsid w:val="00CD6F3E"/>
    <w:rsid w:val="00CE26AE"/>
    <w:rsid w:val="00CE4D45"/>
    <w:rsid w:val="00CE64E0"/>
    <w:rsid w:val="00D056BB"/>
    <w:rsid w:val="00D1427B"/>
    <w:rsid w:val="00D15BCA"/>
    <w:rsid w:val="00D16850"/>
    <w:rsid w:val="00D2681C"/>
    <w:rsid w:val="00D458D1"/>
    <w:rsid w:val="00D477E0"/>
    <w:rsid w:val="00D51428"/>
    <w:rsid w:val="00D51D0E"/>
    <w:rsid w:val="00D52F32"/>
    <w:rsid w:val="00D53935"/>
    <w:rsid w:val="00D53A51"/>
    <w:rsid w:val="00D56CC9"/>
    <w:rsid w:val="00D6027D"/>
    <w:rsid w:val="00D6348C"/>
    <w:rsid w:val="00D65D3D"/>
    <w:rsid w:val="00D74D67"/>
    <w:rsid w:val="00D769AE"/>
    <w:rsid w:val="00D76B9A"/>
    <w:rsid w:val="00D82800"/>
    <w:rsid w:val="00D91F96"/>
    <w:rsid w:val="00D9267C"/>
    <w:rsid w:val="00D934B5"/>
    <w:rsid w:val="00D93B45"/>
    <w:rsid w:val="00D94135"/>
    <w:rsid w:val="00D977CC"/>
    <w:rsid w:val="00DA0CB8"/>
    <w:rsid w:val="00DA0E69"/>
    <w:rsid w:val="00DA2252"/>
    <w:rsid w:val="00DA24EE"/>
    <w:rsid w:val="00DB09F2"/>
    <w:rsid w:val="00DB210E"/>
    <w:rsid w:val="00DC09CC"/>
    <w:rsid w:val="00DC61E1"/>
    <w:rsid w:val="00DC6895"/>
    <w:rsid w:val="00DC79BB"/>
    <w:rsid w:val="00DC7DAA"/>
    <w:rsid w:val="00DD24DF"/>
    <w:rsid w:val="00DD3AF7"/>
    <w:rsid w:val="00DD3F5E"/>
    <w:rsid w:val="00DD5EE4"/>
    <w:rsid w:val="00DD79BB"/>
    <w:rsid w:val="00DE3084"/>
    <w:rsid w:val="00DE774A"/>
    <w:rsid w:val="00DF0280"/>
    <w:rsid w:val="00DF32E9"/>
    <w:rsid w:val="00DF4226"/>
    <w:rsid w:val="00DF44C9"/>
    <w:rsid w:val="00DF578A"/>
    <w:rsid w:val="00E02AB1"/>
    <w:rsid w:val="00E035A0"/>
    <w:rsid w:val="00E059FA"/>
    <w:rsid w:val="00E06007"/>
    <w:rsid w:val="00E07718"/>
    <w:rsid w:val="00E12981"/>
    <w:rsid w:val="00E144EB"/>
    <w:rsid w:val="00E14739"/>
    <w:rsid w:val="00E14F60"/>
    <w:rsid w:val="00E250E5"/>
    <w:rsid w:val="00E3006F"/>
    <w:rsid w:val="00E3212F"/>
    <w:rsid w:val="00E32B0F"/>
    <w:rsid w:val="00E32B26"/>
    <w:rsid w:val="00E40583"/>
    <w:rsid w:val="00E4295B"/>
    <w:rsid w:val="00E44458"/>
    <w:rsid w:val="00E52016"/>
    <w:rsid w:val="00E520E5"/>
    <w:rsid w:val="00E66931"/>
    <w:rsid w:val="00E7013B"/>
    <w:rsid w:val="00E719EC"/>
    <w:rsid w:val="00E71C6E"/>
    <w:rsid w:val="00E741D6"/>
    <w:rsid w:val="00E75E95"/>
    <w:rsid w:val="00E762C0"/>
    <w:rsid w:val="00E76F50"/>
    <w:rsid w:val="00E77367"/>
    <w:rsid w:val="00E776BD"/>
    <w:rsid w:val="00E82673"/>
    <w:rsid w:val="00E87228"/>
    <w:rsid w:val="00E876CA"/>
    <w:rsid w:val="00E94680"/>
    <w:rsid w:val="00E94AF9"/>
    <w:rsid w:val="00E96D79"/>
    <w:rsid w:val="00EA109E"/>
    <w:rsid w:val="00EB0AC4"/>
    <w:rsid w:val="00EB59AB"/>
    <w:rsid w:val="00EC3AC4"/>
    <w:rsid w:val="00ED1A43"/>
    <w:rsid w:val="00EE18C9"/>
    <w:rsid w:val="00EE1FA3"/>
    <w:rsid w:val="00EE7565"/>
    <w:rsid w:val="00EF7159"/>
    <w:rsid w:val="00EF7E6D"/>
    <w:rsid w:val="00F12930"/>
    <w:rsid w:val="00F175D9"/>
    <w:rsid w:val="00F2303E"/>
    <w:rsid w:val="00F43A72"/>
    <w:rsid w:val="00F5015D"/>
    <w:rsid w:val="00F51197"/>
    <w:rsid w:val="00F51CBE"/>
    <w:rsid w:val="00F51ED0"/>
    <w:rsid w:val="00F54BF2"/>
    <w:rsid w:val="00F564CF"/>
    <w:rsid w:val="00F63576"/>
    <w:rsid w:val="00F66A8C"/>
    <w:rsid w:val="00F72524"/>
    <w:rsid w:val="00F75739"/>
    <w:rsid w:val="00F80170"/>
    <w:rsid w:val="00F84011"/>
    <w:rsid w:val="00F95A2F"/>
    <w:rsid w:val="00F9601B"/>
    <w:rsid w:val="00FA5738"/>
    <w:rsid w:val="00FA6380"/>
    <w:rsid w:val="00FD1383"/>
    <w:rsid w:val="00FD40E0"/>
    <w:rsid w:val="00FE0881"/>
    <w:rsid w:val="00FE41CA"/>
    <w:rsid w:val="00FE45D7"/>
    <w:rsid w:val="00FF06A0"/>
    <w:rsid w:val="00FF0E39"/>
    <w:rsid w:val="00FF2A7C"/>
    <w:rsid w:val="00FF33D6"/>
    <w:rsid w:val="00FF573B"/>
    <w:rsid w:val="00FF5886"/>
  </w:rsids>
  <w:docVars>
    <w:docVar w:name="__Grammarly_42___1" w:val="H4sIAAAAAAAEAKtWcslP9kxRslIyNDY2MDCxsDAysjQyNzI3MTdT0lEKTi0uzszPAykwMqgFADz6G8s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A68737"/>
  <w15:docId w15:val="{4FF5D268-8F0E-4625-B8A6-68D171B6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3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link w:val="ListParagraph"/>
    <w:uiPriority w:val="34"/>
    <w:locked/>
  </w:style>
  <w:style w:type="paragraph" w:styleId="Revision">
    <w:name w:val="Revision"/>
    <w:hidden/>
    <w:uiPriority w:val="99"/>
    <w:semiHidden/>
    <w:pPr>
      <w:spacing w:after="0" w:line="240" w:lineRule="auto"/>
    </w:pPr>
  </w:style>
  <w:style w:type="paragraph" w:customStyle="1" w:styleId="ReportCover-Title">
    <w:name w:val="ReportCover-Title"/>
    <w:basedOn w:val="Normal"/>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Pr>
      <w:rFonts w:ascii="Calibri" w:eastAsia="Times New Roman" w:hAnsi="Calibri" w:cs="Times New Roman"/>
      <w:b/>
      <w:bCs/>
      <w:sz w:val="28"/>
      <w:szCs w:val="28"/>
    </w:rPr>
  </w:style>
  <w:style w:type="paragraph" w:customStyle="1" w:styleId="Paragraph">
    <w:name w:val="Paragraph"/>
    <w:basedOn w:val="Normal"/>
    <w:qFormat/>
    <w:pPr>
      <w:spacing w:after="160" w:line="264" w:lineRule="auto"/>
    </w:pPr>
  </w:style>
  <w:style w:type="paragraph" w:customStyle="1" w:styleId="MarkforTableHeading">
    <w:name w:val="Mark for Table Heading"/>
    <w:basedOn w:val="Normal"/>
    <w:next w:val="Normal"/>
    <w:qFormat/>
    <w:pPr>
      <w:keepNext/>
      <w:tabs>
        <w:tab w:val="left" w:pos="432"/>
      </w:tabs>
      <w:spacing w:after="60" w:line="240" w:lineRule="auto"/>
      <w:jc w:val="both"/>
    </w:pPr>
    <w:rPr>
      <w:rFonts w:ascii="Lucida Sans" w:eastAsia="Times New Roman" w:hAnsi="Lucida Sans" w:cs="Times New Roman"/>
      <w:b/>
      <w:sz w:val="18"/>
      <w:szCs w:val="24"/>
    </w:rPr>
  </w:style>
  <w:style w:type="paragraph" w:customStyle="1" w:styleId="TableHeaderCenter">
    <w:name w:val="Table Header Center"/>
    <w:basedOn w:val="Normal"/>
    <w:qFormat/>
    <w:pPr>
      <w:keepNext/>
      <w:spacing w:before="40" w:after="20" w:line="264" w:lineRule="auto"/>
      <w:jc w:val="center"/>
    </w:pPr>
    <w:rPr>
      <w:rFonts w:asciiTheme="majorHAnsi" w:hAnsiTheme="majorHAnsi"/>
      <w:color w:val="FFFFFF" w:themeColor="background1"/>
      <w:sz w:val="20"/>
    </w:rPr>
  </w:style>
  <w:style w:type="table" w:customStyle="1" w:styleId="TableGrid1">
    <w:name w:val="Table Grid1"/>
    <w:basedOn w:val="TableNormal"/>
    <w:next w:val="TableGrid"/>
    <w:uiPriority w:val="99"/>
    <w:pPr>
      <w:spacing w:after="0" w:line="240" w:lineRule="auto"/>
    </w:pPr>
    <w:tblPr>
      <w:tblBorders>
        <w:top w:val="dotted" w:sz="12" w:space="0" w:color="1F497D" w:themeColor="text2"/>
        <w:bottom w:val="dotted" w:sz="12" w:space="0" w:color="1F497D" w:themeColor="text2"/>
      </w:tblBorders>
    </w:tblPr>
  </w:style>
  <w:style w:type="table" w:customStyle="1" w:styleId="MathUBaseTable">
    <w:name w:val="MathU Base Table"/>
    <w:basedOn w:val="TableNormal"/>
    <w:uiPriority w:val="99"/>
    <w:pPr>
      <w:spacing w:before="40" w:after="20" w:line="240" w:lineRule="auto"/>
    </w:pPr>
    <w:rPr>
      <w:rFonts w:asciiTheme="majorHAnsi" w:hAnsiTheme="majorHAnsi"/>
      <w:sz w:val="18"/>
    </w:rPr>
    <w:tblPr>
      <w:tblBorders>
        <w:bottom w:val="single" w:sz="4" w:space="0" w:color="1F497D" w:themeColor="text2"/>
        <w:insideH w:val="single" w:sz="4" w:space="0" w:color="9BBB59"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1F497D" w:themeColor="text2"/>
          <w:right w:val="nil"/>
          <w:insideH w:val="nil"/>
          <w:insideV w:val="single" w:sz="4" w:space="0" w:color="FFFFFF" w:themeColor="background1"/>
          <w:tl2br w:val="nil"/>
          <w:tr2bl w:val="nil"/>
        </w:tcBorders>
        <w:shd w:val="clear" w:color="auto" w:fill="1F497D" w:themeFill="text2"/>
      </w:tcPr>
    </w:tblStylePr>
    <w:tblStylePr w:type="lastRow">
      <w:rPr>
        <w:color w:val="000000" w:themeColor="text1"/>
      </w:rPr>
      <w:tblPr/>
      <w:tcPr>
        <w:tcBorders>
          <w:bottom w:val="single" w:sz="4" w:space="0" w:color="1F497D" w:themeColor="text2"/>
        </w:tcBorders>
        <w:shd w:val="clear" w:color="auto" w:fill="FFFFFF" w:themeFill="background1"/>
      </w:tcPr>
    </w:tblStylePr>
    <w:tblStylePr w:type="firstCol">
      <w:tblPr/>
      <w:tcPr>
        <w:tcBorders>
          <w:right w:val="single" w:sz="4" w:space="0" w:color="9BBB59" w:themeColor="accent3"/>
        </w:tcBorders>
        <w:shd w:val="clear" w:color="auto" w:fill="FFFFFF" w:themeFill="background1"/>
      </w:tcPr>
    </w:tblStylePr>
    <w:tblStylePr w:type="lastCol">
      <w:tblPr/>
      <w:tcPr>
        <w:tcBorders>
          <w:top w:val="nil"/>
          <w:left w:val="nil"/>
          <w:bottom w:val="single" w:sz="4" w:space="0" w:color="9BBB59"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TableTextLeft">
    <w:name w:val="Table Text Left"/>
    <w:qFormat/>
    <w:pPr>
      <w:spacing w:before="40" w:after="20" w:line="264" w:lineRule="auto"/>
    </w:pPr>
    <w:rPr>
      <w:rFonts w:asciiTheme="majorHAnsi" w:hAnsiTheme="majorHAnsi"/>
      <w:color w:val="000000" w:themeColor="text1"/>
      <w:sz w:val="18"/>
    </w:rPr>
  </w:style>
  <w:style w:type="paragraph" w:customStyle="1" w:styleId="TableHeaderLeft">
    <w:name w:val="Table Header Left"/>
    <w:basedOn w:val="TableTextLeft"/>
    <w:qFormat/>
    <w:pPr>
      <w:keepNext/>
    </w:pPr>
    <w:rPr>
      <w:color w:val="FFFFFF" w:themeColor="background1"/>
      <w:sz w:val="20"/>
    </w:rPr>
  </w:style>
  <w:style w:type="paragraph" w:customStyle="1" w:styleId="TableTitle">
    <w:name w:val="Table Title"/>
    <w:basedOn w:val="Normal"/>
    <w:qFormat/>
    <w:pPr>
      <w:keepNext/>
      <w:keepLines/>
      <w:spacing w:before="40" w:after="40" w:line="264" w:lineRule="auto"/>
    </w:pPr>
    <w:rPr>
      <w:rFonts w:asciiTheme="majorHAnsi" w:hAnsiTheme="majorHAnsi"/>
      <w:b/>
      <w:color w:val="000000" w:themeColor="text1"/>
      <w:sz w:val="20"/>
    </w:rPr>
  </w:style>
  <w:style w:type="character" w:styleId="Emphasis">
    <w:name w:val="Emphasis"/>
    <w:basedOn w:val="DefaultParagraphFont"/>
    <w:uiPriority w:val="20"/>
    <w:qFormat/>
    <w:rPr>
      <w:i/>
      <w:iCs/>
    </w:rPr>
  </w:style>
  <w:style w:type="paragraph" w:customStyle="1" w:styleId="References">
    <w:name w:val="References"/>
    <w:basedOn w:val="Normal"/>
    <w:qFormat/>
    <w:pPr>
      <w:keepLines/>
      <w:spacing w:after="240" w:line="240" w:lineRule="auto"/>
      <w:ind w:left="432" w:hanging="432"/>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eastAsiaTheme="minorEastAsia" w:cs="Times New Roman"/>
      <w:color w:val="000000"/>
      <w:sz w:val="24"/>
      <w:szCs w:val="24"/>
    </w:rPr>
  </w:style>
  <w:style w:type="character" w:styleId="UnresolvedMention">
    <w:name w:val="Unresolved Mention"/>
    <w:basedOn w:val="DefaultParagraphFont"/>
    <w:uiPriority w:val="99"/>
    <w:semiHidden/>
    <w:unhideWhenUsed/>
    <w:rsid w:val="003A12FD"/>
    <w:rPr>
      <w:color w:val="605E5C"/>
      <w:shd w:val="clear" w:color="auto" w:fill="E1DFDD"/>
    </w:rPr>
  </w:style>
  <w:style w:type="paragraph" w:customStyle="1" w:styleId="xxxmsolistparagraph">
    <w:name w:val="xxxmsolistparagraph"/>
    <w:basedOn w:val="Normal"/>
    <w:rsid w:val="007A2DED"/>
    <w:pPr>
      <w:spacing w:before="100" w:beforeAutospacing="1" w:after="100" w:afterAutospacing="1" w:line="240" w:lineRule="auto"/>
    </w:pPr>
    <w:rPr>
      <w:rFonts w:ascii="Calibri" w:eastAsia="Times New Roman" w:hAnsi="Calibri" w:cs="Calibri"/>
    </w:rPr>
  </w:style>
  <w:style w:type="table" w:customStyle="1" w:styleId="TableGrid11">
    <w:name w:val="Table Grid11"/>
    <w:basedOn w:val="TableNormal"/>
    <w:next w:val="TableGrid"/>
    <w:rsid w:val="00E147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qFormat/>
    <w:rsid w:val="007C4391"/>
    <w:pPr>
      <w:numPr>
        <w:numId w:val="53"/>
      </w:numPr>
      <w:spacing w:before="120" w:after="120" w:line="264" w:lineRule="auto"/>
      <w:ind w:left="360"/>
    </w:pPr>
    <w:rPr>
      <w:rFonts w:eastAsia="Times New Roman" w:cs="Times New Roman"/>
      <w:sz w:val="24"/>
      <w:szCs w:val="20"/>
    </w:rPr>
  </w:style>
  <w:style w:type="character" w:customStyle="1" w:styleId="Heading1Char">
    <w:name w:val="Heading 1 Char"/>
    <w:basedOn w:val="DefaultParagraphFont"/>
    <w:link w:val="Heading1"/>
    <w:uiPriority w:val="9"/>
    <w:rsid w:val="0072232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aapor.org/Publications-Media/Public-Statements/AAPOR-Statement-on-Use-of-Incentives-in-Survey-Par.aspx" TargetMode="External" /><Relationship Id="rId2" Type="http://schemas.openxmlformats.org/officeDocument/2006/relationships/hyperlink" Target="https://www.bls.gov/oes/current/oes193099.htm" TargetMode="External" /><Relationship Id="rId3" Type="http://schemas.openxmlformats.org/officeDocument/2006/relationships/hyperlink" Target="https://www.bls.gov/oes/current/oes211099.htm" TargetMode="External" /><Relationship Id="rId4" Type="http://schemas.openxmlformats.org/officeDocument/2006/relationships/hyperlink" Target="https://www.bls.gov/oes/current/oes_nat.htm" TargetMode="External" /><Relationship Id="rId5" Type="http://schemas.openxmlformats.org/officeDocument/2006/relationships/hyperlink" Target="https://www.dol.gov/general/topic/wages/minimumwag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D2A4F-460A-41DF-B414-D9AC70FC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4564</Words>
  <Characters>26021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Zief</dc:creator>
  <cp:lastModifiedBy>Jones, Molly (ACF)</cp:lastModifiedBy>
  <cp:revision>2</cp:revision>
  <cp:lastPrinted>2023-03-23T18:48:00Z</cp:lastPrinted>
  <dcterms:created xsi:type="dcterms:W3CDTF">2023-05-22T15:11:00Z</dcterms:created>
  <dcterms:modified xsi:type="dcterms:W3CDTF">2023-05-22T15:11:00Z</dcterms:modified>
</cp:coreProperties>
</file>