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650E" w:rsidRPr="008813EA" w:rsidP="0042650E" w14:paraId="1164BB73" w14:textId="0D107E96">
      <w:pPr>
        <w:pStyle w:val="ReportCover-Title"/>
        <w:spacing w:before="240"/>
        <w:jc w:val="center"/>
        <w:rPr>
          <w:rFonts w:ascii="Arial" w:hAnsi="Arial" w:cs="Arial"/>
          <w:color w:val="auto"/>
        </w:rPr>
      </w:pPr>
      <w:bookmarkStart w:id="0" w:name="_Hlk124493021"/>
      <w:bookmarkStart w:id="1" w:name="_Hlk124350307"/>
      <w:r>
        <w:rPr>
          <w:color w:val="auto"/>
        </w:rPr>
        <w:t>The Adulthood Preparation Subjects (APS</w:t>
      </w:r>
      <w:r w:rsidR="00276CD7">
        <w:rPr>
          <w:color w:val="auto"/>
        </w:rPr>
        <w:t>s</w:t>
      </w:r>
      <w:r>
        <w:rPr>
          <w:color w:val="auto"/>
        </w:rPr>
        <w:t xml:space="preserve">) Study of Dosage and Cultural Relevance </w:t>
      </w:r>
      <w:bookmarkEnd w:id="0"/>
    </w:p>
    <w:bookmarkEnd w:id="1"/>
    <w:p w:rsidR="00A77839" w:rsidP="00D71AC1" w14:paraId="5D65EE98" w14:textId="77777777">
      <w:pPr>
        <w:pStyle w:val="ReportCover-Title"/>
        <w:spacing w:line="276" w:lineRule="auto"/>
        <w:rPr>
          <w:rFonts w:ascii="Arial" w:hAnsi="Arial" w:cs="Arial"/>
          <w:color w:val="auto"/>
        </w:rPr>
      </w:pPr>
    </w:p>
    <w:p w:rsidR="00A77839" w:rsidP="00D71AC1" w14:paraId="2A7F1E2D" w14:textId="055E6363">
      <w:pPr>
        <w:pStyle w:val="ReportCover-Title"/>
        <w:spacing w:line="276" w:lineRule="auto"/>
        <w:jc w:val="center"/>
        <w:rPr>
          <w:rFonts w:ascii="Arial" w:hAnsi="Arial" w:cs="Arial"/>
          <w:color w:val="auto"/>
          <w:sz w:val="32"/>
          <w:szCs w:val="32"/>
        </w:rPr>
      </w:pPr>
      <w:r>
        <w:rPr>
          <w:rFonts w:ascii="Arial" w:hAnsi="Arial" w:cs="Arial"/>
          <w:color w:val="auto"/>
          <w:sz w:val="32"/>
          <w:szCs w:val="32"/>
        </w:rPr>
        <w:t xml:space="preserve">Formative Data Collections for ACF </w:t>
      </w:r>
      <w:r w:rsidR="00F70A3A">
        <w:rPr>
          <w:rFonts w:ascii="Arial" w:hAnsi="Arial" w:cs="Arial"/>
          <w:color w:val="auto"/>
          <w:sz w:val="32"/>
          <w:szCs w:val="32"/>
        </w:rPr>
        <w:t>Program Support</w:t>
      </w:r>
    </w:p>
    <w:p w:rsidR="00A77839" w:rsidP="00D71AC1" w14:paraId="69B57FD5" w14:textId="445A7C6E">
      <w:pPr>
        <w:pStyle w:val="ReportCover-Title"/>
        <w:spacing w:line="276" w:lineRule="auto"/>
        <w:jc w:val="center"/>
        <w:rPr>
          <w:rFonts w:ascii="Arial" w:hAnsi="Arial" w:cs="Arial"/>
          <w:color w:val="auto"/>
          <w:sz w:val="32"/>
          <w:szCs w:val="32"/>
        </w:rPr>
      </w:pPr>
      <w:r w:rsidRPr="00054D02">
        <w:rPr>
          <w:rFonts w:ascii="Arial" w:hAnsi="Arial" w:cs="Arial"/>
          <w:color w:val="auto"/>
          <w:sz w:val="32"/>
          <w:szCs w:val="32"/>
        </w:rPr>
        <w:t>0970 - 0</w:t>
      </w:r>
      <w:r w:rsidR="00167E58">
        <w:rPr>
          <w:rFonts w:ascii="Arial" w:hAnsi="Arial" w:cs="Arial"/>
          <w:color w:val="auto"/>
          <w:sz w:val="32"/>
          <w:szCs w:val="32"/>
        </w:rPr>
        <w:t>5</w:t>
      </w:r>
      <w:r w:rsidRPr="00054D02">
        <w:rPr>
          <w:rFonts w:ascii="Arial" w:hAnsi="Arial" w:cs="Arial"/>
          <w:color w:val="auto"/>
          <w:sz w:val="32"/>
          <w:szCs w:val="32"/>
        </w:rPr>
        <w:t>3</w:t>
      </w:r>
      <w:r w:rsidR="00167E58">
        <w:rPr>
          <w:rFonts w:ascii="Arial" w:hAnsi="Arial" w:cs="Arial"/>
          <w:color w:val="auto"/>
          <w:sz w:val="32"/>
          <w:szCs w:val="32"/>
        </w:rPr>
        <w:t>1</w:t>
      </w:r>
    </w:p>
    <w:p w:rsidR="00A77839" w:rsidP="00D71AC1" w14:paraId="72F60643" w14:textId="77777777">
      <w:pPr>
        <w:rPr>
          <w:rFonts w:ascii="Arial" w:hAnsi="Arial" w:cs="Arial"/>
        </w:rPr>
      </w:pPr>
    </w:p>
    <w:p w:rsidR="00A77839" w:rsidP="00D71AC1" w14:paraId="635B2A27" w14:textId="77777777">
      <w:pPr>
        <w:pStyle w:val="ReportCover-Date"/>
        <w:spacing w:line="276" w:lineRule="auto"/>
        <w:jc w:val="center"/>
        <w:rPr>
          <w:rFonts w:ascii="Arial" w:hAnsi="Arial" w:cs="Arial"/>
          <w:color w:val="auto"/>
        </w:rPr>
      </w:pPr>
    </w:p>
    <w:p w:rsidR="00A77839" w:rsidP="00D71AC1" w14:paraId="3B6D1713" w14:textId="77777777">
      <w:pPr>
        <w:pStyle w:val="ReportCover-Date"/>
        <w:spacing w:after="360" w:line="276" w:lineRule="auto"/>
        <w:jc w:val="center"/>
        <w:rPr>
          <w:rFonts w:ascii="Arial" w:hAnsi="Arial" w:cs="Arial"/>
          <w:color w:val="auto"/>
          <w:sz w:val="48"/>
          <w:szCs w:val="48"/>
        </w:rPr>
      </w:pPr>
      <w:r>
        <w:rPr>
          <w:rFonts w:ascii="Arial" w:hAnsi="Arial" w:cs="Arial"/>
          <w:color w:val="auto"/>
          <w:sz w:val="48"/>
          <w:szCs w:val="48"/>
        </w:rPr>
        <w:t>Supporting Statement</w:t>
      </w:r>
    </w:p>
    <w:p w:rsidR="00A77839" w:rsidP="00D71AC1" w14:paraId="631B05DF" w14:textId="77777777">
      <w:pPr>
        <w:pStyle w:val="ReportCover-Date"/>
        <w:spacing w:after="360" w:line="276" w:lineRule="auto"/>
        <w:jc w:val="center"/>
        <w:rPr>
          <w:rFonts w:ascii="Arial" w:hAnsi="Arial" w:cs="Arial"/>
          <w:color w:val="auto"/>
          <w:sz w:val="48"/>
          <w:szCs w:val="48"/>
        </w:rPr>
      </w:pPr>
      <w:r>
        <w:rPr>
          <w:rFonts w:ascii="Arial" w:hAnsi="Arial" w:cs="Arial"/>
          <w:color w:val="auto"/>
          <w:sz w:val="48"/>
          <w:szCs w:val="48"/>
        </w:rPr>
        <w:t>Part B</w:t>
      </w:r>
    </w:p>
    <w:p w:rsidR="005A403E" w:rsidP="00D71AC1" w14:paraId="3EB69037" w14:textId="01D11CBF">
      <w:pPr>
        <w:pStyle w:val="ReportCover-Date"/>
        <w:spacing w:line="276" w:lineRule="auto"/>
        <w:jc w:val="center"/>
        <w:rPr>
          <w:rFonts w:ascii="Arial" w:hAnsi="Arial" w:cs="Arial"/>
          <w:color w:val="auto"/>
        </w:rPr>
      </w:pPr>
      <w:r>
        <w:rPr>
          <w:rFonts w:ascii="Arial" w:hAnsi="Arial" w:cs="Arial"/>
          <w:color w:val="auto"/>
        </w:rPr>
        <w:t>May</w:t>
      </w:r>
      <w:r>
        <w:rPr>
          <w:rFonts w:ascii="Arial" w:hAnsi="Arial" w:cs="Arial"/>
          <w:color w:val="auto"/>
        </w:rPr>
        <w:t xml:space="preserve"> 2023</w:t>
      </w:r>
    </w:p>
    <w:p w:rsidR="00A77839" w:rsidP="00D71AC1" w14:paraId="5B182E88" w14:textId="77777777">
      <w:pPr>
        <w:spacing w:after="0"/>
        <w:jc w:val="center"/>
        <w:rPr>
          <w:rFonts w:ascii="Arial" w:hAnsi="Arial" w:cs="Arial"/>
        </w:rPr>
      </w:pPr>
    </w:p>
    <w:p w:rsidR="00A77839" w:rsidP="00D71AC1" w14:paraId="49BE0B05" w14:textId="77777777">
      <w:pPr>
        <w:spacing w:after="0"/>
        <w:jc w:val="center"/>
        <w:rPr>
          <w:rFonts w:ascii="Arial" w:hAnsi="Arial" w:cs="Arial"/>
        </w:rPr>
      </w:pPr>
      <w:r>
        <w:rPr>
          <w:rFonts w:ascii="Arial" w:hAnsi="Arial" w:cs="Arial"/>
        </w:rPr>
        <w:t>Submitted By:</w:t>
      </w:r>
    </w:p>
    <w:p w:rsidR="00A77839" w:rsidP="00D71AC1" w14:paraId="1AB9A313" w14:textId="77777777">
      <w:pPr>
        <w:spacing w:after="0"/>
        <w:jc w:val="center"/>
        <w:rPr>
          <w:rFonts w:ascii="Arial" w:hAnsi="Arial" w:cs="Arial"/>
        </w:rPr>
      </w:pPr>
      <w:r>
        <w:rPr>
          <w:rFonts w:ascii="Arial" w:hAnsi="Arial" w:cs="Arial"/>
        </w:rPr>
        <w:t>Office of Planning, Research, and Evaluation</w:t>
      </w:r>
    </w:p>
    <w:p w:rsidR="00A77839" w:rsidP="00D71AC1" w14:paraId="5EB1C4BA" w14:textId="77777777">
      <w:pPr>
        <w:spacing w:after="0"/>
        <w:jc w:val="center"/>
        <w:rPr>
          <w:rFonts w:ascii="Arial" w:hAnsi="Arial" w:cs="Arial"/>
        </w:rPr>
      </w:pPr>
      <w:r>
        <w:rPr>
          <w:rFonts w:ascii="Arial" w:hAnsi="Arial" w:cs="Arial"/>
        </w:rPr>
        <w:t xml:space="preserve">Administration for Children and Families </w:t>
      </w:r>
    </w:p>
    <w:p w:rsidR="00A77839" w:rsidP="00D71AC1" w14:paraId="64D4EF95" w14:textId="77777777">
      <w:pPr>
        <w:spacing w:after="0"/>
        <w:jc w:val="center"/>
        <w:rPr>
          <w:rFonts w:ascii="Arial" w:hAnsi="Arial" w:cs="Arial"/>
        </w:rPr>
      </w:pPr>
      <w:r>
        <w:rPr>
          <w:rFonts w:ascii="Arial" w:hAnsi="Arial" w:cs="Arial"/>
        </w:rPr>
        <w:t>U.S. Department of Health and Human Services</w:t>
      </w:r>
    </w:p>
    <w:p w:rsidR="00A77839" w:rsidP="00D71AC1" w14:paraId="57F80311" w14:textId="77777777">
      <w:pPr>
        <w:spacing w:after="0"/>
        <w:jc w:val="center"/>
        <w:rPr>
          <w:rFonts w:ascii="Arial" w:hAnsi="Arial" w:cs="Arial"/>
        </w:rPr>
      </w:pPr>
    </w:p>
    <w:p w:rsidR="00A77839" w:rsidP="00D71AC1" w14:paraId="609A7825" w14:textId="77777777">
      <w:pPr>
        <w:spacing w:after="0"/>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rsidR="00A77839" w:rsidP="00D71AC1" w14:paraId="20FFFC89" w14:textId="77777777">
      <w:pPr>
        <w:spacing w:after="0"/>
        <w:jc w:val="center"/>
        <w:rPr>
          <w:rFonts w:ascii="Arial" w:hAnsi="Arial" w:cs="Arial"/>
        </w:rPr>
      </w:pPr>
      <w:r>
        <w:rPr>
          <w:rFonts w:ascii="Arial" w:hAnsi="Arial" w:cs="Arial"/>
        </w:rPr>
        <w:t>330 C Street, SW</w:t>
      </w:r>
    </w:p>
    <w:p w:rsidR="00A77839" w:rsidP="00D71AC1" w14:paraId="1787C620" w14:textId="70B5704D">
      <w:pPr>
        <w:spacing w:after="0"/>
        <w:jc w:val="center"/>
        <w:rPr>
          <w:rFonts w:ascii="Arial" w:hAnsi="Arial" w:cs="Arial"/>
        </w:rPr>
      </w:pPr>
      <w:r>
        <w:rPr>
          <w:rFonts w:ascii="Arial" w:hAnsi="Arial" w:cs="Arial"/>
        </w:rPr>
        <w:t>Washington, DC 20201</w:t>
      </w:r>
    </w:p>
    <w:p w:rsidR="00A77839" w:rsidP="00D71AC1" w14:paraId="4EC86F7F" w14:textId="77777777">
      <w:pPr>
        <w:spacing w:after="0"/>
        <w:jc w:val="center"/>
        <w:rPr>
          <w:rFonts w:ascii="Arial" w:hAnsi="Arial" w:cs="Arial"/>
        </w:rPr>
      </w:pPr>
    </w:p>
    <w:p w:rsidR="00A77839" w:rsidP="00D71AC1" w14:paraId="7A6A4BFA" w14:textId="77777777">
      <w:pPr>
        <w:spacing w:after="0"/>
        <w:jc w:val="center"/>
        <w:rPr>
          <w:rFonts w:ascii="Arial" w:hAnsi="Arial" w:cs="Arial"/>
        </w:rPr>
      </w:pPr>
      <w:r>
        <w:rPr>
          <w:rFonts w:ascii="Arial" w:hAnsi="Arial" w:cs="Arial"/>
        </w:rPr>
        <w:t>Project Officers:</w:t>
      </w:r>
    </w:p>
    <w:p w:rsidR="00276CD7" w:rsidRPr="008813EA" w:rsidP="00276CD7" w14:paraId="6941081F" w14:textId="77777777">
      <w:pPr>
        <w:spacing w:after="0" w:line="240" w:lineRule="auto"/>
        <w:jc w:val="center"/>
        <w:rPr>
          <w:rFonts w:ascii="Arial" w:hAnsi="Arial" w:cs="Arial"/>
        </w:rPr>
      </w:pPr>
      <w:bookmarkStart w:id="2" w:name="_Hlk105773286"/>
      <w:r>
        <w:rPr>
          <w:rFonts w:ascii="Arial" w:hAnsi="Arial" w:cs="Arial"/>
        </w:rPr>
        <w:t xml:space="preserve">Caryn Blitz </w:t>
      </w:r>
    </w:p>
    <w:p w:rsidR="00276CD7" w:rsidP="00276CD7" w14:paraId="7EE185E5" w14:textId="77777777">
      <w:pPr>
        <w:spacing w:after="0" w:line="240" w:lineRule="auto"/>
        <w:jc w:val="center"/>
        <w:rPr>
          <w:rFonts w:ascii="Arial" w:hAnsi="Arial" w:cs="Arial"/>
        </w:rPr>
      </w:pPr>
      <w:r w:rsidRPr="008813EA">
        <w:rPr>
          <w:rFonts w:ascii="Arial" w:hAnsi="Arial" w:cs="Arial"/>
        </w:rPr>
        <w:t>Tia Brown</w:t>
      </w:r>
    </w:p>
    <w:bookmarkEnd w:id="2"/>
    <w:p w:rsidR="00A77839" w:rsidP="005F7B7D" w14:paraId="39C2D4FA" w14:textId="77777777">
      <w:pPr>
        <w:spacing w:after="120"/>
        <w:jc w:val="center"/>
        <w:rPr>
          <w:b/>
          <w:sz w:val="32"/>
          <w:szCs w:val="32"/>
        </w:rPr>
      </w:pPr>
      <w:r>
        <w:br w:type="page"/>
      </w:r>
      <w:r>
        <w:rPr>
          <w:b/>
          <w:sz w:val="32"/>
          <w:szCs w:val="32"/>
        </w:rPr>
        <w:t>Part B</w:t>
      </w:r>
    </w:p>
    <w:p w:rsidR="00A77839" w:rsidP="005F7B7D" w14:paraId="02713BED" w14:textId="77777777">
      <w:pPr>
        <w:spacing w:after="120"/>
        <w:rPr>
          <w:b/>
        </w:rPr>
      </w:pPr>
    </w:p>
    <w:p w:rsidR="00A77839" w:rsidP="005F7B7D" w14:paraId="4D14B7BB" w14:textId="77777777">
      <w:pPr>
        <w:spacing w:after="120"/>
      </w:pPr>
      <w:r>
        <w:rPr>
          <w:b/>
        </w:rPr>
        <w:t>B1.</w:t>
      </w:r>
      <w:r>
        <w:rPr>
          <w:b/>
        </w:rPr>
        <w:tab/>
        <w:t>Objectives</w:t>
      </w:r>
    </w:p>
    <w:p w:rsidR="00A77839" w:rsidP="00D479FD" w14:paraId="2ED96976" w14:textId="77777777">
      <w:pPr>
        <w:spacing w:after="60"/>
        <w:rPr>
          <w:i/>
        </w:rPr>
      </w:pPr>
      <w:r>
        <w:rPr>
          <w:i/>
        </w:rPr>
        <w:t>Study Objectives</w:t>
      </w:r>
    </w:p>
    <w:p w:rsidR="002F6C61" w:rsidP="00D479FD" w14:paraId="1C215765" w14:textId="1CD246FF">
      <w:pPr>
        <w:tabs>
          <w:tab w:val="left" w:pos="-720"/>
        </w:tabs>
        <w:suppressAutoHyphens/>
        <w:spacing w:after="0"/>
        <w:rPr>
          <w:iCs/>
        </w:rPr>
      </w:pPr>
      <w:bookmarkStart w:id="3" w:name="_Hlk105773397"/>
      <w:r w:rsidRPr="008813EA">
        <w:rPr>
          <w:iCs/>
        </w:rPr>
        <w:t xml:space="preserve">The </w:t>
      </w:r>
      <w:r w:rsidR="00B45851">
        <w:rPr>
          <w:iCs/>
        </w:rPr>
        <w:t xml:space="preserve">objective </w:t>
      </w:r>
      <w:r w:rsidRPr="008813EA">
        <w:rPr>
          <w:iCs/>
        </w:rPr>
        <w:t>of this proposed data collection is to</w:t>
      </w:r>
      <w:r w:rsidR="00B45851">
        <w:rPr>
          <w:iCs/>
        </w:rPr>
        <w:t xml:space="preserve"> </w:t>
      </w:r>
      <w:r w:rsidR="000A3945">
        <w:rPr>
          <w:iCs/>
        </w:rPr>
        <w:t>gather information</w:t>
      </w:r>
      <w:r w:rsidR="00B45851">
        <w:rPr>
          <w:iCs/>
        </w:rPr>
        <w:t xml:space="preserve"> from</w:t>
      </w:r>
      <w:r w:rsidR="000E444C">
        <w:rPr>
          <w:iCs/>
        </w:rPr>
        <w:t xml:space="preserve"> Personal Responsibility Education Program (PREP) grant</w:t>
      </w:r>
      <w:r w:rsidR="000A3945">
        <w:rPr>
          <w:iCs/>
        </w:rPr>
        <w:t>ees</w:t>
      </w:r>
      <w:r w:rsidR="000E444C">
        <w:rPr>
          <w:iCs/>
        </w:rPr>
        <w:t xml:space="preserve"> </w:t>
      </w:r>
      <w:r w:rsidR="00A17F2E">
        <w:rPr>
          <w:iCs/>
        </w:rPr>
        <w:t xml:space="preserve">and providers </w:t>
      </w:r>
      <w:r w:rsidR="000E444C">
        <w:rPr>
          <w:iCs/>
        </w:rPr>
        <w:t>about their experiences implementing Adulthood Preparation Subjects (APS</w:t>
      </w:r>
      <w:r w:rsidR="00054D02">
        <w:rPr>
          <w:iCs/>
        </w:rPr>
        <w:t>s</w:t>
      </w:r>
      <w:r w:rsidR="000E444C">
        <w:rPr>
          <w:iCs/>
        </w:rPr>
        <w:t>) topics.</w:t>
      </w:r>
      <w:r w:rsidR="00B45851">
        <w:rPr>
          <w:iCs/>
        </w:rPr>
        <w:t xml:space="preserve"> </w:t>
      </w:r>
      <w:r w:rsidR="00D76965">
        <w:rPr>
          <w:iCs/>
        </w:rPr>
        <w:t>Specifically,</w:t>
      </w:r>
      <w:r w:rsidRPr="008813EA">
        <w:rPr>
          <w:iCs/>
        </w:rPr>
        <w:t xml:space="preserve"> </w:t>
      </w:r>
      <w:r w:rsidR="000E444C">
        <w:rPr>
          <w:iCs/>
        </w:rPr>
        <w:t>th</w:t>
      </w:r>
      <w:r w:rsidR="00C36F28">
        <w:rPr>
          <w:iCs/>
        </w:rPr>
        <w:t>e</w:t>
      </w:r>
      <w:r w:rsidR="000E444C">
        <w:rPr>
          <w:iCs/>
        </w:rPr>
        <w:t xml:space="preserve"> </w:t>
      </w:r>
      <w:r w:rsidR="00054D02">
        <w:rPr>
          <w:iCs/>
        </w:rPr>
        <w:t>APS Study</w:t>
      </w:r>
      <w:r w:rsidR="000E444C">
        <w:rPr>
          <w:iCs/>
        </w:rPr>
        <w:t xml:space="preserve"> aims to gather information on </w:t>
      </w:r>
      <w:r w:rsidR="00A5510F">
        <w:rPr>
          <w:iCs/>
        </w:rPr>
        <w:t xml:space="preserve">what APS </w:t>
      </w:r>
      <w:r w:rsidR="0030706E">
        <w:rPr>
          <w:iCs/>
        </w:rPr>
        <w:t xml:space="preserve">topics and </w:t>
      </w:r>
      <w:r w:rsidR="00A5510F">
        <w:rPr>
          <w:iCs/>
        </w:rPr>
        <w:t>content</w:t>
      </w:r>
      <w:r w:rsidR="000E444C">
        <w:rPr>
          <w:iCs/>
        </w:rPr>
        <w:t xml:space="preserve"> grant</w:t>
      </w:r>
      <w:r w:rsidR="00A5510F">
        <w:rPr>
          <w:iCs/>
        </w:rPr>
        <w:t>ees</w:t>
      </w:r>
      <w:r w:rsidR="00A17F2E">
        <w:rPr>
          <w:iCs/>
        </w:rPr>
        <w:t xml:space="preserve"> and providers</w:t>
      </w:r>
      <w:r w:rsidR="000E444C">
        <w:rPr>
          <w:iCs/>
        </w:rPr>
        <w:t xml:space="preserve"> cover </w:t>
      </w:r>
      <w:r w:rsidR="00A5510F">
        <w:rPr>
          <w:iCs/>
        </w:rPr>
        <w:t xml:space="preserve">with </w:t>
      </w:r>
      <w:r w:rsidR="000E444C">
        <w:rPr>
          <w:iCs/>
        </w:rPr>
        <w:t xml:space="preserve">youth and whether the APS </w:t>
      </w:r>
      <w:r w:rsidR="00A5510F">
        <w:rPr>
          <w:iCs/>
        </w:rPr>
        <w:t>topics and content</w:t>
      </w:r>
      <w:r w:rsidR="000E444C">
        <w:rPr>
          <w:iCs/>
        </w:rPr>
        <w:t xml:space="preserve"> align with the needs of youth served and are culturally relevant to youth. This formative evaluation seeks to address gaps in knowledge about the PREP grantees’ </w:t>
      </w:r>
      <w:r w:rsidR="00A17F2E">
        <w:rPr>
          <w:iCs/>
        </w:rPr>
        <w:t xml:space="preserve">and providers’ </w:t>
      </w:r>
      <w:r w:rsidR="000E444C">
        <w:rPr>
          <w:iCs/>
        </w:rPr>
        <w:t xml:space="preserve">experiences </w:t>
      </w:r>
      <w:bookmarkStart w:id="4" w:name="_Hlk110439716"/>
      <w:bookmarkStart w:id="5" w:name="_Hlk105773607"/>
      <w:r w:rsidR="00EE2460">
        <w:rPr>
          <w:iCs/>
        </w:rPr>
        <w:t xml:space="preserve">with delivering </w:t>
      </w:r>
      <w:r w:rsidR="00054D02">
        <w:rPr>
          <w:iCs/>
        </w:rPr>
        <w:t xml:space="preserve">the </w:t>
      </w:r>
      <w:r w:rsidR="00EE2460">
        <w:rPr>
          <w:iCs/>
        </w:rPr>
        <w:t>AP</w:t>
      </w:r>
      <w:r w:rsidR="00054D02">
        <w:rPr>
          <w:iCs/>
        </w:rPr>
        <w:t>Ss</w:t>
      </w:r>
      <w:r w:rsidR="00EE2460">
        <w:rPr>
          <w:iCs/>
        </w:rPr>
        <w:t xml:space="preserve">. </w:t>
      </w:r>
      <w:r w:rsidRPr="008813EA">
        <w:rPr>
          <w:iCs/>
        </w:rPr>
        <w:t xml:space="preserve">The information collected through this study will </w:t>
      </w:r>
      <w:r w:rsidRPr="008813EA">
        <w:rPr>
          <w:iCs/>
        </w:rPr>
        <w:t>be used</w:t>
      </w:r>
      <w:r w:rsidRPr="008813EA">
        <w:rPr>
          <w:iCs/>
        </w:rPr>
        <w:t xml:space="preserve"> to inform </w:t>
      </w:r>
      <w:r w:rsidRPr="008813EA" w:rsidR="00F5639D">
        <w:rPr>
          <w:rFonts w:cs="Calibri"/>
        </w:rPr>
        <w:t>technical assistance planning and resources</w:t>
      </w:r>
      <w:r w:rsidR="00F5639D">
        <w:rPr>
          <w:rFonts w:cs="Calibri"/>
        </w:rPr>
        <w:t xml:space="preserve"> for PREP grantees related to the design and delivery of APS topics and content</w:t>
      </w:r>
      <w:r w:rsidR="00F5639D">
        <w:rPr>
          <w:rFonts w:cs="Calibri"/>
        </w:rPr>
        <w:t xml:space="preserve">, as well as </w:t>
      </w:r>
      <w:r w:rsidRPr="008813EA">
        <w:rPr>
          <w:iCs/>
        </w:rPr>
        <w:t xml:space="preserve">future </w:t>
      </w:r>
      <w:r w:rsidR="00F5639D">
        <w:rPr>
          <w:iCs/>
        </w:rPr>
        <w:t xml:space="preserve">learning agendas and </w:t>
      </w:r>
      <w:r w:rsidRPr="008813EA">
        <w:rPr>
          <w:iCs/>
        </w:rPr>
        <w:t xml:space="preserve">research </w:t>
      </w:r>
      <w:r w:rsidR="00F5639D">
        <w:rPr>
          <w:iCs/>
        </w:rPr>
        <w:t xml:space="preserve">priorities related to on the </w:t>
      </w:r>
      <w:bookmarkEnd w:id="4"/>
      <w:r w:rsidR="000E444C">
        <w:t>PREP</w:t>
      </w:r>
      <w:r w:rsidR="006025FC">
        <w:t xml:space="preserve"> </w:t>
      </w:r>
      <w:r w:rsidR="00F5639D">
        <w:t xml:space="preserve">APSs. </w:t>
      </w:r>
      <w:bookmarkEnd w:id="3"/>
      <w:bookmarkEnd w:id="5"/>
    </w:p>
    <w:p w:rsidR="00D479FD" w:rsidRPr="00AA2FE1" w:rsidP="00D479FD" w14:paraId="5FB54DE8" w14:textId="77777777">
      <w:pPr>
        <w:tabs>
          <w:tab w:val="left" w:pos="-720"/>
        </w:tabs>
        <w:suppressAutoHyphens/>
        <w:spacing w:after="0"/>
        <w:rPr>
          <w:iCs/>
        </w:rPr>
      </w:pPr>
    </w:p>
    <w:p w:rsidR="00A77839" w:rsidP="00D479FD" w14:paraId="1F968B34" w14:textId="497A9AB7">
      <w:pPr>
        <w:tabs>
          <w:tab w:val="left" w:pos="-720"/>
        </w:tabs>
        <w:suppressAutoHyphens/>
        <w:spacing w:after="0"/>
        <w:rPr>
          <w:iCs/>
        </w:rPr>
      </w:pPr>
      <w:r>
        <w:rPr>
          <w:iCs/>
        </w:rPr>
        <w:t xml:space="preserve">The study research questions </w:t>
      </w:r>
      <w:r>
        <w:rPr>
          <w:iCs/>
        </w:rPr>
        <w:t>are described</w:t>
      </w:r>
      <w:r>
        <w:rPr>
          <w:iCs/>
        </w:rPr>
        <w:t xml:space="preserve"> in Supporting Statement Part A, Section A2.</w:t>
      </w:r>
    </w:p>
    <w:p w:rsidR="00D479FD" w:rsidP="00D479FD" w14:paraId="7F8E4BB9" w14:textId="77777777">
      <w:pPr>
        <w:tabs>
          <w:tab w:val="left" w:pos="-720"/>
        </w:tabs>
        <w:suppressAutoHyphens/>
        <w:spacing w:after="0"/>
        <w:rPr>
          <w:i/>
        </w:rPr>
      </w:pPr>
    </w:p>
    <w:p w:rsidR="00A77839" w:rsidP="00D479FD" w14:paraId="6D6715A4" w14:textId="77777777">
      <w:pPr>
        <w:spacing w:after="60"/>
        <w:rPr>
          <w:i/>
        </w:rPr>
      </w:pPr>
      <w:r>
        <w:rPr>
          <w:i/>
        </w:rPr>
        <w:t xml:space="preserve">Generalizability of Results </w:t>
      </w:r>
    </w:p>
    <w:p w:rsidR="00A77839" w:rsidP="00D479FD" w14:paraId="26B626EC" w14:textId="25049758">
      <w:pPr>
        <w:tabs>
          <w:tab w:val="left" w:pos="-720"/>
        </w:tabs>
        <w:suppressAutoHyphens/>
        <w:spacing w:after="0"/>
        <w:rPr>
          <w:rFonts w:cs="Calibri"/>
        </w:rPr>
      </w:pPr>
      <w:r w:rsidRPr="00C308D0">
        <w:t xml:space="preserve">This study </w:t>
      </w:r>
      <w:r w:rsidRPr="00C308D0">
        <w:t xml:space="preserve">is </w:t>
      </w:r>
      <w:r w:rsidRPr="008A59F6">
        <w:t>intended</w:t>
      </w:r>
      <w:r w:rsidRPr="008A59F6">
        <w:t xml:space="preserve"> to present an internally valid description of </w:t>
      </w:r>
      <w:r w:rsidR="004D4B03">
        <w:t xml:space="preserve">the </w:t>
      </w:r>
      <w:r w:rsidR="00EE2460">
        <w:t>PREP</w:t>
      </w:r>
      <w:r w:rsidRPr="008A59F6">
        <w:t xml:space="preserve"> </w:t>
      </w:r>
      <w:r w:rsidR="004D4B03">
        <w:t xml:space="preserve">APSs </w:t>
      </w:r>
      <w:r w:rsidRPr="008A59F6" w:rsidR="00C308D0">
        <w:t>and</w:t>
      </w:r>
      <w:r w:rsidRPr="008A59F6">
        <w:t xml:space="preserve"> is not meant to promote statistical generalization to other program</w:t>
      </w:r>
      <w:r w:rsidR="00D82E6B">
        <w:t>s</w:t>
      </w:r>
      <w:r w:rsidRPr="008A59F6">
        <w:t xml:space="preserve">, sites, or service populations. </w:t>
      </w:r>
      <w:bookmarkStart w:id="6" w:name="_Hlk106361737"/>
      <w:bookmarkStart w:id="7" w:name="_Hlk127799013"/>
      <w:r w:rsidRPr="008A59F6">
        <w:t xml:space="preserve">Data collected under </w:t>
      </w:r>
      <w:r w:rsidRPr="008A59F6">
        <w:rPr>
          <w:rFonts w:cs="Calibri"/>
        </w:rPr>
        <w:t xml:space="preserve">this generic information collection request will </w:t>
      </w:r>
      <w:r w:rsidRPr="008A59F6">
        <w:rPr>
          <w:rFonts w:cs="Calibri"/>
        </w:rPr>
        <w:t>be used</w:t>
      </w:r>
      <w:r w:rsidRPr="008A59F6">
        <w:rPr>
          <w:rFonts w:cs="Calibri"/>
        </w:rPr>
        <w:t xml:space="preserve"> to refine program delivery strategies</w:t>
      </w:r>
      <w:r w:rsidR="004D4B03">
        <w:rPr>
          <w:rFonts w:cs="Calibri"/>
        </w:rPr>
        <w:t xml:space="preserve"> for the PREP APSs</w:t>
      </w:r>
      <w:r w:rsidR="00F315B2">
        <w:rPr>
          <w:rFonts w:cs="Calibri"/>
        </w:rPr>
        <w:t xml:space="preserve"> and assess the appropriateness of APS topics for PREP grantees</w:t>
      </w:r>
      <w:r w:rsidRPr="008A59F6">
        <w:rPr>
          <w:rFonts w:cs="Calibri"/>
        </w:rPr>
        <w:t>.</w:t>
      </w:r>
      <w:bookmarkEnd w:id="6"/>
      <w:r w:rsidRPr="008A59F6" w:rsidR="00AB753D">
        <w:rPr>
          <w:rFonts w:cs="Calibri"/>
        </w:rPr>
        <w:t xml:space="preserve"> </w:t>
      </w:r>
      <w:bookmarkEnd w:id="7"/>
    </w:p>
    <w:p w:rsidR="00D479FD" w:rsidP="00D479FD" w14:paraId="2C7E7104" w14:textId="77777777">
      <w:pPr>
        <w:tabs>
          <w:tab w:val="left" w:pos="-720"/>
        </w:tabs>
        <w:suppressAutoHyphens/>
        <w:spacing w:after="0"/>
      </w:pPr>
    </w:p>
    <w:p w:rsidR="00A77839" w:rsidP="00D479FD" w14:paraId="34FFE667" w14:textId="77777777">
      <w:pPr>
        <w:spacing w:after="60"/>
        <w:rPr>
          <w:rFonts w:eastAsia="Times New Roman" w:cstheme="minorHAnsi"/>
          <w:i/>
          <w:color w:val="000000"/>
        </w:rPr>
      </w:pPr>
      <w:r w:rsidRPr="002808A8">
        <w:rPr>
          <w:rFonts w:eastAsia="Times New Roman" w:cstheme="minorHAnsi"/>
          <w:i/>
          <w:color w:val="000000"/>
        </w:rPr>
        <w:t>Appropriateness of Study Design and Methods for Planned Uses</w:t>
      </w:r>
      <w:r>
        <w:rPr>
          <w:rFonts w:eastAsia="Times New Roman" w:cstheme="minorHAnsi"/>
          <w:i/>
          <w:color w:val="000000"/>
        </w:rPr>
        <w:t xml:space="preserve"> </w:t>
      </w:r>
    </w:p>
    <w:p w:rsidR="00B04853" w:rsidP="005F7B7D" w14:paraId="40F0D750" w14:textId="4068B6B7">
      <w:pPr>
        <w:spacing w:after="120"/>
      </w:pPr>
      <w:r>
        <w:t xml:space="preserve">We will conduct multiple data collection </w:t>
      </w:r>
      <w:r w:rsidR="00EB36AF">
        <w:t xml:space="preserve">activities </w:t>
      </w:r>
      <w:r>
        <w:t>for this</w:t>
      </w:r>
      <w:r w:rsidR="004E3C85">
        <w:t xml:space="preserve"> </w:t>
      </w:r>
      <w:r>
        <w:t xml:space="preserve">study. We </w:t>
      </w:r>
      <w:r w:rsidRPr="009E5167" w:rsidR="004E0124">
        <w:t xml:space="preserve">will conduct one-on-one </w:t>
      </w:r>
      <w:r w:rsidR="000A3945">
        <w:t xml:space="preserve">telephone </w:t>
      </w:r>
      <w:r w:rsidRPr="009E5167" w:rsidR="004E0124">
        <w:t>interviews</w:t>
      </w:r>
      <w:r w:rsidR="00042EC2">
        <w:t xml:space="preserve"> with </w:t>
      </w:r>
      <w:r w:rsidR="00E146A6">
        <w:t xml:space="preserve">up to </w:t>
      </w:r>
      <w:r w:rsidR="00E146A6">
        <w:t>20</w:t>
      </w:r>
      <w:r w:rsidR="00042EC2">
        <w:t xml:space="preserve"> grantees</w:t>
      </w:r>
      <w:r w:rsidR="00A17F2E">
        <w:t xml:space="preserve"> and providers</w:t>
      </w:r>
      <w:r>
        <w:t xml:space="preserve"> and site visits with </w:t>
      </w:r>
      <w:r w:rsidR="00F200AC">
        <w:t xml:space="preserve">three </w:t>
      </w:r>
      <w:r>
        <w:t xml:space="preserve">grantees. The site visits will include interviews with </w:t>
      </w:r>
      <w:r w:rsidR="00FE01B1">
        <w:t>program leaders and managers</w:t>
      </w:r>
      <w:r>
        <w:t xml:space="preserve">; interviews with </w:t>
      </w:r>
      <w:r w:rsidR="00A17F2E">
        <w:t xml:space="preserve">program </w:t>
      </w:r>
      <w:r>
        <w:t>facilitators; focus groups with community members, including parents; and focus groups with youth</w:t>
      </w:r>
      <w:r w:rsidR="004F2AC4">
        <w:t xml:space="preserve"> participants</w:t>
      </w:r>
      <w:r w:rsidR="00A17F2E">
        <w:t xml:space="preserve"> in PREP programming</w:t>
      </w:r>
      <w:r>
        <w:t>.</w:t>
      </w:r>
    </w:p>
    <w:p w:rsidR="00DA7CC2" w:rsidRPr="00DA7CC2" w:rsidP="005F7B7D" w14:paraId="5996EDF2" w14:textId="670097F8">
      <w:pPr>
        <w:pStyle w:val="ListParagraph"/>
        <w:numPr>
          <w:ilvl w:val="0"/>
          <w:numId w:val="35"/>
        </w:numPr>
        <w:spacing w:after="120"/>
        <w:contextualSpacing w:val="0"/>
      </w:pPr>
      <w:r>
        <w:rPr>
          <w:u w:val="single"/>
        </w:rPr>
        <w:t>Telep</w:t>
      </w:r>
      <w:r w:rsidRPr="00E2427B" w:rsidR="00B04853">
        <w:rPr>
          <w:u w:val="single"/>
        </w:rPr>
        <w:t>hone interviews</w:t>
      </w:r>
      <w:r w:rsidR="00B04853">
        <w:t xml:space="preserve">: </w:t>
      </w:r>
      <w:r w:rsidR="00EF3A2D">
        <w:t>We will schedule the virtual interviews at times convenient for the grantee</w:t>
      </w:r>
      <w:r w:rsidR="00FE01B1">
        <w:t xml:space="preserve"> and provider</w:t>
      </w:r>
      <w:r w:rsidR="00EF3A2D">
        <w:t xml:space="preserve"> respondents, recognizing the </w:t>
      </w:r>
      <w:r w:rsidR="00EF3A2D">
        <w:t>many</w:t>
      </w:r>
      <w:r w:rsidR="00EF3A2D">
        <w:t xml:space="preserve"> competing demands that these respondents may face. </w:t>
      </w:r>
      <w:r w:rsidR="00851680">
        <w:t xml:space="preserve">Each interview will have one respondent, who will be the </w:t>
      </w:r>
      <w:bookmarkStart w:id="8" w:name="_Hlk127799586"/>
      <w:r w:rsidR="00851680">
        <w:t xml:space="preserve">program director, grant administrator, or </w:t>
      </w:r>
      <w:r w:rsidR="00EB36AF">
        <w:t xml:space="preserve">another </w:t>
      </w:r>
      <w:r w:rsidR="00851680">
        <w:t xml:space="preserve">staff member </w:t>
      </w:r>
      <w:r w:rsidR="007005E0">
        <w:t xml:space="preserve">whom </w:t>
      </w:r>
      <w:r w:rsidR="00851680">
        <w:t xml:space="preserve">the grantee </w:t>
      </w:r>
      <w:r w:rsidR="0033796B">
        <w:t xml:space="preserve">or provider </w:t>
      </w:r>
      <w:r w:rsidR="00851680">
        <w:t>feels could best answer the questions</w:t>
      </w:r>
      <w:bookmarkEnd w:id="8"/>
      <w:r w:rsidR="00851680">
        <w:t xml:space="preserve">. </w:t>
      </w:r>
      <w:r w:rsidR="00D244B6">
        <w:t>The topic guide for the interviews (Instrumen</w:t>
      </w:r>
      <w:r w:rsidRPr="004E3C85" w:rsidR="00D244B6">
        <w:t>t 1) will collect in-de</w:t>
      </w:r>
      <w:r w:rsidR="00D244B6">
        <w:t>pth</w:t>
      </w:r>
      <w:r w:rsidR="00B04853">
        <w:t xml:space="preserve">, </w:t>
      </w:r>
      <w:r w:rsidR="00D244B6">
        <w:t>qualitative data</w:t>
      </w:r>
      <w:r w:rsidR="00372840">
        <w:t xml:space="preserve"> on </w:t>
      </w:r>
      <w:r w:rsidR="00640EDC">
        <w:t>the APS</w:t>
      </w:r>
      <w:r w:rsidR="00F10013">
        <w:t>s</w:t>
      </w:r>
      <w:r w:rsidR="00640EDC">
        <w:t xml:space="preserve"> that each grantee provides, focusing particularly on the </w:t>
      </w:r>
      <w:r w:rsidR="00372840">
        <w:t xml:space="preserve">dosage of APS </w:t>
      </w:r>
      <w:r w:rsidR="00FE01B1">
        <w:t xml:space="preserve">topics and content </w:t>
      </w:r>
      <w:r w:rsidR="00372840">
        <w:t>provided, the degree to which the</w:t>
      </w:r>
      <w:r w:rsidR="00640EDC">
        <w:t>se</w:t>
      </w:r>
      <w:r w:rsidR="00372840">
        <w:t xml:space="preserve"> APS topics</w:t>
      </w:r>
      <w:r w:rsidR="00FE01B1">
        <w:t xml:space="preserve"> and content</w:t>
      </w:r>
      <w:r w:rsidR="00372840">
        <w:t xml:space="preserve"> meet the needs of the youth served, the degree to which the</w:t>
      </w:r>
      <w:r w:rsidR="00640EDC">
        <w:t>se</w:t>
      </w:r>
      <w:r w:rsidR="00372840">
        <w:t xml:space="preserve"> APS topics </w:t>
      </w:r>
      <w:r w:rsidR="00FE01B1">
        <w:t xml:space="preserve">and content </w:t>
      </w:r>
      <w:r w:rsidR="00372840">
        <w:t>are culturally re</w:t>
      </w:r>
      <w:r w:rsidR="00E559C4">
        <w:t xml:space="preserve">levant to the youth served, and any suggested </w:t>
      </w:r>
      <w:r w:rsidR="00DE3F69">
        <w:t>improvements</w:t>
      </w:r>
      <w:r w:rsidR="00E559C4">
        <w:t xml:space="preserve"> to the APS</w:t>
      </w:r>
      <w:r w:rsidR="00F10013">
        <w:t>s</w:t>
      </w:r>
      <w:r w:rsidR="00D244B6">
        <w:t xml:space="preserve">. </w:t>
      </w:r>
      <w:r w:rsidRPr="00B04853" w:rsidR="00B04853">
        <w:rPr>
          <w:rFonts w:cstheme="minorHAnsi"/>
        </w:rPr>
        <w:t xml:space="preserve">This design will </w:t>
      </w:r>
      <w:r w:rsidR="00C81707">
        <w:rPr>
          <w:rFonts w:cstheme="minorHAnsi"/>
        </w:rPr>
        <w:t>enable</w:t>
      </w:r>
      <w:r w:rsidRPr="00B04853" w:rsidR="00C81707">
        <w:rPr>
          <w:rFonts w:cstheme="minorHAnsi"/>
        </w:rPr>
        <w:t xml:space="preserve"> </w:t>
      </w:r>
      <w:r w:rsidRPr="00B04853" w:rsidR="00B04853">
        <w:rPr>
          <w:rFonts w:cstheme="minorHAnsi"/>
        </w:rPr>
        <w:t xml:space="preserve">grantees to provide nuanced feedback specific to the population of youth </w:t>
      </w:r>
      <w:r w:rsidRPr="00B04853" w:rsidR="00B04853">
        <w:rPr>
          <w:rFonts w:cstheme="minorHAnsi"/>
        </w:rPr>
        <w:t xml:space="preserve">that they serve. </w:t>
      </w:r>
      <w:r w:rsidR="00B04853">
        <w:rPr>
          <w:rFonts w:cstheme="minorHAnsi"/>
        </w:rPr>
        <w:t>This is important for the study</w:t>
      </w:r>
      <w:r w:rsidR="00C81707">
        <w:rPr>
          <w:rFonts w:cstheme="minorHAnsi"/>
        </w:rPr>
        <w:t>,</w:t>
      </w:r>
      <w:r w:rsidR="00B04853">
        <w:rPr>
          <w:rFonts w:cstheme="minorHAnsi"/>
        </w:rPr>
        <w:t xml:space="preserve"> as the grantees </w:t>
      </w:r>
      <w:r w:rsidR="00FE01B1">
        <w:rPr>
          <w:rFonts w:cstheme="minorHAnsi"/>
        </w:rPr>
        <w:t xml:space="preserve">and providers </w:t>
      </w:r>
      <w:r w:rsidR="00B04853">
        <w:rPr>
          <w:rFonts w:cstheme="minorHAnsi"/>
        </w:rPr>
        <w:t xml:space="preserve">serve a wide variety of youth who may have unique needs and cultural backgrounds. </w:t>
      </w:r>
      <w:r>
        <w:rPr>
          <w:rFonts w:cstheme="minorHAnsi"/>
        </w:rPr>
        <w:t xml:space="preserve">Collecting qualitative feedback from </w:t>
      </w:r>
      <w:r w:rsidR="002B4381">
        <w:rPr>
          <w:rFonts w:cstheme="minorHAnsi"/>
        </w:rPr>
        <w:t xml:space="preserve">a range of </w:t>
      </w:r>
      <w:r>
        <w:rPr>
          <w:rFonts w:cstheme="minorHAnsi"/>
        </w:rPr>
        <w:t xml:space="preserve">grantees </w:t>
      </w:r>
      <w:r w:rsidR="00FE01B1">
        <w:rPr>
          <w:rFonts w:cstheme="minorHAnsi"/>
        </w:rPr>
        <w:t xml:space="preserve">and providers </w:t>
      </w:r>
      <w:r>
        <w:rPr>
          <w:rFonts w:cstheme="minorHAnsi"/>
        </w:rPr>
        <w:t xml:space="preserve">will </w:t>
      </w:r>
      <w:r w:rsidR="00F55404">
        <w:rPr>
          <w:rFonts w:cstheme="minorHAnsi"/>
        </w:rPr>
        <w:t xml:space="preserve">enable </w:t>
      </w:r>
      <w:r>
        <w:rPr>
          <w:rFonts w:cstheme="minorHAnsi"/>
        </w:rPr>
        <w:t xml:space="preserve">the study team to </w:t>
      </w:r>
      <w:r w:rsidR="002B4381">
        <w:rPr>
          <w:rFonts w:cstheme="minorHAnsi"/>
        </w:rPr>
        <w:t>better</w:t>
      </w:r>
      <w:r>
        <w:rPr>
          <w:rFonts w:cstheme="minorHAnsi"/>
        </w:rPr>
        <w:t xml:space="preserve"> understand how well APS topics meet the needs of, and ha</w:t>
      </w:r>
      <w:r w:rsidR="00FE01B1">
        <w:rPr>
          <w:rFonts w:cstheme="minorHAnsi"/>
        </w:rPr>
        <w:t>ve</w:t>
      </w:r>
      <w:r>
        <w:rPr>
          <w:rFonts w:cstheme="minorHAnsi"/>
        </w:rPr>
        <w:t xml:space="preserve"> cultural relevance for, the wide range of youth served by PREP programming. </w:t>
      </w:r>
    </w:p>
    <w:p w:rsidR="00DA7CC2" w:rsidP="005F7B7D" w14:paraId="0D1F9C52" w14:textId="5C9EB1C7">
      <w:pPr>
        <w:pStyle w:val="ListParagraph"/>
        <w:numPr>
          <w:ilvl w:val="0"/>
          <w:numId w:val="35"/>
        </w:numPr>
        <w:spacing w:after="120"/>
        <w:contextualSpacing w:val="0"/>
      </w:pPr>
      <w:r w:rsidRPr="00E2427B">
        <w:rPr>
          <w:rFonts w:cstheme="minorHAnsi"/>
          <w:u w:val="single"/>
        </w:rPr>
        <w:t>Site visits</w:t>
      </w:r>
      <w:r>
        <w:rPr>
          <w:rFonts w:cstheme="minorHAnsi"/>
        </w:rPr>
        <w:t xml:space="preserve">: </w:t>
      </w:r>
      <w:r w:rsidR="00042EC2">
        <w:t>We will conduct in-person site visits with three grantees.</w:t>
      </w:r>
      <w:r w:rsidR="009C3679">
        <w:t xml:space="preserve"> </w:t>
      </w:r>
      <w:r w:rsidR="004C3971">
        <w:t xml:space="preserve">We will </w:t>
      </w:r>
      <w:r w:rsidR="001E7FB5">
        <w:t>schedule the in-person interviews and focus groups</w:t>
      </w:r>
      <w:r w:rsidR="00C9753D">
        <w:t xml:space="preserve"> at times </w:t>
      </w:r>
      <w:r w:rsidR="00D82E6B">
        <w:t>convenient</w:t>
      </w:r>
      <w:r w:rsidR="00C9753D">
        <w:t xml:space="preserve"> to the respondents.</w:t>
      </w:r>
      <w:r w:rsidR="001E7FB5">
        <w:t xml:space="preserve"> </w:t>
      </w:r>
      <w:r>
        <w:t xml:space="preserve">The topic guide for the site visits (Instrument 2) will guide the collection of in-depth qualitative data from various respondents. </w:t>
      </w:r>
    </w:p>
    <w:p w:rsidR="00DA7CC2" w:rsidP="005F7B7D" w14:paraId="31C11CE4" w14:textId="0969B2A6">
      <w:pPr>
        <w:pStyle w:val="ListParagraph"/>
        <w:numPr>
          <w:ilvl w:val="1"/>
          <w:numId w:val="35"/>
        </w:numPr>
        <w:spacing w:after="120"/>
        <w:contextualSpacing w:val="0"/>
      </w:pPr>
      <w:r>
        <w:t xml:space="preserve">We will conduct </w:t>
      </w:r>
      <w:r w:rsidRPr="00E2427B">
        <w:rPr>
          <w:u w:val="single"/>
        </w:rPr>
        <w:t>interviews</w:t>
      </w:r>
      <w:r>
        <w:t xml:space="preserve"> with </w:t>
      </w:r>
      <w:r w:rsidR="00FE01B1">
        <w:t xml:space="preserve">program leaders and managers (such as PREP </w:t>
      </w:r>
      <w:r>
        <w:t>grant administrators or program directors</w:t>
      </w:r>
      <w:r w:rsidR="00FE01B1">
        <w:t>)</w:t>
      </w:r>
      <w:r>
        <w:t xml:space="preserve"> and with facilitators of PREP programming. </w:t>
      </w:r>
      <w:r w:rsidR="0048758B">
        <w:t xml:space="preserve">We will conduct the interviews with individual staff or in small groups, depending on the availability of staff. The interviews allow for collecting detailed information on </w:t>
      </w:r>
      <w:r w:rsidR="00372840">
        <w:t>the dosage of APS topics</w:t>
      </w:r>
      <w:r w:rsidR="00F10013">
        <w:t xml:space="preserve"> and content</w:t>
      </w:r>
      <w:r w:rsidR="00372840">
        <w:t xml:space="preserve"> in their PREP programming, as well as on</w:t>
      </w:r>
      <w:r w:rsidR="00640EDC">
        <w:t xml:space="preserve"> information on each APS topic (including those the grantee does not implement),</w:t>
      </w:r>
      <w:r w:rsidR="00D82E6B">
        <w:t xml:space="preserve"> </w:t>
      </w:r>
      <w:r w:rsidR="00372840">
        <w:t xml:space="preserve">how </w:t>
      </w:r>
      <w:r w:rsidR="00640EDC">
        <w:t xml:space="preserve">well </w:t>
      </w:r>
      <w:r w:rsidR="00372840">
        <w:t>the APS topic</w:t>
      </w:r>
      <w:r w:rsidR="00F10013">
        <w:t>s</w:t>
      </w:r>
      <w:r w:rsidR="00372840">
        <w:t xml:space="preserve"> </w:t>
      </w:r>
      <w:r w:rsidR="00F10013">
        <w:t xml:space="preserve">and content </w:t>
      </w:r>
      <w:r w:rsidR="00372840">
        <w:t>meet the needs of the specific youth served by the program</w:t>
      </w:r>
      <w:r w:rsidR="00E559C4">
        <w:t xml:space="preserve">, </w:t>
      </w:r>
      <w:r w:rsidR="00372840">
        <w:t>whether the APS topic</w:t>
      </w:r>
      <w:r w:rsidR="00F10013">
        <w:t>s</w:t>
      </w:r>
      <w:r w:rsidR="00372840">
        <w:t xml:space="preserve"> </w:t>
      </w:r>
      <w:r w:rsidR="00F10013">
        <w:t>and content are</w:t>
      </w:r>
      <w:r w:rsidR="00372840">
        <w:t xml:space="preserve"> culturally </w:t>
      </w:r>
      <w:r w:rsidR="00F10013">
        <w:t>relevant</w:t>
      </w:r>
      <w:r w:rsidR="00E559C4">
        <w:t xml:space="preserve">, and suggest </w:t>
      </w:r>
      <w:r w:rsidR="00DE3F69">
        <w:t>improvements</w:t>
      </w:r>
      <w:r w:rsidR="00E559C4">
        <w:t xml:space="preserve"> to the APS topic</w:t>
      </w:r>
      <w:r w:rsidR="00F10013">
        <w:t>s and content</w:t>
      </w:r>
      <w:r w:rsidR="00E559C4">
        <w:t>.</w:t>
      </w:r>
      <w:r w:rsidR="00372840">
        <w:t xml:space="preserve"> Collecting detailed qualitative information from multiple respondents, across different program roles, at each grantee site </w:t>
      </w:r>
      <w:r w:rsidR="00D82E6B">
        <w:t>will</w:t>
      </w:r>
      <w:r w:rsidR="00372840">
        <w:t xml:space="preserve"> provide a fuller understanding of APS implementation at each site. </w:t>
      </w:r>
      <w:r w:rsidR="00F043B6">
        <w:t xml:space="preserve">Including </w:t>
      </w:r>
      <w:r w:rsidR="00E559C4">
        <w:t xml:space="preserve">staff </w:t>
      </w:r>
      <w:r w:rsidR="00F043B6">
        <w:t>with</w:t>
      </w:r>
      <w:r w:rsidR="00E559C4">
        <w:t xml:space="preserve"> different perspectives </w:t>
      </w:r>
      <w:r w:rsidR="00F043B6">
        <w:t>is</w:t>
      </w:r>
      <w:r w:rsidR="00E559C4">
        <w:t xml:space="preserve"> valuable to the study. For instance, the program director may know more about the grantee’s procedures for </w:t>
      </w:r>
      <w:r w:rsidR="00640EDC">
        <w:t xml:space="preserve">identifying that some </w:t>
      </w:r>
      <w:r w:rsidR="00F10013">
        <w:t xml:space="preserve">APSs or </w:t>
      </w:r>
      <w:r w:rsidR="00640EDC">
        <w:t xml:space="preserve">APS topics do not meet the needs of the youth </w:t>
      </w:r>
      <w:r w:rsidR="00712DCF">
        <w:t xml:space="preserve">they </w:t>
      </w:r>
      <w:r w:rsidR="00640EDC">
        <w:t xml:space="preserve">serve </w:t>
      </w:r>
      <w:r w:rsidR="00CB5ADD">
        <w:t>(</w:t>
      </w:r>
      <w:r w:rsidR="003660DA">
        <w:t>and thus</w:t>
      </w:r>
      <w:r w:rsidR="00250C51">
        <w:t xml:space="preserve"> </w:t>
      </w:r>
      <w:r w:rsidR="00276CD7">
        <w:t>the grantee does not implement them</w:t>
      </w:r>
      <w:r w:rsidR="00CB5ADD">
        <w:t>)</w:t>
      </w:r>
      <w:r w:rsidR="00E559C4">
        <w:t xml:space="preserve">, while the facilitators may know more about the dosage of APS </w:t>
      </w:r>
      <w:r w:rsidR="00F10013">
        <w:t xml:space="preserve">topics and content </w:t>
      </w:r>
      <w:r w:rsidR="00E559C4">
        <w:t>delivered and how well youth feel the APS</w:t>
      </w:r>
      <w:r w:rsidR="00F10013">
        <w:t xml:space="preserve"> topics and content</w:t>
      </w:r>
      <w:r w:rsidR="00E559C4">
        <w:t xml:space="preserve"> meet their needs and are culturally relevant to them. </w:t>
      </w:r>
    </w:p>
    <w:p w:rsidR="00042EC2" w:rsidP="005F7B7D" w14:paraId="715BE9E0" w14:textId="624AF5F0">
      <w:pPr>
        <w:pStyle w:val="ListParagraph"/>
        <w:numPr>
          <w:ilvl w:val="1"/>
          <w:numId w:val="35"/>
        </w:numPr>
        <w:spacing w:after="120"/>
        <w:contextualSpacing w:val="0"/>
      </w:pPr>
      <w:r>
        <w:t xml:space="preserve">We will conduct </w:t>
      </w:r>
      <w:r w:rsidRPr="00E2427B">
        <w:rPr>
          <w:u w:val="single"/>
        </w:rPr>
        <w:t>focus groups</w:t>
      </w:r>
      <w:r>
        <w:t xml:space="preserve"> with community members and youth. </w:t>
      </w:r>
      <w:r w:rsidR="00342776">
        <w:t xml:space="preserve">Focus groups provide a unique opportunity to collect information about respondent opinions and reflections, capturing respondent voices in a way that other data collection methods </w:t>
      </w:r>
      <w:r w:rsidR="003660DA">
        <w:t xml:space="preserve">(such as </w:t>
      </w:r>
      <w:r w:rsidR="00342776">
        <w:t>survey instruments</w:t>
      </w:r>
      <w:r w:rsidR="003660DA">
        <w:t>)</w:t>
      </w:r>
      <w:r w:rsidR="00342776">
        <w:t xml:space="preserve"> cannot. For example, unlike surveys, the focus groups will </w:t>
      </w:r>
      <w:r w:rsidR="003660DA">
        <w:t xml:space="preserve">enable </w:t>
      </w:r>
      <w:r w:rsidR="00342776">
        <w:t xml:space="preserve">us to delve deeper into community members’ or parents’ opinions on </w:t>
      </w:r>
      <w:r w:rsidR="00640EDC">
        <w:t>each</w:t>
      </w:r>
      <w:r w:rsidR="00342776">
        <w:t xml:space="preserve"> APS and how well </w:t>
      </w:r>
      <w:r w:rsidR="00640EDC">
        <w:t>it</w:t>
      </w:r>
      <w:r w:rsidR="00342776">
        <w:t xml:space="preserve"> meet</w:t>
      </w:r>
      <w:r w:rsidR="00640EDC">
        <w:t>s</w:t>
      </w:r>
      <w:r w:rsidR="00342776">
        <w:t xml:space="preserve"> the needs of the youth in their community. In addition, the focus group format will </w:t>
      </w:r>
      <w:r w:rsidR="00825DC8">
        <w:t xml:space="preserve">enable </w:t>
      </w:r>
      <w:r w:rsidR="00342776">
        <w:t xml:space="preserve">the study team to probe </w:t>
      </w:r>
      <w:r w:rsidR="00C36F28">
        <w:t>for</w:t>
      </w:r>
      <w:r w:rsidR="00342776">
        <w:t xml:space="preserve"> </w:t>
      </w:r>
      <w:r w:rsidR="00C36F28">
        <w:t xml:space="preserve">in-depth </w:t>
      </w:r>
      <w:r w:rsidR="00342776">
        <w:t xml:space="preserve">information on </w:t>
      </w:r>
      <w:r w:rsidR="00B04853">
        <w:t>whether APS topic</w:t>
      </w:r>
      <w:r w:rsidR="00F10013">
        <w:t>s and content</w:t>
      </w:r>
      <w:r w:rsidR="00640EDC">
        <w:t xml:space="preserve"> </w:t>
      </w:r>
      <w:r w:rsidR="00F10013">
        <w:t xml:space="preserve">are </w:t>
      </w:r>
      <w:r w:rsidR="00B04853">
        <w:t>culturally relevant, and if not, ask for more details on potential revisions that could make the APS topics</w:t>
      </w:r>
      <w:r w:rsidR="00F10013">
        <w:t xml:space="preserve"> and content</w:t>
      </w:r>
      <w:r w:rsidR="00B04853">
        <w:t xml:space="preserve"> more culturally relevant for the youth served by PREP programming. </w:t>
      </w:r>
      <w:r w:rsidR="007B50A3">
        <w:rPr>
          <w:rFonts w:eastAsia="Calibri" w:cstheme="minorHAnsi"/>
        </w:rPr>
        <w:t xml:space="preserve">During the focus groups, moderators will ask questions in a semi-structured way, providing opportunities for </w:t>
      </w:r>
      <w:r w:rsidR="00851680">
        <w:rPr>
          <w:rFonts w:eastAsia="Calibri" w:cstheme="minorHAnsi"/>
        </w:rPr>
        <w:t>participants</w:t>
      </w:r>
      <w:r w:rsidR="007B50A3">
        <w:rPr>
          <w:rFonts w:eastAsia="Calibri" w:cstheme="minorHAnsi"/>
        </w:rPr>
        <w:t xml:space="preserve"> to ask clarifying questions and respond as appropriate. </w:t>
      </w:r>
      <w:r w:rsidRPr="00FE4ADF" w:rsidR="007B50A3">
        <w:rPr>
          <w:rFonts w:eastAsia="Calibri" w:cstheme="minorHAnsi"/>
        </w:rPr>
        <w:t>Moderators will also encourage participants to engage with others in the group.</w:t>
      </w:r>
    </w:p>
    <w:p w:rsidR="00C47124" w:rsidRPr="00090FDE" w:rsidP="00090FDE" w14:paraId="10FE5AD1" w14:textId="22589F43">
      <w:pPr>
        <w:tabs>
          <w:tab w:val="left" w:pos="-720"/>
        </w:tabs>
        <w:suppressAutoHyphens/>
        <w:spacing w:after="0"/>
        <w:rPr>
          <w:iCs/>
        </w:rPr>
      </w:pPr>
      <w:r w:rsidRPr="00090FDE">
        <w:rPr>
          <w:iCs/>
        </w:rPr>
        <w:t>As noted in Supporting Statement A, this information is not intended to be used as the principal basis for public policy decisions and is not expected to meet the threshold of influential or highly influential scientific information</w:t>
      </w:r>
      <w:r w:rsidRPr="00090FDE">
        <w:rPr>
          <w:iCs/>
        </w:rPr>
        <w:t>.  </w:t>
      </w:r>
      <w:r w:rsidRPr="00090FDE">
        <w:rPr>
          <w:iCs/>
        </w:rPr>
        <w:t xml:space="preserve"> </w:t>
      </w:r>
    </w:p>
    <w:p w:rsidR="00D479FD" w:rsidRPr="00C47124" w:rsidP="00D479FD" w14:paraId="3CE2A229" w14:textId="77777777">
      <w:pPr>
        <w:spacing w:after="0" w:line="240" w:lineRule="auto"/>
        <w:rPr>
          <w:rFonts w:eastAsia="Times New Roman" w:cstheme="minorHAnsi"/>
        </w:rPr>
      </w:pPr>
    </w:p>
    <w:p w:rsidR="00A77839" w:rsidP="005F7B7D" w14:paraId="69365903" w14:textId="77777777">
      <w:pPr>
        <w:pStyle w:val="ListParagraph"/>
        <w:spacing w:after="120"/>
        <w:ind w:left="0"/>
        <w:contextualSpacing w:val="0"/>
        <w:rPr>
          <w:rFonts w:eastAsia="Times New Roman" w:cstheme="minorHAnsi"/>
          <w:color w:val="000000"/>
        </w:rPr>
      </w:pPr>
      <w:r>
        <w:rPr>
          <w:b/>
        </w:rPr>
        <w:t>B2.</w:t>
      </w:r>
      <w:r>
        <w:rPr>
          <w:b/>
        </w:rPr>
        <w:tab/>
      </w:r>
      <w:r>
        <w:rPr>
          <w:rFonts w:eastAsia="Times New Roman" w:cstheme="minorHAnsi"/>
          <w:b/>
          <w:bCs/>
          <w:color w:val="000000"/>
        </w:rPr>
        <w:t>Methods and Design</w:t>
      </w:r>
    </w:p>
    <w:p w:rsidR="00A77839" w:rsidP="00D479FD" w14:paraId="6501C358" w14:textId="2C1E78D5">
      <w:pPr>
        <w:spacing w:after="60"/>
        <w:rPr>
          <w:rFonts w:eastAsia="Times New Roman" w:cstheme="minorHAnsi"/>
          <w:color w:val="000000"/>
        </w:rPr>
      </w:pPr>
      <w:r>
        <w:rPr>
          <w:rFonts w:eastAsia="Times New Roman" w:cstheme="minorHAnsi"/>
          <w:i/>
          <w:color w:val="000000"/>
        </w:rPr>
        <w:t>Target Population</w:t>
      </w:r>
    </w:p>
    <w:p w:rsidR="00B6107F" w:rsidP="00D479FD" w14:paraId="4955A620" w14:textId="5D73CA0C">
      <w:pPr>
        <w:spacing w:after="0"/>
      </w:pPr>
      <w:r w:rsidRPr="008A532C">
        <w:t xml:space="preserve">The population of interest for this study is </w:t>
      </w:r>
      <w:r w:rsidRPr="008A532C" w:rsidR="004E2398">
        <w:t xml:space="preserve">a subset of all organizations funded through the </w:t>
      </w:r>
      <w:r w:rsidR="00EE2460">
        <w:t>PREP</w:t>
      </w:r>
      <w:r w:rsidRPr="008A532C" w:rsidR="004E2398">
        <w:t xml:space="preserve"> gran</w:t>
      </w:r>
      <w:r w:rsidR="008A532C">
        <w:t>t</w:t>
      </w:r>
      <w:r w:rsidRPr="008A532C" w:rsidR="004E2398">
        <w:t xml:space="preserve"> program</w:t>
      </w:r>
      <w:r w:rsidRPr="007D39F5" w:rsidR="007D39F5">
        <w:t>—</w:t>
      </w:r>
      <w:r w:rsidR="009455F5">
        <w:t xml:space="preserve">including </w:t>
      </w:r>
      <w:r w:rsidR="009455F5">
        <w:t>some</w:t>
      </w:r>
      <w:r w:rsidR="009455F5">
        <w:t xml:space="preserve"> </w:t>
      </w:r>
      <w:r w:rsidR="00851680">
        <w:t>C</w:t>
      </w:r>
      <w:r w:rsidR="009455F5">
        <w:t xml:space="preserve">ompetitive PREP, </w:t>
      </w:r>
      <w:r w:rsidR="00851680">
        <w:t>S</w:t>
      </w:r>
      <w:r w:rsidR="009455F5">
        <w:t>tate PREP, Tribal PREP</w:t>
      </w:r>
      <w:r w:rsidR="00D82E6B">
        <w:t>, and Personal Responsibility Education Innovative Strategies (PREIS</w:t>
      </w:r>
      <w:r w:rsidR="009455F5">
        <w:t>)</w:t>
      </w:r>
      <w:r w:rsidR="00D82E6B">
        <w:t xml:space="preserve"> grantees</w:t>
      </w:r>
      <w:r w:rsidR="00A17F2E">
        <w:t xml:space="preserve"> and their providers</w:t>
      </w:r>
      <w:r w:rsidR="00581B7C">
        <w:t xml:space="preserve">. </w:t>
      </w:r>
      <w:r w:rsidR="00C863A3">
        <w:t xml:space="preserve">We will prioritize organizations </w:t>
      </w:r>
      <w:r w:rsidR="00C863A3">
        <w:rPr>
          <w:rFonts w:ascii="Calibri" w:eastAsia="Calibri" w:hAnsi="Calibri" w:cs="Times New Roman"/>
        </w:rPr>
        <w:t xml:space="preserve">that are </w:t>
      </w:r>
      <w:r w:rsidRPr="008532DE" w:rsidR="00C863A3">
        <w:rPr>
          <w:rFonts w:ascii="Calibri" w:eastAsia="Calibri" w:hAnsi="Calibri" w:cs="Times New Roman"/>
        </w:rPr>
        <w:t>implement</w:t>
      </w:r>
      <w:r w:rsidR="00C863A3">
        <w:rPr>
          <w:rFonts w:ascii="Calibri" w:eastAsia="Calibri" w:hAnsi="Calibri" w:cs="Times New Roman"/>
        </w:rPr>
        <w:t>ing</w:t>
      </w:r>
      <w:r w:rsidRPr="008532DE" w:rsidR="00C863A3">
        <w:rPr>
          <w:rFonts w:ascii="Calibri" w:eastAsia="Calibri" w:hAnsi="Calibri" w:cs="Times New Roman"/>
        </w:rPr>
        <w:t xml:space="preserve"> innovative APS programming, have adapt</w:t>
      </w:r>
      <w:r w:rsidR="00C863A3">
        <w:rPr>
          <w:rFonts w:ascii="Calibri" w:eastAsia="Calibri" w:hAnsi="Calibri" w:cs="Times New Roman"/>
        </w:rPr>
        <w:t xml:space="preserve">ed APS </w:t>
      </w:r>
      <w:r w:rsidRPr="008532DE" w:rsidR="00C863A3">
        <w:rPr>
          <w:rFonts w:ascii="Calibri" w:eastAsia="Calibri" w:hAnsi="Calibri" w:cs="Times New Roman"/>
        </w:rPr>
        <w:t xml:space="preserve">for cultural relevance, </w:t>
      </w:r>
      <w:r w:rsidR="00C863A3">
        <w:rPr>
          <w:rFonts w:ascii="Calibri" w:eastAsia="Calibri" w:hAnsi="Calibri" w:cs="Times New Roman"/>
        </w:rPr>
        <w:t>or</w:t>
      </w:r>
      <w:r w:rsidRPr="008532DE" w:rsidR="00C863A3">
        <w:rPr>
          <w:rFonts w:ascii="Calibri" w:eastAsia="Calibri" w:hAnsi="Calibri" w:cs="Times New Roman"/>
        </w:rPr>
        <w:t xml:space="preserve"> </w:t>
      </w:r>
      <w:r w:rsidR="00C863A3">
        <w:rPr>
          <w:rFonts w:ascii="Calibri" w:eastAsia="Calibri" w:hAnsi="Calibri" w:cs="Times New Roman"/>
        </w:rPr>
        <w:t xml:space="preserve">are </w:t>
      </w:r>
      <w:r w:rsidRPr="008532DE" w:rsidR="00C863A3">
        <w:rPr>
          <w:rFonts w:ascii="Calibri" w:eastAsia="Calibri" w:hAnsi="Calibri" w:cs="Times New Roman"/>
        </w:rPr>
        <w:t>serv</w:t>
      </w:r>
      <w:r w:rsidR="00C863A3">
        <w:rPr>
          <w:rFonts w:ascii="Calibri" w:eastAsia="Calibri" w:hAnsi="Calibri" w:cs="Times New Roman"/>
        </w:rPr>
        <w:t xml:space="preserve">ing </w:t>
      </w:r>
      <w:r w:rsidRPr="008532DE" w:rsidR="00C863A3">
        <w:rPr>
          <w:rFonts w:ascii="Calibri" w:eastAsia="Calibri" w:hAnsi="Calibri" w:cs="Times New Roman"/>
        </w:rPr>
        <w:t>subgroups of youth that may have particularly useful insights on cultural relevance</w:t>
      </w:r>
      <w:r w:rsidRPr="00336614" w:rsidR="00C863A3">
        <w:rPr>
          <w:rFonts w:ascii="Calibri" w:eastAsia="Calibri" w:hAnsi="Calibri" w:cs="Times New Roman"/>
        </w:rPr>
        <w:t>—</w:t>
      </w:r>
      <w:r w:rsidR="00513B30">
        <w:rPr>
          <w:rFonts w:ascii="Calibri" w:eastAsia="Calibri" w:hAnsi="Calibri" w:cs="Times New Roman"/>
        </w:rPr>
        <w:t xml:space="preserve">for example, </w:t>
      </w:r>
      <w:r w:rsidR="00C863A3">
        <w:rPr>
          <w:rFonts w:ascii="Calibri" w:eastAsia="Calibri" w:hAnsi="Calibri" w:cs="Times New Roman"/>
        </w:rPr>
        <w:t>those</w:t>
      </w:r>
      <w:r w:rsidRPr="008532DE" w:rsidR="00C863A3">
        <w:rPr>
          <w:rFonts w:ascii="Calibri" w:eastAsia="Calibri" w:hAnsi="Calibri" w:cs="Times New Roman"/>
        </w:rPr>
        <w:t xml:space="preserve"> serving </w:t>
      </w:r>
      <w:r w:rsidR="00C863A3">
        <w:rPr>
          <w:rFonts w:ascii="Calibri" w:eastAsia="Calibri" w:hAnsi="Calibri" w:cs="Times New Roman"/>
        </w:rPr>
        <w:t>t</w:t>
      </w:r>
      <w:r w:rsidRPr="008532DE" w:rsidR="00C863A3">
        <w:rPr>
          <w:rFonts w:ascii="Calibri" w:eastAsia="Calibri" w:hAnsi="Calibri" w:cs="Times New Roman"/>
        </w:rPr>
        <w:t>ribal and American Indian and Alaska Native (AI/AN)</w:t>
      </w:r>
      <w:r w:rsidR="00C863A3">
        <w:rPr>
          <w:rFonts w:ascii="Calibri" w:eastAsia="Calibri" w:hAnsi="Calibri" w:cs="Times New Roman"/>
        </w:rPr>
        <w:t xml:space="preserve"> </w:t>
      </w:r>
      <w:r w:rsidRPr="008532DE" w:rsidR="00C863A3">
        <w:rPr>
          <w:rFonts w:ascii="Calibri" w:eastAsia="Calibri" w:hAnsi="Calibri" w:cs="Times New Roman"/>
        </w:rPr>
        <w:t xml:space="preserve">youth, Latino youth, youth living </w:t>
      </w:r>
      <w:r w:rsidR="00C863A3">
        <w:rPr>
          <w:rFonts w:ascii="Calibri" w:eastAsia="Calibri" w:hAnsi="Calibri" w:cs="Times New Roman"/>
        </w:rPr>
        <w:t xml:space="preserve">in </w:t>
      </w:r>
      <w:r w:rsidRPr="008532DE" w:rsidR="00C863A3">
        <w:rPr>
          <w:rFonts w:ascii="Calibri" w:eastAsia="Calibri" w:hAnsi="Calibri" w:cs="Times New Roman"/>
        </w:rPr>
        <w:t>rural areas, and youth living in child welfare or juvenile justice setting</w:t>
      </w:r>
      <w:r w:rsidR="00C863A3">
        <w:rPr>
          <w:rFonts w:ascii="Calibri" w:eastAsia="Calibri" w:hAnsi="Calibri" w:cs="Times New Roman"/>
        </w:rPr>
        <w:t xml:space="preserve">s. </w:t>
      </w:r>
      <w:r w:rsidRPr="008A532C">
        <w:t xml:space="preserve">Respondents of interest for the </w:t>
      </w:r>
      <w:r w:rsidR="000A3945">
        <w:t>tele</w:t>
      </w:r>
      <w:r w:rsidR="007465D9">
        <w:t xml:space="preserve">phone </w:t>
      </w:r>
      <w:r w:rsidRPr="008A532C">
        <w:t xml:space="preserve">interviews are the </w:t>
      </w:r>
      <w:r w:rsidR="00B66356">
        <w:t xml:space="preserve">project directors, </w:t>
      </w:r>
      <w:r w:rsidRPr="008A532C">
        <w:t>grantee administrators</w:t>
      </w:r>
      <w:r w:rsidR="00B66356">
        <w:t xml:space="preserve">, or another staff member that the </w:t>
      </w:r>
      <w:r w:rsidRPr="008A532C">
        <w:t xml:space="preserve">grantee </w:t>
      </w:r>
      <w:r w:rsidR="00A17F2E">
        <w:t xml:space="preserve">or provider </w:t>
      </w:r>
      <w:r w:rsidRPr="008A532C">
        <w:t>identifies as the most knowledgeable respondent.</w:t>
      </w:r>
      <w:r>
        <w:t xml:space="preserve"> </w:t>
      </w:r>
    </w:p>
    <w:p w:rsidR="00D479FD" w:rsidP="00D479FD" w14:paraId="3E1B0F51" w14:textId="77777777">
      <w:pPr>
        <w:spacing w:after="0"/>
      </w:pPr>
    </w:p>
    <w:p w:rsidR="00C47124" w:rsidP="00D479FD" w14:paraId="01379EB1" w14:textId="2F2771EA">
      <w:pPr>
        <w:spacing w:after="0"/>
      </w:pPr>
      <w:r>
        <w:t>For each of the three grantees</w:t>
      </w:r>
      <w:r w:rsidR="00A17F2E">
        <w:t xml:space="preserve"> selected</w:t>
      </w:r>
      <w:r>
        <w:t xml:space="preserve"> for the site visits, we will collect information </w:t>
      </w:r>
      <w:r w:rsidR="00177D3B">
        <w:t xml:space="preserve">from </w:t>
      </w:r>
      <w:r w:rsidR="00FE01B1">
        <w:t>program leaders and managers</w:t>
      </w:r>
      <w:r>
        <w:t>; facilitators of PREP programming; community members, including parents; and youth. The sampling frame for each site will be the staff that oversee the PREP programming</w:t>
      </w:r>
      <w:r w:rsidR="00A17F2E">
        <w:t>;</w:t>
      </w:r>
      <w:r>
        <w:t xml:space="preserve"> the roster of all facilitators providing PREP programming for the grantee</w:t>
      </w:r>
      <w:r w:rsidR="00A17F2E">
        <w:t>;</w:t>
      </w:r>
      <w:r>
        <w:t xml:space="preserve"> parents of youth participants </w:t>
      </w:r>
      <w:r w:rsidR="00A17F2E">
        <w:t xml:space="preserve">in PREP programming </w:t>
      </w:r>
      <w:r>
        <w:t xml:space="preserve">and other community members who </w:t>
      </w:r>
      <w:r w:rsidR="00A17F2E">
        <w:t xml:space="preserve">helped develop or adapt APS materials or collaborate with the PREP program in other ways; </w:t>
      </w:r>
      <w:r>
        <w:t xml:space="preserve">and youth that have participated in PREP programming. </w:t>
      </w:r>
    </w:p>
    <w:p w:rsidR="00D479FD" w:rsidP="00D479FD" w14:paraId="1749EF88" w14:textId="77777777">
      <w:pPr>
        <w:spacing w:after="0"/>
      </w:pPr>
    </w:p>
    <w:p w:rsidR="00C47124" w:rsidP="00D479FD" w14:paraId="7A65FD0E" w14:textId="0A76FFDD">
      <w:pPr>
        <w:spacing w:after="0"/>
      </w:pPr>
      <w:r>
        <w:t xml:space="preserve">The </w:t>
      </w:r>
      <w:r w:rsidR="00276CD7">
        <w:t>study</w:t>
      </w:r>
      <w:r>
        <w:t xml:space="preserve"> team will use non-probability, purposive sampling to identify potential respondents who can provide information on the study’s key constructs. Because participants will </w:t>
      </w:r>
      <w:r>
        <w:t>be purposively selected</w:t>
      </w:r>
      <w:r>
        <w:t xml:space="preserve">, they will not be representative of </w:t>
      </w:r>
      <w:r w:rsidR="00B66356">
        <w:t xml:space="preserve">the staff providing </w:t>
      </w:r>
      <w:r>
        <w:t xml:space="preserve">PREP </w:t>
      </w:r>
      <w:r w:rsidR="00B66356">
        <w:t>programming or populations of families that the programs serve</w:t>
      </w:r>
      <w:r>
        <w:t xml:space="preserve">. Instead, we aim to obtain variation in experiences to understand how </w:t>
      </w:r>
      <w:r>
        <w:t>APS topics are viewed by various relevant parties</w:t>
      </w:r>
      <w:r>
        <w:t>.</w:t>
      </w:r>
    </w:p>
    <w:p w:rsidR="00D479FD" w:rsidRPr="00E37692" w:rsidP="00D479FD" w14:paraId="12427164" w14:textId="77777777">
      <w:pPr>
        <w:spacing w:after="0"/>
      </w:pPr>
    </w:p>
    <w:p w:rsidR="00A77839" w:rsidP="00D479FD" w14:paraId="4FC77AB9" w14:textId="77777777">
      <w:pPr>
        <w:spacing w:after="60"/>
        <w:rPr>
          <w:rFonts w:eastAsia="Times New Roman" w:cstheme="minorHAnsi"/>
          <w:i/>
          <w:color w:val="000000"/>
        </w:rPr>
      </w:pPr>
      <w:r>
        <w:rPr>
          <w:rFonts w:eastAsia="Times New Roman" w:cstheme="minorHAnsi"/>
          <w:i/>
          <w:color w:val="000000"/>
        </w:rPr>
        <w:t>Sampling and Site Selection</w:t>
      </w:r>
    </w:p>
    <w:p w:rsidR="00A77839" w:rsidP="00D479FD" w14:paraId="733935ED" w14:textId="55B15DE2">
      <w:pPr>
        <w:tabs>
          <w:tab w:val="left" w:pos="-720"/>
        </w:tabs>
        <w:suppressAutoHyphens/>
        <w:spacing w:after="0"/>
        <w:rPr>
          <w:rFonts w:eastAsia="Times New Roman" w:cstheme="minorHAnsi"/>
          <w:color w:val="000000"/>
        </w:rPr>
      </w:pPr>
      <w:r>
        <w:rPr>
          <w:rFonts w:eastAsia="Times New Roman" w:cstheme="minorHAnsi"/>
          <w:color w:val="000000"/>
          <w:u w:val="single"/>
        </w:rPr>
        <w:t>Telep</w:t>
      </w:r>
      <w:r w:rsidR="007465D9">
        <w:rPr>
          <w:rFonts w:eastAsia="Times New Roman" w:cstheme="minorHAnsi"/>
          <w:color w:val="000000"/>
          <w:u w:val="single"/>
        </w:rPr>
        <w:t>hone i</w:t>
      </w:r>
      <w:r w:rsidRPr="009E4DF9" w:rsidR="009E4DF9">
        <w:rPr>
          <w:rFonts w:eastAsia="Times New Roman" w:cstheme="minorHAnsi"/>
          <w:color w:val="000000"/>
          <w:u w:val="single"/>
        </w:rPr>
        <w:t>nterviews</w:t>
      </w:r>
      <w:r w:rsidRPr="00C569AD" w:rsidR="009E4DF9">
        <w:rPr>
          <w:rFonts w:eastAsia="Times New Roman" w:cstheme="minorHAnsi"/>
          <w:color w:val="000000"/>
        </w:rPr>
        <w:t>:</w:t>
      </w:r>
      <w:r w:rsidR="009E4DF9">
        <w:rPr>
          <w:rFonts w:eastAsia="Times New Roman" w:cstheme="minorHAnsi"/>
          <w:b/>
          <w:bCs/>
          <w:color w:val="000000"/>
        </w:rPr>
        <w:t xml:space="preserve"> </w:t>
      </w:r>
      <w:r w:rsidR="00D479FD">
        <w:rPr>
          <w:rFonts w:eastAsia="Times New Roman" w:cstheme="minorHAnsi"/>
          <w:color w:val="000000"/>
        </w:rPr>
        <w:t xml:space="preserve">The study team – including the contractor, Mathematica, and ACF staff – </w:t>
      </w:r>
      <w:r w:rsidR="009455F5">
        <w:rPr>
          <w:rFonts w:eastAsia="Times New Roman" w:cstheme="minorHAnsi"/>
          <w:color w:val="000000"/>
        </w:rPr>
        <w:t xml:space="preserve">will identify </w:t>
      </w:r>
      <w:r w:rsidR="00E146A6">
        <w:rPr>
          <w:rFonts w:eastAsia="Times New Roman" w:cstheme="minorHAnsi"/>
          <w:color w:val="000000"/>
        </w:rPr>
        <w:t xml:space="preserve">up to </w:t>
      </w:r>
      <w:r w:rsidR="00E146A6">
        <w:rPr>
          <w:rFonts w:eastAsia="Times New Roman" w:cstheme="minorHAnsi"/>
          <w:color w:val="000000"/>
        </w:rPr>
        <w:t>20</w:t>
      </w:r>
      <w:r w:rsidR="009455F5">
        <w:rPr>
          <w:rFonts w:eastAsia="Times New Roman" w:cstheme="minorHAnsi"/>
          <w:color w:val="000000"/>
        </w:rPr>
        <w:t xml:space="preserve"> grantees </w:t>
      </w:r>
      <w:r w:rsidR="008B5E4F">
        <w:rPr>
          <w:rFonts w:eastAsia="Times New Roman" w:cstheme="minorHAnsi"/>
          <w:color w:val="000000"/>
        </w:rPr>
        <w:t xml:space="preserve">and providers </w:t>
      </w:r>
      <w:r w:rsidR="009455F5">
        <w:rPr>
          <w:rFonts w:eastAsia="Times New Roman" w:cstheme="minorHAnsi"/>
          <w:color w:val="000000"/>
        </w:rPr>
        <w:t xml:space="preserve">to participate in </w:t>
      </w:r>
      <w:r w:rsidR="00D24604">
        <w:rPr>
          <w:rFonts w:eastAsia="Times New Roman" w:cstheme="minorHAnsi"/>
          <w:color w:val="000000"/>
        </w:rPr>
        <w:t>the</w:t>
      </w:r>
      <w:r w:rsidR="007465D9">
        <w:rPr>
          <w:rFonts w:eastAsia="Times New Roman" w:cstheme="minorHAnsi"/>
          <w:color w:val="000000"/>
        </w:rPr>
        <w:t xml:space="preserve"> </w:t>
      </w:r>
      <w:r>
        <w:rPr>
          <w:rFonts w:eastAsia="Times New Roman" w:cstheme="minorHAnsi"/>
          <w:color w:val="000000"/>
        </w:rPr>
        <w:t>tele</w:t>
      </w:r>
      <w:r w:rsidR="007465D9">
        <w:rPr>
          <w:rFonts w:eastAsia="Times New Roman" w:cstheme="minorHAnsi"/>
          <w:color w:val="000000"/>
        </w:rPr>
        <w:t>phone</w:t>
      </w:r>
      <w:r w:rsidR="00D24604">
        <w:rPr>
          <w:rFonts w:eastAsia="Times New Roman" w:cstheme="minorHAnsi"/>
          <w:color w:val="000000"/>
        </w:rPr>
        <w:t xml:space="preserve"> interviews. This will be a combination of </w:t>
      </w:r>
      <w:r w:rsidR="00CD248C">
        <w:rPr>
          <w:rFonts w:eastAsia="Times New Roman" w:cstheme="minorHAnsi"/>
          <w:color w:val="000000"/>
        </w:rPr>
        <w:t xml:space="preserve">Competitive </w:t>
      </w:r>
      <w:r w:rsidR="00D24604">
        <w:rPr>
          <w:rFonts w:eastAsia="Times New Roman" w:cstheme="minorHAnsi"/>
          <w:color w:val="000000"/>
        </w:rPr>
        <w:t xml:space="preserve">PREP, </w:t>
      </w:r>
      <w:r w:rsidR="00CD248C">
        <w:rPr>
          <w:rFonts w:eastAsia="Times New Roman" w:cstheme="minorHAnsi"/>
          <w:color w:val="000000"/>
        </w:rPr>
        <w:t>S</w:t>
      </w:r>
      <w:r w:rsidR="00D24604">
        <w:rPr>
          <w:rFonts w:eastAsia="Times New Roman" w:cstheme="minorHAnsi"/>
          <w:color w:val="000000"/>
        </w:rPr>
        <w:t xml:space="preserve">tate PREP, </w:t>
      </w:r>
      <w:r w:rsidR="00B43CD1">
        <w:rPr>
          <w:rFonts w:eastAsia="Times New Roman" w:cstheme="minorHAnsi"/>
          <w:color w:val="000000"/>
        </w:rPr>
        <w:t xml:space="preserve">Tribal PREP, </w:t>
      </w:r>
      <w:r w:rsidR="00D24604">
        <w:rPr>
          <w:rFonts w:eastAsia="Times New Roman" w:cstheme="minorHAnsi"/>
          <w:color w:val="000000"/>
        </w:rPr>
        <w:t>and PREIS grantees. We will purposively select grantees</w:t>
      </w:r>
      <w:r w:rsidR="00B43CD1">
        <w:rPr>
          <w:rFonts w:eastAsia="Times New Roman" w:cstheme="minorHAnsi"/>
          <w:color w:val="000000"/>
        </w:rPr>
        <w:t xml:space="preserve"> and providers</w:t>
      </w:r>
      <w:r w:rsidR="00D24604">
        <w:rPr>
          <w:rFonts w:eastAsia="Times New Roman" w:cstheme="minorHAnsi"/>
          <w:color w:val="000000"/>
        </w:rPr>
        <w:t xml:space="preserve"> that are diverse in terms of how they address APS</w:t>
      </w:r>
      <w:r w:rsidR="005F7B7D">
        <w:rPr>
          <w:rFonts w:eastAsia="Times New Roman" w:cstheme="minorHAnsi"/>
          <w:color w:val="000000"/>
        </w:rPr>
        <w:t>s</w:t>
      </w:r>
      <w:r w:rsidR="00D24604">
        <w:rPr>
          <w:rFonts w:eastAsia="Times New Roman" w:cstheme="minorHAnsi"/>
          <w:color w:val="000000"/>
        </w:rPr>
        <w:t xml:space="preserve"> and </w:t>
      </w:r>
      <w:r w:rsidR="00200586">
        <w:rPr>
          <w:rFonts w:eastAsia="Times New Roman" w:cstheme="minorHAnsi"/>
          <w:color w:val="000000"/>
        </w:rPr>
        <w:t xml:space="preserve">other </w:t>
      </w:r>
      <w:r w:rsidR="00B43CD1">
        <w:rPr>
          <w:rFonts w:eastAsia="Times New Roman" w:cstheme="minorHAnsi"/>
          <w:color w:val="000000"/>
        </w:rPr>
        <w:t xml:space="preserve">grantee </w:t>
      </w:r>
      <w:r w:rsidR="00200586">
        <w:rPr>
          <w:rFonts w:eastAsia="Times New Roman" w:cstheme="minorHAnsi"/>
          <w:color w:val="000000"/>
        </w:rPr>
        <w:t xml:space="preserve">characteristics, such as the target population of youth served, the setting of program implementation, and </w:t>
      </w:r>
      <w:r w:rsidR="00B272FD">
        <w:rPr>
          <w:rFonts w:eastAsia="Times New Roman" w:cstheme="minorHAnsi"/>
          <w:color w:val="000000"/>
        </w:rPr>
        <w:t>geographic location</w:t>
      </w:r>
      <w:r w:rsidR="00200586">
        <w:rPr>
          <w:rFonts w:eastAsia="Times New Roman" w:cstheme="minorHAnsi"/>
          <w:color w:val="000000"/>
        </w:rPr>
        <w:t xml:space="preserve">. </w:t>
      </w:r>
      <w:r w:rsidR="00200586">
        <w:rPr>
          <w:rFonts w:eastAsia="Times New Roman" w:cstheme="minorHAnsi"/>
          <w:iCs/>
          <w:color w:val="000000"/>
        </w:rPr>
        <w:t xml:space="preserve">We will use data collected under the </w:t>
      </w:r>
      <w:r w:rsidR="00054D02">
        <w:rPr>
          <w:rFonts w:eastAsia="Times New Roman" w:cstheme="minorHAnsi"/>
          <w:iCs/>
          <w:color w:val="000000"/>
        </w:rPr>
        <w:t>PREP</w:t>
      </w:r>
      <w:r w:rsidR="00200586">
        <w:rPr>
          <w:rFonts w:eastAsia="Times New Roman" w:cstheme="minorHAnsi"/>
          <w:iCs/>
          <w:color w:val="000000"/>
        </w:rPr>
        <w:t xml:space="preserve"> performance measures </w:t>
      </w:r>
      <w:r w:rsidRPr="008A532C" w:rsidR="00200586">
        <w:rPr>
          <w:rFonts w:eastAsia="Times New Roman" w:cstheme="minorHAnsi"/>
          <w:iCs/>
          <w:color w:val="000000"/>
        </w:rPr>
        <w:t>(</w:t>
      </w:r>
      <w:bookmarkStart w:id="9" w:name="_Hlk127798047"/>
      <w:r w:rsidRPr="003B33B1" w:rsidR="00200586">
        <w:rPr>
          <w:rFonts w:eastAsia="Times New Roman" w:cstheme="minorHAnsi"/>
          <w:iCs/>
          <w:color w:val="000000"/>
        </w:rPr>
        <w:t xml:space="preserve">OMB </w:t>
      </w:r>
      <w:r w:rsidR="00D479FD">
        <w:rPr>
          <w:rFonts w:eastAsia="Times New Roman" w:cstheme="minorHAnsi"/>
          <w:iCs/>
          <w:color w:val="000000"/>
        </w:rPr>
        <w:t>#</w:t>
      </w:r>
      <w:r w:rsidRPr="003B33B1" w:rsidR="00200586">
        <w:rPr>
          <w:rFonts w:eastAsia="Times New Roman" w:cstheme="minorHAnsi"/>
          <w:iCs/>
          <w:color w:val="000000"/>
        </w:rPr>
        <w:t xml:space="preserve">0970-0497; Exp Date </w:t>
      </w:r>
      <w:r w:rsidRPr="003B33B1" w:rsidR="00CD248C">
        <w:rPr>
          <w:rFonts w:eastAsia="Times New Roman" w:cstheme="minorHAnsi"/>
          <w:iCs/>
          <w:color w:val="000000"/>
        </w:rPr>
        <w:t>06/30/2023</w:t>
      </w:r>
      <w:bookmarkEnd w:id="9"/>
      <w:r>
        <w:rPr>
          <w:rStyle w:val="FootnoteReference"/>
          <w:rFonts w:eastAsia="Times New Roman" w:cstheme="minorHAnsi"/>
          <w:iCs/>
          <w:color w:val="000000"/>
        </w:rPr>
        <w:footnoteReference w:id="2"/>
      </w:r>
      <w:r w:rsidR="00200586">
        <w:rPr>
          <w:rFonts w:eastAsia="Times New Roman" w:cstheme="minorHAnsi"/>
          <w:iCs/>
          <w:color w:val="000000"/>
        </w:rPr>
        <w:t xml:space="preserve">) to </w:t>
      </w:r>
      <w:r w:rsidR="009E4DF9">
        <w:rPr>
          <w:rFonts w:eastAsia="Times New Roman" w:cstheme="minorHAnsi"/>
          <w:iCs/>
          <w:color w:val="000000"/>
        </w:rPr>
        <w:t>gather information on the grantees’ characteristics</w:t>
      </w:r>
      <w:r w:rsidR="00200586">
        <w:rPr>
          <w:rFonts w:eastAsia="Times New Roman" w:cstheme="minorHAnsi"/>
          <w:iCs/>
          <w:color w:val="000000"/>
        </w:rPr>
        <w:t xml:space="preserve">. </w:t>
      </w:r>
      <w:r w:rsidRPr="00F15D36" w:rsidR="00F15D36">
        <w:rPr>
          <w:rFonts w:eastAsia="Times New Roman" w:cstheme="minorHAnsi"/>
          <w:color w:val="000000"/>
        </w:rPr>
        <w:t xml:space="preserve">Once the </w:t>
      </w:r>
      <w:r w:rsidR="00C569AD">
        <w:rPr>
          <w:rFonts w:eastAsia="Times New Roman" w:cstheme="minorHAnsi"/>
          <w:color w:val="000000"/>
        </w:rPr>
        <w:t>grantees</w:t>
      </w:r>
      <w:r w:rsidRPr="00F15D36" w:rsidR="00F15D36">
        <w:rPr>
          <w:rFonts w:eastAsia="Times New Roman" w:cstheme="minorHAnsi"/>
          <w:color w:val="000000"/>
        </w:rPr>
        <w:t xml:space="preserve"> </w:t>
      </w:r>
      <w:r w:rsidR="00B43CD1">
        <w:rPr>
          <w:rFonts w:eastAsia="Times New Roman" w:cstheme="minorHAnsi"/>
          <w:color w:val="000000"/>
        </w:rPr>
        <w:t xml:space="preserve">and providers </w:t>
      </w:r>
      <w:r w:rsidRPr="00F15D36" w:rsidR="00F15D36">
        <w:rPr>
          <w:rFonts w:eastAsia="Times New Roman" w:cstheme="minorHAnsi"/>
          <w:color w:val="000000"/>
        </w:rPr>
        <w:t xml:space="preserve">have been selected , we will invite </w:t>
      </w:r>
      <w:r w:rsidR="00D24604">
        <w:rPr>
          <w:rFonts w:eastAsia="Times New Roman" w:cstheme="minorHAnsi"/>
          <w:color w:val="000000"/>
        </w:rPr>
        <w:t>the</w:t>
      </w:r>
      <w:r w:rsidR="00C36F28">
        <w:rPr>
          <w:rFonts w:eastAsia="Times New Roman" w:cstheme="minorHAnsi"/>
          <w:color w:val="000000"/>
        </w:rPr>
        <w:t>m</w:t>
      </w:r>
      <w:r w:rsidR="00D24604">
        <w:rPr>
          <w:rFonts w:eastAsia="Times New Roman" w:cstheme="minorHAnsi"/>
          <w:color w:val="000000"/>
        </w:rPr>
        <w:t xml:space="preserve"> </w:t>
      </w:r>
      <w:r w:rsidRPr="00F15D36" w:rsidR="00F15D36">
        <w:rPr>
          <w:rFonts w:eastAsia="Times New Roman" w:cstheme="minorHAnsi"/>
          <w:color w:val="000000"/>
        </w:rPr>
        <w:t>to complete the interview</w:t>
      </w:r>
      <w:r w:rsidR="00276CD7">
        <w:rPr>
          <w:rFonts w:eastAsia="Times New Roman" w:cstheme="minorHAnsi"/>
          <w:color w:val="000000"/>
        </w:rPr>
        <w:t>.</w:t>
      </w:r>
      <w:r w:rsidR="00200586">
        <w:rPr>
          <w:rFonts w:eastAsia="Times New Roman" w:cstheme="minorHAnsi"/>
          <w:color w:val="000000"/>
        </w:rPr>
        <w:t xml:space="preserve"> </w:t>
      </w:r>
      <w:r w:rsidRPr="002808A8" w:rsidR="00200586">
        <w:rPr>
          <w:rFonts w:eastAsia="Times New Roman" w:cstheme="minorHAnsi"/>
          <w:color w:val="000000"/>
        </w:rPr>
        <w:t xml:space="preserve">(Appendix </w:t>
      </w:r>
      <w:r w:rsidRPr="002808A8" w:rsidR="00335D68">
        <w:rPr>
          <w:rFonts w:eastAsia="Times New Roman" w:cstheme="minorHAnsi"/>
          <w:color w:val="000000"/>
        </w:rPr>
        <w:t>A</w:t>
      </w:r>
      <w:r w:rsidR="00D82E6B">
        <w:rPr>
          <w:rFonts w:eastAsia="Times New Roman" w:cstheme="minorHAnsi"/>
          <w:color w:val="000000"/>
        </w:rPr>
        <w:t xml:space="preserve"> includes</w:t>
      </w:r>
      <w:r w:rsidR="00200586">
        <w:rPr>
          <w:rFonts w:eastAsia="Times New Roman" w:cstheme="minorHAnsi"/>
          <w:color w:val="000000"/>
        </w:rPr>
        <w:t xml:space="preserve"> recruitment and outreach materials for the </w:t>
      </w:r>
      <w:r>
        <w:rPr>
          <w:rFonts w:eastAsia="Times New Roman" w:cstheme="minorHAnsi"/>
          <w:color w:val="000000"/>
        </w:rPr>
        <w:t>tele</w:t>
      </w:r>
      <w:r w:rsidR="00B66356">
        <w:rPr>
          <w:rFonts w:eastAsia="Times New Roman" w:cstheme="minorHAnsi"/>
          <w:color w:val="000000"/>
        </w:rPr>
        <w:t xml:space="preserve">phone </w:t>
      </w:r>
      <w:r w:rsidR="00200586">
        <w:rPr>
          <w:rFonts w:eastAsia="Times New Roman" w:cstheme="minorHAnsi"/>
          <w:color w:val="000000"/>
        </w:rPr>
        <w:t>interviews</w:t>
      </w:r>
      <w:r w:rsidR="00276CD7">
        <w:rPr>
          <w:rFonts w:eastAsia="Times New Roman" w:cstheme="minorHAnsi"/>
          <w:color w:val="000000"/>
        </w:rPr>
        <w:t>.</w:t>
      </w:r>
      <w:r w:rsidR="00200586">
        <w:rPr>
          <w:rFonts w:eastAsia="Times New Roman" w:cstheme="minorHAnsi"/>
          <w:color w:val="000000"/>
        </w:rPr>
        <w:t>)</w:t>
      </w:r>
      <w:r w:rsidRPr="00F15D36" w:rsidR="00C34BA9">
        <w:rPr>
          <w:rFonts w:eastAsia="Times New Roman" w:cstheme="minorHAnsi"/>
          <w:color w:val="000000"/>
          <w:shd w:val="clear" w:color="auto" w:fill="FFFFFF" w:themeFill="background1"/>
        </w:rPr>
        <w:t xml:space="preserve"> </w:t>
      </w:r>
      <w:r w:rsidR="0070010C">
        <w:rPr>
          <w:rFonts w:eastAsia="Times New Roman" w:cstheme="minorHAnsi"/>
          <w:color w:val="000000"/>
        </w:rPr>
        <w:t>Respondents</w:t>
      </w:r>
      <w:r w:rsidRPr="00F15D36" w:rsidR="00C34BA9">
        <w:rPr>
          <w:rFonts w:eastAsia="Times New Roman" w:cstheme="minorHAnsi"/>
          <w:color w:val="000000"/>
        </w:rPr>
        <w:t xml:space="preserve"> involved in </w:t>
      </w:r>
      <w:r>
        <w:rPr>
          <w:rFonts w:eastAsia="Times New Roman" w:cstheme="minorHAnsi"/>
          <w:color w:val="000000"/>
        </w:rPr>
        <w:t>tele</w:t>
      </w:r>
      <w:r w:rsidR="007465D9">
        <w:rPr>
          <w:rFonts w:eastAsia="Times New Roman" w:cstheme="minorHAnsi"/>
          <w:color w:val="000000"/>
        </w:rPr>
        <w:t xml:space="preserve">phone interview </w:t>
      </w:r>
      <w:r w:rsidRPr="00F15D36" w:rsidR="00C34BA9">
        <w:rPr>
          <w:rFonts w:eastAsia="Times New Roman" w:cstheme="minorHAnsi"/>
          <w:color w:val="000000"/>
        </w:rPr>
        <w:t xml:space="preserve">data collection will be from a convenience sample; they may not be representative of all </w:t>
      </w:r>
      <w:r w:rsidR="00D24604">
        <w:rPr>
          <w:rFonts w:eastAsia="Times New Roman" w:cstheme="minorHAnsi"/>
          <w:color w:val="000000"/>
        </w:rPr>
        <w:t>PREP</w:t>
      </w:r>
      <w:r w:rsidRPr="00F15D36" w:rsidR="00C34BA9">
        <w:rPr>
          <w:rFonts w:eastAsia="Times New Roman" w:cstheme="minorHAnsi"/>
          <w:color w:val="000000"/>
        </w:rPr>
        <w:t xml:space="preserve"> </w:t>
      </w:r>
      <w:r w:rsidR="00872458">
        <w:rPr>
          <w:rFonts w:eastAsia="Times New Roman" w:cstheme="minorHAnsi"/>
          <w:color w:val="000000"/>
        </w:rPr>
        <w:t>grantee</w:t>
      </w:r>
      <w:r w:rsidR="00276CD7">
        <w:rPr>
          <w:rFonts w:eastAsia="Times New Roman" w:cstheme="minorHAnsi"/>
          <w:color w:val="000000"/>
        </w:rPr>
        <w:t xml:space="preserve"> or provider staff</w:t>
      </w:r>
      <w:r w:rsidRPr="00F15D36" w:rsidR="00C34BA9">
        <w:rPr>
          <w:rFonts w:eastAsia="Times New Roman" w:cstheme="minorHAnsi"/>
          <w:color w:val="000000"/>
        </w:rPr>
        <w:t>.</w:t>
      </w:r>
    </w:p>
    <w:p w:rsidR="00D479FD" w:rsidP="00090FDE" w14:paraId="3B446717" w14:textId="77777777">
      <w:pPr>
        <w:tabs>
          <w:tab w:val="left" w:pos="-720"/>
        </w:tabs>
        <w:suppressAutoHyphens/>
        <w:spacing w:after="0"/>
        <w:rPr>
          <w:rFonts w:eastAsia="Times New Roman" w:cstheme="minorHAnsi"/>
          <w:color w:val="000000"/>
        </w:rPr>
      </w:pPr>
    </w:p>
    <w:p w:rsidR="009E4DF9" w:rsidP="00D479FD" w14:paraId="20894FF1" w14:textId="7D5C694B">
      <w:pPr>
        <w:tabs>
          <w:tab w:val="left" w:pos="-720"/>
        </w:tabs>
        <w:suppressAutoHyphens/>
        <w:spacing w:after="0"/>
        <w:rPr>
          <w:rFonts w:eastAsia="Times New Roman" w:cstheme="minorHAnsi"/>
          <w:color w:val="000000"/>
        </w:rPr>
      </w:pPr>
      <w:r>
        <w:rPr>
          <w:rFonts w:eastAsia="Times New Roman" w:cstheme="minorHAnsi"/>
          <w:color w:val="000000"/>
          <w:u w:val="single"/>
        </w:rPr>
        <w:t>Site visits</w:t>
      </w:r>
      <w:r w:rsidRPr="00C569AD">
        <w:rPr>
          <w:rFonts w:eastAsia="Times New Roman" w:cstheme="minorHAnsi"/>
          <w:color w:val="000000"/>
        </w:rPr>
        <w:t xml:space="preserve">: </w:t>
      </w:r>
      <w:r w:rsidR="00D479FD">
        <w:rPr>
          <w:rFonts w:eastAsia="Times New Roman" w:cstheme="minorHAnsi"/>
          <w:color w:val="000000"/>
        </w:rPr>
        <w:t>The study t</w:t>
      </w:r>
      <w:r>
        <w:rPr>
          <w:rFonts w:eastAsia="Times New Roman" w:cstheme="minorHAnsi"/>
          <w:color w:val="000000"/>
        </w:rPr>
        <w:t>e</w:t>
      </w:r>
      <w:r w:rsidR="00D479FD">
        <w:rPr>
          <w:rFonts w:eastAsia="Times New Roman" w:cstheme="minorHAnsi"/>
          <w:color w:val="000000"/>
        </w:rPr>
        <w:t>am</w:t>
      </w:r>
      <w:r>
        <w:rPr>
          <w:rFonts w:eastAsia="Times New Roman" w:cstheme="minorHAnsi"/>
          <w:color w:val="000000"/>
        </w:rPr>
        <w:t xml:space="preserve"> will identify </w:t>
      </w:r>
      <w:r w:rsidR="00C65901">
        <w:rPr>
          <w:rFonts w:eastAsia="Times New Roman" w:cstheme="minorHAnsi"/>
          <w:color w:val="000000"/>
        </w:rPr>
        <w:t>three</w:t>
      </w:r>
      <w:r>
        <w:rPr>
          <w:rFonts w:eastAsia="Times New Roman" w:cstheme="minorHAnsi"/>
          <w:color w:val="000000"/>
        </w:rPr>
        <w:t xml:space="preserve"> grantees to participate in the site visits. </w:t>
      </w:r>
      <w:r w:rsidR="00295CD9">
        <w:rPr>
          <w:rFonts w:eastAsia="Times New Roman" w:cstheme="minorHAnsi"/>
          <w:color w:val="000000"/>
        </w:rPr>
        <w:t xml:space="preserve">We will purposively </w:t>
      </w:r>
      <w:r w:rsidR="00295CD9">
        <w:rPr>
          <w:rFonts w:ascii="Calibri" w:eastAsia="Calibri" w:hAnsi="Calibri" w:cs="Times New Roman"/>
        </w:rPr>
        <w:t>select grantees for the site visits that have experience or insights related to adapting APS materials or implementing innovative APS-related content</w:t>
      </w:r>
      <w:r w:rsidR="00ED2468">
        <w:rPr>
          <w:rFonts w:ascii="Calibri" w:eastAsia="Calibri" w:hAnsi="Calibri" w:cs="Times New Roman"/>
        </w:rPr>
        <w:t xml:space="preserve">. In so doing, we will also aim to </w:t>
      </w:r>
      <w:r w:rsidR="00295CD9">
        <w:rPr>
          <w:rFonts w:ascii="Calibri" w:eastAsia="Calibri" w:hAnsi="Calibri" w:cs="Times New Roman"/>
        </w:rPr>
        <w:t xml:space="preserve">select </w:t>
      </w:r>
      <w:r w:rsidR="00295CD9">
        <w:rPr>
          <w:rFonts w:eastAsia="Times New Roman" w:cstheme="minorHAnsi"/>
          <w:color w:val="000000"/>
        </w:rPr>
        <w:t xml:space="preserve">grantees that serve youth from </w:t>
      </w:r>
      <w:r w:rsidR="00295CD9">
        <w:rPr>
          <w:rFonts w:eastAsia="Times New Roman" w:cstheme="minorHAnsi"/>
          <w:color w:val="000000"/>
        </w:rPr>
        <w:t>different cultural</w:t>
      </w:r>
      <w:r w:rsidR="00295CD9">
        <w:rPr>
          <w:rFonts w:eastAsia="Times New Roman" w:cstheme="minorHAnsi"/>
          <w:color w:val="000000"/>
        </w:rPr>
        <w:t xml:space="preserve"> backgrounds </w:t>
      </w:r>
      <w:r w:rsidR="00ED2468">
        <w:rPr>
          <w:rFonts w:eastAsia="Times New Roman" w:cstheme="minorHAnsi"/>
          <w:color w:val="000000"/>
        </w:rPr>
        <w:t xml:space="preserve">in order </w:t>
      </w:r>
      <w:r w:rsidR="00295CD9">
        <w:rPr>
          <w:rFonts w:eastAsia="Times New Roman" w:cstheme="minorHAnsi"/>
          <w:color w:val="000000"/>
        </w:rPr>
        <w:t>to gain a deeper understanding of the APS topics’ cultural relevance for various youth.</w:t>
      </w:r>
      <w:r w:rsidR="00295CD9">
        <w:rPr>
          <w:rFonts w:ascii="Calibri" w:eastAsia="Calibri" w:hAnsi="Calibri" w:cs="Times New Roman"/>
        </w:rPr>
        <w:t xml:space="preserve"> </w:t>
      </w:r>
      <w:r w:rsidR="00D479FD">
        <w:rPr>
          <w:rFonts w:ascii="Calibri" w:eastAsia="Calibri" w:hAnsi="Calibri" w:cs="Times New Roman"/>
        </w:rPr>
        <w:t>W</w:t>
      </w:r>
      <w:r w:rsidR="00295CD9">
        <w:rPr>
          <w:rFonts w:ascii="Calibri" w:eastAsia="Calibri" w:hAnsi="Calibri" w:cs="Times New Roman"/>
        </w:rPr>
        <w:t xml:space="preserve">e will select grantees from two or more of the PREP funding streams (Competitive PREP, State PREP, Tribal PREP, and PREIS grant programs) with at least one Tribal PREP grantee represented. </w:t>
      </w:r>
      <w:r w:rsidR="00CC57E1">
        <w:rPr>
          <w:rFonts w:eastAsia="Times New Roman" w:cstheme="minorHAnsi"/>
          <w:color w:val="000000"/>
          <w:shd w:val="clear" w:color="auto" w:fill="FFFFFF" w:themeFill="background1"/>
        </w:rPr>
        <w:t>W</w:t>
      </w:r>
      <w:r w:rsidR="008A7DBD">
        <w:rPr>
          <w:rFonts w:eastAsia="Times New Roman" w:cstheme="minorHAnsi"/>
          <w:color w:val="000000"/>
          <w:shd w:val="clear" w:color="auto" w:fill="FFFFFF" w:themeFill="background1"/>
        </w:rPr>
        <w:t xml:space="preserve">e will </w:t>
      </w:r>
      <w:r w:rsidR="00CC57E1">
        <w:rPr>
          <w:rFonts w:eastAsia="Times New Roman" w:cstheme="minorHAnsi"/>
          <w:color w:val="000000"/>
          <w:shd w:val="clear" w:color="auto" w:fill="FFFFFF" w:themeFill="background1"/>
        </w:rPr>
        <w:t xml:space="preserve">also </w:t>
      </w:r>
      <w:r w:rsidR="008A7DBD">
        <w:rPr>
          <w:rFonts w:eastAsia="Times New Roman" w:cstheme="minorHAnsi"/>
          <w:color w:val="000000"/>
          <w:shd w:val="clear" w:color="auto" w:fill="FFFFFF" w:themeFill="background1"/>
        </w:rPr>
        <w:t xml:space="preserve">draw on </w:t>
      </w:r>
      <w:r w:rsidR="00B66356">
        <w:rPr>
          <w:rFonts w:eastAsia="Times New Roman" w:cstheme="minorHAnsi"/>
          <w:color w:val="000000"/>
          <w:shd w:val="clear" w:color="auto" w:fill="FFFFFF" w:themeFill="background1"/>
        </w:rPr>
        <w:t>information</w:t>
      </w:r>
      <w:r w:rsidR="008A7DBD">
        <w:rPr>
          <w:rFonts w:eastAsia="Times New Roman" w:cstheme="minorHAnsi"/>
          <w:color w:val="000000"/>
          <w:shd w:val="clear" w:color="auto" w:fill="FFFFFF" w:themeFill="background1"/>
        </w:rPr>
        <w:t xml:space="preserve"> from the </w:t>
      </w:r>
      <w:r w:rsidR="000A3945">
        <w:rPr>
          <w:rFonts w:eastAsia="Times New Roman" w:cstheme="minorHAnsi"/>
          <w:color w:val="000000"/>
          <w:shd w:val="clear" w:color="auto" w:fill="FFFFFF" w:themeFill="background1"/>
        </w:rPr>
        <w:t>tele</w:t>
      </w:r>
      <w:r w:rsidR="008A7DBD">
        <w:rPr>
          <w:rFonts w:eastAsia="Times New Roman" w:cstheme="minorHAnsi"/>
          <w:color w:val="000000"/>
          <w:shd w:val="clear" w:color="auto" w:fill="FFFFFF" w:themeFill="background1"/>
        </w:rPr>
        <w:t>phone interviews to identify potential grantees</w:t>
      </w:r>
      <w:r w:rsidR="00ED2468">
        <w:rPr>
          <w:rFonts w:eastAsia="Times New Roman" w:cstheme="minorHAnsi"/>
          <w:color w:val="000000"/>
          <w:shd w:val="clear" w:color="auto" w:fill="FFFFFF" w:themeFill="background1"/>
        </w:rPr>
        <w:t xml:space="preserve"> for the site visits</w:t>
      </w:r>
      <w:r w:rsidR="008A7DBD">
        <w:rPr>
          <w:rFonts w:eastAsia="Times New Roman" w:cstheme="minorHAnsi"/>
          <w:color w:val="000000"/>
          <w:shd w:val="clear" w:color="auto" w:fill="FFFFFF" w:themeFill="background1"/>
        </w:rPr>
        <w:t xml:space="preserve">, based on their current work </w:t>
      </w:r>
      <w:r w:rsidR="00350F95">
        <w:rPr>
          <w:rFonts w:eastAsia="Times New Roman" w:cstheme="minorHAnsi"/>
          <w:color w:val="000000"/>
          <w:shd w:val="clear" w:color="auto" w:fill="FFFFFF" w:themeFill="background1"/>
        </w:rPr>
        <w:t>related to</w:t>
      </w:r>
      <w:r w:rsidR="008A7DBD">
        <w:rPr>
          <w:rFonts w:eastAsia="Times New Roman" w:cstheme="minorHAnsi"/>
          <w:color w:val="000000"/>
          <w:shd w:val="clear" w:color="auto" w:fill="FFFFFF" w:themeFill="background1"/>
        </w:rPr>
        <w:t xml:space="preserve"> the APS topics. </w:t>
      </w:r>
      <w:r w:rsidR="00C569AD">
        <w:rPr>
          <w:rFonts w:eastAsia="Times New Roman" w:cstheme="minorHAnsi"/>
          <w:color w:val="000000"/>
        </w:rPr>
        <w:t>Respondents</w:t>
      </w:r>
      <w:r w:rsidRPr="00F15D36" w:rsidR="00C569AD">
        <w:rPr>
          <w:rFonts w:eastAsia="Times New Roman" w:cstheme="minorHAnsi"/>
          <w:color w:val="000000"/>
        </w:rPr>
        <w:t xml:space="preserve"> involved in </w:t>
      </w:r>
      <w:r w:rsidR="007465D9">
        <w:rPr>
          <w:rFonts w:eastAsia="Times New Roman" w:cstheme="minorHAnsi"/>
          <w:color w:val="000000"/>
        </w:rPr>
        <w:t xml:space="preserve">site visit </w:t>
      </w:r>
      <w:r w:rsidRPr="00F15D36" w:rsidR="00C569AD">
        <w:rPr>
          <w:rFonts w:eastAsia="Times New Roman" w:cstheme="minorHAnsi"/>
          <w:color w:val="000000"/>
        </w:rPr>
        <w:t xml:space="preserve">data collection will be from a convenience sample; they may not be representative of all </w:t>
      </w:r>
      <w:r w:rsidR="00C569AD">
        <w:rPr>
          <w:rFonts w:eastAsia="Times New Roman" w:cstheme="minorHAnsi"/>
          <w:color w:val="000000"/>
        </w:rPr>
        <w:t>PREP</w:t>
      </w:r>
      <w:r w:rsidRPr="00F15D36" w:rsidR="00C569AD">
        <w:rPr>
          <w:rFonts w:eastAsia="Times New Roman" w:cstheme="minorHAnsi"/>
          <w:color w:val="000000"/>
        </w:rPr>
        <w:t xml:space="preserve"> </w:t>
      </w:r>
      <w:r w:rsidR="00C569AD">
        <w:rPr>
          <w:rFonts w:eastAsia="Times New Roman" w:cstheme="minorHAnsi"/>
          <w:color w:val="000000"/>
        </w:rPr>
        <w:t>grantees</w:t>
      </w:r>
      <w:r w:rsidRPr="00F15D36" w:rsidR="00C569AD">
        <w:rPr>
          <w:rFonts w:eastAsia="Times New Roman" w:cstheme="minorHAnsi"/>
          <w:color w:val="000000"/>
        </w:rPr>
        <w:t>.</w:t>
      </w:r>
    </w:p>
    <w:p w:rsidR="00D479FD" w:rsidP="00167E58" w14:paraId="5B38B984" w14:textId="77777777">
      <w:pPr>
        <w:tabs>
          <w:tab w:val="left" w:pos="-720"/>
        </w:tabs>
        <w:suppressAutoHyphens/>
        <w:spacing w:after="0"/>
        <w:rPr>
          <w:rFonts w:eastAsia="Times New Roman" w:cstheme="minorHAnsi"/>
          <w:color w:val="000000"/>
        </w:rPr>
      </w:pPr>
    </w:p>
    <w:p w:rsidR="00A77839" w:rsidP="005F7B7D" w14:paraId="16A1BD3F" w14:textId="77777777">
      <w:pPr>
        <w:autoSpaceDE w:val="0"/>
        <w:autoSpaceDN w:val="0"/>
        <w:adjustRightInd w:val="0"/>
        <w:spacing w:after="120"/>
        <w:rPr>
          <w:rFonts w:eastAsia="Times New Roman" w:cstheme="minorHAnsi"/>
          <w:b/>
          <w:bCs/>
          <w:color w:val="000000"/>
        </w:rPr>
      </w:pPr>
      <w:r>
        <w:rPr>
          <w:rFonts w:eastAsia="Times New Roman" w:cstheme="minorHAnsi"/>
          <w:b/>
          <w:bCs/>
          <w:color w:val="000000"/>
        </w:rPr>
        <w:t>B3.</w:t>
      </w:r>
      <w:r>
        <w:rPr>
          <w:rFonts w:eastAsia="Times New Roman" w:cstheme="minorHAnsi"/>
          <w:b/>
          <w:bCs/>
          <w:color w:val="000000"/>
        </w:rPr>
        <w:tab/>
        <w:t>Design of Data Collection Instruments</w:t>
      </w:r>
    </w:p>
    <w:p w:rsidR="00A77839" w:rsidP="00167E58" w14:paraId="55E5E44A" w14:textId="1A472D67">
      <w:pPr>
        <w:spacing w:after="60"/>
        <w:rPr>
          <w:rFonts w:eastAsia="Times New Roman" w:cstheme="minorHAnsi"/>
          <w:i/>
          <w:color w:val="000000"/>
        </w:rPr>
      </w:pPr>
      <w:r>
        <w:rPr>
          <w:rFonts w:eastAsia="Times New Roman" w:cstheme="minorHAnsi"/>
          <w:i/>
          <w:color w:val="000000"/>
        </w:rPr>
        <w:t>Development of Data Collection Instruments</w:t>
      </w:r>
    </w:p>
    <w:p w:rsidR="00D85B23" w:rsidP="00D479FD" w14:paraId="2A4DB850" w14:textId="2AD97954">
      <w:pPr>
        <w:spacing w:after="0"/>
        <w:rPr>
          <w:rFonts w:eastAsia="Times New Roman" w:cstheme="minorHAnsi"/>
          <w:iCs/>
          <w:color w:val="000000"/>
        </w:rPr>
      </w:pPr>
      <w:r>
        <w:rPr>
          <w:rFonts w:eastAsia="Times New Roman" w:cstheme="minorHAnsi"/>
          <w:color w:val="000000"/>
        </w:rPr>
        <w:t>The</w:t>
      </w:r>
      <w:r w:rsidR="00D71AC1">
        <w:rPr>
          <w:rFonts w:eastAsia="Times New Roman" w:cstheme="minorHAnsi"/>
          <w:color w:val="000000"/>
        </w:rPr>
        <w:t xml:space="preserve"> study team developed </w:t>
      </w:r>
      <w:r w:rsidR="00B75066">
        <w:rPr>
          <w:rFonts w:eastAsia="Times New Roman"/>
        </w:rPr>
        <w:t>two topic guides</w:t>
      </w:r>
      <w:r w:rsidR="008C1DF7">
        <w:rPr>
          <w:rFonts w:eastAsia="Times New Roman"/>
        </w:rPr>
        <w:t xml:space="preserve"> for </w:t>
      </w:r>
      <w:r w:rsidR="0070010C">
        <w:rPr>
          <w:rFonts w:eastAsia="Times New Roman"/>
        </w:rPr>
        <w:t>this study</w:t>
      </w:r>
      <w:r w:rsidR="002F7CD3">
        <w:rPr>
          <w:rFonts w:eastAsia="Times New Roman"/>
        </w:rPr>
        <w:t xml:space="preserve"> (Instruments 1 and 2)</w:t>
      </w:r>
      <w:r w:rsidR="0070010C">
        <w:rPr>
          <w:rFonts w:eastAsia="Times New Roman"/>
        </w:rPr>
        <w:t xml:space="preserve"> </w:t>
      </w:r>
      <w:r w:rsidRPr="00581B7C">
        <w:rPr>
          <w:rFonts w:eastAsia="Times New Roman" w:cstheme="minorHAnsi"/>
          <w:color w:val="000000"/>
        </w:rPr>
        <w:t xml:space="preserve">to address four </w:t>
      </w:r>
      <w:r w:rsidR="00F15D36">
        <w:rPr>
          <w:rFonts w:eastAsia="Times New Roman" w:cstheme="minorHAnsi"/>
          <w:color w:val="000000"/>
        </w:rPr>
        <w:t>research questio</w:t>
      </w:r>
      <w:r w:rsidR="008152C1">
        <w:rPr>
          <w:rFonts w:eastAsia="Times New Roman" w:cstheme="minorHAnsi"/>
          <w:color w:val="000000"/>
        </w:rPr>
        <w:t>n</w:t>
      </w:r>
      <w:r w:rsidR="00F15D36">
        <w:rPr>
          <w:rFonts w:eastAsia="Times New Roman" w:cstheme="minorHAnsi"/>
          <w:color w:val="000000"/>
        </w:rPr>
        <w:t xml:space="preserve">s that reflect the information needs for ACF regarding </w:t>
      </w:r>
      <w:r w:rsidR="009455F5">
        <w:rPr>
          <w:rFonts w:eastAsia="Times New Roman" w:cstheme="minorHAnsi"/>
          <w:color w:val="000000"/>
        </w:rPr>
        <w:t>PREP grantees’ programming on APS</w:t>
      </w:r>
      <w:r w:rsidR="005F7B7D">
        <w:rPr>
          <w:rFonts w:eastAsia="Times New Roman" w:cstheme="minorHAnsi"/>
          <w:color w:val="000000"/>
        </w:rPr>
        <w:t>s</w:t>
      </w:r>
      <w:r w:rsidR="00F15D36">
        <w:rPr>
          <w:rFonts w:eastAsia="Times New Roman" w:cstheme="minorHAnsi"/>
          <w:color w:val="000000"/>
        </w:rPr>
        <w:t>.</w:t>
      </w:r>
      <w:r>
        <w:rPr>
          <w:rFonts w:eastAsia="Times New Roman" w:cstheme="minorHAnsi"/>
          <w:color w:val="000000"/>
        </w:rPr>
        <w:t xml:space="preserve"> </w:t>
      </w:r>
      <w:r>
        <w:rPr>
          <w:rFonts w:eastAsia="Times New Roman" w:cstheme="minorHAnsi"/>
          <w:iCs/>
          <w:color w:val="000000"/>
        </w:rPr>
        <w:t>Through the performance measures, PREP grantees answer two questions on APS</w:t>
      </w:r>
      <w:r w:rsidR="00661A6A">
        <w:rPr>
          <w:rFonts w:eastAsia="Times New Roman" w:cstheme="minorHAnsi"/>
          <w:iCs/>
          <w:color w:val="000000"/>
        </w:rPr>
        <w:t>s</w:t>
      </w:r>
      <w:r>
        <w:rPr>
          <w:rFonts w:eastAsia="Times New Roman" w:cstheme="minorHAnsi"/>
          <w:iCs/>
          <w:color w:val="000000"/>
        </w:rPr>
        <w:t>: (1) which APS</w:t>
      </w:r>
      <w:r w:rsidR="00661A6A">
        <w:rPr>
          <w:rFonts w:eastAsia="Times New Roman" w:cstheme="minorHAnsi"/>
          <w:iCs/>
          <w:color w:val="000000"/>
        </w:rPr>
        <w:t>s</w:t>
      </w:r>
      <w:r>
        <w:rPr>
          <w:rFonts w:eastAsia="Times New Roman" w:cstheme="minorHAnsi"/>
          <w:iCs/>
          <w:color w:val="000000"/>
        </w:rPr>
        <w:t xml:space="preserve"> their programs cover; and (2) whether they cover APS</w:t>
      </w:r>
      <w:r w:rsidR="00661A6A">
        <w:rPr>
          <w:rFonts w:eastAsia="Times New Roman" w:cstheme="minorHAnsi"/>
          <w:iCs/>
          <w:color w:val="000000"/>
        </w:rPr>
        <w:t>s</w:t>
      </w:r>
      <w:r>
        <w:rPr>
          <w:rFonts w:eastAsia="Times New Roman" w:cstheme="minorHAnsi"/>
          <w:iCs/>
          <w:color w:val="000000"/>
        </w:rPr>
        <w:t xml:space="preserve"> through their existing curriculum or supplement with additional content. Th</w:t>
      </w:r>
      <w:r w:rsidR="00090FDE">
        <w:rPr>
          <w:rFonts w:eastAsia="Times New Roman" w:cstheme="minorHAnsi"/>
          <w:iCs/>
          <w:color w:val="000000"/>
        </w:rPr>
        <w:t>ese</w:t>
      </w:r>
      <w:r>
        <w:rPr>
          <w:rFonts w:eastAsia="Times New Roman" w:cstheme="minorHAnsi"/>
          <w:iCs/>
          <w:color w:val="000000"/>
        </w:rPr>
        <w:t xml:space="preserve"> </w:t>
      </w:r>
      <w:r w:rsidR="00F73BC4">
        <w:rPr>
          <w:rFonts w:eastAsia="Times New Roman" w:cstheme="minorHAnsi"/>
          <w:iCs/>
          <w:color w:val="000000"/>
        </w:rPr>
        <w:t xml:space="preserve">performance measures data </w:t>
      </w:r>
      <w:r>
        <w:rPr>
          <w:rFonts w:eastAsia="Times New Roman" w:cstheme="minorHAnsi"/>
          <w:iCs/>
          <w:color w:val="000000"/>
        </w:rPr>
        <w:t xml:space="preserve">provide high-level information on the prevalence of each APS and how it </w:t>
      </w:r>
      <w:r>
        <w:rPr>
          <w:rFonts w:eastAsia="Times New Roman" w:cstheme="minorHAnsi"/>
          <w:iCs/>
          <w:color w:val="000000"/>
        </w:rPr>
        <w:t>is covered</w:t>
      </w:r>
      <w:r>
        <w:rPr>
          <w:rFonts w:eastAsia="Times New Roman" w:cstheme="minorHAnsi"/>
          <w:iCs/>
          <w:color w:val="000000"/>
        </w:rPr>
        <w:t xml:space="preserve">, but </w:t>
      </w:r>
      <w:r w:rsidR="001C2A73">
        <w:rPr>
          <w:rFonts w:eastAsia="Times New Roman" w:cstheme="minorHAnsi"/>
          <w:iCs/>
          <w:color w:val="000000"/>
        </w:rPr>
        <w:t>t</w:t>
      </w:r>
      <w:r w:rsidR="00F73BC4">
        <w:rPr>
          <w:rFonts w:eastAsia="Times New Roman" w:cstheme="minorHAnsi"/>
          <w:iCs/>
          <w:color w:val="000000"/>
        </w:rPr>
        <w:t>hey</w:t>
      </w:r>
      <w:r w:rsidR="001C2A73">
        <w:rPr>
          <w:rFonts w:eastAsia="Times New Roman" w:cstheme="minorHAnsi"/>
          <w:iCs/>
          <w:color w:val="000000"/>
        </w:rPr>
        <w:t xml:space="preserve"> </w:t>
      </w:r>
      <w:r>
        <w:rPr>
          <w:rFonts w:eastAsia="Times New Roman" w:cstheme="minorHAnsi"/>
          <w:iCs/>
          <w:color w:val="000000"/>
        </w:rPr>
        <w:t xml:space="preserve">do not provide in-depth, contextual data on </w:t>
      </w:r>
      <w:r w:rsidR="00F73BC4">
        <w:rPr>
          <w:rFonts w:eastAsia="Times New Roman" w:cstheme="minorHAnsi"/>
          <w:iCs/>
          <w:color w:val="000000"/>
        </w:rPr>
        <w:t xml:space="preserve">APS </w:t>
      </w:r>
      <w:r>
        <w:rPr>
          <w:rFonts w:eastAsia="Times New Roman" w:cstheme="minorHAnsi"/>
          <w:iCs/>
          <w:color w:val="000000"/>
        </w:rPr>
        <w:t>dosage nor on whether the APS</w:t>
      </w:r>
      <w:r w:rsidR="00661A6A">
        <w:rPr>
          <w:rFonts w:eastAsia="Times New Roman" w:cstheme="minorHAnsi"/>
          <w:iCs/>
          <w:color w:val="000000"/>
        </w:rPr>
        <w:t>s</w:t>
      </w:r>
      <w:r>
        <w:rPr>
          <w:rFonts w:eastAsia="Times New Roman" w:cstheme="minorHAnsi"/>
          <w:iCs/>
          <w:color w:val="000000"/>
        </w:rPr>
        <w:t xml:space="preserve"> are culturally relevant and meet the needs of youth served. The </w:t>
      </w:r>
      <w:r w:rsidR="00B75066">
        <w:rPr>
          <w:rFonts w:eastAsia="Times New Roman" w:cstheme="minorHAnsi"/>
          <w:iCs/>
          <w:color w:val="000000"/>
        </w:rPr>
        <w:t>topic guides</w:t>
      </w:r>
      <w:r>
        <w:rPr>
          <w:rFonts w:eastAsia="Times New Roman" w:cstheme="minorHAnsi"/>
          <w:iCs/>
          <w:color w:val="000000"/>
        </w:rPr>
        <w:t xml:space="preserve"> therefore aim to collect data on four main topics: (1) dosage of APS </w:t>
      </w:r>
      <w:r w:rsidR="00661A6A">
        <w:rPr>
          <w:rFonts w:eastAsia="Times New Roman" w:cstheme="minorHAnsi"/>
          <w:iCs/>
          <w:color w:val="000000"/>
        </w:rPr>
        <w:t xml:space="preserve">topics and content </w:t>
      </w:r>
      <w:r>
        <w:rPr>
          <w:rFonts w:eastAsia="Times New Roman" w:cstheme="minorHAnsi"/>
          <w:iCs/>
          <w:color w:val="000000"/>
        </w:rPr>
        <w:t>delivered</w:t>
      </w:r>
      <w:r w:rsidR="001B1C44">
        <w:rPr>
          <w:rFonts w:eastAsia="Times New Roman" w:cstheme="minorHAnsi"/>
          <w:iCs/>
          <w:color w:val="000000"/>
        </w:rPr>
        <w:t>,</w:t>
      </w:r>
      <w:r>
        <w:rPr>
          <w:rFonts w:eastAsia="Times New Roman" w:cstheme="minorHAnsi"/>
          <w:iCs/>
          <w:color w:val="000000"/>
        </w:rPr>
        <w:t xml:space="preserve"> (2) alignment of APS </w:t>
      </w:r>
      <w:r w:rsidR="00A5510F">
        <w:rPr>
          <w:rFonts w:eastAsia="Times New Roman" w:cstheme="minorHAnsi"/>
          <w:iCs/>
          <w:color w:val="000000"/>
        </w:rPr>
        <w:t xml:space="preserve">content </w:t>
      </w:r>
      <w:r>
        <w:rPr>
          <w:rFonts w:eastAsia="Times New Roman" w:cstheme="minorHAnsi"/>
          <w:iCs/>
          <w:color w:val="000000"/>
        </w:rPr>
        <w:t>with youths</w:t>
      </w:r>
      <w:r w:rsidR="00F73BC4">
        <w:rPr>
          <w:rFonts w:eastAsia="Times New Roman" w:cstheme="minorHAnsi"/>
          <w:iCs/>
          <w:color w:val="000000"/>
        </w:rPr>
        <w:t>’</w:t>
      </w:r>
      <w:r>
        <w:rPr>
          <w:rFonts w:eastAsia="Times New Roman" w:cstheme="minorHAnsi"/>
          <w:iCs/>
          <w:color w:val="000000"/>
        </w:rPr>
        <w:t xml:space="preserve"> needs</w:t>
      </w:r>
      <w:r w:rsidR="001B1C44">
        <w:rPr>
          <w:rFonts w:eastAsia="Times New Roman" w:cstheme="minorHAnsi"/>
          <w:iCs/>
          <w:color w:val="000000"/>
        </w:rPr>
        <w:t>,</w:t>
      </w:r>
      <w:r>
        <w:rPr>
          <w:rFonts w:eastAsia="Times New Roman" w:cstheme="minorHAnsi"/>
          <w:iCs/>
          <w:color w:val="000000"/>
        </w:rPr>
        <w:t xml:space="preserve"> (3) cultural relevanc</w:t>
      </w:r>
      <w:r w:rsidR="00F73BC4">
        <w:rPr>
          <w:rFonts w:eastAsia="Times New Roman" w:cstheme="minorHAnsi"/>
          <w:iCs/>
          <w:color w:val="000000"/>
        </w:rPr>
        <w:t>e</w:t>
      </w:r>
      <w:r>
        <w:rPr>
          <w:rFonts w:eastAsia="Times New Roman" w:cstheme="minorHAnsi"/>
          <w:iCs/>
          <w:color w:val="000000"/>
        </w:rPr>
        <w:t xml:space="preserve"> of APS </w:t>
      </w:r>
      <w:r w:rsidR="00A5510F">
        <w:rPr>
          <w:rFonts w:eastAsia="Times New Roman" w:cstheme="minorHAnsi"/>
          <w:iCs/>
          <w:color w:val="000000"/>
        </w:rPr>
        <w:t xml:space="preserve">topics and content </w:t>
      </w:r>
      <w:r w:rsidR="00F73BC4">
        <w:rPr>
          <w:rFonts w:eastAsia="Times New Roman" w:cstheme="minorHAnsi"/>
          <w:iCs/>
          <w:color w:val="000000"/>
        </w:rPr>
        <w:t>to</w:t>
      </w:r>
      <w:r>
        <w:rPr>
          <w:rFonts w:eastAsia="Times New Roman" w:cstheme="minorHAnsi"/>
          <w:iCs/>
          <w:color w:val="000000"/>
        </w:rPr>
        <w:t xml:space="preserve"> youth served (and whether this differs by subgroup of youth)</w:t>
      </w:r>
      <w:r w:rsidR="001B1C44">
        <w:rPr>
          <w:rFonts w:eastAsia="Times New Roman" w:cstheme="minorHAnsi"/>
          <w:iCs/>
          <w:color w:val="000000"/>
        </w:rPr>
        <w:t>,</w:t>
      </w:r>
      <w:r>
        <w:rPr>
          <w:rFonts w:eastAsia="Times New Roman" w:cstheme="minorHAnsi"/>
          <w:iCs/>
          <w:color w:val="000000"/>
        </w:rPr>
        <w:t xml:space="preserve"> and (4) potential adaptations to the APS</w:t>
      </w:r>
      <w:r w:rsidR="005F7B7D">
        <w:rPr>
          <w:rFonts w:eastAsia="Times New Roman" w:cstheme="minorHAnsi"/>
          <w:iCs/>
          <w:color w:val="000000"/>
        </w:rPr>
        <w:t>s</w:t>
      </w:r>
      <w:r>
        <w:rPr>
          <w:rFonts w:eastAsia="Times New Roman" w:cstheme="minorHAnsi"/>
          <w:iCs/>
          <w:color w:val="000000"/>
        </w:rPr>
        <w:t xml:space="preserve"> to improve them. </w:t>
      </w:r>
      <w:r w:rsidR="00640EDC">
        <w:rPr>
          <w:rFonts w:eastAsia="Times New Roman" w:cstheme="minorHAnsi"/>
          <w:iCs/>
          <w:color w:val="000000"/>
        </w:rPr>
        <w:t xml:space="preserve">The topic guide for the </w:t>
      </w:r>
      <w:r w:rsidR="000A3945">
        <w:rPr>
          <w:rFonts w:eastAsia="Times New Roman" w:cstheme="minorHAnsi"/>
          <w:iCs/>
          <w:color w:val="000000"/>
        </w:rPr>
        <w:t>tele</w:t>
      </w:r>
      <w:r w:rsidR="00640EDC">
        <w:rPr>
          <w:rFonts w:eastAsia="Times New Roman" w:cstheme="minorHAnsi"/>
          <w:iCs/>
          <w:color w:val="000000"/>
        </w:rPr>
        <w:t>phone interviews (Instrument 1) focuses on the APS</w:t>
      </w:r>
      <w:r w:rsidR="005F7B7D">
        <w:rPr>
          <w:rFonts w:eastAsia="Times New Roman" w:cstheme="minorHAnsi"/>
          <w:iCs/>
          <w:color w:val="000000"/>
        </w:rPr>
        <w:t>s</w:t>
      </w:r>
      <w:r w:rsidR="00640EDC">
        <w:rPr>
          <w:rFonts w:eastAsia="Times New Roman" w:cstheme="minorHAnsi"/>
          <w:iCs/>
          <w:color w:val="000000"/>
        </w:rPr>
        <w:t xml:space="preserve"> that the respondent is currently implementing, while the topic guide for the site visits covers all six APS</w:t>
      </w:r>
      <w:r w:rsidR="005F7B7D">
        <w:rPr>
          <w:rFonts w:eastAsia="Times New Roman" w:cstheme="minorHAnsi"/>
          <w:iCs/>
          <w:color w:val="000000"/>
        </w:rPr>
        <w:t>s</w:t>
      </w:r>
      <w:r w:rsidR="00640EDC">
        <w:rPr>
          <w:rFonts w:eastAsia="Times New Roman" w:cstheme="minorHAnsi"/>
          <w:iCs/>
          <w:color w:val="000000"/>
        </w:rPr>
        <w:t xml:space="preserve">, whether or not the grantee is currently implementing them. </w:t>
      </w:r>
    </w:p>
    <w:p w:rsidR="00D479FD" w:rsidP="00167E58" w14:paraId="27709858" w14:textId="77777777">
      <w:pPr>
        <w:spacing w:after="0"/>
        <w:rPr>
          <w:rFonts w:eastAsia="Times New Roman" w:cstheme="minorHAnsi"/>
          <w:color w:val="000000"/>
        </w:rPr>
      </w:pPr>
    </w:p>
    <w:p w:rsidR="00B6107F" w:rsidP="00D479FD" w14:paraId="72BA88B2" w14:textId="533D0D2C">
      <w:pPr>
        <w:autoSpaceDE w:val="0"/>
        <w:autoSpaceDN w:val="0"/>
        <w:adjustRightInd w:val="0"/>
        <w:spacing w:after="0"/>
        <w:rPr>
          <w:rFonts w:cs="Calibri"/>
        </w:rPr>
      </w:pPr>
      <w:r>
        <w:rPr>
          <w:rFonts w:eastAsia="Times New Roman" w:cstheme="minorHAnsi"/>
          <w:color w:val="000000"/>
        </w:rPr>
        <w:t>Through</w:t>
      </w:r>
      <w:r w:rsidR="00D75CA3">
        <w:rPr>
          <w:rFonts w:eastAsia="Times New Roman" w:cstheme="minorHAnsi"/>
          <w:color w:val="000000"/>
        </w:rPr>
        <w:t xml:space="preserve"> the topic guides, we will ask open-ended questions</w:t>
      </w:r>
      <w:r w:rsidR="00D85B23">
        <w:rPr>
          <w:rFonts w:eastAsia="Times New Roman" w:cstheme="minorHAnsi"/>
          <w:color w:val="000000"/>
        </w:rPr>
        <w:t xml:space="preserve"> </w:t>
      </w:r>
      <w:r>
        <w:rPr>
          <w:rFonts w:eastAsia="Times New Roman" w:cstheme="minorHAnsi"/>
          <w:color w:val="000000"/>
        </w:rPr>
        <w:t xml:space="preserve">so </w:t>
      </w:r>
      <w:r w:rsidR="00D75CA3">
        <w:rPr>
          <w:rFonts w:eastAsia="Times New Roman" w:cstheme="minorHAnsi"/>
          <w:color w:val="000000"/>
        </w:rPr>
        <w:t>respondents</w:t>
      </w:r>
      <w:r w:rsidR="001A5CD4">
        <w:rPr>
          <w:rFonts w:eastAsia="Times New Roman" w:cstheme="minorHAnsi"/>
          <w:color w:val="000000"/>
        </w:rPr>
        <w:t xml:space="preserve"> </w:t>
      </w:r>
      <w:r w:rsidR="00105F23">
        <w:rPr>
          <w:rFonts w:eastAsia="Times New Roman" w:cstheme="minorHAnsi"/>
          <w:color w:val="000000"/>
        </w:rPr>
        <w:t>c</w:t>
      </w:r>
      <w:r>
        <w:rPr>
          <w:rFonts w:eastAsia="Times New Roman" w:cstheme="minorHAnsi"/>
          <w:color w:val="000000"/>
        </w:rPr>
        <w:t>an</w:t>
      </w:r>
      <w:r w:rsidR="00105F23">
        <w:rPr>
          <w:rFonts w:eastAsia="Times New Roman" w:cstheme="minorHAnsi"/>
          <w:color w:val="000000"/>
        </w:rPr>
        <w:t xml:space="preserve"> provide rich qualitative responses about their experiences</w:t>
      </w:r>
      <w:r>
        <w:rPr>
          <w:rFonts w:eastAsia="Times New Roman" w:cstheme="minorHAnsi"/>
          <w:color w:val="000000"/>
        </w:rPr>
        <w:t>.</w:t>
      </w:r>
      <w:r w:rsidR="002023E2">
        <w:rPr>
          <w:rFonts w:eastAsia="Times New Roman" w:cstheme="minorHAnsi"/>
          <w:color w:val="000000"/>
        </w:rPr>
        <w:t xml:space="preserve"> </w:t>
      </w:r>
      <w:r w:rsidR="00E559C4">
        <w:rPr>
          <w:rFonts w:cs="Calibri"/>
        </w:rPr>
        <w:t xml:space="preserve">Both </w:t>
      </w:r>
      <w:r w:rsidR="00E559C4">
        <w:rPr>
          <w:rFonts w:cs="Calibri"/>
        </w:rPr>
        <w:t xml:space="preserve">topic guides were developed </w:t>
      </w:r>
      <w:r>
        <w:rPr>
          <w:rFonts w:cs="Calibri"/>
        </w:rPr>
        <w:t>by Mathematica staff</w:t>
      </w:r>
      <w:r>
        <w:rPr>
          <w:rFonts w:cs="Calibri"/>
        </w:rPr>
        <w:t xml:space="preserve">, </w:t>
      </w:r>
      <w:r w:rsidR="00E559C4">
        <w:rPr>
          <w:rFonts w:cs="Calibri"/>
        </w:rPr>
        <w:t>in collaboration with ACF</w:t>
      </w:r>
      <w:r>
        <w:rPr>
          <w:rFonts w:cs="Calibri"/>
        </w:rPr>
        <w:t xml:space="preserve">, </w:t>
      </w:r>
      <w:r w:rsidR="00E559C4">
        <w:rPr>
          <w:rFonts w:cs="Calibri"/>
        </w:rPr>
        <w:t>and were designed to be concise and streamline data collection to only collect the information necessary to answer the research questions.</w:t>
      </w:r>
    </w:p>
    <w:p w:rsidR="00D479FD" w:rsidRPr="00307859" w:rsidP="00167E58" w14:paraId="682F24C1" w14:textId="77777777">
      <w:pPr>
        <w:autoSpaceDE w:val="0"/>
        <w:autoSpaceDN w:val="0"/>
        <w:adjustRightInd w:val="0"/>
        <w:spacing w:after="0"/>
        <w:rPr>
          <w:rFonts w:eastAsia="Times New Roman" w:cstheme="minorHAnsi"/>
          <w:color w:val="000000"/>
        </w:rPr>
      </w:pPr>
    </w:p>
    <w:p w:rsidR="00A77839" w:rsidP="005F7B7D" w14:paraId="34F5B168" w14:textId="77777777">
      <w:pPr>
        <w:autoSpaceDE w:val="0"/>
        <w:autoSpaceDN w:val="0"/>
        <w:adjustRightInd w:val="0"/>
        <w:spacing w:after="120"/>
        <w:rPr>
          <w:rFonts w:eastAsia="Times New Roman" w:cstheme="minorHAnsi"/>
          <w:b/>
          <w:bCs/>
          <w:color w:val="000000"/>
        </w:rPr>
      </w:pPr>
      <w:r>
        <w:rPr>
          <w:rFonts w:eastAsia="Times New Roman" w:cstheme="minorHAnsi"/>
          <w:b/>
          <w:bCs/>
          <w:color w:val="000000"/>
        </w:rPr>
        <w:t xml:space="preserve">B4. </w:t>
      </w:r>
      <w:r>
        <w:rPr>
          <w:rFonts w:eastAsia="Times New Roman" w:cstheme="minorHAnsi"/>
          <w:b/>
          <w:bCs/>
          <w:color w:val="000000"/>
        </w:rPr>
        <w:tab/>
        <w:t>Collection of Data and Quality Control</w:t>
      </w:r>
    </w:p>
    <w:p w:rsidR="00F24623" w:rsidP="00D479FD" w14:paraId="1287A716" w14:textId="52249FB9">
      <w:pPr>
        <w:spacing w:after="0"/>
      </w:pPr>
      <w:r w:rsidRPr="00F24397">
        <w:t>ACF is contracting with Mathematica for this data collection.</w:t>
      </w:r>
    </w:p>
    <w:p w:rsidR="00D479FD" w:rsidRPr="00F24397" w:rsidP="00167E58" w14:paraId="62106FAB" w14:textId="77777777">
      <w:pPr>
        <w:spacing w:after="0"/>
      </w:pPr>
    </w:p>
    <w:p w:rsidR="00F24623" w:rsidP="00D479FD" w14:paraId="1D7B41FC" w14:textId="2BC35BE4">
      <w:pPr>
        <w:spacing w:after="0"/>
      </w:pPr>
      <w:r>
        <w:rPr>
          <w:u w:val="single"/>
        </w:rPr>
        <w:t>Telep</w:t>
      </w:r>
      <w:r w:rsidR="00B81040">
        <w:rPr>
          <w:u w:val="single"/>
        </w:rPr>
        <w:t>hone i</w:t>
      </w:r>
      <w:r w:rsidR="00296103">
        <w:rPr>
          <w:u w:val="single"/>
        </w:rPr>
        <w:t xml:space="preserve">nterviews: </w:t>
      </w:r>
      <w:r w:rsidR="002236BB">
        <w:t xml:space="preserve">A trained member of </w:t>
      </w:r>
      <w:r w:rsidR="00CC57E1">
        <w:t xml:space="preserve">the </w:t>
      </w:r>
      <w:r w:rsidR="002236BB">
        <w:t>study team</w:t>
      </w:r>
      <w:r w:rsidRPr="00F24397">
        <w:t xml:space="preserve"> will conduct </w:t>
      </w:r>
      <w:r w:rsidR="00D5623A">
        <w:t>an</w:t>
      </w:r>
      <w:r w:rsidRPr="00F24397" w:rsidR="00D5623A">
        <w:t xml:space="preserve"> </w:t>
      </w:r>
      <w:r w:rsidRPr="00F24397">
        <w:t xml:space="preserve">interview </w:t>
      </w:r>
      <w:r w:rsidR="009C64F1">
        <w:t>over the phone</w:t>
      </w:r>
      <w:r w:rsidR="00D5623A">
        <w:t xml:space="preserve"> with up to </w:t>
      </w:r>
      <w:r w:rsidR="00D5623A">
        <w:t>20</w:t>
      </w:r>
      <w:r w:rsidR="00D5623A">
        <w:t xml:space="preserve"> respondents</w:t>
      </w:r>
      <w:r w:rsidR="009C64F1">
        <w:t xml:space="preserve">, at a time convenient for the respondent. </w:t>
      </w:r>
      <w:r>
        <w:t>Data collection will occur on a rolling basis. Before data collection, t</w:t>
      </w:r>
      <w:r w:rsidRPr="00B97C65">
        <w:t xml:space="preserve">he </w:t>
      </w:r>
      <w:r w:rsidR="0070010C">
        <w:t xml:space="preserve">study team </w:t>
      </w:r>
      <w:r w:rsidRPr="00B97C65">
        <w:t xml:space="preserve">will send an email inviting </w:t>
      </w:r>
      <w:r w:rsidR="00BE3904">
        <w:t xml:space="preserve">grantee or provider </w:t>
      </w:r>
      <w:r w:rsidR="00276CD7">
        <w:t>staff</w:t>
      </w:r>
      <w:r w:rsidRPr="00B97C65">
        <w:t xml:space="preserve"> to participate in an interview</w:t>
      </w:r>
      <w:r w:rsidR="00661A6A">
        <w:t>.</w:t>
      </w:r>
      <w:r w:rsidRPr="00B97C65">
        <w:t xml:space="preserve"> </w:t>
      </w:r>
      <w:r w:rsidRPr="001029A5">
        <w:t>(</w:t>
      </w:r>
      <w:r w:rsidR="00661A6A">
        <w:rPr>
          <w:rFonts w:ascii="Calibri" w:eastAsia="Calibri" w:hAnsi="Calibri" w:cs="Times New Roman"/>
        </w:rPr>
        <w:t>Appendix A includes outreach materials for the telephone interviews</w:t>
      </w:r>
      <w:r w:rsidR="00661A6A">
        <w:rPr>
          <w:rFonts w:eastAsia="Times New Roman" w:cstheme="minorHAnsi"/>
          <w:color w:val="000000"/>
        </w:rPr>
        <w:t>.</w:t>
      </w:r>
      <w:r w:rsidRPr="00B97C65">
        <w:t xml:space="preserve">) The invitation will </w:t>
      </w:r>
      <w:r>
        <w:t>explain</w:t>
      </w:r>
      <w:r w:rsidRPr="00B97C65">
        <w:t xml:space="preserve"> the purpose of the interview and</w:t>
      </w:r>
      <w:r>
        <w:t xml:space="preserve"> detail the data collection mode. </w:t>
      </w:r>
      <w:r w:rsidR="002C7CA8">
        <w:t>After the potential respondent indicates their interest in participating in the study, we will send a second email with at least three potential times for the interview and ask the respondent to provide their availability</w:t>
      </w:r>
      <w:r w:rsidR="00B64230">
        <w:t xml:space="preserve">. </w:t>
      </w:r>
      <w:r>
        <w:t xml:space="preserve">The contractor will follow up with </w:t>
      </w:r>
      <w:r w:rsidR="002236BB">
        <w:t>those that do not respond to the outreach email</w:t>
      </w:r>
      <w:r>
        <w:t xml:space="preserve"> to encourage their participation by highlighting the importance of the interviews. Federal project officers might</w:t>
      </w:r>
      <w:r w:rsidRPr="0005251B">
        <w:t xml:space="preserve"> </w:t>
      </w:r>
      <w:r>
        <w:t xml:space="preserve">also </w:t>
      </w:r>
      <w:r w:rsidRPr="0005251B">
        <w:t xml:space="preserve">contact nonrespondents </w:t>
      </w:r>
      <w:r>
        <w:t xml:space="preserve">to encourage their </w:t>
      </w:r>
      <w:r w:rsidRPr="0005251B">
        <w:t>participat</w:t>
      </w:r>
      <w:r>
        <w:t>ion</w:t>
      </w:r>
      <w:r w:rsidRPr="0005251B">
        <w:t>.</w:t>
      </w:r>
      <w:r>
        <w:t xml:space="preserve"> </w:t>
      </w:r>
    </w:p>
    <w:p w:rsidR="00D479FD" w:rsidP="00167E58" w14:paraId="00A901FD" w14:textId="77777777">
      <w:pPr>
        <w:spacing w:after="0"/>
      </w:pPr>
    </w:p>
    <w:p w:rsidR="00FA7F1C" w:rsidP="00D479FD" w14:paraId="21E86608" w14:textId="4E4A86A9">
      <w:pPr>
        <w:spacing w:after="0"/>
      </w:pPr>
      <w:r w:rsidRPr="00296103">
        <w:rPr>
          <w:u w:val="single"/>
        </w:rPr>
        <w:t xml:space="preserve">Site visits: </w:t>
      </w:r>
      <w:r w:rsidR="00CC57E1">
        <w:t xml:space="preserve">The study team </w:t>
      </w:r>
      <w:r>
        <w:t xml:space="preserve">will conduct </w:t>
      </w:r>
      <w:r>
        <w:t>three</w:t>
      </w:r>
      <w:r>
        <w:t xml:space="preserve"> site visits in-person</w:t>
      </w:r>
      <w:r w:rsidR="002F7CD3">
        <w:t xml:space="preserve"> to the selected grantee organizations</w:t>
      </w:r>
      <w:r>
        <w:t xml:space="preserve">. </w:t>
      </w:r>
      <w:r w:rsidR="00E2427B">
        <w:t xml:space="preserve">We expect each site visit to last no longer than three days. </w:t>
      </w:r>
    </w:p>
    <w:p w:rsidR="00D479FD" w:rsidP="00167E58" w14:paraId="1C1CE893" w14:textId="77777777">
      <w:pPr>
        <w:spacing w:after="0"/>
      </w:pPr>
    </w:p>
    <w:p w:rsidR="00F02BA6" w:rsidP="00D479FD" w14:paraId="26274135" w14:textId="6EFF98E7">
      <w:pPr>
        <w:spacing w:after="0"/>
      </w:pPr>
      <w:r>
        <w:t xml:space="preserve">The site visits include </w:t>
      </w:r>
      <w:r w:rsidR="009C72C6">
        <w:t xml:space="preserve">four </w:t>
      </w:r>
      <w:r>
        <w:t xml:space="preserve">data collection activities: (1) interviews with program </w:t>
      </w:r>
      <w:r w:rsidR="00FE01B1">
        <w:t>leaders</w:t>
      </w:r>
      <w:r>
        <w:t xml:space="preserve"> </w:t>
      </w:r>
      <w:r w:rsidR="00FE01B1">
        <w:t>and</w:t>
      </w:r>
      <w:r>
        <w:t xml:space="preserve"> managers; (2) interviews with program facilitators; (3) focus groups with community members, including parents of youth participants in PREP; and (4) focus groups with youth participants in PREP. At each of the three site visits, we will interview up to </w:t>
      </w:r>
      <w:r w:rsidR="0010741A">
        <w:t xml:space="preserve">three </w:t>
      </w:r>
      <w:r>
        <w:t xml:space="preserve">program </w:t>
      </w:r>
      <w:r w:rsidR="00FE01B1">
        <w:t>leaders</w:t>
      </w:r>
      <w:r>
        <w:t xml:space="preserve"> or managers (total of </w:t>
      </w:r>
      <w:r w:rsidR="0010741A">
        <w:t xml:space="preserve">nine </w:t>
      </w:r>
      <w:r>
        <w:t xml:space="preserve">respondents), and we will interview up to </w:t>
      </w:r>
      <w:r w:rsidR="0010741A">
        <w:t xml:space="preserve">five </w:t>
      </w:r>
      <w:r>
        <w:t xml:space="preserve">program facilitators (total of </w:t>
      </w:r>
      <w:r>
        <w:t>15</w:t>
      </w:r>
      <w:r>
        <w:t xml:space="preserve"> respondents). We may have small groups of respondents complete the interviews at the same time, if that works better for scheduling purposes. At each site visit, we will hold a focus group with up to </w:t>
      </w:r>
      <w:r>
        <w:t>10</w:t>
      </w:r>
      <w:r>
        <w:t xml:space="preserve"> community members (total of 30 respondents) and a focus group with up to 10 youth (total of 30 respondents). </w:t>
      </w:r>
      <w:r w:rsidRPr="002C7CA8">
        <w:t>We will work with the grantee project director to identify the appropriate respondents for each data collection activity</w:t>
      </w:r>
      <w:r w:rsidR="002C7CA8">
        <w:t xml:space="preserve"> and will ask the project director to help schedule the interviews with the program </w:t>
      </w:r>
      <w:r w:rsidR="00FE01B1">
        <w:t>leaders</w:t>
      </w:r>
      <w:r w:rsidR="002C7CA8">
        <w:t xml:space="preserve"> </w:t>
      </w:r>
      <w:r w:rsidR="00276CD7">
        <w:t>and</w:t>
      </w:r>
      <w:r w:rsidR="002C7CA8">
        <w:t xml:space="preserve"> managers</w:t>
      </w:r>
      <w:r w:rsidR="00276CD7">
        <w:t>,</w:t>
      </w:r>
      <w:r w:rsidR="002C7CA8">
        <w:t xml:space="preserve"> and </w:t>
      </w:r>
      <w:r w:rsidR="00276CD7">
        <w:t xml:space="preserve">program </w:t>
      </w:r>
      <w:r w:rsidR="002C7CA8">
        <w:t>facilitators. We will also ask the project director to share information about the study with potential community member and youth respondents for the focus group</w:t>
      </w:r>
      <w:r w:rsidR="00661A6A">
        <w:t>.</w:t>
      </w:r>
      <w:r w:rsidR="008A7DBD">
        <w:t xml:space="preserve"> (</w:t>
      </w:r>
      <w:r w:rsidR="00661A6A">
        <w:t>Appendix B includes recruitment materials for focus groups.</w:t>
      </w:r>
      <w:r w:rsidR="008A7DBD">
        <w:t>)</w:t>
      </w:r>
      <w:r w:rsidR="00661A6A">
        <w:t xml:space="preserve"> </w:t>
      </w:r>
      <w:r w:rsidR="002C7CA8">
        <w:t xml:space="preserve">Individuals interested in participating in the focus group can reach out to the grantee staff or </w:t>
      </w:r>
      <w:r w:rsidR="00CC57E1">
        <w:t xml:space="preserve">the study team </w:t>
      </w:r>
      <w:r w:rsidR="002C7CA8">
        <w:t xml:space="preserve">directly. </w:t>
      </w:r>
      <w:r w:rsidR="007B50A3">
        <w:t xml:space="preserve">Each youth that participates in a focus group will need to have </w:t>
      </w:r>
      <w:r w:rsidR="006979D7">
        <w:t xml:space="preserve">consent form signed by their parent or guardian </w:t>
      </w:r>
      <w:r w:rsidR="007B50A3">
        <w:t xml:space="preserve">and </w:t>
      </w:r>
      <w:r w:rsidR="006979D7">
        <w:t xml:space="preserve">to sign the </w:t>
      </w:r>
      <w:r w:rsidR="007B50A3">
        <w:t>youth assent form</w:t>
      </w:r>
      <w:r w:rsidR="00661A6A">
        <w:t>.</w:t>
      </w:r>
      <w:r w:rsidR="008A7DBD">
        <w:t xml:space="preserve"> (Appendices C and D</w:t>
      </w:r>
      <w:r w:rsidR="00661A6A">
        <w:t xml:space="preserve"> include the parental consent form and youth assent form, respectively.</w:t>
      </w:r>
      <w:r w:rsidR="008A7DBD">
        <w:t>)</w:t>
      </w:r>
      <w:r w:rsidR="007B50A3">
        <w:t xml:space="preserve"> </w:t>
      </w:r>
      <w:r w:rsidR="0077481B">
        <w:t xml:space="preserve">Parents and guardians will complete the form </w:t>
      </w:r>
      <w:r w:rsidR="00927738">
        <w:t xml:space="preserve">using the </w:t>
      </w:r>
      <w:r w:rsidR="0077481B">
        <w:t xml:space="preserve">secure </w:t>
      </w:r>
      <w:r w:rsidR="00403A8B">
        <w:t xml:space="preserve">and private </w:t>
      </w:r>
      <w:r w:rsidR="00D27312">
        <w:t>QuestionPro</w:t>
      </w:r>
      <w:r w:rsidR="00C3260B">
        <w:t xml:space="preserve"> GovCloud</w:t>
      </w:r>
      <w:r w:rsidR="00235B2F">
        <w:t xml:space="preserve"> </w:t>
      </w:r>
      <w:r w:rsidR="00074085">
        <w:t xml:space="preserve"> </w:t>
      </w:r>
      <w:r w:rsidR="00927738">
        <w:t xml:space="preserve">application. </w:t>
      </w:r>
    </w:p>
    <w:p w:rsidR="00D479FD" w:rsidRPr="00DC708A" w:rsidP="00167E58" w14:paraId="095BC993" w14:textId="77777777">
      <w:pPr>
        <w:spacing w:after="0"/>
      </w:pPr>
    </w:p>
    <w:p w:rsidR="00DF3BDC" w:rsidP="00D479FD" w14:paraId="77776C51" w14:textId="623AFCE7">
      <w:pPr>
        <w:spacing w:after="0"/>
      </w:pPr>
      <w:r>
        <w:t xml:space="preserve">Table B.1. shows the </w:t>
      </w:r>
      <w:r w:rsidR="002F5650">
        <w:t xml:space="preserve">total expected number of participants, the </w:t>
      </w:r>
      <w:r w:rsidR="00FA7F1C">
        <w:t>mode, and time commitment for each data collection activity. All five activities will be a one-time</w:t>
      </w:r>
      <w:r w:rsidR="002F5650">
        <w:t xml:space="preserve"> data collection request of the participants.</w:t>
      </w:r>
    </w:p>
    <w:p w:rsidR="00D479FD" w:rsidP="00167E58" w14:paraId="0C050F4D" w14:textId="77777777">
      <w:pPr>
        <w:spacing w:after="0"/>
      </w:pPr>
    </w:p>
    <w:p w:rsidR="00DF3BDC" w:rsidP="00DF3BDC" w14:paraId="408A01BC" w14:textId="77777777">
      <w:pPr>
        <w:autoSpaceDE w:val="0"/>
        <w:autoSpaceDN w:val="0"/>
        <w:adjustRightInd w:val="0"/>
        <w:spacing w:before="120" w:after="120"/>
        <w:rPr>
          <w:rFonts w:eastAsia="Times New Roman" w:cstheme="minorHAnsi"/>
          <w:color w:val="000000"/>
        </w:rPr>
      </w:pPr>
      <w:r>
        <w:rPr>
          <w:rFonts w:eastAsia="Times New Roman" w:cstheme="minorHAnsi"/>
          <w:b/>
          <w:color w:val="000000"/>
        </w:rPr>
        <w:t>B5.</w:t>
      </w:r>
      <w:r>
        <w:rPr>
          <w:rFonts w:eastAsia="Times New Roman" w:cstheme="minorHAnsi"/>
          <w:b/>
          <w:color w:val="000000"/>
        </w:rPr>
        <w:tab/>
        <w:t>Response Rates and Potential Nonresponse Bias</w:t>
      </w:r>
    </w:p>
    <w:p w:rsidR="00DF3BDC" w:rsidP="00DF3BDC" w14:paraId="09715E32" w14:textId="77777777">
      <w:pPr>
        <w:spacing w:after="60"/>
        <w:rPr>
          <w:rFonts w:eastAsia="Times New Roman" w:cstheme="minorHAnsi"/>
          <w:i/>
          <w:color w:val="000000"/>
        </w:rPr>
      </w:pPr>
      <w:r>
        <w:rPr>
          <w:rFonts w:eastAsia="Times New Roman" w:cstheme="minorHAnsi"/>
          <w:i/>
          <w:color w:val="000000"/>
        </w:rPr>
        <w:t>Response Rates</w:t>
      </w:r>
    </w:p>
    <w:p w:rsidR="00DF3BDC" w:rsidP="00D479FD" w14:paraId="5D374FEC" w14:textId="1C58C267">
      <w:pPr>
        <w:autoSpaceDE w:val="0"/>
        <w:autoSpaceDN w:val="0"/>
        <w:adjustRightInd w:val="0"/>
        <w:spacing w:after="0"/>
        <w:rPr>
          <w:rFonts w:eastAsia="Times New Roman" w:cstheme="minorHAnsi"/>
          <w:color w:val="000000"/>
        </w:rPr>
      </w:pPr>
      <w:r w:rsidRPr="00C32C8A">
        <w:rPr>
          <w:rFonts w:eastAsia="Times New Roman" w:cstheme="minorHAnsi"/>
          <w:color w:val="000000"/>
        </w:rPr>
        <w:t>The</w:t>
      </w:r>
      <w:r>
        <w:rPr>
          <w:rFonts w:eastAsia="Times New Roman" w:cstheme="minorHAnsi"/>
          <w:color w:val="000000"/>
        </w:rPr>
        <w:t xml:space="preserve"> telephone interviews and site visit interviews and focus groups </w:t>
      </w:r>
      <w:r w:rsidRPr="00C32C8A">
        <w:rPr>
          <w:rFonts w:eastAsia="Times New Roman" w:cstheme="minorHAnsi"/>
          <w:color w:val="000000"/>
        </w:rPr>
        <w:t>are not designed to produce statistically generalizable findings</w:t>
      </w:r>
      <w:r>
        <w:rPr>
          <w:rFonts w:eastAsia="Times New Roman" w:cstheme="minorHAnsi"/>
          <w:color w:val="000000"/>
        </w:rPr>
        <w:t xml:space="preserve">, </w:t>
      </w:r>
      <w:r w:rsidRPr="002E02B6">
        <w:rPr>
          <w:rFonts w:eastAsia="Times New Roman" w:cstheme="minorHAnsi"/>
          <w:color w:val="000000"/>
        </w:rPr>
        <w:t xml:space="preserve">and participation is </w:t>
      </w:r>
      <w:r w:rsidRPr="002E02B6">
        <w:rPr>
          <w:rFonts w:eastAsia="Times New Roman" w:cstheme="minorHAnsi"/>
          <w:color w:val="000000"/>
        </w:rPr>
        <w:t>wholly at</w:t>
      </w:r>
      <w:r w:rsidRPr="002E02B6">
        <w:rPr>
          <w:rFonts w:eastAsia="Times New Roman" w:cstheme="minorHAnsi"/>
          <w:color w:val="000000"/>
        </w:rPr>
        <w:t xml:space="preserve"> the respondent’s discretion. Response rates will not </w:t>
      </w:r>
      <w:r w:rsidRPr="002E02B6">
        <w:rPr>
          <w:rFonts w:eastAsia="Times New Roman" w:cstheme="minorHAnsi"/>
          <w:color w:val="000000"/>
        </w:rPr>
        <w:t>be calculated</w:t>
      </w:r>
      <w:r w:rsidRPr="002E02B6">
        <w:rPr>
          <w:rFonts w:eastAsia="Times New Roman" w:cstheme="minorHAnsi"/>
          <w:color w:val="000000"/>
        </w:rPr>
        <w:t xml:space="preserve"> or reported.</w:t>
      </w:r>
    </w:p>
    <w:p w:rsidR="00D479FD" w:rsidP="00167E58" w14:paraId="1426A344" w14:textId="77777777">
      <w:pPr>
        <w:autoSpaceDE w:val="0"/>
        <w:autoSpaceDN w:val="0"/>
        <w:adjustRightInd w:val="0"/>
        <w:spacing w:after="0"/>
        <w:rPr>
          <w:rFonts w:eastAsia="Times New Roman" w:cstheme="minorHAnsi"/>
          <w:color w:val="000000"/>
        </w:rPr>
      </w:pPr>
    </w:p>
    <w:p w:rsidR="00DF3BDC" w:rsidP="00167E58" w14:paraId="2E01ED92" w14:textId="77777777">
      <w:pPr>
        <w:spacing w:after="60"/>
        <w:rPr>
          <w:rFonts w:eastAsia="Times New Roman" w:cstheme="minorHAnsi"/>
          <w:i/>
          <w:color w:val="000000"/>
        </w:rPr>
      </w:pPr>
      <w:r>
        <w:rPr>
          <w:rFonts w:eastAsia="Times New Roman" w:cstheme="minorHAnsi"/>
          <w:i/>
          <w:color w:val="000000"/>
        </w:rPr>
        <w:t>NonResponse</w:t>
      </w:r>
    </w:p>
    <w:p w:rsidR="00DF3BDC" w:rsidP="00D479FD" w14:paraId="1B03D5E7" w14:textId="2AB8359B">
      <w:pPr>
        <w:spacing w:after="0"/>
        <w:rPr>
          <w:rFonts w:eastAsia="Times New Roman" w:cstheme="minorHAnsi"/>
          <w:color w:val="000000"/>
        </w:rPr>
      </w:pPr>
      <w:r w:rsidRPr="00C32C8A">
        <w:rPr>
          <w:rFonts w:eastAsia="Times New Roman" w:cstheme="minorHAnsi"/>
          <w:color w:val="000000"/>
        </w:rPr>
        <w:t xml:space="preserve">As participants will not </w:t>
      </w:r>
      <w:r w:rsidRPr="00C32C8A">
        <w:rPr>
          <w:rFonts w:eastAsia="Times New Roman" w:cstheme="minorHAnsi"/>
          <w:color w:val="000000"/>
        </w:rPr>
        <w:t>be randomly sampled</w:t>
      </w:r>
      <w:r w:rsidRPr="00C32C8A">
        <w:rPr>
          <w:rFonts w:eastAsia="Times New Roman" w:cstheme="minorHAnsi"/>
          <w:color w:val="000000"/>
        </w:rPr>
        <w:t xml:space="preserve"> and findings are not intended to be representative, nonresponse bias will not be calculated. Respondent </w:t>
      </w:r>
      <w:r>
        <w:rPr>
          <w:rFonts w:eastAsia="Times New Roman" w:cstheme="minorHAnsi"/>
          <w:color w:val="000000"/>
        </w:rPr>
        <w:t>type</w:t>
      </w:r>
      <w:r w:rsidRPr="00C32C8A">
        <w:rPr>
          <w:rFonts w:eastAsia="Times New Roman" w:cstheme="minorHAnsi"/>
          <w:color w:val="000000"/>
        </w:rPr>
        <w:t xml:space="preserve"> will </w:t>
      </w:r>
      <w:r w:rsidRPr="00C32C8A">
        <w:rPr>
          <w:rFonts w:eastAsia="Times New Roman" w:cstheme="minorHAnsi"/>
          <w:color w:val="000000"/>
        </w:rPr>
        <w:t>be documented</w:t>
      </w:r>
      <w:r w:rsidRPr="00C32C8A">
        <w:rPr>
          <w:rFonts w:eastAsia="Times New Roman" w:cstheme="minorHAnsi"/>
          <w:color w:val="000000"/>
        </w:rPr>
        <w:t xml:space="preserve"> and reported in written materials associated with the data collection.</w:t>
      </w:r>
    </w:p>
    <w:p w:rsidR="00D479FD" w:rsidP="00167E58" w14:paraId="77ED3659" w14:textId="77777777">
      <w:pPr>
        <w:spacing w:after="0"/>
        <w:rPr>
          <w:rFonts w:eastAsia="Times New Roman" w:cstheme="minorHAnsi"/>
          <w:color w:val="000000"/>
        </w:rPr>
      </w:pPr>
    </w:p>
    <w:p w:rsidR="00DF3BDC" w:rsidP="00DF3BDC" w14:paraId="3843BD86" w14:textId="068C1A19">
      <w:pPr>
        <w:spacing w:after="120"/>
        <w:rPr>
          <w:rFonts w:eastAsia="Times New Roman" w:cstheme="minorHAnsi"/>
          <w:b/>
          <w:bCs/>
          <w:color w:val="000000"/>
        </w:rPr>
      </w:pPr>
      <w:r w:rsidRPr="00DF3BDC">
        <w:rPr>
          <w:rFonts w:eastAsia="Times New Roman" w:cstheme="minorHAnsi"/>
          <w:b/>
          <w:bCs/>
          <w:color w:val="000000"/>
        </w:rPr>
        <w:t>B6</w:t>
      </w:r>
      <w:r w:rsidRPr="00DF3BDC">
        <w:rPr>
          <w:rFonts w:eastAsia="Times New Roman" w:cstheme="minorHAnsi"/>
          <w:b/>
          <w:bCs/>
          <w:color w:val="000000"/>
        </w:rPr>
        <w:t xml:space="preserve">.  </w:t>
      </w:r>
      <w:r w:rsidRPr="00DF3BDC">
        <w:rPr>
          <w:rFonts w:eastAsia="Times New Roman" w:cstheme="minorHAnsi"/>
          <w:b/>
          <w:bCs/>
          <w:color w:val="000000"/>
        </w:rPr>
        <w:t>Production of Estimates and Projections</w:t>
      </w:r>
    </w:p>
    <w:p w:rsidR="00DF3BDC" w:rsidP="00167E58" w14:paraId="39FCDCD4" w14:textId="49CCF0E5">
      <w:pPr>
        <w:autoSpaceDE w:val="0"/>
        <w:autoSpaceDN w:val="0"/>
        <w:adjustRightInd w:val="0"/>
        <w:spacing w:after="120"/>
        <w:rPr>
          <w:rFonts w:cstheme="minorHAnsi"/>
        </w:rPr>
      </w:pPr>
      <w:r w:rsidRPr="0084670F">
        <w:t xml:space="preserve">The data will not </w:t>
      </w:r>
      <w:r w:rsidRPr="0084670F">
        <w:t>be used</w:t>
      </w:r>
      <w:r w:rsidRPr="0084670F">
        <w:t xml:space="preserve"> to generate population estimates, either for internal use or dissemination.</w:t>
      </w:r>
      <w:bookmarkStart w:id="10" w:name="_Hlk127795877"/>
    </w:p>
    <w:p w:rsidR="00A77839" w:rsidRPr="00DF3BDC" w:rsidP="00DF3BDC" w14:paraId="689D54F4" w14:textId="4164256F">
      <w:pPr>
        <w:rPr>
          <w:rFonts w:cstheme="minorHAnsi"/>
          <w:b/>
          <w:bCs/>
        </w:rPr>
      </w:pPr>
      <w:r w:rsidRPr="00DF3BDC">
        <w:rPr>
          <w:rFonts w:cstheme="minorHAnsi"/>
          <w:b/>
          <w:bCs/>
        </w:rPr>
        <w:t xml:space="preserve">Table B.1. </w:t>
      </w:r>
      <w:r w:rsidRPr="00DF3BDC" w:rsidR="005F7B7D">
        <w:rPr>
          <w:rFonts w:cstheme="minorHAnsi"/>
          <w:b/>
          <w:bCs/>
        </w:rPr>
        <w:t>APS Study</w:t>
      </w:r>
      <w:r w:rsidRPr="00DF3BDC">
        <w:rPr>
          <w:rFonts w:cstheme="minorHAnsi"/>
          <w:b/>
          <w:bCs/>
        </w:rPr>
        <w:t>: Data collection activities</w:t>
      </w:r>
    </w:p>
    <w:tbl>
      <w:tblPr>
        <w:tblStyle w:val="MathUBaseTable"/>
        <w:tblW w:w="4904" w:type="pct"/>
        <w:tblLook w:val="04A0"/>
      </w:tblPr>
      <w:tblGrid>
        <w:gridCol w:w="2523"/>
        <w:gridCol w:w="2697"/>
        <w:gridCol w:w="3960"/>
      </w:tblGrid>
      <w:tr w14:paraId="0CF831AD" w14:textId="77777777" w:rsidTr="00A77839">
        <w:tblPrEx>
          <w:tblW w:w="4904" w:type="pct"/>
          <w:tblLook w:val="04A0"/>
        </w:tblPrEx>
        <w:trPr>
          <w:trHeight w:val="120"/>
          <w:tblHeader/>
        </w:trPr>
        <w:tc>
          <w:tcPr>
            <w:tcW w:w="1374" w:type="pct"/>
          </w:tcPr>
          <w:p w:rsidR="00A77839" w:rsidRPr="00B272FD" w:rsidP="00D71AC1" w14:paraId="76D0FCB7" w14:textId="429F79C5">
            <w:pPr>
              <w:pStyle w:val="TableHeaderLeft"/>
              <w:spacing w:before="0" w:after="0" w:line="276" w:lineRule="auto"/>
              <w:rPr>
                <w:rFonts w:asciiTheme="minorHAnsi" w:hAnsiTheme="minorHAnsi" w:cstheme="minorHAnsi"/>
                <w:szCs w:val="20"/>
              </w:rPr>
            </w:pPr>
            <w:r w:rsidRPr="00B272FD">
              <w:rPr>
                <w:rFonts w:asciiTheme="minorHAnsi" w:hAnsiTheme="minorHAnsi" w:cstheme="minorHAnsi"/>
                <w:szCs w:val="20"/>
              </w:rPr>
              <w:t xml:space="preserve">Data </w:t>
            </w:r>
            <w:r w:rsidR="00092D19">
              <w:rPr>
                <w:rFonts w:asciiTheme="minorHAnsi" w:hAnsiTheme="minorHAnsi" w:cstheme="minorHAnsi"/>
                <w:szCs w:val="20"/>
              </w:rPr>
              <w:t>c</w:t>
            </w:r>
            <w:r w:rsidRPr="00B272FD">
              <w:rPr>
                <w:rFonts w:asciiTheme="minorHAnsi" w:hAnsiTheme="minorHAnsi" w:cstheme="minorHAnsi"/>
                <w:szCs w:val="20"/>
              </w:rPr>
              <w:t>ollection</w:t>
            </w:r>
          </w:p>
        </w:tc>
        <w:tc>
          <w:tcPr>
            <w:tcW w:w="3626" w:type="pct"/>
            <w:gridSpan w:val="2"/>
            <w:tcBorders>
              <w:bottom w:val="single" w:sz="4" w:space="0" w:color="1F497D" w:themeColor="text2"/>
            </w:tcBorders>
          </w:tcPr>
          <w:p w:rsidR="00A77839" w:rsidRPr="00B272FD" w:rsidP="00D71AC1" w14:paraId="4A7BDDC9" w14:textId="77777777">
            <w:pPr>
              <w:pStyle w:val="TableHeaderCenter"/>
              <w:spacing w:before="0" w:after="0" w:line="276" w:lineRule="auto"/>
              <w:jc w:val="left"/>
              <w:rPr>
                <w:rFonts w:asciiTheme="minorHAnsi" w:hAnsiTheme="minorHAnsi" w:cstheme="minorHAnsi"/>
                <w:szCs w:val="20"/>
              </w:rPr>
            </w:pPr>
            <w:r w:rsidRPr="00B272FD">
              <w:rPr>
                <w:rFonts w:asciiTheme="minorHAnsi" w:hAnsiTheme="minorHAnsi" w:cstheme="minorHAnsi"/>
                <w:szCs w:val="20"/>
              </w:rPr>
              <w:t>Administration plans</w:t>
            </w:r>
          </w:p>
        </w:tc>
      </w:tr>
      <w:tr w14:paraId="4B4BDF9B" w14:textId="77777777" w:rsidTr="00A77839">
        <w:tblPrEx>
          <w:tblW w:w="4904" w:type="pct"/>
          <w:tblLook w:val="04A0"/>
        </w:tblPrEx>
        <w:trPr>
          <w:trHeight w:val="120"/>
        </w:trPr>
        <w:tc>
          <w:tcPr>
            <w:tcW w:w="1374" w:type="pct"/>
            <w:vMerge w:val="restart"/>
            <w:tcBorders>
              <w:top w:val="nil"/>
              <w:right w:val="single" w:sz="4" w:space="0" w:color="046B5C"/>
            </w:tcBorders>
          </w:tcPr>
          <w:p w:rsidR="00A77839" w:rsidRPr="00B272FD" w:rsidP="00D71AC1" w14:paraId="28968288" w14:textId="389EF8C5">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Telephone</w:t>
            </w:r>
            <w:r w:rsidRPr="00B272FD" w:rsidR="00B81040">
              <w:rPr>
                <w:rFonts w:eastAsia="Times New Roman" w:asciiTheme="minorHAnsi" w:hAnsiTheme="minorHAnsi" w:cstheme="minorHAnsi"/>
                <w:sz w:val="20"/>
                <w:szCs w:val="20"/>
              </w:rPr>
              <w:t xml:space="preserve"> i</w:t>
            </w:r>
            <w:r w:rsidRPr="00B272FD" w:rsidR="008C1DF7">
              <w:rPr>
                <w:rFonts w:eastAsia="Times New Roman" w:asciiTheme="minorHAnsi" w:hAnsiTheme="minorHAnsi" w:cstheme="minorHAnsi"/>
                <w:sz w:val="20"/>
                <w:szCs w:val="20"/>
              </w:rPr>
              <w:t xml:space="preserve">nterview </w:t>
            </w:r>
            <w:r w:rsidRPr="00B272FD" w:rsidR="00932016">
              <w:rPr>
                <w:rFonts w:eastAsia="Times New Roman" w:asciiTheme="minorHAnsi" w:hAnsiTheme="minorHAnsi" w:cstheme="minorHAnsi"/>
                <w:sz w:val="20"/>
                <w:szCs w:val="20"/>
              </w:rPr>
              <w:t>with</w:t>
            </w:r>
            <w:r w:rsidRPr="00B272FD" w:rsidR="008C1DF7">
              <w:rPr>
                <w:rFonts w:eastAsia="Times New Roman" w:asciiTheme="minorHAnsi" w:hAnsiTheme="minorHAnsi" w:cstheme="minorHAnsi"/>
                <w:sz w:val="20"/>
                <w:szCs w:val="20"/>
              </w:rPr>
              <w:t xml:space="preserve"> </w:t>
            </w:r>
            <w:r w:rsidRPr="00B272FD" w:rsidR="00D24604">
              <w:rPr>
                <w:rFonts w:eastAsia="Times New Roman" w:asciiTheme="minorHAnsi" w:hAnsiTheme="minorHAnsi" w:cstheme="minorHAnsi"/>
                <w:sz w:val="20"/>
                <w:szCs w:val="20"/>
              </w:rPr>
              <w:t>PREP</w:t>
            </w:r>
            <w:r w:rsidRPr="00B272FD" w:rsidR="008C1DF7">
              <w:rPr>
                <w:rFonts w:eastAsia="Times New Roman" w:asciiTheme="minorHAnsi" w:hAnsiTheme="minorHAnsi" w:cstheme="minorHAnsi"/>
                <w:sz w:val="20"/>
                <w:szCs w:val="20"/>
              </w:rPr>
              <w:t xml:space="preserve"> grantee</w:t>
            </w:r>
            <w:r w:rsidRPr="00B272FD" w:rsidR="00B272FD">
              <w:rPr>
                <w:rFonts w:eastAsia="Times New Roman" w:asciiTheme="minorHAnsi" w:hAnsiTheme="minorHAnsi" w:cstheme="minorHAnsi"/>
                <w:sz w:val="20"/>
                <w:szCs w:val="20"/>
              </w:rPr>
              <w:t xml:space="preserve">s and providers </w:t>
            </w:r>
          </w:p>
        </w:tc>
        <w:tc>
          <w:tcPr>
            <w:tcW w:w="1469" w:type="pct"/>
            <w:tcBorders>
              <w:top w:val="single" w:sz="4" w:space="0" w:color="1F497D" w:themeColor="text2"/>
              <w:left w:val="single" w:sz="4" w:space="0" w:color="046B5C"/>
            </w:tcBorders>
          </w:tcPr>
          <w:p w:rsidR="00A77839" w:rsidRPr="00B272FD" w:rsidP="00D71AC1" w14:paraId="311A563A" w14:textId="77777777">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Total participants</w:t>
            </w:r>
          </w:p>
        </w:tc>
        <w:tc>
          <w:tcPr>
            <w:tcW w:w="2157" w:type="pct"/>
          </w:tcPr>
          <w:p w:rsidR="00A77839" w:rsidRPr="00B272FD" w:rsidP="00D71AC1" w14:paraId="5A6AB919" w14:textId="62536855">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20</w:t>
            </w:r>
          </w:p>
        </w:tc>
      </w:tr>
      <w:tr w14:paraId="08D7EB75" w14:textId="77777777" w:rsidTr="00A77839">
        <w:tblPrEx>
          <w:tblW w:w="4904" w:type="pct"/>
          <w:tblLook w:val="04A0"/>
        </w:tblPrEx>
        <w:trPr>
          <w:trHeight w:val="120"/>
        </w:trPr>
        <w:tc>
          <w:tcPr>
            <w:tcW w:w="1374" w:type="pct"/>
            <w:vMerge/>
            <w:tcBorders>
              <w:right w:val="single" w:sz="4" w:space="0" w:color="046B5C"/>
            </w:tcBorders>
          </w:tcPr>
          <w:p w:rsidR="00A77839" w:rsidRPr="00B272FD" w:rsidP="00D71AC1" w14:paraId="38CE09E3" w14:textId="77777777">
            <w:pPr>
              <w:pStyle w:val="TableTextLeft"/>
              <w:spacing w:before="0" w:after="0" w:line="276" w:lineRule="auto"/>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A77839" w:rsidRPr="00B272FD" w:rsidP="00D71AC1" w14:paraId="535E155E" w14:textId="77777777">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Mode</w:t>
            </w:r>
          </w:p>
        </w:tc>
        <w:tc>
          <w:tcPr>
            <w:tcW w:w="2157" w:type="pct"/>
          </w:tcPr>
          <w:p w:rsidR="00A77839" w:rsidRPr="00B272FD" w:rsidP="00D71AC1" w14:paraId="5B669110" w14:textId="11925DB6">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 xml:space="preserve">Telephone </w:t>
            </w:r>
          </w:p>
        </w:tc>
      </w:tr>
      <w:tr w14:paraId="5F263E22" w14:textId="77777777" w:rsidTr="00A77839">
        <w:tblPrEx>
          <w:tblW w:w="4904" w:type="pct"/>
          <w:tblLook w:val="04A0"/>
        </w:tblPrEx>
        <w:trPr>
          <w:trHeight w:val="120"/>
        </w:trPr>
        <w:tc>
          <w:tcPr>
            <w:tcW w:w="1374" w:type="pct"/>
            <w:vMerge/>
            <w:tcBorders>
              <w:right w:val="single" w:sz="4" w:space="0" w:color="046B5C"/>
            </w:tcBorders>
          </w:tcPr>
          <w:p w:rsidR="00A77839" w:rsidRPr="00B272FD" w:rsidP="00D71AC1" w14:paraId="5E709668" w14:textId="77777777">
            <w:pPr>
              <w:pStyle w:val="TableTextLeft"/>
              <w:spacing w:before="0" w:after="0" w:line="276" w:lineRule="auto"/>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A77839" w:rsidRPr="00B272FD" w:rsidP="00D71AC1" w14:paraId="204708BF" w14:textId="77777777">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Time</w:t>
            </w:r>
          </w:p>
        </w:tc>
        <w:tc>
          <w:tcPr>
            <w:tcW w:w="2157" w:type="pct"/>
          </w:tcPr>
          <w:p w:rsidR="00A77839" w:rsidRPr="00B272FD" w:rsidP="00D71AC1" w14:paraId="60274F9E" w14:textId="7E22E640">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60</w:t>
            </w:r>
            <w:r w:rsidRPr="00B272FD" w:rsidR="00C34BA9">
              <w:rPr>
                <w:rFonts w:eastAsia="Times New Roman" w:asciiTheme="minorHAnsi" w:hAnsiTheme="minorHAnsi" w:cstheme="minorHAnsi"/>
                <w:sz w:val="20"/>
                <w:szCs w:val="20"/>
              </w:rPr>
              <w:t xml:space="preserve"> minutes</w:t>
            </w:r>
          </w:p>
        </w:tc>
      </w:tr>
      <w:tr w14:paraId="26C424B0" w14:textId="77777777" w:rsidTr="00B81040">
        <w:tblPrEx>
          <w:tblW w:w="4904" w:type="pct"/>
          <w:tblLook w:val="04A0"/>
        </w:tblPrEx>
        <w:trPr>
          <w:trHeight w:val="120"/>
        </w:trPr>
        <w:tc>
          <w:tcPr>
            <w:tcW w:w="1374" w:type="pct"/>
            <w:vMerge/>
            <w:tcBorders>
              <w:bottom w:val="single" w:sz="8" w:space="0" w:color="auto"/>
              <w:right w:val="single" w:sz="4" w:space="0" w:color="046B5C"/>
            </w:tcBorders>
          </w:tcPr>
          <w:p w:rsidR="00A77839" w:rsidRPr="00B272FD" w:rsidP="00D71AC1" w14:paraId="592A811B" w14:textId="77777777">
            <w:pPr>
              <w:pStyle w:val="TableTextLeft"/>
              <w:spacing w:before="0" w:after="0" w:line="276" w:lineRule="auto"/>
              <w:rPr>
                <w:rFonts w:asciiTheme="minorHAnsi" w:hAnsiTheme="minorHAnsi" w:cstheme="minorHAnsi"/>
                <w:sz w:val="20"/>
                <w:szCs w:val="20"/>
              </w:rPr>
            </w:pPr>
          </w:p>
        </w:tc>
        <w:tc>
          <w:tcPr>
            <w:tcW w:w="1469" w:type="pct"/>
            <w:tcBorders>
              <w:top w:val="single" w:sz="4" w:space="0" w:color="1F497D" w:themeColor="text2"/>
              <w:left w:val="single" w:sz="4" w:space="0" w:color="046B5C"/>
              <w:bottom w:val="single" w:sz="8" w:space="0" w:color="auto"/>
            </w:tcBorders>
          </w:tcPr>
          <w:p w:rsidR="00A77839" w:rsidRPr="00B272FD" w:rsidP="00D71AC1" w14:paraId="4EA7D215" w14:textId="77777777">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Frequency</w:t>
            </w:r>
          </w:p>
        </w:tc>
        <w:tc>
          <w:tcPr>
            <w:tcW w:w="2157" w:type="pct"/>
            <w:tcBorders>
              <w:bottom w:val="single" w:sz="8" w:space="0" w:color="auto"/>
            </w:tcBorders>
          </w:tcPr>
          <w:p w:rsidR="00A77839" w:rsidRPr="00B272FD" w:rsidP="00D71AC1" w14:paraId="17335157" w14:textId="77777777">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1</w:t>
            </w:r>
          </w:p>
        </w:tc>
      </w:tr>
      <w:tr w14:paraId="470B68DB" w14:textId="77777777" w:rsidTr="00B81040">
        <w:tblPrEx>
          <w:tblW w:w="4904" w:type="pct"/>
          <w:tblLook w:val="04A0"/>
        </w:tblPrEx>
        <w:trPr>
          <w:trHeight w:val="120"/>
        </w:trPr>
        <w:tc>
          <w:tcPr>
            <w:tcW w:w="1374" w:type="pct"/>
            <w:vMerge w:val="restart"/>
            <w:tcBorders>
              <w:top w:val="single" w:sz="8" w:space="0" w:color="auto"/>
              <w:right w:val="single" w:sz="4" w:space="0" w:color="046B5C"/>
            </w:tcBorders>
          </w:tcPr>
          <w:p w:rsidR="00932016" w:rsidRPr="00B272FD" w:rsidP="00932016" w14:paraId="00657A76" w14:textId="1DB5DBAD">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 xml:space="preserve">Site visit interview with program </w:t>
            </w:r>
            <w:r w:rsidRPr="00B272FD" w:rsidR="00B272FD">
              <w:rPr>
                <w:rFonts w:eastAsia="Times New Roman" w:asciiTheme="minorHAnsi" w:hAnsiTheme="minorHAnsi" w:cstheme="minorHAnsi"/>
                <w:sz w:val="20"/>
                <w:szCs w:val="20"/>
              </w:rPr>
              <w:t>leaders and managers</w:t>
            </w:r>
            <w:r w:rsidRPr="00B272FD">
              <w:rPr>
                <w:rFonts w:eastAsia="Times New Roman" w:asciiTheme="minorHAnsi" w:hAnsiTheme="minorHAnsi" w:cstheme="minorHAnsi"/>
                <w:sz w:val="20"/>
                <w:szCs w:val="20"/>
              </w:rPr>
              <w:t xml:space="preserve"> </w:t>
            </w:r>
          </w:p>
        </w:tc>
        <w:tc>
          <w:tcPr>
            <w:tcW w:w="1469" w:type="pct"/>
            <w:tcBorders>
              <w:top w:val="single" w:sz="8" w:space="0" w:color="auto"/>
              <w:left w:val="single" w:sz="4" w:space="0" w:color="046B5C"/>
              <w:bottom w:val="single" w:sz="4" w:space="0" w:color="1F497D" w:themeColor="text2"/>
            </w:tcBorders>
          </w:tcPr>
          <w:p w:rsidR="00932016" w:rsidRPr="00B272FD" w:rsidP="00932016" w14:paraId="5017B6BD" w14:textId="620A8BFF">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Total participants</w:t>
            </w:r>
          </w:p>
        </w:tc>
        <w:tc>
          <w:tcPr>
            <w:tcW w:w="2157" w:type="pct"/>
            <w:tcBorders>
              <w:top w:val="single" w:sz="8" w:space="0" w:color="auto"/>
            </w:tcBorders>
          </w:tcPr>
          <w:p w:rsidR="00932016" w:rsidRPr="00B272FD" w:rsidP="00932016" w14:paraId="38CA6181" w14:textId="207359A6">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9</w:t>
            </w:r>
          </w:p>
        </w:tc>
      </w:tr>
      <w:tr w14:paraId="69A1D3F9" w14:textId="77777777" w:rsidTr="00932016">
        <w:tblPrEx>
          <w:tblW w:w="4904" w:type="pct"/>
          <w:tblLook w:val="04A0"/>
        </w:tblPrEx>
        <w:trPr>
          <w:trHeight w:val="120"/>
        </w:trPr>
        <w:tc>
          <w:tcPr>
            <w:tcW w:w="1374" w:type="pct"/>
            <w:vMerge/>
            <w:tcBorders>
              <w:right w:val="single" w:sz="4" w:space="0" w:color="046B5C"/>
            </w:tcBorders>
          </w:tcPr>
          <w:p w:rsidR="00932016" w:rsidRPr="00B272FD" w:rsidP="00932016" w14:paraId="217C3FD3" w14:textId="77777777">
            <w:pPr>
              <w:pStyle w:val="TableTextLeft"/>
              <w:spacing w:before="0" w:after="0" w:line="276" w:lineRule="auto"/>
              <w:rPr>
                <w:rFonts w:eastAsia="Times New Roman" w:asciiTheme="minorHAnsi" w:hAnsiTheme="minorHAnsi" w:cstheme="minorHAnsi"/>
                <w:sz w:val="20"/>
                <w:szCs w:val="20"/>
              </w:rPr>
            </w:pPr>
          </w:p>
        </w:tc>
        <w:tc>
          <w:tcPr>
            <w:tcW w:w="1469" w:type="pct"/>
            <w:tcBorders>
              <w:top w:val="single" w:sz="4" w:space="0" w:color="1F497D" w:themeColor="text2"/>
              <w:left w:val="single" w:sz="4" w:space="0" w:color="046B5C"/>
              <w:bottom w:val="single" w:sz="4" w:space="0" w:color="1F497D" w:themeColor="text2"/>
            </w:tcBorders>
          </w:tcPr>
          <w:p w:rsidR="00932016" w:rsidRPr="00B272FD" w:rsidP="00932016" w14:paraId="36A9386D" w14:textId="49A9A0DC">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Mode</w:t>
            </w:r>
          </w:p>
        </w:tc>
        <w:tc>
          <w:tcPr>
            <w:tcW w:w="2157" w:type="pct"/>
          </w:tcPr>
          <w:p w:rsidR="00932016" w:rsidRPr="00B272FD" w:rsidP="00932016" w14:paraId="14E67EF9" w14:textId="72221458">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In-person</w:t>
            </w:r>
          </w:p>
        </w:tc>
      </w:tr>
      <w:tr w14:paraId="0B3A1DA7" w14:textId="77777777" w:rsidTr="00932016">
        <w:tblPrEx>
          <w:tblW w:w="4904" w:type="pct"/>
          <w:tblLook w:val="04A0"/>
        </w:tblPrEx>
        <w:trPr>
          <w:trHeight w:val="120"/>
        </w:trPr>
        <w:tc>
          <w:tcPr>
            <w:tcW w:w="1374" w:type="pct"/>
            <w:vMerge/>
            <w:tcBorders>
              <w:right w:val="single" w:sz="4" w:space="0" w:color="046B5C"/>
            </w:tcBorders>
          </w:tcPr>
          <w:p w:rsidR="00932016" w:rsidRPr="00B272FD" w:rsidP="00932016" w14:paraId="004DD62C" w14:textId="77777777">
            <w:pPr>
              <w:pStyle w:val="TableTextLeft"/>
              <w:spacing w:before="0" w:after="0" w:line="276" w:lineRule="auto"/>
              <w:rPr>
                <w:rFonts w:eastAsia="Times New Roman" w:asciiTheme="minorHAnsi" w:hAnsiTheme="minorHAnsi" w:cstheme="minorHAnsi"/>
                <w:sz w:val="20"/>
                <w:szCs w:val="20"/>
              </w:rPr>
            </w:pPr>
          </w:p>
        </w:tc>
        <w:tc>
          <w:tcPr>
            <w:tcW w:w="1469" w:type="pct"/>
            <w:tcBorders>
              <w:top w:val="single" w:sz="4" w:space="0" w:color="1F497D" w:themeColor="text2"/>
              <w:left w:val="single" w:sz="4" w:space="0" w:color="046B5C"/>
              <w:bottom w:val="single" w:sz="4" w:space="0" w:color="1F497D" w:themeColor="text2"/>
            </w:tcBorders>
          </w:tcPr>
          <w:p w:rsidR="00932016" w:rsidRPr="00B272FD" w:rsidP="00932016" w14:paraId="451DF9E0" w14:textId="0B8CEEFE">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Time</w:t>
            </w:r>
          </w:p>
        </w:tc>
        <w:tc>
          <w:tcPr>
            <w:tcW w:w="2157" w:type="pct"/>
          </w:tcPr>
          <w:p w:rsidR="00932016" w:rsidRPr="00B272FD" w:rsidP="00932016" w14:paraId="2A07E071" w14:textId="064F4D30">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9</w:t>
            </w:r>
            <w:r w:rsidRPr="00B272FD">
              <w:rPr>
                <w:rFonts w:eastAsia="Times New Roman" w:asciiTheme="minorHAnsi" w:hAnsiTheme="minorHAnsi" w:cstheme="minorHAnsi"/>
                <w:sz w:val="20"/>
                <w:szCs w:val="20"/>
              </w:rPr>
              <w:t>0 minutes</w:t>
            </w:r>
          </w:p>
        </w:tc>
      </w:tr>
      <w:tr w14:paraId="3D853BA4" w14:textId="77777777" w:rsidTr="00B81040">
        <w:tblPrEx>
          <w:tblW w:w="4904" w:type="pct"/>
          <w:tblLook w:val="04A0"/>
        </w:tblPrEx>
        <w:trPr>
          <w:trHeight w:val="120"/>
        </w:trPr>
        <w:tc>
          <w:tcPr>
            <w:tcW w:w="1374" w:type="pct"/>
            <w:vMerge/>
            <w:tcBorders>
              <w:bottom w:val="single" w:sz="8" w:space="0" w:color="auto"/>
              <w:right w:val="single" w:sz="4" w:space="0" w:color="046B5C"/>
            </w:tcBorders>
          </w:tcPr>
          <w:p w:rsidR="00932016" w:rsidRPr="00B272FD" w:rsidP="00D71AC1" w14:paraId="4F9057E6" w14:textId="77777777">
            <w:pPr>
              <w:pStyle w:val="TableTextLeft"/>
              <w:spacing w:before="0" w:after="0" w:line="276" w:lineRule="auto"/>
              <w:rPr>
                <w:rFonts w:eastAsia="Times New Roman" w:asciiTheme="minorHAnsi" w:hAnsiTheme="minorHAnsi" w:cstheme="minorHAnsi"/>
                <w:sz w:val="20"/>
                <w:szCs w:val="20"/>
              </w:rPr>
            </w:pPr>
          </w:p>
        </w:tc>
        <w:tc>
          <w:tcPr>
            <w:tcW w:w="1469" w:type="pct"/>
            <w:tcBorders>
              <w:top w:val="single" w:sz="4" w:space="0" w:color="1F497D" w:themeColor="text2"/>
              <w:left w:val="single" w:sz="4" w:space="0" w:color="046B5C"/>
              <w:bottom w:val="single" w:sz="8" w:space="0" w:color="auto"/>
            </w:tcBorders>
          </w:tcPr>
          <w:p w:rsidR="00932016" w:rsidRPr="00B272FD" w:rsidP="00D71AC1" w14:paraId="6F88F04A" w14:textId="354B0807">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Frequency</w:t>
            </w:r>
          </w:p>
        </w:tc>
        <w:tc>
          <w:tcPr>
            <w:tcW w:w="2157" w:type="pct"/>
            <w:tcBorders>
              <w:bottom w:val="single" w:sz="8" w:space="0" w:color="auto"/>
            </w:tcBorders>
          </w:tcPr>
          <w:p w:rsidR="00932016" w:rsidRPr="00B272FD" w:rsidP="00D71AC1" w14:paraId="737729A3" w14:textId="1A7FB4E9">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1</w:t>
            </w:r>
          </w:p>
        </w:tc>
      </w:tr>
      <w:tr w14:paraId="2D823515" w14:textId="77777777" w:rsidTr="00B81040">
        <w:tblPrEx>
          <w:tblW w:w="4904" w:type="pct"/>
          <w:tblLook w:val="04A0"/>
        </w:tblPrEx>
        <w:trPr>
          <w:trHeight w:val="120"/>
        </w:trPr>
        <w:tc>
          <w:tcPr>
            <w:tcW w:w="1374" w:type="pct"/>
            <w:vMerge w:val="restart"/>
            <w:tcBorders>
              <w:top w:val="single" w:sz="8" w:space="0" w:color="auto"/>
              <w:right w:val="single" w:sz="4" w:space="0" w:color="046B5C"/>
            </w:tcBorders>
          </w:tcPr>
          <w:p w:rsidR="00B81040" w:rsidRPr="00B272FD" w:rsidP="00FA7F1C" w14:paraId="3B4DCBEF" w14:textId="431C3949">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 xml:space="preserve">Site visit interviews with </w:t>
            </w:r>
            <w:r w:rsidRPr="00B272FD" w:rsidR="00B272FD">
              <w:rPr>
                <w:rFonts w:eastAsia="Times New Roman" w:asciiTheme="minorHAnsi" w:hAnsiTheme="minorHAnsi" w:cstheme="minorHAnsi"/>
                <w:sz w:val="20"/>
                <w:szCs w:val="20"/>
              </w:rPr>
              <w:t xml:space="preserve">program </w:t>
            </w:r>
            <w:r w:rsidRPr="00B272FD">
              <w:rPr>
                <w:rFonts w:eastAsia="Times New Roman" w:asciiTheme="minorHAnsi" w:hAnsiTheme="minorHAnsi" w:cstheme="minorHAnsi"/>
                <w:sz w:val="20"/>
                <w:szCs w:val="20"/>
              </w:rPr>
              <w:t xml:space="preserve">facilitators </w:t>
            </w:r>
          </w:p>
        </w:tc>
        <w:tc>
          <w:tcPr>
            <w:tcW w:w="1469" w:type="pct"/>
            <w:tcBorders>
              <w:top w:val="single" w:sz="8" w:space="0" w:color="auto"/>
              <w:left w:val="single" w:sz="4" w:space="0" w:color="046B5C"/>
              <w:bottom w:val="single" w:sz="4" w:space="0" w:color="1F497D" w:themeColor="text2"/>
            </w:tcBorders>
          </w:tcPr>
          <w:p w:rsidR="00B81040" w:rsidRPr="00B272FD" w:rsidP="00FA7F1C" w14:paraId="329562FF" w14:textId="34734D8F">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Total participants</w:t>
            </w:r>
          </w:p>
        </w:tc>
        <w:tc>
          <w:tcPr>
            <w:tcW w:w="2157" w:type="pct"/>
            <w:tcBorders>
              <w:top w:val="single" w:sz="8" w:space="0" w:color="auto"/>
            </w:tcBorders>
          </w:tcPr>
          <w:p w:rsidR="00B81040" w:rsidRPr="00B272FD" w:rsidP="00FA7F1C" w14:paraId="28039BF1" w14:textId="0AF807DB">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15</w:t>
            </w:r>
          </w:p>
        </w:tc>
      </w:tr>
      <w:tr w14:paraId="5A52470A" w14:textId="77777777" w:rsidTr="00932016">
        <w:tblPrEx>
          <w:tblW w:w="4904" w:type="pct"/>
          <w:tblLook w:val="04A0"/>
        </w:tblPrEx>
        <w:trPr>
          <w:trHeight w:val="120"/>
        </w:trPr>
        <w:tc>
          <w:tcPr>
            <w:tcW w:w="1374" w:type="pct"/>
            <w:vMerge/>
            <w:tcBorders>
              <w:right w:val="single" w:sz="4" w:space="0" w:color="046B5C"/>
            </w:tcBorders>
          </w:tcPr>
          <w:p w:rsidR="00B81040" w:rsidRPr="00B272FD" w:rsidP="00FA7F1C" w14:paraId="44DD6449" w14:textId="77777777">
            <w:pPr>
              <w:pStyle w:val="TableTextLeft"/>
              <w:spacing w:before="0" w:after="0" w:line="276" w:lineRule="auto"/>
              <w:rPr>
                <w:rFonts w:eastAsia="Times New Roman" w:asciiTheme="minorHAnsi" w:hAnsiTheme="minorHAnsi" w:cstheme="minorHAnsi"/>
                <w:sz w:val="20"/>
                <w:szCs w:val="20"/>
              </w:rPr>
            </w:pPr>
          </w:p>
        </w:tc>
        <w:tc>
          <w:tcPr>
            <w:tcW w:w="1469" w:type="pct"/>
            <w:tcBorders>
              <w:top w:val="single" w:sz="4" w:space="0" w:color="1F497D" w:themeColor="text2"/>
              <w:left w:val="single" w:sz="4" w:space="0" w:color="046B5C"/>
              <w:bottom w:val="single" w:sz="4" w:space="0" w:color="1F497D" w:themeColor="text2"/>
            </w:tcBorders>
          </w:tcPr>
          <w:p w:rsidR="00B81040" w:rsidRPr="00B272FD" w:rsidP="00FA7F1C" w14:paraId="7C5D1D15" w14:textId="4C19931E">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Mode</w:t>
            </w:r>
          </w:p>
        </w:tc>
        <w:tc>
          <w:tcPr>
            <w:tcW w:w="2157" w:type="pct"/>
          </w:tcPr>
          <w:p w:rsidR="00B81040" w:rsidRPr="00B272FD" w:rsidP="00FA7F1C" w14:paraId="1B31A34B" w14:textId="0C2DCB34">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In-person</w:t>
            </w:r>
          </w:p>
        </w:tc>
      </w:tr>
      <w:tr w14:paraId="4264600F" w14:textId="77777777" w:rsidTr="00932016">
        <w:tblPrEx>
          <w:tblW w:w="4904" w:type="pct"/>
          <w:tblLook w:val="04A0"/>
        </w:tblPrEx>
        <w:trPr>
          <w:trHeight w:val="120"/>
        </w:trPr>
        <w:tc>
          <w:tcPr>
            <w:tcW w:w="1374" w:type="pct"/>
            <w:vMerge/>
            <w:tcBorders>
              <w:right w:val="single" w:sz="4" w:space="0" w:color="046B5C"/>
            </w:tcBorders>
          </w:tcPr>
          <w:p w:rsidR="00B81040" w:rsidRPr="00B272FD" w:rsidP="00FA7F1C" w14:paraId="589600C8" w14:textId="77777777">
            <w:pPr>
              <w:pStyle w:val="TableTextLeft"/>
              <w:spacing w:before="0" w:after="0" w:line="276" w:lineRule="auto"/>
              <w:rPr>
                <w:rFonts w:eastAsia="Times New Roman" w:asciiTheme="minorHAnsi" w:hAnsiTheme="minorHAnsi" w:cstheme="minorHAnsi"/>
                <w:sz w:val="20"/>
                <w:szCs w:val="20"/>
              </w:rPr>
            </w:pPr>
          </w:p>
        </w:tc>
        <w:tc>
          <w:tcPr>
            <w:tcW w:w="1469" w:type="pct"/>
            <w:tcBorders>
              <w:top w:val="single" w:sz="4" w:space="0" w:color="1F497D" w:themeColor="text2"/>
              <w:left w:val="single" w:sz="4" w:space="0" w:color="046B5C"/>
              <w:bottom w:val="single" w:sz="4" w:space="0" w:color="1F497D" w:themeColor="text2"/>
            </w:tcBorders>
          </w:tcPr>
          <w:p w:rsidR="00B81040" w:rsidRPr="00B272FD" w:rsidP="00FA7F1C" w14:paraId="0DA8D38C" w14:textId="53D9538B">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Time</w:t>
            </w:r>
          </w:p>
        </w:tc>
        <w:tc>
          <w:tcPr>
            <w:tcW w:w="2157" w:type="pct"/>
          </w:tcPr>
          <w:p w:rsidR="00B81040" w:rsidRPr="00B272FD" w:rsidP="00FA7F1C" w14:paraId="20C86200" w14:textId="5366EA8A">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60 minutes</w:t>
            </w:r>
          </w:p>
        </w:tc>
      </w:tr>
      <w:tr w14:paraId="0CD81478" w14:textId="77777777" w:rsidTr="00B81040">
        <w:tblPrEx>
          <w:tblW w:w="4904" w:type="pct"/>
          <w:tblLook w:val="04A0"/>
        </w:tblPrEx>
        <w:trPr>
          <w:trHeight w:val="332"/>
        </w:trPr>
        <w:tc>
          <w:tcPr>
            <w:tcW w:w="1374" w:type="pct"/>
            <w:vMerge/>
            <w:tcBorders>
              <w:bottom w:val="single" w:sz="8" w:space="0" w:color="auto"/>
              <w:right w:val="single" w:sz="4" w:space="0" w:color="046B5C"/>
            </w:tcBorders>
          </w:tcPr>
          <w:p w:rsidR="00B81040" w:rsidRPr="00B272FD" w:rsidP="00FA7F1C" w14:paraId="78ABF79C" w14:textId="77777777">
            <w:pPr>
              <w:pStyle w:val="TableTextLeft"/>
              <w:spacing w:before="0" w:after="0" w:line="276" w:lineRule="auto"/>
              <w:rPr>
                <w:rFonts w:eastAsia="Times New Roman" w:asciiTheme="minorHAnsi" w:hAnsiTheme="minorHAnsi" w:cstheme="minorHAnsi"/>
                <w:sz w:val="20"/>
                <w:szCs w:val="20"/>
              </w:rPr>
            </w:pPr>
          </w:p>
        </w:tc>
        <w:tc>
          <w:tcPr>
            <w:tcW w:w="1469" w:type="pct"/>
            <w:tcBorders>
              <w:top w:val="single" w:sz="4" w:space="0" w:color="1F497D" w:themeColor="text2"/>
              <w:left w:val="single" w:sz="4" w:space="0" w:color="046B5C"/>
              <w:bottom w:val="single" w:sz="8" w:space="0" w:color="auto"/>
            </w:tcBorders>
          </w:tcPr>
          <w:p w:rsidR="00B81040" w:rsidRPr="00B272FD" w:rsidP="00FA7F1C" w14:paraId="78471F8B" w14:textId="2E409151">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Frequency</w:t>
            </w:r>
          </w:p>
        </w:tc>
        <w:tc>
          <w:tcPr>
            <w:tcW w:w="2157" w:type="pct"/>
            <w:tcBorders>
              <w:bottom w:val="single" w:sz="8" w:space="0" w:color="auto"/>
            </w:tcBorders>
          </w:tcPr>
          <w:p w:rsidR="00B81040" w:rsidRPr="00B272FD" w:rsidP="00FA7F1C" w14:paraId="5B920BB5" w14:textId="7E139A74">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1</w:t>
            </w:r>
          </w:p>
        </w:tc>
      </w:tr>
      <w:tr w14:paraId="4727C07B" w14:textId="77777777" w:rsidTr="00B81040">
        <w:tblPrEx>
          <w:tblW w:w="4904" w:type="pct"/>
          <w:tblLook w:val="04A0"/>
        </w:tblPrEx>
        <w:trPr>
          <w:trHeight w:val="120"/>
        </w:trPr>
        <w:tc>
          <w:tcPr>
            <w:tcW w:w="1374" w:type="pct"/>
            <w:vMerge w:val="restart"/>
            <w:tcBorders>
              <w:top w:val="single" w:sz="8" w:space="0" w:color="auto"/>
              <w:right w:val="single" w:sz="4" w:space="0" w:color="046B5C"/>
            </w:tcBorders>
          </w:tcPr>
          <w:p w:rsidR="00B81040" w:rsidRPr="00B272FD" w:rsidP="00FA7F1C" w14:paraId="7C73DFCA" w14:textId="2708E9BA">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 xml:space="preserve">Site visit focus groups with community members </w:t>
            </w:r>
          </w:p>
        </w:tc>
        <w:tc>
          <w:tcPr>
            <w:tcW w:w="1469" w:type="pct"/>
            <w:tcBorders>
              <w:top w:val="single" w:sz="8" w:space="0" w:color="auto"/>
              <w:left w:val="single" w:sz="4" w:space="0" w:color="046B5C"/>
              <w:bottom w:val="single" w:sz="4" w:space="0" w:color="1F497D" w:themeColor="text2"/>
            </w:tcBorders>
          </w:tcPr>
          <w:p w:rsidR="00B81040" w:rsidRPr="00B272FD" w:rsidP="00FA7F1C" w14:paraId="045D4F8F" w14:textId="5BD5B0FA">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Total participants</w:t>
            </w:r>
          </w:p>
        </w:tc>
        <w:tc>
          <w:tcPr>
            <w:tcW w:w="2157" w:type="pct"/>
            <w:tcBorders>
              <w:top w:val="single" w:sz="8" w:space="0" w:color="auto"/>
            </w:tcBorders>
          </w:tcPr>
          <w:p w:rsidR="00B81040" w:rsidRPr="00B272FD" w:rsidP="00FA7F1C" w14:paraId="0AC1C824" w14:textId="7976FCCB">
            <w:pPr>
              <w:pStyle w:val="TableTextLeft"/>
              <w:spacing w:before="0" w:after="0" w:line="276" w:lineRule="auto"/>
              <w:rPr>
                <w:rFonts w:asciiTheme="minorHAnsi" w:hAnsiTheme="minorHAnsi" w:cstheme="minorHAnsi"/>
                <w:sz w:val="20"/>
                <w:szCs w:val="20"/>
              </w:rPr>
            </w:pPr>
            <w:r w:rsidRPr="00B272FD">
              <w:rPr>
                <w:rFonts w:asciiTheme="minorHAnsi" w:hAnsiTheme="minorHAnsi" w:cstheme="minorHAnsi"/>
                <w:sz w:val="20"/>
                <w:szCs w:val="20"/>
              </w:rPr>
              <w:t>30</w:t>
            </w:r>
          </w:p>
        </w:tc>
      </w:tr>
      <w:tr w14:paraId="5860CD42" w14:textId="77777777" w:rsidTr="00932016">
        <w:tblPrEx>
          <w:tblW w:w="4904" w:type="pct"/>
          <w:tblLook w:val="04A0"/>
        </w:tblPrEx>
        <w:trPr>
          <w:trHeight w:val="120"/>
        </w:trPr>
        <w:tc>
          <w:tcPr>
            <w:tcW w:w="1374" w:type="pct"/>
            <w:vMerge/>
            <w:tcBorders>
              <w:right w:val="single" w:sz="4" w:space="0" w:color="046B5C"/>
            </w:tcBorders>
          </w:tcPr>
          <w:p w:rsidR="00B81040" w:rsidRPr="00B272FD" w:rsidP="00FA7F1C" w14:paraId="5B0FF963" w14:textId="77777777">
            <w:pPr>
              <w:pStyle w:val="TableTextLeft"/>
              <w:spacing w:before="0" w:after="0" w:line="276" w:lineRule="auto"/>
              <w:rPr>
                <w:rFonts w:eastAsia="Times New Roman" w:asciiTheme="minorHAnsi" w:hAnsiTheme="minorHAnsi" w:cstheme="minorHAnsi"/>
                <w:sz w:val="20"/>
                <w:szCs w:val="20"/>
              </w:rPr>
            </w:pPr>
          </w:p>
        </w:tc>
        <w:tc>
          <w:tcPr>
            <w:tcW w:w="1469" w:type="pct"/>
            <w:tcBorders>
              <w:top w:val="single" w:sz="4" w:space="0" w:color="1F497D" w:themeColor="text2"/>
              <w:left w:val="single" w:sz="4" w:space="0" w:color="046B5C"/>
              <w:bottom w:val="single" w:sz="4" w:space="0" w:color="1F497D" w:themeColor="text2"/>
            </w:tcBorders>
          </w:tcPr>
          <w:p w:rsidR="00B81040" w:rsidRPr="00B272FD" w:rsidP="00FA7F1C" w14:paraId="0EDF287B" w14:textId="21D94702">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Mode</w:t>
            </w:r>
          </w:p>
        </w:tc>
        <w:tc>
          <w:tcPr>
            <w:tcW w:w="2157" w:type="pct"/>
          </w:tcPr>
          <w:p w:rsidR="00B81040" w:rsidRPr="00B272FD" w:rsidP="00FA7F1C" w14:paraId="22209E2C" w14:textId="2785E235">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In-person</w:t>
            </w:r>
          </w:p>
        </w:tc>
      </w:tr>
      <w:tr w14:paraId="4383C7EE" w14:textId="77777777" w:rsidTr="00932016">
        <w:tblPrEx>
          <w:tblW w:w="4904" w:type="pct"/>
          <w:tblLook w:val="04A0"/>
        </w:tblPrEx>
        <w:trPr>
          <w:trHeight w:val="120"/>
        </w:trPr>
        <w:tc>
          <w:tcPr>
            <w:tcW w:w="1374" w:type="pct"/>
            <w:vMerge/>
            <w:tcBorders>
              <w:right w:val="single" w:sz="4" w:space="0" w:color="046B5C"/>
            </w:tcBorders>
          </w:tcPr>
          <w:p w:rsidR="00B81040" w:rsidRPr="00B272FD" w:rsidP="00FA7F1C" w14:paraId="14AF3D90" w14:textId="77777777">
            <w:pPr>
              <w:pStyle w:val="TableTextLeft"/>
              <w:spacing w:before="0" w:after="0" w:line="276" w:lineRule="auto"/>
              <w:rPr>
                <w:rFonts w:eastAsia="Times New Roman" w:asciiTheme="minorHAnsi" w:hAnsiTheme="minorHAnsi" w:cstheme="minorHAnsi"/>
                <w:sz w:val="20"/>
                <w:szCs w:val="20"/>
              </w:rPr>
            </w:pPr>
          </w:p>
        </w:tc>
        <w:tc>
          <w:tcPr>
            <w:tcW w:w="1469" w:type="pct"/>
            <w:tcBorders>
              <w:top w:val="single" w:sz="4" w:space="0" w:color="1F497D" w:themeColor="text2"/>
              <w:left w:val="single" w:sz="4" w:space="0" w:color="046B5C"/>
              <w:bottom w:val="single" w:sz="4" w:space="0" w:color="1F497D" w:themeColor="text2"/>
            </w:tcBorders>
          </w:tcPr>
          <w:p w:rsidR="00B81040" w:rsidRPr="00B272FD" w:rsidP="00FA7F1C" w14:paraId="21D975F6" w14:textId="5643D3DC">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Time</w:t>
            </w:r>
          </w:p>
        </w:tc>
        <w:tc>
          <w:tcPr>
            <w:tcW w:w="2157" w:type="pct"/>
          </w:tcPr>
          <w:p w:rsidR="00B81040" w:rsidRPr="00B272FD" w:rsidP="00FA7F1C" w14:paraId="2E8F1E22" w14:textId="03237924">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60 minutes</w:t>
            </w:r>
          </w:p>
        </w:tc>
      </w:tr>
      <w:tr w14:paraId="3E487316" w14:textId="77777777" w:rsidTr="00B81040">
        <w:tblPrEx>
          <w:tblW w:w="4904" w:type="pct"/>
          <w:tblLook w:val="04A0"/>
        </w:tblPrEx>
        <w:trPr>
          <w:trHeight w:val="120"/>
        </w:trPr>
        <w:tc>
          <w:tcPr>
            <w:tcW w:w="1374" w:type="pct"/>
            <w:vMerge/>
            <w:tcBorders>
              <w:bottom w:val="single" w:sz="8" w:space="0" w:color="auto"/>
              <w:right w:val="single" w:sz="4" w:space="0" w:color="046B5C"/>
            </w:tcBorders>
          </w:tcPr>
          <w:p w:rsidR="00B81040" w:rsidRPr="00B272FD" w:rsidP="00FA7F1C" w14:paraId="777448CF" w14:textId="77777777">
            <w:pPr>
              <w:pStyle w:val="TableTextLeft"/>
              <w:spacing w:before="0" w:after="0" w:line="276" w:lineRule="auto"/>
              <w:rPr>
                <w:rFonts w:eastAsia="Times New Roman" w:asciiTheme="minorHAnsi" w:hAnsiTheme="minorHAnsi" w:cstheme="minorHAnsi"/>
                <w:sz w:val="20"/>
                <w:szCs w:val="20"/>
              </w:rPr>
            </w:pPr>
          </w:p>
        </w:tc>
        <w:tc>
          <w:tcPr>
            <w:tcW w:w="1469" w:type="pct"/>
            <w:tcBorders>
              <w:top w:val="single" w:sz="4" w:space="0" w:color="1F497D" w:themeColor="text2"/>
              <w:left w:val="single" w:sz="4" w:space="0" w:color="046B5C"/>
              <w:bottom w:val="single" w:sz="8" w:space="0" w:color="auto"/>
            </w:tcBorders>
          </w:tcPr>
          <w:p w:rsidR="00B81040" w:rsidRPr="00B272FD" w:rsidP="00FA7F1C" w14:paraId="431A17BF" w14:textId="02EB01DE">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Frequency</w:t>
            </w:r>
          </w:p>
        </w:tc>
        <w:tc>
          <w:tcPr>
            <w:tcW w:w="2157" w:type="pct"/>
            <w:tcBorders>
              <w:bottom w:val="single" w:sz="8" w:space="0" w:color="auto"/>
            </w:tcBorders>
          </w:tcPr>
          <w:p w:rsidR="00B81040" w:rsidRPr="00B272FD" w:rsidP="00FA7F1C" w14:paraId="5B0DDF9D" w14:textId="0CB36670">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1</w:t>
            </w:r>
          </w:p>
        </w:tc>
      </w:tr>
      <w:tr w14:paraId="5D36E5DB" w14:textId="77777777" w:rsidTr="00B81040">
        <w:tblPrEx>
          <w:tblW w:w="4904" w:type="pct"/>
          <w:tblLook w:val="04A0"/>
        </w:tblPrEx>
        <w:trPr>
          <w:trHeight w:val="120"/>
        </w:trPr>
        <w:tc>
          <w:tcPr>
            <w:tcW w:w="1374" w:type="pct"/>
            <w:vMerge w:val="restart"/>
            <w:tcBorders>
              <w:top w:val="single" w:sz="8" w:space="0" w:color="auto"/>
              <w:right w:val="single" w:sz="4" w:space="0" w:color="046B5C"/>
            </w:tcBorders>
          </w:tcPr>
          <w:p w:rsidR="00B81040" w:rsidRPr="00B272FD" w:rsidP="00B359B3" w14:paraId="1134A859" w14:textId="39E53EE1">
            <w:pPr>
              <w:pStyle w:val="TableTextLeft"/>
              <w:spacing w:before="0" w:after="0" w:line="276" w:lineRule="auto"/>
              <w:rPr>
                <w:rFonts w:eastAsia="Times New Roman" w:asciiTheme="minorHAnsi" w:hAnsiTheme="minorHAnsi" w:cstheme="minorHAnsi"/>
                <w:sz w:val="20"/>
                <w:szCs w:val="20"/>
              </w:rPr>
            </w:pPr>
            <w:r w:rsidRPr="00B272FD">
              <w:rPr>
                <w:rFonts w:eastAsia="Times New Roman" w:asciiTheme="minorHAnsi" w:hAnsiTheme="minorHAnsi" w:cstheme="minorHAnsi"/>
                <w:sz w:val="20"/>
                <w:szCs w:val="20"/>
              </w:rPr>
              <w:t xml:space="preserve">Site visit focus groups with youth </w:t>
            </w:r>
            <w:r w:rsidR="00B82196">
              <w:rPr>
                <w:rFonts w:eastAsia="Times New Roman" w:asciiTheme="minorHAnsi" w:hAnsiTheme="minorHAnsi" w:cstheme="minorHAnsi"/>
                <w:sz w:val="20"/>
                <w:szCs w:val="20"/>
              </w:rPr>
              <w:t>participants</w:t>
            </w:r>
            <w:r w:rsidRPr="00B272FD" w:rsidR="00B272FD">
              <w:rPr>
                <w:rFonts w:eastAsia="Times New Roman" w:asciiTheme="minorHAnsi" w:hAnsiTheme="minorHAnsi" w:cstheme="minorHAnsi"/>
                <w:sz w:val="20"/>
                <w:szCs w:val="20"/>
              </w:rPr>
              <w:t xml:space="preserve"> in PREP programming </w:t>
            </w:r>
          </w:p>
        </w:tc>
        <w:tc>
          <w:tcPr>
            <w:tcW w:w="1469" w:type="pct"/>
            <w:tcBorders>
              <w:top w:val="single" w:sz="8" w:space="0" w:color="auto"/>
              <w:left w:val="single" w:sz="4" w:space="0" w:color="046B5C"/>
              <w:bottom w:val="single" w:sz="4" w:space="0" w:color="1F497D" w:themeColor="text2"/>
            </w:tcBorders>
          </w:tcPr>
          <w:p w:rsidR="00B81040" w:rsidRPr="00B272FD" w:rsidP="00B359B3" w14:paraId="2C2B16FB" w14:textId="77777777">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Total participants</w:t>
            </w:r>
          </w:p>
        </w:tc>
        <w:tc>
          <w:tcPr>
            <w:tcW w:w="2157" w:type="pct"/>
            <w:tcBorders>
              <w:top w:val="single" w:sz="8" w:space="0" w:color="auto"/>
            </w:tcBorders>
          </w:tcPr>
          <w:p w:rsidR="00B81040" w:rsidRPr="00B272FD" w:rsidP="00B359B3" w14:paraId="0C1D5AF3" w14:textId="77777777">
            <w:pPr>
              <w:pStyle w:val="TableTextLeft"/>
              <w:spacing w:before="0" w:after="0" w:line="276" w:lineRule="auto"/>
              <w:rPr>
                <w:rFonts w:asciiTheme="minorHAnsi" w:hAnsiTheme="minorHAnsi" w:cstheme="minorHAnsi"/>
                <w:sz w:val="20"/>
                <w:szCs w:val="20"/>
              </w:rPr>
            </w:pPr>
            <w:r w:rsidRPr="00B272FD">
              <w:rPr>
                <w:rFonts w:asciiTheme="minorHAnsi" w:hAnsiTheme="minorHAnsi" w:cstheme="minorHAnsi"/>
                <w:sz w:val="20"/>
                <w:szCs w:val="20"/>
              </w:rPr>
              <w:t>30</w:t>
            </w:r>
          </w:p>
        </w:tc>
      </w:tr>
      <w:tr w14:paraId="5BA2C01E" w14:textId="77777777" w:rsidTr="00B359B3">
        <w:tblPrEx>
          <w:tblW w:w="4904" w:type="pct"/>
          <w:tblLook w:val="04A0"/>
        </w:tblPrEx>
        <w:trPr>
          <w:trHeight w:val="120"/>
        </w:trPr>
        <w:tc>
          <w:tcPr>
            <w:tcW w:w="1374" w:type="pct"/>
            <w:vMerge/>
            <w:tcBorders>
              <w:right w:val="single" w:sz="4" w:space="0" w:color="046B5C"/>
            </w:tcBorders>
          </w:tcPr>
          <w:p w:rsidR="00B81040" w:rsidRPr="00B272FD" w:rsidP="00B359B3" w14:paraId="1E1CEAA3" w14:textId="77777777">
            <w:pPr>
              <w:pStyle w:val="TableTextLeft"/>
              <w:spacing w:before="0" w:after="0" w:line="276" w:lineRule="auto"/>
              <w:rPr>
                <w:rFonts w:asciiTheme="minorHAnsi" w:hAnsiTheme="minorHAnsi" w:cstheme="minorHAnsi"/>
                <w:sz w:val="20"/>
                <w:szCs w:val="20"/>
              </w:rPr>
            </w:pPr>
          </w:p>
        </w:tc>
        <w:tc>
          <w:tcPr>
            <w:tcW w:w="1469" w:type="pct"/>
            <w:tcBorders>
              <w:top w:val="single" w:sz="4" w:space="0" w:color="1F497D" w:themeColor="text2"/>
              <w:left w:val="single" w:sz="4" w:space="0" w:color="046B5C"/>
              <w:bottom w:val="single" w:sz="4" w:space="0" w:color="1F497D" w:themeColor="text2"/>
            </w:tcBorders>
          </w:tcPr>
          <w:p w:rsidR="00B81040" w:rsidRPr="00B272FD" w:rsidP="00B359B3" w14:paraId="56622E27" w14:textId="77777777">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Mode</w:t>
            </w:r>
          </w:p>
        </w:tc>
        <w:tc>
          <w:tcPr>
            <w:tcW w:w="2157" w:type="pct"/>
          </w:tcPr>
          <w:p w:rsidR="00B81040" w:rsidRPr="00B272FD" w:rsidP="00B359B3" w14:paraId="0F917E30" w14:textId="77777777">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In-person</w:t>
            </w:r>
          </w:p>
        </w:tc>
      </w:tr>
      <w:tr w14:paraId="78F41329" w14:textId="77777777" w:rsidTr="00B359B3">
        <w:tblPrEx>
          <w:tblW w:w="4904" w:type="pct"/>
          <w:tblLook w:val="04A0"/>
        </w:tblPrEx>
        <w:trPr>
          <w:trHeight w:val="120"/>
        </w:trPr>
        <w:tc>
          <w:tcPr>
            <w:tcW w:w="1374" w:type="pct"/>
            <w:vMerge/>
            <w:tcBorders>
              <w:right w:val="single" w:sz="4" w:space="0" w:color="046B5C"/>
            </w:tcBorders>
          </w:tcPr>
          <w:p w:rsidR="00B81040" w:rsidRPr="00B272FD" w:rsidP="00B359B3" w14:paraId="0DB12015" w14:textId="77777777">
            <w:pPr>
              <w:pStyle w:val="TableTextLeft"/>
              <w:spacing w:before="0" w:after="0" w:line="276" w:lineRule="auto"/>
              <w:rPr>
                <w:rFonts w:asciiTheme="minorHAnsi" w:hAnsiTheme="minorHAnsi" w:cstheme="minorHAnsi"/>
                <w:sz w:val="20"/>
                <w:szCs w:val="20"/>
              </w:rPr>
            </w:pPr>
          </w:p>
        </w:tc>
        <w:tc>
          <w:tcPr>
            <w:tcW w:w="1469" w:type="pct"/>
            <w:tcBorders>
              <w:top w:val="single" w:sz="4" w:space="0" w:color="1F497D" w:themeColor="text2"/>
              <w:left w:val="single" w:sz="4" w:space="0" w:color="046B5C"/>
              <w:bottom w:val="single" w:sz="4" w:space="0" w:color="1F497D" w:themeColor="text2"/>
            </w:tcBorders>
          </w:tcPr>
          <w:p w:rsidR="00B81040" w:rsidRPr="00B272FD" w:rsidP="00B359B3" w14:paraId="5F288FA8" w14:textId="77777777">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Time</w:t>
            </w:r>
          </w:p>
        </w:tc>
        <w:tc>
          <w:tcPr>
            <w:tcW w:w="2157" w:type="pct"/>
          </w:tcPr>
          <w:p w:rsidR="00B81040" w:rsidRPr="00B272FD" w:rsidP="00B359B3" w14:paraId="321C0B8E" w14:textId="77777777">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60 minutes</w:t>
            </w:r>
          </w:p>
        </w:tc>
      </w:tr>
      <w:tr w14:paraId="6DE02443" w14:textId="77777777" w:rsidTr="00B359B3">
        <w:tblPrEx>
          <w:tblW w:w="4904" w:type="pct"/>
          <w:tblLook w:val="04A0"/>
        </w:tblPrEx>
        <w:trPr>
          <w:trHeight w:val="120"/>
        </w:trPr>
        <w:tc>
          <w:tcPr>
            <w:tcW w:w="1374" w:type="pct"/>
            <w:vMerge/>
            <w:tcBorders>
              <w:right w:val="single" w:sz="4" w:space="0" w:color="046B5C"/>
            </w:tcBorders>
          </w:tcPr>
          <w:p w:rsidR="00B81040" w:rsidRPr="00B272FD" w:rsidP="00B359B3" w14:paraId="468FFE29" w14:textId="77777777">
            <w:pPr>
              <w:pStyle w:val="TableTextLeft"/>
              <w:spacing w:before="0" w:after="0" w:line="276" w:lineRule="auto"/>
              <w:rPr>
                <w:rFonts w:asciiTheme="minorHAnsi" w:hAnsiTheme="minorHAnsi" w:cstheme="minorHAnsi"/>
                <w:sz w:val="20"/>
                <w:szCs w:val="20"/>
              </w:rPr>
            </w:pPr>
          </w:p>
        </w:tc>
        <w:tc>
          <w:tcPr>
            <w:tcW w:w="1469" w:type="pct"/>
            <w:tcBorders>
              <w:top w:val="single" w:sz="4" w:space="0" w:color="1F497D" w:themeColor="text2"/>
              <w:left w:val="single" w:sz="4" w:space="0" w:color="046B5C"/>
              <w:bottom w:val="single" w:sz="4" w:space="0" w:color="1F497D" w:themeColor="text2"/>
            </w:tcBorders>
          </w:tcPr>
          <w:p w:rsidR="00B81040" w:rsidRPr="00B272FD" w:rsidP="00B359B3" w14:paraId="1D1644E3" w14:textId="77777777">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Frequency</w:t>
            </w:r>
          </w:p>
        </w:tc>
        <w:tc>
          <w:tcPr>
            <w:tcW w:w="2157" w:type="pct"/>
          </w:tcPr>
          <w:p w:rsidR="00B81040" w:rsidRPr="00B272FD" w:rsidP="00B359B3" w14:paraId="7A5D71B5" w14:textId="77777777">
            <w:pPr>
              <w:pStyle w:val="TableTextLeft"/>
              <w:spacing w:before="0" w:after="0" w:line="276" w:lineRule="auto"/>
              <w:rPr>
                <w:rFonts w:asciiTheme="minorHAnsi" w:hAnsiTheme="minorHAnsi" w:cstheme="minorHAnsi"/>
                <w:sz w:val="20"/>
                <w:szCs w:val="20"/>
              </w:rPr>
            </w:pPr>
            <w:r w:rsidRPr="00B272FD">
              <w:rPr>
                <w:rFonts w:eastAsia="Times New Roman" w:asciiTheme="minorHAnsi" w:hAnsiTheme="minorHAnsi" w:cstheme="minorHAnsi"/>
                <w:sz w:val="20"/>
                <w:szCs w:val="20"/>
              </w:rPr>
              <w:t>1</w:t>
            </w:r>
          </w:p>
        </w:tc>
      </w:tr>
      <w:bookmarkEnd w:id="10"/>
    </w:tbl>
    <w:p w:rsidR="00DF3BDC" w:rsidP="005F7B7D" w14:paraId="2388574E" w14:textId="77777777">
      <w:pPr>
        <w:autoSpaceDE w:val="0"/>
        <w:autoSpaceDN w:val="0"/>
        <w:adjustRightInd w:val="0"/>
        <w:spacing w:after="120"/>
        <w:rPr>
          <w:rFonts w:eastAsia="Times New Roman" w:cstheme="minorHAnsi"/>
          <w:b/>
          <w:bCs/>
        </w:rPr>
      </w:pPr>
    </w:p>
    <w:p w:rsidR="00A77839" w:rsidP="005F7B7D" w14:paraId="2DEE52B5" w14:textId="0B516E41">
      <w:pPr>
        <w:autoSpaceDE w:val="0"/>
        <w:autoSpaceDN w:val="0"/>
        <w:adjustRightInd w:val="0"/>
        <w:spacing w:after="120"/>
        <w:rPr>
          <w:rFonts w:eastAsia="Times New Roman" w:cstheme="minorHAnsi"/>
          <w:b/>
          <w:bCs/>
          <w:color w:val="000000"/>
        </w:rPr>
      </w:pPr>
      <w:r>
        <w:rPr>
          <w:rFonts w:eastAsia="Times New Roman" w:cstheme="minorHAnsi"/>
          <w:b/>
          <w:bCs/>
          <w:color w:val="000000"/>
        </w:rPr>
        <w:t>B7.</w:t>
      </w:r>
      <w:r w:rsidR="000361D4">
        <w:rPr>
          <w:rFonts w:eastAsia="Times New Roman" w:cstheme="minorHAnsi"/>
          <w:color w:val="000000"/>
        </w:rPr>
        <w:tab/>
      </w:r>
      <w:r>
        <w:rPr>
          <w:rFonts w:eastAsia="Times New Roman" w:cstheme="minorHAnsi"/>
          <w:b/>
          <w:bCs/>
          <w:color w:val="000000"/>
        </w:rPr>
        <w:t>Data Handling and Analysis</w:t>
      </w:r>
    </w:p>
    <w:p w:rsidR="00A77839" w:rsidP="00167E58" w14:paraId="2AE7C744" w14:textId="77777777">
      <w:pPr>
        <w:spacing w:after="60"/>
        <w:rPr>
          <w:rFonts w:eastAsia="Times New Roman" w:cstheme="minorHAnsi"/>
          <w:bCs/>
          <w:i/>
          <w:color w:val="000000"/>
        </w:rPr>
      </w:pPr>
      <w:r>
        <w:rPr>
          <w:rFonts w:eastAsia="Times New Roman" w:cstheme="minorHAnsi"/>
          <w:bCs/>
          <w:i/>
          <w:color w:val="000000"/>
        </w:rPr>
        <w:t>Data Handling</w:t>
      </w:r>
    </w:p>
    <w:p w:rsidR="001F20D5" w:rsidRPr="00090FDE" w:rsidP="0040690F" w14:paraId="4D255811" w14:textId="44F63205">
      <w:pPr>
        <w:spacing w:after="0"/>
        <w:rPr>
          <w:rFonts w:eastAsia="Times New Roman" w:cstheme="minorHAnsi"/>
          <w:color w:val="000000"/>
        </w:rPr>
      </w:pPr>
      <w:r w:rsidRPr="00090FDE">
        <w:rPr>
          <w:rFonts w:eastAsia="Times New Roman" w:cstheme="minorHAnsi"/>
          <w:color w:val="000000"/>
        </w:rPr>
        <w:t>Parents and guardians will complete the consent form electronically</w:t>
      </w:r>
      <w:r w:rsidRPr="00090FDE" w:rsidR="0077481B">
        <w:rPr>
          <w:rFonts w:eastAsia="Times New Roman" w:cstheme="minorHAnsi"/>
          <w:color w:val="000000"/>
        </w:rPr>
        <w:t xml:space="preserve"> via </w:t>
      </w:r>
      <w:r w:rsidRPr="00090FDE" w:rsidR="00C3260B">
        <w:rPr>
          <w:rFonts w:eastAsia="Times New Roman" w:cstheme="minorHAnsi"/>
          <w:color w:val="000000"/>
        </w:rPr>
        <w:t>QuestionPro GovCloud</w:t>
      </w:r>
      <w:r w:rsidRPr="00090FDE" w:rsidR="00235B2F">
        <w:rPr>
          <w:rFonts w:eastAsia="Times New Roman" w:cstheme="minorHAnsi"/>
          <w:color w:val="000000"/>
        </w:rPr>
        <w:t xml:space="preserve">. </w:t>
      </w:r>
      <w:r w:rsidRPr="00090FDE" w:rsidR="00A30FB8">
        <w:rPr>
          <w:rFonts w:eastAsia="Times New Roman" w:cstheme="minorHAnsi"/>
          <w:color w:val="000000"/>
        </w:rPr>
        <w:t xml:space="preserve"> </w:t>
      </w:r>
      <w:r w:rsidRPr="00090FDE" w:rsidR="00927738">
        <w:rPr>
          <w:rFonts w:eastAsia="Times New Roman" w:cstheme="minorHAnsi"/>
          <w:color w:val="000000"/>
        </w:rPr>
        <w:t xml:space="preserve">The study team will send each parent or guardian an individualized email with a unique link, which they will follow to complete the consent form. </w:t>
      </w:r>
      <w:r w:rsidRPr="00090FDE" w:rsidR="0077481B">
        <w:rPr>
          <w:rFonts w:eastAsia="Times New Roman" w:cstheme="minorHAnsi"/>
          <w:color w:val="000000"/>
        </w:rPr>
        <w:t>The consent form will include PII (youth and parent</w:t>
      </w:r>
      <w:r w:rsidRPr="00090FDE" w:rsidR="00E078A4">
        <w:rPr>
          <w:rFonts w:eastAsia="Times New Roman" w:cstheme="minorHAnsi"/>
          <w:color w:val="000000"/>
        </w:rPr>
        <w:t>/guardian</w:t>
      </w:r>
      <w:r w:rsidRPr="00090FDE" w:rsidR="0077481B">
        <w:rPr>
          <w:rFonts w:eastAsia="Times New Roman" w:cstheme="minorHAnsi"/>
          <w:color w:val="000000"/>
        </w:rPr>
        <w:t xml:space="preserve"> names, and parent</w:t>
      </w:r>
      <w:r w:rsidRPr="00090FDE" w:rsidR="00E078A4">
        <w:rPr>
          <w:rFonts w:eastAsia="Times New Roman" w:cstheme="minorHAnsi"/>
          <w:color w:val="000000"/>
        </w:rPr>
        <w:t>/guardian</w:t>
      </w:r>
      <w:r w:rsidRPr="00090FDE" w:rsidR="0077481B">
        <w:rPr>
          <w:rFonts w:eastAsia="Times New Roman" w:cstheme="minorHAnsi"/>
          <w:color w:val="000000"/>
        </w:rPr>
        <w:t xml:space="preserve"> </w:t>
      </w:r>
      <w:r w:rsidRPr="00090FDE" w:rsidR="00E078A4">
        <w:rPr>
          <w:rFonts w:eastAsia="Times New Roman" w:cstheme="minorHAnsi"/>
          <w:color w:val="000000"/>
        </w:rPr>
        <w:t>email address and phone number</w:t>
      </w:r>
      <w:r w:rsidRPr="00090FDE" w:rsidR="0077481B">
        <w:rPr>
          <w:rFonts w:eastAsia="Times New Roman" w:cstheme="minorHAnsi"/>
          <w:color w:val="000000"/>
        </w:rPr>
        <w:t xml:space="preserve">). </w:t>
      </w:r>
      <w:r w:rsidRPr="00090FDE" w:rsidR="00A30FB8">
        <w:rPr>
          <w:rFonts w:eastAsia="Times New Roman" w:cstheme="minorHAnsi"/>
          <w:color w:val="000000"/>
        </w:rPr>
        <w:t>QuestionPro GovCloud</w:t>
      </w:r>
      <w:r w:rsidRPr="00090FDE" w:rsidR="00540377">
        <w:rPr>
          <w:rFonts w:eastAsia="Times New Roman" w:cstheme="minorHAnsi"/>
          <w:color w:val="000000"/>
        </w:rPr>
        <w:t xml:space="preserve"> has</w:t>
      </w:r>
      <w:r w:rsidRPr="00090FDE" w:rsidR="0077481B">
        <w:rPr>
          <w:rFonts w:eastAsia="Times New Roman" w:cstheme="minorHAnsi"/>
          <w:color w:val="000000"/>
        </w:rPr>
        <w:t xml:space="preserve"> protections for the security and privacy of all information entered into it</w:t>
      </w:r>
      <w:r w:rsidRPr="00090FDE" w:rsidR="00235B2F">
        <w:rPr>
          <w:rFonts w:eastAsia="Times New Roman" w:cstheme="minorHAnsi"/>
          <w:color w:val="000000"/>
        </w:rPr>
        <w:t xml:space="preserve">.  </w:t>
      </w:r>
      <w:r w:rsidRPr="00090FDE" w:rsidR="00235B2F">
        <w:rPr>
          <w:rFonts w:eastAsia="Times New Roman" w:cstheme="minorHAnsi"/>
          <w:color w:val="000000"/>
        </w:rPr>
        <w:t xml:space="preserve">It </w:t>
      </w:r>
      <w:r w:rsidRPr="00090FDE" w:rsidR="00235B2F">
        <w:rPr>
          <w:rFonts w:eastAsia="Times New Roman" w:cstheme="minorHAnsi"/>
          <w:color w:val="000000"/>
        </w:rPr>
        <w:t xml:space="preserve">is </w:t>
      </w:r>
      <w:r w:rsidRPr="00090FDE" w:rsidR="00235B2F">
        <w:rPr>
          <w:rFonts w:eastAsia="Times New Roman" w:cstheme="minorHAnsi"/>
          <w:color w:val="000000"/>
        </w:rPr>
        <w:t>hosted</w:t>
      </w:r>
      <w:r w:rsidRPr="00090FDE" w:rsidR="00235B2F">
        <w:rPr>
          <w:rFonts w:eastAsia="Times New Roman" w:cstheme="minorHAnsi"/>
          <w:color w:val="000000"/>
        </w:rPr>
        <w:t xml:space="preserve"> in a FedRAMP compliant </w:t>
      </w:r>
      <w:r w:rsidRPr="00090FDE" w:rsidR="00235B2F">
        <w:rPr>
          <w:rFonts w:eastAsia="Times New Roman" w:cstheme="minorHAnsi"/>
          <w:color w:val="000000"/>
        </w:rPr>
        <w:t xml:space="preserve">Gov Cloud </w:t>
      </w:r>
      <w:r w:rsidRPr="00090FDE" w:rsidR="00235B2F">
        <w:rPr>
          <w:rFonts w:eastAsia="Times New Roman" w:cstheme="minorHAnsi"/>
          <w:color w:val="000000"/>
        </w:rPr>
        <w:t>environment</w:t>
      </w:r>
      <w:r w:rsidRPr="00090FDE" w:rsidR="00235B2F">
        <w:rPr>
          <w:rFonts w:eastAsia="Times New Roman" w:cstheme="minorHAnsi"/>
          <w:color w:val="000000"/>
        </w:rPr>
        <w:t>, and it is also</w:t>
      </w:r>
      <w:r w:rsidRPr="00090FDE" w:rsidR="0077481B">
        <w:rPr>
          <w:rFonts w:eastAsia="Times New Roman" w:cstheme="minorHAnsi"/>
          <w:color w:val="000000"/>
        </w:rPr>
        <w:t xml:space="preserve"> compliant with </w:t>
      </w:r>
      <w:r w:rsidRPr="00090FDE" w:rsidR="00A30FB8">
        <w:rPr>
          <w:rFonts w:eastAsia="Times New Roman" w:cstheme="minorHAnsi"/>
          <w:color w:val="000000"/>
        </w:rPr>
        <w:t xml:space="preserve">the General Data Protection Regulation (GDPR), </w:t>
      </w:r>
      <w:r w:rsidRPr="00090FDE" w:rsidR="00A30FB8">
        <w:rPr>
          <w:rFonts w:eastAsia="Times New Roman" w:cstheme="minorHAnsi"/>
          <w:color w:val="000000"/>
        </w:rPr>
        <w:t xml:space="preserve">Section </w:t>
      </w:r>
      <w:r w:rsidRPr="00090FDE" w:rsidR="00A30FB8">
        <w:rPr>
          <w:rFonts w:eastAsia="Times New Roman" w:cstheme="minorHAnsi"/>
          <w:color w:val="000000"/>
        </w:rPr>
        <w:t xml:space="preserve">508, </w:t>
      </w:r>
      <w:r w:rsidRPr="00090FDE" w:rsidR="00A30FB8">
        <w:rPr>
          <w:rFonts w:eastAsia="Times New Roman" w:cstheme="minorHAnsi"/>
          <w:color w:val="000000"/>
        </w:rPr>
        <w:t>ISO 27001, California Consumer Privacy Act (CCPA), Payment Card Industry’s Data Security Standards (PCI - DSS), and FERPA.</w:t>
      </w:r>
      <w:r w:rsidRPr="00090FDE" w:rsidR="00A30FB8">
        <w:rPr>
          <w:rFonts w:eastAsia="Times New Roman" w:cstheme="minorHAnsi"/>
          <w:color w:val="000000"/>
        </w:rPr>
        <w:t xml:space="preserve"> </w:t>
      </w:r>
      <w:bookmarkStart w:id="11" w:name="_Hlk135394953"/>
      <w:r w:rsidRPr="00090FDE" w:rsidR="0077481B">
        <w:rPr>
          <w:rFonts w:eastAsia="Times New Roman" w:cstheme="minorHAnsi"/>
          <w:color w:val="000000"/>
        </w:rPr>
        <w:t>T</w:t>
      </w:r>
      <w:r w:rsidRPr="00090FDE">
        <w:rPr>
          <w:rFonts w:eastAsia="Times New Roman" w:cstheme="minorHAnsi"/>
          <w:color w:val="000000"/>
        </w:rPr>
        <w:t xml:space="preserve">he PII entered into the form will </w:t>
      </w:r>
      <w:r w:rsidRPr="00090FDE">
        <w:rPr>
          <w:rFonts w:eastAsia="Times New Roman" w:cstheme="minorHAnsi"/>
          <w:color w:val="000000"/>
        </w:rPr>
        <w:t>be securely transmitted</w:t>
      </w:r>
      <w:r w:rsidRPr="00090FDE">
        <w:rPr>
          <w:rFonts w:eastAsia="Times New Roman" w:cstheme="minorHAnsi"/>
          <w:color w:val="000000"/>
        </w:rPr>
        <w:t xml:space="preserve"> to the study team with encryption. </w:t>
      </w:r>
      <w:bookmarkEnd w:id="11"/>
      <w:r w:rsidRPr="00090FDE">
        <w:rPr>
          <w:rFonts w:eastAsia="Times New Roman" w:cstheme="minorHAnsi"/>
          <w:color w:val="000000"/>
        </w:rPr>
        <w:t xml:space="preserve">The PII will </w:t>
      </w:r>
      <w:r w:rsidRPr="00090FDE">
        <w:rPr>
          <w:rFonts w:eastAsia="Times New Roman" w:cstheme="minorHAnsi"/>
          <w:color w:val="000000"/>
        </w:rPr>
        <w:t>be saved</w:t>
      </w:r>
      <w:r w:rsidRPr="00090FDE">
        <w:rPr>
          <w:rFonts w:eastAsia="Times New Roman" w:cstheme="minorHAnsi"/>
          <w:color w:val="000000"/>
        </w:rPr>
        <w:t xml:space="preserve"> </w:t>
      </w:r>
      <w:r w:rsidRPr="00090FDE" w:rsidR="00D41FC4">
        <w:rPr>
          <w:rFonts w:eastAsia="Times New Roman" w:cstheme="minorHAnsi"/>
          <w:color w:val="000000"/>
        </w:rPr>
        <w:t>on a secure drive, separate from the data collected through the focus groups.</w:t>
      </w:r>
      <w:r w:rsidRPr="00090FDE">
        <w:rPr>
          <w:rFonts w:eastAsia="Times New Roman" w:cstheme="minorHAnsi"/>
          <w:color w:val="000000"/>
        </w:rPr>
        <w:t xml:space="preserve"> </w:t>
      </w:r>
      <w:r w:rsidRPr="00090FDE" w:rsidR="002E02B6">
        <w:rPr>
          <w:rFonts w:eastAsia="Times New Roman" w:cstheme="minorHAnsi"/>
          <w:color w:val="000000"/>
        </w:rPr>
        <w:t xml:space="preserve">For </w:t>
      </w:r>
      <w:r w:rsidRPr="00090FDE" w:rsidR="00680F6E">
        <w:rPr>
          <w:rFonts w:eastAsia="Times New Roman" w:cstheme="minorHAnsi"/>
          <w:color w:val="000000"/>
        </w:rPr>
        <w:t xml:space="preserve">each </w:t>
      </w:r>
      <w:r w:rsidRPr="00090FDE" w:rsidR="000A3945">
        <w:rPr>
          <w:rFonts w:eastAsia="Times New Roman" w:cstheme="minorHAnsi"/>
          <w:color w:val="000000"/>
        </w:rPr>
        <w:t xml:space="preserve">telephone </w:t>
      </w:r>
      <w:r w:rsidRPr="00090FDE" w:rsidR="002E02B6">
        <w:rPr>
          <w:rFonts w:eastAsia="Times New Roman" w:cstheme="minorHAnsi"/>
          <w:color w:val="000000"/>
        </w:rPr>
        <w:t>interview</w:t>
      </w:r>
      <w:r w:rsidRPr="00090FDE" w:rsidR="00680F6E">
        <w:rPr>
          <w:rFonts w:eastAsia="Times New Roman" w:cstheme="minorHAnsi"/>
          <w:color w:val="000000"/>
        </w:rPr>
        <w:t xml:space="preserve"> and site visit data collection activity</w:t>
      </w:r>
      <w:r w:rsidRPr="00090FDE" w:rsidR="002E02B6">
        <w:rPr>
          <w:rFonts w:eastAsia="Times New Roman" w:cstheme="minorHAnsi"/>
          <w:color w:val="000000"/>
        </w:rPr>
        <w:t>,</w:t>
      </w:r>
      <w:r w:rsidRPr="00090FDE" w:rsidR="00680F6E">
        <w:rPr>
          <w:rFonts w:eastAsia="Times New Roman" w:cstheme="minorHAnsi"/>
          <w:color w:val="000000"/>
        </w:rPr>
        <w:t xml:space="preserve"> we will record </w:t>
      </w:r>
      <w:r w:rsidRPr="00090FDE" w:rsidR="00276CD7">
        <w:rPr>
          <w:rFonts w:eastAsia="Times New Roman" w:cstheme="minorHAnsi"/>
          <w:color w:val="000000"/>
        </w:rPr>
        <w:t>each</w:t>
      </w:r>
      <w:r w:rsidRPr="00090FDE" w:rsidR="00680F6E">
        <w:rPr>
          <w:rFonts w:eastAsia="Times New Roman" w:cstheme="minorHAnsi"/>
          <w:color w:val="000000"/>
        </w:rPr>
        <w:t xml:space="preserve"> interview or focus group</w:t>
      </w:r>
      <w:r w:rsidRPr="00090FDE">
        <w:rPr>
          <w:rFonts w:eastAsia="Times New Roman" w:cstheme="minorHAnsi"/>
          <w:color w:val="000000"/>
        </w:rPr>
        <w:t xml:space="preserve"> if we have respondents’ permission to do so. </w:t>
      </w:r>
    </w:p>
    <w:p w:rsidR="00D479FD" w:rsidRPr="00090FDE" w:rsidP="00167E58" w14:paraId="5E76E1E6" w14:textId="77777777">
      <w:pPr>
        <w:spacing w:after="0"/>
        <w:rPr>
          <w:rFonts w:eastAsia="Times New Roman" w:cstheme="minorHAnsi"/>
          <w:color w:val="000000"/>
        </w:rPr>
      </w:pPr>
    </w:p>
    <w:p w:rsidR="00F24623" w:rsidP="00D479FD" w14:paraId="3E85C2F2" w14:textId="6317779A">
      <w:pPr>
        <w:spacing w:after="0"/>
      </w:pPr>
      <w:r>
        <w:t xml:space="preserve">We will create transcripts of each interview </w:t>
      </w:r>
      <w:r w:rsidR="00BB7DBE">
        <w:t xml:space="preserve">and focus group </w:t>
      </w:r>
      <w:r>
        <w:t>based on the recording (or if a recording is not available, based on the interviewer’s notes). Interviewers</w:t>
      </w:r>
      <w:r w:rsidRPr="00C444F4">
        <w:t xml:space="preserve"> will review transcripts to fix spelling and grammar issues, fill in missing words, and explain unclear terms or phrases in preparation for qualitative coding and analysis.</w:t>
      </w:r>
      <w:r>
        <w:t xml:space="preserve"> The recording and transcript from each interview</w:t>
      </w:r>
      <w:r w:rsidR="002C7CA8">
        <w:t xml:space="preserve"> and focus group</w:t>
      </w:r>
      <w:r>
        <w:t xml:space="preserve"> </w:t>
      </w:r>
      <w:r w:rsidRPr="00C444F4">
        <w:t xml:space="preserve">will </w:t>
      </w:r>
      <w:r w:rsidRPr="00C444F4">
        <w:t>be saved</w:t>
      </w:r>
      <w:r w:rsidRPr="00C444F4">
        <w:t xml:space="preserve"> on a secure drive accessible only to </w:t>
      </w:r>
      <w:r>
        <w:t>study</w:t>
      </w:r>
      <w:r w:rsidRPr="00C444F4">
        <w:t xml:space="preserve"> team members. </w:t>
      </w:r>
    </w:p>
    <w:p w:rsidR="00D479FD" w:rsidRPr="009766B7" w:rsidP="00167E58" w14:paraId="16544735" w14:textId="77777777">
      <w:pPr>
        <w:spacing w:after="0"/>
      </w:pPr>
    </w:p>
    <w:p w:rsidR="00A77839" w:rsidP="00167E58" w14:paraId="23169BDD" w14:textId="77777777">
      <w:pPr>
        <w:spacing w:after="60"/>
        <w:rPr>
          <w:rFonts w:eastAsia="Times New Roman" w:cstheme="minorHAnsi"/>
          <w:bCs/>
          <w:i/>
          <w:color w:val="000000"/>
        </w:rPr>
      </w:pPr>
      <w:r>
        <w:rPr>
          <w:rFonts w:eastAsia="Times New Roman" w:cstheme="minorHAnsi"/>
          <w:bCs/>
          <w:i/>
          <w:color w:val="000000"/>
        </w:rPr>
        <w:t>Data Analysis</w:t>
      </w:r>
    </w:p>
    <w:p w:rsidR="00F24623" w:rsidP="00D479FD" w14:paraId="06544C44" w14:textId="6D26EBB0">
      <w:pPr>
        <w:spacing w:after="0"/>
      </w:pPr>
      <w:r w:rsidRPr="00C444F4">
        <w:t xml:space="preserve">Qualitative data from the transcripts will </w:t>
      </w:r>
      <w:r w:rsidRPr="00C444F4">
        <w:t>be reviewed</w:t>
      </w:r>
      <w:r w:rsidRPr="00C444F4">
        <w:t xml:space="preserve"> for overarching themes and lessons </w:t>
      </w:r>
      <w:r>
        <w:t>on</w:t>
      </w:r>
      <w:r w:rsidRPr="00C444F4">
        <w:t xml:space="preserve"> each of the key topics explored through the virtual discussions.</w:t>
      </w:r>
      <w:r>
        <w:t xml:space="preserve"> The study team will develop a coding scheme based on the </w:t>
      </w:r>
      <w:r w:rsidRPr="009A5D6E">
        <w:t>research</w:t>
      </w:r>
      <w:r>
        <w:t xml:space="preserve"> </w:t>
      </w:r>
      <w:r w:rsidR="00276CD7">
        <w:t>questions</w:t>
      </w:r>
      <w:r>
        <w:t xml:space="preserve"> and topic</w:t>
      </w:r>
      <w:r w:rsidR="00BB7DBE">
        <w:t xml:space="preserve"> guides</w:t>
      </w:r>
      <w:r>
        <w:t>. Moderators will apply the coding scheme to the transcripts and conduct a thematic analysis of the responses under each topic. The task lead</w:t>
      </w:r>
      <w:r w:rsidR="004D2AC7">
        <w:t>s</w:t>
      </w:r>
      <w:r>
        <w:t xml:space="preserve"> will monitor coding and thematic analysis across the team to ensure accuracy and consistency.</w:t>
      </w:r>
    </w:p>
    <w:p w:rsidR="00D479FD" w:rsidRPr="009766B7" w:rsidP="00167E58" w14:paraId="092C9E2D" w14:textId="77777777">
      <w:pPr>
        <w:spacing w:after="0"/>
      </w:pPr>
    </w:p>
    <w:p w:rsidR="00A77839" w:rsidP="00167E58" w14:paraId="2B065EE0" w14:textId="77777777">
      <w:pPr>
        <w:spacing w:after="60"/>
        <w:rPr>
          <w:rFonts w:eastAsia="Times New Roman" w:cstheme="minorHAnsi"/>
          <w:bCs/>
          <w:i/>
          <w:color w:val="000000"/>
        </w:rPr>
      </w:pPr>
      <w:r>
        <w:rPr>
          <w:rFonts w:eastAsia="Times New Roman" w:cstheme="minorHAnsi"/>
          <w:bCs/>
          <w:i/>
          <w:color w:val="000000"/>
        </w:rPr>
        <w:t>Data Use</w:t>
      </w:r>
    </w:p>
    <w:p w:rsidR="00A77839" w:rsidP="00D479FD" w14:paraId="2E727724" w14:textId="523C9753">
      <w:pPr>
        <w:tabs>
          <w:tab w:val="left" w:pos="-720"/>
        </w:tabs>
        <w:suppressAutoHyphens/>
        <w:spacing w:after="0"/>
        <w:rPr>
          <w:bCs/>
        </w:rPr>
      </w:pPr>
      <w:r>
        <w:rPr>
          <w:iCs/>
        </w:rPr>
        <w:t>The d</w:t>
      </w:r>
      <w:r w:rsidRPr="00D255AC" w:rsidR="00C34BA9">
        <w:rPr>
          <w:iCs/>
        </w:rPr>
        <w:t xml:space="preserve">ata collected will </w:t>
      </w:r>
      <w:r w:rsidRPr="00D255AC" w:rsidR="00C34BA9">
        <w:rPr>
          <w:iCs/>
        </w:rPr>
        <w:t>be used</w:t>
      </w:r>
      <w:r w:rsidRPr="00D255AC" w:rsidR="00C34BA9">
        <w:rPr>
          <w:iCs/>
        </w:rPr>
        <w:t xml:space="preserve"> to</w:t>
      </w:r>
      <w:r w:rsidRPr="00D255AC" w:rsidR="009A5D6E">
        <w:rPr>
          <w:rFonts w:cs="Calibri"/>
        </w:rPr>
        <w:t xml:space="preserve"> </w:t>
      </w:r>
      <w:r w:rsidRPr="00D255AC" w:rsidR="00BB7DBE">
        <w:rPr>
          <w:bCs/>
        </w:rPr>
        <w:t>gather information on the dosage of APS topics</w:t>
      </w:r>
      <w:r w:rsidR="00F10013">
        <w:rPr>
          <w:bCs/>
        </w:rPr>
        <w:t xml:space="preserve"> and content</w:t>
      </w:r>
      <w:r w:rsidRPr="00D255AC" w:rsidR="00BB7DBE">
        <w:rPr>
          <w:bCs/>
        </w:rPr>
        <w:t xml:space="preserve"> delivered to youth enrolled in PREP programming as well as on whether the APS topics</w:t>
      </w:r>
      <w:r w:rsidR="00F10013">
        <w:rPr>
          <w:bCs/>
        </w:rPr>
        <w:t xml:space="preserve"> and content</w:t>
      </w:r>
      <w:r w:rsidRPr="00D255AC" w:rsidR="00BB7DBE">
        <w:rPr>
          <w:bCs/>
        </w:rPr>
        <w:t xml:space="preserve"> meet the needs of youth and are culturally relevant. </w:t>
      </w:r>
      <w:r w:rsidR="002C7483">
        <w:rPr>
          <w:bCs/>
        </w:rPr>
        <w:t xml:space="preserve">The data will also </w:t>
      </w:r>
      <w:r w:rsidR="002C7483">
        <w:rPr>
          <w:bCs/>
        </w:rPr>
        <w:t>be used</w:t>
      </w:r>
      <w:r w:rsidR="002C7483">
        <w:rPr>
          <w:bCs/>
        </w:rPr>
        <w:t xml:space="preserve"> to identify potential changes to improve the APS topics. </w:t>
      </w:r>
    </w:p>
    <w:p w:rsidR="00D479FD" w:rsidRPr="009A5D6E" w:rsidP="00167E58" w14:paraId="79863579" w14:textId="77777777">
      <w:pPr>
        <w:tabs>
          <w:tab w:val="left" w:pos="-720"/>
        </w:tabs>
        <w:suppressAutoHyphens/>
        <w:spacing w:after="0"/>
        <w:rPr>
          <w:rFonts w:eastAsia="Times New Roman" w:cstheme="minorHAnsi"/>
          <w:bCs/>
          <w:i/>
          <w:color w:val="000000"/>
        </w:rPr>
      </w:pPr>
    </w:p>
    <w:p w:rsidR="00A77839" w:rsidP="005F7B7D" w14:paraId="785169A8" w14:textId="43B66CD4">
      <w:pPr>
        <w:tabs>
          <w:tab w:val="left" w:pos="-720"/>
        </w:tabs>
        <w:suppressAutoHyphens/>
        <w:spacing w:after="120"/>
        <w:rPr>
          <w:rFonts w:eastAsia="Times New Roman" w:cstheme="minorHAnsi"/>
          <w:bCs/>
          <w:i/>
          <w:color w:val="000000"/>
        </w:rPr>
      </w:pPr>
      <w:r w:rsidRPr="009F77AB">
        <w:rPr>
          <w:iCs/>
        </w:rPr>
        <w:t xml:space="preserve">The </w:t>
      </w:r>
      <w:r w:rsidRPr="009F77AB">
        <w:rPr>
          <w:rFonts w:eastAsia="Times New Roman" w:cstheme="minorHAnsi"/>
        </w:rPr>
        <w:t>findings</w:t>
      </w:r>
      <w:r w:rsidRPr="009F77AB" w:rsidR="00E24C48">
        <w:rPr>
          <w:iCs/>
        </w:rPr>
        <w:t xml:space="preserve"> from this formative </w:t>
      </w:r>
      <w:r w:rsidRPr="009F77AB" w:rsidR="009A5D6E">
        <w:rPr>
          <w:iCs/>
        </w:rPr>
        <w:t>data collection</w:t>
      </w:r>
      <w:r w:rsidRPr="009F77AB">
        <w:rPr>
          <w:iCs/>
        </w:rPr>
        <w:t xml:space="preserve"> will </w:t>
      </w:r>
      <w:r w:rsidRPr="009F77AB" w:rsidR="00E24C48">
        <w:rPr>
          <w:bCs/>
        </w:rPr>
        <w:t>inform</w:t>
      </w:r>
      <w:r w:rsidRPr="009F77AB" w:rsidR="009A5D6E">
        <w:rPr>
          <w:bCs/>
        </w:rPr>
        <w:t xml:space="preserve"> the development of future </w:t>
      </w:r>
      <w:r w:rsidR="00D10080">
        <w:rPr>
          <w:bCs/>
        </w:rPr>
        <w:t>PREP</w:t>
      </w:r>
      <w:r w:rsidRPr="009F77AB" w:rsidR="009A5D6E">
        <w:rPr>
          <w:bCs/>
        </w:rPr>
        <w:t xml:space="preserve"> technical assistance planning and resources for grantees </w:t>
      </w:r>
      <w:r w:rsidR="00BB7DBE">
        <w:rPr>
          <w:bCs/>
        </w:rPr>
        <w:t>providing programming to youth on the APS</w:t>
      </w:r>
      <w:r w:rsidR="00F10013">
        <w:rPr>
          <w:bCs/>
        </w:rPr>
        <w:t>s</w:t>
      </w:r>
      <w:r w:rsidR="0040690F">
        <w:rPr>
          <w:bCs/>
        </w:rPr>
        <w:t>, as well as future ACF learning agendas and research priorities related to the PREP APSs</w:t>
      </w:r>
      <w:r w:rsidRPr="009F77AB" w:rsidR="009A5D6E">
        <w:rPr>
          <w:bCs/>
        </w:rPr>
        <w:t xml:space="preserve">. </w:t>
      </w:r>
      <w:r w:rsidRPr="009F77AB" w:rsidR="005E2ADE">
        <w:rPr>
          <w:iCs/>
        </w:rPr>
        <w:t>The primary purpose of the information collected is not publication,</w:t>
      </w:r>
      <w:r w:rsidR="002632DA">
        <w:rPr>
          <w:iCs/>
        </w:rPr>
        <w:t xml:space="preserve"> though</w:t>
      </w:r>
      <w:r w:rsidRPr="009F77AB" w:rsidR="005E2ADE">
        <w:rPr>
          <w:iCs/>
        </w:rPr>
        <w:t xml:space="preserve"> findings </w:t>
      </w:r>
      <w:r w:rsidRPr="009F77AB" w:rsidR="00147562">
        <w:rPr>
          <w:iCs/>
        </w:rPr>
        <w:t xml:space="preserve">may </w:t>
      </w:r>
      <w:r w:rsidRPr="009F77AB" w:rsidR="005E2ADE">
        <w:rPr>
          <w:iCs/>
        </w:rPr>
        <w:t>be incorporated</w:t>
      </w:r>
      <w:r w:rsidRPr="009F77AB" w:rsidR="005E2ADE">
        <w:rPr>
          <w:iCs/>
        </w:rPr>
        <w:t xml:space="preserve"> into materials that are made publicly available</w:t>
      </w:r>
      <w:r w:rsidRPr="009F77AB" w:rsidR="00147562">
        <w:rPr>
          <w:iCs/>
        </w:rPr>
        <w:t>. For example</w:t>
      </w:r>
      <w:r w:rsidR="001E06A8">
        <w:rPr>
          <w:iCs/>
        </w:rPr>
        <w:t>,</w:t>
      </w:r>
      <w:r w:rsidRPr="009F77AB" w:rsidR="00147562">
        <w:rPr>
          <w:iCs/>
        </w:rPr>
        <w:t xml:space="preserve"> to contextualize </w:t>
      </w:r>
      <w:r w:rsidR="002632DA">
        <w:rPr>
          <w:iCs/>
        </w:rPr>
        <w:t xml:space="preserve">potential </w:t>
      </w:r>
      <w:r w:rsidRPr="009F77AB" w:rsidR="00974B12">
        <w:rPr>
          <w:iCs/>
        </w:rPr>
        <w:t>plans for a future study</w:t>
      </w:r>
      <w:r w:rsidR="002632DA">
        <w:rPr>
          <w:iCs/>
        </w:rPr>
        <w:t xml:space="preserve"> of APS</w:t>
      </w:r>
      <w:r w:rsidR="00F10013">
        <w:rPr>
          <w:iCs/>
        </w:rPr>
        <w:t>s</w:t>
      </w:r>
      <w:r w:rsidRPr="009F77AB" w:rsidR="00974B12">
        <w:rPr>
          <w:iCs/>
        </w:rPr>
        <w:t>, ACF may reference the findings from this formative phase</w:t>
      </w:r>
      <w:r w:rsidRPr="009F77AB" w:rsidR="00974B12">
        <w:rPr>
          <w:iCs/>
        </w:rPr>
        <w:t>.</w:t>
      </w:r>
      <w:r w:rsidR="00974B12">
        <w:rPr>
          <w:iCs/>
        </w:rPr>
        <w:t xml:space="preserve"> </w:t>
      </w:r>
      <w:r w:rsidR="005E2ADE">
        <w:rPr>
          <w:iCs/>
        </w:rPr>
        <w:t xml:space="preserve"> </w:t>
      </w:r>
    </w:p>
    <w:p w:rsidR="00A77839" w:rsidP="005F7B7D" w14:paraId="08750331" w14:textId="520B3278">
      <w:pPr>
        <w:spacing w:after="120"/>
        <w:rPr>
          <w:rFonts w:eastAsia="Times New Roman" w:cstheme="minorHAnsi"/>
        </w:rPr>
      </w:pPr>
      <w:r>
        <w:rPr>
          <w:rFonts w:eastAsia="Times New Roman" w:cstheme="minorHAnsi"/>
          <w:b/>
          <w:bCs/>
        </w:rPr>
        <w:t>B8.</w:t>
      </w:r>
      <w:r w:rsidR="000361D4">
        <w:rPr>
          <w:rFonts w:eastAsia="Times New Roman" w:cstheme="minorHAnsi"/>
          <w:b/>
          <w:bCs/>
        </w:rPr>
        <w:tab/>
      </w:r>
      <w:r>
        <w:rPr>
          <w:rFonts w:eastAsia="Times New Roman" w:cstheme="minorHAnsi"/>
          <w:b/>
          <w:bCs/>
        </w:rPr>
        <w:t>Contact Persons</w:t>
      </w:r>
    </w:p>
    <w:p w:rsidR="00A77839" w:rsidP="005F7B7D" w14:paraId="0C081910" w14:textId="6D37FC01">
      <w:pPr>
        <w:tabs>
          <w:tab w:val="left" w:pos="-720"/>
        </w:tabs>
        <w:suppressAutoHyphens/>
        <w:spacing w:after="120"/>
      </w:pPr>
      <w:r>
        <w:t>In Table B.</w:t>
      </w:r>
      <w:r w:rsidR="006025FC">
        <w:t>2</w:t>
      </w:r>
      <w:r>
        <w:t>, we list the federal and contract staff responsible for the study, including their affiliation and email address.</w:t>
      </w:r>
    </w:p>
    <w:p w:rsidR="00A77839" w:rsidRPr="00661A6A" w:rsidP="00D71AC1" w14:paraId="2DB63F60" w14:textId="62809F3B">
      <w:pPr>
        <w:pStyle w:val="Heading2A"/>
        <w:spacing w:before="40" w:after="40" w:line="276" w:lineRule="auto"/>
        <w:ind w:left="547" w:hanging="547"/>
        <w:rPr>
          <w:rFonts w:cstheme="minorHAnsi"/>
          <w:sz w:val="20"/>
          <w:szCs w:val="20"/>
        </w:rPr>
      </w:pPr>
      <w:r w:rsidRPr="00661A6A">
        <w:rPr>
          <w:rFonts w:cstheme="minorHAnsi"/>
          <w:sz w:val="20"/>
          <w:szCs w:val="20"/>
        </w:rPr>
        <w:t>Table B.</w:t>
      </w:r>
      <w:r w:rsidRPr="00661A6A" w:rsidR="00813F86">
        <w:rPr>
          <w:rFonts w:cstheme="minorHAnsi"/>
          <w:sz w:val="20"/>
          <w:szCs w:val="20"/>
        </w:rPr>
        <w:t>2</w:t>
      </w:r>
      <w:r w:rsidRPr="00661A6A">
        <w:rPr>
          <w:rFonts w:cstheme="minorHAnsi"/>
          <w:sz w:val="20"/>
          <w:szCs w:val="20"/>
        </w:rPr>
        <w:t>. Individuals Responsible for Study</w:t>
      </w:r>
    </w:p>
    <w:tbl>
      <w:tblPr>
        <w:tblW w:w="9630" w:type="dxa"/>
        <w:tblLayout w:type="fixed"/>
        <w:tblLook w:val="0400"/>
      </w:tblPr>
      <w:tblGrid>
        <w:gridCol w:w="2066"/>
        <w:gridCol w:w="4232"/>
        <w:gridCol w:w="3332"/>
      </w:tblGrid>
      <w:tr w14:paraId="042FAF3F" w14:textId="77777777" w:rsidTr="002F6C61">
        <w:tblPrEx>
          <w:tblW w:w="9630" w:type="dxa"/>
          <w:tblLayout w:type="fixed"/>
          <w:tblLook w:val="0400"/>
        </w:tblPrEx>
        <w:tc>
          <w:tcPr>
            <w:tcW w:w="2066" w:type="dxa"/>
            <w:shd w:val="clear" w:color="auto" w:fill="1F497D" w:themeFill="text2"/>
          </w:tcPr>
          <w:p w:rsidR="00A77839" w:rsidRPr="00661A6A" w:rsidP="00D71AC1" w14:paraId="43AA0112" w14:textId="77777777">
            <w:pPr>
              <w:pStyle w:val="TableHeaderCenter"/>
              <w:spacing w:line="276" w:lineRule="auto"/>
              <w:jc w:val="left"/>
              <w:rPr>
                <w:rFonts w:eastAsia="Times New Roman" w:asciiTheme="minorHAnsi" w:hAnsiTheme="minorHAnsi" w:cstheme="minorHAnsi"/>
                <w:b/>
                <w:bCs/>
                <w:szCs w:val="20"/>
              </w:rPr>
            </w:pPr>
            <w:r w:rsidRPr="00661A6A">
              <w:rPr>
                <w:rFonts w:eastAsia="Times New Roman" w:asciiTheme="minorHAnsi" w:hAnsiTheme="minorHAnsi" w:cstheme="minorHAnsi"/>
                <w:b/>
                <w:bCs/>
                <w:szCs w:val="20"/>
              </w:rPr>
              <w:t>Name</w:t>
            </w:r>
          </w:p>
        </w:tc>
        <w:tc>
          <w:tcPr>
            <w:tcW w:w="4232" w:type="dxa"/>
            <w:shd w:val="clear" w:color="auto" w:fill="1F497D" w:themeFill="text2"/>
          </w:tcPr>
          <w:p w:rsidR="00A77839" w:rsidRPr="00661A6A" w:rsidP="00D71AC1" w14:paraId="6BF7D60B" w14:textId="77777777">
            <w:pPr>
              <w:pStyle w:val="TableHeaderCenter"/>
              <w:spacing w:line="276" w:lineRule="auto"/>
              <w:rPr>
                <w:rFonts w:eastAsia="Times New Roman" w:asciiTheme="minorHAnsi" w:hAnsiTheme="minorHAnsi" w:cstheme="minorHAnsi"/>
                <w:b/>
                <w:bCs/>
                <w:szCs w:val="20"/>
              </w:rPr>
            </w:pPr>
            <w:r w:rsidRPr="00661A6A">
              <w:rPr>
                <w:rFonts w:eastAsia="Times New Roman" w:asciiTheme="minorHAnsi" w:hAnsiTheme="minorHAnsi" w:cstheme="minorHAnsi"/>
                <w:b/>
                <w:bCs/>
                <w:szCs w:val="20"/>
              </w:rPr>
              <w:t>Affiliation</w:t>
            </w:r>
          </w:p>
        </w:tc>
        <w:tc>
          <w:tcPr>
            <w:tcW w:w="3332" w:type="dxa"/>
            <w:shd w:val="clear" w:color="auto" w:fill="1F497D" w:themeFill="text2"/>
          </w:tcPr>
          <w:p w:rsidR="00A77839" w:rsidRPr="00661A6A" w:rsidP="00D71AC1" w14:paraId="1DDB6147" w14:textId="77777777">
            <w:pPr>
              <w:pStyle w:val="TableHeaderCenter"/>
              <w:spacing w:line="276" w:lineRule="auto"/>
              <w:rPr>
                <w:rFonts w:eastAsia="Times New Roman" w:asciiTheme="minorHAnsi" w:hAnsiTheme="minorHAnsi" w:cstheme="minorHAnsi"/>
                <w:b/>
                <w:bCs/>
                <w:szCs w:val="20"/>
              </w:rPr>
            </w:pPr>
            <w:r w:rsidRPr="00661A6A">
              <w:rPr>
                <w:rFonts w:eastAsia="Times New Roman" w:asciiTheme="minorHAnsi" w:hAnsiTheme="minorHAnsi" w:cstheme="minorHAnsi"/>
                <w:b/>
                <w:bCs/>
                <w:szCs w:val="20"/>
              </w:rPr>
              <w:t>Email address</w:t>
            </w:r>
          </w:p>
        </w:tc>
      </w:tr>
      <w:tr w14:paraId="55F7CA96" w14:textId="77777777" w:rsidTr="002F6C61">
        <w:tblPrEx>
          <w:tblW w:w="9630" w:type="dxa"/>
          <w:tblLayout w:type="fixed"/>
          <w:tblLook w:val="0400"/>
        </w:tblPrEx>
        <w:trPr>
          <w:trHeight w:val="20"/>
        </w:trPr>
        <w:tc>
          <w:tcPr>
            <w:tcW w:w="2066" w:type="dxa"/>
            <w:tcBorders>
              <w:bottom w:val="single" w:sz="4" w:space="0" w:color="1F497D" w:themeColor="text2"/>
            </w:tcBorders>
            <w:shd w:val="clear" w:color="auto" w:fill="auto"/>
          </w:tcPr>
          <w:p w:rsidR="00A77839" w:rsidRPr="00661A6A" w:rsidP="00D71AC1" w14:paraId="3462BE2F" w14:textId="2BEDFF1A">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 xml:space="preserve">Caryn Blitz </w:t>
            </w:r>
          </w:p>
        </w:tc>
        <w:tc>
          <w:tcPr>
            <w:tcW w:w="4232" w:type="dxa"/>
            <w:tcBorders>
              <w:bottom w:val="single" w:sz="4" w:space="0" w:color="1F497D" w:themeColor="text2"/>
            </w:tcBorders>
            <w:shd w:val="clear" w:color="auto" w:fill="auto"/>
          </w:tcPr>
          <w:p w:rsidR="00A77839" w:rsidRPr="00661A6A" w:rsidP="00D71AC1" w14:paraId="4B26D0B0" w14:textId="77777777">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Office of Planning, Research, and Evaluation</w:t>
            </w:r>
          </w:p>
          <w:p w:rsidR="00A77839" w:rsidRPr="00661A6A" w:rsidP="00D71AC1" w14:paraId="2B20D1F2" w14:textId="77777777">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Administration for Children and Families</w:t>
            </w:r>
          </w:p>
          <w:p w:rsidR="00A77839" w:rsidRPr="00661A6A" w:rsidP="00D71AC1" w14:paraId="2522FADF" w14:textId="77777777">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U.S. Department of Health and Human Services</w:t>
            </w:r>
          </w:p>
        </w:tc>
        <w:tc>
          <w:tcPr>
            <w:tcW w:w="3332" w:type="dxa"/>
            <w:tcBorders>
              <w:bottom w:val="single" w:sz="4" w:space="0" w:color="1F497D" w:themeColor="text2"/>
            </w:tcBorders>
          </w:tcPr>
          <w:p w:rsidR="00A77839" w:rsidRPr="00661A6A" w:rsidP="00D71AC1" w14:paraId="49FEFB34" w14:textId="1F83B6D4">
            <w:pPr>
              <w:pStyle w:val="TableTextLeft"/>
              <w:spacing w:line="276"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C</w:t>
            </w:r>
            <w:r w:rsidRPr="00661A6A" w:rsidR="002072E1">
              <w:rPr>
                <w:rFonts w:eastAsia="Times New Roman" w:asciiTheme="minorHAnsi" w:hAnsiTheme="minorHAnsi" w:cstheme="minorHAnsi"/>
                <w:sz w:val="20"/>
                <w:szCs w:val="20"/>
              </w:rPr>
              <w:t>aryn.</w:t>
            </w:r>
            <w:r>
              <w:rPr>
                <w:rFonts w:eastAsia="Times New Roman" w:asciiTheme="minorHAnsi" w:hAnsiTheme="minorHAnsi" w:cstheme="minorHAnsi"/>
                <w:sz w:val="20"/>
                <w:szCs w:val="20"/>
              </w:rPr>
              <w:t>B</w:t>
            </w:r>
            <w:r w:rsidRPr="00661A6A" w:rsidR="002072E1">
              <w:rPr>
                <w:rFonts w:eastAsia="Times New Roman" w:asciiTheme="minorHAnsi" w:hAnsiTheme="minorHAnsi" w:cstheme="minorHAnsi"/>
                <w:sz w:val="20"/>
                <w:szCs w:val="20"/>
              </w:rPr>
              <w:t>litz@acf.hhs.gov</w:t>
            </w:r>
          </w:p>
        </w:tc>
      </w:tr>
      <w:tr w14:paraId="5E280E1D" w14:textId="77777777" w:rsidTr="002F6C61">
        <w:tblPrEx>
          <w:tblW w:w="9630"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F359C4" w:rsidRPr="00661A6A" w:rsidP="00D71AC1" w14:paraId="58B9780F" w14:textId="3286DE4B">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Tia Brown</w:t>
            </w:r>
          </w:p>
        </w:tc>
        <w:tc>
          <w:tcPr>
            <w:tcW w:w="4232" w:type="dxa"/>
            <w:tcBorders>
              <w:top w:val="single" w:sz="4" w:space="0" w:color="1F497D" w:themeColor="text2"/>
              <w:bottom w:val="single" w:sz="4" w:space="0" w:color="1F497D" w:themeColor="text2"/>
            </w:tcBorders>
            <w:shd w:val="clear" w:color="auto" w:fill="auto"/>
          </w:tcPr>
          <w:p w:rsidR="00F359C4" w:rsidRPr="00661A6A" w:rsidP="00D71AC1" w14:paraId="32C933E0" w14:textId="77777777">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Office of Planning, Research, and Evaluation</w:t>
            </w:r>
          </w:p>
          <w:p w:rsidR="00F359C4" w:rsidRPr="00661A6A" w:rsidP="00D71AC1" w14:paraId="6BD7F881" w14:textId="77777777">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Administration for Children and Families</w:t>
            </w:r>
          </w:p>
          <w:p w:rsidR="00F359C4" w:rsidRPr="00661A6A" w:rsidP="00D71AC1" w14:paraId="5E3FC9DD" w14:textId="57656ECA">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U.S. Department of Health and Human Services</w:t>
            </w:r>
          </w:p>
        </w:tc>
        <w:tc>
          <w:tcPr>
            <w:tcW w:w="3332" w:type="dxa"/>
            <w:tcBorders>
              <w:top w:val="single" w:sz="4" w:space="0" w:color="1F497D" w:themeColor="text2"/>
              <w:bottom w:val="single" w:sz="4" w:space="0" w:color="1F497D" w:themeColor="text2"/>
            </w:tcBorders>
          </w:tcPr>
          <w:p w:rsidR="00F359C4" w:rsidRPr="00661A6A" w:rsidP="00D71AC1" w14:paraId="50300B23" w14:textId="34CE5F07">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Tia.Brown@acf.hhs.gov</w:t>
            </w:r>
          </w:p>
        </w:tc>
      </w:tr>
      <w:tr w14:paraId="47ECBE9A" w14:textId="77777777" w:rsidTr="002F6C61">
        <w:tblPrEx>
          <w:tblW w:w="9630"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A77839" w:rsidRPr="00661A6A" w:rsidP="00D71AC1" w14:paraId="15FA0849" w14:textId="68A3FF91">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Lauren Murphy</w:t>
            </w:r>
          </w:p>
        </w:tc>
        <w:tc>
          <w:tcPr>
            <w:tcW w:w="4232" w:type="dxa"/>
            <w:tcBorders>
              <w:top w:val="single" w:sz="4" w:space="0" w:color="1F497D" w:themeColor="text2"/>
              <w:bottom w:val="single" w:sz="4" w:space="0" w:color="1F497D" w:themeColor="text2"/>
            </w:tcBorders>
            <w:shd w:val="clear" w:color="auto" w:fill="auto"/>
          </w:tcPr>
          <w:p w:rsidR="00A77839" w:rsidRPr="00661A6A" w:rsidP="00D71AC1" w14:paraId="341C857A" w14:textId="3F9186CC">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Mathematica</w:t>
            </w:r>
          </w:p>
        </w:tc>
        <w:tc>
          <w:tcPr>
            <w:tcW w:w="3332" w:type="dxa"/>
            <w:tcBorders>
              <w:top w:val="single" w:sz="4" w:space="0" w:color="1F497D" w:themeColor="text2"/>
              <w:bottom w:val="single" w:sz="4" w:space="0" w:color="1F497D" w:themeColor="text2"/>
            </w:tcBorders>
          </w:tcPr>
          <w:p w:rsidR="00A77839" w:rsidRPr="00661A6A" w:rsidP="00D71AC1" w14:paraId="4539728F" w14:textId="169EC18F">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L</w:t>
            </w:r>
            <w:r w:rsidRPr="00661A6A" w:rsidR="002072E1">
              <w:rPr>
                <w:rFonts w:eastAsia="Times New Roman" w:asciiTheme="minorHAnsi" w:hAnsiTheme="minorHAnsi" w:cstheme="minorHAnsi"/>
                <w:sz w:val="20"/>
                <w:szCs w:val="20"/>
              </w:rPr>
              <w:t>M</w:t>
            </w:r>
            <w:r w:rsidRPr="00661A6A">
              <w:rPr>
                <w:rFonts w:eastAsia="Times New Roman" w:asciiTheme="minorHAnsi" w:hAnsiTheme="minorHAnsi" w:cstheme="minorHAnsi"/>
                <w:sz w:val="20"/>
                <w:szCs w:val="20"/>
              </w:rPr>
              <w:t xml:space="preserve">urphy@mathematica-mpr.com </w:t>
            </w:r>
          </w:p>
        </w:tc>
      </w:tr>
      <w:tr w14:paraId="0FC996B7" w14:textId="77777777" w:rsidTr="002F6C61">
        <w:tblPrEx>
          <w:tblW w:w="9630"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46715B" w:rsidRPr="00661A6A" w:rsidP="0046715B" w14:paraId="6058EDF0" w14:textId="7E835739">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Alicia Meckstroth</w:t>
            </w:r>
          </w:p>
        </w:tc>
        <w:tc>
          <w:tcPr>
            <w:tcW w:w="4232" w:type="dxa"/>
            <w:tcBorders>
              <w:top w:val="single" w:sz="4" w:space="0" w:color="1F497D" w:themeColor="text2"/>
              <w:bottom w:val="single" w:sz="4" w:space="0" w:color="1F497D" w:themeColor="text2"/>
            </w:tcBorders>
            <w:shd w:val="clear" w:color="auto" w:fill="auto"/>
          </w:tcPr>
          <w:p w:rsidR="0046715B" w:rsidRPr="00661A6A" w:rsidP="0046715B" w14:paraId="4EAD01C7" w14:textId="0FB63101">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Mathematica</w:t>
            </w:r>
          </w:p>
        </w:tc>
        <w:tc>
          <w:tcPr>
            <w:tcW w:w="3332" w:type="dxa"/>
            <w:tcBorders>
              <w:top w:val="single" w:sz="4" w:space="0" w:color="1F497D" w:themeColor="text2"/>
              <w:bottom w:val="single" w:sz="4" w:space="0" w:color="1F497D" w:themeColor="text2"/>
            </w:tcBorders>
          </w:tcPr>
          <w:p w:rsidR="0046715B" w:rsidRPr="00661A6A" w:rsidP="0046715B" w14:paraId="5E2A1738" w14:textId="3CF14392">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AMeckstroth@mathematica-mpr.com</w:t>
            </w:r>
          </w:p>
        </w:tc>
      </w:tr>
      <w:tr w14:paraId="0F23647C" w14:textId="77777777" w:rsidTr="002F6C61">
        <w:tblPrEx>
          <w:tblW w:w="9630"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46715B" w:rsidRPr="00661A6A" w:rsidP="0046715B" w14:paraId="0BEE18B0" w14:textId="5B829A40">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Betsy Keating</w:t>
            </w:r>
          </w:p>
        </w:tc>
        <w:tc>
          <w:tcPr>
            <w:tcW w:w="4232" w:type="dxa"/>
            <w:tcBorders>
              <w:top w:val="single" w:sz="4" w:space="0" w:color="1F497D" w:themeColor="text2"/>
              <w:bottom w:val="single" w:sz="4" w:space="0" w:color="1F497D" w:themeColor="text2"/>
            </w:tcBorders>
            <w:shd w:val="clear" w:color="auto" w:fill="auto"/>
          </w:tcPr>
          <w:p w:rsidR="0046715B" w:rsidRPr="00661A6A" w:rsidP="0046715B" w14:paraId="4835D6CD" w14:textId="3C646D81">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Mathematica</w:t>
            </w:r>
          </w:p>
        </w:tc>
        <w:tc>
          <w:tcPr>
            <w:tcW w:w="3332" w:type="dxa"/>
            <w:tcBorders>
              <w:top w:val="single" w:sz="4" w:space="0" w:color="1F497D" w:themeColor="text2"/>
              <w:bottom w:val="single" w:sz="4" w:space="0" w:color="1F497D" w:themeColor="text2"/>
            </w:tcBorders>
          </w:tcPr>
          <w:p w:rsidR="0046715B" w:rsidRPr="00661A6A" w:rsidP="0046715B" w14:paraId="547E5F85" w14:textId="73C9C90C">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EKeating@mathematica-mpr.com</w:t>
            </w:r>
          </w:p>
        </w:tc>
      </w:tr>
      <w:tr w14:paraId="6567523D" w14:textId="77777777" w:rsidTr="002F6C61">
        <w:tblPrEx>
          <w:tblW w:w="9630"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46715B" w:rsidRPr="00661A6A" w:rsidP="0046715B" w14:paraId="02ECA97D" w14:textId="1F32D3BD">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Diana Gates</w:t>
            </w:r>
          </w:p>
        </w:tc>
        <w:tc>
          <w:tcPr>
            <w:tcW w:w="4232" w:type="dxa"/>
            <w:tcBorders>
              <w:top w:val="single" w:sz="4" w:space="0" w:color="1F497D" w:themeColor="text2"/>
              <w:bottom w:val="single" w:sz="4" w:space="0" w:color="1F497D" w:themeColor="text2"/>
            </w:tcBorders>
            <w:shd w:val="clear" w:color="auto" w:fill="auto"/>
          </w:tcPr>
          <w:p w:rsidR="0046715B" w:rsidRPr="00661A6A" w:rsidP="0046715B" w14:paraId="4C2EE2DF" w14:textId="7BF1AF3B">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 xml:space="preserve">Mathematica </w:t>
            </w:r>
          </w:p>
        </w:tc>
        <w:tc>
          <w:tcPr>
            <w:tcW w:w="3332" w:type="dxa"/>
            <w:tcBorders>
              <w:top w:val="single" w:sz="4" w:space="0" w:color="1F497D" w:themeColor="text2"/>
              <w:bottom w:val="single" w:sz="4" w:space="0" w:color="1F497D" w:themeColor="text2"/>
            </w:tcBorders>
          </w:tcPr>
          <w:p w:rsidR="0046715B" w:rsidRPr="00661A6A" w:rsidP="0046715B" w14:paraId="3DC26346" w14:textId="1E96170C">
            <w:pPr>
              <w:pStyle w:val="TableTextLeft"/>
              <w:spacing w:line="276" w:lineRule="auto"/>
              <w:rPr>
                <w:rFonts w:eastAsia="Times New Roman" w:asciiTheme="minorHAnsi" w:hAnsiTheme="minorHAnsi" w:cstheme="minorHAnsi"/>
                <w:sz w:val="20"/>
                <w:szCs w:val="20"/>
              </w:rPr>
            </w:pPr>
            <w:r w:rsidRPr="00661A6A">
              <w:rPr>
                <w:rFonts w:eastAsia="Times New Roman" w:asciiTheme="minorHAnsi" w:hAnsiTheme="minorHAnsi" w:cstheme="minorHAnsi"/>
                <w:sz w:val="20"/>
                <w:szCs w:val="20"/>
              </w:rPr>
              <w:t>DGates@mathematica-mpr.com</w:t>
            </w:r>
          </w:p>
        </w:tc>
      </w:tr>
    </w:tbl>
    <w:p w:rsidR="000361D4" w:rsidRPr="00661A6A" w:rsidP="00F10013" w14:paraId="05514E23" w14:textId="77777777">
      <w:pPr>
        <w:spacing w:after="120"/>
        <w:rPr>
          <w:rFonts w:cstheme="minorHAnsi"/>
          <w:b/>
          <w:sz w:val="20"/>
          <w:szCs w:val="20"/>
        </w:rPr>
      </w:pPr>
    </w:p>
    <w:p w:rsidR="00A77839" w:rsidP="00F10013" w14:paraId="2EB768D1" w14:textId="3DDA934A">
      <w:pPr>
        <w:spacing w:after="120"/>
        <w:rPr>
          <w:b/>
        </w:rPr>
      </w:pPr>
      <w:r>
        <w:rPr>
          <w:b/>
        </w:rPr>
        <w:t>Attachments</w:t>
      </w:r>
    </w:p>
    <w:p w:rsidR="00F10013" w:rsidRPr="00B81040" w:rsidP="00F10013" w14:paraId="1FC0BDA4" w14:textId="77777777">
      <w:pPr>
        <w:spacing w:after="120"/>
        <w:ind w:left="187"/>
        <w:rPr>
          <w:b/>
          <w:bCs/>
        </w:rPr>
      </w:pPr>
      <w:bookmarkStart w:id="12" w:name="_Hlk110439196"/>
      <w:r w:rsidRPr="00B81040">
        <w:rPr>
          <w:b/>
          <w:bCs/>
        </w:rPr>
        <w:t>Appendices</w:t>
      </w:r>
    </w:p>
    <w:p w:rsidR="00F10013" w:rsidP="00F10013" w14:paraId="4037F932" w14:textId="77777777">
      <w:pPr>
        <w:spacing w:after="120"/>
        <w:ind w:left="180"/>
      </w:pPr>
      <w:r w:rsidRPr="00B81040">
        <w:t xml:space="preserve">Appendix A: </w:t>
      </w:r>
      <w:r w:rsidRPr="00EA109E">
        <w:t xml:space="preserve">Telephone Interview Outreach Materials  </w:t>
      </w:r>
    </w:p>
    <w:p w:rsidR="00F10013" w:rsidP="00F10013" w14:paraId="3E5FCAFB" w14:textId="77777777">
      <w:pPr>
        <w:spacing w:after="120"/>
        <w:ind w:left="180"/>
      </w:pPr>
      <w:bookmarkStart w:id="13" w:name="_Hlk127800339"/>
      <w:r>
        <w:t xml:space="preserve">Appendix B: </w:t>
      </w:r>
      <w:bookmarkStart w:id="14" w:name="_Hlk127953941"/>
      <w:r>
        <w:t>Recruitment Materials for Site Visit Focus Groups with Community Members and Youth</w:t>
      </w:r>
      <w:bookmarkEnd w:id="14"/>
    </w:p>
    <w:bookmarkEnd w:id="13"/>
    <w:p w:rsidR="00F10013" w:rsidP="00F10013" w14:paraId="7BFAD486" w14:textId="77777777">
      <w:pPr>
        <w:spacing w:after="120"/>
        <w:ind w:left="180"/>
      </w:pPr>
      <w:r>
        <w:t xml:space="preserve">Appendix C: </w:t>
      </w:r>
      <w:r w:rsidRPr="003E670F">
        <w:t>Parent and Guardian Consent Form for Youth Focus Groups</w:t>
      </w:r>
    </w:p>
    <w:p w:rsidR="00F10013" w:rsidRPr="00B81040" w:rsidP="00F10013" w14:paraId="60B8149C" w14:textId="77777777">
      <w:pPr>
        <w:spacing w:after="120"/>
        <w:ind w:left="180"/>
      </w:pPr>
      <w:r>
        <w:t xml:space="preserve">Appendix D: Youth Assent Form for Youth Focus Groups </w:t>
      </w:r>
    </w:p>
    <w:p w:rsidR="00F10013" w:rsidRPr="00B81040" w:rsidP="00F10013" w14:paraId="10FB8F4C" w14:textId="77777777">
      <w:pPr>
        <w:spacing w:after="120"/>
        <w:ind w:left="187"/>
        <w:rPr>
          <w:b/>
          <w:bCs/>
        </w:rPr>
      </w:pPr>
      <w:r w:rsidRPr="00B81040">
        <w:rPr>
          <w:b/>
          <w:bCs/>
        </w:rPr>
        <w:t>Instruments</w:t>
      </w:r>
    </w:p>
    <w:p w:rsidR="00F10013" w:rsidRPr="00B81040" w:rsidP="00F10013" w14:paraId="1DB51C4C" w14:textId="77777777">
      <w:pPr>
        <w:spacing w:after="120"/>
        <w:ind w:left="180"/>
        <w:rPr>
          <w:rFonts w:eastAsia="Times New Roman"/>
        </w:rPr>
      </w:pPr>
      <w:bookmarkStart w:id="15" w:name="_Hlk126594173"/>
      <w:r w:rsidRPr="00B81040">
        <w:t xml:space="preserve">Instrument </w:t>
      </w:r>
      <w:r w:rsidRPr="00B81040">
        <w:t>1</w:t>
      </w:r>
      <w:r w:rsidRPr="00B81040">
        <w:t xml:space="preserve">. </w:t>
      </w:r>
      <w:r>
        <w:t xml:space="preserve">Telephone </w:t>
      </w:r>
      <w:r w:rsidRPr="00B81040">
        <w:rPr>
          <w:rFonts w:eastAsia="Times New Roman"/>
        </w:rPr>
        <w:t xml:space="preserve">Interview Topic Guide for </w:t>
      </w:r>
      <w:r>
        <w:rPr>
          <w:rFonts w:eastAsia="Times New Roman"/>
        </w:rPr>
        <w:t xml:space="preserve">PREP Grantees and Providers </w:t>
      </w:r>
    </w:p>
    <w:p w:rsidR="00F10013" w:rsidP="00F10013" w14:paraId="480B403D" w14:textId="77777777">
      <w:pPr>
        <w:spacing w:after="120"/>
        <w:ind w:left="180"/>
        <w:rPr>
          <w:rFonts w:ascii="Times New Roman" w:hAnsi="Times New Roman" w:cs="Times New Roman"/>
          <w:sz w:val="24"/>
          <w:szCs w:val="24"/>
        </w:rPr>
      </w:pPr>
      <w:r w:rsidRPr="00B81040">
        <w:rPr>
          <w:rFonts w:eastAsia="Times New Roman"/>
        </w:rPr>
        <w:t xml:space="preserve">Instrument </w:t>
      </w:r>
      <w:r w:rsidRPr="00B81040">
        <w:rPr>
          <w:rFonts w:eastAsia="Times New Roman"/>
        </w:rPr>
        <w:t>2</w:t>
      </w:r>
      <w:r w:rsidRPr="00B81040">
        <w:rPr>
          <w:rFonts w:eastAsia="Times New Roman"/>
        </w:rPr>
        <w:t xml:space="preserve">. </w:t>
      </w:r>
      <w:r>
        <w:rPr>
          <w:rFonts w:eastAsia="Times New Roman"/>
        </w:rPr>
        <w:t xml:space="preserve">Site </w:t>
      </w:r>
      <w:r w:rsidRPr="00B81040">
        <w:rPr>
          <w:rFonts w:eastAsia="Times New Roman"/>
        </w:rPr>
        <w:t xml:space="preserve">Visit </w:t>
      </w:r>
      <w:r>
        <w:rPr>
          <w:rFonts w:eastAsia="Times New Roman"/>
        </w:rPr>
        <w:t>Topic Guide</w:t>
      </w:r>
      <w:r w:rsidRPr="00B81040">
        <w:rPr>
          <w:rFonts w:eastAsia="Times New Roman"/>
        </w:rPr>
        <w:t xml:space="preserve"> </w:t>
      </w:r>
      <w:r>
        <w:rPr>
          <w:rFonts w:eastAsia="Times New Roman"/>
        </w:rPr>
        <w:t xml:space="preserve">for PREP Grantees </w:t>
      </w:r>
    </w:p>
    <w:bookmarkEnd w:id="12"/>
    <w:bookmarkEnd w:id="15"/>
    <w:p w:rsidR="00B81040" w:rsidP="00EB33D0" w14:paraId="55E0529D" w14:textId="74779054">
      <w:pPr>
        <w:spacing w:after="60"/>
        <w:ind w:left="180"/>
        <w:rPr>
          <w:rFonts w:ascii="Times New Roman" w:hAnsi="Times New Roman" w:cs="Times New Roman"/>
          <w:sz w:val="24"/>
          <w:szCs w:val="24"/>
        </w:rPr>
      </w:pP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A77839" w14:paraId="2E05EC81"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A77839" w14:paraId="344ED9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53C8" w14:paraId="68E43F26" w14:textId="77777777">
      <w:pPr>
        <w:spacing w:after="0" w:line="240" w:lineRule="auto"/>
      </w:pPr>
      <w:r>
        <w:separator/>
      </w:r>
    </w:p>
  </w:footnote>
  <w:footnote w:type="continuationSeparator" w:id="1">
    <w:p w:rsidR="00FB53C8" w14:paraId="12A0C612" w14:textId="77777777">
      <w:pPr>
        <w:spacing w:after="0" w:line="240" w:lineRule="auto"/>
      </w:pPr>
      <w:r>
        <w:continuationSeparator/>
      </w:r>
    </w:p>
  </w:footnote>
  <w:footnote w:id="2">
    <w:p w:rsidR="00D479FD" w14:paraId="2EC11802" w14:textId="439BF0A1">
      <w:pPr>
        <w:pStyle w:val="FootnoteText"/>
      </w:pPr>
      <w:r>
        <w:rPr>
          <w:rStyle w:val="FootnoteReference"/>
        </w:rPr>
        <w:footnoteRef/>
      </w:r>
      <w:r>
        <w:t xml:space="preserve"> An extension request is currently in process for these measures with the 60-day comment period currently underway (88 FR 17576)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0EAB" w:rsidP="00C70EAB" w14:paraId="1778900B" w14:textId="77777777">
    <w:pPr>
      <w:spacing w:after="0"/>
      <w:jc w:val="center"/>
      <w:rPr>
        <w:b/>
      </w:rPr>
    </w:pPr>
    <w:r>
      <w:rPr>
        <w:b/>
      </w:rPr>
      <w:t xml:space="preserve">Alternative Supporting Statement Instructions for Information Collections Designed for </w:t>
    </w:r>
  </w:p>
  <w:p w:rsidR="00C70EAB" w:rsidP="00C70EAB" w14:paraId="073AA98D" w14:textId="77777777">
    <w:pPr>
      <w:spacing w:after="0"/>
      <w:jc w:val="center"/>
      <w:rPr>
        <w:b/>
      </w:rPr>
    </w:pPr>
    <w:r>
      <w:rPr>
        <w:b/>
      </w:rPr>
      <w:t>Research, Public Health Surveillance, and Program Evaluation Purposes</w:t>
    </w:r>
  </w:p>
  <w:p w:rsidR="00C70EAB" w14:paraId="685EC6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94B12DB"/>
    <w:multiLevelType w:val="hybridMultilevel"/>
    <w:tmpl w:val="59C2BF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3B6E6C"/>
    <w:multiLevelType w:val="hybridMultilevel"/>
    <w:tmpl w:val="9D8816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30B164C"/>
    <w:multiLevelType w:val="hybridMultilevel"/>
    <w:tmpl w:val="463E2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884FA8"/>
    <w:multiLevelType w:val="hybridMultilevel"/>
    <w:tmpl w:val="4BE4FECC"/>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14">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0166D7"/>
    <w:multiLevelType w:val="hybridMultilevel"/>
    <w:tmpl w:val="31E69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22A78DE"/>
    <w:multiLevelType w:val="hybridMultilevel"/>
    <w:tmpl w:val="B44EA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3021888">
    <w:abstractNumId w:val="5"/>
  </w:num>
  <w:num w:numId="2" w16cid:durableId="64690739">
    <w:abstractNumId w:val="20"/>
  </w:num>
  <w:num w:numId="3" w16cid:durableId="959994956">
    <w:abstractNumId w:val="4"/>
  </w:num>
  <w:num w:numId="4" w16cid:durableId="915477509">
    <w:abstractNumId w:val="25"/>
  </w:num>
  <w:num w:numId="5" w16cid:durableId="1347707686">
    <w:abstractNumId w:val="17"/>
  </w:num>
  <w:num w:numId="6" w16cid:durableId="1528567298">
    <w:abstractNumId w:val="32"/>
  </w:num>
  <w:num w:numId="7" w16cid:durableId="3554297">
    <w:abstractNumId w:val="3"/>
  </w:num>
  <w:num w:numId="8" w16cid:durableId="1741832851">
    <w:abstractNumId w:val="10"/>
  </w:num>
  <w:num w:numId="9" w16cid:durableId="1773895544">
    <w:abstractNumId w:val="16"/>
  </w:num>
  <w:num w:numId="10" w16cid:durableId="934749881">
    <w:abstractNumId w:val="31"/>
  </w:num>
  <w:num w:numId="11" w16cid:durableId="543833790">
    <w:abstractNumId w:val="34"/>
  </w:num>
  <w:num w:numId="12" w16cid:durableId="1232733904">
    <w:abstractNumId w:val="29"/>
  </w:num>
  <w:num w:numId="13" w16cid:durableId="1856075965">
    <w:abstractNumId w:val="24"/>
  </w:num>
  <w:num w:numId="14" w16cid:durableId="890967892">
    <w:abstractNumId w:val="30"/>
  </w:num>
  <w:num w:numId="15" w16cid:durableId="784346376">
    <w:abstractNumId w:val="18"/>
  </w:num>
  <w:num w:numId="16" w16cid:durableId="1411151956">
    <w:abstractNumId w:val="23"/>
  </w:num>
  <w:num w:numId="17" w16cid:durableId="1094403055">
    <w:abstractNumId w:val="14"/>
  </w:num>
  <w:num w:numId="18" w16cid:durableId="27413701">
    <w:abstractNumId w:val="9"/>
  </w:num>
  <w:num w:numId="19" w16cid:durableId="1451238508">
    <w:abstractNumId w:val="8"/>
  </w:num>
  <w:num w:numId="20" w16cid:durableId="1676566337">
    <w:abstractNumId w:val="22"/>
  </w:num>
  <w:num w:numId="21" w16cid:durableId="1303654263">
    <w:abstractNumId w:val="0"/>
  </w:num>
  <w:num w:numId="22" w16cid:durableId="2004314040">
    <w:abstractNumId w:val="1"/>
  </w:num>
  <w:num w:numId="23" w16cid:durableId="381174668">
    <w:abstractNumId w:val="19"/>
  </w:num>
  <w:num w:numId="24" w16cid:durableId="1189442302">
    <w:abstractNumId w:val="2"/>
  </w:num>
  <w:num w:numId="25" w16cid:durableId="640883443">
    <w:abstractNumId w:val="12"/>
  </w:num>
  <w:num w:numId="26" w16cid:durableId="1886791571">
    <w:abstractNumId w:val="21"/>
  </w:num>
  <w:num w:numId="27" w16cid:durableId="1640301380">
    <w:abstractNumId w:val="15"/>
  </w:num>
  <w:num w:numId="28" w16cid:durableId="820728339">
    <w:abstractNumId w:val="33"/>
  </w:num>
  <w:num w:numId="29" w16cid:durableId="844439103">
    <w:abstractNumId w:val="26"/>
  </w:num>
  <w:num w:numId="30" w16cid:durableId="1261912931">
    <w:abstractNumId w:val="27"/>
  </w:num>
  <w:num w:numId="31" w16cid:durableId="1047341455">
    <w:abstractNumId w:val="6"/>
  </w:num>
  <w:num w:numId="32" w16cid:durableId="28384189">
    <w:abstractNumId w:val="28"/>
  </w:num>
  <w:num w:numId="33" w16cid:durableId="1561208312">
    <w:abstractNumId w:val="7"/>
  </w:num>
  <w:num w:numId="34" w16cid:durableId="1935091357">
    <w:abstractNumId w:val="11"/>
  </w:num>
  <w:num w:numId="35" w16cid:durableId="185599350">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839"/>
    <w:rsid w:val="00021AA8"/>
    <w:rsid w:val="0003262B"/>
    <w:rsid w:val="000361D4"/>
    <w:rsid w:val="00042EC2"/>
    <w:rsid w:val="000468EB"/>
    <w:rsid w:val="00051D35"/>
    <w:rsid w:val="0005251B"/>
    <w:rsid w:val="00054357"/>
    <w:rsid w:val="00054D02"/>
    <w:rsid w:val="00074085"/>
    <w:rsid w:val="00074242"/>
    <w:rsid w:val="000842DB"/>
    <w:rsid w:val="00090FDE"/>
    <w:rsid w:val="00092D19"/>
    <w:rsid w:val="000A2DBD"/>
    <w:rsid w:val="000A3945"/>
    <w:rsid w:val="000B1DFE"/>
    <w:rsid w:val="000B32E7"/>
    <w:rsid w:val="000E444C"/>
    <w:rsid w:val="000E531A"/>
    <w:rsid w:val="001029A5"/>
    <w:rsid w:val="00105F23"/>
    <w:rsid w:val="0010741A"/>
    <w:rsid w:val="00107634"/>
    <w:rsid w:val="00134134"/>
    <w:rsid w:val="001353DF"/>
    <w:rsid w:val="00137131"/>
    <w:rsid w:val="001400FA"/>
    <w:rsid w:val="00142463"/>
    <w:rsid w:val="00147562"/>
    <w:rsid w:val="00167E58"/>
    <w:rsid w:val="00177D3B"/>
    <w:rsid w:val="00194C90"/>
    <w:rsid w:val="001A13B2"/>
    <w:rsid w:val="001A2F31"/>
    <w:rsid w:val="001A46B5"/>
    <w:rsid w:val="001A5CD4"/>
    <w:rsid w:val="001B1C44"/>
    <w:rsid w:val="001B3990"/>
    <w:rsid w:val="001C0D3E"/>
    <w:rsid w:val="001C2A73"/>
    <w:rsid w:val="001D5B00"/>
    <w:rsid w:val="001E06A8"/>
    <w:rsid w:val="001E2EE3"/>
    <w:rsid w:val="001E7669"/>
    <w:rsid w:val="001E7FB5"/>
    <w:rsid w:val="001F20D5"/>
    <w:rsid w:val="00200586"/>
    <w:rsid w:val="002023E2"/>
    <w:rsid w:val="002065D7"/>
    <w:rsid w:val="00206AAE"/>
    <w:rsid w:val="002072E1"/>
    <w:rsid w:val="002101B8"/>
    <w:rsid w:val="002114C0"/>
    <w:rsid w:val="002236BB"/>
    <w:rsid w:val="00235B2F"/>
    <w:rsid w:val="00241187"/>
    <w:rsid w:val="002432D2"/>
    <w:rsid w:val="00250C51"/>
    <w:rsid w:val="0025304A"/>
    <w:rsid w:val="002632DA"/>
    <w:rsid w:val="002706AD"/>
    <w:rsid w:val="00272B1C"/>
    <w:rsid w:val="00276CD7"/>
    <w:rsid w:val="002808A8"/>
    <w:rsid w:val="00287CB1"/>
    <w:rsid w:val="0029231F"/>
    <w:rsid w:val="00292772"/>
    <w:rsid w:val="00295CD9"/>
    <w:rsid w:val="00296103"/>
    <w:rsid w:val="00297883"/>
    <w:rsid w:val="002A48A6"/>
    <w:rsid w:val="002B4381"/>
    <w:rsid w:val="002C14E2"/>
    <w:rsid w:val="002C4396"/>
    <w:rsid w:val="002C4752"/>
    <w:rsid w:val="002C7483"/>
    <w:rsid w:val="002C7CA8"/>
    <w:rsid w:val="002D3960"/>
    <w:rsid w:val="002E02B6"/>
    <w:rsid w:val="002F2FF8"/>
    <w:rsid w:val="002F5650"/>
    <w:rsid w:val="002F6C61"/>
    <w:rsid w:val="002F7CD3"/>
    <w:rsid w:val="0030706E"/>
    <w:rsid w:val="00307859"/>
    <w:rsid w:val="00311855"/>
    <w:rsid w:val="003123C2"/>
    <w:rsid w:val="00324783"/>
    <w:rsid w:val="00331BF5"/>
    <w:rsid w:val="00335D68"/>
    <w:rsid w:val="00336614"/>
    <w:rsid w:val="0033796B"/>
    <w:rsid w:val="00342776"/>
    <w:rsid w:val="00345E52"/>
    <w:rsid w:val="00350F95"/>
    <w:rsid w:val="003660DA"/>
    <w:rsid w:val="00372840"/>
    <w:rsid w:val="00394870"/>
    <w:rsid w:val="003953A9"/>
    <w:rsid w:val="003A0479"/>
    <w:rsid w:val="003B33B1"/>
    <w:rsid w:val="003C3983"/>
    <w:rsid w:val="003C7160"/>
    <w:rsid w:val="003D69B0"/>
    <w:rsid w:val="003E07ED"/>
    <w:rsid w:val="003E3500"/>
    <w:rsid w:val="003E670F"/>
    <w:rsid w:val="003F0D01"/>
    <w:rsid w:val="003F0EC8"/>
    <w:rsid w:val="004004DF"/>
    <w:rsid w:val="00403734"/>
    <w:rsid w:val="00403A8B"/>
    <w:rsid w:val="0040690F"/>
    <w:rsid w:val="00407D8E"/>
    <w:rsid w:val="0042650E"/>
    <w:rsid w:val="004303F6"/>
    <w:rsid w:val="004366A6"/>
    <w:rsid w:val="00437789"/>
    <w:rsid w:val="004377C9"/>
    <w:rsid w:val="0045690A"/>
    <w:rsid w:val="00461B71"/>
    <w:rsid w:val="0046715B"/>
    <w:rsid w:val="0048758B"/>
    <w:rsid w:val="00491A86"/>
    <w:rsid w:val="004A35D0"/>
    <w:rsid w:val="004A7275"/>
    <w:rsid w:val="004B3A64"/>
    <w:rsid w:val="004B7F79"/>
    <w:rsid w:val="004C17B3"/>
    <w:rsid w:val="004C3971"/>
    <w:rsid w:val="004D0D26"/>
    <w:rsid w:val="004D2AC7"/>
    <w:rsid w:val="004D4B03"/>
    <w:rsid w:val="004E0124"/>
    <w:rsid w:val="004E2398"/>
    <w:rsid w:val="004E281E"/>
    <w:rsid w:val="004E3C85"/>
    <w:rsid w:val="004F0259"/>
    <w:rsid w:val="004F2AC4"/>
    <w:rsid w:val="0050207F"/>
    <w:rsid w:val="00504D06"/>
    <w:rsid w:val="00513B30"/>
    <w:rsid w:val="00540377"/>
    <w:rsid w:val="005428AC"/>
    <w:rsid w:val="00547F1E"/>
    <w:rsid w:val="00554433"/>
    <w:rsid w:val="00570620"/>
    <w:rsid w:val="00577BF4"/>
    <w:rsid w:val="00581B7C"/>
    <w:rsid w:val="005847DB"/>
    <w:rsid w:val="00584E3D"/>
    <w:rsid w:val="005900C9"/>
    <w:rsid w:val="005903CB"/>
    <w:rsid w:val="00596FA9"/>
    <w:rsid w:val="005978EB"/>
    <w:rsid w:val="005A403E"/>
    <w:rsid w:val="005C187F"/>
    <w:rsid w:val="005D7569"/>
    <w:rsid w:val="005E1F1A"/>
    <w:rsid w:val="005E2ADE"/>
    <w:rsid w:val="005F7B7D"/>
    <w:rsid w:val="006025FC"/>
    <w:rsid w:val="00620553"/>
    <w:rsid w:val="006237FA"/>
    <w:rsid w:val="0063677A"/>
    <w:rsid w:val="00640EDC"/>
    <w:rsid w:val="00641ADD"/>
    <w:rsid w:val="00645C10"/>
    <w:rsid w:val="00661A6A"/>
    <w:rsid w:val="00676D90"/>
    <w:rsid w:val="00680F6E"/>
    <w:rsid w:val="00682AC3"/>
    <w:rsid w:val="00682F22"/>
    <w:rsid w:val="0068707F"/>
    <w:rsid w:val="006979D7"/>
    <w:rsid w:val="006B55E0"/>
    <w:rsid w:val="006D2366"/>
    <w:rsid w:val="006D3580"/>
    <w:rsid w:val="006F0D55"/>
    <w:rsid w:val="0070010C"/>
    <w:rsid w:val="007005E0"/>
    <w:rsid w:val="00712DCF"/>
    <w:rsid w:val="00717B41"/>
    <w:rsid w:val="00720B85"/>
    <w:rsid w:val="0072764C"/>
    <w:rsid w:val="00727DD6"/>
    <w:rsid w:val="007465D9"/>
    <w:rsid w:val="00750962"/>
    <w:rsid w:val="0076490E"/>
    <w:rsid w:val="00766D95"/>
    <w:rsid w:val="0077481B"/>
    <w:rsid w:val="00775A7A"/>
    <w:rsid w:val="007943E5"/>
    <w:rsid w:val="007A5A4E"/>
    <w:rsid w:val="007B50A3"/>
    <w:rsid w:val="007C19E9"/>
    <w:rsid w:val="007D39F5"/>
    <w:rsid w:val="007E2B3A"/>
    <w:rsid w:val="007F4346"/>
    <w:rsid w:val="00802D30"/>
    <w:rsid w:val="00813F86"/>
    <w:rsid w:val="008152C1"/>
    <w:rsid w:val="00825DC8"/>
    <w:rsid w:val="0084521B"/>
    <w:rsid w:val="0084670F"/>
    <w:rsid w:val="00851680"/>
    <w:rsid w:val="00851C2F"/>
    <w:rsid w:val="008532DE"/>
    <w:rsid w:val="00863D33"/>
    <w:rsid w:val="008654D3"/>
    <w:rsid w:val="00872458"/>
    <w:rsid w:val="008813EA"/>
    <w:rsid w:val="008815BB"/>
    <w:rsid w:val="00882B0E"/>
    <w:rsid w:val="00886D69"/>
    <w:rsid w:val="0089528B"/>
    <w:rsid w:val="008A532C"/>
    <w:rsid w:val="008A59F6"/>
    <w:rsid w:val="008A7DBD"/>
    <w:rsid w:val="008B5E4F"/>
    <w:rsid w:val="008C030F"/>
    <w:rsid w:val="008C1DF7"/>
    <w:rsid w:val="008F3554"/>
    <w:rsid w:val="00927738"/>
    <w:rsid w:val="00932016"/>
    <w:rsid w:val="009369F6"/>
    <w:rsid w:val="00936F5E"/>
    <w:rsid w:val="00937347"/>
    <w:rsid w:val="009455F5"/>
    <w:rsid w:val="00966DAD"/>
    <w:rsid w:val="00974B12"/>
    <w:rsid w:val="009766B7"/>
    <w:rsid w:val="00984490"/>
    <w:rsid w:val="00985DDD"/>
    <w:rsid w:val="00991FAF"/>
    <w:rsid w:val="009A260C"/>
    <w:rsid w:val="009A5C05"/>
    <w:rsid w:val="009A5D6E"/>
    <w:rsid w:val="009B065A"/>
    <w:rsid w:val="009B4062"/>
    <w:rsid w:val="009B4551"/>
    <w:rsid w:val="009C132F"/>
    <w:rsid w:val="009C3679"/>
    <w:rsid w:val="009C64F1"/>
    <w:rsid w:val="009C72C6"/>
    <w:rsid w:val="009D1F9E"/>
    <w:rsid w:val="009E4DF9"/>
    <w:rsid w:val="009E5167"/>
    <w:rsid w:val="009F1330"/>
    <w:rsid w:val="009F450F"/>
    <w:rsid w:val="009F77AB"/>
    <w:rsid w:val="00A17F2E"/>
    <w:rsid w:val="00A27595"/>
    <w:rsid w:val="00A30FB8"/>
    <w:rsid w:val="00A3337B"/>
    <w:rsid w:val="00A40A6A"/>
    <w:rsid w:val="00A413C8"/>
    <w:rsid w:val="00A5510F"/>
    <w:rsid w:val="00A77839"/>
    <w:rsid w:val="00A86C12"/>
    <w:rsid w:val="00A9004E"/>
    <w:rsid w:val="00AA2FE1"/>
    <w:rsid w:val="00AB22AA"/>
    <w:rsid w:val="00AB753D"/>
    <w:rsid w:val="00AC6CD4"/>
    <w:rsid w:val="00AD0599"/>
    <w:rsid w:val="00AD5865"/>
    <w:rsid w:val="00B04853"/>
    <w:rsid w:val="00B06CBC"/>
    <w:rsid w:val="00B272FD"/>
    <w:rsid w:val="00B30858"/>
    <w:rsid w:val="00B31E12"/>
    <w:rsid w:val="00B359B3"/>
    <w:rsid w:val="00B37BD9"/>
    <w:rsid w:val="00B43CD1"/>
    <w:rsid w:val="00B45851"/>
    <w:rsid w:val="00B525C6"/>
    <w:rsid w:val="00B6107F"/>
    <w:rsid w:val="00B64230"/>
    <w:rsid w:val="00B66356"/>
    <w:rsid w:val="00B75066"/>
    <w:rsid w:val="00B75D1D"/>
    <w:rsid w:val="00B81040"/>
    <w:rsid w:val="00B82196"/>
    <w:rsid w:val="00B97C65"/>
    <w:rsid w:val="00BA1A0A"/>
    <w:rsid w:val="00BB7DBE"/>
    <w:rsid w:val="00BC0E62"/>
    <w:rsid w:val="00BC211B"/>
    <w:rsid w:val="00BC46A0"/>
    <w:rsid w:val="00BD086D"/>
    <w:rsid w:val="00BD5C17"/>
    <w:rsid w:val="00BE3904"/>
    <w:rsid w:val="00BE4E3B"/>
    <w:rsid w:val="00BF1E8C"/>
    <w:rsid w:val="00BF3021"/>
    <w:rsid w:val="00BF5CE7"/>
    <w:rsid w:val="00C02B97"/>
    <w:rsid w:val="00C14064"/>
    <w:rsid w:val="00C229EF"/>
    <w:rsid w:val="00C308D0"/>
    <w:rsid w:val="00C3260B"/>
    <w:rsid w:val="00C32C8A"/>
    <w:rsid w:val="00C34750"/>
    <w:rsid w:val="00C34BA9"/>
    <w:rsid w:val="00C365D8"/>
    <w:rsid w:val="00C36F28"/>
    <w:rsid w:val="00C43D28"/>
    <w:rsid w:val="00C444F4"/>
    <w:rsid w:val="00C47124"/>
    <w:rsid w:val="00C51A2D"/>
    <w:rsid w:val="00C569AD"/>
    <w:rsid w:val="00C65901"/>
    <w:rsid w:val="00C70EAB"/>
    <w:rsid w:val="00C81707"/>
    <w:rsid w:val="00C825B4"/>
    <w:rsid w:val="00C863A3"/>
    <w:rsid w:val="00C965A8"/>
    <w:rsid w:val="00C9753D"/>
    <w:rsid w:val="00CA0F5F"/>
    <w:rsid w:val="00CB5ADD"/>
    <w:rsid w:val="00CB7519"/>
    <w:rsid w:val="00CC0784"/>
    <w:rsid w:val="00CC57E1"/>
    <w:rsid w:val="00CD248C"/>
    <w:rsid w:val="00D10080"/>
    <w:rsid w:val="00D122EB"/>
    <w:rsid w:val="00D15460"/>
    <w:rsid w:val="00D244B6"/>
    <w:rsid w:val="00D24604"/>
    <w:rsid w:val="00D255AC"/>
    <w:rsid w:val="00D27312"/>
    <w:rsid w:val="00D41FC4"/>
    <w:rsid w:val="00D479FD"/>
    <w:rsid w:val="00D50BE5"/>
    <w:rsid w:val="00D5623A"/>
    <w:rsid w:val="00D71AC1"/>
    <w:rsid w:val="00D75CA3"/>
    <w:rsid w:val="00D76965"/>
    <w:rsid w:val="00D82E6B"/>
    <w:rsid w:val="00D83841"/>
    <w:rsid w:val="00D85B23"/>
    <w:rsid w:val="00DA105B"/>
    <w:rsid w:val="00DA4BCC"/>
    <w:rsid w:val="00DA6527"/>
    <w:rsid w:val="00DA7A78"/>
    <w:rsid w:val="00DA7CC2"/>
    <w:rsid w:val="00DC09CC"/>
    <w:rsid w:val="00DC708A"/>
    <w:rsid w:val="00DD496E"/>
    <w:rsid w:val="00DE3F69"/>
    <w:rsid w:val="00DF3BDC"/>
    <w:rsid w:val="00E078A4"/>
    <w:rsid w:val="00E146A6"/>
    <w:rsid w:val="00E14FBB"/>
    <w:rsid w:val="00E166FD"/>
    <w:rsid w:val="00E2427B"/>
    <w:rsid w:val="00E24C48"/>
    <w:rsid w:val="00E37692"/>
    <w:rsid w:val="00E47401"/>
    <w:rsid w:val="00E51ECE"/>
    <w:rsid w:val="00E559C4"/>
    <w:rsid w:val="00E848A3"/>
    <w:rsid w:val="00EA109E"/>
    <w:rsid w:val="00EA66DA"/>
    <w:rsid w:val="00EB33D0"/>
    <w:rsid w:val="00EB36AF"/>
    <w:rsid w:val="00EC4898"/>
    <w:rsid w:val="00ED2468"/>
    <w:rsid w:val="00EE2460"/>
    <w:rsid w:val="00EF3A2D"/>
    <w:rsid w:val="00F0035D"/>
    <w:rsid w:val="00F02BA6"/>
    <w:rsid w:val="00F043B6"/>
    <w:rsid w:val="00F10013"/>
    <w:rsid w:val="00F15D36"/>
    <w:rsid w:val="00F200AC"/>
    <w:rsid w:val="00F24397"/>
    <w:rsid w:val="00F24623"/>
    <w:rsid w:val="00F315B2"/>
    <w:rsid w:val="00F3473C"/>
    <w:rsid w:val="00F359C4"/>
    <w:rsid w:val="00F55404"/>
    <w:rsid w:val="00F5639D"/>
    <w:rsid w:val="00F6148F"/>
    <w:rsid w:val="00F70A3A"/>
    <w:rsid w:val="00F73BC4"/>
    <w:rsid w:val="00FA1C1B"/>
    <w:rsid w:val="00FA7F1C"/>
    <w:rsid w:val="00FB263A"/>
    <w:rsid w:val="00FB53C8"/>
    <w:rsid w:val="00FD00EC"/>
    <w:rsid w:val="00FE01B1"/>
    <w:rsid w:val="00FE4ADF"/>
    <w:rsid w:val="00FE6E47"/>
    <w:rsid w:val="00FF07E2"/>
    <w:rsid w:val="00FF6803"/>
    <w:rsid w:val="00FF6F34"/>
  </w:rsids>
  <w:docVars>
    <w:docVar w:name="__Grammarly_42___1" w:val="H4sIAAAAAAAEAKtWcslP9kxRslIyNDY2MDQzNzQ0tjQxMTI2NDJT0lEKTi0uzszPAykwNKkFAG3PHx4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536377"/>
  <w15:docId w15:val="{94AEC39C-6F2A-4876-A8A8-28FAE364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link w:val="ListParagraph"/>
    <w:uiPriority w:val="34"/>
    <w:locked/>
  </w:style>
  <w:style w:type="paragraph" w:styleId="Revision">
    <w:name w:val="Revision"/>
    <w:hidden/>
    <w:uiPriority w:val="99"/>
    <w:semiHidden/>
    <w:pPr>
      <w:spacing w:after="0" w:line="240" w:lineRule="auto"/>
    </w:pPr>
  </w:style>
  <w:style w:type="paragraph" w:customStyle="1" w:styleId="ReportCover-Title">
    <w:name w:val="ReportCover-Title"/>
    <w:basedOn w:val="Normal"/>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pPr>
      <w:spacing w:after="840" w:line="260" w:lineRule="exact"/>
    </w:pPr>
    <w:rPr>
      <w:rFonts w:ascii="Franklin Gothic Medium" w:eastAsia="Times New Roman" w:hAnsi="Franklin Gothic Medium" w:cs="Times New Roman"/>
      <w:b/>
      <w:color w:val="003C79"/>
      <w:sz w:val="24"/>
      <w:szCs w:val="20"/>
    </w:rPr>
  </w:style>
  <w:style w:type="paragraph" w:customStyle="1" w:styleId="Heading2A">
    <w:name w:val="Heading 2A"/>
    <w:basedOn w:val="Normal"/>
    <w:pPr>
      <w:spacing w:after="120" w:line="240" w:lineRule="auto"/>
      <w:ind w:left="540" w:hanging="540"/>
    </w:pPr>
    <w:rPr>
      <w:b/>
    </w:rPr>
  </w:style>
  <w:style w:type="paragraph" w:customStyle="1" w:styleId="TableTextLeft">
    <w:name w:val="Table Text Left"/>
    <w:qFormat/>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pPr>
      <w:keepNext/>
      <w:jc w:val="center"/>
    </w:pPr>
    <w:rPr>
      <w:color w:val="FFFFFF" w:themeColor="background1"/>
      <w:sz w:val="20"/>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HeaderLeft">
    <w:name w:val="Table Header Left"/>
    <w:basedOn w:val="TableTextLeft"/>
    <w:qFormat/>
    <w:pPr>
      <w:keepNext/>
    </w:pPr>
    <w:rPr>
      <w:color w:val="FFFFFF" w:themeColor="background1"/>
      <w:sz w:val="20"/>
    </w:rPr>
  </w:style>
  <w:style w:type="paragraph" w:customStyle="1" w:styleId="TableTitle">
    <w:name w:val="Table Title"/>
    <w:basedOn w:val="Normal"/>
    <w:qFormat/>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character" w:styleId="PageNumber">
    <w:name w:val="page number"/>
    <w:basedOn w:val="DefaultParagraphFont"/>
    <w:rsid w:val="006B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929E-57FD-4BAA-B738-48344E57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3178</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Keating</dc:creator>
  <cp:lastModifiedBy>Alicia Meckstroth</cp:lastModifiedBy>
  <cp:revision>3</cp:revision>
  <cp:lastPrinted>2023-03-20T20:41:00Z</cp:lastPrinted>
  <dcterms:created xsi:type="dcterms:W3CDTF">2023-05-19T21:26:00Z</dcterms:created>
  <dcterms:modified xsi:type="dcterms:W3CDTF">2023-05-19T21:30:00Z</dcterms:modified>
</cp:coreProperties>
</file>