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7A61" w:rsidRPr="00EE7A61" w:rsidP="00EE7A61" w14:paraId="2E88C964" w14:textId="7C9D7A81">
      <w:pPr>
        <w:jc w:val="center"/>
      </w:pPr>
      <w:r w:rsidRPr="00EE7A61">
        <w:rPr>
          <w:b/>
          <w:sz w:val="32"/>
          <w:szCs w:val="28"/>
        </w:rPr>
        <w:t xml:space="preserve">Request for </w:t>
      </w:r>
      <w:r w:rsidRPr="00EE7A61" w:rsidR="003A183F">
        <w:rPr>
          <w:b/>
          <w:sz w:val="32"/>
          <w:szCs w:val="28"/>
        </w:rPr>
        <w:t>a</w:t>
      </w:r>
      <w:r w:rsidRPr="00EE7A61">
        <w:rPr>
          <w:b/>
          <w:sz w:val="32"/>
          <w:szCs w:val="28"/>
        </w:rPr>
        <w:t xml:space="preserve">pproval under the </w:t>
      </w:r>
      <w:r w:rsidRPr="00EE7A61" w:rsidR="00BD3E02">
        <w:rPr>
          <w:b/>
          <w:sz w:val="32"/>
          <w:szCs w:val="28"/>
        </w:rPr>
        <w:t>c</w:t>
      </w:r>
      <w:r w:rsidRPr="00EE7A61">
        <w:rPr>
          <w:b/>
          <w:sz w:val="32"/>
          <w:szCs w:val="28"/>
        </w:rPr>
        <w:t xml:space="preserve">learance </w:t>
      </w:r>
      <w:r w:rsidRPr="00EE7A61" w:rsidR="00BD3E02">
        <w:rPr>
          <w:b/>
          <w:sz w:val="32"/>
          <w:szCs w:val="28"/>
        </w:rPr>
        <w:t>of the</w:t>
      </w:r>
      <w:r w:rsidRPr="00EE7A61">
        <w:rPr>
          <w:b/>
          <w:sz w:val="32"/>
          <w:szCs w:val="28"/>
        </w:rPr>
        <w:t xml:space="preserve"> </w:t>
      </w:r>
      <w:r w:rsidRPr="00EE7A61" w:rsidR="00BD3E02">
        <w:rPr>
          <w:b/>
          <w:sz w:val="32"/>
          <w:szCs w:val="28"/>
        </w:rPr>
        <w:t xml:space="preserve">“Generic </w:t>
      </w:r>
      <w:r w:rsidRPr="00EE7A61" w:rsidR="00BC789E">
        <w:rPr>
          <w:b/>
          <w:sz w:val="32"/>
          <w:szCs w:val="28"/>
        </w:rPr>
        <w:t xml:space="preserve">Performance Progress </w:t>
      </w:r>
      <w:r w:rsidRPr="00EE7A61" w:rsidR="00BD3E02">
        <w:rPr>
          <w:b/>
          <w:sz w:val="32"/>
          <w:szCs w:val="28"/>
        </w:rPr>
        <w:t>Report</w:t>
      </w:r>
      <w:r w:rsidRPr="00EE7A61" w:rsidR="00BC789E">
        <w:rPr>
          <w:b/>
          <w:sz w:val="32"/>
          <w:szCs w:val="28"/>
        </w:rPr>
        <w:t>” OMB contr</w:t>
      </w:r>
      <w:r w:rsidRPr="00EE7A61">
        <w:rPr>
          <w:b/>
          <w:sz w:val="32"/>
          <w:szCs w:val="28"/>
        </w:rPr>
        <w:t xml:space="preserve">ol Number: </w:t>
      </w:r>
      <w:r w:rsidRPr="00EE7A61" w:rsidR="00C25899">
        <w:rPr>
          <w:b/>
          <w:sz w:val="32"/>
          <w:szCs w:val="28"/>
        </w:rPr>
        <w:t>0970-04</w:t>
      </w:r>
      <w:r w:rsidRPr="00EE7A61">
        <w:rPr>
          <w:b/>
          <w:sz w:val="32"/>
          <w:szCs w:val="28"/>
        </w:rPr>
        <w:t>90</w:t>
      </w:r>
      <w:r w:rsidRPr="00EE7A61">
        <w:rPr>
          <w:sz w:val="28"/>
        </w:rPr>
        <w:t xml:space="preserve"> </w:t>
      </w:r>
      <w:r>
        <w:t>___________________________________________________________________________</w:t>
      </w:r>
    </w:p>
    <w:p w:rsidR="00EE7A61" w:rsidRPr="00BA3454" w:rsidP="00434E33" w14:paraId="50A2BB66" w14:textId="77777777">
      <w:pPr>
        <w:rPr>
          <w:b/>
          <w:sz w:val="14"/>
          <w:szCs w:val="14"/>
        </w:rPr>
      </w:pPr>
    </w:p>
    <w:p w:rsidR="00EE7A61" w14:paraId="56A14577" w14:textId="0583B587">
      <w:r w:rsidRPr="00434E33">
        <w:rPr>
          <w:b/>
        </w:rPr>
        <w:t>TITLE OF INFORMATION COLLECTION:</w:t>
      </w:r>
      <w:r w:rsidR="00363290">
        <w:rPr>
          <w:b/>
        </w:rPr>
        <w:t xml:space="preserve">  </w:t>
      </w:r>
      <w:r w:rsidR="00B539E4">
        <w:rPr>
          <w:bCs/>
        </w:rPr>
        <w:t xml:space="preserve">Regional Partnership Grant Program </w:t>
      </w:r>
      <w:r w:rsidRPr="00DB0277" w:rsidR="00AE49A2">
        <w:t>S</w:t>
      </w:r>
      <w:r w:rsidR="00AE49A2">
        <w:t>emi</w:t>
      </w:r>
      <w:r w:rsidR="001041FB">
        <w:t xml:space="preserve"> A</w:t>
      </w:r>
      <w:r w:rsidR="00AE49A2">
        <w:t>nnual ACF Performance Progress Report</w:t>
      </w:r>
    </w:p>
    <w:p w:rsidR="0009342C" w14:paraId="582BD8BD" w14:textId="77777777">
      <w:pPr>
        <w:rPr>
          <w:b/>
        </w:rPr>
      </w:pPr>
    </w:p>
    <w:p w:rsidR="00AE49A2" w:rsidP="00AE49A2" w14:paraId="6D2D11B1" w14:textId="2EF528E0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="007E1994">
        <w:rPr>
          <w:b/>
        </w:rPr>
        <w:t xml:space="preserve">  </w:t>
      </w:r>
      <w:r w:rsidR="00F155C5">
        <w:rPr>
          <w:bCs/>
        </w:rPr>
        <w:t>Th</w:t>
      </w:r>
      <w:r w:rsidRPr="00F155C5" w:rsidR="00F155C5">
        <w:rPr>
          <w:bCs/>
        </w:rPr>
        <w:t xml:space="preserve">e Regional Partnership Grant (RPG) Program is administered by the Administration for Children, Youth and Families (ACYF), Children’s Bureau (CB) to improve the well-being of children affected by parental substance use disorders. The projects support interagency collaborations and integration of programs, services, and activities designed to increase the well-being, improve the permanency, and enhance the safety of children who are in, or at risk of, out-of-home placements as the result of a parent or caregiver’s substance use disorder. The partnerships implement a range of activities and interventions, including peer recovery coaching, family-centered and prevention-focused services, </w:t>
      </w:r>
      <w:r w:rsidRPr="00F155C5" w:rsidR="00F155C5">
        <w:rPr>
          <w:bCs/>
        </w:rPr>
        <w:t>parenting</w:t>
      </w:r>
      <w:r w:rsidRPr="00F155C5" w:rsidR="00F155C5">
        <w:rPr>
          <w:bCs/>
        </w:rPr>
        <w:t xml:space="preserve"> and family strengthening programs, specialized services to fathers, and pregnant and postpartum women, medication assisted treatment, in-home parenting and child safety support for families, and related evidence-based practices. RPG projects strive to reduce structural barriers and increase equitable access to services for children, parents, and families</w:t>
      </w:r>
      <w:r w:rsidR="001D653A">
        <w:rPr>
          <w:bCs/>
        </w:rPr>
        <w:t>.</w:t>
      </w:r>
    </w:p>
    <w:p w:rsidR="00F155C5" w:rsidRPr="00E6519D" w:rsidP="00AE49A2" w14:paraId="6793F59A" w14:textId="77777777">
      <w:pPr>
        <w:rPr>
          <w:bCs/>
        </w:rPr>
      </w:pPr>
    </w:p>
    <w:p w:rsidR="00F155C5" w:rsidRPr="008B7992" w:rsidP="000946EC" w14:paraId="3F3A1F12" w14:textId="0E2DD6D2">
      <w:r>
        <w:t xml:space="preserve">The RPG projects participate in a legislatively required cross site evaluation and the review of the SAPR may complement this work. Therefore, </w:t>
      </w:r>
      <w:r w:rsidRPr="008B7992" w:rsidR="00AE49A2">
        <w:t xml:space="preserve">CB currently collects performance and progress data from </w:t>
      </w:r>
      <w:r w:rsidRPr="008B7992" w:rsidR="005E1E33">
        <w:t>RPG grant recipients</w:t>
      </w:r>
      <w:r w:rsidRPr="008B7992" w:rsidR="00AE49A2">
        <w:t xml:space="preserve"> through SAPRs approved under the </w:t>
      </w:r>
      <w:r w:rsidRPr="008B7992" w:rsidR="00CE20BD">
        <w:t>RPG National Cross-Site Evaluation and Evaluation Technical Assistance information collection</w:t>
      </w:r>
      <w:r w:rsidRPr="008B7992" w:rsidR="00AE49A2">
        <w:t xml:space="preserve"> (</w:t>
      </w:r>
      <w:r w:rsidRPr="008B7992" w:rsidR="00EF3B10">
        <w:t>OMB #0970-0527</w:t>
      </w:r>
      <w:r w:rsidRPr="008B7992" w:rsidR="00AE49A2">
        <w:t>)</w:t>
      </w:r>
      <w:r w:rsidRPr="008B7992">
        <w:t>.</w:t>
      </w:r>
      <w:r w:rsidRPr="008B7992" w:rsidR="00CE20BD">
        <w:t xml:space="preserve"> </w:t>
      </w:r>
      <w:r w:rsidRPr="008B7992" w:rsidR="005C576C">
        <w:t xml:space="preserve">A subset of </w:t>
      </w:r>
      <w:r w:rsidRPr="008B7992" w:rsidR="001A53B6">
        <w:t xml:space="preserve">Round </w:t>
      </w:r>
      <w:r w:rsidRPr="008B7992">
        <w:t xml:space="preserve">5 grant recipients </w:t>
      </w:r>
      <w:r w:rsidRPr="008B7992" w:rsidR="005C576C">
        <w:t xml:space="preserve">received no cost extensions for a period of 6 or 12 months to continue work. Reporting for </w:t>
      </w:r>
      <w:r w:rsidRPr="008B7992">
        <w:t>this additional year was not included under OMB #0970-0527. These recipients are also no longer participating in the cross-site evaluations. As such, t</w:t>
      </w:r>
      <w:r w:rsidRPr="008B7992" w:rsidR="00CE20BD">
        <w:t xml:space="preserve">his request is specific to </w:t>
      </w:r>
      <w:r w:rsidRPr="008B7992" w:rsidR="001A53B6">
        <w:t>these Round</w:t>
      </w:r>
      <w:r w:rsidRPr="008B7992" w:rsidR="00CE20BD">
        <w:t>5</w:t>
      </w:r>
      <w:r w:rsidRPr="008B7992">
        <w:t xml:space="preserve"> </w:t>
      </w:r>
      <w:r w:rsidRPr="008B7992" w:rsidR="001A53B6">
        <w:t xml:space="preserve">projects </w:t>
      </w:r>
      <w:r w:rsidRPr="008B7992">
        <w:t>and t</w:t>
      </w:r>
      <w:r w:rsidRPr="008B7992" w:rsidR="00CE20BD">
        <w:t xml:space="preserve">his version of the SAPR is tailored slightly to </w:t>
      </w:r>
      <w:r w:rsidRPr="008B7992" w:rsidR="005E1E33">
        <w:t>these</w:t>
      </w:r>
      <w:r w:rsidRPr="008B7992" w:rsidR="00CE20BD">
        <w:t xml:space="preserve"> grant recipients</w:t>
      </w:r>
      <w:r w:rsidRPr="008B7992" w:rsidR="005E1E33">
        <w:t xml:space="preserve"> based on where they are in the stage of work</w:t>
      </w:r>
      <w:r w:rsidRPr="008B7992" w:rsidR="00CE20BD">
        <w:t xml:space="preserve">. </w:t>
      </w:r>
    </w:p>
    <w:p w:rsidR="00F155C5" w:rsidRPr="008B7992" w:rsidP="000946EC" w14:paraId="6BE686B1" w14:textId="77777777"/>
    <w:p w:rsidR="000946EC" w:rsidP="000946EC" w14:paraId="5647C5C7" w14:textId="1FE365DE">
      <w:r w:rsidRPr="008B7992">
        <w:t xml:space="preserve">The SAPR tailors the standard ACF Performance Progress Report Appendix B (0970-0406) to request information that is specific to the </w:t>
      </w:r>
      <w:r w:rsidRPr="008B7992" w:rsidR="005E1E33">
        <w:t>RPG</w:t>
      </w:r>
      <w:r w:rsidRPr="008B7992" w:rsidR="00DA6B71">
        <w:t xml:space="preserve"> Program. </w:t>
      </w:r>
      <w:r w:rsidRPr="008B7992" w:rsidR="005E1E33">
        <w:t>Appendix B of the SAPR requests information o</w:t>
      </w:r>
      <w:r w:rsidRPr="001F504E" w:rsidR="005E1E33">
        <w:t>n the programmatic and evaluation activities conducted by the grantee during the reporting period as well as activities planned for the next reporting period</w:t>
      </w:r>
      <w:r w:rsidRPr="00124D7A" w:rsidR="005E1E33">
        <w:t>.</w:t>
      </w:r>
      <w:r w:rsidRPr="004757BF">
        <w:t xml:space="preserve"> Grantees are also invited to attach any supporting documents to provide additional insight about their project work, </w:t>
      </w:r>
      <w:r w:rsidR="00DA6B71">
        <w:t>service delivery</w:t>
      </w:r>
      <w:r w:rsidR="001A53B6">
        <w:t>,</w:t>
      </w:r>
      <w:r w:rsidR="006E0F02">
        <w:t xml:space="preserve"> </w:t>
      </w:r>
      <w:r w:rsidR="00DA6B71">
        <w:t xml:space="preserve">information on </w:t>
      </w:r>
      <w:r w:rsidRPr="004757BF">
        <w:t>implementation or evaluation plans</w:t>
      </w:r>
      <w:r w:rsidR="001A53B6">
        <w:t xml:space="preserve"> and related technical assistance needs</w:t>
      </w:r>
    </w:p>
    <w:p w:rsidR="000946EC" w:rsidP="000946EC" w14:paraId="05804C0B" w14:textId="77777777"/>
    <w:p w:rsidR="005E1E33" w:rsidP="000050C9" w14:paraId="5F5CF8B2" w14:textId="10DCD221">
      <w:r w:rsidRPr="001F504E">
        <w:t xml:space="preserve">Information from the report </w:t>
      </w:r>
      <w:r>
        <w:t>is</w:t>
      </w:r>
      <w:r w:rsidRPr="001F504E">
        <w:t xml:space="preserve"> used by </w:t>
      </w:r>
      <w:r>
        <w:t>CB</w:t>
      </w:r>
      <w:r w:rsidRPr="001F504E">
        <w:t xml:space="preserve"> to meet grants management requirements</w:t>
      </w:r>
      <w:r w:rsidR="00DA6B71">
        <w:t xml:space="preserve"> as well as inform technical assistance efforts</w:t>
      </w:r>
      <w:r w:rsidRPr="001F504E">
        <w:t xml:space="preserve">. </w:t>
      </w:r>
      <w:r>
        <w:t xml:space="preserve">RPG SAPR data </w:t>
      </w:r>
      <w:r w:rsidR="000050C9">
        <w:t>contribute</w:t>
      </w:r>
      <w:r>
        <w:t>s</w:t>
      </w:r>
      <w:r w:rsidR="000050C9">
        <w:t xml:space="preserve"> to</w:t>
      </w:r>
      <w:r w:rsidR="00DA6B71">
        <w:t xml:space="preserve"> information shared in Reports to Congress</w:t>
      </w:r>
      <w:r w:rsidR="000050C9">
        <w:t xml:space="preserve">.  </w:t>
      </w:r>
    </w:p>
    <w:p w:rsidR="006E0F02" w:rsidP="000050C9" w14:paraId="534A592E" w14:textId="77777777"/>
    <w:p w:rsidR="00807104" w:rsidP="000050C9" w14:paraId="036FD0DB" w14:textId="54BC8591">
      <w:r>
        <w:t xml:space="preserve">The RPG program is supported by two technical assistance providers, the TA providers </w:t>
      </w:r>
      <w:r w:rsidR="000946EC">
        <w:t>collaborated with CB on the development of the tailored SAPR to ensure information collected is</w:t>
      </w:r>
      <w:r>
        <w:t xml:space="preserve"> appropriate and</w:t>
      </w:r>
      <w:r w:rsidR="000946EC">
        <w:t xml:space="preserve"> not duplicated </w:t>
      </w:r>
      <w:r>
        <w:t xml:space="preserve">in other </w:t>
      </w:r>
      <w:r w:rsidR="000946EC">
        <w:t xml:space="preserve">efforts. </w:t>
      </w:r>
    </w:p>
    <w:p w:rsidR="00EE7A61" w:rsidP="00434E33" w14:paraId="24C61D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E1C06" w:rsidP="00BA3454" w14:paraId="3ED34018" w14:textId="50F5A92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C576C">
        <w:t xml:space="preserve">RPG </w:t>
      </w:r>
      <w:r w:rsidR="001A53B6">
        <w:t xml:space="preserve">Round 5 </w:t>
      </w:r>
      <w:r w:rsidR="005C576C">
        <w:t xml:space="preserve">grant recipients, which include </w:t>
      </w:r>
      <w:r>
        <w:t xml:space="preserve">state agencies, a judicial court state agency, </w:t>
      </w:r>
      <w:r w:rsidR="0042467E">
        <w:t>and</w:t>
      </w:r>
      <w:r>
        <w:t xml:space="preserve"> </w:t>
      </w:r>
      <w:r w:rsidR="001A53B6">
        <w:t>community-based</w:t>
      </w:r>
      <w:r>
        <w:t xml:space="preserve"> organizations (mental health and health care community service providers). </w:t>
      </w:r>
    </w:p>
    <w:p w:rsidR="00CA2650" w14:paraId="76F595D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83530B" w14:textId="77777777">
      <w:pPr>
        <w:rPr>
          <w:sz w:val="16"/>
          <w:szCs w:val="16"/>
        </w:rPr>
      </w:pPr>
    </w:p>
    <w:p w:rsidR="008101A5" w:rsidP="008101A5" w14:paraId="3715AE54" w14:textId="77777777">
      <w:r>
        <w:t xml:space="preserve">I certify the following to be true: </w:t>
      </w:r>
    </w:p>
    <w:p w:rsidR="008101A5" w:rsidP="00A064F6" w14:paraId="55CDA47B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707318" w:rsidP="008C7D85" w14:paraId="4D2BE5F7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EE7A61" w:rsidP="00EE7A61" w14:paraId="2822020F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</w:p>
    <w:p w:rsidR="00EE7A61" w:rsidP="00EE7A61" w14:paraId="3BB5BE4F" w14:textId="77777777"/>
    <w:p w:rsidR="009C13B9" w:rsidP="00EE7A61" w14:paraId="4652B3C4" w14:textId="71C7B290">
      <w:r>
        <w:t>Name</w:t>
      </w:r>
      <w:r w:rsidR="004677A8">
        <w:t xml:space="preserve"> and </w:t>
      </w:r>
      <w:r w:rsidR="004677A8">
        <w:t>Title</w:t>
      </w:r>
      <w:r w:rsidRPr="00E6519D">
        <w:rPr>
          <w:u w:val="single"/>
        </w:rPr>
        <w:t>:_</w:t>
      </w:r>
      <w:r w:rsidR="000050C9">
        <w:rPr>
          <w:u w:val="single"/>
        </w:rPr>
        <w:t>Catherine</w:t>
      </w:r>
      <w:r w:rsidR="000050C9">
        <w:rPr>
          <w:u w:val="single"/>
        </w:rPr>
        <w:t xml:space="preserve"> Luby</w:t>
      </w:r>
      <w:r w:rsidRPr="00E6519D" w:rsidR="00364B99">
        <w:rPr>
          <w:u w:val="single"/>
        </w:rPr>
        <w:t xml:space="preserve">, Child Welfare Program Specialist </w:t>
      </w:r>
      <w:r w:rsidRPr="00E6519D">
        <w:rPr>
          <w:u w:val="single"/>
        </w:rPr>
        <w:t>______</w:t>
      </w:r>
    </w:p>
    <w:p w:rsidR="009C13B9" w:rsidP="009C13B9" w14:paraId="6DC74296" w14:textId="77777777">
      <w:pPr>
        <w:pStyle w:val="ListParagraph"/>
        <w:ind w:left="360"/>
      </w:pPr>
    </w:p>
    <w:p w:rsidR="009C13B9" w:rsidP="009C13B9" w14:paraId="10527346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461D04CB" w14:textId="77777777">
      <w:pPr>
        <w:pStyle w:val="ListParagraph"/>
        <w:ind w:left="360"/>
      </w:pPr>
    </w:p>
    <w:p w:rsidR="009C13B9" w:rsidP="00C86E91" w14:paraId="624DBAB5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B009F39" w14:textId="77777777">
      <w:pPr>
        <w:rPr>
          <w:b/>
        </w:rPr>
      </w:pPr>
    </w:p>
    <w:p w:rsidR="00C86E91" w:rsidP="00C86E91" w14:paraId="41E93602" w14:textId="6784DFC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364B99">
        <w:t>X</w:t>
      </w:r>
      <w:r w:rsidR="009239AA">
        <w:t xml:space="preserve"> ]  No </w:t>
      </w:r>
    </w:p>
    <w:p w:rsidR="00C86E91" w:rsidP="00C86E91" w14:paraId="2AC9BE9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</w:t>
      </w:r>
    </w:p>
    <w:p w:rsidR="00C86E91" w:rsidP="00C86E91" w14:paraId="18A0CAB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B8CD877" w14:textId="77777777">
      <w:pPr>
        <w:pStyle w:val="ListParagraph"/>
        <w:ind w:left="0"/>
        <w:rPr>
          <w:b/>
        </w:rPr>
      </w:pPr>
    </w:p>
    <w:p w:rsidR="004D6E14" w14:paraId="15594A37" w14:textId="77777777">
      <w:pPr>
        <w:rPr>
          <w:b/>
        </w:rPr>
      </w:pPr>
    </w:p>
    <w:p w:rsidR="005E714A" w:rsidP="00C86E91" w14:paraId="1D80D28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AE49A2" w:rsidP="00F3170F" w14:paraId="3E1131FF" w14:textId="57F33E75">
      <w:pPr>
        <w:keepNext/>
        <w:keepLines/>
        <w:rPr>
          <w:bCs/>
        </w:rPr>
      </w:pPr>
      <w:r w:rsidRPr="00AE49A2">
        <w:rPr>
          <w:bCs/>
        </w:rPr>
        <w:t xml:space="preserve">CB estimates that the time to complete the SAPR is about </w:t>
      </w:r>
      <w:r w:rsidR="000050C9">
        <w:rPr>
          <w:bCs/>
        </w:rPr>
        <w:t>16.5</w:t>
      </w:r>
      <w:r w:rsidRPr="00AE49A2">
        <w:rPr>
          <w:bCs/>
        </w:rPr>
        <w:t xml:space="preserve"> hours. </w:t>
      </w:r>
      <w:r w:rsidR="00323776">
        <w:rPr>
          <w:bCs/>
        </w:rPr>
        <w:t xml:space="preserve">Grantees report semi-annually. </w:t>
      </w:r>
      <w:r w:rsidR="005E1E33">
        <w:rPr>
          <w:bCs/>
        </w:rPr>
        <w:t>Cohort 5 includes 9 recipients. Two ended in September 2023</w:t>
      </w:r>
      <w:r w:rsidR="005C576C">
        <w:rPr>
          <w:bCs/>
        </w:rPr>
        <w:t>. Two were granted a no cost extension (NCE) through March 2024 and will report one additional time. Five were granted a NCE through September 2024 and will report two additional times.</w:t>
      </w:r>
    </w:p>
    <w:p w:rsidR="00323776" w:rsidRPr="003C678D" w:rsidP="00F3170F" w14:paraId="31479E7F" w14:textId="77777777">
      <w:pPr>
        <w:keepNext/>
        <w:keepLines/>
        <w:rPr>
          <w:bCs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1620"/>
        <w:gridCol w:w="1530"/>
        <w:gridCol w:w="1818"/>
        <w:gridCol w:w="1710"/>
        <w:gridCol w:w="1538"/>
      </w:tblGrid>
      <w:tr w14:paraId="0373AD81" w14:textId="77777777" w:rsidTr="005C576C">
        <w:tblPrEx>
          <w:tblW w:w="1064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  <w:vAlign w:val="center"/>
          </w:tcPr>
          <w:p w:rsidR="005C576C" w:rsidRPr="0001027E" w:rsidP="00EE7A61" w14:paraId="7E15FE0C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5C576C" w:rsidRPr="0001027E" w:rsidP="005C576C" w14:paraId="31813921" w14:textId="3BFA577E">
            <w:pPr>
              <w:jc w:val="center"/>
              <w:rPr>
                <w:b/>
              </w:rPr>
            </w:pPr>
            <w:r>
              <w:rPr>
                <w:b/>
              </w:rPr>
              <w:t>Time period of NCE</w:t>
            </w:r>
          </w:p>
        </w:tc>
        <w:tc>
          <w:tcPr>
            <w:tcW w:w="1530" w:type="dxa"/>
            <w:vAlign w:val="center"/>
          </w:tcPr>
          <w:p w:rsidR="005C576C" w:rsidRPr="0001027E" w:rsidP="00EE7A61" w14:paraId="2CC00287" w14:textId="7C10F483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18" w:type="dxa"/>
            <w:vAlign w:val="center"/>
          </w:tcPr>
          <w:p w:rsidR="005C576C" w:rsidRPr="0001027E" w:rsidP="00EE7A61" w14:paraId="5D2DCBBC" w14:textId="4E7B559F">
            <w:pPr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710" w:type="dxa"/>
            <w:vAlign w:val="center"/>
          </w:tcPr>
          <w:p w:rsidR="005C576C" w:rsidRPr="0001027E" w:rsidP="00EE7A61" w14:paraId="40EDCB35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  <w:vAlign w:val="center"/>
          </w:tcPr>
          <w:p w:rsidR="005C576C" w:rsidRPr="0001027E" w:rsidP="00EE7A61" w14:paraId="7D9976E8" w14:textId="4678E16E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6E4582F2" w14:textId="77777777" w:rsidTr="005C576C">
        <w:tblPrEx>
          <w:tblW w:w="1064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  <w:vMerge w:val="restart"/>
          </w:tcPr>
          <w:p w:rsidR="005C576C" w:rsidP="00843796" w14:paraId="07D3CDDD" w14:textId="78650833">
            <w:r>
              <w:t>Private Sector (Grant recipient)</w:t>
            </w:r>
          </w:p>
        </w:tc>
        <w:tc>
          <w:tcPr>
            <w:tcW w:w="1620" w:type="dxa"/>
          </w:tcPr>
          <w:p w:rsidR="005C576C" w:rsidP="00843796" w14:paraId="61DA107A" w14:textId="5D5E52D8">
            <w:r>
              <w:t>6 months</w:t>
            </w:r>
          </w:p>
        </w:tc>
        <w:tc>
          <w:tcPr>
            <w:tcW w:w="1530" w:type="dxa"/>
          </w:tcPr>
          <w:p w:rsidR="005C576C" w:rsidP="00843796" w14:paraId="638D39E6" w14:textId="56F883F6">
            <w:r>
              <w:t>2</w:t>
            </w:r>
          </w:p>
        </w:tc>
        <w:tc>
          <w:tcPr>
            <w:tcW w:w="1818" w:type="dxa"/>
          </w:tcPr>
          <w:p w:rsidR="005C576C" w:rsidP="00843796" w14:paraId="3BF3299C" w14:textId="16EB62E4">
            <w:r>
              <w:t>1</w:t>
            </w:r>
          </w:p>
        </w:tc>
        <w:tc>
          <w:tcPr>
            <w:tcW w:w="1710" w:type="dxa"/>
          </w:tcPr>
          <w:p w:rsidR="005C576C" w:rsidP="00843796" w14:paraId="7A902594" w14:textId="42F02C5E">
            <w:r>
              <w:t>16.5</w:t>
            </w:r>
          </w:p>
        </w:tc>
        <w:tc>
          <w:tcPr>
            <w:tcW w:w="1538" w:type="dxa"/>
          </w:tcPr>
          <w:p w:rsidR="005C576C" w:rsidP="00843796" w14:paraId="06FE8BCA" w14:textId="5F3D753B">
            <w:r>
              <w:t>33</w:t>
            </w:r>
          </w:p>
        </w:tc>
      </w:tr>
      <w:tr w14:paraId="74903CA1" w14:textId="77777777" w:rsidTr="005C576C">
        <w:tblPrEx>
          <w:tblW w:w="1064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  <w:vMerge/>
          </w:tcPr>
          <w:p w:rsidR="005C576C" w:rsidP="00843796" w14:paraId="3E77EE81" w14:textId="77777777"/>
        </w:tc>
        <w:tc>
          <w:tcPr>
            <w:tcW w:w="1620" w:type="dxa"/>
          </w:tcPr>
          <w:p w:rsidR="005C576C" w:rsidP="00843796" w14:paraId="5B3D6979" w14:textId="0632E59F">
            <w:r>
              <w:t>12 months</w:t>
            </w:r>
          </w:p>
        </w:tc>
        <w:tc>
          <w:tcPr>
            <w:tcW w:w="1530" w:type="dxa"/>
          </w:tcPr>
          <w:p w:rsidR="005C576C" w:rsidP="00843796" w14:paraId="1A058D8D" w14:textId="18E7911C">
            <w:r>
              <w:t>5</w:t>
            </w:r>
          </w:p>
        </w:tc>
        <w:tc>
          <w:tcPr>
            <w:tcW w:w="1818" w:type="dxa"/>
          </w:tcPr>
          <w:p w:rsidR="005C576C" w:rsidP="00843796" w14:paraId="62142706" w14:textId="6500BB92">
            <w:r>
              <w:t>2</w:t>
            </w:r>
          </w:p>
        </w:tc>
        <w:tc>
          <w:tcPr>
            <w:tcW w:w="1710" w:type="dxa"/>
          </w:tcPr>
          <w:p w:rsidR="005C576C" w:rsidP="00843796" w14:paraId="3A29F1FD" w14:textId="180C83D1">
            <w:r>
              <w:t>16.5</w:t>
            </w:r>
          </w:p>
        </w:tc>
        <w:tc>
          <w:tcPr>
            <w:tcW w:w="1538" w:type="dxa"/>
          </w:tcPr>
          <w:p w:rsidR="005C576C" w:rsidP="00843796" w14:paraId="76354475" w14:textId="280F8C3F">
            <w:r>
              <w:t>165</w:t>
            </w:r>
          </w:p>
        </w:tc>
      </w:tr>
      <w:tr w14:paraId="69CA97F6" w14:textId="6436B581" w:rsidTr="005C576C">
        <w:tblPrEx>
          <w:tblW w:w="1064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430" w:type="dxa"/>
          </w:tcPr>
          <w:p w:rsidR="005C576C" w:rsidRPr="0001027E" w:rsidP="00843796" w14:paraId="7C1D3C40" w14:textId="53C73F4F">
            <w:pPr>
              <w:rPr>
                <w:b/>
              </w:rPr>
            </w:pPr>
            <w:r w:rsidRPr="0001027E">
              <w:rPr>
                <w:b/>
              </w:rPr>
              <w:t>Total</w:t>
            </w:r>
            <w:r>
              <w:rPr>
                <w:b/>
              </w:rPr>
              <w:t xml:space="preserve"> Annual Burden:</w:t>
            </w:r>
          </w:p>
        </w:tc>
        <w:tc>
          <w:tcPr>
            <w:tcW w:w="1620" w:type="dxa"/>
          </w:tcPr>
          <w:p w:rsidR="005C576C" w:rsidRPr="0001027E" w:rsidP="00843796" w14:paraId="60B874C7" w14:textId="77777777">
            <w:pPr>
              <w:rPr>
                <w:b/>
              </w:rPr>
            </w:pPr>
          </w:p>
        </w:tc>
        <w:tc>
          <w:tcPr>
            <w:tcW w:w="1530" w:type="dxa"/>
          </w:tcPr>
          <w:p w:rsidR="005C576C" w:rsidRPr="0001027E" w:rsidP="00843796" w14:paraId="089D6315" w14:textId="5E04297C">
            <w:pPr>
              <w:rPr>
                <w:b/>
              </w:rPr>
            </w:pPr>
          </w:p>
        </w:tc>
        <w:tc>
          <w:tcPr>
            <w:tcW w:w="1818" w:type="dxa"/>
          </w:tcPr>
          <w:p w:rsidR="005C576C" w:rsidP="00843796" w14:paraId="18EECB9D" w14:textId="30EB186E"/>
        </w:tc>
        <w:tc>
          <w:tcPr>
            <w:tcW w:w="1710" w:type="dxa"/>
          </w:tcPr>
          <w:p w:rsidR="005C576C" w:rsidP="00843796" w14:paraId="1C05F53E" w14:textId="4614FAEB"/>
        </w:tc>
        <w:tc>
          <w:tcPr>
            <w:tcW w:w="1538" w:type="dxa"/>
          </w:tcPr>
          <w:p w:rsidR="005C576C" w:rsidRPr="0001027E" w:rsidP="00843796" w14:paraId="2B9E0FA3" w14:textId="1DD4A29A">
            <w:pPr>
              <w:rPr>
                <w:b/>
              </w:rPr>
            </w:pPr>
            <w:r>
              <w:rPr>
                <w:b/>
              </w:rPr>
              <w:t>198 hours</w:t>
            </w:r>
          </w:p>
        </w:tc>
      </w:tr>
    </w:tbl>
    <w:p w:rsidR="00F3170F" w:rsidP="00F3170F" w14:paraId="1C34979B" w14:textId="77777777"/>
    <w:p w:rsidR="005E714A" w14:paraId="28A8C39E" w14:textId="016EACD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</w:t>
      </w:r>
      <w:r w:rsidR="00C86E91">
        <w:t xml:space="preserve">is  </w:t>
      </w:r>
      <w:r w:rsidRPr="00CA6652" w:rsidR="00C86E91">
        <w:rPr>
          <w:u w:val="single"/>
        </w:rPr>
        <w:t>_</w:t>
      </w:r>
      <w:r w:rsidRPr="00CA6652" w:rsidR="00C86E91">
        <w:rPr>
          <w:u w:val="single"/>
        </w:rPr>
        <w:t>___</w:t>
      </w:r>
      <w:r w:rsidRPr="00CA6652" w:rsidR="00FC37E4">
        <w:rPr>
          <w:u w:val="single"/>
        </w:rPr>
        <w:t>$</w:t>
      </w:r>
      <w:r w:rsidR="0042467E">
        <w:rPr>
          <w:u w:val="single"/>
        </w:rPr>
        <w:t>3,420</w:t>
      </w:r>
      <w:r w:rsidR="00C86E91">
        <w:t>____</w:t>
      </w:r>
    </w:p>
    <w:p w:rsidR="00EE7A61" w:rsidP="00A403BB" w14:paraId="6D65419D" w14:textId="77777777">
      <w:pPr>
        <w:rPr>
          <w:b/>
        </w:rPr>
      </w:pPr>
    </w:p>
    <w:p w:rsidR="00A403BB" w:rsidP="00A403BB" w14:paraId="60930D3C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046F918A" w14:textId="77777777">
      <w:pPr>
        <w:rPr>
          <w:b/>
        </w:rPr>
      </w:pPr>
    </w:p>
    <w:p w:rsidR="00A403BB" w:rsidP="00630A62" w14:paraId="472F0D56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31F6A8A" w14:textId="05D8CC91">
      <w:pPr>
        <w:ind w:left="720"/>
      </w:pPr>
      <w:r>
        <w:t>[</w:t>
      </w:r>
      <w:r>
        <w:t xml:space="preserve"> </w:t>
      </w:r>
      <w:r w:rsidR="0042467E">
        <w:t>X</w:t>
      </w:r>
      <w:r>
        <w:t>] Web-based</w:t>
      </w:r>
      <w:r>
        <w:t xml:space="preserve">  </w:t>
      </w:r>
    </w:p>
    <w:p w:rsidR="001B0AAA" w:rsidP="001B0AAA" w14:paraId="17472938" w14:textId="28D9FFAF">
      <w:pPr>
        <w:ind w:left="720"/>
      </w:pPr>
      <w:r>
        <w:t xml:space="preserve">[ </w:t>
      </w:r>
      <w:r w:rsidR="0009342C">
        <w:t>X</w:t>
      </w:r>
      <w:r w:rsidR="00BD3E02">
        <w:t>] E-mail</w:t>
      </w:r>
      <w:r w:rsidR="00A403BB">
        <w:tab/>
      </w:r>
    </w:p>
    <w:p w:rsidR="001B0AAA" w:rsidP="001B0AAA" w14:paraId="2005113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7D71B2C8" w14:textId="2B06125E">
      <w:pPr>
        <w:ind w:left="720"/>
      </w:pPr>
      <w:r>
        <w:t>[</w:t>
      </w:r>
      <w:r>
        <w:t xml:space="preserve"> </w:t>
      </w:r>
      <w:r>
        <w:t>]</w:t>
      </w:r>
      <w:r>
        <w:t xml:space="preserve"> Other, Explain</w:t>
      </w:r>
      <w:r w:rsidR="00364B99">
        <w:t xml:space="preserve"> </w:t>
      </w:r>
    </w:p>
    <w:p w:rsidR="00F24CFC" w:rsidP="00EE7A61" w14:paraId="0DE49A05" w14:textId="77777777">
      <w:r>
        <w:t xml:space="preserve"> </w:t>
      </w:r>
    </w:p>
    <w:p w:rsidR="007D15CF" w:rsidRPr="008E6E2E" w:rsidP="008E6E2E" w14:paraId="61CDA7EF" w14:textId="4AB02E7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2F602D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7A6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694544">
    <w:abstractNumId w:val="13"/>
  </w:num>
  <w:num w:numId="2" w16cid:durableId="818158336">
    <w:abstractNumId w:val="20"/>
  </w:num>
  <w:num w:numId="3" w16cid:durableId="1480003616">
    <w:abstractNumId w:val="19"/>
  </w:num>
  <w:num w:numId="4" w16cid:durableId="1719353304">
    <w:abstractNumId w:val="21"/>
  </w:num>
  <w:num w:numId="5" w16cid:durableId="1162162251">
    <w:abstractNumId w:val="3"/>
  </w:num>
  <w:num w:numId="6" w16cid:durableId="866020404">
    <w:abstractNumId w:val="1"/>
  </w:num>
  <w:num w:numId="7" w16cid:durableId="849835243">
    <w:abstractNumId w:val="11"/>
  </w:num>
  <w:num w:numId="8" w16cid:durableId="1898710819">
    <w:abstractNumId w:val="16"/>
  </w:num>
  <w:num w:numId="9" w16cid:durableId="986588324">
    <w:abstractNumId w:val="12"/>
  </w:num>
  <w:num w:numId="10" w16cid:durableId="985547088">
    <w:abstractNumId w:val="2"/>
  </w:num>
  <w:num w:numId="11" w16cid:durableId="136654685">
    <w:abstractNumId w:val="8"/>
  </w:num>
  <w:num w:numId="12" w16cid:durableId="1139305090">
    <w:abstractNumId w:val="10"/>
  </w:num>
  <w:num w:numId="13" w16cid:durableId="1723750125">
    <w:abstractNumId w:val="0"/>
  </w:num>
  <w:num w:numId="14" w16cid:durableId="2100061086">
    <w:abstractNumId w:val="18"/>
  </w:num>
  <w:num w:numId="15" w16cid:durableId="1317149811">
    <w:abstractNumId w:val="15"/>
  </w:num>
  <w:num w:numId="16" w16cid:durableId="1276982776">
    <w:abstractNumId w:val="14"/>
  </w:num>
  <w:num w:numId="17" w16cid:durableId="1000815571">
    <w:abstractNumId w:val="4"/>
  </w:num>
  <w:num w:numId="18" w16cid:durableId="899097280">
    <w:abstractNumId w:val="7"/>
  </w:num>
  <w:num w:numId="19" w16cid:durableId="1268583543">
    <w:abstractNumId w:val="6"/>
  </w:num>
  <w:num w:numId="20" w16cid:durableId="148400473">
    <w:abstractNumId w:val="5"/>
  </w:num>
  <w:num w:numId="21" w16cid:durableId="872768225">
    <w:abstractNumId w:val="9"/>
  </w:num>
  <w:num w:numId="22" w16cid:durableId="2079740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53F"/>
    <w:rsid w:val="000050C9"/>
    <w:rsid w:val="0001027E"/>
    <w:rsid w:val="00023A57"/>
    <w:rsid w:val="00047A64"/>
    <w:rsid w:val="00067329"/>
    <w:rsid w:val="00070465"/>
    <w:rsid w:val="000761A2"/>
    <w:rsid w:val="0007782B"/>
    <w:rsid w:val="0009342C"/>
    <w:rsid w:val="000946EC"/>
    <w:rsid w:val="000B2838"/>
    <w:rsid w:val="000B59B0"/>
    <w:rsid w:val="000C7E23"/>
    <w:rsid w:val="000D23D5"/>
    <w:rsid w:val="000D44CA"/>
    <w:rsid w:val="000E200B"/>
    <w:rsid w:val="000F12D1"/>
    <w:rsid w:val="000F68BE"/>
    <w:rsid w:val="001041FB"/>
    <w:rsid w:val="00124D7A"/>
    <w:rsid w:val="001274DD"/>
    <w:rsid w:val="0013209B"/>
    <w:rsid w:val="00152CE4"/>
    <w:rsid w:val="001927A4"/>
    <w:rsid w:val="00194AC6"/>
    <w:rsid w:val="00196E2D"/>
    <w:rsid w:val="001A23B0"/>
    <w:rsid w:val="001A25CC"/>
    <w:rsid w:val="001A53B6"/>
    <w:rsid w:val="001B0AAA"/>
    <w:rsid w:val="001C39F7"/>
    <w:rsid w:val="001C3C1C"/>
    <w:rsid w:val="001D4A37"/>
    <w:rsid w:val="001D653A"/>
    <w:rsid w:val="001F504E"/>
    <w:rsid w:val="00213A49"/>
    <w:rsid w:val="00237B48"/>
    <w:rsid w:val="0024521E"/>
    <w:rsid w:val="00263C3D"/>
    <w:rsid w:val="00274D0B"/>
    <w:rsid w:val="002969EF"/>
    <w:rsid w:val="002B052D"/>
    <w:rsid w:val="002B05A6"/>
    <w:rsid w:val="002B34CD"/>
    <w:rsid w:val="002B3C95"/>
    <w:rsid w:val="002D0B92"/>
    <w:rsid w:val="002D2FB1"/>
    <w:rsid w:val="00323776"/>
    <w:rsid w:val="00327E43"/>
    <w:rsid w:val="0033658F"/>
    <w:rsid w:val="00351A0F"/>
    <w:rsid w:val="00363290"/>
    <w:rsid w:val="00364B99"/>
    <w:rsid w:val="003A183F"/>
    <w:rsid w:val="003C4FFE"/>
    <w:rsid w:val="003C678D"/>
    <w:rsid w:val="003D5BBE"/>
    <w:rsid w:val="003E3C61"/>
    <w:rsid w:val="003F1C5B"/>
    <w:rsid w:val="0041242E"/>
    <w:rsid w:val="0042467E"/>
    <w:rsid w:val="00434E33"/>
    <w:rsid w:val="004410DB"/>
    <w:rsid w:val="00441434"/>
    <w:rsid w:val="00450379"/>
    <w:rsid w:val="00451971"/>
    <w:rsid w:val="0045264C"/>
    <w:rsid w:val="00452D11"/>
    <w:rsid w:val="00453C8F"/>
    <w:rsid w:val="004651E5"/>
    <w:rsid w:val="004677A8"/>
    <w:rsid w:val="004745D4"/>
    <w:rsid w:val="004757BF"/>
    <w:rsid w:val="00476B74"/>
    <w:rsid w:val="004876EC"/>
    <w:rsid w:val="004879BF"/>
    <w:rsid w:val="00497761"/>
    <w:rsid w:val="004D6E14"/>
    <w:rsid w:val="004F061F"/>
    <w:rsid w:val="005009B0"/>
    <w:rsid w:val="00534D18"/>
    <w:rsid w:val="0054382E"/>
    <w:rsid w:val="005854E1"/>
    <w:rsid w:val="0058602A"/>
    <w:rsid w:val="005936D8"/>
    <w:rsid w:val="005A1006"/>
    <w:rsid w:val="005C576C"/>
    <w:rsid w:val="005E1E33"/>
    <w:rsid w:val="005E714A"/>
    <w:rsid w:val="005F693D"/>
    <w:rsid w:val="0060504A"/>
    <w:rsid w:val="006140A0"/>
    <w:rsid w:val="006225AF"/>
    <w:rsid w:val="00630A62"/>
    <w:rsid w:val="00636621"/>
    <w:rsid w:val="00642B49"/>
    <w:rsid w:val="006832D9"/>
    <w:rsid w:val="00683B51"/>
    <w:rsid w:val="0069403B"/>
    <w:rsid w:val="006B57D0"/>
    <w:rsid w:val="006C461F"/>
    <w:rsid w:val="006E0F02"/>
    <w:rsid w:val="006E496E"/>
    <w:rsid w:val="006F3DDE"/>
    <w:rsid w:val="00704678"/>
    <w:rsid w:val="00707318"/>
    <w:rsid w:val="00727FA4"/>
    <w:rsid w:val="007425E7"/>
    <w:rsid w:val="00751779"/>
    <w:rsid w:val="00787F49"/>
    <w:rsid w:val="00792EC4"/>
    <w:rsid w:val="007C3A92"/>
    <w:rsid w:val="007D15CF"/>
    <w:rsid w:val="007E1994"/>
    <w:rsid w:val="007E1C06"/>
    <w:rsid w:val="007E5E4B"/>
    <w:rsid w:val="007F7080"/>
    <w:rsid w:val="00802607"/>
    <w:rsid w:val="00805B42"/>
    <w:rsid w:val="00807104"/>
    <w:rsid w:val="008101A5"/>
    <w:rsid w:val="00810337"/>
    <w:rsid w:val="00822664"/>
    <w:rsid w:val="008228C3"/>
    <w:rsid w:val="00843796"/>
    <w:rsid w:val="0085509B"/>
    <w:rsid w:val="00895229"/>
    <w:rsid w:val="008B2EB3"/>
    <w:rsid w:val="008B7992"/>
    <w:rsid w:val="008C7D85"/>
    <w:rsid w:val="008E6E2E"/>
    <w:rsid w:val="008F0203"/>
    <w:rsid w:val="008F50D4"/>
    <w:rsid w:val="008F63B5"/>
    <w:rsid w:val="009239AA"/>
    <w:rsid w:val="00925AB5"/>
    <w:rsid w:val="0093272F"/>
    <w:rsid w:val="00935ADA"/>
    <w:rsid w:val="00946B6C"/>
    <w:rsid w:val="00955A71"/>
    <w:rsid w:val="0096108F"/>
    <w:rsid w:val="0098404E"/>
    <w:rsid w:val="009921A9"/>
    <w:rsid w:val="00996DFA"/>
    <w:rsid w:val="009B52DC"/>
    <w:rsid w:val="009C13B9"/>
    <w:rsid w:val="009C3B2C"/>
    <w:rsid w:val="009D01A2"/>
    <w:rsid w:val="009D2287"/>
    <w:rsid w:val="009F5923"/>
    <w:rsid w:val="00A02F53"/>
    <w:rsid w:val="00A064F6"/>
    <w:rsid w:val="00A403BB"/>
    <w:rsid w:val="00A53F82"/>
    <w:rsid w:val="00A6138D"/>
    <w:rsid w:val="00A674DF"/>
    <w:rsid w:val="00A83AA6"/>
    <w:rsid w:val="00A90755"/>
    <w:rsid w:val="00A913C5"/>
    <w:rsid w:val="00A934D6"/>
    <w:rsid w:val="00A9524E"/>
    <w:rsid w:val="00AE1809"/>
    <w:rsid w:val="00AE49A2"/>
    <w:rsid w:val="00AF47AD"/>
    <w:rsid w:val="00B0189D"/>
    <w:rsid w:val="00B1149A"/>
    <w:rsid w:val="00B262C7"/>
    <w:rsid w:val="00B539E4"/>
    <w:rsid w:val="00B65832"/>
    <w:rsid w:val="00B80D76"/>
    <w:rsid w:val="00B824F4"/>
    <w:rsid w:val="00B954CA"/>
    <w:rsid w:val="00BA2105"/>
    <w:rsid w:val="00BA3454"/>
    <w:rsid w:val="00BA7E06"/>
    <w:rsid w:val="00BB31A0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A6652"/>
    <w:rsid w:val="00CB1078"/>
    <w:rsid w:val="00CB4CC2"/>
    <w:rsid w:val="00CB502B"/>
    <w:rsid w:val="00CC6FAF"/>
    <w:rsid w:val="00CE20BD"/>
    <w:rsid w:val="00CF6542"/>
    <w:rsid w:val="00D24698"/>
    <w:rsid w:val="00D45A24"/>
    <w:rsid w:val="00D45AF2"/>
    <w:rsid w:val="00D62DFA"/>
    <w:rsid w:val="00D6383F"/>
    <w:rsid w:val="00D82880"/>
    <w:rsid w:val="00DA024B"/>
    <w:rsid w:val="00DA69A6"/>
    <w:rsid w:val="00DA6B71"/>
    <w:rsid w:val="00DB0277"/>
    <w:rsid w:val="00DB59D0"/>
    <w:rsid w:val="00DC33D3"/>
    <w:rsid w:val="00DC5B02"/>
    <w:rsid w:val="00DE7149"/>
    <w:rsid w:val="00E02310"/>
    <w:rsid w:val="00E26329"/>
    <w:rsid w:val="00E40B50"/>
    <w:rsid w:val="00E50293"/>
    <w:rsid w:val="00E6519D"/>
    <w:rsid w:val="00E65FFC"/>
    <w:rsid w:val="00E744EA"/>
    <w:rsid w:val="00E80951"/>
    <w:rsid w:val="00E86CC6"/>
    <w:rsid w:val="00EB56B3"/>
    <w:rsid w:val="00ED6492"/>
    <w:rsid w:val="00EE7A61"/>
    <w:rsid w:val="00EF2095"/>
    <w:rsid w:val="00EF3B10"/>
    <w:rsid w:val="00F0088A"/>
    <w:rsid w:val="00F025D9"/>
    <w:rsid w:val="00F06866"/>
    <w:rsid w:val="00F149A5"/>
    <w:rsid w:val="00F155C5"/>
    <w:rsid w:val="00F15956"/>
    <w:rsid w:val="00F24CFC"/>
    <w:rsid w:val="00F3170F"/>
    <w:rsid w:val="00F32D4F"/>
    <w:rsid w:val="00F51AC7"/>
    <w:rsid w:val="00F85161"/>
    <w:rsid w:val="00F87126"/>
    <w:rsid w:val="00F976B0"/>
    <w:rsid w:val="00FA6DE7"/>
    <w:rsid w:val="00FC0A8E"/>
    <w:rsid w:val="00FC37E4"/>
    <w:rsid w:val="00FC5E91"/>
    <w:rsid w:val="00FD3955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4390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C5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B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3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77A4-5213-4A7C-9827-E1D0F4BA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2024-04-05T10:16:00Z</dcterms:created>
  <dcterms:modified xsi:type="dcterms:W3CDTF">2024-04-05T10:16:00Z</dcterms:modified>
</cp:coreProperties>
</file>