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464E" w14:paraId="07E60484" w14:textId="77777777">
      <w:pPr>
        <w:pStyle w:val="BodyText"/>
        <w:ind w:left="18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087797" cy="1389888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797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64E" w14:paraId="07E60485" w14:textId="77777777">
      <w:pPr>
        <w:pStyle w:val="BodyText"/>
        <w:spacing w:before="116"/>
        <w:rPr>
          <w:rFonts w:ascii="Times New Roman"/>
          <w:sz w:val="23"/>
        </w:rPr>
      </w:pPr>
    </w:p>
    <w:p w:rsidR="0047464E" w14:paraId="07E60487" w14:textId="77777777">
      <w:pPr>
        <w:pStyle w:val="Title"/>
        <w:rPr>
          <w:u w:val="none"/>
        </w:rPr>
      </w:pPr>
      <w:r>
        <w:rPr>
          <w:color w:val="1C1C1C"/>
          <w:w w:val="105"/>
          <w:u w:color="1C1C1C"/>
        </w:rPr>
        <w:t>Instructions</w:t>
      </w:r>
      <w:r>
        <w:rPr>
          <w:color w:val="1C1C1C"/>
          <w:spacing w:val="-11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for</w:t>
      </w:r>
      <w:r>
        <w:rPr>
          <w:color w:val="1C1C1C"/>
          <w:spacing w:val="-5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Transfer</w:t>
      </w:r>
      <w:r>
        <w:rPr>
          <w:color w:val="1C1C1C"/>
          <w:spacing w:val="-8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of</w:t>
      </w:r>
      <w:r>
        <w:rPr>
          <w:color w:val="1C1C1C"/>
          <w:spacing w:val="-8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Title</w:t>
      </w:r>
      <w:r>
        <w:rPr>
          <w:color w:val="1C1C1C"/>
          <w:spacing w:val="-8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III</w:t>
      </w:r>
      <w:r>
        <w:rPr>
          <w:color w:val="1C1C1C"/>
          <w:spacing w:val="-8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Older</w:t>
      </w:r>
      <w:r>
        <w:rPr>
          <w:color w:val="1C1C1C"/>
          <w:spacing w:val="-8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Americans</w:t>
      </w:r>
      <w:r>
        <w:rPr>
          <w:color w:val="1C1C1C"/>
          <w:spacing w:val="-9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Act</w:t>
      </w:r>
      <w:r>
        <w:rPr>
          <w:color w:val="1C1C1C"/>
          <w:spacing w:val="-3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Formula</w:t>
      </w:r>
      <w:r>
        <w:rPr>
          <w:color w:val="1C1C1C"/>
          <w:spacing w:val="-6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Grant</w:t>
      </w:r>
      <w:r>
        <w:rPr>
          <w:color w:val="1C1C1C"/>
          <w:spacing w:val="-5"/>
          <w:w w:val="105"/>
          <w:u w:color="1C1C1C"/>
        </w:rPr>
        <w:t xml:space="preserve"> </w:t>
      </w:r>
      <w:r>
        <w:rPr>
          <w:color w:val="1C1C1C"/>
          <w:spacing w:val="-2"/>
          <w:w w:val="105"/>
          <w:u w:color="1C1C1C"/>
        </w:rPr>
        <w:t>Funds</w:t>
      </w:r>
    </w:p>
    <w:p w:rsidR="0047464E" w14:paraId="07E60488" w14:textId="77777777">
      <w:pPr>
        <w:pStyle w:val="BodyText"/>
        <w:tabs>
          <w:tab w:val="left" w:pos="1551"/>
        </w:tabs>
        <w:spacing w:before="186"/>
        <w:ind w:left="112"/>
      </w:pPr>
      <w:r>
        <w:rPr>
          <w:color w:val="1C1C1C"/>
        </w:rPr>
        <w:t>DUE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2"/>
        </w:rPr>
        <w:t>DATE:</w:t>
      </w:r>
      <w:r>
        <w:rPr>
          <w:color w:val="1C1C1C"/>
        </w:rPr>
        <w:tab/>
      </w:r>
      <w:r>
        <w:rPr>
          <w:color w:val="1C1C1C"/>
          <w:spacing w:val="-2"/>
        </w:rPr>
        <w:t>On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before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</w:rPr>
        <w:t>August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</w:rPr>
        <w:t>1,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-2"/>
        </w:rPr>
        <w:t>in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2"/>
        </w:rPr>
        <w:t>final</w:t>
      </w:r>
      <w:r>
        <w:rPr>
          <w:color w:val="1C1C1C"/>
          <w:spacing w:val="-19"/>
        </w:rPr>
        <w:t xml:space="preserve"> </w:t>
      </w:r>
      <w:r>
        <w:rPr>
          <w:color w:val="1C1C1C"/>
          <w:spacing w:val="-2"/>
        </w:rPr>
        <w:t>year</w:t>
      </w:r>
      <w:r>
        <w:rPr>
          <w:color w:val="1C1C1C"/>
          <w:spacing w:val="-17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2"/>
        </w:rPr>
        <w:t>original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2"/>
        </w:rPr>
        <w:t>two-year</w:t>
      </w:r>
      <w:r>
        <w:rPr>
          <w:color w:val="1C1C1C"/>
          <w:spacing w:val="-17"/>
        </w:rPr>
        <w:t xml:space="preserve"> </w:t>
      </w:r>
      <w:r>
        <w:rPr>
          <w:color w:val="1C1C1C"/>
          <w:spacing w:val="-2"/>
        </w:rPr>
        <w:t>project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2"/>
        </w:rPr>
        <w:t>period</w:t>
      </w:r>
    </w:p>
    <w:p w:rsidR="0047464E" w14:paraId="07E60489" w14:textId="77777777">
      <w:pPr>
        <w:pStyle w:val="BodyText"/>
      </w:pPr>
    </w:p>
    <w:p w:rsidR="0047464E" w14:paraId="07E6048A" w14:textId="77777777">
      <w:pPr>
        <w:pStyle w:val="BodyText"/>
        <w:tabs>
          <w:tab w:val="left" w:pos="1551"/>
        </w:tabs>
        <w:ind w:left="1551" w:right="919" w:hanging="1442"/>
      </w:pPr>
      <w:r>
        <w:rPr>
          <w:color w:val="1C1C1C"/>
          <w:spacing w:val="-2"/>
          <w:w w:val="105"/>
        </w:rPr>
        <w:t>CITATIONS:</w:t>
      </w:r>
      <w:r>
        <w:rPr>
          <w:color w:val="1C1C1C"/>
        </w:rPr>
        <w:tab/>
      </w:r>
      <w:r>
        <w:rPr>
          <w:color w:val="1C1C1C"/>
          <w:w w:val="105"/>
        </w:rPr>
        <w:t>Older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Americans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Act,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Amended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Sections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308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(b)(4)(A),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308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(b)(4)(B),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308 (b)(4)(C), 308 (b)(5)(A), and 316</w:t>
      </w:r>
    </w:p>
    <w:p w:rsidR="0047464E" w14:paraId="07E6048B" w14:textId="77777777">
      <w:pPr>
        <w:pStyle w:val="BodyText"/>
        <w:spacing w:before="93"/>
      </w:pPr>
    </w:p>
    <w:p w:rsidR="0047464E" w14:paraId="07E6048C" w14:textId="77777777">
      <w:pPr>
        <w:pStyle w:val="Heading1"/>
        <w:ind w:left="112"/>
        <w:rPr>
          <w:u w:val="none"/>
        </w:rPr>
      </w:pPr>
      <w:r>
        <w:rPr>
          <w:color w:val="1C1C1C"/>
          <w:spacing w:val="-2"/>
          <w:w w:val="105"/>
          <w:u w:color="1C1C1C"/>
        </w:rPr>
        <w:t>Background</w:t>
      </w:r>
    </w:p>
    <w:p w:rsidR="0047464E" w14:paraId="07E6048D" w14:textId="77777777">
      <w:pPr>
        <w:pStyle w:val="BodyText"/>
        <w:spacing w:before="112"/>
        <w:rPr>
          <w:b/>
        </w:rPr>
      </w:pPr>
    </w:p>
    <w:p w:rsidR="0047464E" w14:paraId="07E6048E" w14:textId="77777777">
      <w:pPr>
        <w:pStyle w:val="BodyText"/>
        <w:spacing w:line="259" w:lineRule="auto"/>
        <w:ind w:left="111"/>
      </w:pPr>
      <w:r>
        <w:rPr>
          <w:color w:val="1C1C1C"/>
          <w:w w:val="105"/>
        </w:rPr>
        <w:t>The Older Americans Act (OAA), as amended provides authority for States and Territories to transfer funds, within statutory limits, among their allotments for Home and Community Based Supportive Services (III-B), Congregate Nutrition Services (III-C1), and Home-Delivered Nutrition Services (III-C2).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There is, however, </w:t>
      </w:r>
      <w:r>
        <w:rPr>
          <w:b/>
          <w:color w:val="1C1C1C"/>
          <w:w w:val="105"/>
          <w:u w:val="thick" w:color="1C1C1C"/>
        </w:rPr>
        <w:t>no authority</w:t>
      </w:r>
      <w:r>
        <w:rPr>
          <w:b/>
          <w:color w:val="1C1C1C"/>
          <w:w w:val="105"/>
        </w:rPr>
        <w:t xml:space="preserve"> </w:t>
      </w:r>
      <w:r>
        <w:rPr>
          <w:color w:val="1C1C1C"/>
          <w:w w:val="105"/>
        </w:rPr>
        <w:t>for States or Territories to transfer funds in or out of the allotments for Preventive Health Services Disease Prevention (III-D), and the National Family Caregiver Support Program (III-E).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This instruction provides procedures for reporting to 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Administration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Community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Living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(ACL)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transfer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funds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among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Title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III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allotments,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as permitted in the OAA.</w:t>
      </w:r>
    </w:p>
    <w:p w:rsidR="0047464E" w14:paraId="07E6048F" w14:textId="77777777">
      <w:pPr>
        <w:pStyle w:val="Heading1"/>
        <w:spacing w:before="155" w:line="249" w:lineRule="auto"/>
        <w:ind w:left="112" w:right="9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454045</wp:posOffset>
                </wp:positionV>
                <wp:extent cx="36830" cy="107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8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6830" stroke="1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6575" y="1068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2.9pt;height:0.85pt;margin-top:35.75pt;margin-left:105.5pt;mso-position-horizontal-relative:page;mso-wrap-distance-bottom:0;mso-wrap-distance-left:0;mso-wrap-distance-right:0;mso-wrap-distance-top:0;mso-wrap-style:square;position:absolute;visibility:visible;v-text-anchor:top;z-index:-251657216" coordsize="36830,10795" path="m36575,l,,,10680l36575,10680l36575,xe" fillcolor="black" stroked="f">
                <v:path arrowok="t"/>
              </v:shape>
            </w:pict>
          </mc:Fallback>
        </mc:AlternateContent>
      </w:r>
      <w:r>
        <w:rPr>
          <w:color w:val="1C1C1C"/>
          <w:w w:val="105"/>
          <w:u w:color="1C1C1C"/>
        </w:rPr>
        <w:t>Transfers</w:t>
      </w:r>
      <w:r>
        <w:rPr>
          <w:color w:val="1C1C1C"/>
          <w:spacing w:val="-13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between</w:t>
      </w:r>
      <w:r>
        <w:rPr>
          <w:color w:val="1C1C1C"/>
          <w:spacing w:val="-11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Congregate</w:t>
      </w:r>
      <w:r>
        <w:rPr>
          <w:color w:val="1C1C1C"/>
          <w:spacing w:val="-12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Nutrition</w:t>
      </w:r>
      <w:r>
        <w:rPr>
          <w:color w:val="1C1C1C"/>
          <w:spacing w:val="-9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Services</w:t>
      </w:r>
      <w:r>
        <w:rPr>
          <w:color w:val="1C1C1C"/>
          <w:spacing w:val="-15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(Title</w:t>
      </w:r>
      <w:r>
        <w:rPr>
          <w:color w:val="1C1C1C"/>
          <w:spacing w:val="-14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III-C1)</w:t>
      </w:r>
      <w:r>
        <w:rPr>
          <w:color w:val="1C1C1C"/>
          <w:spacing w:val="-12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and</w:t>
      </w:r>
      <w:r>
        <w:rPr>
          <w:color w:val="1C1C1C"/>
          <w:spacing w:val="-11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Home-Delivered</w:t>
      </w:r>
      <w:r>
        <w:rPr>
          <w:color w:val="1C1C1C"/>
          <w:w w:val="105"/>
          <w:u w:val="none"/>
        </w:rPr>
        <w:t xml:space="preserve"> </w:t>
      </w:r>
      <w:r>
        <w:rPr>
          <w:color w:val="1C1C1C"/>
          <w:w w:val="105"/>
          <w:u w:color="1C1C1C"/>
        </w:rPr>
        <w:t>Nutrition Services (Title III-C2):</w:t>
      </w:r>
    </w:p>
    <w:p w:rsidR="0047464E" w14:paraId="07E60490" w14:textId="77777777">
      <w:pPr>
        <w:pStyle w:val="BodyText"/>
        <w:spacing w:before="7"/>
        <w:rPr>
          <w:b/>
        </w:rPr>
      </w:pPr>
    </w:p>
    <w:p w:rsidR="0047464E" w14:paraId="07E60491" w14:textId="77777777">
      <w:pPr>
        <w:pStyle w:val="BodyText"/>
        <w:spacing w:line="249" w:lineRule="auto"/>
        <w:ind w:left="110" w:right="819" w:firstLine="1"/>
      </w:pPr>
      <w:r>
        <w:rPr>
          <w:color w:val="1C1C1C"/>
          <w:w w:val="105"/>
        </w:rPr>
        <w:t>States and Territories may transfer a total of up to 40% of their allotment for Title III-C1 to Title III-C2, or vice versa.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By statute, the election to transfer funds is a State or Territory decision that may be disapproved by the U.S. Assistant Secretary for Aging (ASA),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only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ASA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determines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transfer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consistent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objectives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of the OAA, as amended.</w:t>
      </w:r>
    </w:p>
    <w:p w:rsidR="0047464E" w14:paraId="07E60492" w14:textId="77777777">
      <w:pPr>
        <w:pStyle w:val="BodyText"/>
        <w:spacing w:before="5"/>
      </w:pPr>
    </w:p>
    <w:p w:rsidR="0047464E" w14:paraId="07E60493" w14:textId="77777777">
      <w:pPr>
        <w:pStyle w:val="BodyText"/>
        <w:spacing w:line="249" w:lineRule="auto"/>
        <w:ind w:left="111" w:right="863"/>
      </w:pPr>
      <w:r>
        <w:rPr>
          <w:color w:val="1C1C1C"/>
          <w:w w:val="105"/>
        </w:rPr>
        <w:t>The OAA, as amended provides that the ASA may grant a waiver to permit a State or Territory to transfer an additional 10%, i.e., up to a total of 50%, of funds between Titles III-C1 and III-C2. The approval of such a waiver by the ASA is contingent upon the State’s or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Territory’s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demonstration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funds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available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under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Titles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III-C1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III-C2,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including transfers, are insufficient to satisfy needs. The content requirements of the waiver request are specified in section 308 (b)(4)(C).</w:t>
      </w:r>
    </w:p>
    <w:p w:rsidR="0047464E" w14:paraId="07E60494" w14:textId="77777777">
      <w:pPr>
        <w:spacing w:line="249" w:lineRule="auto"/>
        <w:sectPr>
          <w:type w:val="continuous"/>
          <w:pgSz w:w="12240" w:h="15840"/>
          <w:pgMar w:top="720" w:right="1120" w:bottom="280" w:left="1040" w:header="720" w:footer="720" w:gutter="0"/>
          <w:cols w:space="720"/>
        </w:sectPr>
      </w:pPr>
    </w:p>
    <w:p w:rsidR="0047464E" w14:paraId="07E60495" w14:textId="77777777">
      <w:pPr>
        <w:pStyle w:val="Heading1"/>
        <w:spacing w:before="30" w:line="249" w:lineRule="auto"/>
        <w:ind w:right="111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1414144</wp:posOffset>
                </wp:positionH>
                <wp:positionV relativeFrom="paragraph">
                  <wp:posOffset>374650</wp:posOffset>
                </wp:positionV>
                <wp:extent cx="36830" cy="1079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8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6830" stroke="1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6575" y="10668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2.9pt;height:0.85pt;margin-top:29.5pt;margin-left:111.35pt;mso-position-horizontal-relative:page;mso-wrap-distance-bottom:0;mso-wrap-distance-left:0;mso-wrap-distance-right:0;mso-wrap-distance-top:0;mso-wrap-style:square;position:absolute;visibility:visible;v-text-anchor:top;z-index:-251655168" coordsize="36830,10795" path="m36575,l,,,10668l36575,10668l36575,xe" fillcolor="black" stroked="f">
                <v:path arrowok="t"/>
              </v:shape>
            </w:pict>
          </mc:Fallback>
        </mc:AlternateContent>
      </w:r>
      <w:r>
        <w:rPr>
          <w:color w:val="1C1C1C"/>
          <w:w w:val="105"/>
          <w:u w:color="1C1C1C"/>
        </w:rPr>
        <w:t>Transfers</w:t>
      </w:r>
      <w:r>
        <w:rPr>
          <w:color w:val="1C1C1C"/>
          <w:spacing w:val="-15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between</w:t>
      </w:r>
      <w:r>
        <w:rPr>
          <w:color w:val="1C1C1C"/>
          <w:spacing w:val="-13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Home</w:t>
      </w:r>
      <w:r>
        <w:rPr>
          <w:color w:val="1C1C1C"/>
          <w:spacing w:val="-12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and</w:t>
      </w:r>
      <w:r>
        <w:rPr>
          <w:color w:val="1C1C1C"/>
          <w:spacing w:val="-15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Community</w:t>
      </w:r>
      <w:r>
        <w:rPr>
          <w:color w:val="1C1C1C"/>
          <w:spacing w:val="-9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Based</w:t>
      </w:r>
      <w:r>
        <w:rPr>
          <w:color w:val="1C1C1C"/>
          <w:spacing w:val="-15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Supportive</w:t>
      </w:r>
      <w:r>
        <w:rPr>
          <w:color w:val="1C1C1C"/>
          <w:spacing w:val="-13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Services</w:t>
      </w:r>
      <w:r>
        <w:rPr>
          <w:color w:val="1C1C1C"/>
          <w:spacing w:val="-12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(Title</w:t>
      </w:r>
      <w:r>
        <w:rPr>
          <w:color w:val="1C1C1C"/>
          <w:spacing w:val="-14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III-B)</w:t>
      </w:r>
      <w:r>
        <w:rPr>
          <w:color w:val="1C1C1C"/>
          <w:w w:val="105"/>
          <w:u w:val="none"/>
        </w:rPr>
        <w:t xml:space="preserve"> </w:t>
      </w:r>
      <w:r>
        <w:rPr>
          <w:color w:val="1C1C1C"/>
          <w:w w:val="105"/>
          <w:u w:color="1C1C1C"/>
        </w:rPr>
        <w:t>and the Nutrition Service Programs under Title III-C:</w:t>
      </w:r>
    </w:p>
    <w:p w:rsidR="0047464E" w14:paraId="07E60496" w14:textId="77777777">
      <w:pPr>
        <w:pStyle w:val="BodyText"/>
        <w:spacing w:before="161"/>
        <w:rPr>
          <w:b/>
        </w:rPr>
      </w:pPr>
    </w:p>
    <w:p w:rsidR="0047464E" w14:paraId="07E60497" w14:textId="77777777">
      <w:pPr>
        <w:pStyle w:val="BodyText"/>
        <w:spacing w:line="249" w:lineRule="auto"/>
        <w:ind w:left="399" w:right="1111" w:firstLine="1"/>
      </w:pP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OAA,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amended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permits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State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Territory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transfer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total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up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30%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 allotment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between Titles III-B and the Nutrition Programs under Title III-C (Title III- C1 and Title III-C2).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Section 316 (b)(4) permits 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ASA 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grant a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waiver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30% transfer limit. To receive a waiver, a State or Territory must comply with all the requirements in section 316.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section 316 waiver provision is more involved than the waiver provision in section 308 (relating to transfers between Titles III-C1 and III-C2).</w:t>
      </w:r>
    </w:p>
    <w:p w:rsidR="0047464E" w14:paraId="07E60498" w14:textId="77777777">
      <w:pPr>
        <w:pStyle w:val="Heading1"/>
        <w:spacing w:before="80"/>
        <w:rPr>
          <w:u w:val="none"/>
        </w:rPr>
      </w:pPr>
      <w:r>
        <w:rPr>
          <w:color w:val="1C1C1C"/>
          <w:u w:color="1C1C1C"/>
        </w:rPr>
        <w:t>Instructions</w:t>
      </w:r>
      <w:r>
        <w:rPr>
          <w:color w:val="1C1C1C"/>
          <w:spacing w:val="24"/>
          <w:u w:color="1C1C1C"/>
        </w:rPr>
        <w:t xml:space="preserve"> </w:t>
      </w:r>
      <w:r>
        <w:rPr>
          <w:color w:val="1C1C1C"/>
          <w:u w:color="1C1C1C"/>
        </w:rPr>
        <w:t>for</w:t>
      </w:r>
      <w:r>
        <w:rPr>
          <w:color w:val="1C1C1C"/>
          <w:spacing w:val="34"/>
          <w:u w:color="1C1C1C"/>
        </w:rPr>
        <w:t xml:space="preserve"> </w:t>
      </w:r>
      <w:r>
        <w:rPr>
          <w:color w:val="1C1C1C"/>
          <w:u w:color="1C1C1C"/>
        </w:rPr>
        <w:t>Reporting</w:t>
      </w:r>
      <w:r>
        <w:rPr>
          <w:color w:val="1C1C1C"/>
          <w:spacing w:val="30"/>
          <w:u w:color="1C1C1C"/>
        </w:rPr>
        <w:t xml:space="preserve"> </w:t>
      </w:r>
      <w:r>
        <w:rPr>
          <w:color w:val="1C1C1C"/>
          <w:spacing w:val="-2"/>
          <w:u w:color="1C1C1C"/>
        </w:rPr>
        <w:t>Transfers:</w:t>
      </w:r>
    </w:p>
    <w:p w:rsidR="0047464E" w14:paraId="07E60499" w14:textId="77777777">
      <w:pPr>
        <w:pStyle w:val="BodyText"/>
        <w:spacing w:before="41"/>
        <w:rPr>
          <w:b/>
        </w:rPr>
      </w:pPr>
    </w:p>
    <w:p w:rsidR="0047464E" w14:paraId="07E6049A" w14:textId="77777777">
      <w:pPr>
        <w:pStyle w:val="BodyText"/>
        <w:spacing w:line="249" w:lineRule="auto"/>
        <w:ind w:left="399" w:right="1111" w:firstLine="1"/>
      </w:pPr>
      <w:r>
        <w:rPr>
          <w:color w:val="1C1C1C"/>
          <w:w w:val="105"/>
        </w:rPr>
        <w:t>Each Federal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fiscal year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(FFY)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Title III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awards are issued with a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unique grant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number for each part/chapter; therefore, transfers need to be submitted and recorded timely for States and Territories to correctly report the Federal Funding Accountability Transparency Act (FFATA) sub-award activities and draw funds from Payment Management System (PMS) sub-accounts. Transfers are available in the original two-year project period in which funds are awarded. Funds may only be transferred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between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these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Title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III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parts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under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grant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awards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issued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same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FFY. States and Territories are encouraged to submit requests, if possible, after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 final FFY Title III allocations have been issued from ACL.</w:t>
      </w:r>
    </w:p>
    <w:p w:rsidR="0047464E" w14:paraId="07E6049B" w14:textId="77777777">
      <w:pPr>
        <w:pStyle w:val="BodyText"/>
        <w:spacing w:before="15"/>
      </w:pPr>
    </w:p>
    <w:p w:rsidR="0047464E" w14:paraId="07E6049C" w14:textId="77777777">
      <w:pPr>
        <w:pStyle w:val="BodyText"/>
        <w:spacing w:line="249" w:lineRule="auto"/>
        <w:ind w:left="399" w:right="1111"/>
      </w:pPr>
      <w:r>
        <w:rPr>
          <w:color w:val="1C1C1C"/>
          <w:w w:val="105"/>
        </w:rPr>
        <w:t>The transfer request must be submitted on the form and include the cumulative grant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award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(full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allotment)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Title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III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Part-B, Title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III-C1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Title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III-C2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before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requested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transfer,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amount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transferred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each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part,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total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sum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of the transfers (total net transfers), and the adjusted grant award amounts after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transfers (adjusted allotment).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State or Territory must also include the percentage requested to be transferred.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If more than one transfer is needed, the subsequent transfers must reflect cumulative transfers to date.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transfer request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must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also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provide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brief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justification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need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effects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provision of services and number of meals served (if applicable).</w:t>
      </w:r>
    </w:p>
    <w:p w:rsidR="0047464E" w14:paraId="07E6049D" w14:textId="77777777">
      <w:pPr>
        <w:pStyle w:val="BodyText"/>
        <w:spacing w:before="159"/>
      </w:pPr>
    </w:p>
    <w:p w:rsidR="0047464E" w14:paraId="07E6049E" w14:textId="77777777">
      <w:pPr>
        <w:pStyle w:val="BodyText"/>
        <w:spacing w:line="249" w:lineRule="auto"/>
        <w:ind w:left="399" w:right="919"/>
      </w:pPr>
      <w:r>
        <w:rPr>
          <w:color w:val="1C1C1C"/>
          <w:w w:val="105"/>
        </w:rPr>
        <w:t>Once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received,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ACL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review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approved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issue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amended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notice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award (</w:t>
      </w:r>
      <w:r>
        <w:rPr>
          <w:color w:val="1C1C1C"/>
          <w:w w:val="105"/>
        </w:rPr>
        <w:t>NoA</w:t>
      </w:r>
      <w:r>
        <w:rPr>
          <w:color w:val="1C1C1C"/>
          <w:w w:val="105"/>
        </w:rPr>
        <w:t xml:space="preserve">) reflecting the transfer request for each award impacted. Funds will not be available for drawdown from PMS until ACL issues the amended </w:t>
      </w:r>
      <w:r>
        <w:rPr>
          <w:color w:val="1C1C1C"/>
          <w:w w:val="105"/>
        </w:rPr>
        <w:t>NoA</w:t>
      </w:r>
      <w:r>
        <w:rPr>
          <w:color w:val="1C1C1C"/>
          <w:w w:val="105"/>
        </w:rPr>
        <w:t>(s).</w:t>
      </w:r>
    </w:p>
    <w:p w:rsidR="0047464E" w14:paraId="07E6049F" w14:textId="77777777">
      <w:pPr>
        <w:pStyle w:val="Heading1"/>
        <w:spacing w:before="157" w:line="259" w:lineRule="auto"/>
        <w:ind w:right="202"/>
        <w:rPr>
          <w:u w:val="none"/>
        </w:rPr>
      </w:pPr>
      <w:r>
        <w:rPr>
          <w:color w:val="1C1C1C"/>
          <w:w w:val="105"/>
          <w:u w:val="none"/>
        </w:rPr>
        <w:t xml:space="preserve">Transfer requests for amounts within the statutory limits must be submitted to </w:t>
      </w:r>
      <w:hyperlink r:id="rId5">
        <w:r>
          <w:rPr>
            <w:b w:val="0"/>
            <w:color w:val="0561C1"/>
            <w:w w:val="105"/>
            <w:sz w:val="22"/>
            <w:u w:color="0561C1"/>
          </w:rPr>
          <w:t>AOA.Grants@acl.hhs.gov</w:t>
        </w:r>
        <w:r>
          <w:rPr>
            <w:color w:val="1C1C1C"/>
            <w:w w:val="105"/>
            <w:u w:val="none"/>
          </w:rPr>
          <w:t>,</w:t>
        </w:r>
      </w:hyperlink>
      <w:r>
        <w:rPr>
          <w:color w:val="1C1C1C"/>
          <w:spacing w:val="-15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on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or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before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color="1C1C1C"/>
        </w:rPr>
        <w:t>August</w:t>
      </w:r>
      <w:r>
        <w:rPr>
          <w:color w:val="1C1C1C"/>
          <w:spacing w:val="-15"/>
          <w:w w:val="105"/>
          <w:u w:color="1C1C1C"/>
        </w:rPr>
        <w:t xml:space="preserve"> </w:t>
      </w:r>
      <w:r>
        <w:rPr>
          <w:color w:val="1C1C1C"/>
          <w:w w:val="105"/>
          <w:u w:color="1C1C1C"/>
        </w:rPr>
        <w:t>1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in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the</w:t>
      </w:r>
      <w:r>
        <w:rPr>
          <w:color w:val="1C1C1C"/>
          <w:spacing w:val="-1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in</w:t>
      </w:r>
      <w:r>
        <w:rPr>
          <w:color w:val="1C1C1C"/>
          <w:spacing w:val="-6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the</w:t>
      </w:r>
      <w:r>
        <w:rPr>
          <w:color w:val="1C1C1C"/>
          <w:spacing w:val="-6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final</w:t>
      </w:r>
      <w:r>
        <w:rPr>
          <w:color w:val="1C1C1C"/>
          <w:spacing w:val="-3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year</w:t>
      </w:r>
      <w:r>
        <w:rPr>
          <w:color w:val="1C1C1C"/>
          <w:spacing w:val="-5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of</w:t>
      </w:r>
      <w:r>
        <w:rPr>
          <w:color w:val="1C1C1C"/>
          <w:spacing w:val="-5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the</w:t>
      </w:r>
      <w:r>
        <w:rPr>
          <w:color w:val="1C1C1C"/>
          <w:spacing w:val="-3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original</w:t>
      </w:r>
      <w:r>
        <w:rPr>
          <w:color w:val="1C1C1C"/>
          <w:spacing w:val="-4"/>
          <w:w w:val="105"/>
          <w:u w:val="none"/>
        </w:rPr>
        <w:t xml:space="preserve"> </w:t>
      </w:r>
      <w:r>
        <w:rPr>
          <w:color w:val="1C1C1C"/>
          <w:w w:val="105"/>
          <w:u w:val="none"/>
        </w:rPr>
        <w:t>two- year project period.</w:t>
      </w:r>
    </w:p>
    <w:p w:rsidR="0047464E" w14:paraId="07E604A0" w14:textId="77777777">
      <w:pPr>
        <w:spacing w:line="259" w:lineRule="auto"/>
        <w:sectPr>
          <w:pgSz w:w="12240" w:h="15840"/>
          <w:pgMar w:top="1500" w:right="1120" w:bottom="280" w:left="1040" w:header="720" w:footer="720" w:gutter="0"/>
          <w:cols w:space="720"/>
        </w:sectPr>
      </w:pPr>
    </w:p>
    <w:p w:rsidR="0047464E" w14:paraId="07E604A1" w14:textId="77777777">
      <w:pPr>
        <w:spacing w:before="37"/>
        <w:ind w:left="400"/>
        <w:rPr>
          <w:b/>
          <w:sz w:val="24"/>
        </w:rPr>
      </w:pPr>
      <w:r>
        <w:rPr>
          <w:b/>
          <w:color w:val="1C1C1C"/>
          <w:sz w:val="24"/>
          <w:u w:val="thick" w:color="1C1C1C"/>
        </w:rPr>
        <w:t>Waiver</w:t>
      </w:r>
      <w:r>
        <w:rPr>
          <w:b/>
          <w:color w:val="1C1C1C"/>
          <w:spacing w:val="19"/>
          <w:sz w:val="24"/>
          <w:u w:val="thick" w:color="1C1C1C"/>
        </w:rPr>
        <w:t xml:space="preserve"> </w:t>
      </w:r>
      <w:r>
        <w:rPr>
          <w:b/>
          <w:color w:val="1C1C1C"/>
          <w:spacing w:val="-2"/>
          <w:sz w:val="24"/>
          <w:u w:val="thick" w:color="1C1C1C"/>
        </w:rPr>
        <w:t>Requests:</w:t>
      </w:r>
    </w:p>
    <w:p w:rsidR="0047464E" w14:paraId="07E604A2" w14:textId="77777777">
      <w:pPr>
        <w:pStyle w:val="BodyText"/>
        <w:spacing w:before="79" w:line="249" w:lineRule="auto"/>
        <w:ind w:left="399" w:right="1111"/>
      </w:pPr>
      <w:r>
        <w:rPr>
          <w:color w:val="1C1C1C"/>
          <w:w w:val="105"/>
        </w:rPr>
        <w:t>Contact the ACL Regional Administrator for further instructions on requesting a waiver.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Waiver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requests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must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submitted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 ACL Regional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Administrator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as soon as possible and prior to the transfer request submission to ACL. States and Territories are cautioned not to wait until the transfer due date (August 1 of the final year of the original two-year project period) to request a waiver.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ASA reserves the right to approve or disapprove a State's or Territory’s request for a waiver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limits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amount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funds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State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Territory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may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transfer. States and Territories will be notified in writing of the ASA's decision.</w:t>
      </w:r>
    </w:p>
    <w:p w:rsidR="0047464E" w14:paraId="07E604A3" w14:textId="77777777">
      <w:pPr>
        <w:pStyle w:val="BodyText"/>
      </w:pPr>
    </w:p>
    <w:p w:rsidR="0047464E" w14:paraId="07E604A4" w14:textId="77777777">
      <w:pPr>
        <w:pStyle w:val="BodyText"/>
      </w:pPr>
    </w:p>
    <w:p w:rsidR="0047464E" w14:paraId="07E604A5" w14:textId="77777777">
      <w:pPr>
        <w:pStyle w:val="BodyText"/>
      </w:pPr>
    </w:p>
    <w:p w:rsidR="0047464E" w14:paraId="07E604A6" w14:textId="77777777">
      <w:pPr>
        <w:pStyle w:val="BodyText"/>
      </w:pPr>
    </w:p>
    <w:p w:rsidR="0047464E" w14:paraId="07E604A7" w14:textId="77777777">
      <w:pPr>
        <w:pStyle w:val="BodyText"/>
      </w:pPr>
    </w:p>
    <w:p w:rsidR="0047464E" w14:paraId="07E604A8" w14:textId="77777777">
      <w:pPr>
        <w:pStyle w:val="BodyText"/>
      </w:pPr>
    </w:p>
    <w:p w:rsidR="0047464E" w14:paraId="07E604A9" w14:textId="77777777">
      <w:pPr>
        <w:pStyle w:val="BodyText"/>
      </w:pPr>
    </w:p>
    <w:p w:rsidR="0047464E" w14:paraId="07E604AA" w14:textId="77777777">
      <w:pPr>
        <w:pStyle w:val="BodyText"/>
      </w:pPr>
    </w:p>
    <w:p w:rsidR="0047464E" w14:paraId="07E604AB" w14:textId="77777777">
      <w:pPr>
        <w:pStyle w:val="BodyText"/>
      </w:pPr>
    </w:p>
    <w:p w:rsidR="0047464E" w14:paraId="07E604AC" w14:textId="77777777">
      <w:pPr>
        <w:pStyle w:val="BodyText"/>
      </w:pPr>
    </w:p>
    <w:p w:rsidR="0047464E" w14:paraId="07E604AD" w14:textId="77777777">
      <w:pPr>
        <w:pStyle w:val="BodyText"/>
      </w:pPr>
    </w:p>
    <w:p w:rsidR="0047464E" w14:paraId="07E604AE" w14:textId="77777777">
      <w:pPr>
        <w:pStyle w:val="BodyText"/>
      </w:pPr>
    </w:p>
    <w:p w:rsidR="0047464E" w14:paraId="07E604AF" w14:textId="77777777">
      <w:pPr>
        <w:pStyle w:val="BodyText"/>
      </w:pPr>
    </w:p>
    <w:p w:rsidR="0047464E" w14:paraId="07E604B0" w14:textId="77777777">
      <w:pPr>
        <w:pStyle w:val="BodyText"/>
      </w:pPr>
    </w:p>
    <w:p w:rsidR="0047464E" w14:paraId="07E604B1" w14:textId="77777777">
      <w:pPr>
        <w:pStyle w:val="BodyText"/>
      </w:pPr>
    </w:p>
    <w:p w:rsidR="0047464E" w14:paraId="07E604B2" w14:textId="77777777">
      <w:pPr>
        <w:pStyle w:val="BodyText"/>
      </w:pPr>
    </w:p>
    <w:p w:rsidR="0047464E" w14:paraId="07E604B3" w14:textId="77777777">
      <w:pPr>
        <w:pStyle w:val="BodyText"/>
      </w:pPr>
    </w:p>
    <w:p w:rsidR="0047464E" w14:paraId="07E604B4" w14:textId="77777777">
      <w:pPr>
        <w:pStyle w:val="BodyText"/>
      </w:pPr>
    </w:p>
    <w:p w:rsidR="0047464E" w14:paraId="07E604B5" w14:textId="77777777">
      <w:pPr>
        <w:pStyle w:val="BodyText"/>
      </w:pPr>
    </w:p>
    <w:p w:rsidR="0047464E" w14:paraId="07E604B6" w14:textId="77777777">
      <w:pPr>
        <w:pStyle w:val="BodyText"/>
      </w:pPr>
    </w:p>
    <w:p w:rsidR="0047464E" w14:paraId="07E604B7" w14:textId="77777777">
      <w:pPr>
        <w:pStyle w:val="BodyText"/>
      </w:pPr>
    </w:p>
    <w:p w:rsidR="0047464E" w14:paraId="07E604B8" w14:textId="77777777">
      <w:pPr>
        <w:pStyle w:val="BodyText"/>
      </w:pPr>
    </w:p>
    <w:p w:rsidR="0047464E" w14:paraId="07E604B9" w14:textId="77777777">
      <w:pPr>
        <w:pStyle w:val="BodyText"/>
      </w:pPr>
    </w:p>
    <w:p w:rsidR="0047464E" w14:paraId="07E604BA" w14:textId="77777777">
      <w:pPr>
        <w:pStyle w:val="BodyText"/>
      </w:pPr>
    </w:p>
    <w:p w:rsidR="0047464E" w14:paraId="07E604BB" w14:textId="77777777">
      <w:pPr>
        <w:pStyle w:val="BodyText"/>
        <w:spacing w:before="13"/>
      </w:pPr>
    </w:p>
    <w:p w:rsidR="0047464E" w14:paraId="07E604BC" w14:textId="77777777">
      <w:pPr>
        <w:pStyle w:val="Heading1"/>
        <w:ind w:left="411"/>
        <w:rPr>
          <w:u w:val="none"/>
        </w:rPr>
      </w:pPr>
      <w:r>
        <w:rPr>
          <w:color w:val="1C1C1C"/>
          <w:u w:color="1C1C1C"/>
        </w:rPr>
        <w:t>Paperwork</w:t>
      </w:r>
      <w:r>
        <w:rPr>
          <w:color w:val="1C1C1C"/>
          <w:spacing w:val="19"/>
          <w:u w:color="1C1C1C"/>
        </w:rPr>
        <w:t xml:space="preserve"> </w:t>
      </w:r>
      <w:r>
        <w:rPr>
          <w:color w:val="1C1C1C"/>
          <w:u w:color="1C1C1C"/>
        </w:rPr>
        <w:t>Reduction</w:t>
      </w:r>
      <w:r>
        <w:rPr>
          <w:color w:val="1C1C1C"/>
          <w:spacing w:val="20"/>
          <w:u w:color="1C1C1C"/>
        </w:rPr>
        <w:t xml:space="preserve"> </w:t>
      </w:r>
      <w:r>
        <w:rPr>
          <w:color w:val="1C1C1C"/>
          <w:u w:color="1C1C1C"/>
        </w:rPr>
        <w:t>Act</w:t>
      </w:r>
      <w:r>
        <w:rPr>
          <w:color w:val="1C1C1C"/>
          <w:spacing w:val="23"/>
          <w:u w:color="1C1C1C"/>
        </w:rPr>
        <w:t xml:space="preserve"> </w:t>
      </w:r>
      <w:r>
        <w:rPr>
          <w:color w:val="1C1C1C"/>
          <w:u w:color="1C1C1C"/>
        </w:rPr>
        <w:t>Public</w:t>
      </w:r>
      <w:r>
        <w:rPr>
          <w:color w:val="1C1C1C"/>
          <w:spacing w:val="19"/>
          <w:u w:color="1C1C1C"/>
        </w:rPr>
        <w:t xml:space="preserve"> </w:t>
      </w:r>
      <w:r>
        <w:rPr>
          <w:color w:val="1C1C1C"/>
          <w:u w:color="1C1C1C"/>
        </w:rPr>
        <w:t>Burden</w:t>
      </w:r>
      <w:r>
        <w:rPr>
          <w:color w:val="1C1C1C"/>
          <w:spacing w:val="24"/>
          <w:u w:color="1C1C1C"/>
        </w:rPr>
        <w:t xml:space="preserve"> </w:t>
      </w:r>
      <w:r>
        <w:rPr>
          <w:color w:val="1C1C1C"/>
          <w:spacing w:val="-2"/>
          <w:u w:color="1C1C1C"/>
        </w:rPr>
        <w:t>Statement:</w:t>
      </w:r>
    </w:p>
    <w:p w:rsidR="0047464E" w14:paraId="07E604BD" w14:textId="5FF745E7">
      <w:pPr>
        <w:pStyle w:val="BodyText"/>
        <w:spacing w:before="7" w:line="244" w:lineRule="auto"/>
        <w:ind w:left="411" w:right="162"/>
      </w:pPr>
      <w:r>
        <w:rPr>
          <w:color w:val="1C1C1C"/>
          <w:w w:val="105"/>
        </w:rPr>
        <w:t>According to the Paperwork Reduction Act of 1995 5 CFR § 1320.8(b)(3), no persons are required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respond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collection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information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unless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such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collection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displays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valid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OMB control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number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(OMB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0985-008X).</w:t>
      </w:r>
      <w:r>
        <w:rPr>
          <w:color w:val="1C1C1C"/>
          <w:spacing w:val="38"/>
          <w:w w:val="105"/>
        </w:rPr>
        <w:t xml:space="preserve"> </w:t>
      </w:r>
      <w:r>
        <w:rPr>
          <w:color w:val="1C1C1C"/>
          <w:w w:val="105"/>
        </w:rPr>
        <w:t>Public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reporting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burden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collection 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information is estimated to average one (1) hour per response, including time for gathering, maintaining the data needed, completing, and reviewing the collection of information.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The obligation to </w:t>
      </w:r>
      <w:r>
        <w:rPr>
          <w:color w:val="1C1C1C"/>
        </w:rPr>
        <w:t>respond to this collection is required to retain or maintain benefits under the Older Americans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Act (P.L. 116-131). Information collected is planned for use by ACL to conduct </w:t>
      </w:r>
      <w:r w:rsidR="00EA0B4A">
        <w:rPr>
          <w:color w:val="1C1C1C"/>
          <w:w w:val="105"/>
        </w:rPr>
        <w:t>f</w:t>
      </w:r>
      <w:r>
        <w:rPr>
          <w:color w:val="1C1C1C"/>
          <w:w w:val="105"/>
        </w:rPr>
        <w:t>ederal oversight of Aging Programs. ACL uses information collected to monitor federal funds.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Data will be kept private to the extent allowed by law. There are no assurances of confidentiality.</w:t>
      </w:r>
    </w:p>
    <w:sectPr>
      <w:pgSz w:w="12240" w:h="15840"/>
      <w:pgMar w:top="140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E"/>
    <w:rsid w:val="00342E0E"/>
    <w:rsid w:val="0047464E"/>
    <w:rsid w:val="0079537D"/>
    <w:rsid w:val="00EA0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E60484"/>
  <w15:docId w15:val="{EE9DE1B4-4A2C-49C9-B64F-9B7F03D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5"/>
      <w:ind w:left="112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AOA.Grants@acl.hhs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Tomakie (ACL)</dc:creator>
  <cp:lastModifiedBy>Washington, Tomakie (ACL)</cp:lastModifiedBy>
  <cp:revision>2</cp:revision>
  <dcterms:created xsi:type="dcterms:W3CDTF">2024-10-10T21:01:00Z</dcterms:created>
  <dcterms:modified xsi:type="dcterms:W3CDTF">2024-10-10T21:01:00Z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