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6054" w:rsidRPr="00B578F4" w:rsidP="007A4785" w14:paraId="28604BB0" w14:textId="5369D82E">
      <w:pPr>
        <w:pStyle w:val="Title"/>
      </w:pPr>
      <w:r w:rsidRPr="00B578F4">
        <w:t>S</w:t>
      </w:r>
      <w:r w:rsidR="001325EF">
        <w:t xml:space="preserve">upporting Statement: </w:t>
      </w:r>
      <w:r w:rsidR="00F32849">
        <w:t xml:space="preserve">ACL </w:t>
      </w:r>
      <w:r w:rsidR="005867C2">
        <w:t>Administration on Aging</w:t>
      </w:r>
      <w:r w:rsidR="00EE3BE3">
        <w:t xml:space="preserve"> Formula Grant Program</w:t>
      </w:r>
      <w:r w:rsidR="0095106E">
        <w:t>s</w:t>
      </w:r>
    </w:p>
    <w:p w:rsidR="00386054" w:rsidRPr="006E16CF" w:rsidP="00A44BB4" w14:paraId="0919D025" w14:textId="77777777">
      <w:pPr>
        <w:pStyle w:val="Heading1"/>
        <w:rPr>
          <w:rFonts w:cs="Times New Roman"/>
          <w:szCs w:val="28"/>
        </w:rPr>
      </w:pPr>
      <w:r w:rsidRPr="006E16CF">
        <w:rPr>
          <w:rFonts w:cs="Times New Roman"/>
          <w:szCs w:val="28"/>
        </w:rPr>
        <w:t xml:space="preserve">A. Justification </w:t>
      </w:r>
    </w:p>
    <w:p w:rsidR="00255374" w:rsidP="00A44BB4" w14:paraId="5CBC3B11" w14:textId="77777777">
      <w:pPr>
        <w:widowControl w:val="0"/>
        <w:numPr>
          <w:ilvl w:val="0"/>
          <w:numId w:val="20"/>
        </w:numPr>
        <w:tabs>
          <w:tab w:val="left" w:pos="360"/>
        </w:tabs>
        <w:autoSpaceDE w:val="0"/>
        <w:autoSpaceDN w:val="0"/>
        <w:adjustRightInd w:val="0"/>
        <w:spacing w:after="0"/>
        <w:rPr>
          <w:b/>
        </w:rPr>
      </w:pPr>
      <w:r>
        <w:rPr>
          <w:b/>
          <w:u w:val="single"/>
        </w:rPr>
        <w:t>Circumstances Making the Collection of Information Necessary</w:t>
      </w:r>
    </w:p>
    <w:p w:rsidR="005867C2" w:rsidRPr="001A0EFC" w:rsidP="00A44BB4" w14:paraId="4109C13E" w14:textId="55E9A135">
      <w:pPr>
        <w:pStyle w:val="ListParagraph"/>
        <w:tabs>
          <w:tab w:val="left" w:pos="360"/>
        </w:tabs>
        <w:ind w:left="360" w:hanging="360"/>
      </w:pPr>
      <w:r>
        <w:tab/>
      </w:r>
      <w:bookmarkStart w:id="0" w:name="_Hlk174349299"/>
      <w:r w:rsidRPr="001A0EFC">
        <w:t xml:space="preserve">As a </w:t>
      </w:r>
      <w:r w:rsidR="00080150">
        <w:t>center in</w:t>
      </w:r>
      <w:r w:rsidRPr="001A0EFC">
        <w:t xml:space="preserve"> the Administration for Community Living, </w:t>
      </w:r>
      <w:r>
        <w:t>the Administration on Aging (</w:t>
      </w:r>
      <w:r w:rsidRPr="001A0EFC">
        <w:t>AoA</w:t>
      </w:r>
      <w:r>
        <w:t>)</w:t>
      </w:r>
      <w:r w:rsidRPr="001A0EFC">
        <w:t xml:space="preserve"> provides expertise on program development, advocacy, </w:t>
      </w:r>
      <w:r w:rsidR="00074754">
        <w:t>i</w:t>
      </w:r>
      <w:r w:rsidRPr="001A0EFC">
        <w:t>nitiatives for older Americans</w:t>
      </w:r>
      <w:r w:rsidR="00074754">
        <w:t xml:space="preserve">, </w:t>
      </w:r>
      <w:r w:rsidRPr="001A0EFC">
        <w:t xml:space="preserve">their </w:t>
      </w:r>
      <w:r w:rsidRPr="001A0EFC" w:rsidR="00CC0568">
        <w:t>caregivers,</w:t>
      </w:r>
      <w:r w:rsidRPr="001A0EFC">
        <w:t xml:space="preserve"> and families. Working with </w:t>
      </w:r>
      <w:r w:rsidR="006765F7">
        <w:t>state agencies</w:t>
      </w:r>
      <w:r w:rsidRPr="001A0EFC">
        <w:t>, local agencies, grantees, and community providers, AoA directs programs authorized by the Older Americans Act (OAA)</w:t>
      </w:r>
      <w:r>
        <w:t>, Elder Justice Act (EJA),</w:t>
      </w:r>
      <w:r w:rsidRPr="001A0EFC">
        <w:t xml:space="preserve"> and other legislation that supports older adults</w:t>
      </w:r>
      <w:r w:rsidR="00074754">
        <w:t xml:space="preserve">. </w:t>
      </w:r>
      <w:r w:rsidR="00F9332D">
        <w:t xml:space="preserve">Through these programs multi-year </w:t>
      </w:r>
      <w:r w:rsidR="00F762CF">
        <w:t>s</w:t>
      </w:r>
      <w:r w:rsidR="00F9332D">
        <w:t xml:space="preserve">tate </w:t>
      </w:r>
      <w:r w:rsidR="00F762CF">
        <w:t>p</w:t>
      </w:r>
      <w:r w:rsidR="00F9332D">
        <w:t>lans</w:t>
      </w:r>
      <w:r w:rsidR="00074754">
        <w:t xml:space="preserve">, </w:t>
      </w:r>
      <w:r w:rsidR="00464AE0">
        <w:t xml:space="preserve">assurances, </w:t>
      </w:r>
      <w:r w:rsidR="00E31D31">
        <w:t xml:space="preserve">and other </w:t>
      </w:r>
      <w:r w:rsidR="004E426D">
        <w:t xml:space="preserve">financial </w:t>
      </w:r>
      <w:r w:rsidR="00E31D31">
        <w:t>forms are needed to provide approval and oversight of grant recipients.</w:t>
      </w:r>
      <w:r w:rsidR="00F9332D">
        <w:t xml:space="preserve"> </w:t>
      </w:r>
      <w:r w:rsidRPr="001A0EFC">
        <w:t xml:space="preserve"> </w:t>
      </w:r>
    </w:p>
    <w:p w:rsidR="00861557" w:rsidP="00A44BB4" w14:paraId="0A46F142" w14:textId="18E24DB4">
      <w:pPr>
        <w:pStyle w:val="ListParagraph"/>
        <w:tabs>
          <w:tab w:val="left" w:pos="360"/>
        </w:tabs>
        <w:ind w:left="360" w:hanging="360"/>
      </w:pPr>
      <w:r>
        <w:tab/>
      </w:r>
      <w:r w:rsidR="00AE431F">
        <w:t xml:space="preserve">ACL is seeking approval for a new information collection which will collect data related to </w:t>
      </w:r>
      <w:r w:rsidR="00F762CF">
        <w:t>AoA</w:t>
      </w:r>
      <w:r w:rsidR="00AE431F">
        <w:t xml:space="preserve"> formula grant programs. This information collection will include </w:t>
      </w:r>
      <w:r w:rsidR="00074754">
        <w:t xml:space="preserve">data </w:t>
      </w:r>
      <w:r w:rsidR="00F762CF">
        <w:t>collection activity</w:t>
      </w:r>
      <w:r w:rsidR="00AE431F">
        <w:t xml:space="preserve"> </w:t>
      </w:r>
      <w:bookmarkStart w:id="1" w:name="_Hlk174349245"/>
      <w:r w:rsidR="00AE431F">
        <w:t xml:space="preserve">for </w:t>
      </w:r>
      <w:r w:rsidR="00F762CF">
        <w:t>s</w:t>
      </w:r>
      <w:r w:rsidR="00AE431F">
        <w:t xml:space="preserve">tate </w:t>
      </w:r>
      <w:r w:rsidR="00F762CF">
        <w:t>p</w:t>
      </w:r>
      <w:r w:rsidR="00AE431F">
        <w:t xml:space="preserve">lans on </w:t>
      </w:r>
      <w:r w:rsidR="00F762CF">
        <w:t>a</w:t>
      </w:r>
      <w:r w:rsidR="00AE431F">
        <w:t xml:space="preserve">ging and assurances, financial </w:t>
      </w:r>
      <w:r w:rsidR="00074754">
        <w:t>forms, and a c</w:t>
      </w:r>
      <w:r w:rsidRPr="00AE1243" w:rsidR="00074754">
        <w:t xml:space="preserve">orrective </w:t>
      </w:r>
      <w:r w:rsidR="00074754">
        <w:t>a</w:t>
      </w:r>
      <w:r w:rsidRPr="00AE1243" w:rsidR="00074754">
        <w:t xml:space="preserve">ction </w:t>
      </w:r>
      <w:r w:rsidR="00074754">
        <w:t>p</w:t>
      </w:r>
      <w:r w:rsidRPr="00AE1243" w:rsidR="00074754">
        <w:t>lan (CAP</w:t>
      </w:r>
      <w:r w:rsidR="00074754">
        <w:t>) template</w:t>
      </w:r>
      <w:r w:rsidR="00AE431F">
        <w:t xml:space="preserve"> </w:t>
      </w:r>
      <w:r w:rsidR="00074754">
        <w:t xml:space="preserve">each </w:t>
      </w:r>
      <w:r w:rsidR="00AE431F">
        <w:t xml:space="preserve">associated with </w:t>
      </w:r>
      <w:r w:rsidR="00F762CF">
        <w:t>a</w:t>
      </w:r>
      <w:r w:rsidR="00AE431F">
        <w:t>ging formula grant management</w:t>
      </w:r>
      <w:r w:rsidR="00F762CF">
        <w:t xml:space="preserve">. </w:t>
      </w:r>
    </w:p>
    <w:bookmarkEnd w:id="1"/>
    <w:p w:rsidR="00B76F3F" w:rsidRPr="00B76F3F" w:rsidP="00A44BB4" w14:paraId="0C17193A" w14:textId="42D9C233">
      <w:pPr>
        <w:pStyle w:val="ListParagraph"/>
        <w:tabs>
          <w:tab w:val="left" w:pos="360"/>
        </w:tabs>
        <w:ind w:left="360" w:hanging="360"/>
        <w:rPr>
          <w:i/>
          <w:iCs/>
          <w:u w:val="single"/>
        </w:rPr>
      </w:pPr>
      <w:r w:rsidRPr="00B76F3F">
        <w:rPr>
          <w:i/>
          <w:iCs/>
          <w:u w:val="single"/>
        </w:rPr>
        <w:t xml:space="preserve">Authorizing Legislation </w:t>
      </w:r>
    </w:p>
    <w:p w:rsidR="00981A04" w:rsidP="00A44BB4" w14:paraId="300CCEED" w14:textId="17A20BAB">
      <w:pPr>
        <w:pStyle w:val="ListParagraph"/>
        <w:tabs>
          <w:tab w:val="left" w:pos="360"/>
        </w:tabs>
        <w:ind w:left="360" w:hanging="360"/>
      </w:pPr>
      <w:r>
        <w:tab/>
      </w:r>
      <w:r w:rsidRPr="006E16CF">
        <w:t xml:space="preserve">In 1965, Congress originally passed </w:t>
      </w:r>
      <w:bookmarkStart w:id="2" w:name="_Hlk174349785"/>
      <w:r w:rsidRPr="006E16CF">
        <w:t xml:space="preserve">the </w:t>
      </w:r>
      <w:hyperlink r:id="rId10" w:history="1">
        <w:r w:rsidRPr="006E16CF">
          <w:rPr>
            <w:rStyle w:val="Hyperlink"/>
          </w:rPr>
          <w:t>Older Americans Act</w:t>
        </w:r>
      </w:hyperlink>
      <w:r w:rsidRPr="006E16CF">
        <w:t xml:space="preserve"> (OAA) in response to concerns by policymakers about a lack of community social services for older </w:t>
      </w:r>
      <w:r>
        <w:t xml:space="preserve">adults. </w:t>
      </w:r>
      <w:r w:rsidRPr="006E16CF">
        <w:t>The original legislation established authority for grants to states for community planning and social services, research and development projects, and personnel training in the field of aging. Changes</w:t>
      </w:r>
      <w:r>
        <w:t xml:space="preserve"> to the OAA were made through the Supporting Older Americans Act of 2020 (P.L. 116-131). The OAA provides the foundation for the National Aging Network, which includes ACL/AoA, state units on aging (SUA), area agencies on aging (AAA), </w:t>
      </w:r>
      <w:r w:rsidR="00CC0568">
        <w:t>T</w:t>
      </w:r>
      <w:r>
        <w:t xml:space="preserve">ribal organizations, service providers, and volunteers. </w:t>
      </w:r>
      <w:r w:rsidRPr="00BF6407">
        <w:t xml:space="preserve">SUAs are </w:t>
      </w:r>
      <w:r>
        <w:t>an integral part of the network</w:t>
      </w:r>
      <w:r w:rsidRPr="00BF6407">
        <w:t xml:space="preserve"> responsible for developing and administering a multi-year state plan that advocates</w:t>
      </w:r>
      <w:r>
        <w:t xml:space="preserve"> </w:t>
      </w:r>
      <w:r w:rsidRPr="00BF6407">
        <w:t>and aids older residents, their families</w:t>
      </w:r>
      <w:r>
        <w:t xml:space="preserve">, caregivers, </w:t>
      </w:r>
      <w:r w:rsidRPr="00BF6407">
        <w:t>and</w:t>
      </w:r>
      <w:r>
        <w:t xml:space="preserve"> </w:t>
      </w:r>
      <w:r w:rsidRPr="00BF6407">
        <w:t>adults with disabilities.</w:t>
      </w:r>
      <w:r>
        <w:t xml:space="preserve"> </w:t>
      </w:r>
    </w:p>
    <w:bookmarkEnd w:id="2"/>
    <w:p w:rsidR="00981A04" w:rsidP="00A44BB4" w14:paraId="06EE4FCF" w14:textId="3EA6622F">
      <w:pPr>
        <w:tabs>
          <w:tab w:val="left" w:pos="360"/>
        </w:tabs>
        <w:ind w:left="360" w:hanging="360"/>
      </w:pPr>
      <w:r>
        <w:tab/>
      </w:r>
      <w:bookmarkStart w:id="3" w:name="_Hlk174349927"/>
      <w:r>
        <w:t xml:space="preserve">The </w:t>
      </w:r>
      <w:r w:rsidRPr="00E4146B">
        <w:t>Elder Justice Act, passed in 2010</w:t>
      </w:r>
      <w:r>
        <w:t xml:space="preserve"> </w:t>
      </w:r>
      <w:r w:rsidRPr="00E4146B">
        <w:t xml:space="preserve">is the first comprehensive legislation to address the abuse, neglect, and exploitation of older adults at the </w:t>
      </w:r>
      <w:r w:rsidR="00CC0568">
        <w:t>f</w:t>
      </w:r>
      <w:r w:rsidRPr="00E4146B">
        <w:t xml:space="preserve">ederal level. The law authorized a variety of programs and initiatives to better coordinate federal responses to elder abuse, promote elder justice research and innovation, support </w:t>
      </w:r>
      <w:r w:rsidR="00E421BD">
        <w:t xml:space="preserve">APS </w:t>
      </w:r>
      <w:r w:rsidRPr="00E4146B">
        <w:t>systems, and provide additional protections for residents of long-term care facilities.</w:t>
      </w:r>
      <w:r>
        <w:t xml:space="preserve">  The importance of these services at the state-level and local-level is demonstrated by the fact that states significantly leverage </w:t>
      </w:r>
      <w:r w:rsidR="00E421BD">
        <w:t>OAA</w:t>
      </w:r>
      <w:r>
        <w:t xml:space="preserve"> funds to obtain other funding for these activities. </w:t>
      </w:r>
    </w:p>
    <w:bookmarkEnd w:id="3"/>
    <w:p w:rsidR="00B76F3F" w:rsidP="00A44BB4" w14:paraId="5218A2E7" w14:textId="77777777">
      <w:pPr>
        <w:tabs>
          <w:tab w:val="left" w:pos="360"/>
        </w:tabs>
        <w:spacing w:after="0"/>
        <w:ind w:left="360" w:hanging="360"/>
        <w:contextualSpacing/>
      </w:pPr>
    </w:p>
    <w:p w:rsidR="00981A04" w:rsidP="001B2726" w14:paraId="470A3D13" w14:textId="7711335F">
      <w:pPr>
        <w:tabs>
          <w:tab w:val="left" w:pos="360"/>
        </w:tabs>
        <w:spacing w:after="0"/>
        <w:ind w:left="360" w:hanging="360"/>
        <w:contextualSpacing/>
      </w:pPr>
      <w:r>
        <w:tab/>
      </w:r>
      <w:r>
        <w:t xml:space="preserve">The </w:t>
      </w:r>
      <w:r w:rsidRPr="00A96EFE">
        <w:t>Coronavirus Response and Relief Supplemental Appropriations Act of 2021</w:t>
      </w:r>
      <w:r>
        <w:t xml:space="preserve"> and the American Rescue Plan Act </w:t>
      </w:r>
      <w:r w:rsidR="00B76F3F">
        <w:t xml:space="preserve">for the first time </w:t>
      </w:r>
      <w:r>
        <w:t>provided two years of federal funding ($188 million in each year) to support</w:t>
      </w:r>
      <w:r w:rsidR="00B76F3F">
        <w:t xml:space="preserve"> </w:t>
      </w:r>
      <w:r>
        <w:t xml:space="preserve">the nationwide APS formula grant program authorized by the Elder Justice Act of 2010.  That funding was used by states to expand or develop a variety of capabilities that were necessary to meet increased needs due to the public health pandemic, and ongoing funding is necessary to maintain the improved reach and effectiveness of APS systems beyond the pandemic. The FY 2023 Omnibus Appropriations Bill provided, for the first time, an annual appropriation of $15 million to continue providing federal formula grants to state APS programs.  </w:t>
      </w:r>
    </w:p>
    <w:p w:rsidR="00B76F3F" w:rsidP="00A44BB4" w14:paraId="03044337" w14:textId="77777777">
      <w:pPr>
        <w:pStyle w:val="ListParagraph"/>
        <w:tabs>
          <w:tab w:val="left" w:pos="360"/>
        </w:tabs>
        <w:ind w:left="360" w:hanging="360"/>
        <w:rPr>
          <w:i/>
          <w:iCs/>
          <w:u w:val="single"/>
        </w:rPr>
      </w:pPr>
    </w:p>
    <w:p w:rsidR="00981A04" w:rsidRPr="00B76F3F" w:rsidP="00A44BB4" w14:paraId="5B05F149" w14:textId="5D8644A5">
      <w:pPr>
        <w:pStyle w:val="ListParagraph"/>
        <w:tabs>
          <w:tab w:val="left" w:pos="360"/>
        </w:tabs>
        <w:ind w:left="360" w:hanging="360"/>
        <w:rPr>
          <w:i/>
          <w:iCs/>
          <w:u w:val="single"/>
        </w:rPr>
      </w:pPr>
      <w:r w:rsidRPr="00B76F3F">
        <w:rPr>
          <w:i/>
          <w:iCs/>
          <w:u w:val="single"/>
        </w:rPr>
        <w:t>Collection Activity</w:t>
      </w:r>
    </w:p>
    <w:p w:rsidR="00F762CF" w:rsidP="00A44BB4" w14:paraId="1D832A6A" w14:textId="69ECA9B6">
      <w:pPr>
        <w:tabs>
          <w:tab w:val="left" w:pos="360"/>
        </w:tabs>
        <w:ind w:left="360" w:hanging="360"/>
      </w:pPr>
      <w:r>
        <w:tab/>
      </w:r>
      <w:r w:rsidR="00BB481D">
        <w:t xml:space="preserve">The state plan on aging </w:t>
      </w:r>
      <w:r w:rsidR="007221D6">
        <w:t>and f</w:t>
      </w:r>
      <w:r>
        <w:t xml:space="preserve">inancial forms provide statutorily required information regarding each state’s contribution to programs to ensure compliance with legislative requirements, pertinent </w:t>
      </w:r>
      <w:r w:rsidR="00F362BC">
        <w:t>f</w:t>
      </w:r>
      <w:r>
        <w:t xml:space="preserve">ederal regulations, and other applicable instructions and guidelines issued by ACL. This information will be used for </w:t>
      </w:r>
      <w:r w:rsidR="00B76F3F">
        <w:t>f</w:t>
      </w:r>
      <w:r>
        <w:t xml:space="preserve">ederal oversight of the </w:t>
      </w:r>
      <w:r w:rsidR="00074754">
        <w:t>a</w:t>
      </w:r>
      <w:r>
        <w:t xml:space="preserve">ging </w:t>
      </w:r>
      <w:r w:rsidR="00074754">
        <w:t>p</w:t>
      </w:r>
      <w:r>
        <w:t>rograms.</w:t>
      </w:r>
    </w:p>
    <w:p w:rsidR="00F762CF" w:rsidP="00A44BB4" w14:paraId="4BFEDE94" w14:textId="452F9D5F">
      <w:pPr>
        <w:tabs>
          <w:tab w:val="left" w:pos="360"/>
        </w:tabs>
        <w:ind w:left="360" w:hanging="360"/>
      </w:pPr>
      <w:r>
        <w:tab/>
      </w:r>
      <w:r w:rsidRPr="00AE1243">
        <w:t xml:space="preserve">OAA and APS grantees are required to comply with all terms and conditions contained in </w:t>
      </w:r>
      <w:r w:rsidR="00074754">
        <w:t>n</w:t>
      </w:r>
      <w:r w:rsidRPr="00AE1243">
        <w:t xml:space="preserve">otices of </w:t>
      </w:r>
      <w:r w:rsidR="00074754">
        <w:t>a</w:t>
      </w:r>
      <w:r w:rsidRPr="00AE1243">
        <w:t>ward (N</w:t>
      </w:r>
      <w:r w:rsidR="00074754">
        <w:t>O</w:t>
      </w:r>
      <w:r w:rsidRPr="00AE1243">
        <w:t xml:space="preserve">A) issued by ACL. When it is determined that a grantee is not in compliance with one or more of these requirements, ACL may require a grantee submit a plan to </w:t>
      </w:r>
      <w:r w:rsidR="00B76F3F">
        <w:t>enter</w:t>
      </w:r>
      <w:r w:rsidRPr="00AE1243">
        <w:t xml:space="preserve"> compliance under a CAP</w:t>
      </w:r>
      <w:r w:rsidR="00B76F3F">
        <w:t>. A</w:t>
      </w:r>
      <w:r w:rsidRPr="00AE1243">
        <w:t xml:space="preserve">ny such CAP may require ACL’s prior written approval, as determined by ACL. The CAP process is intended to be collaborative. Under a CAP, a grantee and ACL will jointly identify progress milestones and a feasible timeline for the grantee to come into compliance with the applicable requirement. Grantees must make a good faith effort at achieving full compliance to continue </w:t>
      </w:r>
      <w:r w:rsidR="00981A04">
        <w:t xml:space="preserve">with </w:t>
      </w:r>
      <w:r w:rsidRPr="00AE1243">
        <w:t>permission from ACL to operate under a CAP</w:t>
      </w:r>
      <w:r>
        <w:t xml:space="preserve">. </w:t>
      </w:r>
    </w:p>
    <w:p w:rsidR="000E5B51" w:rsidRPr="00A02DF6" w:rsidP="00A44BB4" w14:paraId="0438FF84" w14:textId="77777777">
      <w:pPr>
        <w:tabs>
          <w:tab w:val="left" w:pos="360"/>
        </w:tabs>
        <w:ind w:left="360" w:hanging="360"/>
        <w:rPr>
          <w:b/>
          <w:bCs/>
        </w:rPr>
      </w:pPr>
    </w:p>
    <w:p w:rsidR="000C36D9" w:rsidRPr="006E16CF" w:rsidP="00B33A69" w14:paraId="4DE387C6" w14:textId="57380674">
      <w:pPr>
        <w:pStyle w:val="ListParagraph"/>
        <w:numPr>
          <w:ilvl w:val="0"/>
          <w:numId w:val="20"/>
        </w:numPr>
        <w:tabs>
          <w:tab w:val="left" w:pos="360"/>
        </w:tabs>
        <w:spacing w:before="0"/>
        <w:rPr>
          <w:b/>
          <w:bCs/>
        </w:rPr>
      </w:pPr>
      <w:r>
        <w:rPr>
          <w:b/>
          <w:u w:val="single"/>
        </w:rPr>
        <w:t>Purpose and Use of Information Collection</w:t>
      </w:r>
    </w:p>
    <w:p w:rsidR="00861557" w:rsidP="00B33A69" w14:paraId="3D98EAF3" w14:textId="473634B3">
      <w:pPr>
        <w:pStyle w:val="ListParagraph"/>
        <w:tabs>
          <w:tab w:val="left" w:pos="360"/>
        </w:tabs>
        <w:spacing w:before="0"/>
        <w:ind w:left="360" w:hanging="360"/>
      </w:pPr>
      <w:r>
        <w:rPr>
          <w:rFonts w:cstheme="minorHAnsi"/>
          <w:color w:val="000000" w:themeColor="text1"/>
          <w:shd w:val="clear" w:color="auto" w:fill="FFFFFF"/>
        </w:rPr>
        <w:tab/>
      </w:r>
      <w:r w:rsidR="00C97C6B">
        <w:rPr>
          <w:rFonts w:cstheme="minorHAnsi"/>
          <w:color w:val="000000" w:themeColor="text1"/>
          <w:shd w:val="clear" w:color="auto" w:fill="FFFFFF"/>
        </w:rPr>
        <w:t xml:space="preserve">The purpose of </w:t>
      </w:r>
      <w:r w:rsidR="000E5B51">
        <w:rPr>
          <w:rFonts w:cstheme="minorHAnsi"/>
          <w:color w:val="000000" w:themeColor="text1"/>
          <w:shd w:val="clear" w:color="auto" w:fill="FFFFFF"/>
        </w:rPr>
        <w:t>this information collection</w:t>
      </w:r>
      <w:r w:rsidR="006765F7">
        <w:rPr>
          <w:rFonts w:cstheme="minorHAnsi"/>
          <w:color w:val="000000" w:themeColor="text1"/>
          <w:shd w:val="clear" w:color="auto" w:fill="FFFFFF"/>
        </w:rPr>
        <w:t xml:space="preserve"> is for programmatic and financial management of </w:t>
      </w:r>
      <w:r w:rsidR="003C238B">
        <w:rPr>
          <w:rFonts w:cstheme="minorHAnsi"/>
          <w:color w:val="000000" w:themeColor="text1"/>
          <w:shd w:val="clear" w:color="auto" w:fill="FFFFFF"/>
        </w:rPr>
        <w:t xml:space="preserve">the </w:t>
      </w:r>
      <w:r w:rsidR="000E5B51">
        <w:rPr>
          <w:rFonts w:cstheme="minorHAnsi"/>
          <w:color w:val="000000" w:themeColor="text1"/>
          <w:shd w:val="clear" w:color="auto" w:fill="FFFFFF"/>
        </w:rPr>
        <w:t>a</w:t>
      </w:r>
      <w:r w:rsidR="006765F7">
        <w:rPr>
          <w:rFonts w:cstheme="minorHAnsi"/>
          <w:color w:val="000000" w:themeColor="text1"/>
          <w:shd w:val="clear" w:color="auto" w:fill="FFFFFF"/>
        </w:rPr>
        <w:t>ging</w:t>
      </w:r>
      <w:r w:rsidR="00B4005E">
        <w:rPr>
          <w:rFonts w:cstheme="minorHAnsi"/>
          <w:color w:val="000000" w:themeColor="text1"/>
          <w:shd w:val="clear" w:color="auto" w:fill="FFFFFF"/>
        </w:rPr>
        <w:t xml:space="preserve"> and APS</w:t>
      </w:r>
      <w:r w:rsidR="006765F7">
        <w:rPr>
          <w:rFonts w:cstheme="minorHAnsi"/>
          <w:color w:val="000000" w:themeColor="text1"/>
          <w:shd w:val="clear" w:color="auto" w:fill="FFFFFF"/>
        </w:rPr>
        <w:t xml:space="preserve"> formula grants</w:t>
      </w:r>
      <w:r>
        <w:rPr>
          <w:rFonts w:cstheme="minorHAnsi"/>
          <w:color w:val="000000" w:themeColor="text1"/>
          <w:shd w:val="clear" w:color="auto" w:fill="FFFFFF"/>
        </w:rPr>
        <w:t>.</w:t>
      </w:r>
      <w:r w:rsidR="006765F7">
        <w:rPr>
          <w:rFonts w:cstheme="minorHAnsi"/>
          <w:color w:val="000000" w:themeColor="text1"/>
          <w:shd w:val="clear" w:color="auto" w:fill="FFFFFF"/>
        </w:rPr>
        <w:t xml:space="preserve"> </w:t>
      </w:r>
      <w:r w:rsidR="000E5B51">
        <w:rPr>
          <w:rFonts w:cstheme="minorHAnsi"/>
          <w:color w:val="000000" w:themeColor="text1"/>
          <w:shd w:val="clear" w:color="auto" w:fill="FFFFFF"/>
        </w:rPr>
        <w:t>The s</w:t>
      </w:r>
      <w:r w:rsidR="006765F7">
        <w:rPr>
          <w:rFonts w:cstheme="minorHAnsi"/>
          <w:color w:val="000000" w:themeColor="text1"/>
          <w:shd w:val="clear" w:color="auto" w:fill="FFFFFF"/>
        </w:rPr>
        <w:t xml:space="preserve">tate </w:t>
      </w:r>
      <w:r w:rsidR="000E5B51">
        <w:rPr>
          <w:rFonts w:cstheme="minorHAnsi"/>
          <w:color w:val="000000" w:themeColor="text1"/>
          <w:shd w:val="clear" w:color="auto" w:fill="FFFFFF"/>
        </w:rPr>
        <w:t>p</w:t>
      </w:r>
      <w:r w:rsidR="006765F7">
        <w:rPr>
          <w:rFonts w:cstheme="minorHAnsi"/>
          <w:color w:val="000000" w:themeColor="text1"/>
          <w:shd w:val="clear" w:color="auto" w:fill="FFFFFF"/>
        </w:rPr>
        <w:t>lan</w:t>
      </w:r>
      <w:r w:rsidR="002918BA">
        <w:rPr>
          <w:rFonts w:cstheme="minorHAnsi"/>
          <w:color w:val="000000" w:themeColor="text1"/>
          <w:shd w:val="clear" w:color="auto" w:fill="FFFFFF"/>
        </w:rPr>
        <w:t xml:space="preserve"> on aging</w:t>
      </w:r>
      <w:r w:rsidR="00C97C6B">
        <w:rPr>
          <w:rFonts w:cstheme="minorHAnsi"/>
          <w:color w:val="000000" w:themeColor="text1"/>
          <w:shd w:val="clear" w:color="auto" w:fill="FFFFFF"/>
        </w:rPr>
        <w:t xml:space="preserve"> provide</w:t>
      </w:r>
      <w:r w:rsidR="000E5B51">
        <w:rPr>
          <w:rFonts w:cstheme="minorHAnsi"/>
          <w:color w:val="000000" w:themeColor="text1"/>
          <w:shd w:val="clear" w:color="auto" w:fill="FFFFFF"/>
        </w:rPr>
        <w:t>s</w:t>
      </w:r>
      <w:r w:rsidR="00C97C6B">
        <w:rPr>
          <w:rFonts w:cstheme="minorHAnsi"/>
          <w:color w:val="000000" w:themeColor="text1"/>
          <w:shd w:val="clear" w:color="auto" w:fill="FFFFFF"/>
        </w:rPr>
        <w:t xml:space="preserve"> the opportunity </w:t>
      </w:r>
      <w:r w:rsidR="000E5B51">
        <w:rPr>
          <w:rFonts w:cstheme="minorHAnsi"/>
          <w:color w:val="000000" w:themeColor="text1"/>
          <w:shd w:val="clear" w:color="auto" w:fill="FFFFFF"/>
        </w:rPr>
        <w:t>report</w:t>
      </w:r>
      <w:r w:rsidR="00C97C6B">
        <w:rPr>
          <w:rFonts w:cstheme="minorHAnsi"/>
          <w:color w:val="000000" w:themeColor="text1"/>
          <w:shd w:val="clear" w:color="auto" w:fill="FFFFFF"/>
        </w:rPr>
        <w:t xml:space="preserve"> achievements and planned activities </w:t>
      </w:r>
      <w:r w:rsidR="002B6F72">
        <w:rPr>
          <w:rFonts w:cstheme="minorHAnsi"/>
          <w:color w:val="000000" w:themeColor="text1"/>
          <w:shd w:val="clear" w:color="auto" w:fill="FFFFFF"/>
        </w:rPr>
        <w:t>for the multi-year plan</w:t>
      </w:r>
      <w:r w:rsidR="00C97C6B">
        <w:rPr>
          <w:rFonts w:cstheme="minorHAnsi"/>
          <w:color w:val="000000" w:themeColor="text1"/>
          <w:shd w:val="clear" w:color="auto" w:fill="FFFFFF"/>
        </w:rPr>
        <w:t xml:space="preserve"> period</w:t>
      </w:r>
      <w:r w:rsidR="000E5B51">
        <w:rPr>
          <w:rFonts w:cstheme="minorHAnsi"/>
          <w:color w:val="000000" w:themeColor="text1"/>
          <w:shd w:val="clear" w:color="auto" w:fill="FFFFFF"/>
        </w:rPr>
        <w:t xml:space="preserve">. </w:t>
      </w:r>
      <w:r w:rsidR="00AC35D1">
        <w:t>A wide range of constituents use</w:t>
      </w:r>
      <w:r w:rsidR="006765F7">
        <w:t xml:space="preserve"> or will</w:t>
      </w:r>
      <w:r w:rsidR="00AC35D1">
        <w:t xml:space="preserve"> </w:t>
      </w:r>
      <w:r w:rsidR="00EB0C5C">
        <w:t xml:space="preserve">use </w:t>
      </w:r>
      <w:r w:rsidR="00AC35D1">
        <w:t xml:space="preserve">the </w:t>
      </w:r>
      <w:r w:rsidR="000E5B51">
        <w:t>s</w:t>
      </w:r>
      <w:r w:rsidR="00AC35D1">
        <w:t xml:space="preserve">tate </w:t>
      </w:r>
      <w:r w:rsidR="000E5B51">
        <w:t>p</w:t>
      </w:r>
      <w:r w:rsidR="00AC35D1">
        <w:t xml:space="preserve">lans to coordinate, monitor, evaluate, and improve </w:t>
      </w:r>
      <w:r w:rsidR="000E5B51">
        <w:t>a</w:t>
      </w:r>
      <w:r w:rsidR="006765F7">
        <w:t xml:space="preserve">ging </w:t>
      </w:r>
      <w:r w:rsidR="000E5B51">
        <w:t>n</w:t>
      </w:r>
      <w:r w:rsidR="006765F7">
        <w:t>etwork by</w:t>
      </w:r>
      <w:r w:rsidR="006B7884">
        <w:t xml:space="preserve"> us</w:t>
      </w:r>
      <w:r w:rsidR="006765F7">
        <w:t>ing</w:t>
      </w:r>
      <w:r w:rsidR="006B7884">
        <w:t xml:space="preserve"> the </w:t>
      </w:r>
      <w:r w:rsidR="000E5B51">
        <w:t>s</w:t>
      </w:r>
      <w:r w:rsidR="00AC35D1">
        <w:t xml:space="preserve">tate </w:t>
      </w:r>
      <w:r w:rsidR="000E5B51">
        <w:t>p</w:t>
      </w:r>
      <w:r w:rsidR="00AC35D1">
        <w:t xml:space="preserve">lans </w:t>
      </w:r>
      <w:r w:rsidR="004A5B92">
        <w:t xml:space="preserve">on aging </w:t>
      </w:r>
      <w:r w:rsidR="00AC35D1">
        <w:t>as a blueprint for service planning and delivery.</w:t>
      </w:r>
      <w:r w:rsidR="006B7884">
        <w:t xml:space="preserve"> Additionally, ACL </w:t>
      </w:r>
      <w:r w:rsidR="00A52B3E">
        <w:t>leverages</w:t>
      </w:r>
      <w:r w:rsidR="006B7884">
        <w:t xml:space="preserve"> </w:t>
      </w:r>
      <w:r w:rsidR="00353B0A">
        <w:t>s</w:t>
      </w:r>
      <w:r w:rsidR="006B7884">
        <w:t xml:space="preserve">tate </w:t>
      </w:r>
      <w:r w:rsidR="00353B0A">
        <w:t>p</w:t>
      </w:r>
      <w:r w:rsidR="006B7884">
        <w:t xml:space="preserve">lans </w:t>
      </w:r>
      <w:r w:rsidR="004A5B92">
        <w:t xml:space="preserve">on aging </w:t>
      </w:r>
      <w:r w:rsidR="00A52B3E">
        <w:t xml:space="preserve">to </w:t>
      </w:r>
      <w:r w:rsidR="00AC35D1">
        <w:t>understand the numerous services older adult</w:t>
      </w:r>
      <w:r w:rsidR="00A52B3E">
        <w:t>s</w:t>
      </w:r>
      <w:r w:rsidR="00AC35D1">
        <w:t xml:space="preserve"> </w:t>
      </w:r>
      <w:r w:rsidR="00511F79">
        <w:t xml:space="preserve">use, </w:t>
      </w:r>
      <w:r w:rsidR="00AC35D1">
        <w:t xml:space="preserve">and </w:t>
      </w:r>
      <w:r w:rsidR="00511F79">
        <w:t xml:space="preserve">to </w:t>
      </w:r>
      <w:r w:rsidR="00AC35D1">
        <w:t xml:space="preserve">utilize the information for </w:t>
      </w:r>
      <w:r w:rsidR="00A52B3E">
        <w:t>advocating</w:t>
      </w:r>
      <w:r w:rsidR="00511F79">
        <w:t xml:space="preserve"> the needs of </w:t>
      </w:r>
      <w:r w:rsidR="000517D0">
        <w:t>older adults</w:t>
      </w:r>
      <w:r w:rsidR="00A52B3E">
        <w:t>.</w:t>
      </w:r>
      <w:r w:rsidR="00AC35D1">
        <w:t xml:space="preserve"> </w:t>
      </w:r>
      <w:r w:rsidR="00760462">
        <w:t xml:space="preserve">The </w:t>
      </w:r>
      <w:r w:rsidR="001A0EFC">
        <w:t xml:space="preserve">financial </w:t>
      </w:r>
      <w:r w:rsidR="00760462">
        <w:t xml:space="preserve">forms </w:t>
      </w:r>
      <w:r w:rsidR="00353B0A">
        <w:t xml:space="preserve">will assist in the facilitation of </w:t>
      </w:r>
      <w:r w:rsidR="00760462">
        <w:t>OAA formula grant management.</w:t>
      </w:r>
      <w:r w:rsidR="00A51BAF">
        <w:t xml:space="preserve">  </w:t>
      </w:r>
      <w:r w:rsidR="00D1165A">
        <w:t>And the CAP document will assist in compliance of OAA and EJA formula grants.</w:t>
      </w:r>
      <w:r w:rsidR="00A51BAF">
        <w:t xml:space="preserve"> </w:t>
      </w:r>
    </w:p>
    <w:p w:rsidR="009968EA" w:rsidP="00A44BB4" w14:paraId="50B2C954" w14:textId="77777777">
      <w:pPr>
        <w:tabs>
          <w:tab w:val="left" w:pos="360"/>
        </w:tabs>
        <w:ind w:hanging="360"/>
        <w:rPr>
          <w:b/>
          <w:bCs/>
          <w:u w:val="single"/>
        </w:rPr>
      </w:pPr>
    </w:p>
    <w:bookmarkEnd w:id="0"/>
    <w:p w:rsidR="009968EA" w:rsidRPr="009968EA" w:rsidP="00B33A69" w14:paraId="6DCF2E80" w14:textId="36F443F9">
      <w:pPr>
        <w:tabs>
          <w:tab w:val="left" w:pos="360"/>
        </w:tabs>
        <w:spacing w:after="0"/>
        <w:rPr>
          <w:b/>
          <w:bCs/>
        </w:rPr>
      </w:pPr>
      <w:r>
        <w:rPr>
          <w:b/>
          <w:bCs/>
        </w:rPr>
        <w:t>3.</w:t>
      </w:r>
      <w:r>
        <w:rPr>
          <w:b/>
          <w:bCs/>
        </w:rPr>
        <w:tab/>
      </w:r>
      <w:r w:rsidRPr="009968EA">
        <w:rPr>
          <w:b/>
          <w:bCs/>
          <w:u w:val="single"/>
        </w:rPr>
        <w:t>Use of Improved Information Technology and Burden Reduction</w:t>
      </w:r>
      <w:r w:rsidRPr="009968EA">
        <w:rPr>
          <w:b/>
          <w:bCs/>
        </w:rPr>
        <w:t xml:space="preserve"> </w:t>
      </w:r>
    </w:p>
    <w:p w:rsidR="004665B8" w:rsidP="00B33A69" w14:paraId="29E52CB7" w14:textId="1331B79B">
      <w:pPr>
        <w:pStyle w:val="ListParagraph"/>
        <w:tabs>
          <w:tab w:val="left" w:pos="360"/>
        </w:tabs>
        <w:spacing w:after="0"/>
        <w:ind w:left="360" w:hanging="360"/>
      </w:pPr>
      <w:r>
        <w:tab/>
      </w:r>
      <w:r w:rsidRPr="006E16CF" w:rsidR="002748D6">
        <w:t>ACL does its best to ensure we are requiring the least amount of burden when collecting information</w:t>
      </w:r>
      <w:r w:rsidRPr="002748D6" w:rsidR="002748D6">
        <w:t xml:space="preserve"> from the public. To the extent possible, we strive to collect information electronically and/or use online collaboration tools to reduce burden unless other means provide more accessibility for a person or persons with a disability.</w:t>
      </w:r>
      <w:r w:rsidR="00353B0A">
        <w:t xml:space="preserve"> ACL can develop or provide translation i</w:t>
      </w:r>
      <w:r w:rsidRPr="00353B0A" w:rsidR="00353B0A">
        <w:t xml:space="preserve">nto languages other than English. </w:t>
      </w:r>
    </w:p>
    <w:p w:rsidR="00FE66B7" w:rsidP="00A44BB4" w14:paraId="6AC61EB9" w14:textId="755D730C">
      <w:pPr>
        <w:pStyle w:val="ListParagraph"/>
        <w:tabs>
          <w:tab w:val="left" w:pos="360"/>
        </w:tabs>
        <w:ind w:left="360" w:hanging="360"/>
      </w:pPr>
      <w:r>
        <w:tab/>
      </w:r>
      <w:r w:rsidR="00353B0A">
        <w:t>S</w:t>
      </w:r>
      <w:r w:rsidRPr="00353B0A" w:rsidR="00353B0A">
        <w:t xml:space="preserve">ome of ACL’s </w:t>
      </w:r>
      <w:r w:rsidR="004665B8">
        <w:t>grantees</w:t>
      </w:r>
      <w:r w:rsidRPr="00353B0A" w:rsidR="00353B0A">
        <w:t xml:space="preserve"> </w:t>
      </w:r>
      <w:r w:rsidR="00353B0A">
        <w:t>requiring translation would inform the state agencies</w:t>
      </w:r>
      <w:r w:rsidRPr="001A0EFC" w:rsidR="00353B0A">
        <w:t>, local agencies, and community providers</w:t>
      </w:r>
      <w:r w:rsidR="004665B8">
        <w:t xml:space="preserve"> for translation needs. </w:t>
      </w:r>
    </w:p>
    <w:p w:rsidR="004665B8" w:rsidP="00A44BB4" w14:paraId="5AE0D41C" w14:textId="77777777">
      <w:pPr>
        <w:pStyle w:val="ListParagraph"/>
        <w:tabs>
          <w:tab w:val="left" w:pos="360"/>
        </w:tabs>
        <w:ind w:left="360" w:hanging="360"/>
      </w:pPr>
    </w:p>
    <w:p w:rsidR="009968EA" w:rsidP="00A44BB4" w14:paraId="47C9FA04" w14:textId="56B9653D">
      <w:pPr>
        <w:widowControl w:val="0"/>
        <w:tabs>
          <w:tab w:val="left" w:pos="360"/>
        </w:tabs>
        <w:autoSpaceDE w:val="0"/>
        <w:autoSpaceDN w:val="0"/>
        <w:adjustRightInd w:val="0"/>
        <w:spacing w:after="0"/>
        <w:ind w:hanging="360"/>
        <w:rPr>
          <w:b/>
        </w:rPr>
      </w:pPr>
      <w:bookmarkStart w:id="4" w:name="_Hlk134005039"/>
      <w:r>
        <w:rPr>
          <w:b/>
        </w:rPr>
        <w:tab/>
      </w:r>
      <w:r>
        <w:rPr>
          <w:b/>
        </w:rPr>
        <w:t>4.</w:t>
      </w:r>
      <w:r>
        <w:rPr>
          <w:b/>
        </w:rPr>
        <w:tab/>
      </w:r>
      <w:r>
        <w:rPr>
          <w:b/>
          <w:u w:val="single"/>
        </w:rPr>
        <w:t>Efforts to Identify Duplication and Use of Similar Information</w:t>
      </w:r>
    </w:p>
    <w:bookmarkEnd w:id="4"/>
    <w:p w:rsidR="00FE66B7" w:rsidP="00A44BB4" w14:paraId="7F1FDBC0" w14:textId="112DE2CA">
      <w:pPr>
        <w:pStyle w:val="ListParagraph"/>
        <w:tabs>
          <w:tab w:val="left" w:pos="360"/>
        </w:tabs>
        <w:ind w:left="360" w:hanging="360"/>
      </w:pPr>
      <w:r>
        <w:tab/>
      </w:r>
      <w:r w:rsidR="004665B8">
        <w:t>This collection of information is not collected through other ACL collections of information, there’s no duplication of information.</w:t>
      </w:r>
    </w:p>
    <w:p w:rsidR="006E3792" w:rsidP="00A44BB4" w14:paraId="2E47FD43" w14:textId="77777777">
      <w:pPr>
        <w:widowControl w:val="0"/>
        <w:tabs>
          <w:tab w:val="left" w:pos="360"/>
        </w:tabs>
        <w:autoSpaceDE w:val="0"/>
        <w:autoSpaceDN w:val="0"/>
        <w:adjustRightInd w:val="0"/>
        <w:spacing w:after="0"/>
        <w:ind w:hanging="360"/>
        <w:rPr>
          <w:b/>
        </w:rPr>
      </w:pPr>
    </w:p>
    <w:p w:rsidR="009968EA" w:rsidP="00A44BB4" w14:paraId="6E240259" w14:textId="216DB179">
      <w:pPr>
        <w:widowControl w:val="0"/>
        <w:tabs>
          <w:tab w:val="left" w:pos="360"/>
        </w:tabs>
        <w:autoSpaceDE w:val="0"/>
        <w:autoSpaceDN w:val="0"/>
        <w:adjustRightInd w:val="0"/>
        <w:spacing w:after="0"/>
        <w:ind w:hanging="360"/>
        <w:rPr>
          <w:color w:val="000000"/>
        </w:rPr>
      </w:pPr>
      <w:r>
        <w:rPr>
          <w:b/>
        </w:rPr>
        <w:tab/>
      </w:r>
      <w:r>
        <w:rPr>
          <w:b/>
        </w:rPr>
        <w:t>5.</w:t>
      </w:r>
      <w:r>
        <w:rPr>
          <w:b/>
        </w:rPr>
        <w:tab/>
      </w:r>
      <w:r>
        <w:rPr>
          <w:b/>
          <w:u w:val="single"/>
        </w:rPr>
        <w:t>Impact on Small Businesses or Other Small Entities</w:t>
      </w:r>
    </w:p>
    <w:p w:rsidR="009968EA" w:rsidP="00A44BB4" w14:paraId="0E4C376F" w14:textId="083E4068">
      <w:pPr>
        <w:tabs>
          <w:tab w:val="left" w:pos="360"/>
        </w:tabs>
        <w:spacing w:after="0"/>
        <w:ind w:left="360" w:hanging="360"/>
      </w:pPr>
      <w:r>
        <w:tab/>
      </w:r>
      <w:r>
        <w:t>This information collection does not impact small entities</w:t>
      </w:r>
      <w:r w:rsidRPr="00CB6BDF">
        <w:t xml:space="preserve">.  </w:t>
      </w:r>
    </w:p>
    <w:p w:rsidR="00745F6A" w:rsidP="00A44BB4" w14:paraId="364A57DE" w14:textId="77777777">
      <w:pPr>
        <w:tabs>
          <w:tab w:val="left" w:pos="360"/>
        </w:tabs>
        <w:spacing w:after="0"/>
        <w:ind w:hanging="360"/>
      </w:pPr>
    </w:p>
    <w:p w:rsidR="00745F6A" w:rsidP="00B33A69" w14:paraId="515E1194" w14:textId="57399A44">
      <w:pPr>
        <w:tabs>
          <w:tab w:val="left" w:pos="360"/>
        </w:tabs>
        <w:spacing w:after="0"/>
        <w:ind w:hanging="360"/>
        <w:rPr>
          <w:color w:val="000000"/>
        </w:rPr>
      </w:pPr>
      <w:bookmarkStart w:id="5" w:name="_Hlk134005149"/>
      <w:r>
        <w:rPr>
          <w:b/>
          <w:bCs/>
        </w:rPr>
        <w:tab/>
      </w:r>
      <w:r>
        <w:rPr>
          <w:b/>
          <w:bCs/>
        </w:rPr>
        <w:t>6.</w:t>
      </w:r>
      <w:r>
        <w:rPr>
          <w:b/>
          <w:bCs/>
        </w:rPr>
        <w:tab/>
      </w:r>
      <w:r w:rsidR="009968EA">
        <w:rPr>
          <w:b/>
          <w:u w:val="single"/>
        </w:rPr>
        <w:t>Consequences of Collecting the Information Less Frequent Collection</w:t>
      </w:r>
      <w:bookmarkEnd w:id="5"/>
    </w:p>
    <w:p w:rsidR="00745F6A" w:rsidRPr="00745F6A" w:rsidP="00B33A69" w14:paraId="742C1FD9" w14:textId="049358A9">
      <w:pPr>
        <w:tabs>
          <w:tab w:val="left" w:pos="360"/>
        </w:tabs>
        <w:spacing w:after="0"/>
        <w:ind w:left="360" w:hanging="360"/>
        <w:rPr>
          <w:color w:val="000000"/>
        </w:rPr>
      </w:pPr>
      <w:r>
        <w:rPr>
          <w:color w:val="000000"/>
        </w:rPr>
        <w:tab/>
      </w:r>
      <w:bookmarkStart w:id="6" w:name="_Hlk174346442"/>
      <w:r w:rsidRPr="00745F6A">
        <w:rPr>
          <w:color w:val="000000"/>
        </w:rPr>
        <w:t xml:space="preserve">SUAs </w:t>
      </w:r>
      <w:bookmarkEnd w:id="6"/>
      <w:r w:rsidRPr="00745F6A">
        <w:rPr>
          <w:color w:val="000000"/>
        </w:rPr>
        <w:t>are responsible for developing and implementing multi-year state plans. SUAs are also responsible for adhering to program management as required in the OAA. ACL uses these forms to transparently communicate priority goals and objectives related to assisting older residents</w:t>
      </w:r>
      <w:r w:rsidR="0051018D">
        <w:rPr>
          <w:color w:val="000000"/>
        </w:rPr>
        <w:t xml:space="preserve"> and</w:t>
      </w:r>
      <w:r w:rsidRPr="00745F6A">
        <w:rPr>
          <w:color w:val="000000"/>
        </w:rPr>
        <w:t xml:space="preserve"> their families, and caregivers. The aging network at large uses the plans to coordinate funding activities.</w:t>
      </w:r>
    </w:p>
    <w:p w:rsidR="0051018D" w:rsidP="00A44BB4" w14:paraId="3E2B9BB4" w14:textId="77777777">
      <w:pPr>
        <w:tabs>
          <w:tab w:val="left" w:pos="360"/>
        </w:tabs>
        <w:ind w:left="360" w:hanging="360"/>
        <w:rPr>
          <w:color w:val="000000"/>
        </w:rPr>
      </w:pPr>
      <w:r>
        <w:rPr>
          <w:color w:val="000000"/>
        </w:rPr>
        <w:tab/>
      </w:r>
    </w:p>
    <w:p w:rsidR="00745F6A" w:rsidRPr="00745F6A" w:rsidP="00A44BB4" w14:paraId="5BCEB60D" w14:textId="23BD0D2F">
      <w:pPr>
        <w:tabs>
          <w:tab w:val="left" w:pos="360"/>
        </w:tabs>
        <w:ind w:left="360" w:hanging="360"/>
        <w:rPr>
          <w:color w:val="000000"/>
        </w:rPr>
      </w:pPr>
      <w:r>
        <w:rPr>
          <w:color w:val="000000"/>
        </w:rPr>
        <w:tab/>
      </w:r>
      <w:r w:rsidRPr="00745F6A">
        <w:rPr>
          <w:color w:val="000000"/>
        </w:rPr>
        <w:t xml:space="preserve">If this information collection is not conducted SUAs will fail to meet statutory and regulatory requirements and the aging network is less equipped to transparently communicate priorities and coordinate efforts to support older residents, their families, and caregivers. </w:t>
      </w:r>
    </w:p>
    <w:p w:rsidR="00745F6A" w:rsidP="00A44BB4" w14:paraId="53B7A49C" w14:textId="77777777">
      <w:pPr>
        <w:widowControl w:val="0"/>
        <w:tabs>
          <w:tab w:val="left" w:pos="360"/>
        </w:tabs>
        <w:autoSpaceDE w:val="0"/>
        <w:autoSpaceDN w:val="0"/>
        <w:adjustRightInd w:val="0"/>
        <w:spacing w:after="0"/>
        <w:ind w:hanging="360"/>
        <w:rPr>
          <w:b/>
          <w:u w:val="single"/>
        </w:rPr>
      </w:pPr>
      <w:bookmarkStart w:id="7" w:name="_Hlk134005211"/>
    </w:p>
    <w:p w:rsidR="009968EA" w:rsidP="00A44BB4" w14:paraId="3038B697" w14:textId="1DF5D2DF">
      <w:pPr>
        <w:widowControl w:val="0"/>
        <w:tabs>
          <w:tab w:val="left" w:pos="360"/>
        </w:tabs>
        <w:autoSpaceDE w:val="0"/>
        <w:autoSpaceDN w:val="0"/>
        <w:adjustRightInd w:val="0"/>
        <w:spacing w:after="0"/>
        <w:ind w:hanging="360"/>
        <w:rPr>
          <w:b/>
        </w:rPr>
      </w:pPr>
      <w:r>
        <w:rPr>
          <w:b/>
        </w:rPr>
        <w:tab/>
      </w:r>
      <w:r w:rsidR="00745F6A">
        <w:rPr>
          <w:b/>
        </w:rPr>
        <w:t>7.</w:t>
      </w:r>
      <w:r w:rsidR="00745F6A">
        <w:rPr>
          <w:b/>
        </w:rPr>
        <w:tab/>
      </w:r>
      <w:r>
        <w:rPr>
          <w:b/>
          <w:u w:val="single"/>
        </w:rPr>
        <w:t>Special Circumstances Relating to the Guidelines of 5 CFR 1320.5</w:t>
      </w:r>
    </w:p>
    <w:p w:rsidR="00745F6A" w:rsidP="00917016" w14:paraId="0284155F" w14:textId="5B14B582">
      <w:pPr>
        <w:tabs>
          <w:tab w:val="left" w:pos="360"/>
        </w:tabs>
        <w:ind w:left="360" w:hanging="360"/>
      </w:pPr>
      <w:bookmarkStart w:id="8" w:name="_Hlk134005564"/>
      <w:bookmarkEnd w:id="7"/>
      <w:r>
        <w:tab/>
      </w:r>
      <w:r w:rsidRPr="00917016" w:rsidR="00917016">
        <w:t>There is no individual level collection of race and ethnicity data or other demographic data elements in any of the forms in this collection. In the state plans attachment, there is reference to some demographic data points. These are at the state level, they are state level estimates, and Census data are used to generate these estimates therefore ACL will depend on Census's timeline to implement SPD-15 changes</w:t>
      </w:r>
      <w:r w:rsidR="00917016">
        <w:t>.</w:t>
      </w:r>
    </w:p>
    <w:p w:rsidR="00917016" w:rsidRPr="00917016" w:rsidP="00917016" w14:paraId="1E574D6C" w14:textId="77777777">
      <w:pPr>
        <w:tabs>
          <w:tab w:val="left" w:pos="360"/>
        </w:tabs>
        <w:ind w:left="360" w:hanging="360"/>
        <w:rPr>
          <w:b/>
          <w:u w:val="single"/>
        </w:rPr>
      </w:pPr>
    </w:p>
    <w:p w:rsidR="009968EA" w:rsidP="00A44BB4" w14:paraId="171858E3" w14:textId="51F8DCED">
      <w:pPr>
        <w:widowControl w:val="0"/>
        <w:tabs>
          <w:tab w:val="left" w:pos="360"/>
        </w:tabs>
        <w:autoSpaceDE w:val="0"/>
        <w:autoSpaceDN w:val="0"/>
        <w:adjustRightInd w:val="0"/>
        <w:spacing w:after="0"/>
        <w:ind w:hanging="360"/>
        <w:rPr>
          <w:b/>
        </w:rPr>
      </w:pPr>
      <w:r>
        <w:rPr>
          <w:b/>
          <w:iCs/>
        </w:rPr>
        <w:tab/>
      </w:r>
      <w:r w:rsidR="00745F6A">
        <w:rPr>
          <w:b/>
          <w:iCs/>
        </w:rPr>
        <w:t>8.</w:t>
      </w:r>
      <w:r w:rsidR="00745F6A">
        <w:rPr>
          <w:b/>
          <w:iCs/>
        </w:rPr>
        <w:tab/>
      </w:r>
      <w:r>
        <w:rPr>
          <w:b/>
          <w:iCs/>
          <w:u w:val="single"/>
        </w:rPr>
        <w:t>Comments in Response to the Federal Register</w:t>
      </w:r>
      <w:r>
        <w:rPr>
          <w:b/>
          <w:u w:val="single"/>
        </w:rPr>
        <w:t xml:space="preserve"> Notice/Outside Consultation</w:t>
      </w:r>
      <w:bookmarkEnd w:id="8"/>
    </w:p>
    <w:p w:rsidR="00693FCE" w:rsidP="00A44BB4" w14:paraId="7CF372CB" w14:textId="534049A3">
      <w:pPr>
        <w:tabs>
          <w:tab w:val="left" w:pos="360"/>
        </w:tabs>
        <w:spacing w:after="0"/>
        <w:ind w:left="360" w:hanging="360"/>
        <w:rPr>
          <w:bCs/>
        </w:rPr>
      </w:pPr>
      <w:r>
        <w:rPr>
          <w:bCs/>
        </w:rPr>
        <w:tab/>
      </w:r>
      <w:bookmarkStart w:id="9" w:name="_Hlk174347365"/>
      <w:r w:rsidR="00745F6A">
        <w:rPr>
          <w:bCs/>
        </w:rPr>
        <w:t xml:space="preserve">In </w:t>
      </w:r>
      <w:r w:rsidRPr="00DE2574" w:rsidR="00745F6A">
        <w:t xml:space="preserve">accordance with 5 CFR 1320.8(d), </w:t>
      </w:r>
      <w:r w:rsidR="00745F6A">
        <w:t xml:space="preserve">ACL published </w:t>
      </w:r>
      <w:r w:rsidR="00301419">
        <w:t>a 60-day Federal Register Notice</w:t>
      </w:r>
      <w:r>
        <w:t xml:space="preserve"> (FRN)</w:t>
      </w:r>
      <w:r w:rsidR="00301419">
        <w:t xml:space="preserve"> </w:t>
      </w:r>
      <w:bookmarkStart w:id="10" w:name="_Hlk171605178"/>
      <w:r w:rsidR="00301419">
        <w:t xml:space="preserve">in </w:t>
      </w:r>
      <w:r w:rsidRPr="00301419" w:rsidR="00301419">
        <w:rPr>
          <w:i/>
          <w:iCs/>
        </w:rPr>
        <w:t>Federal Register</w:t>
      </w:r>
      <w:r w:rsidR="00301419">
        <w:t xml:space="preserve"> </w:t>
      </w:r>
      <w:r w:rsidRPr="00301419" w:rsidR="00301419">
        <w:t>Vol. 88, No. 20</w:t>
      </w:r>
      <w:r w:rsidR="00301419">
        <w:t xml:space="preserve">0 pages </w:t>
      </w:r>
      <w:r w:rsidRPr="00301419" w:rsidR="00301419">
        <w:t>71869-71871</w:t>
      </w:r>
      <w:r w:rsidR="00301419">
        <w:t xml:space="preserve"> on </w:t>
      </w:r>
      <w:r w:rsidRPr="00301419" w:rsidR="00301419">
        <w:t>Wednesday, October 18, 2023</w:t>
      </w:r>
      <w:r w:rsidR="00301419">
        <w:t xml:space="preserve">. </w:t>
      </w:r>
      <w:bookmarkEnd w:id="10"/>
      <w:r w:rsidRPr="00693FCE">
        <w:rPr>
          <w:bCs/>
        </w:rPr>
        <w:t>ACL received one public comment</w:t>
      </w:r>
      <w:r>
        <w:rPr>
          <w:bCs/>
        </w:rPr>
        <w:t xml:space="preserve"> during the 60-day public comment period. </w:t>
      </w:r>
    </w:p>
    <w:p w:rsidR="00B33A69" w:rsidRPr="00693FCE" w:rsidP="00A44BB4" w14:paraId="4ADB22C0" w14:textId="77777777">
      <w:pPr>
        <w:tabs>
          <w:tab w:val="left" w:pos="360"/>
        </w:tabs>
        <w:spacing w:after="0"/>
        <w:ind w:left="360" w:hanging="360"/>
        <w:rPr>
          <w:bCs/>
        </w:rPr>
      </w:pPr>
    </w:p>
    <w:tbl>
      <w:tblPr>
        <w:tblStyle w:val="TableGrid"/>
        <w:tblW w:w="0" w:type="auto"/>
        <w:tblLook w:val="04A0"/>
      </w:tblPr>
      <w:tblGrid>
        <w:gridCol w:w="2337"/>
        <w:gridCol w:w="2337"/>
        <w:gridCol w:w="2338"/>
        <w:gridCol w:w="2338"/>
      </w:tblGrid>
      <w:tr w14:paraId="3C72E40E" w14:textId="77777777" w:rsidTr="00455A6B">
        <w:tblPrEx>
          <w:tblW w:w="0" w:type="auto"/>
          <w:tblLook w:val="04A0"/>
        </w:tblPrEx>
        <w:tc>
          <w:tcPr>
            <w:tcW w:w="2337" w:type="dxa"/>
            <w:shd w:val="clear" w:color="auto" w:fill="B8CCE4" w:themeFill="accent1" w:themeFillTint="66"/>
          </w:tcPr>
          <w:p w:rsidR="00B33A69" w:rsidP="00455A6B" w14:paraId="4C1E79CA" w14:textId="2903FE34">
            <w:pPr>
              <w:spacing w:line="480" w:lineRule="auto"/>
              <w:outlineLvl w:val="0"/>
              <w:rPr>
                <w:bCs/>
              </w:rPr>
            </w:pPr>
            <w:r>
              <w:rPr>
                <w:bCs/>
              </w:rPr>
              <w:tab/>
              <w:t xml:space="preserve">Organization </w:t>
            </w:r>
          </w:p>
        </w:tc>
        <w:tc>
          <w:tcPr>
            <w:tcW w:w="2337" w:type="dxa"/>
            <w:shd w:val="clear" w:color="auto" w:fill="B8CCE4" w:themeFill="accent1" w:themeFillTint="66"/>
          </w:tcPr>
          <w:p w:rsidR="00B33A69" w:rsidP="00455A6B" w14:paraId="4833242E" w14:textId="77777777">
            <w:pPr>
              <w:spacing w:line="480" w:lineRule="auto"/>
              <w:outlineLvl w:val="0"/>
              <w:rPr>
                <w:bCs/>
              </w:rPr>
            </w:pPr>
            <w:r>
              <w:rPr>
                <w:bCs/>
              </w:rPr>
              <w:t xml:space="preserve">Section </w:t>
            </w:r>
          </w:p>
        </w:tc>
        <w:tc>
          <w:tcPr>
            <w:tcW w:w="2338" w:type="dxa"/>
            <w:shd w:val="clear" w:color="auto" w:fill="B8CCE4" w:themeFill="accent1" w:themeFillTint="66"/>
          </w:tcPr>
          <w:p w:rsidR="00B33A69" w:rsidP="00455A6B" w14:paraId="6CFFE4D4" w14:textId="77777777">
            <w:pPr>
              <w:spacing w:line="480" w:lineRule="auto"/>
              <w:outlineLvl w:val="0"/>
              <w:rPr>
                <w:bCs/>
              </w:rPr>
            </w:pPr>
            <w:r>
              <w:rPr>
                <w:bCs/>
              </w:rPr>
              <w:t xml:space="preserve">Comment </w:t>
            </w:r>
          </w:p>
        </w:tc>
        <w:tc>
          <w:tcPr>
            <w:tcW w:w="2338" w:type="dxa"/>
            <w:shd w:val="clear" w:color="auto" w:fill="B8CCE4" w:themeFill="accent1" w:themeFillTint="66"/>
          </w:tcPr>
          <w:p w:rsidR="00B33A69" w:rsidP="00455A6B" w14:paraId="2FFA9D57" w14:textId="77777777">
            <w:pPr>
              <w:spacing w:line="480" w:lineRule="auto"/>
              <w:outlineLvl w:val="0"/>
              <w:rPr>
                <w:bCs/>
              </w:rPr>
            </w:pPr>
            <w:r>
              <w:rPr>
                <w:bCs/>
              </w:rPr>
              <w:t xml:space="preserve">Response </w:t>
            </w:r>
          </w:p>
        </w:tc>
      </w:tr>
      <w:tr w14:paraId="34234D06" w14:textId="77777777" w:rsidTr="00455A6B">
        <w:tblPrEx>
          <w:tblW w:w="0" w:type="auto"/>
          <w:tblLook w:val="04A0"/>
        </w:tblPrEx>
        <w:tc>
          <w:tcPr>
            <w:tcW w:w="2337" w:type="dxa"/>
          </w:tcPr>
          <w:p w:rsidR="00B33A69" w:rsidP="00B33A69" w14:paraId="1EA3B193" w14:textId="77777777">
            <w:pPr>
              <w:outlineLvl w:val="0"/>
              <w:rPr>
                <w:bCs/>
              </w:rPr>
            </w:pPr>
            <w:r>
              <w:rPr>
                <w:bCs/>
              </w:rPr>
              <w:t xml:space="preserve">Commonwealth of Virginia, Department for Aging and Rehabilitative Services </w:t>
            </w:r>
          </w:p>
        </w:tc>
        <w:tc>
          <w:tcPr>
            <w:tcW w:w="2337" w:type="dxa"/>
          </w:tcPr>
          <w:p w:rsidR="00B33A69" w:rsidP="00B33A69" w14:paraId="08E008A2" w14:textId="77777777">
            <w:pPr>
              <w:outlineLvl w:val="0"/>
              <w:rPr>
                <w:bCs/>
              </w:rPr>
            </w:pPr>
            <w:r>
              <w:rPr>
                <w:bCs/>
              </w:rPr>
              <w:t>Estimated Annualized Burden Table</w:t>
            </w:r>
          </w:p>
        </w:tc>
        <w:tc>
          <w:tcPr>
            <w:tcW w:w="2338" w:type="dxa"/>
          </w:tcPr>
          <w:p w:rsidR="00B33A69" w:rsidP="00B33A69" w14:paraId="15B7D31F" w14:textId="77777777">
            <w:pPr>
              <w:outlineLvl w:val="0"/>
              <w:rPr>
                <w:bCs/>
              </w:rPr>
            </w:pPr>
            <w:r>
              <w:rPr>
                <w:bCs/>
              </w:rPr>
              <w:t xml:space="preserve">Noted that the burden estimates for State Plans on Aging, and State Plans on APS are too low. Recommended identification of ways to reduce reporting requirements, as well as revising burden estimates. Recommended survey of states to inform future burden estimates. </w:t>
            </w:r>
          </w:p>
        </w:tc>
        <w:tc>
          <w:tcPr>
            <w:tcW w:w="2338" w:type="dxa"/>
          </w:tcPr>
          <w:p w:rsidR="00B33A69" w:rsidP="00B33A69" w14:paraId="482AFC71" w14:textId="77777777">
            <w:pPr>
              <w:outlineLvl w:val="0"/>
              <w:rPr>
                <w:bCs/>
              </w:rPr>
            </w:pPr>
            <w:r>
              <w:rPr>
                <w:bCs/>
              </w:rPr>
              <w:t xml:space="preserve">ACL appreciates the comment but declines to make changes at this time. </w:t>
            </w:r>
          </w:p>
        </w:tc>
      </w:tr>
    </w:tbl>
    <w:p w:rsidR="00B33A69" w:rsidP="00A44BB4" w14:paraId="70C41E7C" w14:textId="00B880E8">
      <w:pPr>
        <w:tabs>
          <w:tab w:val="left" w:pos="360"/>
        </w:tabs>
        <w:ind w:left="360" w:hanging="360"/>
        <w:rPr>
          <w:bCs/>
        </w:rPr>
      </w:pPr>
    </w:p>
    <w:p w:rsidR="00693FCE" w:rsidP="00917016" w14:paraId="673183BF" w14:textId="33CD8C67">
      <w:pPr>
        <w:tabs>
          <w:tab w:val="left" w:pos="360"/>
        </w:tabs>
        <w:ind w:left="360" w:hanging="360"/>
        <w:rPr>
          <w:bCs/>
        </w:rPr>
      </w:pPr>
      <w:r>
        <w:rPr>
          <w:bCs/>
        </w:rPr>
        <w:tab/>
      </w:r>
      <w:r>
        <w:rPr>
          <w:bCs/>
        </w:rPr>
        <w:t>A 3</w:t>
      </w:r>
      <w:r w:rsidRPr="00693FCE">
        <w:rPr>
          <w:bCs/>
        </w:rPr>
        <w:t xml:space="preserve">0-day </w:t>
      </w:r>
      <w:r>
        <w:rPr>
          <w:bCs/>
        </w:rPr>
        <w:t>FRN pu</w:t>
      </w:r>
      <w:r w:rsidRPr="00693FCE">
        <w:rPr>
          <w:bCs/>
        </w:rPr>
        <w:t xml:space="preserve">blished in the </w:t>
      </w:r>
      <w:r w:rsidRPr="00693FCE">
        <w:rPr>
          <w:bCs/>
          <w:i/>
        </w:rPr>
        <w:t>Federal Register</w:t>
      </w:r>
      <w:r w:rsidRPr="00693FCE">
        <w:rPr>
          <w:bCs/>
        </w:rPr>
        <w:t xml:space="preserve"> in </w:t>
      </w:r>
      <w:r w:rsidRPr="00693FCE">
        <w:rPr>
          <w:bCs/>
          <w:i/>
          <w:iCs/>
        </w:rPr>
        <w:t>Federal Register</w:t>
      </w:r>
      <w:r w:rsidRPr="00693FCE">
        <w:rPr>
          <w:bCs/>
        </w:rPr>
        <w:t xml:space="preserve"> Vol. 89, No. 103</w:t>
      </w:r>
      <w:r>
        <w:rPr>
          <w:bCs/>
        </w:rPr>
        <w:t xml:space="preserve"> pages </w:t>
      </w:r>
      <w:r w:rsidRPr="00693FCE">
        <w:rPr>
          <w:bCs/>
        </w:rPr>
        <w:t>46123-46125</w:t>
      </w:r>
      <w:r>
        <w:rPr>
          <w:bCs/>
        </w:rPr>
        <w:t xml:space="preserve"> on </w:t>
      </w:r>
      <w:r w:rsidRPr="00693FCE">
        <w:rPr>
          <w:bCs/>
        </w:rPr>
        <w:t>Tuesday, May 28, 2024</w:t>
      </w:r>
      <w:r>
        <w:rPr>
          <w:bCs/>
        </w:rPr>
        <w:t xml:space="preserve">. </w:t>
      </w:r>
      <w:bookmarkStart w:id="11" w:name="_Hlk134005905"/>
      <w:r w:rsidR="00917016">
        <w:rPr>
          <w:bCs/>
        </w:rPr>
        <w:t>This IC</w:t>
      </w:r>
      <w:r w:rsidR="00DC1789">
        <w:rPr>
          <w:bCs/>
        </w:rPr>
        <w:t>R</w:t>
      </w:r>
      <w:r w:rsidR="00917016">
        <w:rPr>
          <w:bCs/>
        </w:rPr>
        <w:t xml:space="preserve"> published an additional 30-day FRN allowing the public additional opportunity to comment on the change in IC type. The first 30-day FRN applied to this IC</w:t>
      </w:r>
      <w:r w:rsidR="00DC1789">
        <w:rPr>
          <w:bCs/>
        </w:rPr>
        <w:t>R</w:t>
      </w:r>
      <w:r w:rsidR="00917016">
        <w:rPr>
          <w:bCs/>
        </w:rPr>
        <w:t xml:space="preserve"> as a generic IC type. </w:t>
      </w:r>
      <w:bookmarkEnd w:id="9"/>
      <w:r w:rsidR="00917016">
        <w:rPr>
          <w:bCs/>
        </w:rPr>
        <w:t>A 3</w:t>
      </w:r>
      <w:r w:rsidRPr="00693FCE" w:rsidR="00917016">
        <w:rPr>
          <w:bCs/>
        </w:rPr>
        <w:t xml:space="preserve">0-day </w:t>
      </w:r>
      <w:r w:rsidR="00917016">
        <w:rPr>
          <w:bCs/>
        </w:rPr>
        <w:t>FRN pu</w:t>
      </w:r>
      <w:r w:rsidRPr="00693FCE" w:rsidR="00917016">
        <w:rPr>
          <w:bCs/>
        </w:rPr>
        <w:t xml:space="preserve">blished in the </w:t>
      </w:r>
      <w:r w:rsidRPr="00693FCE" w:rsidR="00917016">
        <w:rPr>
          <w:bCs/>
          <w:i/>
        </w:rPr>
        <w:t>Federal Register</w:t>
      </w:r>
      <w:r w:rsidRPr="00693FCE" w:rsidR="00917016">
        <w:rPr>
          <w:bCs/>
        </w:rPr>
        <w:t xml:space="preserve"> in </w:t>
      </w:r>
      <w:r w:rsidRPr="00693FCE" w:rsidR="00917016">
        <w:rPr>
          <w:bCs/>
          <w:i/>
          <w:iCs/>
        </w:rPr>
        <w:t>Federal Register</w:t>
      </w:r>
      <w:r w:rsidRPr="00693FCE" w:rsidR="00917016">
        <w:rPr>
          <w:bCs/>
        </w:rPr>
        <w:t xml:space="preserve"> Vol. 89, No. 1</w:t>
      </w:r>
      <w:r w:rsidR="00917016">
        <w:rPr>
          <w:bCs/>
        </w:rPr>
        <w:t xml:space="preserve">87 pages </w:t>
      </w:r>
      <w:r w:rsidRPr="00917016" w:rsidR="00917016">
        <w:rPr>
          <w:bCs/>
        </w:rPr>
        <w:t>78877-78878</w:t>
      </w:r>
      <w:r w:rsidR="00917016">
        <w:rPr>
          <w:bCs/>
        </w:rPr>
        <w:t xml:space="preserve"> on Thursday</w:t>
      </w:r>
      <w:r w:rsidRPr="00693FCE" w:rsidR="00917016">
        <w:rPr>
          <w:bCs/>
        </w:rPr>
        <w:t xml:space="preserve">, </w:t>
      </w:r>
      <w:r w:rsidR="00917016">
        <w:rPr>
          <w:bCs/>
        </w:rPr>
        <w:t>September</w:t>
      </w:r>
      <w:r w:rsidRPr="00693FCE" w:rsidR="00917016">
        <w:rPr>
          <w:bCs/>
        </w:rPr>
        <w:t xml:space="preserve"> 2</w:t>
      </w:r>
      <w:r w:rsidR="00917016">
        <w:rPr>
          <w:bCs/>
        </w:rPr>
        <w:t>6</w:t>
      </w:r>
      <w:r w:rsidRPr="00693FCE" w:rsidR="00917016">
        <w:rPr>
          <w:bCs/>
        </w:rPr>
        <w:t>, 2024</w:t>
      </w:r>
      <w:r w:rsidR="00917016">
        <w:rPr>
          <w:bCs/>
        </w:rPr>
        <w:t>.</w:t>
      </w:r>
    </w:p>
    <w:p w:rsidR="00DC1789" w:rsidP="00917016" w14:paraId="0430A8C1" w14:textId="77777777">
      <w:pPr>
        <w:tabs>
          <w:tab w:val="left" w:pos="360"/>
        </w:tabs>
        <w:ind w:left="360" w:hanging="360"/>
        <w:rPr>
          <w:bCs/>
        </w:rPr>
      </w:pPr>
    </w:p>
    <w:p w:rsidR="009968EA" w:rsidRPr="00693FCE" w:rsidP="00A44BB4" w14:paraId="553FF9CB" w14:textId="6191A31D">
      <w:pPr>
        <w:tabs>
          <w:tab w:val="left" w:pos="360"/>
        </w:tabs>
        <w:ind w:hanging="360"/>
        <w:rPr>
          <w:bCs/>
        </w:rPr>
      </w:pPr>
      <w:r>
        <w:rPr>
          <w:b/>
        </w:rPr>
        <w:tab/>
      </w:r>
      <w:r w:rsidRPr="00693FCE" w:rsidR="00693FCE">
        <w:rPr>
          <w:b/>
        </w:rPr>
        <w:t xml:space="preserve">9. </w:t>
      </w:r>
      <w:r w:rsidRPr="00693FCE" w:rsidR="00693FCE">
        <w:rPr>
          <w:b/>
        </w:rPr>
        <w:tab/>
      </w:r>
      <w:r>
        <w:rPr>
          <w:b/>
          <w:u w:val="single"/>
        </w:rPr>
        <w:t>Explanation of any Payment/Gift to Respondents</w:t>
      </w:r>
      <w:bookmarkEnd w:id="11"/>
    </w:p>
    <w:p w:rsidR="006E3792" w:rsidP="00A44BB4" w14:paraId="7948EAB8" w14:textId="2B2B8D31">
      <w:pPr>
        <w:tabs>
          <w:tab w:val="left" w:pos="360"/>
        </w:tabs>
        <w:ind w:left="360" w:hanging="360"/>
      </w:pPr>
      <w:r>
        <w:tab/>
      </w:r>
      <w:r w:rsidRPr="006E3792">
        <w:t>ACL will not provide payment or other forms of remuneration to State Units on Aging or state entities for APS for the establishment of State plans or for adherence to the other forms and instructions that are a part of this request.</w:t>
      </w:r>
      <w:bookmarkStart w:id="12" w:name="_Hlk134005989"/>
    </w:p>
    <w:p w:rsidR="00B33A69" w:rsidP="00A44BB4" w14:paraId="127D1875" w14:textId="77777777">
      <w:pPr>
        <w:tabs>
          <w:tab w:val="left" w:pos="360"/>
        </w:tabs>
        <w:ind w:hanging="360"/>
        <w:rPr>
          <w:b/>
          <w:bCs/>
        </w:rPr>
      </w:pPr>
    </w:p>
    <w:p w:rsidR="009968EA" w:rsidRPr="006E3792" w:rsidP="00A44BB4" w14:paraId="22287C86" w14:textId="1AF70B66">
      <w:pPr>
        <w:tabs>
          <w:tab w:val="left" w:pos="360"/>
        </w:tabs>
        <w:ind w:hanging="360"/>
      </w:pPr>
      <w:r>
        <w:rPr>
          <w:b/>
          <w:bCs/>
        </w:rPr>
        <w:tab/>
      </w:r>
      <w:r w:rsidR="006E3792">
        <w:rPr>
          <w:b/>
          <w:bCs/>
        </w:rPr>
        <w:t>10.</w:t>
      </w:r>
      <w:r w:rsidR="006E3792">
        <w:rPr>
          <w:b/>
          <w:bCs/>
        </w:rPr>
        <w:tab/>
      </w:r>
      <w:r>
        <w:rPr>
          <w:b/>
          <w:u w:val="single"/>
        </w:rPr>
        <w:t>Assurance of Confidentiality Provided to Respondents</w:t>
      </w:r>
    </w:p>
    <w:bookmarkEnd w:id="12"/>
    <w:p w:rsidR="00DC1789" w:rsidRPr="00DC1789" w:rsidP="00DC1789" w14:paraId="456E1E85" w14:textId="704B94D4">
      <w:pPr>
        <w:tabs>
          <w:tab w:val="left" w:pos="360"/>
        </w:tabs>
        <w:ind w:left="360" w:hanging="360"/>
        <w:rPr>
          <w:bCs/>
        </w:rPr>
      </w:pPr>
      <w:r>
        <w:tab/>
      </w:r>
      <w:r w:rsidRPr="004C0224" w:rsidR="009968EA">
        <w:t xml:space="preserve">There are no assurances of confidentiality. </w:t>
      </w:r>
      <w:r w:rsidRPr="004C0224" w:rsidR="009968EA">
        <w:rPr>
          <w:bCs/>
        </w:rPr>
        <w:t>Data will be kept private to the extent allowed by law.</w:t>
      </w:r>
      <w:r>
        <w:rPr>
          <w:bCs/>
        </w:rPr>
        <w:t xml:space="preserve"> </w:t>
      </w:r>
      <w:r w:rsidRPr="00DC1789">
        <w:rPr>
          <w:bCs/>
        </w:rPr>
        <w:t>The obligation to respond to this collection is required to retain or maintain benefits under the Older Americans Act (P.L. 116-131).</w:t>
      </w:r>
      <w:r>
        <w:rPr>
          <w:bCs/>
        </w:rPr>
        <w:t xml:space="preserve"> </w:t>
      </w:r>
      <w:r w:rsidRPr="00DC1789">
        <w:rPr>
          <w:bCs/>
        </w:rPr>
        <w:t>Information collected is planned for use by ACL to conduct federal oversight of Aging Programs. ACL uses information collected to monitor federal funds. Data will be kept private to the extent allowed by law. There are no assurances of confidentiality.</w:t>
      </w:r>
    </w:p>
    <w:p w:rsidR="006E3792" w:rsidP="00A44BB4" w14:paraId="46E5F53B" w14:textId="77777777">
      <w:pPr>
        <w:widowControl w:val="0"/>
        <w:tabs>
          <w:tab w:val="left" w:pos="360"/>
        </w:tabs>
        <w:autoSpaceDE w:val="0"/>
        <w:autoSpaceDN w:val="0"/>
        <w:adjustRightInd w:val="0"/>
        <w:spacing w:after="0"/>
        <w:ind w:hanging="360"/>
        <w:rPr>
          <w:b/>
        </w:rPr>
      </w:pPr>
      <w:bookmarkStart w:id="13" w:name="_Hlk134006090"/>
    </w:p>
    <w:p w:rsidR="009968EA" w:rsidP="00A44BB4" w14:paraId="4A163E56" w14:textId="641FF028">
      <w:pPr>
        <w:widowControl w:val="0"/>
        <w:tabs>
          <w:tab w:val="left" w:pos="360"/>
        </w:tabs>
        <w:autoSpaceDE w:val="0"/>
        <w:autoSpaceDN w:val="0"/>
        <w:adjustRightInd w:val="0"/>
        <w:spacing w:after="0"/>
        <w:ind w:hanging="360"/>
        <w:rPr>
          <w:b/>
        </w:rPr>
      </w:pPr>
      <w:r>
        <w:rPr>
          <w:b/>
        </w:rPr>
        <w:tab/>
      </w:r>
      <w:r w:rsidR="006E3792">
        <w:rPr>
          <w:b/>
        </w:rPr>
        <w:t>11.</w:t>
      </w:r>
      <w:r w:rsidR="006E3792">
        <w:rPr>
          <w:b/>
        </w:rPr>
        <w:tab/>
      </w:r>
      <w:r>
        <w:rPr>
          <w:b/>
          <w:u w:val="single"/>
        </w:rPr>
        <w:t>Justification for Sensitive Questions</w:t>
      </w:r>
    </w:p>
    <w:bookmarkEnd w:id="13"/>
    <w:p w:rsidR="006E3792" w:rsidRPr="006E3792" w:rsidP="00A44BB4" w14:paraId="20064518" w14:textId="7F9A2479">
      <w:pPr>
        <w:tabs>
          <w:tab w:val="left" w:pos="360"/>
        </w:tabs>
        <w:ind w:left="360" w:hanging="360"/>
      </w:pPr>
      <w:r>
        <w:tab/>
      </w:r>
      <w:r w:rsidRPr="00836B4B" w:rsidR="00836B4B">
        <w:t xml:space="preserve">In general, this information collection does not ask sensitive questions. </w:t>
      </w:r>
    </w:p>
    <w:p w:rsidR="006E3792" w:rsidP="00A44BB4" w14:paraId="68A3D6F5" w14:textId="77777777">
      <w:pPr>
        <w:widowControl w:val="0"/>
        <w:tabs>
          <w:tab w:val="left" w:pos="360"/>
        </w:tabs>
        <w:autoSpaceDE w:val="0"/>
        <w:autoSpaceDN w:val="0"/>
        <w:adjustRightInd w:val="0"/>
        <w:spacing w:after="0"/>
        <w:ind w:hanging="360"/>
        <w:rPr>
          <w:b/>
          <w:u w:val="single"/>
        </w:rPr>
      </w:pPr>
      <w:bookmarkStart w:id="14" w:name="_Hlk85731001"/>
    </w:p>
    <w:p w:rsidR="009968EA" w:rsidRPr="00AF5419" w:rsidP="00A44BB4" w14:paraId="67C5A1FA" w14:textId="01495387">
      <w:pPr>
        <w:widowControl w:val="0"/>
        <w:tabs>
          <w:tab w:val="left" w:pos="360"/>
        </w:tabs>
        <w:autoSpaceDE w:val="0"/>
        <w:autoSpaceDN w:val="0"/>
        <w:adjustRightInd w:val="0"/>
        <w:spacing w:after="0"/>
        <w:ind w:hanging="360"/>
      </w:pPr>
      <w:r>
        <w:rPr>
          <w:b/>
        </w:rPr>
        <w:tab/>
      </w:r>
      <w:r w:rsidR="006E3792">
        <w:rPr>
          <w:b/>
        </w:rPr>
        <w:t>12.</w:t>
      </w:r>
      <w:r w:rsidR="006E3792">
        <w:rPr>
          <w:b/>
        </w:rPr>
        <w:tab/>
      </w:r>
      <w:r w:rsidRPr="00AF5419">
        <w:rPr>
          <w:b/>
          <w:u w:val="single"/>
        </w:rPr>
        <w:t xml:space="preserve">Estimates of Annualized Hour and Cost Burden  </w:t>
      </w:r>
    </w:p>
    <w:bookmarkEnd w:id="14"/>
    <w:p w:rsidR="006E3792" w:rsidP="00B33A69" w14:paraId="62DA5F59" w14:textId="77777777">
      <w:pPr>
        <w:pStyle w:val="ListParagraph"/>
        <w:ind w:left="360"/>
      </w:pPr>
      <w:r w:rsidRPr="006E3792">
        <w:t xml:space="preserve">Estimated Annualized Burden Table </w:t>
      </w:r>
    </w:p>
    <w:p w:rsidR="000179C1" w:rsidP="00B33A69" w14:paraId="79A1235B" w14:textId="77777777">
      <w:pPr>
        <w:pStyle w:val="ListParagraph"/>
        <w:ind w:left="360"/>
      </w:pPr>
    </w:p>
    <w:tbl>
      <w:tblPr>
        <w:tblpPr w:leftFromText="180" w:rightFromText="180" w:vertAnchor="text" w:horzAnchor="margin" w:tblpXSpec="right" w:tblpY="247"/>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6"/>
        <w:gridCol w:w="1589"/>
        <w:gridCol w:w="1817"/>
        <w:gridCol w:w="1723"/>
        <w:gridCol w:w="1470"/>
        <w:gridCol w:w="1323"/>
      </w:tblGrid>
      <w:tr w14:paraId="6A7EF04A" w14:textId="77777777" w:rsidTr="00455A6B">
        <w:tblPrEx>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3"/>
        </w:trPr>
        <w:tc>
          <w:tcPr>
            <w:tcW w:w="1990" w:type="dxa"/>
            <w:tcBorders>
              <w:top w:val="single" w:sz="4" w:space="0" w:color="auto"/>
              <w:left w:val="single" w:sz="4" w:space="0" w:color="auto"/>
              <w:bottom w:val="single" w:sz="4" w:space="0" w:color="auto"/>
              <w:right w:val="single" w:sz="4" w:space="0" w:color="auto"/>
            </w:tcBorders>
          </w:tcPr>
          <w:p w:rsidR="000179C1" w:rsidRPr="000179C1" w:rsidP="000179C1" w14:paraId="51F4CE2E" w14:textId="16D6D0C2">
            <w:pPr>
              <w:pStyle w:val="ListParagraph"/>
              <w:ind w:left="360"/>
              <w:jc w:val="both"/>
            </w:pPr>
            <w:r w:rsidRPr="000179C1">
              <w:rPr>
                <w:b/>
              </w:rPr>
              <w:t>Data Collection Activity</w:t>
            </w:r>
            <w:r w:rsidRPr="000179C1">
              <w:t xml:space="preserve"> </w:t>
            </w:r>
          </w:p>
        </w:tc>
        <w:tc>
          <w:tcPr>
            <w:tcW w:w="1563" w:type="dxa"/>
            <w:tcBorders>
              <w:top w:val="single" w:sz="4" w:space="0" w:color="auto"/>
              <w:left w:val="single" w:sz="4" w:space="0" w:color="auto"/>
              <w:bottom w:val="single" w:sz="4" w:space="0" w:color="auto"/>
              <w:right w:val="single" w:sz="4" w:space="0" w:color="auto"/>
            </w:tcBorders>
            <w:hideMark/>
          </w:tcPr>
          <w:p w:rsidR="000179C1" w:rsidRPr="000179C1" w:rsidP="000179C1" w14:paraId="379693F4" w14:textId="77777777">
            <w:pPr>
              <w:pStyle w:val="ListParagraph"/>
              <w:ind w:left="360"/>
              <w:rPr>
                <w:b/>
                <w:bCs/>
              </w:rPr>
            </w:pPr>
            <w:r w:rsidRPr="000179C1">
              <w:rPr>
                <w:b/>
                <w:bCs/>
              </w:rPr>
              <w:t>Form</w:t>
            </w:r>
          </w:p>
        </w:tc>
        <w:tc>
          <w:tcPr>
            <w:tcW w:w="1363" w:type="dxa"/>
            <w:tcBorders>
              <w:top w:val="single" w:sz="4" w:space="0" w:color="auto"/>
              <w:left w:val="single" w:sz="4" w:space="0" w:color="auto"/>
              <w:bottom w:val="single" w:sz="4" w:space="0" w:color="auto"/>
              <w:right w:val="single" w:sz="4" w:space="0" w:color="auto"/>
            </w:tcBorders>
            <w:hideMark/>
          </w:tcPr>
          <w:p w:rsidR="000179C1" w:rsidRPr="000179C1" w:rsidP="000179C1" w14:paraId="26B6B7EE" w14:textId="538643DF">
            <w:pPr>
              <w:pStyle w:val="ListParagraph"/>
              <w:ind w:left="360"/>
              <w:rPr>
                <w:b/>
                <w:bCs/>
              </w:rPr>
            </w:pPr>
            <w:r w:rsidRPr="000179C1">
              <w:rPr>
                <w:b/>
                <w:bCs/>
              </w:rPr>
              <w:t>Number of respondents</w:t>
            </w:r>
          </w:p>
        </w:tc>
        <w:tc>
          <w:tcPr>
            <w:tcW w:w="1270" w:type="dxa"/>
            <w:tcBorders>
              <w:top w:val="single" w:sz="4" w:space="0" w:color="auto"/>
              <w:left w:val="single" w:sz="4" w:space="0" w:color="auto"/>
              <w:bottom w:val="single" w:sz="4" w:space="0" w:color="auto"/>
              <w:right w:val="single" w:sz="4" w:space="0" w:color="auto"/>
            </w:tcBorders>
            <w:hideMark/>
          </w:tcPr>
          <w:p w:rsidR="000179C1" w:rsidRPr="000179C1" w:rsidP="000179C1" w14:paraId="4ABAF975" w14:textId="0DE3DE9B">
            <w:pPr>
              <w:pStyle w:val="ListParagraph"/>
              <w:ind w:left="360"/>
              <w:rPr>
                <w:b/>
                <w:bCs/>
              </w:rPr>
            </w:pPr>
            <w:r w:rsidRPr="000179C1">
              <w:rPr>
                <w:b/>
                <w:bCs/>
              </w:rPr>
              <w:t>Number of responses per respondent</w:t>
            </w:r>
          </w:p>
        </w:tc>
        <w:tc>
          <w:tcPr>
            <w:tcW w:w="1056" w:type="dxa"/>
            <w:tcBorders>
              <w:top w:val="single" w:sz="4" w:space="0" w:color="auto"/>
              <w:left w:val="single" w:sz="4" w:space="0" w:color="auto"/>
              <w:bottom w:val="single" w:sz="4" w:space="0" w:color="auto"/>
              <w:right w:val="single" w:sz="4" w:space="0" w:color="auto"/>
            </w:tcBorders>
            <w:hideMark/>
          </w:tcPr>
          <w:p w:rsidR="000179C1" w:rsidRPr="000179C1" w:rsidP="000179C1" w14:paraId="0200C8BC" w14:textId="77777777">
            <w:pPr>
              <w:pStyle w:val="ListParagraph"/>
              <w:ind w:left="360"/>
              <w:rPr>
                <w:b/>
                <w:bCs/>
              </w:rPr>
            </w:pPr>
            <w:r w:rsidRPr="000179C1">
              <w:rPr>
                <w:b/>
                <w:bCs/>
              </w:rPr>
              <w:t>Average burden hours per response</w:t>
            </w:r>
          </w:p>
        </w:tc>
        <w:tc>
          <w:tcPr>
            <w:tcW w:w="1296" w:type="dxa"/>
            <w:tcBorders>
              <w:top w:val="single" w:sz="4" w:space="0" w:color="auto"/>
              <w:left w:val="single" w:sz="4" w:space="0" w:color="auto"/>
              <w:bottom w:val="single" w:sz="4" w:space="0" w:color="auto"/>
              <w:right w:val="single" w:sz="4" w:space="0" w:color="auto"/>
            </w:tcBorders>
            <w:hideMark/>
          </w:tcPr>
          <w:p w:rsidR="000179C1" w:rsidRPr="000179C1" w:rsidP="000179C1" w14:paraId="732195DB" w14:textId="77777777">
            <w:pPr>
              <w:pStyle w:val="ListParagraph"/>
              <w:ind w:left="360"/>
              <w:rPr>
                <w:b/>
                <w:bCs/>
              </w:rPr>
            </w:pPr>
            <w:r w:rsidRPr="000179C1">
              <w:rPr>
                <w:b/>
                <w:bCs/>
              </w:rPr>
              <w:t>Total burden hours</w:t>
            </w:r>
          </w:p>
        </w:tc>
      </w:tr>
      <w:tr w14:paraId="47B62983" w14:textId="77777777" w:rsidTr="00455A6B">
        <w:tblPrEx>
          <w:tblW w:w="8538" w:type="dxa"/>
          <w:tblLook w:val="01E0"/>
        </w:tblPrEx>
        <w:trPr>
          <w:trHeight w:val="203"/>
        </w:trPr>
        <w:tc>
          <w:tcPr>
            <w:tcW w:w="1990" w:type="dxa"/>
            <w:tcBorders>
              <w:top w:val="single" w:sz="4" w:space="0" w:color="auto"/>
              <w:left w:val="single" w:sz="4" w:space="0" w:color="auto"/>
              <w:bottom w:val="single" w:sz="4" w:space="0" w:color="auto"/>
              <w:right w:val="single" w:sz="4" w:space="0" w:color="auto"/>
            </w:tcBorders>
          </w:tcPr>
          <w:p w:rsidR="000179C1" w:rsidRPr="000179C1" w:rsidP="000179C1" w14:paraId="22D52FDC" w14:textId="77777777">
            <w:pPr>
              <w:pStyle w:val="ListParagraph"/>
              <w:ind w:left="360"/>
            </w:pPr>
            <w:r w:rsidRPr="000179C1">
              <w:t>State Unit on Aging (SUA)</w:t>
            </w:r>
          </w:p>
        </w:tc>
        <w:tc>
          <w:tcPr>
            <w:tcW w:w="1563" w:type="dxa"/>
            <w:tcBorders>
              <w:top w:val="single" w:sz="4" w:space="0" w:color="auto"/>
              <w:left w:val="single" w:sz="4" w:space="0" w:color="auto"/>
              <w:bottom w:val="single" w:sz="4" w:space="0" w:color="auto"/>
              <w:right w:val="single" w:sz="4" w:space="0" w:color="auto"/>
            </w:tcBorders>
            <w:vAlign w:val="center"/>
          </w:tcPr>
          <w:p w:rsidR="000179C1" w:rsidRPr="000179C1" w:rsidP="000179C1" w14:paraId="6799D0C1" w14:textId="77777777">
            <w:pPr>
              <w:pStyle w:val="ListParagraph"/>
              <w:ind w:left="360"/>
            </w:pPr>
            <w:r w:rsidRPr="000179C1">
              <w:t>State Plan on Aging</w:t>
            </w:r>
          </w:p>
        </w:tc>
        <w:tc>
          <w:tcPr>
            <w:tcW w:w="1363" w:type="dxa"/>
            <w:tcBorders>
              <w:top w:val="single" w:sz="4" w:space="0" w:color="auto"/>
              <w:left w:val="single" w:sz="4" w:space="0" w:color="auto"/>
              <w:bottom w:val="single" w:sz="4" w:space="0" w:color="auto"/>
              <w:right w:val="single" w:sz="4" w:space="0" w:color="auto"/>
            </w:tcBorders>
          </w:tcPr>
          <w:p w:rsidR="000179C1" w:rsidRPr="000179C1" w:rsidP="000179C1" w14:paraId="12EA610B" w14:textId="0BA04953">
            <w:pPr>
              <w:pStyle w:val="ListParagraph"/>
              <w:ind w:left="360"/>
            </w:pPr>
            <w:r>
              <w:t>15</w:t>
            </w:r>
          </w:p>
        </w:tc>
        <w:tc>
          <w:tcPr>
            <w:tcW w:w="1270" w:type="dxa"/>
            <w:tcBorders>
              <w:top w:val="single" w:sz="4" w:space="0" w:color="auto"/>
              <w:left w:val="single" w:sz="4" w:space="0" w:color="auto"/>
              <w:bottom w:val="single" w:sz="4" w:space="0" w:color="auto"/>
              <w:right w:val="single" w:sz="4" w:space="0" w:color="auto"/>
            </w:tcBorders>
          </w:tcPr>
          <w:p w:rsidR="000179C1" w:rsidRPr="000179C1" w:rsidP="000179C1" w14:paraId="4499B02C" w14:textId="77777777">
            <w:pPr>
              <w:pStyle w:val="ListParagraph"/>
              <w:ind w:left="360"/>
            </w:pPr>
            <w:r w:rsidRPr="000179C1">
              <w:t>1</w:t>
            </w:r>
          </w:p>
        </w:tc>
        <w:tc>
          <w:tcPr>
            <w:tcW w:w="1056" w:type="dxa"/>
            <w:tcBorders>
              <w:top w:val="single" w:sz="4" w:space="0" w:color="auto"/>
              <w:left w:val="single" w:sz="4" w:space="0" w:color="auto"/>
              <w:bottom w:val="single" w:sz="4" w:space="0" w:color="auto"/>
              <w:right w:val="single" w:sz="4" w:space="0" w:color="auto"/>
            </w:tcBorders>
          </w:tcPr>
          <w:p w:rsidR="000179C1" w:rsidRPr="000179C1" w:rsidP="000179C1" w14:paraId="57086545" w14:textId="77777777">
            <w:pPr>
              <w:pStyle w:val="ListParagraph"/>
              <w:ind w:left="360"/>
            </w:pPr>
            <w:r w:rsidRPr="000179C1">
              <w:t>80</w:t>
            </w:r>
          </w:p>
        </w:tc>
        <w:tc>
          <w:tcPr>
            <w:tcW w:w="1296" w:type="dxa"/>
            <w:tcBorders>
              <w:top w:val="single" w:sz="4" w:space="0" w:color="auto"/>
              <w:left w:val="single" w:sz="4" w:space="0" w:color="auto"/>
              <w:bottom w:val="single" w:sz="4" w:space="0" w:color="auto"/>
              <w:right w:val="single" w:sz="4" w:space="0" w:color="auto"/>
            </w:tcBorders>
          </w:tcPr>
          <w:p w:rsidR="000179C1" w:rsidRPr="000179C1" w:rsidP="000179C1" w14:paraId="7821E75F" w14:textId="24BFF3AB">
            <w:pPr>
              <w:pStyle w:val="ListParagraph"/>
              <w:ind w:left="360"/>
            </w:pPr>
            <w:r w:rsidRPr="000179C1">
              <w:t>1,</w:t>
            </w:r>
            <w:r>
              <w:t>200</w:t>
            </w:r>
          </w:p>
        </w:tc>
      </w:tr>
      <w:tr w14:paraId="212FDEBB" w14:textId="77777777" w:rsidTr="00455A6B">
        <w:tblPrEx>
          <w:tblW w:w="8538" w:type="dxa"/>
          <w:tblLook w:val="01E0"/>
        </w:tblPrEx>
        <w:trPr>
          <w:trHeight w:val="172"/>
        </w:trPr>
        <w:tc>
          <w:tcPr>
            <w:tcW w:w="1990" w:type="dxa"/>
            <w:tcBorders>
              <w:top w:val="single" w:sz="4" w:space="0" w:color="auto"/>
              <w:left w:val="single" w:sz="4" w:space="0" w:color="auto"/>
              <w:bottom w:val="single" w:sz="4" w:space="0" w:color="auto"/>
              <w:right w:val="single" w:sz="4" w:space="0" w:color="auto"/>
            </w:tcBorders>
            <w:vAlign w:val="center"/>
          </w:tcPr>
          <w:p w:rsidR="000179C1" w:rsidRPr="000179C1" w:rsidP="000179C1" w14:paraId="32636620" w14:textId="77777777">
            <w:pPr>
              <w:pStyle w:val="ListParagraph"/>
              <w:ind w:left="360"/>
            </w:pPr>
            <w:r w:rsidRPr="000179C1">
              <w:t>State Unit on Aging (SUA)</w:t>
            </w:r>
          </w:p>
        </w:tc>
        <w:tc>
          <w:tcPr>
            <w:tcW w:w="1563" w:type="dxa"/>
            <w:tcBorders>
              <w:top w:val="single" w:sz="4" w:space="0" w:color="auto"/>
              <w:left w:val="single" w:sz="4" w:space="0" w:color="auto"/>
              <w:bottom w:val="single" w:sz="4" w:space="0" w:color="auto"/>
              <w:right w:val="single" w:sz="4" w:space="0" w:color="auto"/>
            </w:tcBorders>
            <w:vAlign w:val="center"/>
          </w:tcPr>
          <w:p w:rsidR="000179C1" w:rsidRPr="000179C1" w:rsidP="000179C1" w14:paraId="2A51A3CE" w14:textId="77777777">
            <w:pPr>
              <w:pStyle w:val="ListParagraph"/>
              <w:ind w:left="360"/>
            </w:pPr>
            <w:r w:rsidRPr="000179C1">
              <w:t>Financial Forms</w:t>
            </w:r>
          </w:p>
        </w:tc>
        <w:tc>
          <w:tcPr>
            <w:tcW w:w="1363" w:type="dxa"/>
            <w:tcBorders>
              <w:top w:val="single" w:sz="4" w:space="0" w:color="auto"/>
              <w:left w:val="single" w:sz="4" w:space="0" w:color="auto"/>
              <w:bottom w:val="single" w:sz="4" w:space="0" w:color="auto"/>
              <w:right w:val="single" w:sz="4" w:space="0" w:color="auto"/>
            </w:tcBorders>
            <w:vAlign w:val="center"/>
          </w:tcPr>
          <w:p w:rsidR="000179C1" w:rsidRPr="000179C1" w:rsidP="000179C1" w14:paraId="1905E8EF" w14:textId="77777777">
            <w:pPr>
              <w:pStyle w:val="ListParagraph"/>
              <w:ind w:left="360"/>
            </w:pPr>
            <w:r w:rsidRPr="000179C1">
              <w:t>56</w:t>
            </w:r>
          </w:p>
        </w:tc>
        <w:tc>
          <w:tcPr>
            <w:tcW w:w="1270" w:type="dxa"/>
            <w:tcBorders>
              <w:top w:val="single" w:sz="4" w:space="0" w:color="auto"/>
              <w:left w:val="single" w:sz="4" w:space="0" w:color="auto"/>
              <w:bottom w:val="single" w:sz="4" w:space="0" w:color="auto"/>
              <w:right w:val="single" w:sz="4" w:space="0" w:color="auto"/>
            </w:tcBorders>
            <w:vAlign w:val="center"/>
          </w:tcPr>
          <w:p w:rsidR="000179C1" w:rsidRPr="000179C1" w:rsidP="000179C1" w14:paraId="12C5DD29" w14:textId="77777777">
            <w:pPr>
              <w:pStyle w:val="ListParagraph"/>
              <w:ind w:left="360"/>
            </w:pPr>
            <w:r w:rsidRPr="000179C1">
              <w:t>5</w:t>
            </w:r>
          </w:p>
        </w:tc>
        <w:tc>
          <w:tcPr>
            <w:tcW w:w="1056" w:type="dxa"/>
            <w:tcBorders>
              <w:top w:val="single" w:sz="4" w:space="0" w:color="auto"/>
              <w:left w:val="single" w:sz="4" w:space="0" w:color="auto"/>
              <w:bottom w:val="single" w:sz="4" w:space="0" w:color="auto"/>
              <w:right w:val="single" w:sz="4" w:space="0" w:color="auto"/>
            </w:tcBorders>
            <w:vAlign w:val="center"/>
          </w:tcPr>
          <w:p w:rsidR="000179C1" w:rsidRPr="000179C1" w:rsidP="000179C1" w14:paraId="4BC23A8C" w14:textId="77777777">
            <w:pPr>
              <w:pStyle w:val="ListParagraph"/>
              <w:ind w:left="360"/>
            </w:pPr>
            <w:r w:rsidRPr="000179C1">
              <w:t>1</w:t>
            </w:r>
          </w:p>
        </w:tc>
        <w:tc>
          <w:tcPr>
            <w:tcW w:w="1296" w:type="dxa"/>
            <w:tcBorders>
              <w:top w:val="single" w:sz="4" w:space="0" w:color="auto"/>
              <w:left w:val="single" w:sz="4" w:space="0" w:color="auto"/>
              <w:bottom w:val="single" w:sz="4" w:space="0" w:color="auto"/>
              <w:right w:val="single" w:sz="4" w:space="0" w:color="auto"/>
            </w:tcBorders>
            <w:vAlign w:val="center"/>
          </w:tcPr>
          <w:p w:rsidR="000179C1" w:rsidRPr="000179C1" w:rsidP="000179C1" w14:paraId="754CDFBA" w14:textId="77777777">
            <w:pPr>
              <w:pStyle w:val="ListParagraph"/>
              <w:ind w:left="360"/>
            </w:pPr>
            <w:r w:rsidRPr="000179C1">
              <w:t>280</w:t>
            </w:r>
          </w:p>
        </w:tc>
      </w:tr>
      <w:tr w14:paraId="189F27F5" w14:textId="77777777" w:rsidTr="00455A6B">
        <w:tblPrEx>
          <w:tblW w:w="8538" w:type="dxa"/>
          <w:tblLook w:val="01E0"/>
        </w:tblPrEx>
        <w:trPr>
          <w:trHeight w:val="172"/>
        </w:trPr>
        <w:tc>
          <w:tcPr>
            <w:tcW w:w="1990" w:type="dxa"/>
            <w:tcBorders>
              <w:top w:val="single" w:sz="4" w:space="0" w:color="auto"/>
              <w:left w:val="single" w:sz="4" w:space="0" w:color="auto"/>
              <w:bottom w:val="single" w:sz="4" w:space="0" w:color="auto"/>
              <w:right w:val="single" w:sz="4" w:space="0" w:color="auto"/>
            </w:tcBorders>
            <w:vAlign w:val="center"/>
          </w:tcPr>
          <w:p w:rsidR="000179C1" w:rsidRPr="000179C1" w:rsidP="000179C1" w14:paraId="44805EA9" w14:textId="77777777">
            <w:pPr>
              <w:pStyle w:val="ListParagraph"/>
              <w:ind w:left="360"/>
            </w:pPr>
            <w:r w:rsidRPr="000179C1">
              <w:t>OAA or APS Grantee</w:t>
            </w:r>
          </w:p>
        </w:tc>
        <w:tc>
          <w:tcPr>
            <w:tcW w:w="1563" w:type="dxa"/>
            <w:tcBorders>
              <w:top w:val="single" w:sz="4" w:space="0" w:color="auto"/>
              <w:left w:val="single" w:sz="4" w:space="0" w:color="auto"/>
              <w:bottom w:val="single" w:sz="4" w:space="0" w:color="auto"/>
              <w:right w:val="single" w:sz="4" w:space="0" w:color="auto"/>
            </w:tcBorders>
            <w:vAlign w:val="center"/>
          </w:tcPr>
          <w:p w:rsidR="000179C1" w:rsidRPr="000179C1" w:rsidP="000179C1" w14:paraId="0BBC521D" w14:textId="79DFA2C4">
            <w:pPr>
              <w:pStyle w:val="ListParagraph"/>
              <w:ind w:left="360"/>
            </w:pPr>
            <w:r w:rsidRPr="000179C1">
              <w:t xml:space="preserve">Corrective Action Plan </w:t>
            </w:r>
          </w:p>
        </w:tc>
        <w:tc>
          <w:tcPr>
            <w:tcW w:w="1363" w:type="dxa"/>
            <w:tcBorders>
              <w:top w:val="single" w:sz="4" w:space="0" w:color="auto"/>
              <w:left w:val="single" w:sz="4" w:space="0" w:color="auto"/>
              <w:bottom w:val="single" w:sz="4" w:space="0" w:color="auto"/>
              <w:right w:val="single" w:sz="4" w:space="0" w:color="auto"/>
            </w:tcBorders>
            <w:vAlign w:val="center"/>
          </w:tcPr>
          <w:p w:rsidR="000179C1" w:rsidRPr="000179C1" w:rsidP="000179C1" w14:paraId="52A6D868" w14:textId="77777777">
            <w:pPr>
              <w:pStyle w:val="ListParagraph"/>
              <w:ind w:left="360"/>
            </w:pPr>
            <w:r w:rsidRPr="000179C1">
              <w:t>75</w:t>
            </w:r>
          </w:p>
        </w:tc>
        <w:tc>
          <w:tcPr>
            <w:tcW w:w="1270" w:type="dxa"/>
            <w:tcBorders>
              <w:top w:val="single" w:sz="4" w:space="0" w:color="auto"/>
              <w:left w:val="single" w:sz="4" w:space="0" w:color="auto"/>
              <w:bottom w:val="single" w:sz="4" w:space="0" w:color="auto"/>
              <w:right w:val="single" w:sz="4" w:space="0" w:color="auto"/>
            </w:tcBorders>
            <w:vAlign w:val="center"/>
          </w:tcPr>
          <w:p w:rsidR="000179C1" w:rsidRPr="000179C1" w:rsidP="000179C1" w14:paraId="65C8FE9F" w14:textId="77777777">
            <w:pPr>
              <w:pStyle w:val="ListParagraph"/>
              <w:ind w:left="360"/>
            </w:pPr>
            <w:r w:rsidRPr="000179C1">
              <w:t>1</w:t>
            </w:r>
          </w:p>
        </w:tc>
        <w:tc>
          <w:tcPr>
            <w:tcW w:w="1056" w:type="dxa"/>
            <w:tcBorders>
              <w:top w:val="single" w:sz="4" w:space="0" w:color="auto"/>
              <w:left w:val="single" w:sz="4" w:space="0" w:color="auto"/>
              <w:bottom w:val="single" w:sz="4" w:space="0" w:color="auto"/>
              <w:right w:val="single" w:sz="4" w:space="0" w:color="auto"/>
            </w:tcBorders>
            <w:vAlign w:val="center"/>
          </w:tcPr>
          <w:p w:rsidR="000179C1" w:rsidRPr="000179C1" w:rsidP="000179C1" w14:paraId="6ADD08BA" w14:textId="77777777">
            <w:pPr>
              <w:pStyle w:val="ListParagraph"/>
              <w:ind w:left="360"/>
            </w:pPr>
            <w:r w:rsidRPr="000179C1">
              <w:t>8</w:t>
            </w:r>
          </w:p>
        </w:tc>
        <w:tc>
          <w:tcPr>
            <w:tcW w:w="1296" w:type="dxa"/>
            <w:tcBorders>
              <w:top w:val="single" w:sz="4" w:space="0" w:color="auto"/>
              <w:left w:val="single" w:sz="4" w:space="0" w:color="auto"/>
              <w:bottom w:val="single" w:sz="4" w:space="0" w:color="auto"/>
              <w:right w:val="single" w:sz="4" w:space="0" w:color="auto"/>
            </w:tcBorders>
            <w:vAlign w:val="center"/>
          </w:tcPr>
          <w:p w:rsidR="000179C1" w:rsidRPr="000179C1" w:rsidP="000179C1" w14:paraId="3CA4C826" w14:textId="77777777">
            <w:pPr>
              <w:pStyle w:val="ListParagraph"/>
              <w:ind w:left="360"/>
            </w:pPr>
            <w:r w:rsidRPr="000179C1">
              <w:t>600</w:t>
            </w:r>
          </w:p>
        </w:tc>
      </w:tr>
      <w:tr w14:paraId="702B3EC5" w14:textId="77777777" w:rsidTr="00455A6B">
        <w:tblPrEx>
          <w:tblW w:w="8538" w:type="dxa"/>
          <w:tblLook w:val="01E0"/>
        </w:tblPrEx>
        <w:trPr>
          <w:trHeight w:val="203"/>
        </w:trPr>
        <w:tc>
          <w:tcPr>
            <w:tcW w:w="1990" w:type="dxa"/>
            <w:tcBorders>
              <w:top w:val="single" w:sz="4" w:space="0" w:color="auto"/>
              <w:left w:val="single" w:sz="4" w:space="0" w:color="auto"/>
              <w:bottom w:val="single" w:sz="4" w:space="0" w:color="auto"/>
              <w:right w:val="single" w:sz="4" w:space="0" w:color="auto"/>
            </w:tcBorders>
          </w:tcPr>
          <w:p w:rsidR="000179C1" w:rsidRPr="000179C1" w:rsidP="000179C1" w14:paraId="2CCCA6CA" w14:textId="77777777">
            <w:pPr>
              <w:pStyle w:val="ListParagraph"/>
              <w:ind w:left="360"/>
            </w:pPr>
            <w:r w:rsidRPr="000179C1">
              <w:t>Total Estimated Burden</w:t>
            </w:r>
          </w:p>
        </w:tc>
        <w:tc>
          <w:tcPr>
            <w:tcW w:w="1563" w:type="dxa"/>
            <w:tcBorders>
              <w:top w:val="single" w:sz="4" w:space="0" w:color="auto"/>
              <w:left w:val="single" w:sz="4" w:space="0" w:color="auto"/>
              <w:bottom w:val="single" w:sz="4" w:space="0" w:color="auto"/>
              <w:right w:val="single" w:sz="4" w:space="0" w:color="auto"/>
            </w:tcBorders>
            <w:vAlign w:val="center"/>
          </w:tcPr>
          <w:p w:rsidR="000179C1" w:rsidRPr="000179C1" w:rsidP="000179C1" w14:paraId="4227637B" w14:textId="77777777">
            <w:pPr>
              <w:pStyle w:val="ListParagraph"/>
              <w:ind w:left="360"/>
            </w:pPr>
          </w:p>
        </w:tc>
        <w:tc>
          <w:tcPr>
            <w:tcW w:w="1363" w:type="dxa"/>
            <w:tcBorders>
              <w:top w:val="single" w:sz="4" w:space="0" w:color="auto"/>
              <w:left w:val="single" w:sz="4" w:space="0" w:color="auto"/>
              <w:bottom w:val="single" w:sz="4" w:space="0" w:color="auto"/>
              <w:right w:val="single" w:sz="4" w:space="0" w:color="auto"/>
            </w:tcBorders>
          </w:tcPr>
          <w:p w:rsidR="000179C1" w:rsidRPr="000179C1" w:rsidP="000179C1" w14:paraId="7C204630" w14:textId="77777777">
            <w:pPr>
              <w:pStyle w:val="ListParagraph"/>
              <w:ind w:left="360"/>
            </w:pPr>
          </w:p>
        </w:tc>
        <w:tc>
          <w:tcPr>
            <w:tcW w:w="1270" w:type="dxa"/>
            <w:tcBorders>
              <w:top w:val="single" w:sz="4" w:space="0" w:color="auto"/>
              <w:left w:val="single" w:sz="4" w:space="0" w:color="auto"/>
              <w:bottom w:val="single" w:sz="4" w:space="0" w:color="auto"/>
              <w:right w:val="single" w:sz="4" w:space="0" w:color="auto"/>
            </w:tcBorders>
          </w:tcPr>
          <w:p w:rsidR="000179C1" w:rsidRPr="000179C1" w:rsidP="000179C1" w14:paraId="7D319DD7" w14:textId="77777777">
            <w:pPr>
              <w:pStyle w:val="ListParagraph"/>
              <w:ind w:left="360"/>
            </w:pPr>
          </w:p>
        </w:tc>
        <w:tc>
          <w:tcPr>
            <w:tcW w:w="1056" w:type="dxa"/>
            <w:tcBorders>
              <w:top w:val="single" w:sz="4" w:space="0" w:color="auto"/>
              <w:left w:val="single" w:sz="4" w:space="0" w:color="auto"/>
              <w:bottom w:val="single" w:sz="4" w:space="0" w:color="auto"/>
              <w:right w:val="single" w:sz="4" w:space="0" w:color="auto"/>
            </w:tcBorders>
          </w:tcPr>
          <w:p w:rsidR="000179C1" w:rsidRPr="000179C1" w:rsidP="000179C1" w14:paraId="73812B6D" w14:textId="77777777">
            <w:pPr>
              <w:pStyle w:val="ListParagraph"/>
              <w:ind w:left="360"/>
            </w:pPr>
          </w:p>
        </w:tc>
        <w:tc>
          <w:tcPr>
            <w:tcW w:w="1296" w:type="dxa"/>
            <w:tcBorders>
              <w:top w:val="single" w:sz="4" w:space="0" w:color="auto"/>
              <w:left w:val="single" w:sz="4" w:space="0" w:color="auto"/>
              <w:bottom w:val="single" w:sz="4" w:space="0" w:color="auto"/>
              <w:right w:val="single" w:sz="4" w:space="0" w:color="auto"/>
            </w:tcBorders>
          </w:tcPr>
          <w:p w:rsidR="000179C1" w:rsidRPr="000179C1" w:rsidP="000179C1" w14:paraId="3D6BEB36" w14:textId="11EDDE94">
            <w:pPr>
              <w:pStyle w:val="ListParagraph"/>
              <w:ind w:left="360"/>
            </w:pPr>
            <w:r w:rsidRPr="000179C1">
              <w:t>2,0</w:t>
            </w:r>
            <w:r w:rsidR="00C952A4">
              <w:t>80</w:t>
            </w:r>
          </w:p>
        </w:tc>
      </w:tr>
    </w:tbl>
    <w:p w:rsidR="000179C1" w:rsidP="00B33A69" w14:paraId="7B740C88" w14:textId="77777777">
      <w:pPr>
        <w:pStyle w:val="ListParagraph"/>
        <w:ind w:left="360"/>
      </w:pPr>
    </w:p>
    <w:p w:rsidR="000179C1" w:rsidRPr="006E3792" w:rsidP="00B33A69" w14:paraId="115A576F" w14:textId="77777777">
      <w:pPr>
        <w:pStyle w:val="ListParagraph"/>
        <w:ind w:left="360"/>
      </w:pPr>
    </w:p>
    <w:p w:rsidR="006E3792" w:rsidRPr="006E3792" w:rsidP="00A55C44" w14:paraId="2FCC4532" w14:textId="0073D8A4">
      <w:pPr>
        <w:rPr>
          <w:b/>
          <w:bCs/>
          <w:u w:val="single"/>
        </w:rPr>
      </w:pPr>
      <w:bookmarkStart w:id="15" w:name="_Hlk171606281"/>
      <w:r w:rsidRPr="006E3792">
        <w:rPr>
          <w:b/>
          <w:bCs/>
          <w:u w:val="single"/>
        </w:rPr>
        <w:t>State Plan on Aging and Assurances</w:t>
      </w:r>
    </w:p>
    <w:bookmarkEnd w:id="15"/>
    <w:p w:rsidR="006E3792" w:rsidRPr="006E3792" w:rsidP="000179C1" w14:paraId="4A875AEB" w14:textId="0494B08F">
      <w:r w:rsidRPr="006E3792">
        <w:t xml:space="preserve">Fifty-five SUAs will develop a State Plan on Aging. The 55 SUAs include one in each of the 50 states as well as the District of Columbia, Guam, Puerto Rico, American Samoa, and the Northern Mariana Islands.  SUAs are required to submit either a 2 (1 state), 3 (8 states), or 4-year (46 states) State Plan on Aging that includes assurances.  Therefore, the average number of state plans submitted per year is </w:t>
      </w:r>
      <w:r w:rsidR="000179C1">
        <w:t>15</w:t>
      </w:r>
      <w:r w:rsidRPr="006E3792">
        <w:t xml:space="preserve"> ((46 states/</w:t>
      </w:r>
      <w:r w:rsidRPr="006E3792" w:rsidR="004B3F5B">
        <w:t>4-year</w:t>
      </w:r>
      <w:r w:rsidRPr="006E3792">
        <w:t xml:space="preserve"> state plan)</w:t>
      </w:r>
      <w:r w:rsidR="004B3F5B">
        <w:t xml:space="preserve"> </w:t>
      </w:r>
      <w:r w:rsidRPr="006E3792">
        <w:t>+(8 states/</w:t>
      </w:r>
      <w:r w:rsidRPr="006E3792" w:rsidR="000179C1">
        <w:t>3-year</w:t>
      </w:r>
      <w:r w:rsidRPr="006E3792">
        <w:t xml:space="preserve"> state plan)</w:t>
      </w:r>
      <w:r w:rsidR="004B3F5B">
        <w:t xml:space="preserve"> </w:t>
      </w:r>
      <w:r w:rsidRPr="006E3792">
        <w:t xml:space="preserve">+(1 state /2 year state plan)).  The annual burden hours (1,176) </w:t>
      </w:r>
      <w:r w:rsidRPr="006E3792" w:rsidR="000179C1">
        <w:t>are</w:t>
      </w:r>
      <w:r w:rsidRPr="006E3792">
        <w:t xml:space="preserve"> based on the total number of SUAs (55) annualized submissions (14.7) who are required to submit a State Plan on Aging and an estimated average of 80 burden hours per response for development of a State Plan on Aging. </w:t>
      </w:r>
    </w:p>
    <w:p w:rsidR="006E3792" w:rsidP="00A44BB4" w14:paraId="602C9D35" w14:textId="77777777">
      <w:pPr>
        <w:ind w:hanging="360"/>
        <w:rPr>
          <w:b/>
          <w:bCs/>
          <w:u w:val="single"/>
        </w:rPr>
      </w:pPr>
    </w:p>
    <w:p w:rsidR="006E3792" w:rsidRPr="006E3792" w:rsidP="00DC1789" w14:paraId="49ECE410" w14:textId="5FF54A34">
      <w:pPr>
        <w:rPr>
          <w:b/>
          <w:bCs/>
          <w:u w:val="single"/>
        </w:rPr>
      </w:pPr>
      <w:r w:rsidRPr="006E3792">
        <w:rPr>
          <w:b/>
          <w:bCs/>
          <w:u w:val="single"/>
        </w:rPr>
        <w:t>Financial Forms for Aging Programs</w:t>
      </w:r>
    </w:p>
    <w:p w:rsidR="006E3792" w:rsidRPr="006E3792" w:rsidP="000179C1" w14:paraId="1FF608CA" w14:textId="1E82BB80">
      <w:r w:rsidRPr="006E3792">
        <w:t xml:space="preserve">Fifty-six states will provide financial forms for </w:t>
      </w:r>
      <w:r>
        <w:t>a</w:t>
      </w:r>
      <w:r w:rsidRPr="006E3792">
        <w:t xml:space="preserve">ging </w:t>
      </w:r>
      <w:r>
        <w:t>p</w:t>
      </w:r>
      <w:r w:rsidRPr="006E3792">
        <w:t xml:space="preserve">rograms. The 56 </w:t>
      </w:r>
      <w:r w:rsidR="004B3F5B">
        <w:t>s</w:t>
      </w:r>
      <w:r w:rsidRPr="006E3792">
        <w:t xml:space="preserve">tates include </w:t>
      </w:r>
      <w:bookmarkStart w:id="16" w:name="_Hlk158886854"/>
      <w:r w:rsidRPr="006E3792">
        <w:t xml:space="preserve">one in each of the 50 </w:t>
      </w:r>
      <w:r>
        <w:t>S</w:t>
      </w:r>
      <w:r w:rsidRPr="006E3792">
        <w:t>tates as well as the District of Columbia, Guam, Puerto Rico, American Samoa, U.S. Virgin Islands, and the Northern Mariana Islands</w:t>
      </w:r>
      <w:bookmarkEnd w:id="16"/>
      <w:r w:rsidRPr="006E3792">
        <w:t xml:space="preserve">.  States are required to submit financial forms annually or semi-annually. ACL is working on an estimated annualized burden estimate accounting for the varying reporting periods for the financial forms either annually or semi-annually.  The annual burden hours 280 is based on the total number of </w:t>
      </w:r>
      <w:r w:rsidR="004B3F5B">
        <w:t>s</w:t>
      </w:r>
      <w:r w:rsidRPr="006E3792">
        <w:t xml:space="preserve">tates (56) </w:t>
      </w:r>
      <w:r w:rsidR="004B3F5B">
        <w:t xml:space="preserve">that </w:t>
      </w:r>
      <w:r w:rsidRPr="006E3792">
        <w:t>are required to submit five (5) financial forms and an estimated average of 1 burden hours per response for submission of financial forms.</w:t>
      </w:r>
    </w:p>
    <w:p w:rsidR="006E3792" w:rsidP="00A44BB4" w14:paraId="266414F8" w14:textId="77777777">
      <w:pPr>
        <w:ind w:hanging="360"/>
        <w:rPr>
          <w:b/>
          <w:bCs/>
          <w:u w:val="single"/>
        </w:rPr>
      </w:pPr>
    </w:p>
    <w:p w:rsidR="006E3792" w:rsidRPr="006E3792" w:rsidP="00DC1789" w14:paraId="3CBBF218" w14:textId="27A21835">
      <w:pPr>
        <w:rPr>
          <w:b/>
          <w:bCs/>
          <w:u w:val="single"/>
        </w:rPr>
      </w:pPr>
      <w:r w:rsidRPr="006E3792">
        <w:rPr>
          <w:b/>
          <w:bCs/>
          <w:u w:val="single"/>
        </w:rPr>
        <w:t xml:space="preserve">Corrective Action Plan </w:t>
      </w:r>
    </w:p>
    <w:p w:rsidR="006E3792" w:rsidRPr="006E3792" w:rsidP="000179C1" w14:paraId="11434BDA" w14:textId="1F392822">
      <w:r w:rsidRPr="006E3792">
        <w:t xml:space="preserve">Fifty-six states and 290 </w:t>
      </w:r>
      <w:r w:rsidR="000179C1">
        <w:t>T</w:t>
      </w:r>
      <w:r w:rsidRPr="006E3792">
        <w:t>ribal organizations may submit a CAP to comply with provisions of their N</w:t>
      </w:r>
      <w:r w:rsidR="000179C1">
        <w:t>O</w:t>
      </w:r>
      <w:r w:rsidRPr="006E3792">
        <w:t xml:space="preserve">A for OAA or APS grants. Not every grantee will require a CAP. ACL is working on an estimated annualized burden estimate accounting for these considerations. The annual burden hours 600 is based on the total number of OAA and APS grantees who may be required to submit a CAP adjusted with ACL’s extensive program experience working with grantees.   </w:t>
      </w:r>
    </w:p>
    <w:p w:rsidR="004B3F5B" w:rsidP="00A44BB4" w14:paraId="11FA170F" w14:textId="77777777">
      <w:pPr>
        <w:tabs>
          <w:tab w:val="left" w:pos="360"/>
        </w:tabs>
        <w:spacing w:after="0"/>
        <w:ind w:hanging="360"/>
        <w:rPr>
          <w:b/>
        </w:rPr>
      </w:pPr>
    </w:p>
    <w:p w:rsidR="004B3F5B" w:rsidRPr="004B3F5B" w:rsidP="00A44BB4" w14:paraId="13CBBFA4" w14:textId="577624B3">
      <w:pPr>
        <w:tabs>
          <w:tab w:val="left" w:pos="360"/>
        </w:tabs>
        <w:spacing w:after="0"/>
        <w:ind w:hanging="360"/>
      </w:pPr>
      <w:r>
        <w:rPr>
          <w:b/>
        </w:rPr>
        <w:tab/>
      </w:r>
      <w:r w:rsidRPr="004B3F5B">
        <w:rPr>
          <w:b/>
        </w:rPr>
        <w:t>12B</w:t>
      </w:r>
      <w:r w:rsidRPr="004B3F5B">
        <w:t xml:space="preserve">.  Estimates of annualized cost to respondents for the hour burdens for collections of information, identifying and using appropriate wage rate categories. </w:t>
      </w:r>
    </w:p>
    <w:p w:rsidR="004B3F5B" w:rsidP="00A44BB4" w14:paraId="0B254182" w14:textId="77777777">
      <w:pPr>
        <w:tabs>
          <w:tab w:val="left" w:pos="-720"/>
          <w:tab w:val="left" w:pos="360"/>
        </w:tabs>
        <w:suppressAutoHyphens/>
        <w:ind w:hanging="360"/>
        <w:rPr>
          <w:u w:val="single"/>
        </w:rPr>
      </w:pPr>
    </w:p>
    <w:p w:rsidR="00971912" w:rsidRPr="004B3F5B" w:rsidP="00A44BB4" w14:paraId="3F7EE5C6" w14:textId="6A6AD2D9">
      <w:pPr>
        <w:tabs>
          <w:tab w:val="left" w:pos="-720"/>
          <w:tab w:val="left" w:pos="360"/>
        </w:tabs>
        <w:suppressAutoHyphens/>
        <w:ind w:hanging="360"/>
        <w:rPr>
          <w:b/>
          <w:bCs/>
          <w:u w:val="single"/>
        </w:rPr>
      </w:pPr>
      <w:r w:rsidRPr="00DC1789">
        <w:rPr>
          <w:b/>
          <w:bCs/>
        </w:rPr>
        <w:tab/>
      </w:r>
      <w:r w:rsidRPr="004B3F5B" w:rsidR="004B3F5B">
        <w:rPr>
          <w:b/>
          <w:bCs/>
          <w:u w:val="single"/>
        </w:rPr>
        <w:t>S</w:t>
      </w:r>
      <w:r w:rsidRPr="004B3F5B">
        <w:rPr>
          <w:b/>
          <w:bCs/>
          <w:u w:val="single"/>
        </w:rPr>
        <w:t>tate Plan on Aging</w:t>
      </w:r>
      <w:r w:rsidRPr="004B3F5B" w:rsidR="004B3F5B">
        <w:rPr>
          <w:b/>
          <w:bCs/>
          <w:u w:val="single"/>
        </w:rPr>
        <w:t xml:space="preserve"> </w:t>
      </w:r>
      <w:r w:rsidR="004B3F5B">
        <w:rPr>
          <w:b/>
          <w:bCs/>
          <w:u w:val="single"/>
        </w:rPr>
        <w:t xml:space="preserve">and </w:t>
      </w:r>
      <w:r w:rsidRPr="004B3F5B" w:rsidR="004B3F5B">
        <w:rPr>
          <w:b/>
          <w:bCs/>
          <w:u w:val="single"/>
        </w:rPr>
        <w:t>Assurances</w:t>
      </w:r>
    </w:p>
    <w:p w:rsidR="00971912" w:rsidP="00A44BB4" w14:paraId="190196EA" w14:textId="11B96889">
      <w:pPr>
        <w:tabs>
          <w:tab w:val="left" w:pos="-720"/>
          <w:tab w:val="left" w:pos="360"/>
        </w:tabs>
        <w:suppressAutoHyphens/>
        <w:ind w:hanging="360"/>
      </w:pPr>
      <w:bookmarkStart w:id="17" w:name="_Hlk159600281"/>
      <w:r>
        <w:tab/>
      </w:r>
      <w:r w:rsidR="004B3F5B">
        <w:t xml:space="preserve">ACL anticipates </w:t>
      </w:r>
      <w:r w:rsidRPr="0013422A">
        <w:t xml:space="preserve">for each </w:t>
      </w:r>
      <w:r>
        <w:t>s</w:t>
      </w:r>
      <w:r w:rsidRPr="0013422A">
        <w:t xml:space="preserve">tate the equivalent of two (2) </w:t>
      </w:r>
      <w:r w:rsidR="00425ADC">
        <w:t xml:space="preserve">hours of </w:t>
      </w:r>
      <w:r w:rsidRPr="0013422A">
        <w:t xml:space="preserve">executive staff </w:t>
      </w:r>
      <w:r>
        <w:t>comparable to</w:t>
      </w:r>
      <w:r w:rsidRPr="0013422A">
        <w:t xml:space="preserve"> a general and operations manager (Occupation code 11-1021), at a cost of $55.41 per hour unadjusted adjusted hourly wage, $110.82 adjusted for non-wage benefits and indirect costs (2 x $110.82), and four (4) hours of a first-line supervisor (Occupation code 43- 1011), at a cost of $30.47 per hour unadjusted hourly wage, $60.94 adjusting for non-wage benefits and indirect costs (4 x $60.94). </w:t>
      </w:r>
      <w:r w:rsidR="000E5B51">
        <w:t>State plans</w:t>
      </w:r>
      <w:r w:rsidRPr="0013422A">
        <w:t xml:space="preserve"> will be updated every three to five years. We monetize the cost of drafting one State plan at $465.40. </w:t>
      </w:r>
      <w:r w:rsidR="00425ADC">
        <w:t xml:space="preserve">With </w:t>
      </w:r>
      <w:r w:rsidRPr="0013422A">
        <w:t>5</w:t>
      </w:r>
      <w:r>
        <w:t>5</w:t>
      </w:r>
      <w:r w:rsidRPr="0013422A">
        <w:t xml:space="preserve"> </w:t>
      </w:r>
      <w:r w:rsidR="000E5B51">
        <w:t>State plans</w:t>
      </w:r>
      <w:r w:rsidRPr="0013422A">
        <w:t xml:space="preserve"> at $2</w:t>
      </w:r>
      <w:r>
        <w:t>5</w:t>
      </w:r>
      <w:r w:rsidRPr="0013422A">
        <w:t>,</w:t>
      </w:r>
      <w:r>
        <w:t>597</w:t>
      </w:r>
      <w:r w:rsidR="007E473E">
        <w:t xml:space="preserve"> annually</w:t>
      </w:r>
      <w:r w:rsidRPr="0013422A">
        <w:t>.</w:t>
      </w:r>
    </w:p>
    <w:bookmarkEnd w:id="17"/>
    <w:p w:rsidR="00425ADC" w:rsidP="00A44BB4" w14:paraId="73CD94D1" w14:textId="77777777">
      <w:pPr>
        <w:tabs>
          <w:tab w:val="left" w:pos="-720"/>
          <w:tab w:val="left" w:pos="360"/>
        </w:tabs>
        <w:suppressAutoHyphens/>
        <w:ind w:left="720" w:hanging="360"/>
      </w:pPr>
    </w:p>
    <w:p w:rsidR="00971912" w:rsidRPr="004B3F5B" w:rsidP="00A44BB4" w14:paraId="22BD0699" w14:textId="1F27B749">
      <w:pPr>
        <w:tabs>
          <w:tab w:val="left" w:pos="360"/>
        </w:tabs>
        <w:spacing w:after="0"/>
        <w:ind w:hanging="360"/>
        <w:rPr>
          <w:b/>
          <w:bCs/>
        </w:rPr>
      </w:pPr>
      <w:r w:rsidRPr="00DC1789">
        <w:rPr>
          <w:b/>
          <w:bCs/>
        </w:rPr>
        <w:tab/>
      </w:r>
      <w:r w:rsidRPr="004B3F5B">
        <w:rPr>
          <w:b/>
          <w:bCs/>
          <w:u w:val="single"/>
        </w:rPr>
        <w:t>Financial Forms</w:t>
      </w:r>
    </w:p>
    <w:p w:rsidR="00971912" w:rsidP="00A44BB4" w14:paraId="6FC82119" w14:textId="55FD8334">
      <w:pPr>
        <w:tabs>
          <w:tab w:val="left" w:pos="-720"/>
          <w:tab w:val="left" w:pos="360"/>
        </w:tabs>
        <w:suppressAutoHyphens/>
        <w:ind w:hanging="360"/>
      </w:pPr>
      <w:r>
        <w:tab/>
      </w:r>
      <w:r w:rsidR="004B3F5B">
        <w:t xml:space="preserve">ACL anticipates </w:t>
      </w:r>
      <w:r w:rsidRPr="0013422A">
        <w:t xml:space="preserve">for each State the equivalent of two (2) </w:t>
      </w:r>
      <w:r>
        <w:t xml:space="preserve">hours of </w:t>
      </w:r>
      <w:r>
        <w:t>accountants and auditors</w:t>
      </w:r>
      <w:r w:rsidRPr="0013422A">
        <w:t xml:space="preserve"> (Occupation code </w:t>
      </w:r>
      <w:r>
        <w:t>13-2011</w:t>
      </w:r>
      <w:r w:rsidRPr="0013422A">
        <w:t>), at a cost of $</w:t>
      </w:r>
      <w:r>
        <w:t>37.50</w:t>
      </w:r>
      <w:r w:rsidRPr="0013422A">
        <w:t xml:space="preserve"> per hour unadjusted adjusted hourly wage, $</w:t>
      </w:r>
      <w:r w:rsidR="009758E5">
        <w:t>75.00</w:t>
      </w:r>
      <w:r w:rsidRPr="0013422A">
        <w:t xml:space="preserve"> adjusted for non-wage benefits and indirect costs (2 x $</w:t>
      </w:r>
      <w:r w:rsidR="009758E5">
        <w:t>75.00</w:t>
      </w:r>
      <w:r w:rsidRPr="0013422A">
        <w:t xml:space="preserve">), and </w:t>
      </w:r>
      <w:r w:rsidR="009758E5">
        <w:t>one</w:t>
      </w:r>
      <w:r w:rsidRPr="0013422A">
        <w:t xml:space="preserve"> (</w:t>
      </w:r>
      <w:r w:rsidR="009758E5">
        <w:t>1</w:t>
      </w:r>
      <w:r w:rsidRPr="0013422A">
        <w:t>) hours of a first-line supervisor (Occupation code 43- 1011), at a cost of $30.47 per hour unadjusted hourly wage, $60.94 adjusting for non-wage benefits and indirect costs (</w:t>
      </w:r>
      <w:r w:rsidR="004F1513">
        <w:t>1</w:t>
      </w:r>
      <w:r w:rsidRPr="0013422A">
        <w:t xml:space="preserve"> x $60.94). </w:t>
      </w:r>
      <w:r w:rsidR="004F1513">
        <w:t>Financial forms will be submitted annually and semi-annually</w:t>
      </w:r>
      <w:r w:rsidRPr="0013422A">
        <w:t xml:space="preserve">. We monetize the cost of </w:t>
      </w:r>
      <w:r w:rsidR="004F1513">
        <w:t>submission of the 5 forms</w:t>
      </w:r>
      <w:r w:rsidRPr="0013422A">
        <w:t xml:space="preserve"> at $</w:t>
      </w:r>
      <w:r w:rsidR="004F1513">
        <w:t>1,054.70 annually</w:t>
      </w:r>
      <w:r w:rsidRPr="0013422A">
        <w:t xml:space="preserve">. </w:t>
      </w:r>
      <w:r>
        <w:t>With</w:t>
      </w:r>
      <w:r w:rsidRPr="0013422A">
        <w:t xml:space="preserve"> 5</w:t>
      </w:r>
      <w:r w:rsidR="004F1513">
        <w:t>5</w:t>
      </w:r>
      <w:r w:rsidRPr="0013422A">
        <w:t xml:space="preserve"> State </w:t>
      </w:r>
      <w:r w:rsidR="00246775">
        <w:t>submissions</w:t>
      </w:r>
      <w:r w:rsidRPr="0013422A">
        <w:t xml:space="preserve"> at $</w:t>
      </w:r>
      <w:r w:rsidR="004F1513">
        <w:t>58,008.05</w:t>
      </w:r>
      <w:r w:rsidR="007E473E">
        <w:t xml:space="preserve"> annually</w:t>
      </w:r>
      <w:r w:rsidRPr="0013422A">
        <w:t>.</w:t>
      </w:r>
    </w:p>
    <w:p w:rsidR="00BF7479" w:rsidP="00A44BB4" w14:paraId="34A3B658" w14:textId="77777777">
      <w:pPr>
        <w:tabs>
          <w:tab w:val="left" w:pos="-720"/>
          <w:tab w:val="left" w:pos="360"/>
        </w:tabs>
        <w:suppressAutoHyphens/>
        <w:ind w:left="720" w:hanging="360"/>
        <w:rPr>
          <w:u w:val="single"/>
        </w:rPr>
      </w:pPr>
    </w:p>
    <w:p w:rsidR="00BF7479" w:rsidRPr="004B3F5B" w:rsidP="00A44BB4" w14:paraId="7C1CEE18" w14:textId="51AF26F0">
      <w:pPr>
        <w:tabs>
          <w:tab w:val="left" w:pos="-720"/>
          <w:tab w:val="left" w:pos="360"/>
        </w:tabs>
        <w:suppressAutoHyphens/>
        <w:ind w:hanging="360"/>
        <w:rPr>
          <w:b/>
          <w:bCs/>
          <w:u w:val="single"/>
        </w:rPr>
      </w:pPr>
      <w:r w:rsidRPr="00DC1789">
        <w:rPr>
          <w:b/>
          <w:bCs/>
        </w:rPr>
        <w:tab/>
      </w:r>
      <w:r w:rsidRPr="004B3F5B">
        <w:rPr>
          <w:b/>
          <w:bCs/>
          <w:u w:val="single"/>
        </w:rPr>
        <w:t>Corrective Action Plans</w:t>
      </w:r>
    </w:p>
    <w:p w:rsidR="00A44BB4" w:rsidP="00A44BB4" w14:paraId="4A145DE8" w14:textId="46728D8D">
      <w:pPr>
        <w:tabs>
          <w:tab w:val="left" w:pos="-720"/>
          <w:tab w:val="left" w:pos="360"/>
        </w:tabs>
        <w:suppressAutoHyphens/>
        <w:ind w:hanging="360"/>
      </w:pPr>
      <w:r>
        <w:tab/>
      </w:r>
      <w:r w:rsidR="004B3F5B">
        <w:t xml:space="preserve">ACL anticipates </w:t>
      </w:r>
      <w:r w:rsidRPr="00BF7479" w:rsidR="00BF7479">
        <w:t xml:space="preserve">for each </w:t>
      </w:r>
      <w:r w:rsidR="00CB5B9C">
        <w:t>grantee</w:t>
      </w:r>
      <w:r w:rsidRPr="00BF7479" w:rsidR="00BF7479">
        <w:t xml:space="preserve"> the equivalent of </w:t>
      </w:r>
      <w:r w:rsidR="003D20F9">
        <w:t>four</w:t>
      </w:r>
      <w:r w:rsidRPr="00BF7479" w:rsidR="00BF7479">
        <w:t xml:space="preserve"> (</w:t>
      </w:r>
      <w:r w:rsidR="003D20F9">
        <w:t>4</w:t>
      </w:r>
      <w:r w:rsidRPr="00BF7479" w:rsidR="00BF7479">
        <w:t>) hour</w:t>
      </w:r>
      <w:r w:rsidR="003D20F9">
        <w:t>s</w:t>
      </w:r>
      <w:r w:rsidRPr="00BF7479" w:rsidR="00BF7479">
        <w:t xml:space="preserve"> of executive staff equivalent to a general and operations manager (Occupation code 11-1021), at a cost of $55.41 per hour unadjusted adjusted hourly wage, $110.82 adjusted for non-wage benefits and indirect costs (</w:t>
      </w:r>
      <w:r w:rsidR="003D20F9">
        <w:t>4</w:t>
      </w:r>
      <w:r w:rsidRPr="00BF7479" w:rsidR="00BF7479">
        <w:t xml:space="preserve"> x $110.82), and four (4) hours of a first-line supervisor (Occupation code 43- 1011), at a cost of $30.47 per hour unadjusted hourly wage, $60.94 adjusting for non-wage benefits and indirect costs (4 x $60.94</w:t>
      </w:r>
      <w:r w:rsidR="003D20F9">
        <w:t>).</w:t>
      </w:r>
      <w:r w:rsidRPr="00BF7479" w:rsidR="00BF7479">
        <w:rPr>
          <w:rStyle w:val="a"/>
        </w:rPr>
        <w:t xml:space="preserve"> </w:t>
      </w:r>
      <w:r w:rsidRPr="00BF7479" w:rsidR="00BF7479">
        <w:t xml:space="preserve">We monetize the cost of </w:t>
      </w:r>
      <w:r w:rsidR="00BF7479">
        <w:t>CAP</w:t>
      </w:r>
      <w:r w:rsidRPr="00BF7479" w:rsidR="00BF7479">
        <w:t xml:space="preserve"> at $</w:t>
      </w:r>
      <w:r w:rsidR="003D20F9">
        <w:t>687.04</w:t>
      </w:r>
      <w:r w:rsidRPr="00BF7479" w:rsidR="00BF7479">
        <w:t xml:space="preserve">. We monetize </w:t>
      </w:r>
      <w:r w:rsidR="008545C8">
        <w:t>75</w:t>
      </w:r>
      <w:r w:rsidRPr="00BF7479" w:rsidR="00BF7479">
        <w:t xml:space="preserve"> </w:t>
      </w:r>
      <w:r w:rsidR="003D20F9">
        <w:t>CAPs</w:t>
      </w:r>
      <w:r w:rsidRPr="00BF7479" w:rsidR="00BF7479">
        <w:t xml:space="preserve"> at $</w:t>
      </w:r>
      <w:r w:rsidR="00DC3ACF">
        <w:t>51</w:t>
      </w:r>
      <w:r w:rsidRPr="00BF7479" w:rsidR="00BF7479">
        <w:t>,</w:t>
      </w:r>
      <w:r w:rsidR="00DC3ACF">
        <w:t>528</w:t>
      </w:r>
      <w:r w:rsidR="007E473E">
        <w:t xml:space="preserve"> annually</w:t>
      </w:r>
      <w:r w:rsidRPr="00BF7479" w:rsidR="00BF7479">
        <w:t>.</w:t>
      </w:r>
      <w:bookmarkStart w:id="18" w:name="_Hlk85731239"/>
    </w:p>
    <w:p w:rsidR="00A44BB4" w:rsidP="00A44BB4" w14:paraId="2EAA1ACC" w14:textId="77777777">
      <w:pPr>
        <w:tabs>
          <w:tab w:val="left" w:pos="-720"/>
          <w:tab w:val="left" w:pos="360"/>
        </w:tabs>
        <w:suppressAutoHyphens/>
        <w:ind w:hanging="360"/>
      </w:pPr>
    </w:p>
    <w:p w:rsidR="00A44BB4" w:rsidRPr="00A44BB4" w:rsidP="00A44BB4" w14:paraId="060A2653" w14:textId="0F9978DC">
      <w:pPr>
        <w:tabs>
          <w:tab w:val="left" w:pos="-720"/>
          <w:tab w:val="left" w:pos="90"/>
        </w:tabs>
        <w:suppressAutoHyphens/>
        <w:ind w:hanging="360"/>
      </w:pPr>
      <w:r>
        <w:rPr>
          <w:b/>
          <w:bCs/>
        </w:rPr>
        <w:t>13.</w:t>
      </w:r>
      <w:r>
        <w:rPr>
          <w:b/>
          <w:bCs/>
        </w:rPr>
        <w:tab/>
      </w:r>
      <w:r w:rsidRPr="00A44BB4">
        <w:rPr>
          <w:b/>
          <w:u w:val="single"/>
        </w:rPr>
        <w:t>Estimates of other Total Annual Cost Burden to Respondents or Recordkeepers/Capital Costs</w:t>
      </w:r>
    </w:p>
    <w:bookmarkEnd w:id="18"/>
    <w:p w:rsidR="00A44BB4" w:rsidP="00A44BB4" w14:paraId="65183E1F" w14:textId="7C144055">
      <w:pPr>
        <w:tabs>
          <w:tab w:val="left" w:pos="360"/>
        </w:tabs>
        <w:ind w:hanging="360"/>
        <w:rPr>
          <w:bCs/>
        </w:rPr>
      </w:pPr>
      <w:r>
        <w:rPr>
          <w:bCs/>
        </w:rPr>
        <w:tab/>
      </w:r>
      <w:r>
        <w:rPr>
          <w:bCs/>
        </w:rPr>
        <w:t>There are no other total annual cost burden respondents or recordkeepers to include capital costs</w:t>
      </w:r>
      <w:bookmarkStart w:id="19" w:name="_Hlk85731309"/>
      <w:bookmarkStart w:id="20" w:name="_Hlk134006388"/>
      <w:r>
        <w:rPr>
          <w:bCs/>
        </w:rPr>
        <w:t xml:space="preserve">. </w:t>
      </w:r>
    </w:p>
    <w:p w:rsidR="00425ADC" w:rsidP="00A44BB4" w14:paraId="4CC35156" w14:textId="77777777">
      <w:pPr>
        <w:tabs>
          <w:tab w:val="left" w:pos="360"/>
        </w:tabs>
        <w:ind w:hanging="360"/>
        <w:rPr>
          <w:b/>
          <w:u w:val="single"/>
        </w:rPr>
      </w:pPr>
    </w:p>
    <w:p w:rsidR="00425ADC" w:rsidRPr="00425ADC" w:rsidP="00425ADC" w14:paraId="5D5A24A9" w14:textId="1C964414">
      <w:pPr>
        <w:tabs>
          <w:tab w:val="left" w:pos="360"/>
        </w:tabs>
        <w:ind w:hanging="360"/>
        <w:rPr>
          <w:bCs/>
        </w:rPr>
      </w:pPr>
      <w:r>
        <w:rPr>
          <w:b/>
        </w:rPr>
        <w:t>14.</w:t>
      </w:r>
      <w:r>
        <w:rPr>
          <w:b/>
        </w:rPr>
        <w:tab/>
      </w:r>
      <w:r w:rsidRPr="00A44BB4" w:rsidR="00A44BB4">
        <w:rPr>
          <w:b/>
          <w:u w:val="single"/>
        </w:rPr>
        <w:t>Annualized Cost to Federal Government</w:t>
      </w:r>
      <w:bookmarkEnd w:id="19"/>
      <w:bookmarkEnd w:id="20"/>
      <w:r w:rsidR="00DC1789">
        <w:rPr>
          <w:b/>
          <w:u w:val="single"/>
        </w:rPr>
        <w:t xml:space="preserve"> </w:t>
      </w:r>
      <w:r w:rsidRPr="00425ADC">
        <w:rPr>
          <w:b/>
          <w:bCs/>
          <w:u w:val="single"/>
        </w:rPr>
        <w:t>State Plan on Aging and Assurances</w:t>
      </w:r>
    </w:p>
    <w:p w:rsidR="00425ADC" w:rsidRPr="00425ADC" w:rsidP="00425ADC" w14:paraId="663D4979" w14:textId="4E454E19">
      <w:pPr>
        <w:tabs>
          <w:tab w:val="left" w:pos="360"/>
        </w:tabs>
        <w:ind w:hanging="360"/>
      </w:pPr>
      <w:bookmarkStart w:id="21" w:name="_Hlk159600822"/>
      <w:r>
        <w:tab/>
      </w:r>
      <w:r w:rsidRPr="00425ADC">
        <w:t xml:space="preserve">We anticipate for ACL to review and provide feedback to SUAs and route for approval the equivalent of (20) hours of staff time for eight  (8) </w:t>
      </w:r>
      <w:r>
        <w:t>f</w:t>
      </w:r>
      <w:r w:rsidRPr="00425ADC">
        <w:t>ederal GS-14</w:t>
      </w:r>
      <w:r>
        <w:t xml:space="preserve"> staff</w:t>
      </w:r>
      <w:r w:rsidRPr="00425ADC">
        <w:t xml:space="preserve"> at a cost of $63.64 unadjusted hourly wage, $127.28 adjusted for non-wage benefits and indirect costs (20 x $127.28), (20) hours of staff time for (2) Federal GS-15 equivalent at a cost of $74.60, $149.20 adjusted for non-wage benefits and indirect costs (20 x 149.20), and  (1) hours of staff time for one GS-13 equivalent at a cost of $53.85 per unadjusted hourly wage, $107.70 per hour adjusted for non-wage benefits and indirect costs (1 x $107.70). SUAs are required to submit either a 2 (1 state), 3 (8 states), or 4-year (46 states) </w:t>
      </w:r>
      <w:r>
        <w:t>s</w:t>
      </w:r>
      <w:r w:rsidRPr="00425ADC">
        <w:t xml:space="preserve">tate </w:t>
      </w:r>
      <w:r>
        <w:t>p</w:t>
      </w:r>
      <w:r w:rsidRPr="00425ADC">
        <w:t xml:space="preserve">lan on </w:t>
      </w:r>
      <w:r>
        <w:t>a</w:t>
      </w:r>
      <w:r w:rsidRPr="00425ADC">
        <w:t xml:space="preserve">ging that includes assurances.  Therefore, the average number of state plans submitted per year is </w:t>
      </w:r>
      <w:r>
        <w:t>15</w:t>
      </w:r>
      <w:r w:rsidRPr="00425ADC">
        <w:t xml:space="preserve"> ((46 states/4-year state plan)</w:t>
      </w:r>
      <w:r>
        <w:t xml:space="preserve"> </w:t>
      </w:r>
      <w:r w:rsidRPr="00425ADC">
        <w:t>+(8 states/</w:t>
      </w:r>
      <w:r w:rsidRPr="00425ADC" w:rsidR="00DC1789">
        <w:t>3-year</w:t>
      </w:r>
      <w:r w:rsidRPr="00425ADC">
        <w:t xml:space="preserve"> state plan)</w:t>
      </w:r>
      <w:r>
        <w:t xml:space="preserve"> </w:t>
      </w:r>
      <w:r w:rsidRPr="00425ADC">
        <w:t xml:space="preserve">+(1 state /2 year state plan)).  We monetize the time spent by </w:t>
      </w:r>
      <w:r>
        <w:t>f</w:t>
      </w:r>
      <w:r w:rsidRPr="00425ADC">
        <w:t xml:space="preserve">ederal employees to review and approve </w:t>
      </w:r>
      <w:r>
        <w:t>s</w:t>
      </w:r>
      <w:r w:rsidRPr="00425ADC">
        <w:t xml:space="preserve">tate plans on </w:t>
      </w:r>
      <w:r>
        <w:t>a</w:t>
      </w:r>
      <w:r w:rsidRPr="00425ADC">
        <w:t xml:space="preserve">ging a total cost per </w:t>
      </w:r>
      <w:r>
        <w:t>s</w:t>
      </w:r>
      <w:r w:rsidRPr="00425ADC">
        <w:t xml:space="preserve">tate </w:t>
      </w:r>
      <w:r>
        <w:t>p</w:t>
      </w:r>
      <w:r w:rsidRPr="00425ADC">
        <w:t xml:space="preserve">lan on </w:t>
      </w:r>
      <w:r>
        <w:t>a</w:t>
      </w:r>
      <w:r w:rsidRPr="00425ADC">
        <w:t>ging of $5,637.30 annually. For fifty-five State plans, annualized submissions (</w:t>
      </w:r>
      <w:r>
        <w:t>15</w:t>
      </w:r>
      <w:r w:rsidRPr="00425ADC">
        <w:t xml:space="preserve">) on </w:t>
      </w:r>
      <w:r>
        <w:t>a</w:t>
      </w:r>
      <w:r w:rsidRPr="00425ADC">
        <w:t>ging</w:t>
      </w:r>
      <w:r>
        <w:t xml:space="preserve"> for</w:t>
      </w:r>
      <w:r w:rsidRPr="00425ADC">
        <w:t xml:space="preserve"> a total of $8</w:t>
      </w:r>
      <w:r>
        <w:t>4</w:t>
      </w:r>
      <w:r w:rsidRPr="00425ADC">
        <w:t>,</w:t>
      </w:r>
      <w:r>
        <w:t>559.50</w:t>
      </w:r>
      <w:r w:rsidRPr="00425ADC">
        <w:t>.</w:t>
      </w:r>
    </w:p>
    <w:bookmarkEnd w:id="21"/>
    <w:p w:rsidR="00425ADC" w:rsidP="00425ADC" w14:paraId="4503DBB8" w14:textId="77777777">
      <w:pPr>
        <w:tabs>
          <w:tab w:val="left" w:pos="360"/>
        </w:tabs>
        <w:ind w:hanging="360"/>
        <w:rPr>
          <w:u w:val="single"/>
        </w:rPr>
      </w:pPr>
    </w:p>
    <w:p w:rsidR="00425ADC" w:rsidRPr="00425ADC" w:rsidP="00425ADC" w14:paraId="03E5B819" w14:textId="02DC032D">
      <w:pPr>
        <w:tabs>
          <w:tab w:val="left" w:pos="360"/>
        </w:tabs>
        <w:ind w:hanging="360"/>
        <w:rPr>
          <w:b/>
          <w:bCs/>
          <w:u w:val="single"/>
        </w:rPr>
      </w:pPr>
      <w:r w:rsidRPr="00DC1789">
        <w:rPr>
          <w:b/>
          <w:bCs/>
        </w:rPr>
        <w:tab/>
      </w:r>
      <w:r w:rsidRPr="00425ADC">
        <w:rPr>
          <w:b/>
          <w:bCs/>
          <w:u w:val="single"/>
        </w:rPr>
        <w:t>Financial Forms</w:t>
      </w:r>
    </w:p>
    <w:p w:rsidR="00425ADC" w:rsidRPr="00425ADC" w:rsidP="00425ADC" w14:paraId="1ED458DF" w14:textId="65B40455">
      <w:pPr>
        <w:tabs>
          <w:tab w:val="left" w:pos="360"/>
        </w:tabs>
        <w:ind w:hanging="360"/>
      </w:pPr>
      <w:r>
        <w:tab/>
      </w:r>
      <w:r w:rsidRPr="00425ADC">
        <w:t>We anticipate for ACL to review and provide feedback to SUAs and route for approval the equivalent of (1) hours of staff time for one Federal GS-13 equivalent at a cost of $53.67 unadjusted hourly wage, $107.34 adjusted for non-wage benefits and indirect costs (1 x $107.34). We monetize the time spent by Federal employees to review and approve financial forms a total cost per financial form of $107.34. For five (5) forms for fifty-six (56) entities a total of $30,055.20.</w:t>
      </w:r>
    </w:p>
    <w:p w:rsidR="00425ADC" w:rsidRPr="00425ADC" w:rsidP="00425ADC" w14:paraId="536228EB" w14:textId="77777777">
      <w:pPr>
        <w:tabs>
          <w:tab w:val="left" w:pos="360"/>
        </w:tabs>
        <w:ind w:hanging="360"/>
      </w:pPr>
    </w:p>
    <w:p w:rsidR="00425ADC" w:rsidRPr="00425ADC" w:rsidP="00425ADC" w14:paraId="77C8AB44" w14:textId="4D72915D">
      <w:pPr>
        <w:tabs>
          <w:tab w:val="left" w:pos="360"/>
        </w:tabs>
        <w:ind w:hanging="360"/>
        <w:rPr>
          <w:b/>
          <w:bCs/>
          <w:u w:val="single"/>
        </w:rPr>
      </w:pPr>
      <w:r w:rsidRPr="00DC1789">
        <w:rPr>
          <w:b/>
          <w:bCs/>
        </w:rPr>
        <w:tab/>
      </w:r>
      <w:r w:rsidRPr="00425ADC">
        <w:rPr>
          <w:b/>
          <w:bCs/>
          <w:u w:val="single"/>
        </w:rPr>
        <w:t xml:space="preserve">Corrective Action Plan </w:t>
      </w:r>
    </w:p>
    <w:p w:rsidR="00775E0B" w:rsidP="00775E0B" w14:paraId="74F85CD6" w14:textId="77777777">
      <w:pPr>
        <w:tabs>
          <w:tab w:val="left" w:pos="360"/>
        </w:tabs>
        <w:ind w:hanging="360"/>
      </w:pPr>
      <w:r>
        <w:tab/>
      </w:r>
      <w:r w:rsidRPr="00425ADC">
        <w:t xml:space="preserve">We anticipate for ACL to review and provide feedback to SUAs and route for approval the equivalent of (10) hours of staff time for ten (10) </w:t>
      </w:r>
      <w:r>
        <w:t>f</w:t>
      </w:r>
      <w:r w:rsidRPr="00425ADC">
        <w:t xml:space="preserve">ederal GS-14 equivalent at a cost of $63.64 unadjusted hourly wage, $127.28 adjusted for non-wage benefits and indirect costs (10 x $127.28), (10) hours of staff time for (2) </w:t>
      </w:r>
      <w:r>
        <w:t>f</w:t>
      </w:r>
      <w:r w:rsidRPr="00425ADC">
        <w:t>ederal GS-15 equivalent at a cost of $74.60, $149.20 adjusted for non-wage benefits and indirect costs (10 x 149.20), and  (1) hours of staff time for one GS-13 equivalent at a cost of $53.85 per unadjusted hourly wage, $107.70 per hour adjusted for non-wage benefits and indirect costs (1 x $107.70). We monetize the time spent by</w:t>
      </w:r>
      <w:r>
        <w:t xml:space="preserve"> f</w:t>
      </w:r>
      <w:r w:rsidRPr="00425ADC">
        <w:t>ederal employees to review and approve CAPs at a total cost per CAP of $2,872.7. For seventy-five CAPs, annualized submissions (75) would equal a total of $215,452.5.</w:t>
      </w:r>
      <w:bookmarkStart w:id="22" w:name="_Hlk85731368"/>
      <w:bookmarkStart w:id="23" w:name="_Hlk134006432"/>
    </w:p>
    <w:p w:rsidR="00775E0B" w:rsidP="00775E0B" w14:paraId="3257D871" w14:textId="77777777">
      <w:pPr>
        <w:tabs>
          <w:tab w:val="left" w:pos="360"/>
        </w:tabs>
        <w:ind w:hanging="360"/>
      </w:pPr>
    </w:p>
    <w:p w:rsidR="00A44BB4" w:rsidRPr="00A44BB4" w:rsidP="00775E0B" w14:paraId="0AF3A92A" w14:textId="07ABC3CB">
      <w:pPr>
        <w:tabs>
          <w:tab w:val="left" w:pos="360"/>
        </w:tabs>
        <w:ind w:hanging="360"/>
      </w:pPr>
      <w:r>
        <w:rPr>
          <w:b/>
          <w:bCs/>
        </w:rPr>
        <w:t>15.</w:t>
      </w:r>
      <w:r>
        <w:rPr>
          <w:b/>
          <w:bCs/>
        </w:rPr>
        <w:tab/>
      </w:r>
      <w:r w:rsidRPr="00A44BB4">
        <w:rPr>
          <w:b/>
          <w:u w:val="single"/>
        </w:rPr>
        <w:t>Explanation for Program Changes or Adjustments</w:t>
      </w:r>
      <w:bookmarkEnd w:id="22"/>
    </w:p>
    <w:bookmarkEnd w:id="23"/>
    <w:p w:rsidR="00775E0B" w:rsidP="00775E0B" w14:paraId="4A44AB19" w14:textId="77777777">
      <w:pPr>
        <w:tabs>
          <w:tab w:val="left" w:pos="360"/>
        </w:tabs>
        <w:ind w:hanging="360"/>
        <w:rPr>
          <w:bCs/>
        </w:rPr>
      </w:pPr>
      <w:r>
        <w:rPr>
          <w:b/>
        </w:rPr>
        <w:tab/>
      </w:r>
      <w:r>
        <w:rPr>
          <w:bCs/>
        </w:rPr>
        <w:t xml:space="preserve">This is a new information collection request. </w:t>
      </w:r>
      <w:bookmarkStart w:id="24" w:name="_Hlk85731591"/>
    </w:p>
    <w:p w:rsidR="00775E0B" w:rsidP="00775E0B" w14:paraId="1D589172" w14:textId="77777777">
      <w:pPr>
        <w:tabs>
          <w:tab w:val="left" w:pos="360"/>
        </w:tabs>
        <w:ind w:hanging="360"/>
        <w:rPr>
          <w:bCs/>
        </w:rPr>
      </w:pPr>
    </w:p>
    <w:p w:rsidR="00A44BB4" w:rsidRPr="00A44BB4" w:rsidP="00775E0B" w14:paraId="6536A083" w14:textId="33545550">
      <w:pPr>
        <w:tabs>
          <w:tab w:val="left" w:pos="360"/>
        </w:tabs>
        <w:ind w:hanging="360"/>
        <w:rPr>
          <w:bCs/>
        </w:rPr>
      </w:pPr>
      <w:r>
        <w:rPr>
          <w:b/>
        </w:rPr>
        <w:t>16.</w:t>
      </w:r>
      <w:r>
        <w:rPr>
          <w:b/>
        </w:rPr>
        <w:tab/>
      </w:r>
      <w:r w:rsidRPr="00A44BB4">
        <w:rPr>
          <w:b/>
          <w:u w:val="single"/>
        </w:rPr>
        <w:t>Plans for Tabulation and Publication and Project Time Schedule</w:t>
      </w:r>
    </w:p>
    <w:bookmarkEnd w:id="24"/>
    <w:p w:rsidR="00775E0B" w:rsidRPr="00775E0B" w:rsidP="00775E0B" w14:paraId="395C9F1D" w14:textId="54D8AE4E">
      <w:pPr>
        <w:tabs>
          <w:tab w:val="left" w:pos="360"/>
        </w:tabs>
      </w:pPr>
      <w:r>
        <w:rPr>
          <w:rStyle w:val="a"/>
        </w:rPr>
        <w:t xml:space="preserve">Information is reviewed and used in monitoring for grant program compliance. </w:t>
      </w:r>
      <w:r w:rsidRPr="00775E0B">
        <w:t xml:space="preserve">ACL is committed to compliance with the Government Data Act (Title II of the Foundations for Evidence-Based Policymaking Act of 2018, P.L. 115-435). This law requires Federal agencies to publish all public government data assets online as open data, using standardized, machine-readable data formats. </w:t>
      </w:r>
    </w:p>
    <w:p w:rsidR="00CD090B" w:rsidP="00CD090B" w14:paraId="0450096E" w14:textId="77777777">
      <w:pPr>
        <w:tabs>
          <w:tab w:val="left" w:pos="360"/>
        </w:tabs>
        <w:rPr>
          <w:bCs/>
        </w:rPr>
      </w:pPr>
      <w:r w:rsidRPr="00775E0B">
        <w:rPr>
          <w:bCs/>
        </w:rPr>
        <w:t xml:space="preserve">Because states receive formula grants every year, there is no end date for the reporting requirements.  States will remain on a set reporting cycle, with the period beginning October 1 and ending September 30 each year.  Approved </w:t>
      </w:r>
      <w:r>
        <w:rPr>
          <w:bCs/>
        </w:rPr>
        <w:t>s</w:t>
      </w:r>
      <w:r w:rsidRPr="00775E0B">
        <w:rPr>
          <w:bCs/>
        </w:rPr>
        <w:t xml:space="preserve">tate </w:t>
      </w:r>
      <w:r>
        <w:rPr>
          <w:bCs/>
        </w:rPr>
        <w:t>p</w:t>
      </w:r>
      <w:r w:rsidRPr="00775E0B">
        <w:rPr>
          <w:bCs/>
        </w:rPr>
        <w:t>lans will be submitted electronically and posted on</w:t>
      </w:r>
      <w:r>
        <w:rPr>
          <w:bCs/>
        </w:rPr>
        <w:t xml:space="preserve"> SUA </w:t>
      </w:r>
      <w:r w:rsidRPr="00775E0B">
        <w:rPr>
          <w:bCs/>
        </w:rPr>
        <w:t>website</w:t>
      </w:r>
      <w:r>
        <w:rPr>
          <w:bCs/>
        </w:rPr>
        <w:t>s</w:t>
      </w:r>
      <w:r w:rsidRPr="00775E0B">
        <w:rPr>
          <w:bCs/>
        </w:rPr>
        <w:t>.  No complex analytical techniques will be used.</w:t>
      </w:r>
      <w:bookmarkStart w:id="25" w:name="_Hlk159850862"/>
      <w:bookmarkStart w:id="26" w:name="_Hlk85731696"/>
    </w:p>
    <w:p w:rsidR="00CD090B" w:rsidP="00CD090B" w14:paraId="54704FDE" w14:textId="77777777">
      <w:pPr>
        <w:tabs>
          <w:tab w:val="left" w:pos="360"/>
        </w:tabs>
        <w:rPr>
          <w:rStyle w:val="a"/>
        </w:rPr>
      </w:pPr>
    </w:p>
    <w:p w:rsidR="00A44BB4" w:rsidRPr="00A44BB4" w:rsidP="00CD090B" w14:paraId="1687546F" w14:textId="73B4EA5C">
      <w:pPr>
        <w:tabs>
          <w:tab w:val="left" w:pos="0"/>
        </w:tabs>
        <w:ind w:left="-360"/>
      </w:pPr>
      <w:r>
        <w:rPr>
          <w:rStyle w:val="a"/>
          <w:b/>
          <w:bCs/>
        </w:rPr>
        <w:t>17.</w:t>
      </w:r>
      <w:r>
        <w:rPr>
          <w:rStyle w:val="a"/>
          <w:b/>
          <w:bCs/>
        </w:rPr>
        <w:tab/>
      </w:r>
      <w:r w:rsidRPr="00A44BB4">
        <w:rPr>
          <w:b/>
          <w:u w:val="single"/>
        </w:rPr>
        <w:t>Reason(s) Display of OMB Expiration Date is Inappropriate</w:t>
      </w:r>
    </w:p>
    <w:bookmarkEnd w:id="25"/>
    <w:p w:rsidR="00CD090B" w:rsidP="00CD090B" w14:paraId="4FD5A571" w14:textId="77777777">
      <w:pPr>
        <w:rPr>
          <w:bCs/>
        </w:rPr>
      </w:pPr>
      <w:r w:rsidRPr="00CD090B">
        <w:rPr>
          <w:bCs/>
        </w:rPr>
        <w:t>ACL will display the OMB number</w:t>
      </w:r>
      <w:r>
        <w:rPr>
          <w:bCs/>
        </w:rPr>
        <w:t xml:space="preserve">, expiration </w:t>
      </w:r>
      <w:r w:rsidRPr="00CD090B">
        <w:rPr>
          <w:bCs/>
        </w:rPr>
        <w:t xml:space="preserve">date </w:t>
      </w:r>
      <w:r>
        <w:rPr>
          <w:bCs/>
        </w:rPr>
        <w:t xml:space="preserve">and paperwork reduction act public burden disclosures </w:t>
      </w:r>
      <w:r w:rsidRPr="00CD090B">
        <w:rPr>
          <w:bCs/>
        </w:rPr>
        <w:t xml:space="preserve">on </w:t>
      </w:r>
      <w:r>
        <w:rPr>
          <w:bCs/>
        </w:rPr>
        <w:t>each collection activity form and instructions</w:t>
      </w:r>
      <w:r w:rsidRPr="00CD090B">
        <w:rPr>
          <w:bCs/>
        </w:rPr>
        <w:t>.</w:t>
      </w:r>
      <w:bookmarkStart w:id="27" w:name="_Hlk85731783"/>
      <w:bookmarkEnd w:id="26"/>
    </w:p>
    <w:p w:rsidR="00CD090B" w:rsidP="00CD090B" w14:paraId="6612080F" w14:textId="77777777">
      <w:pPr>
        <w:rPr>
          <w:bCs/>
        </w:rPr>
      </w:pPr>
    </w:p>
    <w:p w:rsidR="00A44BB4" w:rsidRPr="00A44BB4" w:rsidP="00CD090B" w14:paraId="58D9C2F0" w14:textId="2A6A0060">
      <w:pPr>
        <w:tabs>
          <w:tab w:val="left" w:pos="90"/>
        </w:tabs>
        <w:ind w:left="-270"/>
        <w:rPr>
          <w:bCs/>
        </w:rPr>
      </w:pPr>
      <w:r>
        <w:rPr>
          <w:b/>
        </w:rPr>
        <w:t>18.</w:t>
      </w:r>
      <w:r>
        <w:rPr>
          <w:b/>
        </w:rPr>
        <w:tab/>
      </w:r>
      <w:r w:rsidRPr="00A44BB4">
        <w:rPr>
          <w:b/>
          <w:u w:val="single"/>
        </w:rPr>
        <w:t>Exceptions to Certification for Paperwork Reduction Act Submissions</w:t>
      </w:r>
    </w:p>
    <w:bookmarkEnd w:id="27"/>
    <w:p w:rsidR="00386054" w:rsidP="00CD090B" w14:paraId="7C3FDFB1" w14:textId="7AB6A71B">
      <w:pPr>
        <w:tabs>
          <w:tab w:val="left" w:pos="360"/>
        </w:tabs>
        <w:rPr>
          <w:rStyle w:val="a"/>
        </w:rPr>
      </w:pPr>
      <w:r w:rsidRPr="00DE2574">
        <w:rPr>
          <w:rStyle w:val="a"/>
        </w:rPr>
        <w:t>These activities comply</w:t>
      </w:r>
      <w:r w:rsidRPr="008B45E9">
        <w:rPr>
          <w:rStyle w:val="a"/>
        </w:rPr>
        <w:t xml:space="preserve"> with the requirements in 5 CFR 1320.9</w:t>
      </w:r>
      <w:r w:rsidR="00326105">
        <w:rPr>
          <w:rStyle w:val="a"/>
        </w:rPr>
        <w:t>, and ACL is not seeking an exception</w:t>
      </w:r>
      <w:r w:rsidRPr="008B45E9">
        <w:rPr>
          <w:rStyle w:val="a"/>
        </w:rPr>
        <w:t>.</w:t>
      </w:r>
    </w:p>
    <w:sectPr w:rsidSect="00A44BB4">
      <w:headerReference w:type="default" r:id="rId11"/>
      <w:footerReference w:type="default" r:id="rId12"/>
      <w:endnotePr>
        <w:numFmt w:val="decimal"/>
      </w:endnotePr>
      <w:type w:val="continuous"/>
      <w:pgSz w:w="12240" w:h="15840" w:code="1"/>
      <w:pgMar w:top="1440" w:right="1440" w:bottom="1440" w:left="117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65620" w14:paraId="719D628E" w14:textId="77777777">
      <w:pPr>
        <w:spacing w:line="20" w:lineRule="exact"/>
      </w:pPr>
    </w:p>
  </w:endnote>
  <w:endnote w:type="continuationSeparator" w:id="1">
    <w:p w:rsidR="00A65620" w14:paraId="0F4BC89F" w14:textId="77777777">
      <w:r>
        <w:t xml:space="preserve"> </w:t>
      </w:r>
    </w:p>
  </w:endnote>
  <w:endnote w:type="continuationNotice" w:id="2">
    <w:p w:rsidR="00A65620" w14:paraId="10F1A44F"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3C7E" w14:paraId="45F796C1"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103C7E" w:rsidP="00431228" w14:textId="77777777">
                          <w:pPr>
                            <w:tabs>
                              <w:tab w:val="center" w:pos="4650"/>
                            </w:tabs>
                            <w:suppressAutoHyphens/>
                            <w:jc w:val="center"/>
                          </w:pPr>
                          <w:r>
                            <w:fldChar w:fldCharType="begin"/>
                          </w:r>
                          <w:r>
                            <w:instrText>page \* arabic</w:instrText>
                          </w:r>
                          <w:r>
                            <w:fldChar w:fldCharType="separate"/>
                          </w:r>
                          <w:r w:rsidR="00774E3B">
                            <w:rPr>
                              <w:noProof/>
                            </w:rPr>
                            <w:t>1</w:t>
                          </w:r>
                          <w:r>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103C7E" w:rsidP="00431228" w14:paraId="5C32F43C" w14:textId="77777777">
                    <w:pPr>
                      <w:tabs>
                        <w:tab w:val="center" w:pos="4650"/>
                      </w:tabs>
                      <w:suppressAutoHyphens/>
                      <w:jc w:val="center"/>
                    </w:pPr>
                    <w:r>
                      <w:fldChar w:fldCharType="begin"/>
                    </w:r>
                    <w:r>
                      <w:instrText>page \* arabic</w:instrText>
                    </w:r>
                    <w:r>
                      <w:fldChar w:fldCharType="separate"/>
                    </w:r>
                    <w:r w:rsidR="00774E3B">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65620" w14:paraId="4AE6943B" w14:textId="77777777">
      <w:r>
        <w:separator/>
      </w:r>
    </w:p>
  </w:footnote>
  <w:footnote w:type="continuationSeparator" w:id="1">
    <w:p w:rsidR="00A65620" w14:paraId="22221DD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3C7E" w:rsidP="003E539A" w14:paraId="784C4DA4" w14:textId="0D869ABE">
    <w:pPr>
      <w:spacing w:after="0"/>
    </w:pPr>
    <w:r>
      <w:t>[</w:t>
    </w:r>
    <w:r w:rsidR="000C6C94">
      <w:t xml:space="preserve">OMB Control Number </w:t>
    </w:r>
    <w:r w:rsidR="00981A04">
      <w:t>0985-New</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84"/>
        </w:tabs>
        <w:ind w:left="784" w:hanging="360"/>
      </w:pPr>
      <w:rPr>
        <w:rFonts w:ascii="Wingdings" w:hAnsi="Wingdings" w:hint="default"/>
      </w:rPr>
    </w:lvl>
    <w:lvl w:ilvl="1" w:tentative="1">
      <w:start w:val="1"/>
      <w:numFmt w:val="bullet"/>
      <w:lvlText w:val="o"/>
      <w:lvlJc w:val="left"/>
      <w:pPr>
        <w:tabs>
          <w:tab w:val="num" w:pos="1504"/>
        </w:tabs>
        <w:ind w:left="1504" w:hanging="360"/>
      </w:pPr>
      <w:rPr>
        <w:rFonts w:ascii="Courier New" w:hAnsi="Courier New" w:hint="default"/>
      </w:rPr>
    </w:lvl>
    <w:lvl w:ilvl="2" w:tentative="1">
      <w:start w:val="1"/>
      <w:numFmt w:val="bullet"/>
      <w:lvlText w:val=""/>
      <w:lvlJc w:val="left"/>
      <w:pPr>
        <w:tabs>
          <w:tab w:val="num" w:pos="2224"/>
        </w:tabs>
        <w:ind w:left="2224" w:hanging="360"/>
      </w:pPr>
      <w:rPr>
        <w:rFonts w:ascii="Wingdings" w:hAnsi="Wingdings" w:hint="default"/>
      </w:rPr>
    </w:lvl>
    <w:lvl w:ilvl="3" w:tentative="1">
      <w:start w:val="1"/>
      <w:numFmt w:val="bullet"/>
      <w:lvlText w:val=""/>
      <w:lvlJc w:val="left"/>
      <w:pPr>
        <w:tabs>
          <w:tab w:val="num" w:pos="2944"/>
        </w:tabs>
        <w:ind w:left="2944" w:hanging="360"/>
      </w:pPr>
      <w:rPr>
        <w:rFonts w:ascii="Symbol" w:hAnsi="Symbol" w:hint="default"/>
      </w:rPr>
    </w:lvl>
    <w:lvl w:ilvl="4" w:tentative="1">
      <w:start w:val="1"/>
      <w:numFmt w:val="bullet"/>
      <w:lvlText w:val="o"/>
      <w:lvlJc w:val="left"/>
      <w:pPr>
        <w:tabs>
          <w:tab w:val="num" w:pos="3664"/>
        </w:tabs>
        <w:ind w:left="3664" w:hanging="360"/>
      </w:pPr>
      <w:rPr>
        <w:rFonts w:ascii="Courier New" w:hAnsi="Courier New" w:hint="default"/>
      </w:rPr>
    </w:lvl>
    <w:lvl w:ilvl="5" w:tentative="1">
      <w:start w:val="1"/>
      <w:numFmt w:val="bullet"/>
      <w:lvlText w:val=""/>
      <w:lvlJc w:val="left"/>
      <w:pPr>
        <w:tabs>
          <w:tab w:val="num" w:pos="4384"/>
        </w:tabs>
        <w:ind w:left="4384" w:hanging="360"/>
      </w:pPr>
      <w:rPr>
        <w:rFonts w:ascii="Wingdings" w:hAnsi="Wingdings" w:hint="default"/>
      </w:rPr>
    </w:lvl>
    <w:lvl w:ilvl="6" w:tentative="1">
      <w:start w:val="1"/>
      <w:numFmt w:val="bullet"/>
      <w:lvlText w:val=""/>
      <w:lvlJc w:val="left"/>
      <w:pPr>
        <w:tabs>
          <w:tab w:val="num" w:pos="5104"/>
        </w:tabs>
        <w:ind w:left="5104" w:hanging="360"/>
      </w:pPr>
      <w:rPr>
        <w:rFonts w:ascii="Symbol" w:hAnsi="Symbol" w:hint="default"/>
      </w:rPr>
    </w:lvl>
    <w:lvl w:ilvl="7" w:tentative="1">
      <w:start w:val="1"/>
      <w:numFmt w:val="bullet"/>
      <w:lvlText w:val="o"/>
      <w:lvlJc w:val="left"/>
      <w:pPr>
        <w:tabs>
          <w:tab w:val="num" w:pos="5824"/>
        </w:tabs>
        <w:ind w:left="5824" w:hanging="360"/>
      </w:pPr>
      <w:rPr>
        <w:rFonts w:ascii="Courier New" w:hAnsi="Courier New" w:hint="default"/>
      </w:rPr>
    </w:lvl>
    <w:lvl w:ilvl="8"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BFF6653"/>
    <w:multiLevelType w:val="hybridMultilevel"/>
    <w:tmpl w:val="A238C5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2160D7F"/>
    <w:multiLevelType w:val="hybridMultilevel"/>
    <w:tmpl w:val="FA68F27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7BF21ED"/>
    <w:multiLevelType w:val="hybridMultilevel"/>
    <w:tmpl w:val="51C2185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20DE1688"/>
    <w:multiLevelType w:val="hybridMultilevel"/>
    <w:tmpl w:val="3C4A611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2944632"/>
    <w:multiLevelType w:val="hybridMultilevel"/>
    <w:tmpl w:val="6608DA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2EC31D8C"/>
    <w:multiLevelType w:val="hybridMultilevel"/>
    <w:tmpl w:val="82B4BE3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75D324B"/>
    <w:multiLevelType w:val="hybridMultilevel"/>
    <w:tmpl w:val="4E8A889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D7D2F63"/>
    <w:multiLevelType w:val="hybridMultilevel"/>
    <w:tmpl w:val="D12865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4">
    <w:nsid w:val="45AB7DD5"/>
    <w:multiLevelType w:val="hybridMultilevel"/>
    <w:tmpl w:val="3B2436F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45C300D9"/>
    <w:multiLevelType w:val="hybridMultilevel"/>
    <w:tmpl w:val="7226B42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48936A4B"/>
    <w:multiLevelType w:val="hybridMultilevel"/>
    <w:tmpl w:val="00F89E1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49AA475D"/>
    <w:multiLevelType w:val="hybridMultilevel"/>
    <w:tmpl w:val="F1E4725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49E63732"/>
    <w:multiLevelType w:val="hybridMultilevel"/>
    <w:tmpl w:val="5CB28D20"/>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9">
    <w:nsid w:val="4A1D7109"/>
    <w:multiLevelType w:val="hybridMultilevel"/>
    <w:tmpl w:val="22162BC6"/>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21">
    <w:nsid w:val="4FB4753C"/>
    <w:multiLevelType w:val="hybridMultilevel"/>
    <w:tmpl w:val="945C17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3">
    <w:nsid w:val="59973AA0"/>
    <w:multiLevelType w:val="hybridMultilevel"/>
    <w:tmpl w:val="7C7E6C5C"/>
    <w:lvl w:ilvl="0">
      <w:start w:val="1"/>
      <w:numFmt w:val="bullet"/>
      <w:lvlText w:val=""/>
      <w:lvlJc w:val="left"/>
      <w:pPr>
        <w:tabs>
          <w:tab w:val="num" w:pos="784"/>
        </w:tabs>
        <w:ind w:left="784" w:hanging="360"/>
      </w:pPr>
      <w:rPr>
        <w:rFonts w:ascii="Symbol" w:hAnsi="Symbol" w:hint="default"/>
      </w:rPr>
    </w:lvl>
    <w:lvl w:ilvl="1" w:tentative="1">
      <w:start w:val="1"/>
      <w:numFmt w:val="bullet"/>
      <w:lvlText w:val="o"/>
      <w:lvlJc w:val="left"/>
      <w:pPr>
        <w:tabs>
          <w:tab w:val="num" w:pos="1504"/>
        </w:tabs>
        <w:ind w:left="1504" w:hanging="360"/>
      </w:pPr>
      <w:rPr>
        <w:rFonts w:ascii="Courier New" w:hAnsi="Courier New" w:hint="default"/>
      </w:rPr>
    </w:lvl>
    <w:lvl w:ilvl="2" w:tentative="1">
      <w:start w:val="1"/>
      <w:numFmt w:val="bullet"/>
      <w:lvlText w:val=""/>
      <w:lvlJc w:val="left"/>
      <w:pPr>
        <w:tabs>
          <w:tab w:val="num" w:pos="2224"/>
        </w:tabs>
        <w:ind w:left="2224" w:hanging="360"/>
      </w:pPr>
      <w:rPr>
        <w:rFonts w:ascii="Wingdings" w:hAnsi="Wingdings" w:hint="default"/>
      </w:rPr>
    </w:lvl>
    <w:lvl w:ilvl="3" w:tentative="1">
      <w:start w:val="1"/>
      <w:numFmt w:val="bullet"/>
      <w:lvlText w:val=""/>
      <w:lvlJc w:val="left"/>
      <w:pPr>
        <w:tabs>
          <w:tab w:val="num" w:pos="2944"/>
        </w:tabs>
        <w:ind w:left="2944" w:hanging="360"/>
      </w:pPr>
      <w:rPr>
        <w:rFonts w:ascii="Symbol" w:hAnsi="Symbol" w:hint="default"/>
      </w:rPr>
    </w:lvl>
    <w:lvl w:ilvl="4" w:tentative="1">
      <w:start w:val="1"/>
      <w:numFmt w:val="bullet"/>
      <w:lvlText w:val="o"/>
      <w:lvlJc w:val="left"/>
      <w:pPr>
        <w:tabs>
          <w:tab w:val="num" w:pos="3664"/>
        </w:tabs>
        <w:ind w:left="3664" w:hanging="360"/>
      </w:pPr>
      <w:rPr>
        <w:rFonts w:ascii="Courier New" w:hAnsi="Courier New" w:hint="default"/>
      </w:rPr>
    </w:lvl>
    <w:lvl w:ilvl="5" w:tentative="1">
      <w:start w:val="1"/>
      <w:numFmt w:val="bullet"/>
      <w:lvlText w:val=""/>
      <w:lvlJc w:val="left"/>
      <w:pPr>
        <w:tabs>
          <w:tab w:val="num" w:pos="4384"/>
        </w:tabs>
        <w:ind w:left="4384" w:hanging="360"/>
      </w:pPr>
      <w:rPr>
        <w:rFonts w:ascii="Wingdings" w:hAnsi="Wingdings" w:hint="default"/>
      </w:rPr>
    </w:lvl>
    <w:lvl w:ilvl="6" w:tentative="1">
      <w:start w:val="1"/>
      <w:numFmt w:val="bullet"/>
      <w:lvlText w:val=""/>
      <w:lvlJc w:val="left"/>
      <w:pPr>
        <w:tabs>
          <w:tab w:val="num" w:pos="5104"/>
        </w:tabs>
        <w:ind w:left="5104" w:hanging="360"/>
      </w:pPr>
      <w:rPr>
        <w:rFonts w:ascii="Symbol" w:hAnsi="Symbol" w:hint="default"/>
      </w:rPr>
    </w:lvl>
    <w:lvl w:ilvl="7" w:tentative="1">
      <w:start w:val="1"/>
      <w:numFmt w:val="bullet"/>
      <w:lvlText w:val="o"/>
      <w:lvlJc w:val="left"/>
      <w:pPr>
        <w:tabs>
          <w:tab w:val="num" w:pos="5824"/>
        </w:tabs>
        <w:ind w:left="5824" w:hanging="360"/>
      </w:pPr>
      <w:rPr>
        <w:rFonts w:ascii="Courier New" w:hAnsi="Courier New" w:hint="default"/>
      </w:rPr>
    </w:lvl>
    <w:lvl w:ilvl="8" w:tentative="1">
      <w:start w:val="1"/>
      <w:numFmt w:val="bullet"/>
      <w:lvlText w:val=""/>
      <w:lvlJc w:val="left"/>
      <w:pPr>
        <w:tabs>
          <w:tab w:val="num" w:pos="6544"/>
        </w:tabs>
        <w:ind w:left="6544" w:hanging="360"/>
      </w:pPr>
      <w:rPr>
        <w:rFonts w:ascii="Wingdings" w:hAnsi="Wingdings" w:hint="default"/>
      </w:rPr>
    </w:lvl>
  </w:abstractNum>
  <w:abstractNum w:abstractNumId="24">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5">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
    <w:nsid w:val="78837BD4"/>
    <w:multiLevelType w:val="hybridMultilevel"/>
    <w:tmpl w:val="73AABA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93962CC"/>
    <w:multiLevelType w:val="hybridMultilevel"/>
    <w:tmpl w:val="724C51F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F1A5D4B"/>
    <w:multiLevelType w:val="hybridMultilevel"/>
    <w:tmpl w:val="9DFC4DDE"/>
    <w:lvl w:ilvl="0">
      <w:start w:val="1"/>
      <w:numFmt w:val="bullet"/>
      <w:lvlText w:val=""/>
      <w:lvlJc w:val="left"/>
      <w:pPr>
        <w:tabs>
          <w:tab w:val="num" w:pos="1080"/>
        </w:tabs>
        <w:ind w:left="1080" w:hanging="360"/>
      </w:pPr>
      <w:rPr>
        <w:rFonts w:ascii="Bookshelf Symbol 7" w:hAnsi="Bookshelf Symbol 7"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1738166995">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1658462160">
    <w:abstractNumId w:val="13"/>
  </w:num>
  <w:num w:numId="3" w16cid:durableId="752245196">
    <w:abstractNumId w:val="9"/>
  </w:num>
  <w:num w:numId="4" w16cid:durableId="1120807650">
    <w:abstractNumId w:val="24"/>
  </w:num>
  <w:num w:numId="5" w16cid:durableId="1350788674">
    <w:abstractNumId w:val="1"/>
  </w:num>
  <w:num w:numId="6" w16cid:durableId="460684764">
    <w:abstractNumId w:val="2"/>
  </w:num>
  <w:num w:numId="7" w16cid:durableId="1792703458">
    <w:abstractNumId w:val="20"/>
  </w:num>
  <w:num w:numId="8" w16cid:durableId="980505330">
    <w:abstractNumId w:val="18"/>
  </w:num>
  <w:num w:numId="9" w16cid:durableId="868496510">
    <w:abstractNumId w:val="22"/>
  </w:num>
  <w:num w:numId="10" w16cid:durableId="1460144357">
    <w:abstractNumId w:val="25"/>
  </w:num>
  <w:num w:numId="11" w16cid:durableId="1867207783">
    <w:abstractNumId w:val="12"/>
  </w:num>
  <w:num w:numId="12" w16cid:durableId="1205099157">
    <w:abstractNumId w:val="5"/>
  </w:num>
  <w:num w:numId="13" w16cid:durableId="876744874">
    <w:abstractNumId w:val="16"/>
  </w:num>
  <w:num w:numId="14" w16cid:durableId="44568721">
    <w:abstractNumId w:val="15"/>
  </w:num>
  <w:num w:numId="15" w16cid:durableId="1922367654">
    <w:abstractNumId w:val="3"/>
  </w:num>
  <w:num w:numId="16" w16cid:durableId="938950387">
    <w:abstractNumId w:val="28"/>
  </w:num>
  <w:num w:numId="17" w16cid:durableId="1973513876">
    <w:abstractNumId w:val="17"/>
  </w:num>
  <w:num w:numId="18" w16cid:durableId="443158000">
    <w:abstractNumId w:val="8"/>
  </w:num>
  <w:num w:numId="19" w16cid:durableId="261693097">
    <w:abstractNumId w:val="23"/>
  </w:num>
  <w:num w:numId="20" w16cid:durableId="1197505529">
    <w:abstractNumId w:val="27"/>
  </w:num>
  <w:num w:numId="21" w16cid:durableId="369494931">
    <w:abstractNumId w:val="7"/>
  </w:num>
  <w:num w:numId="22" w16cid:durableId="1183545846">
    <w:abstractNumId w:val="10"/>
  </w:num>
  <w:num w:numId="23" w16cid:durableId="1477836844">
    <w:abstractNumId w:val="26"/>
  </w:num>
  <w:num w:numId="24" w16cid:durableId="496772488">
    <w:abstractNumId w:val="6"/>
  </w:num>
  <w:num w:numId="25" w16cid:durableId="402917450">
    <w:abstractNumId w:val="11"/>
  </w:num>
  <w:num w:numId="26" w16cid:durableId="1759015418">
    <w:abstractNumId w:val="21"/>
  </w:num>
  <w:num w:numId="27" w16cid:durableId="1468547069">
    <w:abstractNumId w:val="4"/>
  </w:num>
  <w:num w:numId="28" w16cid:durableId="310646883">
    <w:abstractNumId w:val="14"/>
  </w:num>
  <w:num w:numId="29" w16cid:durableId="7742472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8" w:allStyles="0" w:alternateStyleNames="0" w:clearFormatting="1" w:customStyles="0" w:directFormattingOnNumbering="1" w:directFormattingOnParagraphs="1" w:directFormattingOnRuns="1" w:directFormattingOnTables="1" w:headingStyles="0" w:latentStyles="0" w:numberingStyles="0" w:stylesInUse="1" w:tableStyles="0" w:top3HeadingStyles="1" w:visibleStyles="0"/>
  <w:stylePaneSortMethod w:val="name"/>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79A6"/>
    <w:rsid w:val="000144E9"/>
    <w:rsid w:val="00015921"/>
    <w:rsid w:val="00016E14"/>
    <w:rsid w:val="000179C1"/>
    <w:rsid w:val="00044836"/>
    <w:rsid w:val="000462DC"/>
    <w:rsid w:val="00050CBE"/>
    <w:rsid w:val="000517D0"/>
    <w:rsid w:val="00051DB2"/>
    <w:rsid w:val="000627DB"/>
    <w:rsid w:val="00062914"/>
    <w:rsid w:val="00063501"/>
    <w:rsid w:val="00063C8A"/>
    <w:rsid w:val="00064C3C"/>
    <w:rsid w:val="000663F7"/>
    <w:rsid w:val="00066D40"/>
    <w:rsid w:val="000677B0"/>
    <w:rsid w:val="00067A49"/>
    <w:rsid w:val="000704A4"/>
    <w:rsid w:val="000734C4"/>
    <w:rsid w:val="00074754"/>
    <w:rsid w:val="00075CF2"/>
    <w:rsid w:val="00080150"/>
    <w:rsid w:val="00082F16"/>
    <w:rsid w:val="0008682C"/>
    <w:rsid w:val="000909E0"/>
    <w:rsid w:val="0009469A"/>
    <w:rsid w:val="000A2965"/>
    <w:rsid w:val="000B14D8"/>
    <w:rsid w:val="000B5EDB"/>
    <w:rsid w:val="000C36D9"/>
    <w:rsid w:val="000C3F8C"/>
    <w:rsid w:val="000C6C94"/>
    <w:rsid w:val="000E0FA7"/>
    <w:rsid w:val="000E592D"/>
    <w:rsid w:val="000E5B51"/>
    <w:rsid w:val="000F1359"/>
    <w:rsid w:val="000F175B"/>
    <w:rsid w:val="00103C7E"/>
    <w:rsid w:val="00111116"/>
    <w:rsid w:val="00121959"/>
    <w:rsid w:val="001253AB"/>
    <w:rsid w:val="001325EF"/>
    <w:rsid w:val="0013422A"/>
    <w:rsid w:val="00136616"/>
    <w:rsid w:val="00142389"/>
    <w:rsid w:val="0014500F"/>
    <w:rsid w:val="001515EE"/>
    <w:rsid w:val="00153F20"/>
    <w:rsid w:val="001652B6"/>
    <w:rsid w:val="001743A5"/>
    <w:rsid w:val="0018279C"/>
    <w:rsid w:val="001A0EFC"/>
    <w:rsid w:val="001B2726"/>
    <w:rsid w:val="001C6CD8"/>
    <w:rsid w:val="001D61C4"/>
    <w:rsid w:val="001E5F80"/>
    <w:rsid w:val="001E61AD"/>
    <w:rsid w:val="00202685"/>
    <w:rsid w:val="00203AF5"/>
    <w:rsid w:val="002317C8"/>
    <w:rsid w:val="002364BA"/>
    <w:rsid w:val="00237337"/>
    <w:rsid w:val="00237C58"/>
    <w:rsid w:val="00246775"/>
    <w:rsid w:val="002473CE"/>
    <w:rsid w:val="00251381"/>
    <w:rsid w:val="00252456"/>
    <w:rsid w:val="00255374"/>
    <w:rsid w:val="00264845"/>
    <w:rsid w:val="00273A84"/>
    <w:rsid w:val="002748D6"/>
    <w:rsid w:val="00283781"/>
    <w:rsid w:val="00290C53"/>
    <w:rsid w:val="002918BA"/>
    <w:rsid w:val="00294881"/>
    <w:rsid w:val="00294A9A"/>
    <w:rsid w:val="0029516E"/>
    <w:rsid w:val="00296554"/>
    <w:rsid w:val="002A14F9"/>
    <w:rsid w:val="002B0412"/>
    <w:rsid w:val="002B0A95"/>
    <w:rsid w:val="002B2F4C"/>
    <w:rsid w:val="002B6F72"/>
    <w:rsid w:val="002C09F4"/>
    <w:rsid w:val="002C0EAA"/>
    <w:rsid w:val="002C2C29"/>
    <w:rsid w:val="002D1789"/>
    <w:rsid w:val="002D5B5C"/>
    <w:rsid w:val="002E0B32"/>
    <w:rsid w:val="002E746C"/>
    <w:rsid w:val="002F311C"/>
    <w:rsid w:val="0030055C"/>
    <w:rsid w:val="00301419"/>
    <w:rsid w:val="00302574"/>
    <w:rsid w:val="00322E02"/>
    <w:rsid w:val="00326105"/>
    <w:rsid w:val="003530AB"/>
    <w:rsid w:val="00353B0A"/>
    <w:rsid w:val="0035777B"/>
    <w:rsid w:val="00384EB2"/>
    <w:rsid w:val="00386054"/>
    <w:rsid w:val="003915E8"/>
    <w:rsid w:val="00391DC0"/>
    <w:rsid w:val="003A1218"/>
    <w:rsid w:val="003B1C43"/>
    <w:rsid w:val="003B6094"/>
    <w:rsid w:val="003C16BF"/>
    <w:rsid w:val="003C1843"/>
    <w:rsid w:val="003C238B"/>
    <w:rsid w:val="003C29C2"/>
    <w:rsid w:val="003C6ED2"/>
    <w:rsid w:val="003C7F70"/>
    <w:rsid w:val="003D20F9"/>
    <w:rsid w:val="003E15FA"/>
    <w:rsid w:val="003E285A"/>
    <w:rsid w:val="003E539A"/>
    <w:rsid w:val="00402835"/>
    <w:rsid w:val="00414432"/>
    <w:rsid w:val="0041678D"/>
    <w:rsid w:val="00417E6E"/>
    <w:rsid w:val="00425ADC"/>
    <w:rsid w:val="0042780A"/>
    <w:rsid w:val="00427F9D"/>
    <w:rsid w:val="00431228"/>
    <w:rsid w:val="00432D7A"/>
    <w:rsid w:val="00433799"/>
    <w:rsid w:val="00434A2D"/>
    <w:rsid w:val="004446A9"/>
    <w:rsid w:val="00446C11"/>
    <w:rsid w:val="00447D78"/>
    <w:rsid w:val="00450407"/>
    <w:rsid w:val="00450D88"/>
    <w:rsid w:val="00455A6B"/>
    <w:rsid w:val="004628A2"/>
    <w:rsid w:val="00462FD3"/>
    <w:rsid w:val="00464AE0"/>
    <w:rsid w:val="004665B8"/>
    <w:rsid w:val="00476EDD"/>
    <w:rsid w:val="00481929"/>
    <w:rsid w:val="004A2DBB"/>
    <w:rsid w:val="004A5B92"/>
    <w:rsid w:val="004B3F5B"/>
    <w:rsid w:val="004B6AC7"/>
    <w:rsid w:val="004C0224"/>
    <w:rsid w:val="004D6005"/>
    <w:rsid w:val="004E23D9"/>
    <w:rsid w:val="004E426D"/>
    <w:rsid w:val="004F1513"/>
    <w:rsid w:val="004F2598"/>
    <w:rsid w:val="004F692A"/>
    <w:rsid w:val="00500655"/>
    <w:rsid w:val="00504027"/>
    <w:rsid w:val="0051018D"/>
    <w:rsid w:val="00511F79"/>
    <w:rsid w:val="00512598"/>
    <w:rsid w:val="005156BD"/>
    <w:rsid w:val="005163EA"/>
    <w:rsid w:val="005238C4"/>
    <w:rsid w:val="00531657"/>
    <w:rsid w:val="0053325E"/>
    <w:rsid w:val="0053551D"/>
    <w:rsid w:val="0054029D"/>
    <w:rsid w:val="00563CCF"/>
    <w:rsid w:val="00575A13"/>
    <w:rsid w:val="005834EC"/>
    <w:rsid w:val="005867C2"/>
    <w:rsid w:val="00595F71"/>
    <w:rsid w:val="005A1566"/>
    <w:rsid w:val="005A1DFC"/>
    <w:rsid w:val="005A4185"/>
    <w:rsid w:val="005B391B"/>
    <w:rsid w:val="005C34F7"/>
    <w:rsid w:val="005C405F"/>
    <w:rsid w:val="005C41F1"/>
    <w:rsid w:val="005D2E7B"/>
    <w:rsid w:val="005D63B7"/>
    <w:rsid w:val="005D6603"/>
    <w:rsid w:val="005F1280"/>
    <w:rsid w:val="005F5677"/>
    <w:rsid w:val="0060276C"/>
    <w:rsid w:val="006056D8"/>
    <w:rsid w:val="00607B5F"/>
    <w:rsid w:val="00611E7B"/>
    <w:rsid w:val="00617A98"/>
    <w:rsid w:val="00621EED"/>
    <w:rsid w:val="00626456"/>
    <w:rsid w:val="0063484C"/>
    <w:rsid w:val="00636D2A"/>
    <w:rsid w:val="00640F37"/>
    <w:rsid w:val="00654305"/>
    <w:rsid w:val="006737C0"/>
    <w:rsid w:val="006765F7"/>
    <w:rsid w:val="00677BC2"/>
    <w:rsid w:val="00680DEB"/>
    <w:rsid w:val="00682469"/>
    <w:rsid w:val="00687601"/>
    <w:rsid w:val="00691085"/>
    <w:rsid w:val="00693FCE"/>
    <w:rsid w:val="006A338E"/>
    <w:rsid w:val="006A3B5C"/>
    <w:rsid w:val="006A49F3"/>
    <w:rsid w:val="006A65CC"/>
    <w:rsid w:val="006B7884"/>
    <w:rsid w:val="006C01D0"/>
    <w:rsid w:val="006C4E31"/>
    <w:rsid w:val="006D14E6"/>
    <w:rsid w:val="006D199F"/>
    <w:rsid w:val="006E028E"/>
    <w:rsid w:val="006E0CD8"/>
    <w:rsid w:val="006E16CF"/>
    <w:rsid w:val="006E3792"/>
    <w:rsid w:val="006E6991"/>
    <w:rsid w:val="006F1B36"/>
    <w:rsid w:val="006F2B32"/>
    <w:rsid w:val="006F40C6"/>
    <w:rsid w:val="006F6694"/>
    <w:rsid w:val="00720A7C"/>
    <w:rsid w:val="007221D6"/>
    <w:rsid w:val="007308E6"/>
    <w:rsid w:val="00731F76"/>
    <w:rsid w:val="00732B69"/>
    <w:rsid w:val="00732BAF"/>
    <w:rsid w:val="00744D0E"/>
    <w:rsid w:val="00745F6A"/>
    <w:rsid w:val="00750301"/>
    <w:rsid w:val="00750737"/>
    <w:rsid w:val="00752A46"/>
    <w:rsid w:val="00757192"/>
    <w:rsid w:val="0075777D"/>
    <w:rsid w:val="00757C03"/>
    <w:rsid w:val="00760462"/>
    <w:rsid w:val="007607F9"/>
    <w:rsid w:val="00761265"/>
    <w:rsid w:val="007661D9"/>
    <w:rsid w:val="0077222C"/>
    <w:rsid w:val="00772849"/>
    <w:rsid w:val="00774E3B"/>
    <w:rsid w:val="00775E0B"/>
    <w:rsid w:val="007806AC"/>
    <w:rsid w:val="00787B58"/>
    <w:rsid w:val="007934FB"/>
    <w:rsid w:val="00796C52"/>
    <w:rsid w:val="007A2F7F"/>
    <w:rsid w:val="007A4785"/>
    <w:rsid w:val="007A7F77"/>
    <w:rsid w:val="007B14E8"/>
    <w:rsid w:val="007C12B5"/>
    <w:rsid w:val="007E473E"/>
    <w:rsid w:val="007E6674"/>
    <w:rsid w:val="007E77FA"/>
    <w:rsid w:val="007F1162"/>
    <w:rsid w:val="007F3FE1"/>
    <w:rsid w:val="007F6CDC"/>
    <w:rsid w:val="008011B6"/>
    <w:rsid w:val="00803721"/>
    <w:rsid w:val="008047FD"/>
    <w:rsid w:val="008103C7"/>
    <w:rsid w:val="008247A9"/>
    <w:rsid w:val="00831173"/>
    <w:rsid w:val="0083417A"/>
    <w:rsid w:val="008355A0"/>
    <w:rsid w:val="00836B16"/>
    <w:rsid w:val="00836B4B"/>
    <w:rsid w:val="008545C8"/>
    <w:rsid w:val="00857A53"/>
    <w:rsid w:val="008604C8"/>
    <w:rsid w:val="00860D16"/>
    <w:rsid w:val="00861557"/>
    <w:rsid w:val="008733F6"/>
    <w:rsid w:val="00877916"/>
    <w:rsid w:val="008906B0"/>
    <w:rsid w:val="00891ADE"/>
    <w:rsid w:val="008A47A7"/>
    <w:rsid w:val="008B45E9"/>
    <w:rsid w:val="008C21E8"/>
    <w:rsid w:val="008C7C3E"/>
    <w:rsid w:val="008D3389"/>
    <w:rsid w:val="008E3A1F"/>
    <w:rsid w:val="008E3CB0"/>
    <w:rsid w:val="008F3062"/>
    <w:rsid w:val="00917016"/>
    <w:rsid w:val="00921CB1"/>
    <w:rsid w:val="00922223"/>
    <w:rsid w:val="00930DA0"/>
    <w:rsid w:val="00931295"/>
    <w:rsid w:val="00932E31"/>
    <w:rsid w:val="0093480B"/>
    <w:rsid w:val="0093515C"/>
    <w:rsid w:val="009478C5"/>
    <w:rsid w:val="0095106E"/>
    <w:rsid w:val="009544A3"/>
    <w:rsid w:val="00971912"/>
    <w:rsid w:val="009753AF"/>
    <w:rsid w:val="009758E5"/>
    <w:rsid w:val="00981A04"/>
    <w:rsid w:val="009949A8"/>
    <w:rsid w:val="009968EA"/>
    <w:rsid w:val="009A1600"/>
    <w:rsid w:val="009A47D9"/>
    <w:rsid w:val="009B0530"/>
    <w:rsid w:val="009B18C9"/>
    <w:rsid w:val="009B2918"/>
    <w:rsid w:val="009B7B85"/>
    <w:rsid w:val="009B7FC1"/>
    <w:rsid w:val="009D7280"/>
    <w:rsid w:val="009E6798"/>
    <w:rsid w:val="00A01331"/>
    <w:rsid w:val="00A02DF6"/>
    <w:rsid w:val="00A0553F"/>
    <w:rsid w:val="00A05CDF"/>
    <w:rsid w:val="00A07AEE"/>
    <w:rsid w:val="00A12E02"/>
    <w:rsid w:val="00A14F41"/>
    <w:rsid w:val="00A158A0"/>
    <w:rsid w:val="00A15F0C"/>
    <w:rsid w:val="00A16216"/>
    <w:rsid w:val="00A22CF8"/>
    <w:rsid w:val="00A24036"/>
    <w:rsid w:val="00A34834"/>
    <w:rsid w:val="00A41F2C"/>
    <w:rsid w:val="00A4483E"/>
    <w:rsid w:val="00A44BB4"/>
    <w:rsid w:val="00A45317"/>
    <w:rsid w:val="00A45A30"/>
    <w:rsid w:val="00A473F3"/>
    <w:rsid w:val="00A5093C"/>
    <w:rsid w:val="00A51BAF"/>
    <w:rsid w:val="00A52B3E"/>
    <w:rsid w:val="00A55C44"/>
    <w:rsid w:val="00A57E34"/>
    <w:rsid w:val="00A655A3"/>
    <w:rsid w:val="00A65620"/>
    <w:rsid w:val="00A74C5F"/>
    <w:rsid w:val="00A87940"/>
    <w:rsid w:val="00A94CCB"/>
    <w:rsid w:val="00A95331"/>
    <w:rsid w:val="00A95EB8"/>
    <w:rsid w:val="00A96EFE"/>
    <w:rsid w:val="00A971A7"/>
    <w:rsid w:val="00AB0A34"/>
    <w:rsid w:val="00AB0D7D"/>
    <w:rsid w:val="00AB3EC6"/>
    <w:rsid w:val="00AB541D"/>
    <w:rsid w:val="00AB5E7A"/>
    <w:rsid w:val="00AC2D57"/>
    <w:rsid w:val="00AC35D1"/>
    <w:rsid w:val="00AC71F8"/>
    <w:rsid w:val="00AE1243"/>
    <w:rsid w:val="00AE431F"/>
    <w:rsid w:val="00AF5419"/>
    <w:rsid w:val="00B03AA7"/>
    <w:rsid w:val="00B05B86"/>
    <w:rsid w:val="00B13F2F"/>
    <w:rsid w:val="00B146F8"/>
    <w:rsid w:val="00B16E1D"/>
    <w:rsid w:val="00B16FEB"/>
    <w:rsid w:val="00B214C0"/>
    <w:rsid w:val="00B228E9"/>
    <w:rsid w:val="00B23EC0"/>
    <w:rsid w:val="00B27CE2"/>
    <w:rsid w:val="00B33A69"/>
    <w:rsid w:val="00B4005E"/>
    <w:rsid w:val="00B45D74"/>
    <w:rsid w:val="00B51E1E"/>
    <w:rsid w:val="00B56D9B"/>
    <w:rsid w:val="00B578F4"/>
    <w:rsid w:val="00B665C6"/>
    <w:rsid w:val="00B76F3F"/>
    <w:rsid w:val="00B77E0E"/>
    <w:rsid w:val="00B820EC"/>
    <w:rsid w:val="00B83FB3"/>
    <w:rsid w:val="00B906E6"/>
    <w:rsid w:val="00B9592E"/>
    <w:rsid w:val="00BA13A2"/>
    <w:rsid w:val="00BA5FBD"/>
    <w:rsid w:val="00BB0A0A"/>
    <w:rsid w:val="00BB3DE3"/>
    <w:rsid w:val="00BB481D"/>
    <w:rsid w:val="00BC1229"/>
    <w:rsid w:val="00BC244F"/>
    <w:rsid w:val="00BC7B95"/>
    <w:rsid w:val="00BD1325"/>
    <w:rsid w:val="00BD5E7B"/>
    <w:rsid w:val="00BD6CAB"/>
    <w:rsid w:val="00BD7A92"/>
    <w:rsid w:val="00BE276B"/>
    <w:rsid w:val="00BF2B99"/>
    <w:rsid w:val="00BF3903"/>
    <w:rsid w:val="00BF3BEE"/>
    <w:rsid w:val="00BF6407"/>
    <w:rsid w:val="00BF7479"/>
    <w:rsid w:val="00C02C4F"/>
    <w:rsid w:val="00C03CEB"/>
    <w:rsid w:val="00C26804"/>
    <w:rsid w:val="00C463E6"/>
    <w:rsid w:val="00C55F37"/>
    <w:rsid w:val="00C56AF4"/>
    <w:rsid w:val="00C633E2"/>
    <w:rsid w:val="00C63624"/>
    <w:rsid w:val="00C641E9"/>
    <w:rsid w:val="00C71525"/>
    <w:rsid w:val="00C723C2"/>
    <w:rsid w:val="00C7526B"/>
    <w:rsid w:val="00C8598E"/>
    <w:rsid w:val="00C9097C"/>
    <w:rsid w:val="00C952A4"/>
    <w:rsid w:val="00C9556E"/>
    <w:rsid w:val="00C97C6B"/>
    <w:rsid w:val="00CA52A6"/>
    <w:rsid w:val="00CA5AFB"/>
    <w:rsid w:val="00CB4662"/>
    <w:rsid w:val="00CB5B9C"/>
    <w:rsid w:val="00CB6BDF"/>
    <w:rsid w:val="00CC0568"/>
    <w:rsid w:val="00CC5B78"/>
    <w:rsid w:val="00CC7701"/>
    <w:rsid w:val="00CD090B"/>
    <w:rsid w:val="00CD4FE1"/>
    <w:rsid w:val="00CE24A8"/>
    <w:rsid w:val="00CE72AF"/>
    <w:rsid w:val="00CF14E0"/>
    <w:rsid w:val="00CF7053"/>
    <w:rsid w:val="00D004BE"/>
    <w:rsid w:val="00D10FE4"/>
    <w:rsid w:val="00D115BF"/>
    <w:rsid w:val="00D1165A"/>
    <w:rsid w:val="00D217ED"/>
    <w:rsid w:val="00D269C3"/>
    <w:rsid w:val="00D31579"/>
    <w:rsid w:val="00D47D5C"/>
    <w:rsid w:val="00D60240"/>
    <w:rsid w:val="00D71FD4"/>
    <w:rsid w:val="00D807C2"/>
    <w:rsid w:val="00D848AA"/>
    <w:rsid w:val="00D87783"/>
    <w:rsid w:val="00D95E59"/>
    <w:rsid w:val="00D97080"/>
    <w:rsid w:val="00D97621"/>
    <w:rsid w:val="00DB3432"/>
    <w:rsid w:val="00DB5CA5"/>
    <w:rsid w:val="00DC1789"/>
    <w:rsid w:val="00DC1C3A"/>
    <w:rsid w:val="00DC3ACF"/>
    <w:rsid w:val="00DD054C"/>
    <w:rsid w:val="00DD0998"/>
    <w:rsid w:val="00DD6BF0"/>
    <w:rsid w:val="00DE2574"/>
    <w:rsid w:val="00DE73C0"/>
    <w:rsid w:val="00DF0B29"/>
    <w:rsid w:val="00DF1598"/>
    <w:rsid w:val="00E01945"/>
    <w:rsid w:val="00E023B7"/>
    <w:rsid w:val="00E07290"/>
    <w:rsid w:val="00E1356B"/>
    <w:rsid w:val="00E14415"/>
    <w:rsid w:val="00E16A09"/>
    <w:rsid w:val="00E2631F"/>
    <w:rsid w:val="00E31D31"/>
    <w:rsid w:val="00E4146B"/>
    <w:rsid w:val="00E421BD"/>
    <w:rsid w:val="00E52F91"/>
    <w:rsid w:val="00E53DE0"/>
    <w:rsid w:val="00E611F5"/>
    <w:rsid w:val="00E6192E"/>
    <w:rsid w:val="00E77C5A"/>
    <w:rsid w:val="00E96344"/>
    <w:rsid w:val="00EA3C1F"/>
    <w:rsid w:val="00EB0C5C"/>
    <w:rsid w:val="00EB76D6"/>
    <w:rsid w:val="00EC2CC4"/>
    <w:rsid w:val="00ED6432"/>
    <w:rsid w:val="00EE260C"/>
    <w:rsid w:val="00EE3BE3"/>
    <w:rsid w:val="00EE612F"/>
    <w:rsid w:val="00EF0964"/>
    <w:rsid w:val="00EF156E"/>
    <w:rsid w:val="00EF7FF5"/>
    <w:rsid w:val="00F028DD"/>
    <w:rsid w:val="00F13462"/>
    <w:rsid w:val="00F264A4"/>
    <w:rsid w:val="00F313DF"/>
    <w:rsid w:val="00F32849"/>
    <w:rsid w:val="00F33B00"/>
    <w:rsid w:val="00F362BC"/>
    <w:rsid w:val="00F406C5"/>
    <w:rsid w:val="00F442F1"/>
    <w:rsid w:val="00F46A51"/>
    <w:rsid w:val="00F56C03"/>
    <w:rsid w:val="00F624B6"/>
    <w:rsid w:val="00F651D1"/>
    <w:rsid w:val="00F672CD"/>
    <w:rsid w:val="00F731E2"/>
    <w:rsid w:val="00F762CF"/>
    <w:rsid w:val="00F82888"/>
    <w:rsid w:val="00F86D99"/>
    <w:rsid w:val="00F9332D"/>
    <w:rsid w:val="00FB0466"/>
    <w:rsid w:val="00FB0AC0"/>
    <w:rsid w:val="00FC35E6"/>
    <w:rsid w:val="00FD0781"/>
    <w:rsid w:val="00FD4C77"/>
    <w:rsid w:val="00FE66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7299075"/>
  <w15:docId w15:val="{49EBEDBB-07FC-4E5C-BAEA-95086B227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rsid w:val="00E07290"/>
    <w:pPr>
      <w:tabs>
        <w:tab w:val="left" w:pos="-720"/>
      </w:tabs>
      <w:suppressAutoHyphens/>
    </w:pPr>
  </w:style>
  <w:style w:type="character" w:customStyle="1" w:styleId="FootnoteTextChar">
    <w:name w:val="Footnote Text Char"/>
    <w:basedOn w:val="DefaultParagraphFont"/>
    <w:link w:val="FootnoteText"/>
    <w:uiPriority w:val="99"/>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character" w:styleId="Hyperlink">
    <w:name w:val="Hyperlink"/>
    <w:basedOn w:val="DefaultParagraphFont"/>
    <w:uiPriority w:val="99"/>
    <w:unhideWhenUsed/>
    <w:rsid w:val="009A1600"/>
    <w:rPr>
      <w:color w:val="0000FF" w:themeColor="hyperlink"/>
      <w:u w:val="single"/>
    </w:rPr>
  </w:style>
  <w:style w:type="character" w:styleId="UnresolvedMention">
    <w:name w:val="Unresolved Mention"/>
    <w:basedOn w:val="DefaultParagraphFont"/>
    <w:uiPriority w:val="99"/>
    <w:semiHidden/>
    <w:unhideWhenUsed/>
    <w:rsid w:val="009A1600"/>
    <w:rPr>
      <w:color w:val="605E5C"/>
      <w:shd w:val="clear" w:color="auto" w:fill="E1DFDD"/>
    </w:rPr>
  </w:style>
  <w:style w:type="paragraph" w:styleId="Revision">
    <w:name w:val="Revision"/>
    <w:hidden/>
    <w:uiPriority w:val="99"/>
    <w:semiHidden/>
    <w:rsid w:val="00757192"/>
    <w:rPr>
      <w:sz w:val="24"/>
      <w:szCs w:val="24"/>
    </w:rPr>
  </w:style>
  <w:style w:type="paragraph" w:customStyle="1" w:styleId="SL-FlLftSgl">
    <w:name w:val="SL-Fl Lft Sgl"/>
    <w:rsid w:val="00DF1598"/>
    <w:pPr>
      <w:spacing w:line="240" w:lineRule="atLeast"/>
      <w:jc w:val="both"/>
    </w:pPr>
    <w:rPr>
      <w:sz w:val="22"/>
    </w:rPr>
  </w:style>
  <w:style w:type="paragraph" w:customStyle="1" w:styleId="Default">
    <w:name w:val="Default"/>
    <w:rsid w:val="00A51BAF"/>
    <w:pPr>
      <w:autoSpaceDE w:val="0"/>
      <w:autoSpaceDN w:val="0"/>
      <w:adjustRightInd w:val="0"/>
    </w:pPr>
    <w:rPr>
      <w:color w:val="000000"/>
      <w:sz w:val="24"/>
      <w:szCs w:val="24"/>
    </w:rPr>
  </w:style>
  <w:style w:type="character" w:customStyle="1" w:styleId="normaltextrun">
    <w:name w:val="normaltextrun"/>
    <w:basedOn w:val="DefaultParagraphFont"/>
    <w:rsid w:val="00464AE0"/>
  </w:style>
  <w:style w:type="paragraph" w:styleId="BodyTextIndent">
    <w:name w:val="Body Text Indent"/>
    <w:basedOn w:val="Normal"/>
    <w:link w:val="BodyTextIndentChar"/>
    <w:uiPriority w:val="99"/>
    <w:unhideWhenUsed/>
    <w:rsid w:val="0093480B"/>
    <w:pPr>
      <w:spacing w:line="259" w:lineRule="auto"/>
      <w:ind w:left="360"/>
    </w:pPr>
    <w:rPr>
      <w:rFonts w:ascii="Calibri" w:eastAsia="Calibri" w:hAnsi="Calibri"/>
      <w:sz w:val="22"/>
      <w:szCs w:val="22"/>
    </w:rPr>
  </w:style>
  <w:style w:type="character" w:customStyle="1" w:styleId="BodyTextIndentChar">
    <w:name w:val="Body Text Indent Char"/>
    <w:basedOn w:val="DefaultParagraphFont"/>
    <w:link w:val="BodyTextIndent"/>
    <w:uiPriority w:val="99"/>
    <w:rsid w:val="0093480B"/>
    <w:rPr>
      <w:rFonts w:ascii="Calibri" w:eastAsia="Calibri" w:hAnsi="Calibri"/>
      <w:sz w:val="22"/>
      <w:szCs w:val="22"/>
    </w:rPr>
  </w:style>
  <w:style w:type="character" w:styleId="Emphasis">
    <w:name w:val="Emphasis"/>
    <w:basedOn w:val="DefaultParagraphFont"/>
    <w:uiPriority w:val="20"/>
    <w:qFormat/>
    <w:locked/>
    <w:rsid w:val="00744D0E"/>
    <w:rPr>
      <w:i/>
      <w:iCs/>
    </w:rPr>
  </w:style>
  <w:style w:type="paragraph" w:styleId="BodyText">
    <w:name w:val="Body Text"/>
    <w:basedOn w:val="Normal"/>
    <w:link w:val="BodyTextChar"/>
    <w:uiPriority w:val="99"/>
    <w:semiHidden/>
    <w:unhideWhenUsed/>
    <w:rsid w:val="00DC1789"/>
  </w:style>
  <w:style w:type="character" w:customStyle="1" w:styleId="BodyTextChar">
    <w:name w:val="Body Text Char"/>
    <w:basedOn w:val="DefaultParagraphFont"/>
    <w:link w:val="BodyText"/>
    <w:uiPriority w:val="99"/>
    <w:semiHidden/>
    <w:rsid w:val="00DC17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acl.gov/sites/default/files/about-acl/2020-04/Older%20Americans%20Act%20Of%201965%20as%20amended%20by%20Public%20Law%20116-131%20on%203-25-2020.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6f33f1-b093-48d2-a5db-799c45c3b2ad">
      <Terms xmlns="http://schemas.microsoft.com/office/infopath/2007/PartnerControls"/>
    </lcf76f155ced4ddcb4097134ff3c332f>
    <TaxCatchAll xmlns="7b5d1b84-de62-4734-93b1-fdd630a88c3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C9C4AE119EAD4181F90A64FFB58406" ma:contentTypeVersion="11" ma:contentTypeDescription="Create a new document." ma:contentTypeScope="" ma:versionID="41c99387a230979f5610525aa39583e1">
  <xsd:schema xmlns:xsd="http://www.w3.org/2001/XMLSchema" xmlns:xs="http://www.w3.org/2001/XMLSchema" xmlns:p="http://schemas.microsoft.com/office/2006/metadata/properties" xmlns:ns2="2b6f33f1-b093-48d2-a5db-799c45c3b2ad" xmlns:ns3="7b5d1b84-de62-4734-93b1-fdd630a88c32" targetNamespace="http://schemas.microsoft.com/office/2006/metadata/properties" ma:root="true" ma:fieldsID="b87566527def7ffde100388e750674d8" ns2:_="" ns3:_="">
    <xsd:import namespace="2b6f33f1-b093-48d2-a5db-799c45c3b2ad"/>
    <xsd:import namespace="7b5d1b84-de62-4734-93b1-fdd630a88c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f33f1-b093-48d2-a5db-799c45c3b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5d1b84-de62-4734-93b1-fdd630a88c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76cdb7a-ec93-468d-846d-216d455247fa}" ma:internalName="TaxCatchAll" ma:showField="CatchAllData" ma:web="7b5d1b84-de62-4734-93b1-fdd630a88c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B73A15-9857-4CD4-B038-E13A78C09D71}">
  <ds:schemaRefs>
    <ds:schemaRef ds:uri="http://schemas.microsoft.com/sharepoint/v3/contenttype/forms"/>
  </ds:schemaRefs>
</ds:datastoreItem>
</file>

<file path=customXml/itemProps2.xml><?xml version="1.0" encoding="utf-8"?>
<ds:datastoreItem xmlns:ds="http://schemas.openxmlformats.org/officeDocument/2006/customXml" ds:itemID="{0A3637F8-2205-4CB0-8AF4-B4C6A389BD29}">
  <ds:schemaRefs>
    <ds:schemaRef ds:uri="http://schemas.openxmlformats.org/officeDocument/2006/bibliography"/>
  </ds:schemaRefs>
</ds:datastoreItem>
</file>

<file path=customXml/itemProps3.xml><?xml version="1.0" encoding="utf-8"?>
<ds:datastoreItem xmlns:ds="http://schemas.openxmlformats.org/officeDocument/2006/customXml" ds:itemID="{8FF76EC9-AF5D-459B-A125-635A70AA1013}">
  <ds:schemaRefs>
    <ds:schemaRef ds:uri="http://schemas.microsoft.com/office/2006/metadata/properties"/>
    <ds:schemaRef ds:uri="http://schemas.microsoft.com/office/infopath/2007/PartnerControls"/>
    <ds:schemaRef ds:uri="2b6f33f1-b093-48d2-a5db-799c45c3b2ad"/>
    <ds:schemaRef ds:uri="7b5d1b84-de62-4734-93b1-fdd630a88c32"/>
  </ds:schemaRefs>
</ds:datastoreItem>
</file>

<file path=customXml/itemProps4.xml><?xml version="1.0" encoding="utf-8"?>
<ds:datastoreItem xmlns:ds="http://schemas.openxmlformats.org/officeDocument/2006/customXml" ds:itemID="{CC855175-9566-4731-8D89-F5BC15119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f33f1-b093-48d2-a5db-799c45c3b2ad"/>
    <ds:schemaRef ds:uri="7b5d1b84-de62-4734-93b1-fdd630a88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2751</Words>
  <Characters>15682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Washington, Tomakie (ACL)</dc:creator>
  <cp:lastModifiedBy>Washington, Tomakie (ACL)</cp:lastModifiedBy>
  <cp:revision>3</cp:revision>
  <cp:lastPrinted>2014-09-11T17:04:00Z</cp:lastPrinted>
  <dcterms:created xsi:type="dcterms:W3CDTF">2024-10-10T21:34:00Z</dcterms:created>
  <dcterms:modified xsi:type="dcterms:W3CDTF">2024-10-11T14:44:00Z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0x0101001CC9C4AE119EAD4181F90A64FFB58406</vt:lpwstr>
  </property>
</Properties>
</file>