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34BE" w:rsidRPr="000034BE" w:rsidP="004A28B6" w14:paraId="4143EE93" w14:textId="17115240">
      <w:pPr>
        <w:pStyle w:val="ReportCover-Title"/>
        <w:jc w:val="center"/>
        <w:rPr>
          <w:rFonts w:ascii="Times New Roman" w:hAnsi="Times New Roman"/>
          <w:color w:val="auto"/>
          <w:sz w:val="24"/>
        </w:rPr>
      </w:pPr>
      <w:r>
        <w:rPr>
          <w:rFonts w:ascii="Times New Roman" w:hAnsi="Times New Roman"/>
          <w:color w:val="auto"/>
          <w:sz w:val="24"/>
        </w:rPr>
        <w:t xml:space="preserve">Supporting Statement for the </w:t>
      </w:r>
      <w:r w:rsidRPr="000034BE">
        <w:rPr>
          <w:rFonts w:ascii="Times New Roman" w:hAnsi="Times New Roman"/>
          <w:color w:val="auto"/>
          <w:sz w:val="24"/>
        </w:rPr>
        <w:t xml:space="preserve">ACL Consolidated Program Performance Report Information Collection </w:t>
      </w:r>
      <w:r>
        <w:rPr>
          <w:rFonts w:ascii="Times New Roman" w:hAnsi="Times New Roman"/>
          <w:color w:val="auto"/>
          <w:sz w:val="24"/>
        </w:rPr>
        <w:t>OMB Control Number 0985-New</w:t>
      </w:r>
    </w:p>
    <w:p w:rsidR="00FB6B61" w:rsidRPr="00D93FFB" w:rsidP="00FB6B61" w14:paraId="659A8CB7" w14:textId="099ED2C5">
      <w:pPr>
        <w:pStyle w:val="ReportCover-Title"/>
        <w:jc w:val="center"/>
        <w:rPr>
          <w:rFonts w:ascii="Times New Roman" w:hAnsi="Times New Roman"/>
          <w:color w:val="auto"/>
        </w:rPr>
      </w:pPr>
      <w:r w:rsidRPr="00D93FFB">
        <w:rPr>
          <w:rFonts w:ascii="Times New Roman" w:hAnsi="Times New Roman"/>
          <w:sz w:val="24"/>
        </w:rPr>
        <w:tab/>
      </w:r>
    </w:p>
    <w:p w:rsidR="00D832FD" w:rsidRPr="000034BE" w:rsidP="000034BE" w14:paraId="5AF25688" w14:textId="041EF8CE">
      <w:pPr>
        <w:rPr>
          <w:rFonts w:ascii="Times New Roman" w:hAnsi="Times New Roman"/>
          <w:b/>
          <w:bCs/>
          <w:sz w:val="24"/>
          <w:szCs w:val="24"/>
        </w:rPr>
      </w:pPr>
      <w:r w:rsidRPr="000034BE">
        <w:rPr>
          <w:rFonts w:ascii="Times New Roman" w:hAnsi="Times New Roman"/>
          <w:b/>
          <w:bCs/>
          <w:sz w:val="24"/>
          <w:szCs w:val="24"/>
        </w:rPr>
        <w:t>Justification Part A</w:t>
      </w:r>
    </w:p>
    <w:p w:rsidR="00D832FD" w:rsidRPr="007D54BE" w:rsidP="00FB6B61" w14:paraId="60AB57B0" w14:textId="77777777">
      <w:pPr>
        <w:jc w:val="center"/>
        <w:rPr>
          <w:rFonts w:ascii="Times New Roman" w:hAnsi="Times New Roman"/>
          <w:sz w:val="22"/>
        </w:rPr>
      </w:pPr>
    </w:p>
    <w:p w:rsidR="00FB6B61" w:rsidRPr="00D93FFB" w:rsidP="00FB6B61" w14:paraId="22F752C5" w14:textId="77777777">
      <w:pPr>
        <w:jc w:val="center"/>
        <w:rPr>
          <w:rFonts w:ascii="Times New Roman" w:hAnsi="Times New Roman"/>
        </w:rPr>
      </w:pPr>
    </w:p>
    <w:p w:rsidR="007E1599" w:rsidRPr="00BF6869" w:rsidP="00474D82" w14:paraId="64DBAD0B" w14:textId="263906CD">
      <w:pPr>
        <w:widowControl/>
        <w:numPr>
          <w:ilvl w:val="0"/>
          <w:numId w:val="1"/>
        </w:numPr>
        <w:tabs>
          <w:tab w:val="left" w:pos="360"/>
          <w:tab w:val="clear" w:pos="720"/>
        </w:tabs>
        <w:spacing w:after="120"/>
        <w:ind w:left="360"/>
        <w:rPr>
          <w:rFonts w:ascii="Times New Roman" w:hAnsi="Times New Roman"/>
          <w:b/>
          <w:snapToGrid/>
          <w:sz w:val="24"/>
          <w:szCs w:val="24"/>
        </w:rPr>
      </w:pPr>
      <w:r w:rsidRPr="742F0DC8">
        <w:rPr>
          <w:rFonts w:ascii="Times New Roman" w:hAnsi="Times New Roman"/>
          <w:b/>
          <w:bCs/>
          <w:snapToGrid/>
          <w:sz w:val="24"/>
          <w:szCs w:val="24"/>
        </w:rPr>
        <w:t xml:space="preserve"> </w:t>
      </w:r>
      <w:r w:rsidRPr="00BF6869">
        <w:rPr>
          <w:rFonts w:ascii="Times New Roman" w:hAnsi="Times New Roman"/>
          <w:b/>
          <w:snapToGrid/>
          <w:sz w:val="24"/>
          <w:szCs w:val="24"/>
        </w:rPr>
        <w:t xml:space="preserve">Circumstances Making the Collection of Information Necessary </w:t>
      </w:r>
    </w:p>
    <w:p w:rsidR="00E3382E" w:rsidRPr="00E3382E" w:rsidP="00E3382E" w14:paraId="5D4902C1" w14:textId="08063243">
      <w:pPr>
        <w:widowControl/>
        <w:rPr>
          <w:rFonts w:ascii="Times New Roman" w:hAnsi="Times New Roman"/>
          <w:sz w:val="24"/>
          <w:szCs w:val="24"/>
        </w:rPr>
      </w:pPr>
      <w:r w:rsidRPr="00D93FFB">
        <w:rPr>
          <w:rFonts w:ascii="Times New Roman" w:hAnsi="Times New Roman"/>
          <w:sz w:val="24"/>
          <w:szCs w:val="24"/>
        </w:rPr>
        <w:t>Th</w:t>
      </w:r>
      <w:r w:rsidR="00F57C02">
        <w:rPr>
          <w:rFonts w:ascii="Times New Roman" w:hAnsi="Times New Roman"/>
          <w:sz w:val="24"/>
          <w:szCs w:val="24"/>
        </w:rPr>
        <w:t>e purpose of this</w:t>
      </w:r>
      <w:r w:rsidRPr="00D93FFB">
        <w:rPr>
          <w:rFonts w:ascii="Times New Roman" w:hAnsi="Times New Roman"/>
          <w:sz w:val="24"/>
          <w:szCs w:val="24"/>
        </w:rPr>
        <w:t xml:space="preserve"> </w:t>
      </w:r>
      <w:r w:rsidRPr="00D93FFB" w:rsidR="003A4635">
        <w:rPr>
          <w:rFonts w:ascii="Times New Roman" w:hAnsi="Times New Roman"/>
          <w:sz w:val="24"/>
          <w:szCs w:val="24"/>
        </w:rPr>
        <w:t xml:space="preserve">information collection </w:t>
      </w:r>
      <w:r w:rsidRPr="00D93FFB">
        <w:rPr>
          <w:rFonts w:ascii="Times New Roman" w:hAnsi="Times New Roman"/>
          <w:sz w:val="24"/>
          <w:szCs w:val="24"/>
        </w:rPr>
        <w:t xml:space="preserve">request </w:t>
      </w:r>
      <w:r w:rsidRPr="00D93FFB" w:rsidR="003A4635">
        <w:rPr>
          <w:rFonts w:ascii="Times New Roman" w:hAnsi="Times New Roman"/>
          <w:sz w:val="24"/>
          <w:szCs w:val="24"/>
        </w:rPr>
        <w:t>(ICR)</w:t>
      </w:r>
      <w:r w:rsidR="00BF6869">
        <w:rPr>
          <w:rFonts w:ascii="Times New Roman" w:hAnsi="Times New Roman"/>
          <w:sz w:val="24"/>
          <w:szCs w:val="24"/>
        </w:rPr>
        <w:t xml:space="preserve">, </w:t>
      </w:r>
      <w:r w:rsidR="002845C5">
        <w:rPr>
          <w:rFonts w:ascii="Times New Roman" w:hAnsi="Times New Roman"/>
          <w:sz w:val="24"/>
          <w:szCs w:val="24"/>
        </w:rPr>
        <w:t xml:space="preserve">the </w:t>
      </w:r>
      <w:r w:rsidRPr="00F57C02">
        <w:rPr>
          <w:rFonts w:ascii="Times New Roman" w:hAnsi="Times New Roman"/>
          <w:i/>
          <w:iCs/>
          <w:sz w:val="24"/>
          <w:szCs w:val="24"/>
        </w:rPr>
        <w:t>ACL</w:t>
      </w:r>
      <w:r w:rsidR="008325C1">
        <w:rPr>
          <w:rFonts w:ascii="Times New Roman" w:hAnsi="Times New Roman"/>
          <w:i/>
          <w:iCs/>
          <w:sz w:val="24"/>
          <w:szCs w:val="24"/>
        </w:rPr>
        <w:t xml:space="preserve"> Consolidated</w:t>
      </w:r>
      <w:r w:rsidRPr="00F57C02">
        <w:rPr>
          <w:rFonts w:ascii="Times New Roman" w:hAnsi="Times New Roman"/>
          <w:i/>
          <w:iCs/>
          <w:sz w:val="24"/>
          <w:szCs w:val="24"/>
        </w:rPr>
        <w:t xml:space="preserve"> Program Performance Report</w:t>
      </w:r>
      <w:r w:rsidR="00F57C02">
        <w:rPr>
          <w:rFonts w:ascii="Times New Roman" w:hAnsi="Times New Roman"/>
          <w:sz w:val="24"/>
          <w:szCs w:val="24"/>
        </w:rPr>
        <w:t xml:space="preserve"> </w:t>
      </w:r>
      <w:r w:rsidR="006772BF">
        <w:rPr>
          <w:rFonts w:ascii="Times New Roman" w:hAnsi="Times New Roman"/>
          <w:sz w:val="24"/>
          <w:szCs w:val="24"/>
        </w:rPr>
        <w:t xml:space="preserve">is </w:t>
      </w:r>
      <w:r w:rsidR="00F57C02">
        <w:rPr>
          <w:rFonts w:ascii="Times New Roman" w:hAnsi="Times New Roman"/>
          <w:sz w:val="24"/>
          <w:szCs w:val="24"/>
        </w:rPr>
        <w:t>to collect</w:t>
      </w:r>
      <w:r w:rsidR="004630D0">
        <w:rPr>
          <w:rFonts w:ascii="Times New Roman" w:hAnsi="Times New Roman"/>
          <w:sz w:val="24"/>
          <w:szCs w:val="24"/>
        </w:rPr>
        <w:t xml:space="preserve"> program</w:t>
      </w:r>
      <w:r w:rsidR="00F57C02">
        <w:rPr>
          <w:rFonts w:ascii="Times New Roman" w:hAnsi="Times New Roman"/>
          <w:sz w:val="24"/>
          <w:szCs w:val="24"/>
        </w:rPr>
        <w:t xml:space="preserve"> performance data for </w:t>
      </w:r>
      <w:r w:rsidR="00CD454C">
        <w:rPr>
          <w:rFonts w:ascii="Times New Roman" w:hAnsi="Times New Roman"/>
          <w:sz w:val="24"/>
          <w:szCs w:val="24"/>
        </w:rPr>
        <w:t xml:space="preserve">the </w:t>
      </w:r>
      <w:r w:rsidR="00F57C02">
        <w:rPr>
          <w:rFonts w:ascii="Times New Roman" w:hAnsi="Times New Roman"/>
          <w:sz w:val="24"/>
          <w:szCs w:val="24"/>
        </w:rPr>
        <w:t xml:space="preserve">Administration for Community Living (ACL) formula </w:t>
      </w:r>
      <w:r w:rsidR="004630D0">
        <w:rPr>
          <w:rFonts w:ascii="Times New Roman" w:hAnsi="Times New Roman"/>
          <w:sz w:val="24"/>
          <w:szCs w:val="24"/>
        </w:rPr>
        <w:t xml:space="preserve">and competitive </w:t>
      </w:r>
      <w:r w:rsidR="00F57C02">
        <w:rPr>
          <w:rFonts w:ascii="Times New Roman" w:hAnsi="Times New Roman"/>
          <w:sz w:val="24"/>
          <w:szCs w:val="24"/>
        </w:rPr>
        <w:t>grant programs authorized by the Older Americans Act (OAA)</w:t>
      </w:r>
      <w:r w:rsidR="00D37B16">
        <w:rPr>
          <w:rFonts w:ascii="Times New Roman" w:hAnsi="Times New Roman"/>
          <w:sz w:val="24"/>
          <w:szCs w:val="24"/>
        </w:rPr>
        <w:t xml:space="preserve">, </w:t>
      </w:r>
      <w:r w:rsidR="00F57C02">
        <w:rPr>
          <w:rFonts w:ascii="Times New Roman" w:hAnsi="Times New Roman"/>
          <w:sz w:val="24"/>
          <w:szCs w:val="24"/>
        </w:rPr>
        <w:t xml:space="preserve">as required </w:t>
      </w:r>
      <w:r w:rsidR="00AF7D1E">
        <w:rPr>
          <w:rFonts w:ascii="Times New Roman" w:hAnsi="Times New Roman"/>
          <w:sz w:val="24"/>
          <w:szCs w:val="24"/>
        </w:rPr>
        <w:t xml:space="preserve">by </w:t>
      </w:r>
      <w:r w:rsidR="00F57C02">
        <w:rPr>
          <w:rFonts w:ascii="Times New Roman" w:hAnsi="Times New Roman"/>
          <w:sz w:val="24"/>
          <w:szCs w:val="24"/>
        </w:rPr>
        <w:t xml:space="preserve">and </w:t>
      </w:r>
      <w:r w:rsidR="00D37B16">
        <w:rPr>
          <w:rFonts w:ascii="Times New Roman" w:hAnsi="Times New Roman"/>
          <w:sz w:val="24"/>
          <w:szCs w:val="24"/>
        </w:rPr>
        <w:t xml:space="preserve">in accordance with </w:t>
      </w:r>
      <w:r w:rsidRPr="00915911" w:rsidR="00915911">
        <w:rPr>
          <w:rFonts w:ascii="Times New Roman" w:hAnsi="Times New Roman"/>
          <w:sz w:val="24"/>
          <w:szCs w:val="24"/>
        </w:rPr>
        <w:t>P.L. 116-131</w:t>
      </w:r>
      <w:r w:rsidR="00915911">
        <w:rPr>
          <w:rFonts w:ascii="Times New Roman" w:hAnsi="Times New Roman"/>
          <w:sz w:val="24"/>
          <w:szCs w:val="24"/>
        </w:rPr>
        <w:t xml:space="preserve"> and</w:t>
      </w:r>
      <w:r w:rsidRPr="742F0DC8" w:rsidR="00F57C02">
        <w:rPr>
          <w:rFonts w:ascii="Times New Roman" w:hAnsi="Times New Roman"/>
          <w:sz w:val="24"/>
          <w:szCs w:val="24"/>
        </w:rPr>
        <w:t xml:space="preserve"> </w:t>
      </w:r>
      <w:r w:rsidRPr="00915911" w:rsidR="00915911">
        <w:rPr>
          <w:rFonts w:ascii="Times New Roman" w:hAnsi="Times New Roman"/>
          <w:sz w:val="24"/>
          <w:szCs w:val="24"/>
        </w:rPr>
        <w:t>42 USC</w:t>
      </w:r>
      <w:r w:rsidR="00915911">
        <w:rPr>
          <w:rFonts w:ascii="Times New Roman" w:hAnsi="Times New Roman"/>
          <w:sz w:val="24"/>
          <w:szCs w:val="24"/>
        </w:rPr>
        <w:t xml:space="preserve"> Chapter 7, Subchapter XX, Division B (authorizing legislation); </w:t>
      </w:r>
      <w:r w:rsidRPr="00915911" w:rsidR="00915911">
        <w:rPr>
          <w:rFonts w:ascii="Times New Roman" w:hAnsi="Times New Roman"/>
          <w:sz w:val="24"/>
          <w:szCs w:val="24"/>
        </w:rPr>
        <w:t>45 CFR 75.342 (monitoring and reporting program performance)</w:t>
      </w:r>
      <w:r w:rsidR="00915911">
        <w:rPr>
          <w:rFonts w:ascii="Times New Roman" w:hAnsi="Times New Roman"/>
          <w:sz w:val="24"/>
          <w:szCs w:val="24"/>
        </w:rPr>
        <w:t>;</w:t>
      </w:r>
      <w:r w:rsidRPr="00915911" w:rsidR="00915911">
        <w:rPr>
          <w:rFonts w:ascii="Times New Roman" w:hAnsi="Times New Roman"/>
          <w:sz w:val="24"/>
          <w:szCs w:val="24"/>
        </w:rPr>
        <w:t xml:space="preserve"> 45 CFR 75.301 (performance measurement)</w:t>
      </w:r>
      <w:r w:rsidR="00915911">
        <w:rPr>
          <w:rFonts w:ascii="Times New Roman" w:hAnsi="Times New Roman"/>
          <w:sz w:val="24"/>
          <w:szCs w:val="24"/>
        </w:rPr>
        <w:t>;</w:t>
      </w:r>
      <w:r w:rsidRPr="00915911" w:rsidR="00915911">
        <w:rPr>
          <w:rFonts w:ascii="Times New Roman" w:hAnsi="Times New Roman"/>
          <w:sz w:val="24"/>
          <w:szCs w:val="24"/>
        </w:rPr>
        <w:t xml:space="preserve"> and the GPRA Modernization Act of 2010 (Pub.L. 111-352, Sec 12)</w:t>
      </w:r>
      <w:r w:rsidR="00587732">
        <w:rPr>
          <w:rFonts w:ascii="Times New Roman" w:hAnsi="Times New Roman"/>
          <w:sz w:val="24"/>
          <w:szCs w:val="24"/>
        </w:rPr>
        <w:t>.</w:t>
      </w:r>
      <w:r w:rsidR="00915911">
        <w:rPr>
          <w:rFonts w:ascii="Times New Roman" w:hAnsi="Times New Roman"/>
          <w:sz w:val="24"/>
          <w:szCs w:val="24"/>
        </w:rPr>
        <w:t xml:space="preserve"> </w:t>
      </w:r>
    </w:p>
    <w:p w:rsidR="008325C1" w:rsidP="00AD1380" w14:paraId="6553627A" w14:textId="54D2C576">
      <w:pPr>
        <w:widowControl/>
        <w:spacing w:before="100" w:beforeAutospacing="1" w:after="100" w:afterAutospacing="1"/>
        <w:rPr>
          <w:rFonts w:ascii="Times New Roman" w:hAnsi="Times New Roman"/>
          <w:sz w:val="24"/>
          <w:szCs w:val="24"/>
        </w:rPr>
      </w:pPr>
      <w:r w:rsidRPr="00D93FFB">
        <w:rPr>
          <w:rFonts w:ascii="Times New Roman" w:hAnsi="Times New Roman"/>
          <w:snapToGrid/>
          <w:sz w:val="24"/>
          <w:szCs w:val="24"/>
        </w:rPr>
        <w:t>AC</w:t>
      </w:r>
      <w:r w:rsidR="00E3382E">
        <w:rPr>
          <w:rFonts w:ascii="Times New Roman" w:hAnsi="Times New Roman"/>
          <w:snapToGrid/>
          <w:sz w:val="24"/>
          <w:szCs w:val="24"/>
        </w:rPr>
        <w:t>L</w:t>
      </w:r>
      <w:r w:rsidRPr="00D93FFB">
        <w:rPr>
          <w:rFonts w:ascii="Times New Roman" w:hAnsi="Times New Roman"/>
          <w:snapToGrid/>
          <w:sz w:val="24"/>
          <w:szCs w:val="24"/>
        </w:rPr>
        <w:t xml:space="preserve"> is primarily a grant-making agency </w:t>
      </w:r>
      <w:r w:rsidR="003D7805">
        <w:rPr>
          <w:rFonts w:ascii="Times New Roman" w:hAnsi="Times New Roman"/>
          <w:snapToGrid/>
          <w:sz w:val="24"/>
          <w:szCs w:val="24"/>
        </w:rPr>
        <w:t>whose mission is to m</w:t>
      </w:r>
      <w:r w:rsidRPr="003D7805" w:rsidR="003D7805">
        <w:rPr>
          <w:rFonts w:ascii="Times New Roman" w:hAnsi="Times New Roman"/>
          <w:snapToGrid/>
          <w:sz w:val="24"/>
          <w:szCs w:val="24"/>
        </w:rPr>
        <w:t>aximize the independence, well-being, and health of older adults, people with disabilities across the lifespan, and their families and caregivers</w:t>
      </w:r>
      <w:r w:rsidR="003D7805">
        <w:rPr>
          <w:rFonts w:ascii="Times New Roman" w:hAnsi="Times New Roman"/>
          <w:snapToGrid/>
          <w:sz w:val="24"/>
          <w:szCs w:val="24"/>
        </w:rPr>
        <w:t xml:space="preserve"> by supporting partnerships and providing funding, guidance, training, and technical assistance.</w:t>
      </w:r>
      <w:r w:rsidR="00AD1380">
        <w:rPr>
          <w:rFonts w:ascii="Times New Roman" w:hAnsi="Times New Roman"/>
          <w:snapToGrid/>
          <w:sz w:val="24"/>
          <w:szCs w:val="24"/>
        </w:rPr>
        <w:t xml:space="preserve"> </w:t>
      </w:r>
      <w:r w:rsidRPr="742F0DC8" w:rsidR="00F21C4F">
        <w:rPr>
          <w:rFonts w:ascii="Times New Roman" w:hAnsi="Times New Roman"/>
          <w:sz w:val="24"/>
          <w:szCs w:val="24"/>
        </w:rPr>
        <w:t>The collection of program performance data</w:t>
      </w:r>
      <w:r w:rsidRPr="742F0DC8" w:rsidR="00F57C02">
        <w:rPr>
          <w:rFonts w:ascii="Times New Roman" w:hAnsi="Times New Roman"/>
          <w:sz w:val="24"/>
          <w:szCs w:val="24"/>
        </w:rPr>
        <w:t xml:space="preserve"> is required for all ACL</w:t>
      </w:r>
      <w:r w:rsidRPr="742F0DC8" w:rsidR="00AF7D1E">
        <w:rPr>
          <w:rFonts w:ascii="Times New Roman" w:hAnsi="Times New Roman"/>
          <w:sz w:val="24"/>
          <w:szCs w:val="24"/>
        </w:rPr>
        <w:t xml:space="preserve"> grantees, including grants authorized by the OA</w:t>
      </w:r>
      <w:r w:rsidR="000D58F6">
        <w:rPr>
          <w:rFonts w:ascii="Times New Roman" w:hAnsi="Times New Roman"/>
          <w:sz w:val="24"/>
          <w:szCs w:val="24"/>
        </w:rPr>
        <w:t>A</w:t>
      </w:r>
      <w:r w:rsidRPr="742F0DC8" w:rsidR="00AF7D1E">
        <w:rPr>
          <w:rFonts w:ascii="Times New Roman" w:hAnsi="Times New Roman"/>
          <w:sz w:val="24"/>
          <w:szCs w:val="24"/>
        </w:rPr>
        <w:t xml:space="preserve">, </w:t>
      </w:r>
      <w:r w:rsidRPr="742F0DC8" w:rsidR="001C0C77">
        <w:rPr>
          <w:rFonts w:ascii="Times New Roman" w:hAnsi="Times New Roman"/>
          <w:sz w:val="24"/>
          <w:szCs w:val="24"/>
        </w:rPr>
        <w:t>to</w:t>
      </w:r>
      <w:r w:rsidRPr="742F0DC8" w:rsidR="00F21C4F">
        <w:rPr>
          <w:rFonts w:ascii="Times New Roman" w:hAnsi="Times New Roman"/>
          <w:sz w:val="24"/>
          <w:szCs w:val="24"/>
        </w:rPr>
        <w:t xml:space="preserve">: </w:t>
      </w:r>
    </w:p>
    <w:p w:rsidR="008325C1" w:rsidP="008325C1" w14:paraId="47E30B75" w14:textId="77777777">
      <w:pPr>
        <w:pStyle w:val="ListParagraph"/>
        <w:widowControl/>
        <w:numPr>
          <w:ilvl w:val="0"/>
          <w:numId w:val="11"/>
        </w:numPr>
        <w:spacing w:before="100" w:beforeAutospacing="1" w:after="100" w:afterAutospacing="1"/>
        <w:rPr>
          <w:rFonts w:ascii="Times New Roman" w:hAnsi="Times New Roman"/>
          <w:sz w:val="24"/>
          <w:szCs w:val="24"/>
        </w:rPr>
      </w:pPr>
      <w:r>
        <w:rPr>
          <w:rFonts w:ascii="Times New Roman" w:hAnsi="Times New Roman"/>
          <w:sz w:val="24"/>
          <w:szCs w:val="24"/>
        </w:rPr>
        <w:t>M</w:t>
      </w:r>
      <w:r w:rsidRPr="008325C1" w:rsidR="00F21C4F">
        <w:rPr>
          <w:rFonts w:ascii="Times New Roman" w:hAnsi="Times New Roman"/>
          <w:sz w:val="24"/>
          <w:szCs w:val="24"/>
        </w:rPr>
        <w:t xml:space="preserve">onitor achievement of </w:t>
      </w:r>
      <w:r w:rsidRPr="008325C1" w:rsidR="00AF7D1E">
        <w:rPr>
          <w:rFonts w:ascii="Times New Roman" w:hAnsi="Times New Roman"/>
          <w:sz w:val="24"/>
          <w:szCs w:val="24"/>
        </w:rPr>
        <w:t xml:space="preserve">program </w:t>
      </w:r>
      <w:r w:rsidRPr="008325C1" w:rsidR="00F21C4F">
        <w:rPr>
          <w:rFonts w:ascii="Times New Roman" w:hAnsi="Times New Roman"/>
          <w:sz w:val="24"/>
          <w:szCs w:val="24"/>
        </w:rPr>
        <w:t xml:space="preserve">performance </w:t>
      </w:r>
      <w:r w:rsidRPr="008325C1" w:rsidR="00F21C4F">
        <w:rPr>
          <w:rFonts w:ascii="Times New Roman" w:hAnsi="Times New Roman"/>
          <w:sz w:val="24"/>
          <w:szCs w:val="24"/>
        </w:rPr>
        <w:t>objectives;</w:t>
      </w:r>
      <w:r w:rsidRPr="008325C1" w:rsidR="00F21C4F">
        <w:rPr>
          <w:rFonts w:ascii="Times New Roman" w:hAnsi="Times New Roman"/>
          <w:sz w:val="24"/>
          <w:szCs w:val="24"/>
        </w:rPr>
        <w:t xml:space="preserve"> </w:t>
      </w:r>
    </w:p>
    <w:p w:rsidR="008325C1" w:rsidP="008325C1" w14:paraId="7EA442DD" w14:textId="77777777">
      <w:pPr>
        <w:pStyle w:val="ListParagraph"/>
        <w:widowControl/>
        <w:numPr>
          <w:ilvl w:val="0"/>
          <w:numId w:val="11"/>
        </w:numPr>
        <w:spacing w:before="100" w:beforeAutospacing="1" w:after="100" w:afterAutospacing="1"/>
        <w:rPr>
          <w:rFonts w:ascii="Times New Roman" w:hAnsi="Times New Roman"/>
          <w:sz w:val="24"/>
          <w:szCs w:val="24"/>
        </w:rPr>
      </w:pPr>
      <w:r>
        <w:rPr>
          <w:rFonts w:ascii="Times New Roman" w:hAnsi="Times New Roman"/>
          <w:sz w:val="24"/>
          <w:szCs w:val="24"/>
        </w:rPr>
        <w:t>I</w:t>
      </w:r>
      <w:r w:rsidRPr="008325C1" w:rsidR="00F21C4F">
        <w:rPr>
          <w:rFonts w:ascii="Times New Roman" w:hAnsi="Times New Roman"/>
          <w:sz w:val="24"/>
          <w:szCs w:val="24"/>
        </w:rPr>
        <w:t xml:space="preserve">dentify areas of performance that may benefit from technical assistance and/or corrective action; </w:t>
      </w:r>
    </w:p>
    <w:p w:rsidR="008325C1" w:rsidP="008325C1" w14:paraId="537D36F4" w14:textId="77777777">
      <w:pPr>
        <w:pStyle w:val="ListParagraph"/>
        <w:widowControl/>
        <w:numPr>
          <w:ilvl w:val="0"/>
          <w:numId w:val="11"/>
        </w:numPr>
        <w:spacing w:before="100" w:beforeAutospacing="1" w:after="100" w:afterAutospacing="1"/>
        <w:rPr>
          <w:rFonts w:ascii="Times New Roman" w:hAnsi="Times New Roman"/>
          <w:sz w:val="24"/>
          <w:szCs w:val="24"/>
        </w:rPr>
      </w:pPr>
      <w:r>
        <w:rPr>
          <w:rFonts w:ascii="Times New Roman" w:hAnsi="Times New Roman"/>
          <w:sz w:val="24"/>
          <w:szCs w:val="24"/>
        </w:rPr>
        <w:t>E</w:t>
      </w:r>
      <w:r w:rsidRPr="008325C1" w:rsidR="00F21C4F">
        <w:rPr>
          <w:rFonts w:ascii="Times New Roman" w:hAnsi="Times New Roman"/>
          <w:sz w:val="24"/>
          <w:szCs w:val="24"/>
        </w:rPr>
        <w:t xml:space="preserve">stablish program policy and direction; and </w:t>
      </w:r>
    </w:p>
    <w:p w:rsidR="00F57C02" w:rsidRPr="008325C1" w:rsidP="008325C1" w14:paraId="3AA20F34" w14:textId="14F66B52">
      <w:pPr>
        <w:pStyle w:val="ListParagraph"/>
        <w:widowControl/>
        <w:numPr>
          <w:ilvl w:val="0"/>
          <w:numId w:val="11"/>
        </w:numPr>
        <w:spacing w:before="100" w:beforeAutospacing="1" w:after="100" w:afterAutospacing="1"/>
        <w:rPr>
          <w:rFonts w:ascii="Times New Roman" w:hAnsi="Times New Roman"/>
          <w:sz w:val="24"/>
          <w:szCs w:val="24"/>
        </w:rPr>
      </w:pPr>
      <w:r>
        <w:rPr>
          <w:rFonts w:ascii="Times New Roman" w:hAnsi="Times New Roman"/>
          <w:sz w:val="24"/>
          <w:szCs w:val="24"/>
        </w:rPr>
        <w:t>P</w:t>
      </w:r>
      <w:r w:rsidRPr="008325C1" w:rsidR="00F21C4F">
        <w:rPr>
          <w:rFonts w:ascii="Times New Roman" w:hAnsi="Times New Roman"/>
          <w:sz w:val="24"/>
          <w:szCs w:val="24"/>
        </w:rPr>
        <w:t>repare responses and reports for Congress, the O</w:t>
      </w:r>
      <w:r w:rsidRPr="008325C1" w:rsidR="00B369FE">
        <w:rPr>
          <w:rFonts w:ascii="Times New Roman" w:hAnsi="Times New Roman"/>
          <w:sz w:val="24"/>
          <w:szCs w:val="24"/>
        </w:rPr>
        <w:t xml:space="preserve">ffice of </w:t>
      </w:r>
      <w:r w:rsidRPr="008325C1" w:rsidR="00F21C4F">
        <w:rPr>
          <w:rFonts w:ascii="Times New Roman" w:hAnsi="Times New Roman"/>
          <w:sz w:val="24"/>
          <w:szCs w:val="24"/>
        </w:rPr>
        <w:t>M</w:t>
      </w:r>
      <w:r w:rsidRPr="008325C1" w:rsidR="00B369FE">
        <w:rPr>
          <w:rFonts w:ascii="Times New Roman" w:hAnsi="Times New Roman"/>
          <w:sz w:val="24"/>
          <w:szCs w:val="24"/>
        </w:rPr>
        <w:t xml:space="preserve">anagement and </w:t>
      </w:r>
      <w:r w:rsidRPr="008325C1" w:rsidR="00F21C4F">
        <w:rPr>
          <w:rFonts w:ascii="Times New Roman" w:hAnsi="Times New Roman"/>
          <w:sz w:val="24"/>
          <w:szCs w:val="24"/>
        </w:rPr>
        <w:t>B</w:t>
      </w:r>
      <w:r w:rsidRPr="008325C1" w:rsidR="00B369FE">
        <w:rPr>
          <w:rFonts w:ascii="Times New Roman" w:hAnsi="Times New Roman"/>
          <w:sz w:val="24"/>
          <w:szCs w:val="24"/>
        </w:rPr>
        <w:t>udget (OMB)</w:t>
      </w:r>
      <w:r w:rsidRPr="008325C1" w:rsidR="00F21C4F">
        <w:rPr>
          <w:rFonts w:ascii="Times New Roman" w:hAnsi="Times New Roman"/>
          <w:sz w:val="24"/>
          <w:szCs w:val="24"/>
        </w:rPr>
        <w:t xml:space="preserve">, </w:t>
      </w:r>
      <w:r>
        <w:rPr>
          <w:rFonts w:ascii="Times New Roman" w:hAnsi="Times New Roman"/>
          <w:sz w:val="24"/>
          <w:szCs w:val="24"/>
        </w:rPr>
        <w:t>the public, and l</w:t>
      </w:r>
      <w:r w:rsidRPr="008325C1" w:rsidR="00F21C4F">
        <w:rPr>
          <w:rFonts w:ascii="Times New Roman" w:hAnsi="Times New Roman"/>
          <w:sz w:val="24"/>
          <w:szCs w:val="24"/>
        </w:rPr>
        <w:t>egislatively required reports.</w:t>
      </w:r>
      <w:r w:rsidRPr="008325C1" w:rsidR="008623CE">
        <w:rPr>
          <w:rFonts w:ascii="Times New Roman" w:hAnsi="Times New Roman"/>
          <w:sz w:val="24"/>
          <w:szCs w:val="24"/>
        </w:rPr>
        <w:t xml:space="preserve"> </w:t>
      </w:r>
    </w:p>
    <w:p w:rsidR="001E45CF" w:rsidP="00AD1380" w14:paraId="078972DF" w14:textId="056F4697">
      <w:pPr>
        <w:widowControl/>
        <w:spacing w:before="100" w:beforeAutospacing="1" w:after="100" w:afterAutospacing="1"/>
        <w:rPr>
          <w:rFonts w:ascii="Times New Roman" w:hAnsi="Times New Roman"/>
          <w:sz w:val="24"/>
          <w:szCs w:val="24"/>
        </w:rPr>
      </w:pPr>
      <w:r w:rsidRPr="00B706CD">
        <w:rPr>
          <w:rFonts w:ascii="Times New Roman" w:hAnsi="Times New Roman"/>
          <w:sz w:val="24"/>
          <w:szCs w:val="24"/>
        </w:rPr>
        <w:t xml:space="preserve">If </w:t>
      </w:r>
      <w:r>
        <w:rPr>
          <w:rFonts w:ascii="Times New Roman" w:hAnsi="Times New Roman"/>
          <w:sz w:val="24"/>
          <w:szCs w:val="24"/>
        </w:rPr>
        <w:t>ACL</w:t>
      </w:r>
      <w:r w:rsidRPr="00B706CD">
        <w:rPr>
          <w:rFonts w:ascii="Times New Roman" w:hAnsi="Times New Roman"/>
          <w:sz w:val="24"/>
          <w:szCs w:val="24"/>
        </w:rPr>
        <w:t xml:space="preserve"> did not collect </w:t>
      </w:r>
      <w:r>
        <w:rPr>
          <w:rFonts w:ascii="Times New Roman" w:hAnsi="Times New Roman"/>
          <w:sz w:val="24"/>
          <w:szCs w:val="24"/>
        </w:rPr>
        <w:t>program performance data</w:t>
      </w:r>
      <w:r w:rsidRPr="00B706CD">
        <w:rPr>
          <w:rFonts w:ascii="Times New Roman" w:hAnsi="Times New Roman"/>
          <w:sz w:val="24"/>
          <w:szCs w:val="24"/>
        </w:rPr>
        <w:t xml:space="preserve">, </w:t>
      </w:r>
      <w:r w:rsidR="00B369FE">
        <w:rPr>
          <w:rFonts w:ascii="Times New Roman" w:hAnsi="Times New Roman"/>
          <w:sz w:val="24"/>
          <w:szCs w:val="24"/>
        </w:rPr>
        <w:t>the agency</w:t>
      </w:r>
      <w:r w:rsidRPr="00B706CD">
        <w:rPr>
          <w:rFonts w:ascii="Times New Roman" w:hAnsi="Times New Roman"/>
          <w:sz w:val="24"/>
          <w:szCs w:val="24"/>
        </w:rPr>
        <w:t xml:space="preserve"> would </w:t>
      </w:r>
      <w:r>
        <w:rPr>
          <w:rFonts w:ascii="Times New Roman" w:hAnsi="Times New Roman"/>
          <w:sz w:val="24"/>
          <w:szCs w:val="24"/>
        </w:rPr>
        <w:t>be unable</w:t>
      </w:r>
      <w:r w:rsidRPr="00B706CD">
        <w:rPr>
          <w:rFonts w:ascii="Times New Roman" w:hAnsi="Times New Roman"/>
          <w:sz w:val="24"/>
          <w:szCs w:val="24"/>
        </w:rPr>
        <w:t xml:space="preserve"> to monitor and manage program p</w:t>
      </w:r>
      <w:r>
        <w:rPr>
          <w:rFonts w:ascii="Times New Roman" w:hAnsi="Times New Roman"/>
          <w:sz w:val="24"/>
          <w:szCs w:val="24"/>
        </w:rPr>
        <w:t>erformance</w:t>
      </w:r>
      <w:r w:rsidRPr="00B706CD">
        <w:rPr>
          <w:rFonts w:ascii="Times New Roman" w:hAnsi="Times New Roman"/>
          <w:sz w:val="24"/>
          <w:szCs w:val="24"/>
        </w:rPr>
        <w:t xml:space="preserve"> as expected</w:t>
      </w:r>
      <w:r>
        <w:rPr>
          <w:rFonts w:ascii="Times New Roman" w:hAnsi="Times New Roman"/>
          <w:sz w:val="24"/>
          <w:szCs w:val="24"/>
        </w:rPr>
        <w:t xml:space="preserve"> or </w:t>
      </w:r>
      <w:r w:rsidRPr="00B706CD">
        <w:rPr>
          <w:rFonts w:ascii="Times New Roman" w:hAnsi="Times New Roman"/>
          <w:sz w:val="24"/>
          <w:szCs w:val="24"/>
        </w:rPr>
        <w:t xml:space="preserve">develop program </w:t>
      </w:r>
      <w:r w:rsidR="00355E4C">
        <w:rPr>
          <w:rFonts w:ascii="Times New Roman" w:hAnsi="Times New Roman"/>
          <w:sz w:val="24"/>
          <w:szCs w:val="24"/>
        </w:rPr>
        <w:t xml:space="preserve">changes or improvements </w:t>
      </w:r>
      <w:r w:rsidRPr="00B706CD">
        <w:rPr>
          <w:rFonts w:ascii="Times New Roman" w:hAnsi="Times New Roman"/>
          <w:sz w:val="24"/>
          <w:szCs w:val="24"/>
        </w:rPr>
        <w:t xml:space="preserve">directed toward assuring the most effective use of limited </w:t>
      </w:r>
      <w:r>
        <w:rPr>
          <w:rFonts w:ascii="Times New Roman" w:hAnsi="Times New Roman"/>
          <w:sz w:val="24"/>
          <w:szCs w:val="24"/>
        </w:rPr>
        <w:t>OAA</w:t>
      </w:r>
      <w:r w:rsidR="000D58F6">
        <w:rPr>
          <w:rFonts w:ascii="Times New Roman" w:hAnsi="Times New Roman"/>
          <w:sz w:val="24"/>
          <w:szCs w:val="24"/>
        </w:rPr>
        <w:t xml:space="preserve"> </w:t>
      </w:r>
      <w:r w:rsidRPr="00B706CD">
        <w:rPr>
          <w:rFonts w:ascii="Times New Roman" w:hAnsi="Times New Roman"/>
          <w:sz w:val="24"/>
          <w:szCs w:val="24"/>
        </w:rPr>
        <w:t>funds.</w:t>
      </w:r>
    </w:p>
    <w:p w:rsidR="00C1455A" w:rsidP="001E45CF" w14:paraId="18E8E172" w14:textId="1D5C6D65">
      <w:pPr>
        <w:rPr>
          <w:rFonts w:ascii="Times New Roman" w:hAnsi="Times New Roman"/>
          <w:sz w:val="24"/>
          <w:szCs w:val="24"/>
        </w:rPr>
      </w:pPr>
      <w:r>
        <w:rPr>
          <w:rFonts w:ascii="Times New Roman" w:hAnsi="Times New Roman"/>
          <w:sz w:val="24"/>
          <w:szCs w:val="24"/>
        </w:rPr>
        <w:t>Program</w:t>
      </w:r>
      <w:r w:rsidRPr="742F0DC8">
        <w:rPr>
          <w:rFonts w:ascii="Times New Roman" w:hAnsi="Times New Roman"/>
          <w:sz w:val="24"/>
          <w:szCs w:val="24"/>
        </w:rPr>
        <w:t xml:space="preserve"> performance data for OAA authorized grant programs</w:t>
      </w:r>
      <w:r>
        <w:rPr>
          <w:rFonts w:ascii="Times New Roman" w:hAnsi="Times New Roman"/>
          <w:sz w:val="24"/>
          <w:szCs w:val="24"/>
        </w:rPr>
        <w:t xml:space="preserve"> was </w:t>
      </w:r>
      <w:r w:rsidRPr="742F0DC8">
        <w:rPr>
          <w:rFonts w:ascii="Times New Roman" w:hAnsi="Times New Roman"/>
          <w:sz w:val="24"/>
          <w:szCs w:val="24"/>
        </w:rPr>
        <w:t xml:space="preserve">captured under </w:t>
      </w:r>
      <w:r>
        <w:rPr>
          <w:rFonts w:ascii="Times New Roman" w:hAnsi="Times New Roman"/>
          <w:sz w:val="24"/>
          <w:szCs w:val="24"/>
        </w:rPr>
        <w:t>the following</w:t>
      </w:r>
      <w:r w:rsidRPr="742F0DC8">
        <w:rPr>
          <w:rFonts w:ascii="Times New Roman" w:hAnsi="Times New Roman"/>
          <w:sz w:val="24"/>
          <w:szCs w:val="24"/>
        </w:rPr>
        <w:t xml:space="preserve"> </w:t>
      </w:r>
      <w:r w:rsidRPr="742F0DC8" w:rsidR="00D606DF">
        <w:rPr>
          <w:rFonts w:ascii="Times New Roman" w:hAnsi="Times New Roman"/>
          <w:sz w:val="24"/>
          <w:szCs w:val="24"/>
        </w:rPr>
        <w:t xml:space="preserve">OMB </w:t>
      </w:r>
      <w:r w:rsidRPr="742F0DC8">
        <w:rPr>
          <w:rFonts w:ascii="Times New Roman" w:hAnsi="Times New Roman"/>
          <w:sz w:val="24"/>
          <w:szCs w:val="24"/>
        </w:rPr>
        <w:t>information collections</w:t>
      </w:r>
      <w:r w:rsidR="00FE4598">
        <w:rPr>
          <w:rFonts w:ascii="Times New Roman" w:hAnsi="Times New Roman"/>
          <w:sz w:val="24"/>
          <w:szCs w:val="24"/>
        </w:rPr>
        <w:t>:</w:t>
      </w:r>
    </w:p>
    <w:p w:rsidR="00343525" w:rsidRPr="000034BE" w:rsidP="00343525" w14:paraId="604FC679" w14:textId="2CA75D3D">
      <w:pPr>
        <w:pStyle w:val="ListParagraph"/>
        <w:numPr>
          <w:ilvl w:val="0"/>
          <w:numId w:val="12"/>
        </w:numPr>
        <w:rPr>
          <w:rFonts w:ascii="Times New Roman" w:hAnsi="Times New Roman"/>
          <w:bCs/>
          <w:sz w:val="24"/>
          <w:szCs w:val="24"/>
        </w:rPr>
      </w:pPr>
      <w:r w:rsidRPr="000034BE">
        <w:rPr>
          <w:rFonts w:ascii="Times New Roman" w:hAnsi="Times New Roman" w:cs="Times New Roman"/>
          <w:sz w:val="24"/>
          <w:szCs w:val="24"/>
        </w:rPr>
        <w:t>Performance (Progress) Report for AoA Grantees (</w:t>
      </w:r>
      <w:r w:rsidRPr="000034BE">
        <w:rPr>
          <w:rFonts w:ascii="Times New Roman" w:hAnsi="Times New Roman"/>
          <w:bCs/>
          <w:sz w:val="24"/>
          <w:szCs w:val="24"/>
        </w:rPr>
        <w:t>0985-0006)</w:t>
      </w:r>
    </w:p>
    <w:p w:rsidR="00FE4598" w:rsidRPr="000034BE" w:rsidP="00FE4598" w14:paraId="05FE60FB" w14:textId="003C2AAD">
      <w:pPr>
        <w:pStyle w:val="ListParagraph"/>
        <w:numPr>
          <w:ilvl w:val="0"/>
          <w:numId w:val="12"/>
        </w:numPr>
        <w:rPr>
          <w:rFonts w:ascii="Times New Roman" w:hAnsi="Times New Roman"/>
          <w:bCs/>
          <w:sz w:val="24"/>
          <w:szCs w:val="24"/>
        </w:rPr>
      </w:pPr>
      <w:r w:rsidRPr="000034BE">
        <w:rPr>
          <w:rFonts w:ascii="Times New Roman" w:hAnsi="Times New Roman" w:cs="Times New Roman"/>
          <w:sz w:val="24"/>
          <w:szCs w:val="24"/>
        </w:rPr>
        <w:t>State Performance Report for FY 2022-2025 (</w:t>
      </w:r>
      <w:r w:rsidRPr="000034BE">
        <w:rPr>
          <w:rFonts w:ascii="Times New Roman" w:hAnsi="Times New Roman"/>
          <w:bCs/>
          <w:sz w:val="24"/>
          <w:szCs w:val="24"/>
        </w:rPr>
        <w:t>0985-0072)</w:t>
      </w:r>
    </w:p>
    <w:p w:rsidR="00474D82" w:rsidRPr="00D93FFB" w:rsidP="00474D82" w14:paraId="10A8A7AC" w14:textId="77777777">
      <w:pPr>
        <w:widowControl/>
        <w:rPr>
          <w:rFonts w:ascii="Times New Roman" w:hAnsi="Times New Roman"/>
          <w:snapToGrid/>
          <w:sz w:val="24"/>
          <w:szCs w:val="24"/>
        </w:rPr>
      </w:pPr>
    </w:p>
    <w:p w:rsidR="007E1599" w:rsidP="00474D82" w14:paraId="583F8CD7" w14:textId="393E6878">
      <w:pPr>
        <w:widowControl/>
        <w:numPr>
          <w:ilvl w:val="0"/>
          <w:numId w:val="1"/>
        </w:numPr>
        <w:tabs>
          <w:tab w:val="num" w:pos="360"/>
          <w:tab w:val="clear" w:pos="720"/>
        </w:tabs>
        <w:spacing w:after="120"/>
        <w:ind w:left="360"/>
        <w:rPr>
          <w:rFonts w:ascii="Times New Roman" w:hAnsi="Times New Roman"/>
          <w:b/>
          <w:snapToGrid/>
          <w:sz w:val="24"/>
          <w:szCs w:val="24"/>
        </w:rPr>
      </w:pPr>
      <w:r w:rsidRPr="742F0DC8">
        <w:rPr>
          <w:rFonts w:ascii="Times New Roman" w:hAnsi="Times New Roman"/>
          <w:b/>
          <w:bCs/>
          <w:snapToGrid/>
          <w:sz w:val="24"/>
          <w:szCs w:val="24"/>
        </w:rPr>
        <w:t xml:space="preserve">   </w:t>
      </w:r>
      <w:r w:rsidRPr="00AD1380">
        <w:rPr>
          <w:rFonts w:ascii="Times New Roman" w:hAnsi="Times New Roman"/>
          <w:b/>
          <w:snapToGrid/>
          <w:sz w:val="24"/>
          <w:szCs w:val="24"/>
        </w:rPr>
        <w:t>Purpose and Use of the Information Collection</w:t>
      </w:r>
    </w:p>
    <w:p w:rsidR="002E36E4" w:rsidP="00D606DF" w14:paraId="33B0CE47" w14:textId="77777777">
      <w:pPr>
        <w:rPr>
          <w:rFonts w:ascii="Times New Roman" w:hAnsi="Times New Roman"/>
          <w:sz w:val="24"/>
          <w:szCs w:val="24"/>
        </w:rPr>
      </w:pPr>
      <w:bookmarkStart w:id="0" w:name="_Hlk158707644"/>
      <w:r w:rsidRPr="006B5F79">
        <w:rPr>
          <w:rFonts w:ascii="Times New Roman" w:hAnsi="Times New Roman"/>
          <w:bCs/>
          <w:snapToGrid/>
          <w:sz w:val="24"/>
          <w:szCs w:val="24"/>
        </w:rPr>
        <w:t xml:space="preserve">ACL </w:t>
      </w:r>
      <w:r w:rsidR="00355E4C">
        <w:rPr>
          <w:rFonts w:ascii="Times New Roman" w:hAnsi="Times New Roman"/>
          <w:bCs/>
          <w:snapToGrid/>
          <w:sz w:val="24"/>
          <w:szCs w:val="24"/>
        </w:rPr>
        <w:t>consistently looks</w:t>
      </w:r>
      <w:r w:rsidRPr="006B5F79">
        <w:rPr>
          <w:rFonts w:ascii="Times New Roman" w:hAnsi="Times New Roman"/>
          <w:bCs/>
          <w:snapToGrid/>
          <w:sz w:val="24"/>
          <w:szCs w:val="24"/>
        </w:rPr>
        <w:t xml:space="preserve"> for ways to</w:t>
      </w:r>
      <w:r>
        <w:rPr>
          <w:rFonts w:ascii="Times New Roman" w:hAnsi="Times New Roman"/>
          <w:b/>
          <w:snapToGrid/>
          <w:sz w:val="24"/>
          <w:szCs w:val="24"/>
        </w:rPr>
        <w:t xml:space="preserve"> </w:t>
      </w:r>
      <w:r w:rsidRPr="742F0DC8">
        <w:rPr>
          <w:rFonts w:ascii="Times New Roman" w:hAnsi="Times New Roman"/>
          <w:sz w:val="24"/>
          <w:szCs w:val="24"/>
        </w:rPr>
        <w:t xml:space="preserve">streamline the collection of required </w:t>
      </w:r>
      <w:r w:rsidR="008862D3">
        <w:rPr>
          <w:rFonts w:ascii="Times New Roman" w:hAnsi="Times New Roman"/>
          <w:sz w:val="24"/>
          <w:szCs w:val="24"/>
        </w:rPr>
        <w:t xml:space="preserve">program </w:t>
      </w:r>
      <w:r w:rsidRPr="742F0DC8">
        <w:rPr>
          <w:rFonts w:ascii="Times New Roman" w:hAnsi="Times New Roman"/>
          <w:sz w:val="24"/>
          <w:szCs w:val="24"/>
        </w:rPr>
        <w:t>performance data.</w:t>
      </w:r>
      <w:r w:rsidRPr="742F0DC8" w:rsidR="00C1455A">
        <w:rPr>
          <w:rFonts w:ascii="Times New Roman" w:hAnsi="Times New Roman"/>
          <w:sz w:val="24"/>
          <w:szCs w:val="24"/>
        </w:rPr>
        <w:t xml:space="preserve"> </w:t>
      </w:r>
      <w:r w:rsidRPr="742F0DC8" w:rsidR="00326ECE">
        <w:rPr>
          <w:rFonts w:ascii="Times New Roman" w:hAnsi="Times New Roman"/>
          <w:sz w:val="24"/>
          <w:szCs w:val="24"/>
        </w:rPr>
        <w:t>T</w:t>
      </w:r>
      <w:r w:rsidRPr="742F0DC8" w:rsidR="00187810">
        <w:rPr>
          <w:rFonts w:ascii="Times New Roman" w:hAnsi="Times New Roman"/>
          <w:sz w:val="24"/>
          <w:szCs w:val="24"/>
        </w:rPr>
        <w:t xml:space="preserve">he proposed </w:t>
      </w:r>
      <w:r w:rsidR="000D58F6">
        <w:rPr>
          <w:rFonts w:ascii="Times New Roman" w:hAnsi="Times New Roman"/>
          <w:i/>
          <w:iCs/>
          <w:sz w:val="24"/>
          <w:szCs w:val="24"/>
        </w:rPr>
        <w:t xml:space="preserve">ACL </w:t>
      </w:r>
      <w:r w:rsidR="0078710A">
        <w:rPr>
          <w:rFonts w:ascii="Times New Roman" w:hAnsi="Times New Roman"/>
          <w:i/>
          <w:iCs/>
          <w:sz w:val="24"/>
          <w:szCs w:val="24"/>
        </w:rPr>
        <w:t xml:space="preserve">Consolidated </w:t>
      </w:r>
      <w:r w:rsidRPr="00A07340" w:rsidR="00187810">
        <w:rPr>
          <w:rFonts w:ascii="Times New Roman" w:hAnsi="Times New Roman"/>
          <w:i/>
          <w:iCs/>
          <w:sz w:val="24"/>
          <w:szCs w:val="24"/>
        </w:rPr>
        <w:t>Program Performance Report Information Collection</w:t>
      </w:r>
      <w:r w:rsidRPr="742F0DC8" w:rsidR="00187810">
        <w:rPr>
          <w:rFonts w:ascii="Times New Roman" w:hAnsi="Times New Roman"/>
          <w:sz w:val="24"/>
          <w:szCs w:val="24"/>
        </w:rPr>
        <w:t xml:space="preserve"> </w:t>
      </w:r>
      <w:r w:rsidR="00EC68DC">
        <w:rPr>
          <w:rFonts w:ascii="Times New Roman" w:hAnsi="Times New Roman"/>
          <w:sz w:val="24"/>
          <w:szCs w:val="24"/>
        </w:rPr>
        <w:t>is</w:t>
      </w:r>
      <w:r w:rsidRPr="742F0DC8" w:rsidR="00187810">
        <w:rPr>
          <w:rFonts w:ascii="Times New Roman" w:hAnsi="Times New Roman"/>
          <w:sz w:val="24"/>
          <w:szCs w:val="24"/>
        </w:rPr>
        <w:t xml:space="preserve"> a</w:t>
      </w:r>
      <w:r w:rsidR="00012A26">
        <w:rPr>
          <w:rFonts w:ascii="Times New Roman" w:hAnsi="Times New Roman"/>
          <w:sz w:val="24"/>
          <w:szCs w:val="24"/>
        </w:rPr>
        <w:t>n efficient m</w:t>
      </w:r>
      <w:r w:rsidRPr="742F0DC8" w:rsidR="00A87BA1">
        <w:rPr>
          <w:rFonts w:ascii="Times New Roman" w:hAnsi="Times New Roman"/>
          <w:sz w:val="24"/>
          <w:szCs w:val="24"/>
        </w:rPr>
        <w:t xml:space="preserve">echanism </w:t>
      </w:r>
      <w:r w:rsidRPr="742F0DC8" w:rsidR="00187810">
        <w:rPr>
          <w:rFonts w:ascii="Times New Roman" w:hAnsi="Times New Roman"/>
          <w:sz w:val="24"/>
          <w:szCs w:val="24"/>
        </w:rPr>
        <w:t xml:space="preserve">for the collection of </w:t>
      </w:r>
      <w:r w:rsidR="00A07340">
        <w:rPr>
          <w:rFonts w:ascii="Times New Roman" w:hAnsi="Times New Roman"/>
          <w:sz w:val="24"/>
          <w:szCs w:val="24"/>
        </w:rPr>
        <w:t>program performance data</w:t>
      </w:r>
      <w:r w:rsidRPr="742F0DC8" w:rsidR="00187810">
        <w:rPr>
          <w:rFonts w:ascii="Times New Roman" w:hAnsi="Times New Roman"/>
          <w:sz w:val="24"/>
          <w:szCs w:val="24"/>
        </w:rPr>
        <w:t xml:space="preserve"> </w:t>
      </w:r>
      <w:r w:rsidRPr="742F0DC8" w:rsidR="00C1455A">
        <w:rPr>
          <w:rFonts w:ascii="Times New Roman" w:hAnsi="Times New Roman"/>
          <w:sz w:val="24"/>
          <w:szCs w:val="24"/>
        </w:rPr>
        <w:t xml:space="preserve">elements </w:t>
      </w:r>
      <w:r w:rsidRPr="742F0DC8" w:rsidR="00187810">
        <w:rPr>
          <w:rFonts w:ascii="Times New Roman" w:hAnsi="Times New Roman"/>
          <w:sz w:val="24"/>
          <w:szCs w:val="24"/>
        </w:rPr>
        <w:t>across OAA</w:t>
      </w:r>
      <w:r w:rsidR="000D58F6">
        <w:rPr>
          <w:rFonts w:ascii="Times New Roman" w:hAnsi="Times New Roman"/>
          <w:sz w:val="24"/>
          <w:szCs w:val="24"/>
        </w:rPr>
        <w:t xml:space="preserve"> </w:t>
      </w:r>
      <w:r w:rsidRPr="742F0DC8" w:rsidR="00187810">
        <w:rPr>
          <w:rFonts w:ascii="Times New Roman" w:hAnsi="Times New Roman"/>
          <w:sz w:val="24"/>
          <w:szCs w:val="24"/>
        </w:rPr>
        <w:t xml:space="preserve">authorized programs, </w:t>
      </w:r>
      <w:r w:rsidR="00EC68DC">
        <w:rPr>
          <w:rFonts w:ascii="Times New Roman" w:hAnsi="Times New Roman"/>
          <w:sz w:val="24"/>
          <w:szCs w:val="24"/>
        </w:rPr>
        <w:t>and ensur</w:t>
      </w:r>
      <w:r w:rsidR="000D58F6">
        <w:rPr>
          <w:rFonts w:ascii="Times New Roman" w:hAnsi="Times New Roman"/>
          <w:sz w:val="24"/>
          <w:szCs w:val="24"/>
        </w:rPr>
        <w:t>e</w:t>
      </w:r>
      <w:r w:rsidRPr="742F0DC8" w:rsidR="003C4640">
        <w:rPr>
          <w:rFonts w:ascii="Times New Roman" w:hAnsi="Times New Roman"/>
          <w:sz w:val="24"/>
          <w:szCs w:val="24"/>
        </w:rPr>
        <w:t xml:space="preserve"> </w:t>
      </w:r>
      <w:r w:rsidRPr="742F0DC8" w:rsidR="00187810">
        <w:rPr>
          <w:rFonts w:ascii="Times New Roman" w:hAnsi="Times New Roman"/>
          <w:sz w:val="24"/>
          <w:szCs w:val="24"/>
        </w:rPr>
        <w:t>each programs</w:t>
      </w:r>
      <w:r w:rsidR="0058101C">
        <w:rPr>
          <w:rFonts w:ascii="Times New Roman" w:hAnsi="Times New Roman"/>
          <w:sz w:val="24"/>
          <w:szCs w:val="24"/>
        </w:rPr>
        <w:t>’</w:t>
      </w:r>
      <w:r w:rsidRPr="742F0DC8" w:rsidR="00187810">
        <w:rPr>
          <w:rFonts w:ascii="Times New Roman" w:hAnsi="Times New Roman"/>
          <w:sz w:val="24"/>
          <w:szCs w:val="24"/>
        </w:rPr>
        <w:t xml:space="preserve"> indicators, demographics, priorities, and objectives are being achieved</w:t>
      </w:r>
      <w:r w:rsidRPr="742F0DC8" w:rsidR="00326ECE">
        <w:rPr>
          <w:rFonts w:ascii="Times New Roman" w:hAnsi="Times New Roman"/>
          <w:sz w:val="24"/>
          <w:szCs w:val="24"/>
        </w:rPr>
        <w:t>.</w:t>
      </w:r>
      <w:bookmarkEnd w:id="0"/>
      <w:r w:rsidRPr="742F0DC8" w:rsidR="00D606DF">
        <w:rPr>
          <w:rFonts w:ascii="Times New Roman" w:hAnsi="Times New Roman"/>
          <w:sz w:val="24"/>
          <w:szCs w:val="24"/>
        </w:rPr>
        <w:t xml:space="preserve"> </w:t>
      </w:r>
    </w:p>
    <w:p w:rsidR="002E36E4" w:rsidP="00D606DF" w14:paraId="3B466C03" w14:textId="77777777">
      <w:pPr>
        <w:rPr>
          <w:rFonts w:ascii="Times New Roman" w:hAnsi="Times New Roman"/>
          <w:sz w:val="24"/>
          <w:szCs w:val="24"/>
        </w:rPr>
      </w:pPr>
    </w:p>
    <w:p w:rsidR="000A60CA" w:rsidP="00D606DF" w14:paraId="7B2930FB" w14:textId="20E639DC">
      <w:pPr>
        <w:rPr>
          <w:rFonts w:ascii="Times New Roman" w:hAnsi="Times New Roman"/>
          <w:snapToGrid/>
          <w:sz w:val="24"/>
          <w:szCs w:val="24"/>
        </w:rPr>
      </w:pPr>
      <w:r w:rsidRPr="742F0DC8">
        <w:rPr>
          <w:rFonts w:ascii="Times New Roman" w:hAnsi="Times New Roman"/>
          <w:sz w:val="24"/>
          <w:szCs w:val="24"/>
        </w:rPr>
        <w:t xml:space="preserve">The collection of </w:t>
      </w:r>
      <w:r w:rsidRPr="742F0DC8" w:rsidR="00C1455A">
        <w:rPr>
          <w:rFonts w:ascii="Times New Roman" w:hAnsi="Times New Roman"/>
          <w:sz w:val="24"/>
          <w:szCs w:val="24"/>
        </w:rPr>
        <w:t>performance elements</w:t>
      </w:r>
      <w:r w:rsidR="00B937C0">
        <w:rPr>
          <w:rFonts w:ascii="Times New Roman" w:hAnsi="Times New Roman"/>
          <w:sz w:val="24"/>
          <w:szCs w:val="24"/>
        </w:rPr>
        <w:t xml:space="preserve"> will enable ACL to</w:t>
      </w:r>
      <w:r w:rsidR="00766ED0">
        <w:rPr>
          <w:rFonts w:ascii="Times New Roman" w:hAnsi="Times New Roman"/>
          <w:sz w:val="24"/>
          <w:szCs w:val="24"/>
        </w:rPr>
        <w:t xml:space="preserve"> analyze program performance </w:t>
      </w:r>
      <w:r w:rsidR="00012A26">
        <w:rPr>
          <w:rFonts w:ascii="Times New Roman" w:hAnsi="Times New Roman"/>
          <w:sz w:val="24"/>
          <w:szCs w:val="24"/>
        </w:rPr>
        <w:t xml:space="preserve">broadly </w:t>
      </w:r>
      <w:r w:rsidR="00766ED0">
        <w:rPr>
          <w:rFonts w:ascii="Times New Roman" w:hAnsi="Times New Roman"/>
          <w:sz w:val="24"/>
          <w:szCs w:val="24"/>
        </w:rPr>
        <w:t xml:space="preserve">across </w:t>
      </w:r>
      <w:r w:rsidR="00012A26">
        <w:rPr>
          <w:rFonts w:ascii="Times New Roman" w:hAnsi="Times New Roman"/>
          <w:sz w:val="24"/>
          <w:szCs w:val="24"/>
        </w:rPr>
        <w:t>its</w:t>
      </w:r>
      <w:r w:rsidR="00B937C0">
        <w:rPr>
          <w:rFonts w:ascii="Times New Roman" w:hAnsi="Times New Roman"/>
          <w:sz w:val="24"/>
          <w:szCs w:val="24"/>
        </w:rPr>
        <w:t xml:space="preserve"> </w:t>
      </w:r>
      <w:r w:rsidR="00766ED0">
        <w:rPr>
          <w:rFonts w:ascii="Times New Roman" w:hAnsi="Times New Roman"/>
          <w:sz w:val="24"/>
          <w:szCs w:val="24"/>
        </w:rPr>
        <w:t xml:space="preserve">grantee </w:t>
      </w:r>
      <w:r w:rsidR="00EC68DC">
        <w:rPr>
          <w:rFonts w:ascii="Times New Roman" w:hAnsi="Times New Roman"/>
          <w:sz w:val="24"/>
          <w:szCs w:val="24"/>
        </w:rPr>
        <w:t>portfolio</w:t>
      </w:r>
      <w:r w:rsidRPr="742F0DC8" w:rsidR="00EC68DC">
        <w:rPr>
          <w:rFonts w:ascii="Times New Roman" w:hAnsi="Times New Roman"/>
          <w:sz w:val="24"/>
          <w:szCs w:val="24"/>
        </w:rPr>
        <w:t>,</w:t>
      </w:r>
      <w:r w:rsidR="00EC68DC">
        <w:rPr>
          <w:rFonts w:ascii="Times New Roman" w:hAnsi="Times New Roman"/>
          <w:sz w:val="24"/>
          <w:szCs w:val="24"/>
        </w:rPr>
        <w:t xml:space="preserve"> allowing ACL and its grantees to align measures over time</w:t>
      </w:r>
      <w:r w:rsidR="00766ED0">
        <w:rPr>
          <w:rFonts w:ascii="Times New Roman" w:hAnsi="Times New Roman"/>
          <w:sz w:val="24"/>
          <w:szCs w:val="24"/>
        </w:rPr>
        <w:t xml:space="preserve">. </w:t>
      </w:r>
    </w:p>
    <w:p w:rsidR="00D606DF" w:rsidRPr="004A28B6" w:rsidP="00D606DF" w14:paraId="67317909" w14:textId="4EA9C6D4">
      <w:pPr>
        <w:widowControl/>
        <w:spacing w:before="100" w:beforeAutospacing="1" w:after="100" w:afterAutospacing="1"/>
        <w:rPr>
          <w:rFonts w:ascii="Times New Roman" w:hAnsi="Times New Roman"/>
          <w:snapToGrid/>
          <w:sz w:val="24"/>
          <w:szCs w:val="24"/>
        </w:rPr>
      </w:pPr>
      <w:r w:rsidRPr="004A28B6">
        <w:rPr>
          <w:rFonts w:ascii="Times New Roman" w:hAnsi="Times New Roman"/>
          <w:b/>
          <w:snapToGrid/>
          <w:sz w:val="24"/>
          <w:szCs w:val="24"/>
        </w:rPr>
        <w:t xml:space="preserve">Attachment </w:t>
      </w:r>
      <w:r w:rsidRPr="004A28B6" w:rsidR="00F94603">
        <w:rPr>
          <w:rFonts w:ascii="Times New Roman" w:hAnsi="Times New Roman"/>
          <w:b/>
          <w:snapToGrid/>
          <w:sz w:val="24"/>
          <w:szCs w:val="24"/>
        </w:rPr>
        <w:t>A</w:t>
      </w:r>
      <w:r w:rsidRPr="004A28B6">
        <w:rPr>
          <w:rFonts w:ascii="Times New Roman" w:hAnsi="Times New Roman"/>
          <w:snapToGrid/>
          <w:sz w:val="24"/>
          <w:szCs w:val="24"/>
        </w:rPr>
        <w:t xml:space="preserve"> is the</w:t>
      </w:r>
      <w:r w:rsidRPr="004A28B6" w:rsidR="00343525">
        <w:rPr>
          <w:rFonts w:ascii="Times New Roman" w:hAnsi="Times New Roman"/>
          <w:snapToGrid/>
          <w:sz w:val="24"/>
          <w:szCs w:val="24"/>
        </w:rPr>
        <w:t xml:space="preserve"> proposed</w:t>
      </w:r>
      <w:r w:rsidRPr="004A28B6">
        <w:rPr>
          <w:rFonts w:ascii="Times New Roman" w:hAnsi="Times New Roman"/>
          <w:snapToGrid/>
          <w:sz w:val="24"/>
          <w:szCs w:val="24"/>
        </w:rPr>
        <w:t xml:space="preserve"> </w:t>
      </w:r>
      <w:r w:rsidRPr="004A28B6" w:rsidR="00B0743F">
        <w:rPr>
          <w:rFonts w:ascii="Times New Roman" w:hAnsi="Times New Roman"/>
          <w:i/>
          <w:iCs/>
          <w:snapToGrid/>
          <w:sz w:val="24"/>
          <w:szCs w:val="24"/>
        </w:rPr>
        <w:t>ACL P</w:t>
      </w:r>
      <w:r w:rsidRPr="004A28B6" w:rsidR="00FE4598">
        <w:rPr>
          <w:rFonts w:ascii="Times New Roman" w:hAnsi="Times New Roman"/>
          <w:i/>
          <w:iCs/>
          <w:snapToGrid/>
          <w:sz w:val="24"/>
          <w:szCs w:val="24"/>
        </w:rPr>
        <w:t xml:space="preserve">rogram Performance Report </w:t>
      </w:r>
      <w:r w:rsidRPr="004A28B6" w:rsidR="00B0743F">
        <w:rPr>
          <w:rFonts w:ascii="Times New Roman" w:hAnsi="Times New Roman"/>
          <w:snapToGrid/>
          <w:sz w:val="24"/>
          <w:szCs w:val="24"/>
        </w:rPr>
        <w:t xml:space="preserve">template </w:t>
      </w:r>
    </w:p>
    <w:p w:rsidR="00EC68DC" w:rsidRPr="00D93FFB" w:rsidP="00D606DF" w14:paraId="77F311A9" w14:textId="36F80846">
      <w:pPr>
        <w:widowControl/>
        <w:spacing w:before="100" w:beforeAutospacing="1" w:after="100" w:afterAutospacing="1"/>
        <w:rPr>
          <w:rFonts w:ascii="Times New Roman" w:hAnsi="Times New Roman"/>
          <w:snapToGrid/>
          <w:sz w:val="24"/>
          <w:szCs w:val="24"/>
        </w:rPr>
      </w:pPr>
      <w:r w:rsidRPr="004A28B6">
        <w:rPr>
          <w:rFonts w:ascii="Times New Roman" w:hAnsi="Times New Roman"/>
          <w:b/>
          <w:bCs/>
          <w:snapToGrid/>
          <w:sz w:val="24"/>
          <w:szCs w:val="24"/>
        </w:rPr>
        <w:t xml:space="preserve">Attachment </w:t>
      </w:r>
      <w:r w:rsidRPr="004A28B6" w:rsidR="00150CD5">
        <w:rPr>
          <w:rFonts w:ascii="Times New Roman" w:hAnsi="Times New Roman"/>
          <w:b/>
          <w:bCs/>
          <w:snapToGrid/>
          <w:sz w:val="24"/>
          <w:szCs w:val="24"/>
        </w:rPr>
        <w:t>B</w:t>
      </w:r>
      <w:r w:rsidRPr="004A28B6">
        <w:rPr>
          <w:rFonts w:ascii="Times New Roman" w:hAnsi="Times New Roman"/>
          <w:snapToGrid/>
          <w:sz w:val="24"/>
          <w:szCs w:val="24"/>
        </w:rPr>
        <w:t xml:space="preserve"> is </w:t>
      </w:r>
      <w:r w:rsidRPr="004A28B6" w:rsidR="00BE73F6">
        <w:rPr>
          <w:rFonts w:ascii="Times New Roman" w:hAnsi="Times New Roman"/>
          <w:snapToGrid/>
          <w:sz w:val="24"/>
          <w:szCs w:val="24"/>
        </w:rPr>
        <w:t xml:space="preserve">the </w:t>
      </w:r>
      <w:r w:rsidRPr="004A28B6" w:rsidR="00BE73F6">
        <w:rPr>
          <w:rFonts w:ascii="Times New Roman" w:hAnsi="Times New Roman"/>
          <w:i/>
          <w:iCs/>
          <w:snapToGrid/>
          <w:sz w:val="24"/>
          <w:szCs w:val="24"/>
        </w:rPr>
        <w:t>State Performance Report</w:t>
      </w:r>
      <w:r w:rsidRPr="004A28B6" w:rsidR="004166E6">
        <w:rPr>
          <w:rFonts w:ascii="Times New Roman" w:hAnsi="Times New Roman"/>
          <w:i/>
          <w:iCs/>
          <w:snapToGrid/>
          <w:sz w:val="24"/>
          <w:szCs w:val="24"/>
        </w:rPr>
        <w:t xml:space="preserve"> </w:t>
      </w:r>
      <w:r w:rsidRPr="004A28B6" w:rsidR="00B0743F">
        <w:rPr>
          <w:rFonts w:ascii="Times New Roman" w:hAnsi="Times New Roman"/>
          <w:snapToGrid/>
          <w:sz w:val="24"/>
          <w:szCs w:val="24"/>
        </w:rPr>
        <w:t>f</w:t>
      </w:r>
      <w:r w:rsidRPr="004A28B6" w:rsidR="00BE73F6">
        <w:rPr>
          <w:rFonts w:ascii="Times New Roman" w:hAnsi="Times New Roman"/>
          <w:snapToGrid/>
          <w:sz w:val="24"/>
          <w:szCs w:val="24"/>
        </w:rPr>
        <w:t>or ACL’s</w:t>
      </w:r>
      <w:r w:rsidRPr="004A28B6">
        <w:rPr>
          <w:rFonts w:ascii="Times New Roman" w:hAnsi="Times New Roman"/>
          <w:snapToGrid/>
          <w:sz w:val="24"/>
          <w:szCs w:val="24"/>
        </w:rPr>
        <w:t xml:space="preserve"> largest program performance portfolio</w:t>
      </w:r>
      <w:r w:rsidRPr="004A28B6" w:rsidR="004166E6">
        <w:rPr>
          <w:rFonts w:ascii="Times New Roman" w:hAnsi="Times New Roman"/>
          <w:snapToGrid/>
          <w:sz w:val="24"/>
          <w:szCs w:val="24"/>
        </w:rPr>
        <w:t xml:space="preserve"> under the </w:t>
      </w:r>
      <w:r w:rsidRPr="004A28B6" w:rsidR="00B0743F">
        <w:rPr>
          <w:rFonts w:ascii="Times New Roman" w:hAnsi="Times New Roman"/>
          <w:snapToGrid/>
          <w:sz w:val="24"/>
          <w:szCs w:val="24"/>
        </w:rPr>
        <w:t>OAA</w:t>
      </w:r>
    </w:p>
    <w:p w:rsidR="007E1599" w:rsidRPr="00D93FFB" w:rsidP="004B6DE8" w14:paraId="26A7C5A4" w14:textId="39B40FBB">
      <w:pPr>
        <w:widowControl/>
        <w:numPr>
          <w:ilvl w:val="0"/>
          <w:numId w:val="1"/>
        </w:numPr>
        <w:tabs>
          <w:tab w:val="num" w:pos="360"/>
          <w:tab w:val="clear" w:pos="720"/>
        </w:tabs>
        <w:spacing w:after="120"/>
        <w:ind w:left="360"/>
        <w:rPr>
          <w:rFonts w:ascii="Times New Roman" w:hAnsi="Times New Roman"/>
          <w:b/>
          <w:snapToGrid/>
          <w:sz w:val="24"/>
          <w:szCs w:val="24"/>
        </w:rPr>
      </w:pPr>
      <w:r w:rsidRPr="742F0DC8">
        <w:rPr>
          <w:rFonts w:ascii="Times New Roman" w:hAnsi="Times New Roman"/>
          <w:b/>
          <w:bCs/>
          <w:snapToGrid/>
          <w:sz w:val="24"/>
          <w:szCs w:val="24"/>
        </w:rPr>
        <w:t xml:space="preserve">    </w:t>
      </w:r>
      <w:r w:rsidRPr="00D93FFB">
        <w:rPr>
          <w:rFonts w:ascii="Times New Roman" w:hAnsi="Times New Roman"/>
          <w:b/>
          <w:snapToGrid/>
          <w:sz w:val="24"/>
          <w:szCs w:val="24"/>
        </w:rPr>
        <w:t xml:space="preserve">Use of Improved Information Technology and Burden Reduction </w:t>
      </w:r>
    </w:p>
    <w:p w:rsidR="007E1599" w:rsidRPr="00D93FFB" w:rsidP="004B6DE8" w14:paraId="36C923A6" w14:textId="378A8ED7">
      <w:pPr>
        <w:widowControl/>
        <w:rPr>
          <w:rFonts w:ascii="Times New Roman" w:hAnsi="Times New Roman"/>
          <w:sz w:val="24"/>
          <w:szCs w:val="24"/>
        </w:rPr>
      </w:pPr>
      <w:r>
        <w:rPr>
          <w:rFonts w:ascii="Times New Roman" w:hAnsi="Times New Roman"/>
          <w:snapToGrid/>
          <w:sz w:val="24"/>
          <w:szCs w:val="24"/>
        </w:rPr>
        <w:t>Most</w:t>
      </w:r>
      <w:r w:rsidRPr="00D93FFB">
        <w:rPr>
          <w:rFonts w:ascii="Times New Roman" w:hAnsi="Times New Roman"/>
          <w:snapToGrid/>
          <w:sz w:val="24"/>
          <w:szCs w:val="24"/>
        </w:rPr>
        <w:t xml:space="preserve"> </w:t>
      </w:r>
      <w:r w:rsidR="00AA6249">
        <w:rPr>
          <w:rFonts w:ascii="Times New Roman" w:hAnsi="Times New Roman"/>
          <w:snapToGrid/>
          <w:sz w:val="24"/>
          <w:szCs w:val="24"/>
        </w:rPr>
        <w:t>grantees are required to submit reports through</w:t>
      </w:r>
      <w:r w:rsidRPr="00D93FFB">
        <w:rPr>
          <w:rFonts w:ascii="Times New Roman" w:hAnsi="Times New Roman"/>
          <w:snapToGrid/>
          <w:sz w:val="24"/>
          <w:szCs w:val="24"/>
        </w:rPr>
        <w:t xml:space="preserve"> electronic collection</w:t>
      </w:r>
      <w:r>
        <w:rPr>
          <w:rFonts w:ascii="Times New Roman" w:hAnsi="Times New Roman"/>
          <w:snapToGrid/>
          <w:sz w:val="24"/>
          <w:szCs w:val="24"/>
        </w:rPr>
        <w:t>, and ACL’s largest performance collection under the OAA uses a reporting system hosted by ACL and each state maintains their own system</w:t>
      </w:r>
      <w:r w:rsidR="00AA6249">
        <w:rPr>
          <w:rFonts w:ascii="Times New Roman" w:hAnsi="Times New Roman"/>
          <w:snapToGrid/>
          <w:sz w:val="24"/>
          <w:szCs w:val="24"/>
        </w:rPr>
        <w:t xml:space="preserve"> for collecting data</w:t>
      </w:r>
      <w:r>
        <w:rPr>
          <w:rFonts w:ascii="Times New Roman" w:hAnsi="Times New Roman"/>
          <w:snapToGrid/>
          <w:sz w:val="24"/>
          <w:szCs w:val="24"/>
        </w:rPr>
        <w:t xml:space="preserve"> with third party vendors</w:t>
      </w:r>
      <w:r w:rsidRPr="00D93FFB">
        <w:rPr>
          <w:rFonts w:ascii="Times New Roman" w:hAnsi="Times New Roman"/>
          <w:snapToGrid/>
          <w:sz w:val="24"/>
          <w:szCs w:val="24"/>
        </w:rPr>
        <w:t>.</w:t>
      </w:r>
      <w:r w:rsidRPr="00D93FFB" w:rsidR="003A4635">
        <w:rPr>
          <w:rFonts w:ascii="Times New Roman" w:hAnsi="Times New Roman"/>
          <w:snapToGrid/>
          <w:sz w:val="24"/>
          <w:szCs w:val="24"/>
        </w:rPr>
        <w:t xml:space="preserve"> </w:t>
      </w:r>
      <w:r>
        <w:rPr>
          <w:rFonts w:ascii="Times New Roman" w:hAnsi="Times New Roman"/>
          <w:snapToGrid/>
          <w:sz w:val="24"/>
          <w:szCs w:val="24"/>
        </w:rPr>
        <w:t xml:space="preserve">Other electronic submissions </w:t>
      </w:r>
      <w:r w:rsidRPr="00D93FFB" w:rsidR="007849DF">
        <w:rPr>
          <w:rFonts w:ascii="Times New Roman" w:hAnsi="Times New Roman"/>
          <w:snapToGrid/>
          <w:sz w:val="24"/>
          <w:szCs w:val="24"/>
        </w:rPr>
        <w:t>could include</w:t>
      </w:r>
      <w:r w:rsidRPr="00D93FFB">
        <w:rPr>
          <w:rFonts w:ascii="Times New Roman" w:hAnsi="Times New Roman"/>
          <w:snapToGrid/>
          <w:sz w:val="24"/>
          <w:szCs w:val="24"/>
        </w:rPr>
        <w:t xml:space="preserve"> web </w:t>
      </w:r>
      <w:r w:rsidR="00AA6249">
        <w:rPr>
          <w:rFonts w:ascii="Times New Roman" w:hAnsi="Times New Roman"/>
          <w:snapToGrid/>
          <w:sz w:val="24"/>
          <w:szCs w:val="24"/>
        </w:rPr>
        <w:t xml:space="preserve">portals </w:t>
      </w:r>
      <w:r w:rsidRPr="00D93FFB">
        <w:rPr>
          <w:rFonts w:ascii="Times New Roman" w:hAnsi="Times New Roman"/>
          <w:snapToGrid/>
          <w:sz w:val="24"/>
          <w:szCs w:val="24"/>
        </w:rPr>
        <w:t xml:space="preserve">or </w:t>
      </w:r>
      <w:r w:rsidRPr="00D93FFB" w:rsidR="00BC1786">
        <w:rPr>
          <w:rFonts w:ascii="Times New Roman" w:hAnsi="Times New Roman"/>
          <w:snapToGrid/>
          <w:sz w:val="24"/>
          <w:szCs w:val="24"/>
        </w:rPr>
        <w:t xml:space="preserve">other online data management systems. </w:t>
      </w:r>
      <w:r w:rsidRPr="00D93FFB">
        <w:rPr>
          <w:rFonts w:ascii="Times New Roman" w:hAnsi="Times New Roman"/>
          <w:snapToGrid/>
          <w:sz w:val="24"/>
          <w:szCs w:val="24"/>
        </w:rPr>
        <w:t xml:space="preserve">Grantees may </w:t>
      </w:r>
      <w:r w:rsidRPr="00D93FFB" w:rsidR="00BC1786">
        <w:rPr>
          <w:rFonts w:ascii="Times New Roman" w:hAnsi="Times New Roman"/>
          <w:snapToGrid/>
          <w:sz w:val="24"/>
          <w:szCs w:val="24"/>
        </w:rPr>
        <w:t xml:space="preserve">be required to </w:t>
      </w:r>
      <w:r w:rsidRPr="00D93FFB">
        <w:rPr>
          <w:rFonts w:ascii="Times New Roman" w:hAnsi="Times New Roman"/>
          <w:snapToGrid/>
          <w:sz w:val="24"/>
          <w:szCs w:val="24"/>
        </w:rPr>
        <w:t>enter and retrieve information pertinent to their grants through electronic forms closely resembling the paper forms</w:t>
      </w:r>
      <w:r w:rsidRPr="00D93FFB" w:rsidR="00670CED">
        <w:rPr>
          <w:rFonts w:ascii="Times New Roman" w:hAnsi="Times New Roman"/>
          <w:snapToGrid/>
          <w:sz w:val="24"/>
          <w:szCs w:val="24"/>
        </w:rPr>
        <w:t xml:space="preserve"> (i.e., fillable PDFs or </w:t>
      </w:r>
      <w:r w:rsidRPr="00D93FFB" w:rsidR="00BC1786">
        <w:rPr>
          <w:rFonts w:ascii="Times New Roman" w:hAnsi="Times New Roman"/>
          <w:snapToGrid/>
          <w:sz w:val="24"/>
          <w:szCs w:val="24"/>
        </w:rPr>
        <w:t xml:space="preserve">tailored </w:t>
      </w:r>
      <w:r w:rsidRPr="00D93FFB" w:rsidR="00670CED">
        <w:rPr>
          <w:rFonts w:ascii="Times New Roman" w:hAnsi="Times New Roman"/>
          <w:snapToGrid/>
          <w:sz w:val="24"/>
          <w:szCs w:val="24"/>
        </w:rPr>
        <w:t>online data management systems)</w:t>
      </w:r>
      <w:r w:rsidRPr="00D93FFB" w:rsidR="00BC1786">
        <w:rPr>
          <w:rFonts w:ascii="Times New Roman" w:hAnsi="Times New Roman"/>
          <w:snapToGrid/>
          <w:sz w:val="24"/>
          <w:szCs w:val="24"/>
        </w:rPr>
        <w:t>.</w:t>
      </w:r>
      <w:r w:rsidRPr="00D93FFB" w:rsidR="00BC1786">
        <w:rPr>
          <w:rFonts w:ascii="Times New Roman" w:hAnsi="Times New Roman"/>
          <w:sz w:val="24"/>
          <w:szCs w:val="24"/>
        </w:rPr>
        <w:t xml:space="preserve"> Such technology support is expected to improve standardization and timeliness of grantee reporting and to ease further analyses of reported data</w:t>
      </w:r>
      <w:r w:rsidRPr="00C1455A" w:rsidR="00BC1786">
        <w:rPr>
          <w:rFonts w:ascii="Times New Roman" w:hAnsi="Times New Roman"/>
          <w:sz w:val="24"/>
          <w:szCs w:val="24"/>
        </w:rPr>
        <w:t>.</w:t>
      </w:r>
      <w:r w:rsidRPr="00C1455A" w:rsidR="0093215B">
        <w:rPr>
          <w:rFonts w:ascii="Times New Roman" w:hAnsi="Times New Roman"/>
          <w:sz w:val="24"/>
          <w:szCs w:val="24"/>
        </w:rPr>
        <w:t xml:space="preserve"> ACL will continually assess burden of information collected and ease of reporting using all these methodologies, with an eye toward reducing grantee burden.</w:t>
      </w:r>
      <w:r w:rsidR="0093215B">
        <w:rPr>
          <w:rFonts w:ascii="Times New Roman" w:hAnsi="Times New Roman"/>
          <w:sz w:val="24"/>
          <w:szCs w:val="24"/>
        </w:rPr>
        <w:t xml:space="preserve"> </w:t>
      </w:r>
    </w:p>
    <w:p w:rsidR="004B6DE8" w:rsidRPr="00D93FFB" w:rsidP="004B6DE8" w14:paraId="0C995D42" w14:textId="729B69F7">
      <w:pPr>
        <w:widowControl/>
        <w:rPr>
          <w:rFonts w:ascii="Times New Roman" w:hAnsi="Times New Roman"/>
          <w:b/>
          <w:snapToGrid/>
          <w:sz w:val="24"/>
          <w:szCs w:val="24"/>
        </w:rPr>
      </w:pPr>
    </w:p>
    <w:p w:rsidR="004B6DE8" w:rsidRPr="00D93FFB" w:rsidP="004B6DE8" w14:paraId="4F3D2363" w14:textId="77777777">
      <w:pPr>
        <w:widowControl/>
        <w:rPr>
          <w:rFonts w:ascii="Times New Roman" w:hAnsi="Times New Roman"/>
          <w:b/>
          <w:snapToGrid/>
          <w:sz w:val="24"/>
          <w:szCs w:val="24"/>
        </w:rPr>
      </w:pPr>
    </w:p>
    <w:p w:rsidR="007E1599" w:rsidRPr="00D93FFB" w:rsidP="004B6DE8" w14:paraId="5D696082" w14:textId="6FFB75C0">
      <w:pPr>
        <w:widowControl/>
        <w:numPr>
          <w:ilvl w:val="0"/>
          <w:numId w:val="1"/>
        </w:numPr>
        <w:tabs>
          <w:tab w:val="num" w:pos="360"/>
          <w:tab w:val="clear" w:pos="720"/>
        </w:tabs>
        <w:spacing w:after="120"/>
        <w:ind w:left="360"/>
        <w:rPr>
          <w:rFonts w:ascii="Times New Roman" w:hAnsi="Times New Roman"/>
          <w:b/>
          <w:snapToGrid/>
          <w:sz w:val="24"/>
          <w:szCs w:val="24"/>
        </w:rPr>
      </w:pPr>
      <w:r w:rsidRPr="742F0DC8">
        <w:rPr>
          <w:rFonts w:ascii="Times New Roman" w:hAnsi="Times New Roman"/>
          <w:b/>
          <w:bCs/>
          <w:snapToGrid/>
          <w:sz w:val="24"/>
          <w:szCs w:val="24"/>
        </w:rPr>
        <w:t xml:space="preserve">     </w:t>
      </w:r>
      <w:r w:rsidRPr="00D93FFB">
        <w:rPr>
          <w:rFonts w:ascii="Times New Roman" w:hAnsi="Times New Roman"/>
          <w:b/>
          <w:snapToGrid/>
          <w:sz w:val="24"/>
          <w:szCs w:val="24"/>
        </w:rPr>
        <w:t xml:space="preserve">Efforts to Identify Duplication and Use of Similar Information </w:t>
      </w:r>
    </w:p>
    <w:p w:rsidR="007E1599" w:rsidRPr="00D93FFB" w:rsidP="004B6DE8" w14:paraId="2EA846D3" w14:textId="5996943D">
      <w:pPr>
        <w:widowControl/>
        <w:jc w:val="both"/>
        <w:rPr>
          <w:rFonts w:ascii="Times New Roman" w:hAnsi="Times New Roman"/>
          <w:snapToGrid/>
          <w:sz w:val="24"/>
          <w:szCs w:val="24"/>
        </w:rPr>
      </w:pPr>
      <w:r w:rsidRPr="00AA6249">
        <w:rPr>
          <w:rFonts w:ascii="Times New Roman" w:hAnsi="Times New Roman"/>
          <w:snapToGrid/>
          <w:sz w:val="24"/>
          <w:szCs w:val="24"/>
        </w:rPr>
        <w:t>ACL is not aware of any other sources that collect this or similar information.</w:t>
      </w:r>
      <w:r>
        <w:rPr>
          <w:rFonts w:ascii="Times New Roman" w:hAnsi="Times New Roman"/>
          <w:snapToGrid/>
          <w:sz w:val="24"/>
          <w:szCs w:val="24"/>
        </w:rPr>
        <w:t xml:space="preserve"> </w:t>
      </w:r>
      <w:r w:rsidR="0093215B">
        <w:rPr>
          <w:rFonts w:ascii="Times New Roman" w:hAnsi="Times New Roman"/>
          <w:snapToGrid/>
          <w:sz w:val="24"/>
          <w:szCs w:val="24"/>
        </w:rPr>
        <w:t xml:space="preserve">ACL will continue to monitor information collections under this mechanism to ensure there is no duplication. </w:t>
      </w:r>
    </w:p>
    <w:p w:rsidR="004B6DE8" w:rsidRPr="00D93FFB" w:rsidP="004B6DE8" w14:paraId="090B677E" w14:textId="158DFB28">
      <w:pPr>
        <w:widowControl/>
        <w:jc w:val="both"/>
        <w:rPr>
          <w:rFonts w:ascii="Times New Roman" w:hAnsi="Times New Roman"/>
          <w:snapToGrid/>
          <w:sz w:val="24"/>
          <w:szCs w:val="24"/>
        </w:rPr>
      </w:pPr>
    </w:p>
    <w:p w:rsidR="004B6DE8" w:rsidRPr="00D93FFB" w:rsidP="004B6DE8" w14:paraId="02E8F1B8" w14:textId="77777777">
      <w:pPr>
        <w:widowControl/>
        <w:jc w:val="both"/>
        <w:rPr>
          <w:rFonts w:ascii="Times New Roman" w:hAnsi="Times New Roman"/>
          <w:snapToGrid/>
          <w:sz w:val="24"/>
          <w:szCs w:val="24"/>
        </w:rPr>
      </w:pPr>
    </w:p>
    <w:p w:rsidR="007E1599" w:rsidRPr="00D93FFB" w:rsidP="004B6DE8" w14:paraId="2AF2CC4F" w14:textId="5B55B394">
      <w:pPr>
        <w:widowControl/>
        <w:numPr>
          <w:ilvl w:val="0"/>
          <w:numId w:val="1"/>
        </w:numPr>
        <w:tabs>
          <w:tab w:val="num" w:pos="360"/>
          <w:tab w:val="clear" w:pos="720"/>
        </w:tabs>
        <w:spacing w:after="120"/>
        <w:ind w:left="360"/>
        <w:rPr>
          <w:rFonts w:ascii="Times New Roman" w:hAnsi="Times New Roman"/>
          <w:b/>
          <w:snapToGrid/>
          <w:sz w:val="24"/>
          <w:szCs w:val="24"/>
        </w:rPr>
      </w:pPr>
      <w:r w:rsidRPr="742F0DC8">
        <w:rPr>
          <w:rFonts w:ascii="Times New Roman" w:hAnsi="Times New Roman"/>
          <w:b/>
          <w:bCs/>
          <w:snapToGrid/>
          <w:sz w:val="24"/>
          <w:szCs w:val="24"/>
        </w:rPr>
        <w:t xml:space="preserve">     </w:t>
      </w:r>
      <w:r w:rsidRPr="00D93FFB">
        <w:rPr>
          <w:rFonts w:ascii="Times New Roman" w:hAnsi="Times New Roman"/>
          <w:b/>
          <w:snapToGrid/>
          <w:sz w:val="24"/>
          <w:szCs w:val="24"/>
        </w:rPr>
        <w:t>Impact on Small Businesses or Other Small Entities</w:t>
      </w:r>
    </w:p>
    <w:p w:rsidR="004B6DE8" w:rsidRPr="00D93FFB" w:rsidP="004B6DE8" w14:paraId="069FEF11" w14:textId="39E892B9">
      <w:pPr>
        <w:widowControl/>
        <w:rPr>
          <w:rFonts w:ascii="Times New Roman" w:hAnsi="Times New Roman"/>
          <w:b/>
          <w:snapToGrid/>
          <w:sz w:val="24"/>
          <w:szCs w:val="24"/>
        </w:rPr>
      </w:pPr>
      <w:r w:rsidRPr="00AA6249">
        <w:rPr>
          <w:rFonts w:ascii="Times New Roman" w:hAnsi="Times New Roman"/>
          <w:snapToGrid/>
          <w:sz w:val="24"/>
          <w:szCs w:val="24"/>
        </w:rPr>
        <w:t>ACL is not aware of any impact to small</w:t>
      </w:r>
      <w:r>
        <w:rPr>
          <w:rFonts w:ascii="Times New Roman" w:hAnsi="Times New Roman"/>
          <w:snapToGrid/>
          <w:sz w:val="24"/>
          <w:szCs w:val="24"/>
        </w:rPr>
        <w:t xml:space="preserve"> businesses </w:t>
      </w:r>
      <w:r w:rsidRPr="00AA6249">
        <w:rPr>
          <w:rFonts w:ascii="Times New Roman" w:hAnsi="Times New Roman"/>
          <w:snapToGrid/>
          <w:sz w:val="24"/>
          <w:szCs w:val="24"/>
        </w:rPr>
        <w:t>through this collection.</w:t>
      </w:r>
    </w:p>
    <w:p w:rsidR="004B6DE8" w:rsidRPr="00D93FFB" w:rsidP="004B6DE8" w14:paraId="4DC9E2EA" w14:textId="77777777">
      <w:pPr>
        <w:widowControl/>
        <w:rPr>
          <w:rFonts w:ascii="Times New Roman" w:hAnsi="Times New Roman"/>
          <w:b/>
          <w:snapToGrid/>
          <w:sz w:val="24"/>
          <w:szCs w:val="24"/>
        </w:rPr>
      </w:pPr>
    </w:p>
    <w:p w:rsidR="007E1599" w:rsidRPr="00D93FFB" w:rsidP="004B6DE8" w14:paraId="7F478291" w14:textId="51480C98">
      <w:pPr>
        <w:widowControl/>
        <w:numPr>
          <w:ilvl w:val="0"/>
          <w:numId w:val="1"/>
        </w:numPr>
        <w:tabs>
          <w:tab w:val="num" w:pos="360"/>
          <w:tab w:val="clear" w:pos="720"/>
        </w:tabs>
        <w:spacing w:after="120"/>
        <w:ind w:left="360"/>
        <w:rPr>
          <w:rFonts w:ascii="Times New Roman" w:hAnsi="Times New Roman"/>
          <w:b/>
          <w:snapToGrid/>
          <w:sz w:val="24"/>
          <w:szCs w:val="24"/>
        </w:rPr>
      </w:pPr>
      <w:r w:rsidRPr="742F0DC8">
        <w:rPr>
          <w:rFonts w:ascii="Times New Roman" w:hAnsi="Times New Roman"/>
          <w:b/>
          <w:bCs/>
          <w:snapToGrid/>
          <w:sz w:val="24"/>
          <w:szCs w:val="24"/>
        </w:rPr>
        <w:t xml:space="preserve">     </w:t>
      </w:r>
      <w:r w:rsidRPr="00D93FFB">
        <w:rPr>
          <w:rFonts w:ascii="Times New Roman" w:hAnsi="Times New Roman"/>
          <w:b/>
          <w:snapToGrid/>
          <w:sz w:val="24"/>
          <w:szCs w:val="24"/>
        </w:rPr>
        <w:t xml:space="preserve">Consequences of Collecting the Information Less Frequently </w:t>
      </w:r>
    </w:p>
    <w:p w:rsidR="004B6DE8" w:rsidP="004B6DE8" w14:paraId="55043222" w14:textId="462F25A5">
      <w:pPr>
        <w:rPr>
          <w:rFonts w:ascii="Times New Roman" w:hAnsi="Times New Roman"/>
          <w:b/>
          <w:sz w:val="24"/>
          <w:szCs w:val="24"/>
        </w:rPr>
      </w:pPr>
      <w:r>
        <w:rPr>
          <w:rFonts w:ascii="Times New Roman" w:hAnsi="Times New Roman"/>
          <w:sz w:val="24"/>
          <w:szCs w:val="24"/>
        </w:rPr>
        <w:t>In most cases, t</w:t>
      </w:r>
      <w:r w:rsidRPr="00AA6249">
        <w:rPr>
          <w:rFonts w:ascii="Times New Roman" w:hAnsi="Times New Roman"/>
          <w:sz w:val="24"/>
          <w:szCs w:val="24"/>
        </w:rPr>
        <w:t>he OAA has provisions that require annual</w:t>
      </w:r>
      <w:r>
        <w:rPr>
          <w:rFonts w:ascii="Times New Roman" w:hAnsi="Times New Roman"/>
          <w:sz w:val="24"/>
          <w:szCs w:val="24"/>
        </w:rPr>
        <w:t xml:space="preserve"> or semi-annual</w:t>
      </w:r>
      <w:r w:rsidRPr="00AA6249">
        <w:rPr>
          <w:rFonts w:ascii="Times New Roman" w:hAnsi="Times New Roman"/>
          <w:sz w:val="24"/>
          <w:szCs w:val="24"/>
        </w:rPr>
        <w:t xml:space="preserve"> </w:t>
      </w:r>
      <w:r w:rsidR="00B0743F">
        <w:rPr>
          <w:rFonts w:ascii="Times New Roman" w:hAnsi="Times New Roman"/>
          <w:sz w:val="24"/>
          <w:szCs w:val="24"/>
        </w:rPr>
        <w:t xml:space="preserve">performance </w:t>
      </w:r>
      <w:r w:rsidRPr="00AA6249">
        <w:rPr>
          <w:rFonts w:ascii="Times New Roman" w:hAnsi="Times New Roman"/>
          <w:sz w:val="24"/>
          <w:szCs w:val="24"/>
        </w:rPr>
        <w:t>reporting. If the reports were made less frequently, ACL would not fulfill its required reporting responsibilities.</w:t>
      </w:r>
    </w:p>
    <w:p w:rsidR="007D54BE" w:rsidRPr="00D93FFB" w:rsidP="004B6DE8" w14:paraId="644D9DBE" w14:textId="77777777">
      <w:pPr>
        <w:rPr>
          <w:rFonts w:ascii="Times New Roman" w:hAnsi="Times New Roman"/>
          <w:b/>
          <w:sz w:val="24"/>
          <w:szCs w:val="24"/>
        </w:rPr>
      </w:pPr>
    </w:p>
    <w:p w:rsidR="007E1599" w:rsidRPr="0096347D" w:rsidP="005F6D81" w14:paraId="4289FA04" w14:textId="6F2BAE62">
      <w:pPr>
        <w:widowControl/>
        <w:numPr>
          <w:ilvl w:val="0"/>
          <w:numId w:val="1"/>
        </w:numPr>
        <w:tabs>
          <w:tab w:val="left" w:pos="360"/>
          <w:tab w:val="clear" w:pos="720"/>
        </w:tabs>
        <w:spacing w:after="120"/>
        <w:ind w:left="0" w:firstLine="0"/>
        <w:rPr>
          <w:rFonts w:ascii="Times New Roman" w:hAnsi="Times New Roman"/>
          <w:b/>
          <w:snapToGrid/>
          <w:sz w:val="24"/>
          <w:szCs w:val="24"/>
        </w:rPr>
      </w:pPr>
      <w:r>
        <w:rPr>
          <w:rFonts w:ascii="Times New Roman" w:hAnsi="Times New Roman"/>
          <w:b/>
          <w:snapToGrid/>
          <w:sz w:val="24"/>
          <w:szCs w:val="24"/>
        </w:rPr>
        <w:t xml:space="preserve">     </w:t>
      </w:r>
      <w:r w:rsidRPr="0096347D">
        <w:rPr>
          <w:rFonts w:ascii="Times New Roman" w:hAnsi="Times New Roman"/>
          <w:b/>
          <w:snapToGrid/>
          <w:sz w:val="24"/>
          <w:szCs w:val="24"/>
        </w:rPr>
        <w:t xml:space="preserve">Special Circumstances Relating to the Guidelines of 5 CFR 1320.5 </w:t>
      </w:r>
    </w:p>
    <w:p w:rsidR="00AA6249" w:rsidRPr="008F2B77" w:rsidP="00AA6249" w14:paraId="3C866A6C" w14:textId="75C30695">
      <w:pPr>
        <w:rPr>
          <w:rFonts w:ascii="Times New Roman" w:hAnsi="Times New Roman"/>
          <w:bCs/>
          <w:sz w:val="24"/>
          <w:szCs w:val="24"/>
          <w:u w:val="single"/>
        </w:rPr>
      </w:pPr>
      <w:r w:rsidRPr="008F2B77">
        <w:rPr>
          <w:rFonts w:ascii="Times New Roman" w:hAnsi="Times New Roman"/>
          <w:bCs/>
          <w:sz w:val="24"/>
          <w:szCs w:val="24"/>
          <w:u w:val="single"/>
        </w:rPr>
        <w:t>Statistical Policy Directive (SPD)-15 and Demographic Data Collection Elements</w:t>
      </w:r>
    </w:p>
    <w:p w:rsidR="00AD2E11" w:rsidRPr="004A28B6" w:rsidP="00AA6249" w14:paraId="292EB7CB" w14:textId="24119D63">
      <w:pPr>
        <w:rPr>
          <w:rFonts w:ascii="Times New Roman" w:hAnsi="Times New Roman"/>
          <w:bCs/>
          <w:sz w:val="24"/>
          <w:szCs w:val="24"/>
        </w:rPr>
      </w:pPr>
      <w:r w:rsidRPr="004A28B6">
        <w:rPr>
          <w:rFonts w:ascii="Times New Roman" w:hAnsi="Times New Roman"/>
          <w:bCs/>
          <w:sz w:val="24"/>
          <w:szCs w:val="24"/>
        </w:rPr>
        <w:t xml:space="preserve">For grantees that collect demographic information, </w:t>
      </w:r>
      <w:r w:rsidRPr="004A28B6" w:rsidR="00AA6249">
        <w:rPr>
          <w:rFonts w:ascii="Times New Roman" w:hAnsi="Times New Roman"/>
          <w:bCs/>
          <w:sz w:val="24"/>
          <w:szCs w:val="24"/>
        </w:rPr>
        <w:t xml:space="preserve">ACL is developing a plan for implementing SPD-15 and other demographic data changes such as sexual orientation and gender identity (SOGI) data elements for the aging network. </w:t>
      </w:r>
      <w:r w:rsidRPr="004A28B6" w:rsidR="00632CFB">
        <w:rPr>
          <w:rFonts w:ascii="Times New Roman" w:hAnsi="Times New Roman"/>
          <w:bCs/>
          <w:sz w:val="24"/>
          <w:szCs w:val="24"/>
        </w:rPr>
        <w:t xml:space="preserve">Not all grants require demographic data, but for those that do, </w:t>
      </w:r>
      <w:r w:rsidRPr="004A28B6" w:rsidR="00AA6249">
        <w:rPr>
          <w:rFonts w:ascii="Times New Roman" w:hAnsi="Times New Roman"/>
          <w:bCs/>
          <w:sz w:val="24"/>
          <w:szCs w:val="24"/>
        </w:rPr>
        <w:t xml:space="preserve">ACL is working within the organization to develop a realistic timeline for implementation. Please note that </w:t>
      </w:r>
      <w:r w:rsidRPr="004A28B6">
        <w:rPr>
          <w:rFonts w:ascii="Times New Roman" w:hAnsi="Times New Roman"/>
          <w:bCs/>
          <w:sz w:val="24"/>
          <w:szCs w:val="24"/>
        </w:rPr>
        <w:t>grantees have proprietary</w:t>
      </w:r>
      <w:r w:rsidRPr="004A28B6" w:rsidR="00AA6249">
        <w:rPr>
          <w:rFonts w:ascii="Times New Roman" w:hAnsi="Times New Roman"/>
          <w:bCs/>
          <w:sz w:val="24"/>
          <w:szCs w:val="24"/>
        </w:rPr>
        <w:t xml:space="preserve"> system</w:t>
      </w:r>
      <w:r w:rsidRPr="004A28B6">
        <w:rPr>
          <w:rFonts w:ascii="Times New Roman" w:hAnsi="Times New Roman"/>
          <w:bCs/>
          <w:sz w:val="24"/>
          <w:szCs w:val="24"/>
        </w:rPr>
        <w:t>s</w:t>
      </w:r>
      <w:r w:rsidRPr="004A28B6" w:rsidR="00AA6249">
        <w:rPr>
          <w:rFonts w:ascii="Times New Roman" w:hAnsi="Times New Roman"/>
          <w:bCs/>
          <w:sz w:val="24"/>
          <w:szCs w:val="24"/>
        </w:rPr>
        <w:t xml:space="preserve"> for reporting that </w:t>
      </w:r>
      <w:r w:rsidRPr="004A28B6">
        <w:rPr>
          <w:rFonts w:ascii="Times New Roman" w:hAnsi="Times New Roman"/>
          <w:bCs/>
          <w:sz w:val="24"/>
          <w:szCs w:val="24"/>
        </w:rPr>
        <w:t>are</w:t>
      </w:r>
      <w:r w:rsidRPr="004A28B6" w:rsidR="00AA6249">
        <w:rPr>
          <w:rFonts w:ascii="Times New Roman" w:hAnsi="Times New Roman"/>
          <w:bCs/>
          <w:sz w:val="24"/>
          <w:szCs w:val="24"/>
        </w:rPr>
        <w:t xml:space="preserve"> used to collect and house data that the state then report to ACL. </w:t>
      </w:r>
      <w:r w:rsidRPr="004A28B6">
        <w:rPr>
          <w:rFonts w:ascii="Times New Roman" w:hAnsi="Times New Roman"/>
          <w:bCs/>
          <w:sz w:val="24"/>
          <w:szCs w:val="24"/>
        </w:rPr>
        <w:t xml:space="preserve">Changing reporting elements or measures requires contractual changes with third party vendors at the state level and </w:t>
      </w:r>
      <w:r w:rsidRPr="004A28B6" w:rsidR="00632CFB">
        <w:rPr>
          <w:rFonts w:ascii="Times New Roman" w:hAnsi="Times New Roman"/>
          <w:bCs/>
          <w:sz w:val="24"/>
          <w:szCs w:val="24"/>
        </w:rPr>
        <w:t xml:space="preserve">at </w:t>
      </w:r>
      <w:r w:rsidRPr="004A28B6">
        <w:rPr>
          <w:rFonts w:ascii="Times New Roman" w:hAnsi="Times New Roman"/>
          <w:bCs/>
          <w:sz w:val="24"/>
          <w:szCs w:val="24"/>
        </w:rPr>
        <w:t xml:space="preserve">ACL, human resources for training and technical assistance, and </w:t>
      </w:r>
      <w:r w:rsidRPr="004A28B6" w:rsidR="00632CFB">
        <w:rPr>
          <w:rFonts w:ascii="Times New Roman" w:hAnsi="Times New Roman"/>
          <w:bCs/>
          <w:sz w:val="24"/>
          <w:szCs w:val="24"/>
        </w:rPr>
        <w:t xml:space="preserve">time to </w:t>
      </w:r>
      <w:r w:rsidRPr="004A28B6">
        <w:rPr>
          <w:rFonts w:ascii="Times New Roman" w:hAnsi="Times New Roman"/>
          <w:bCs/>
          <w:sz w:val="24"/>
          <w:szCs w:val="24"/>
        </w:rPr>
        <w:t xml:space="preserve">train local service providers on </w:t>
      </w:r>
      <w:r w:rsidRPr="004A28B6">
        <w:rPr>
          <w:rFonts w:ascii="Times New Roman" w:hAnsi="Times New Roman"/>
          <w:bCs/>
          <w:sz w:val="24"/>
          <w:szCs w:val="24"/>
        </w:rPr>
        <w:t xml:space="preserve">how to collect information at the point of service from older Americans. </w:t>
      </w:r>
    </w:p>
    <w:p w:rsidR="00AD2E11" w:rsidRPr="004A28B6" w:rsidP="00AA6249" w14:paraId="71C863D5" w14:textId="77777777">
      <w:pPr>
        <w:rPr>
          <w:rFonts w:ascii="Times New Roman" w:hAnsi="Times New Roman"/>
          <w:bCs/>
          <w:sz w:val="24"/>
          <w:szCs w:val="24"/>
        </w:rPr>
      </w:pPr>
    </w:p>
    <w:p w:rsidR="00AA6249" w:rsidRPr="00AA6249" w:rsidP="00AA6249" w14:paraId="19DFFF0C" w14:textId="46DD97DF">
      <w:pPr>
        <w:rPr>
          <w:rFonts w:ascii="Times New Roman" w:hAnsi="Times New Roman"/>
          <w:b/>
          <w:sz w:val="24"/>
          <w:szCs w:val="24"/>
          <w:u w:val="single"/>
        </w:rPr>
      </w:pPr>
      <w:r w:rsidRPr="004A28B6">
        <w:rPr>
          <w:rFonts w:ascii="Times New Roman" w:hAnsi="Times New Roman"/>
          <w:bCs/>
          <w:sz w:val="24"/>
          <w:szCs w:val="24"/>
        </w:rPr>
        <w:t xml:space="preserve">Given the complexity of the Aging Network and the interplay between states, Area Agencies on Aging, local service providers, healthcare delivery partners (including payors), and other partners, </w:t>
      </w:r>
      <w:r w:rsidRPr="004A28B6">
        <w:rPr>
          <w:rFonts w:ascii="Times New Roman" w:hAnsi="Times New Roman"/>
          <w:bCs/>
          <w:sz w:val="24"/>
          <w:szCs w:val="24"/>
        </w:rPr>
        <w:t xml:space="preserve">ACL is </w:t>
      </w:r>
      <w:r w:rsidRPr="004A28B6">
        <w:rPr>
          <w:rFonts w:ascii="Times New Roman" w:hAnsi="Times New Roman"/>
          <w:bCs/>
          <w:sz w:val="24"/>
          <w:szCs w:val="24"/>
        </w:rPr>
        <w:t xml:space="preserve">developing a process for </w:t>
      </w:r>
      <w:r w:rsidRPr="004A28B6">
        <w:rPr>
          <w:rFonts w:ascii="Times New Roman" w:hAnsi="Times New Roman"/>
          <w:bCs/>
          <w:sz w:val="24"/>
          <w:szCs w:val="24"/>
        </w:rPr>
        <w:t xml:space="preserve">seeking feedback on a realistic and timely approach for implementation with </w:t>
      </w:r>
      <w:r w:rsidRPr="004A28B6" w:rsidR="00632CFB">
        <w:rPr>
          <w:rFonts w:ascii="Times New Roman" w:hAnsi="Times New Roman"/>
          <w:bCs/>
          <w:sz w:val="24"/>
          <w:szCs w:val="24"/>
        </w:rPr>
        <w:t xml:space="preserve">grantees that is well </w:t>
      </w:r>
      <w:r w:rsidRPr="004A28B6">
        <w:rPr>
          <w:rFonts w:ascii="Times New Roman" w:hAnsi="Times New Roman"/>
          <w:bCs/>
          <w:sz w:val="24"/>
          <w:szCs w:val="24"/>
        </w:rPr>
        <w:t>within the</w:t>
      </w:r>
      <w:r w:rsidRPr="004A28B6">
        <w:rPr>
          <w:rFonts w:ascii="Times New Roman" w:hAnsi="Times New Roman"/>
          <w:bCs/>
          <w:sz w:val="24"/>
          <w:szCs w:val="24"/>
        </w:rPr>
        <w:t xml:space="preserve"> deadline given </w:t>
      </w:r>
      <w:r w:rsidRPr="004A28B6">
        <w:rPr>
          <w:rFonts w:ascii="Times New Roman" w:hAnsi="Times New Roman"/>
          <w:bCs/>
          <w:sz w:val="24"/>
          <w:szCs w:val="24"/>
        </w:rPr>
        <w:t>for implementing SPD-15</w:t>
      </w:r>
      <w:r w:rsidRPr="004A28B6">
        <w:rPr>
          <w:rFonts w:ascii="Times New Roman" w:hAnsi="Times New Roman"/>
          <w:bCs/>
          <w:sz w:val="24"/>
          <w:szCs w:val="24"/>
        </w:rPr>
        <w:t>.</w:t>
      </w:r>
    </w:p>
    <w:p w:rsidR="005F6D81" w:rsidRPr="00D93FFB" w:rsidP="004B6DE8" w14:paraId="4D647F3F" w14:textId="2372754C">
      <w:pPr>
        <w:widowControl/>
        <w:rPr>
          <w:rFonts w:ascii="Times New Roman" w:hAnsi="Times New Roman"/>
          <w:snapToGrid/>
          <w:sz w:val="24"/>
          <w:szCs w:val="24"/>
        </w:rPr>
      </w:pPr>
    </w:p>
    <w:p w:rsidR="007E1599" w:rsidP="005F6D81" w14:paraId="6BE938F0" w14:textId="26D14DE4">
      <w:pPr>
        <w:widowControl/>
        <w:numPr>
          <w:ilvl w:val="0"/>
          <w:numId w:val="1"/>
        </w:numPr>
        <w:tabs>
          <w:tab w:val="num" w:pos="360"/>
          <w:tab w:val="clear" w:pos="720"/>
        </w:tabs>
        <w:spacing w:after="120"/>
        <w:ind w:left="360"/>
        <w:rPr>
          <w:rFonts w:ascii="Times New Roman" w:hAnsi="Times New Roman"/>
          <w:b/>
          <w:snapToGrid/>
          <w:sz w:val="24"/>
          <w:szCs w:val="24"/>
        </w:rPr>
      </w:pPr>
      <w:r w:rsidRPr="742F0DC8">
        <w:rPr>
          <w:rFonts w:ascii="Times New Roman" w:hAnsi="Times New Roman"/>
          <w:b/>
          <w:bCs/>
          <w:snapToGrid/>
          <w:sz w:val="24"/>
          <w:szCs w:val="24"/>
        </w:rPr>
        <w:t xml:space="preserve"> </w:t>
      </w:r>
      <w:r w:rsidRPr="003A4224">
        <w:rPr>
          <w:rFonts w:ascii="Times New Roman" w:hAnsi="Times New Roman"/>
          <w:b/>
          <w:snapToGrid/>
          <w:sz w:val="24"/>
          <w:szCs w:val="24"/>
        </w:rPr>
        <w:t xml:space="preserve">Comments in Response to the Federal Register Notice and Efforts to </w:t>
      </w:r>
      <w:r w:rsidRPr="003A4224">
        <w:rPr>
          <w:rFonts w:ascii="Times New Roman" w:hAnsi="Times New Roman"/>
          <w:b/>
          <w:snapToGrid/>
          <w:sz w:val="24"/>
          <w:szCs w:val="24"/>
        </w:rPr>
        <w:t xml:space="preserve">Consult </w:t>
      </w:r>
      <w:r w:rsidR="00767642">
        <w:rPr>
          <w:rFonts w:ascii="Times New Roman" w:hAnsi="Times New Roman"/>
          <w:b/>
          <w:bCs/>
          <w:snapToGrid/>
          <w:sz w:val="24"/>
          <w:szCs w:val="24"/>
        </w:rPr>
        <w:t xml:space="preserve"> </w:t>
      </w:r>
      <w:r w:rsidRPr="003A4224">
        <w:rPr>
          <w:rFonts w:ascii="Times New Roman" w:hAnsi="Times New Roman"/>
          <w:b/>
          <w:snapToGrid/>
          <w:sz w:val="24"/>
          <w:szCs w:val="24"/>
        </w:rPr>
        <w:t>Outside</w:t>
      </w:r>
      <w:r w:rsidRPr="003A4224">
        <w:rPr>
          <w:rFonts w:ascii="Times New Roman" w:hAnsi="Times New Roman"/>
          <w:b/>
          <w:snapToGrid/>
          <w:sz w:val="24"/>
          <w:szCs w:val="24"/>
        </w:rPr>
        <w:t xml:space="preserve"> the Agency </w:t>
      </w:r>
    </w:p>
    <w:p w:rsidR="00D104F5" w:rsidRPr="00D104F5" w:rsidP="00D104F5" w14:paraId="066BD74A" w14:textId="77777777">
      <w:pPr>
        <w:widowControl/>
        <w:spacing w:after="120"/>
        <w:rPr>
          <w:rFonts w:ascii="Times New Roman" w:hAnsi="Times New Roman"/>
          <w:sz w:val="24"/>
          <w:szCs w:val="24"/>
        </w:rPr>
      </w:pPr>
      <w:r w:rsidRPr="00D104F5">
        <w:rPr>
          <w:rFonts w:ascii="Times New Roman" w:hAnsi="Times New Roman"/>
          <w:sz w:val="24"/>
          <w:szCs w:val="24"/>
        </w:rPr>
        <w:t xml:space="preserve">A 60-day notice published in the Federal Register on December 5, 2023, Vol 88, Number 232, pp. 84335-84336. A 30-day notice published in the Federal Register on March 25, 2024, Vol 89, Number 58, pp. 20663-20664. During the 60-day public comment period, ACL received two comments related to the ACL Program Performance Report Template. A summary of the comments and the ACL response is provided below: </w:t>
      </w:r>
    </w:p>
    <w:p w:rsidR="00D104F5" w:rsidRPr="00D104F5" w:rsidP="00ED228C" w14:paraId="722EF3E4" w14:textId="77777777">
      <w:pPr>
        <w:widowControl/>
        <w:spacing w:after="120"/>
        <w:ind w:left="720"/>
        <w:rPr>
          <w:rFonts w:ascii="Times New Roman" w:hAnsi="Times New Roman"/>
          <w:sz w:val="24"/>
          <w:szCs w:val="24"/>
        </w:rPr>
      </w:pPr>
      <w:r w:rsidRPr="00D104F5">
        <w:rPr>
          <w:rFonts w:ascii="Times New Roman" w:hAnsi="Times New Roman"/>
          <w:sz w:val="24"/>
          <w:szCs w:val="24"/>
        </w:rPr>
        <w:t xml:space="preserve">Comment #1:  Suggest including more specific instructions for completing the elements in the proposed ACL Program Performance Report Template: </w:t>
      </w:r>
    </w:p>
    <w:p w:rsidR="00D104F5" w:rsidRPr="00D104F5" w:rsidP="00ED228C" w14:paraId="0E4F7302" w14:textId="77777777">
      <w:pPr>
        <w:widowControl/>
        <w:spacing w:after="120"/>
        <w:ind w:left="720"/>
        <w:rPr>
          <w:rFonts w:ascii="Times New Roman" w:hAnsi="Times New Roman"/>
          <w:sz w:val="24"/>
          <w:szCs w:val="24"/>
        </w:rPr>
      </w:pPr>
      <w:r w:rsidRPr="00D104F5">
        <w:rPr>
          <w:rFonts w:ascii="Times New Roman" w:hAnsi="Times New Roman"/>
          <w:sz w:val="24"/>
          <w:szCs w:val="24"/>
        </w:rPr>
        <w:t>ACL response: While ACL appreciates this suggestion, the instructions for completing the elements must be somewhat broad in order to account for differences in the goals, objectives, and activities across the programs.</w:t>
      </w:r>
    </w:p>
    <w:p w:rsidR="00D104F5" w:rsidRPr="00D104F5" w:rsidP="00ED228C" w14:paraId="0EF05DBD" w14:textId="77777777">
      <w:pPr>
        <w:widowControl/>
        <w:spacing w:after="120"/>
        <w:ind w:left="720"/>
        <w:rPr>
          <w:rFonts w:ascii="Times New Roman" w:hAnsi="Times New Roman"/>
          <w:sz w:val="24"/>
          <w:szCs w:val="24"/>
        </w:rPr>
      </w:pPr>
      <w:r w:rsidRPr="00D104F5">
        <w:rPr>
          <w:rFonts w:ascii="Times New Roman" w:hAnsi="Times New Roman"/>
          <w:sz w:val="24"/>
          <w:szCs w:val="24"/>
        </w:rPr>
        <w:t xml:space="preserve">Comment #2: Request confirmation that the grantee will be responsible for submitting a comprehensive program performance report each reporting period to ACL (as opposed to having grantees’ subcontractors each submit individual reports to ACL). </w:t>
      </w:r>
    </w:p>
    <w:p w:rsidR="00D104F5" w:rsidP="00ED228C" w14:paraId="3648C865" w14:textId="77777777">
      <w:pPr>
        <w:widowControl/>
        <w:spacing w:after="120"/>
        <w:ind w:left="720"/>
        <w:rPr>
          <w:rFonts w:ascii="Times New Roman" w:hAnsi="Times New Roman"/>
          <w:sz w:val="24"/>
          <w:szCs w:val="24"/>
        </w:rPr>
      </w:pPr>
      <w:r w:rsidRPr="00D104F5">
        <w:rPr>
          <w:rFonts w:ascii="Times New Roman" w:hAnsi="Times New Roman"/>
          <w:sz w:val="24"/>
          <w:szCs w:val="24"/>
        </w:rPr>
        <w:t>ACL response: Although grantees could work with their subcontractors to gather information to complete their program performance report, grantees would be responsible for submitting a comprehensive program performance report for the specified reporting period.</w:t>
      </w:r>
    </w:p>
    <w:p w:rsidR="00ED228C" w:rsidRPr="00D104F5" w:rsidP="00D104F5" w14:paraId="654181AC" w14:textId="2F5AB7B4">
      <w:pPr>
        <w:widowControl/>
        <w:spacing w:after="120"/>
        <w:rPr>
          <w:rFonts w:ascii="Times New Roman" w:hAnsi="Times New Roman"/>
          <w:sz w:val="24"/>
          <w:szCs w:val="24"/>
        </w:rPr>
      </w:pPr>
      <w:r w:rsidRPr="00941832">
        <w:rPr>
          <w:rFonts w:ascii="Times New Roman" w:hAnsi="Times New Roman"/>
          <w:sz w:val="24"/>
          <w:szCs w:val="24"/>
        </w:rPr>
        <w:t>A 30-day notice published in the Federal Register on March 19, 2023, Vol 89, Number 58, pp. 20663-20664. During the 30-day public comment period, ACL received no comments.</w:t>
      </w:r>
    </w:p>
    <w:p w:rsidR="00D104F5" w:rsidP="00D104F5" w14:paraId="2B47CC32" w14:textId="2B94928F">
      <w:pPr>
        <w:widowControl/>
        <w:spacing w:after="120"/>
        <w:rPr>
          <w:rFonts w:ascii="Times New Roman" w:hAnsi="Times New Roman"/>
          <w:sz w:val="24"/>
          <w:szCs w:val="24"/>
        </w:rPr>
      </w:pPr>
      <w:r>
        <w:rPr>
          <w:rFonts w:ascii="Times New Roman" w:hAnsi="Times New Roman"/>
          <w:sz w:val="24"/>
          <w:szCs w:val="24"/>
        </w:rPr>
        <w:t>A</w:t>
      </w:r>
      <w:r w:rsidR="00CB1596">
        <w:rPr>
          <w:rFonts w:ascii="Times New Roman" w:hAnsi="Times New Roman"/>
          <w:sz w:val="24"/>
          <w:szCs w:val="24"/>
        </w:rPr>
        <w:t xml:space="preserve"> </w:t>
      </w:r>
      <w:r w:rsidRPr="00D104F5">
        <w:rPr>
          <w:rFonts w:ascii="Times New Roman" w:hAnsi="Times New Roman"/>
          <w:sz w:val="24"/>
          <w:szCs w:val="24"/>
        </w:rPr>
        <w:t xml:space="preserve">30-day </w:t>
      </w:r>
      <w:r>
        <w:rPr>
          <w:rFonts w:ascii="Times New Roman" w:hAnsi="Times New Roman"/>
          <w:sz w:val="24"/>
          <w:szCs w:val="24"/>
        </w:rPr>
        <w:t>corrective notice</w:t>
      </w:r>
      <w:r w:rsidRPr="00D104F5">
        <w:rPr>
          <w:rFonts w:ascii="Times New Roman" w:hAnsi="Times New Roman"/>
          <w:sz w:val="24"/>
          <w:szCs w:val="24"/>
        </w:rPr>
        <w:t xml:space="preserve"> </w:t>
      </w:r>
      <w:r>
        <w:rPr>
          <w:rFonts w:ascii="Times New Roman" w:hAnsi="Times New Roman"/>
          <w:sz w:val="24"/>
          <w:szCs w:val="24"/>
        </w:rPr>
        <w:t xml:space="preserve">published </w:t>
      </w:r>
      <w:r w:rsidRPr="00D104F5">
        <w:rPr>
          <w:rFonts w:ascii="Times New Roman" w:hAnsi="Times New Roman"/>
          <w:sz w:val="24"/>
          <w:szCs w:val="24"/>
        </w:rPr>
        <w:t xml:space="preserve">in the Federal Register </w:t>
      </w:r>
      <w:r w:rsidR="000C5794">
        <w:rPr>
          <w:rFonts w:ascii="Times New Roman" w:hAnsi="Times New Roman"/>
          <w:sz w:val="24"/>
          <w:szCs w:val="24"/>
        </w:rPr>
        <w:t xml:space="preserve">on September 26, 2024, Vol </w:t>
      </w:r>
      <w:r w:rsidR="00A635D0">
        <w:rPr>
          <w:rFonts w:ascii="Times New Roman" w:hAnsi="Times New Roman"/>
          <w:sz w:val="24"/>
          <w:szCs w:val="24"/>
        </w:rPr>
        <w:t xml:space="preserve">89, Number </w:t>
      </w:r>
      <w:r w:rsidR="0014311C">
        <w:rPr>
          <w:rFonts w:ascii="Times New Roman" w:hAnsi="Times New Roman"/>
          <w:sz w:val="24"/>
          <w:szCs w:val="24"/>
        </w:rPr>
        <w:t xml:space="preserve">187, pp </w:t>
      </w:r>
      <w:r w:rsidRPr="0014311C" w:rsidR="0014311C">
        <w:rPr>
          <w:rFonts w:ascii="Times New Roman" w:hAnsi="Times New Roman"/>
          <w:sz w:val="24"/>
          <w:szCs w:val="24"/>
        </w:rPr>
        <w:t>78878-78879</w:t>
      </w:r>
      <w:r w:rsidR="0014311C">
        <w:rPr>
          <w:rFonts w:ascii="Times New Roman" w:hAnsi="Times New Roman"/>
          <w:sz w:val="24"/>
          <w:szCs w:val="24"/>
        </w:rPr>
        <w:t xml:space="preserve"> and </w:t>
      </w:r>
      <w:r w:rsidRPr="00D104F5">
        <w:rPr>
          <w:rFonts w:ascii="Times New Roman" w:hAnsi="Times New Roman"/>
          <w:sz w:val="24"/>
          <w:szCs w:val="24"/>
        </w:rPr>
        <w:t>makes correction to the information collection type</w:t>
      </w:r>
      <w:r w:rsidR="005C6204">
        <w:rPr>
          <w:rFonts w:ascii="Times New Roman" w:hAnsi="Times New Roman"/>
          <w:sz w:val="24"/>
          <w:szCs w:val="24"/>
        </w:rPr>
        <w:t>. T</w:t>
      </w:r>
      <w:r w:rsidRPr="00D104F5">
        <w:rPr>
          <w:rFonts w:ascii="Times New Roman" w:hAnsi="Times New Roman"/>
          <w:sz w:val="24"/>
          <w:szCs w:val="24"/>
        </w:rPr>
        <w:t xml:space="preserve">he previously published 30-day notice requested public comment on this information collection as a generic ICR. </w:t>
      </w:r>
    </w:p>
    <w:p w:rsidR="00F937B1" w:rsidRPr="00D104F5" w:rsidP="00D104F5" w14:paraId="75081FF7" w14:textId="77777777">
      <w:pPr>
        <w:widowControl/>
        <w:spacing w:after="120"/>
        <w:rPr>
          <w:rFonts w:ascii="Times New Roman" w:hAnsi="Times New Roman"/>
          <w:sz w:val="24"/>
          <w:szCs w:val="24"/>
        </w:rPr>
      </w:pPr>
    </w:p>
    <w:p w:rsidR="007E1599" w:rsidRPr="00D93FFB" w:rsidP="005F6D81" w14:paraId="02EE6979" w14:textId="26627D69">
      <w:pPr>
        <w:widowControl/>
        <w:numPr>
          <w:ilvl w:val="0"/>
          <w:numId w:val="1"/>
        </w:numPr>
        <w:tabs>
          <w:tab w:val="num" w:pos="360"/>
          <w:tab w:val="clear" w:pos="720"/>
        </w:tabs>
        <w:spacing w:after="120"/>
        <w:ind w:left="360"/>
        <w:rPr>
          <w:rFonts w:ascii="Times New Roman" w:hAnsi="Times New Roman"/>
          <w:b/>
          <w:snapToGrid/>
          <w:sz w:val="24"/>
          <w:szCs w:val="24"/>
        </w:rPr>
      </w:pPr>
      <w:r w:rsidRPr="742F0DC8">
        <w:rPr>
          <w:rFonts w:ascii="Times New Roman" w:hAnsi="Times New Roman"/>
          <w:b/>
          <w:bCs/>
          <w:snapToGrid/>
          <w:sz w:val="24"/>
          <w:szCs w:val="24"/>
        </w:rPr>
        <w:t xml:space="preserve">    </w:t>
      </w:r>
      <w:r w:rsidRPr="00D93FFB">
        <w:rPr>
          <w:rFonts w:ascii="Times New Roman" w:hAnsi="Times New Roman"/>
          <w:b/>
          <w:snapToGrid/>
          <w:sz w:val="24"/>
          <w:szCs w:val="24"/>
        </w:rPr>
        <w:t xml:space="preserve">Explanation of Any Payment or Gift to Respondents </w:t>
      </w:r>
    </w:p>
    <w:p w:rsidR="007E1599" w:rsidRPr="00D93FFB" w:rsidP="004B6DE8" w14:paraId="2F3CF62A" w14:textId="6A914F6A">
      <w:pPr>
        <w:widowControl/>
        <w:ind w:left="720" w:hanging="720"/>
        <w:rPr>
          <w:rFonts w:ascii="Times New Roman" w:hAnsi="Times New Roman"/>
          <w:snapToGrid/>
          <w:sz w:val="24"/>
          <w:szCs w:val="24"/>
        </w:rPr>
      </w:pPr>
      <w:r w:rsidRPr="00D93FFB">
        <w:rPr>
          <w:rFonts w:ascii="Times New Roman" w:hAnsi="Times New Roman"/>
          <w:snapToGrid/>
          <w:sz w:val="24"/>
          <w:szCs w:val="24"/>
        </w:rPr>
        <w:t>There are no payments of gifts to respondents.</w:t>
      </w:r>
    </w:p>
    <w:p w:rsidR="005F6D81" w:rsidRPr="00D93FFB" w:rsidP="004B6DE8" w14:paraId="63A07BA2" w14:textId="1EB3E5CC">
      <w:pPr>
        <w:widowControl/>
        <w:ind w:left="720" w:hanging="720"/>
        <w:rPr>
          <w:rFonts w:ascii="Times New Roman" w:hAnsi="Times New Roman"/>
          <w:snapToGrid/>
          <w:sz w:val="24"/>
          <w:szCs w:val="24"/>
        </w:rPr>
      </w:pPr>
    </w:p>
    <w:p w:rsidR="007E1599" w:rsidRPr="00D93FFB" w:rsidP="005F6D81" w14:paraId="50BC83B2" w14:textId="403231E1">
      <w:pPr>
        <w:widowControl/>
        <w:numPr>
          <w:ilvl w:val="0"/>
          <w:numId w:val="1"/>
        </w:numPr>
        <w:tabs>
          <w:tab w:val="num" w:pos="360"/>
          <w:tab w:val="clear" w:pos="720"/>
        </w:tabs>
        <w:spacing w:after="120"/>
        <w:ind w:left="360"/>
        <w:rPr>
          <w:rFonts w:ascii="Times New Roman" w:hAnsi="Times New Roman"/>
          <w:b/>
          <w:snapToGrid/>
          <w:sz w:val="24"/>
          <w:szCs w:val="24"/>
        </w:rPr>
      </w:pPr>
      <w:r w:rsidRPr="742F0DC8">
        <w:rPr>
          <w:rFonts w:ascii="Times New Roman" w:hAnsi="Times New Roman"/>
          <w:b/>
          <w:bCs/>
          <w:snapToGrid/>
          <w:sz w:val="24"/>
          <w:szCs w:val="24"/>
        </w:rPr>
        <w:t xml:space="preserve">     </w:t>
      </w:r>
      <w:r w:rsidRPr="00D93FFB">
        <w:rPr>
          <w:rFonts w:ascii="Times New Roman" w:hAnsi="Times New Roman"/>
          <w:b/>
          <w:snapToGrid/>
          <w:sz w:val="24"/>
          <w:szCs w:val="24"/>
        </w:rPr>
        <w:t xml:space="preserve">Assurance of Confidentiality Provided to Respondents </w:t>
      </w:r>
    </w:p>
    <w:p w:rsidR="00195639" w:rsidRPr="00195639" w:rsidP="00195639" w14:paraId="3744D7AB" w14:textId="77777777">
      <w:pPr>
        <w:suppressAutoHyphens/>
        <w:rPr>
          <w:rFonts w:ascii="Times New Roman" w:hAnsi="Times New Roman"/>
          <w:sz w:val="24"/>
          <w:szCs w:val="24"/>
        </w:rPr>
      </w:pPr>
      <w:r>
        <w:rPr>
          <w:rFonts w:ascii="Times New Roman" w:hAnsi="Times New Roman"/>
          <w:sz w:val="24"/>
          <w:szCs w:val="24"/>
        </w:rPr>
        <w:t xml:space="preserve">This ICR does not collect Personally Identifiable Information (PII). </w:t>
      </w:r>
      <w:r w:rsidRPr="00284E53" w:rsidR="00284E53">
        <w:rPr>
          <w:rFonts w:ascii="Times New Roman" w:hAnsi="Times New Roman"/>
          <w:sz w:val="24"/>
          <w:szCs w:val="24"/>
        </w:rPr>
        <w:t xml:space="preserve">Individual level/person level data are not collected, therefore PII is not applicable. </w:t>
      </w:r>
      <w:r w:rsidR="00284E53">
        <w:rPr>
          <w:rFonts w:ascii="Times New Roman" w:hAnsi="Times New Roman"/>
          <w:sz w:val="24"/>
          <w:szCs w:val="24"/>
        </w:rPr>
        <w:t>Grantee</w:t>
      </w:r>
      <w:r w:rsidRPr="00284E53" w:rsidR="00284E53">
        <w:rPr>
          <w:rFonts w:ascii="Times New Roman" w:hAnsi="Times New Roman"/>
          <w:sz w:val="24"/>
          <w:szCs w:val="24"/>
        </w:rPr>
        <w:t xml:space="preserve"> reporting contains only aggregate level data collection.</w:t>
      </w:r>
      <w:r w:rsidR="00FE0EA1">
        <w:rPr>
          <w:rFonts w:ascii="Times New Roman" w:hAnsi="Times New Roman"/>
          <w:sz w:val="24"/>
          <w:szCs w:val="24"/>
        </w:rPr>
        <w:t xml:space="preserve"> </w:t>
      </w:r>
      <w:r w:rsidRPr="00195639">
        <w:rPr>
          <w:rFonts w:ascii="Times New Roman" w:hAnsi="Times New Roman"/>
          <w:sz w:val="24"/>
          <w:szCs w:val="24"/>
        </w:rPr>
        <w:t xml:space="preserve">There are no assurances of confidentiality. </w:t>
      </w:r>
      <w:r w:rsidRPr="00195639">
        <w:rPr>
          <w:rFonts w:ascii="Times New Roman" w:hAnsi="Times New Roman"/>
          <w:bCs/>
          <w:sz w:val="24"/>
          <w:szCs w:val="24"/>
        </w:rPr>
        <w:t>Data will be kept private to the extent allowed by law.</w:t>
      </w:r>
    </w:p>
    <w:p w:rsidR="005F6D81" w:rsidP="742F0DC8" w14:paraId="4BB78246" w14:textId="67128719">
      <w:pPr>
        <w:suppressAutoHyphens/>
        <w:rPr>
          <w:rFonts w:ascii="Times New Roman" w:hAnsi="Times New Roman"/>
          <w:sz w:val="24"/>
          <w:szCs w:val="24"/>
        </w:rPr>
      </w:pPr>
    </w:p>
    <w:p w:rsidR="00F06C3A" w:rsidP="742F0DC8" w14:paraId="6EE3C9A0" w14:textId="77777777">
      <w:pPr>
        <w:suppressAutoHyphens/>
        <w:rPr>
          <w:rFonts w:ascii="Times New Roman" w:hAnsi="Times New Roman"/>
          <w:sz w:val="24"/>
          <w:szCs w:val="24"/>
        </w:rPr>
      </w:pPr>
    </w:p>
    <w:p w:rsidR="005F6D81" w:rsidRPr="00D93FFB" w:rsidP="742F0DC8" w14:paraId="540C86F0" w14:textId="77777777">
      <w:pPr>
        <w:suppressAutoHyphens/>
        <w:rPr>
          <w:rFonts w:ascii="Times New Roman" w:hAnsi="Times New Roman"/>
          <w:sz w:val="24"/>
          <w:szCs w:val="24"/>
        </w:rPr>
      </w:pPr>
    </w:p>
    <w:p w:rsidR="007E1599" w:rsidRPr="00D93FFB" w:rsidP="005F6D81" w14:paraId="0444D4CA" w14:textId="34FEDFD2">
      <w:pPr>
        <w:widowControl/>
        <w:numPr>
          <w:ilvl w:val="0"/>
          <w:numId w:val="1"/>
        </w:numPr>
        <w:tabs>
          <w:tab w:val="num" w:pos="360"/>
          <w:tab w:val="clear" w:pos="720"/>
        </w:tabs>
        <w:spacing w:after="120"/>
        <w:ind w:left="360"/>
        <w:rPr>
          <w:rFonts w:ascii="Times New Roman" w:hAnsi="Times New Roman"/>
          <w:b/>
          <w:snapToGrid/>
          <w:sz w:val="24"/>
          <w:szCs w:val="24"/>
        </w:rPr>
      </w:pPr>
      <w:r w:rsidRPr="742F0DC8">
        <w:rPr>
          <w:rFonts w:ascii="Times New Roman" w:hAnsi="Times New Roman"/>
          <w:b/>
          <w:bCs/>
          <w:snapToGrid/>
          <w:sz w:val="24"/>
          <w:szCs w:val="24"/>
        </w:rPr>
        <w:t xml:space="preserve">      </w:t>
      </w:r>
      <w:r w:rsidRPr="00D93FFB">
        <w:rPr>
          <w:rFonts w:ascii="Times New Roman" w:hAnsi="Times New Roman"/>
          <w:b/>
          <w:snapToGrid/>
          <w:sz w:val="24"/>
          <w:szCs w:val="24"/>
        </w:rPr>
        <w:t xml:space="preserve">Justification for Sensitive Questions </w:t>
      </w:r>
    </w:p>
    <w:p w:rsidR="007E1599" w:rsidP="004B6DE8" w14:paraId="5FA3FFEE" w14:textId="7F097E25">
      <w:pPr>
        <w:widowControl/>
        <w:rPr>
          <w:rFonts w:ascii="Times New Roman" w:hAnsi="Times New Roman"/>
          <w:sz w:val="24"/>
          <w:szCs w:val="24"/>
        </w:rPr>
      </w:pPr>
      <w:r w:rsidRPr="00D93FFB">
        <w:rPr>
          <w:rFonts w:ascii="Times New Roman" w:hAnsi="Times New Roman"/>
          <w:snapToGrid/>
          <w:sz w:val="24"/>
          <w:szCs w:val="24"/>
        </w:rPr>
        <w:t xml:space="preserve">There are no questions of an inherently sensitive nature included in the </w:t>
      </w:r>
      <w:r w:rsidR="00B0743F">
        <w:rPr>
          <w:rFonts w:ascii="Times New Roman" w:hAnsi="Times New Roman"/>
          <w:snapToGrid/>
          <w:sz w:val="24"/>
          <w:szCs w:val="24"/>
        </w:rPr>
        <w:t>program performance report</w:t>
      </w:r>
      <w:r w:rsidRPr="00D93FFB">
        <w:rPr>
          <w:rFonts w:ascii="Times New Roman" w:hAnsi="Times New Roman"/>
          <w:snapToGrid/>
          <w:sz w:val="24"/>
          <w:szCs w:val="24"/>
        </w:rPr>
        <w:t xml:space="preserve"> forms.</w:t>
      </w:r>
      <w:r w:rsidRPr="00D93FFB" w:rsidR="00BC1786">
        <w:rPr>
          <w:rFonts w:ascii="Times New Roman" w:hAnsi="Times New Roman"/>
          <w:snapToGrid/>
          <w:sz w:val="24"/>
          <w:szCs w:val="24"/>
        </w:rPr>
        <w:t xml:space="preserve"> </w:t>
      </w:r>
      <w:r w:rsidR="00284E53">
        <w:rPr>
          <w:rFonts w:ascii="Times New Roman" w:hAnsi="Times New Roman"/>
          <w:sz w:val="24"/>
          <w:szCs w:val="24"/>
        </w:rPr>
        <w:t>A</w:t>
      </w:r>
      <w:r w:rsidRPr="00D93FFB" w:rsidR="00BC1786">
        <w:rPr>
          <w:rFonts w:ascii="Times New Roman" w:hAnsi="Times New Roman"/>
          <w:sz w:val="24"/>
          <w:szCs w:val="24"/>
        </w:rPr>
        <w:t>ll grantees must adhere to 45 CFR § 75.303 (e) to take reasonable measures to safeguard protected personally identifiable information of program participants</w:t>
      </w:r>
      <w:r w:rsidR="00284E53">
        <w:rPr>
          <w:rFonts w:ascii="Times New Roman" w:hAnsi="Times New Roman"/>
          <w:sz w:val="24"/>
          <w:szCs w:val="24"/>
        </w:rPr>
        <w:t xml:space="preserve"> should they collect that information in their own systems</w:t>
      </w:r>
      <w:r w:rsidRPr="00D93FFB" w:rsidR="00BC1786">
        <w:rPr>
          <w:rFonts w:ascii="Times New Roman" w:hAnsi="Times New Roman"/>
          <w:sz w:val="24"/>
          <w:szCs w:val="24"/>
        </w:rPr>
        <w:t>.</w:t>
      </w:r>
      <w:r w:rsidRPr="00D93FFB" w:rsidR="00B863AB">
        <w:rPr>
          <w:rFonts w:ascii="Times New Roman" w:hAnsi="Times New Roman"/>
          <w:sz w:val="24"/>
          <w:szCs w:val="24"/>
        </w:rPr>
        <w:t xml:space="preserve"> </w:t>
      </w:r>
    </w:p>
    <w:p w:rsidR="00384B3F" w:rsidP="004B6DE8" w14:paraId="348FC248" w14:textId="77777777">
      <w:pPr>
        <w:widowControl/>
        <w:rPr>
          <w:rFonts w:ascii="Times New Roman" w:hAnsi="Times New Roman"/>
          <w:sz w:val="24"/>
          <w:szCs w:val="24"/>
        </w:rPr>
      </w:pPr>
    </w:p>
    <w:p w:rsidR="00E054FE" w:rsidP="00384B3F" w14:paraId="5146AD59" w14:textId="65050DC3">
      <w:pPr>
        <w:widowControl/>
        <w:rPr>
          <w:rFonts w:ascii="Times New Roman" w:hAnsi="Times New Roman"/>
          <w:sz w:val="24"/>
          <w:szCs w:val="24"/>
        </w:rPr>
      </w:pPr>
      <w:r w:rsidRPr="00384B3F">
        <w:rPr>
          <w:rFonts w:ascii="Times New Roman" w:hAnsi="Times New Roman"/>
          <w:sz w:val="24"/>
          <w:szCs w:val="24"/>
        </w:rPr>
        <w:t>In general, this information collection does not ask sensitive questions. However, for a small number of respondents, the collection of SOGI data could be considered sensitive. Despite the potentially sensitive nature of these items, years of data collection on this topic indicates that respondents are willing to respond and do not report sensitivity concerns</w:t>
      </w:r>
      <w:r>
        <w:rPr>
          <w:rFonts w:ascii="Times New Roman" w:hAnsi="Times New Roman"/>
          <w:sz w:val="24"/>
          <w:szCs w:val="24"/>
        </w:rPr>
        <w:t xml:space="preserve">. </w:t>
      </w:r>
      <w:r>
        <w:rPr>
          <w:rFonts w:ascii="Times New Roman" w:hAnsi="Times New Roman"/>
          <w:sz w:val="24"/>
          <w:szCs w:val="24"/>
        </w:rPr>
        <w:t xml:space="preserve">ACL is using SOGI questions designed specifically for administrative data collections, for which all PPRs are, to collect the best available evidence on this population. ACL worked with many of the SOGI data experts on the </w:t>
      </w:r>
      <w:hyperlink r:id="rId9" w:history="1">
        <w:r w:rsidRPr="00E054FE">
          <w:rPr>
            <w:rStyle w:val="Hyperlink"/>
            <w:rFonts w:ascii="Times New Roman" w:hAnsi="Times New Roman"/>
            <w:sz w:val="24"/>
            <w:szCs w:val="24"/>
          </w:rPr>
          <w:t xml:space="preserve">National Academies report, </w:t>
        </w:r>
        <w:r w:rsidRPr="00E054FE">
          <w:rPr>
            <w:rStyle w:val="Hyperlink"/>
            <w:rFonts w:ascii="Times New Roman" w:hAnsi="Times New Roman"/>
            <w:i/>
            <w:iCs/>
            <w:sz w:val="24"/>
            <w:szCs w:val="24"/>
          </w:rPr>
          <w:t>Measuring Sex, Gender Identity, and Sexual Orientation</w:t>
        </w:r>
      </w:hyperlink>
      <w:r>
        <w:rPr>
          <w:rFonts w:ascii="Times New Roman" w:hAnsi="Times New Roman"/>
          <w:sz w:val="24"/>
          <w:szCs w:val="24"/>
        </w:rPr>
        <w:t>, and other SOGI data experts throughout the Department of Health and Human Services to modify the survey questions in the report for administrative data systems. One key aspect for administrative data systems is to keep burden for reporting as low as possible, which ACL kept in mind.</w:t>
      </w:r>
    </w:p>
    <w:p w:rsidR="00E054FE" w:rsidP="00384B3F" w14:paraId="663E820E" w14:textId="77777777">
      <w:pPr>
        <w:widowControl/>
        <w:rPr>
          <w:rFonts w:ascii="Times New Roman" w:hAnsi="Times New Roman"/>
          <w:sz w:val="24"/>
          <w:szCs w:val="24"/>
        </w:rPr>
      </w:pPr>
    </w:p>
    <w:p w:rsidR="00E054FE" w:rsidP="00384B3F" w14:paraId="5EAF7500" w14:textId="287BA9AC">
      <w:pPr>
        <w:widowControl/>
        <w:rPr>
          <w:rFonts w:ascii="Times New Roman" w:hAnsi="Times New Roman"/>
          <w:sz w:val="24"/>
          <w:szCs w:val="24"/>
        </w:rPr>
      </w:pPr>
      <w:r>
        <w:rPr>
          <w:rFonts w:ascii="Times New Roman" w:hAnsi="Times New Roman"/>
          <w:sz w:val="24"/>
          <w:szCs w:val="24"/>
        </w:rPr>
        <w:t xml:space="preserve">Additionally, the </w:t>
      </w:r>
      <w:hyperlink r:id="rId10" w:history="1">
        <w:r w:rsidRPr="00E054FE">
          <w:rPr>
            <w:rStyle w:val="Hyperlink"/>
            <w:rFonts w:ascii="Times New Roman" w:hAnsi="Times New Roman"/>
            <w:sz w:val="24"/>
            <w:szCs w:val="24"/>
          </w:rPr>
          <w:t>SOGI Best Practices document</w:t>
        </w:r>
      </w:hyperlink>
      <w:r>
        <w:rPr>
          <w:rFonts w:ascii="Times New Roman" w:hAnsi="Times New Roman"/>
          <w:sz w:val="24"/>
          <w:szCs w:val="24"/>
        </w:rPr>
        <w:t xml:space="preserve"> outlines on the first page that: </w:t>
      </w:r>
    </w:p>
    <w:p w:rsidR="00E054FE" w:rsidP="00E054FE" w14:paraId="4A34414E" w14:textId="77777777">
      <w:pPr>
        <w:widowControl/>
        <w:ind w:left="360"/>
        <w:rPr>
          <w:rFonts w:ascii="Times New Roman" w:hAnsi="Times New Roman"/>
          <w:b/>
          <w:bCs/>
          <w:i/>
          <w:iCs/>
          <w:sz w:val="24"/>
          <w:szCs w:val="24"/>
        </w:rPr>
      </w:pPr>
      <w:r w:rsidRPr="00E054FE">
        <w:rPr>
          <w:rFonts w:ascii="Times New Roman" w:hAnsi="Times New Roman"/>
          <w:b/>
          <w:bCs/>
          <w:i/>
          <w:iCs/>
          <w:sz w:val="24"/>
          <w:szCs w:val="24"/>
        </w:rPr>
        <w:t xml:space="preserve">This report does not mandate any </w:t>
      </w:r>
      <w:r w:rsidRPr="00E054FE">
        <w:rPr>
          <w:rFonts w:ascii="Times New Roman" w:hAnsi="Times New Roman"/>
          <w:b/>
          <w:bCs/>
          <w:i/>
          <w:iCs/>
          <w:sz w:val="24"/>
          <w:szCs w:val="24"/>
        </w:rPr>
        <w:t>particular approach</w:t>
      </w:r>
      <w:r w:rsidRPr="00E054FE">
        <w:rPr>
          <w:rFonts w:ascii="Times New Roman" w:hAnsi="Times New Roman"/>
          <w:b/>
          <w:bCs/>
          <w:i/>
          <w:iCs/>
          <w:sz w:val="24"/>
          <w:szCs w:val="24"/>
        </w:rPr>
        <w:t xml:space="preserve"> or create any new requirements for agencies. In the future, Federal agencies may need to diverge from the recommendations in this report to reflect new, evidence-based best practices.</w:t>
      </w:r>
    </w:p>
    <w:p w:rsidR="00E054FE" w:rsidP="00384B3F" w14:paraId="0B29E1A6" w14:textId="77777777">
      <w:pPr>
        <w:widowControl/>
        <w:rPr>
          <w:rFonts w:ascii="Times New Roman" w:hAnsi="Times New Roman"/>
          <w:sz w:val="24"/>
          <w:szCs w:val="24"/>
        </w:rPr>
      </w:pPr>
    </w:p>
    <w:p w:rsidR="00384B3F" w:rsidRPr="00D93FFB" w:rsidP="004B6DE8" w14:paraId="1776CF72" w14:textId="1E58CFA6">
      <w:pPr>
        <w:widowControl/>
        <w:rPr>
          <w:rFonts w:ascii="Times New Roman" w:hAnsi="Times New Roman"/>
          <w:sz w:val="24"/>
          <w:szCs w:val="24"/>
        </w:rPr>
      </w:pPr>
      <w:r>
        <w:rPr>
          <w:rFonts w:ascii="Times New Roman" w:hAnsi="Times New Roman"/>
          <w:sz w:val="24"/>
          <w:szCs w:val="24"/>
        </w:rPr>
        <w:t xml:space="preserve">In keeping with this principle in the document, ACL has crafted what is hopefully the least burdensome and most useful set of questions for the administrative systems that are used by ACL grantees. </w:t>
      </w:r>
    </w:p>
    <w:p w:rsidR="005F6D81" w:rsidRPr="00D93FFB" w:rsidP="004B6DE8" w14:paraId="73284EFA" w14:textId="77777777">
      <w:pPr>
        <w:widowControl/>
        <w:rPr>
          <w:rFonts w:ascii="Times New Roman" w:hAnsi="Times New Roman"/>
          <w:snapToGrid/>
          <w:sz w:val="24"/>
          <w:szCs w:val="24"/>
        </w:rPr>
      </w:pPr>
    </w:p>
    <w:p w:rsidR="007E1599" w:rsidRPr="00D93FFB" w:rsidP="00F743EA" w14:paraId="1CAF7721" w14:textId="3B03E810">
      <w:pPr>
        <w:widowControl/>
        <w:numPr>
          <w:ilvl w:val="0"/>
          <w:numId w:val="1"/>
        </w:numPr>
        <w:tabs>
          <w:tab w:val="num" w:pos="360"/>
          <w:tab w:val="clear" w:pos="720"/>
        </w:tabs>
        <w:spacing w:after="120"/>
        <w:ind w:left="360"/>
        <w:rPr>
          <w:rFonts w:ascii="Times New Roman" w:hAnsi="Times New Roman"/>
          <w:b/>
          <w:snapToGrid/>
          <w:sz w:val="24"/>
          <w:szCs w:val="24"/>
        </w:rPr>
      </w:pPr>
      <w:r w:rsidRPr="742F0DC8">
        <w:rPr>
          <w:rFonts w:ascii="Times New Roman" w:hAnsi="Times New Roman"/>
          <w:b/>
          <w:bCs/>
          <w:snapToGrid/>
          <w:sz w:val="24"/>
          <w:szCs w:val="24"/>
        </w:rPr>
        <w:t xml:space="preserve">      </w:t>
      </w:r>
      <w:r w:rsidRPr="00D93FFB">
        <w:rPr>
          <w:rFonts w:ascii="Times New Roman" w:hAnsi="Times New Roman"/>
          <w:b/>
          <w:snapToGrid/>
          <w:sz w:val="24"/>
          <w:szCs w:val="24"/>
        </w:rPr>
        <w:t xml:space="preserve">Estimates of Annualized Burden Hours and Costs </w:t>
      </w:r>
    </w:p>
    <w:p w:rsidR="00ED2BD7" w:rsidP="00ED2BD7" w14:paraId="55D0C4E0" w14:textId="39EA09DA">
      <w:pPr>
        <w:rPr>
          <w:rFonts w:ascii="Times New Roman" w:hAnsi="Times New Roman"/>
          <w:bCs/>
          <w:iCs/>
          <w:sz w:val="24"/>
          <w:szCs w:val="24"/>
        </w:rPr>
      </w:pPr>
      <w:r w:rsidRPr="00ED2BD7">
        <w:rPr>
          <w:rFonts w:ascii="Times New Roman" w:hAnsi="Times New Roman"/>
          <w:bCs/>
          <w:iCs/>
          <w:sz w:val="24"/>
          <w:szCs w:val="24"/>
        </w:rPr>
        <w:t xml:space="preserve">ACL estimated total annual burden for this IC is </w:t>
      </w:r>
      <w:r w:rsidRPr="00CB3F7F" w:rsidR="00CB3F7F">
        <w:rPr>
          <w:rFonts w:ascii="Times New Roman" w:hAnsi="Times New Roman"/>
          <w:sz w:val="22"/>
          <w:szCs w:val="22"/>
        </w:rPr>
        <w:t>27,700</w:t>
      </w:r>
      <w:r w:rsidR="00CB3F7F">
        <w:rPr>
          <w:rFonts w:ascii="Times New Roman" w:hAnsi="Times New Roman"/>
          <w:sz w:val="22"/>
          <w:szCs w:val="22"/>
        </w:rPr>
        <w:t xml:space="preserve"> </w:t>
      </w:r>
      <w:r w:rsidRPr="00ED2BD7">
        <w:rPr>
          <w:rFonts w:ascii="Times New Roman" w:hAnsi="Times New Roman"/>
          <w:bCs/>
          <w:iCs/>
          <w:sz w:val="24"/>
          <w:szCs w:val="24"/>
        </w:rPr>
        <w:t xml:space="preserve">hours. This estimate is based on the current number of </w:t>
      </w:r>
      <w:r w:rsidR="006F6DCD">
        <w:rPr>
          <w:rFonts w:ascii="Times New Roman" w:hAnsi="Times New Roman"/>
          <w:bCs/>
          <w:iCs/>
          <w:sz w:val="24"/>
          <w:szCs w:val="24"/>
        </w:rPr>
        <w:t>grantees for these programs</w:t>
      </w:r>
      <w:r w:rsidR="006A1DBA">
        <w:rPr>
          <w:rFonts w:ascii="Times New Roman" w:hAnsi="Times New Roman"/>
          <w:bCs/>
          <w:iCs/>
          <w:sz w:val="24"/>
          <w:szCs w:val="24"/>
        </w:rPr>
        <w:t xml:space="preserve">, consideration of the program performance information necessary to ensure adequate progress toward program goals, and </w:t>
      </w:r>
      <w:r w:rsidRPr="00ED2BD7">
        <w:rPr>
          <w:rFonts w:ascii="Times New Roman" w:hAnsi="Times New Roman"/>
          <w:bCs/>
          <w:iCs/>
          <w:sz w:val="24"/>
          <w:szCs w:val="24"/>
        </w:rPr>
        <w:t>previous</w:t>
      </w:r>
      <w:r w:rsidR="00295559">
        <w:rPr>
          <w:rFonts w:ascii="Times New Roman" w:hAnsi="Times New Roman"/>
          <w:bCs/>
          <w:iCs/>
          <w:sz w:val="24"/>
          <w:szCs w:val="24"/>
        </w:rPr>
        <w:t xml:space="preserve"> </w:t>
      </w:r>
      <w:r w:rsidRPr="00ED2BD7">
        <w:rPr>
          <w:rFonts w:ascii="Times New Roman" w:hAnsi="Times New Roman"/>
          <w:bCs/>
          <w:iCs/>
          <w:sz w:val="24"/>
          <w:szCs w:val="24"/>
        </w:rPr>
        <w:t xml:space="preserve">experience with </w:t>
      </w:r>
      <w:r w:rsidR="00295559">
        <w:rPr>
          <w:rFonts w:ascii="Times New Roman" w:hAnsi="Times New Roman"/>
          <w:bCs/>
          <w:iCs/>
          <w:sz w:val="24"/>
          <w:szCs w:val="24"/>
        </w:rPr>
        <w:t xml:space="preserve">program </w:t>
      </w:r>
      <w:r w:rsidR="006A1DBA">
        <w:rPr>
          <w:rFonts w:ascii="Times New Roman" w:hAnsi="Times New Roman"/>
          <w:bCs/>
          <w:iCs/>
          <w:sz w:val="24"/>
          <w:szCs w:val="24"/>
        </w:rPr>
        <w:t xml:space="preserve">performance reporting.  </w:t>
      </w:r>
    </w:p>
    <w:p w:rsidR="00CB3F7F" w:rsidP="00ED2BD7" w14:paraId="24F46881" w14:textId="77777777">
      <w:pPr>
        <w:rPr>
          <w:rFonts w:ascii="Times New Roman" w:hAnsi="Times New Roman"/>
          <w:bCs/>
          <w:iCs/>
          <w:sz w:val="24"/>
          <w:szCs w:val="24"/>
        </w:rPr>
      </w:pPr>
    </w:p>
    <w:p w:rsidR="00D244FD" w:rsidP="00ED2BD7" w14:paraId="768502BF" w14:textId="77777777">
      <w:pPr>
        <w:rPr>
          <w:rFonts w:ascii="Times New Roman" w:hAnsi="Times New Roman"/>
          <w:bCs/>
          <w:iCs/>
          <w:sz w:val="24"/>
          <w:szCs w:val="24"/>
        </w:rPr>
      </w:pPr>
    </w:p>
    <w:tbl>
      <w:tblPr>
        <w:tblpPr w:leftFromText="187" w:rightFromText="187" w:vertAnchor="text" w:tblpY="1"/>
        <w:tblOverlap w:val="never"/>
        <w:tblW w:w="9350" w:type="dxa"/>
        <w:tblLayout w:type="fixed"/>
        <w:tblLook w:val="06A0"/>
      </w:tblPr>
      <w:tblGrid>
        <w:gridCol w:w="1880"/>
        <w:gridCol w:w="1440"/>
        <w:gridCol w:w="1620"/>
        <w:gridCol w:w="1288"/>
        <w:gridCol w:w="1592"/>
        <w:gridCol w:w="1530"/>
      </w:tblGrid>
      <w:tr w14:paraId="6FA12FA3" w14:textId="2B8470DA" w:rsidTr="004A0E4D">
        <w:tblPrEx>
          <w:tblW w:w="9350" w:type="dxa"/>
          <w:tblLayout w:type="fixed"/>
          <w:tblLook w:val="06A0"/>
        </w:tblPrEx>
        <w:trPr>
          <w:trHeight w:val="2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RPr="00727D52" w:rsidP="00CB3F7F" w14:paraId="6CE18349" w14:textId="77777777">
            <w:pPr>
              <w:jc w:val="center"/>
              <w:rPr>
                <w:sz w:val="22"/>
                <w:szCs w:val="22"/>
              </w:rPr>
            </w:pPr>
            <w:r w:rsidRPr="00727D52">
              <w:rPr>
                <w:rFonts w:ascii="Times New Roman" w:hAnsi="Times New Roman"/>
                <w:b/>
                <w:bCs/>
                <w:sz w:val="22"/>
                <w:szCs w:val="22"/>
              </w:rPr>
              <w:t>Respondent/Data Collection Activity</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RPr="00727D52" w:rsidP="00CB3F7F" w14:paraId="6627A376" w14:textId="4D526A9A">
            <w:pPr>
              <w:jc w:val="center"/>
              <w:rPr>
                <w:sz w:val="22"/>
                <w:szCs w:val="22"/>
              </w:rPr>
            </w:pPr>
            <w:r w:rsidRPr="00727D52">
              <w:rPr>
                <w:rFonts w:ascii="Times New Roman" w:hAnsi="Times New Roman"/>
                <w:b/>
                <w:bCs/>
                <w:sz w:val="22"/>
                <w:szCs w:val="22"/>
              </w:rPr>
              <w:t>Number of Respondents</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RPr="00727D52" w:rsidP="00CB3F7F" w14:paraId="7CD5A411" w14:textId="3EA3149F">
            <w:pPr>
              <w:jc w:val="center"/>
              <w:rPr>
                <w:sz w:val="22"/>
                <w:szCs w:val="22"/>
              </w:rPr>
            </w:pPr>
            <w:r w:rsidRPr="00727D52">
              <w:rPr>
                <w:rFonts w:ascii="Times New Roman" w:hAnsi="Times New Roman"/>
                <w:b/>
                <w:bCs/>
                <w:sz w:val="22"/>
                <w:szCs w:val="22"/>
              </w:rPr>
              <w:t>Responses Per Respondent</w:t>
            </w: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RPr="00727D52" w:rsidP="00CB3F7F" w14:paraId="30909CDA" w14:textId="49BC5D0A">
            <w:pPr>
              <w:jc w:val="center"/>
              <w:rPr>
                <w:sz w:val="22"/>
                <w:szCs w:val="22"/>
              </w:rPr>
            </w:pPr>
            <w:r w:rsidRPr="00727D52">
              <w:rPr>
                <w:rFonts w:ascii="Times New Roman" w:hAnsi="Times New Roman"/>
                <w:b/>
                <w:bCs/>
                <w:sz w:val="22"/>
                <w:szCs w:val="22"/>
              </w:rPr>
              <w:t>Hours Per Response</w:t>
            </w:r>
          </w:p>
        </w:tc>
        <w:tc>
          <w:tcPr>
            <w:tcW w:w="15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RPr="00727D52" w:rsidP="00CB3F7F" w14:paraId="4BEA4EC5" w14:textId="35303E5E">
            <w:pPr>
              <w:jc w:val="center"/>
              <w:rPr>
                <w:sz w:val="22"/>
                <w:szCs w:val="22"/>
              </w:rPr>
            </w:pPr>
            <w:r w:rsidRPr="00727D52">
              <w:rPr>
                <w:rFonts w:ascii="Times New Roman" w:hAnsi="Times New Roman"/>
                <w:b/>
                <w:bCs/>
                <w:sz w:val="22"/>
                <w:szCs w:val="22"/>
              </w:rPr>
              <w:t>Annual Burden Hours</w:t>
            </w:r>
          </w:p>
        </w:tc>
        <w:tc>
          <w:tcPr>
            <w:tcW w:w="1530" w:type="dxa"/>
            <w:tcBorders>
              <w:top w:val="single" w:sz="8" w:space="0" w:color="auto"/>
              <w:left w:val="single" w:sz="8" w:space="0" w:color="auto"/>
              <w:bottom w:val="single" w:sz="8" w:space="0" w:color="auto"/>
              <w:right w:val="single" w:sz="8" w:space="0" w:color="auto"/>
            </w:tcBorders>
          </w:tcPr>
          <w:p w:rsidR="003E3C96" w:rsidRPr="00727D52" w:rsidP="00CB3F7F" w14:paraId="12EA132B" w14:textId="28E12ED9">
            <w:pPr>
              <w:jc w:val="center"/>
              <w:rPr>
                <w:rFonts w:ascii="Times New Roman" w:hAnsi="Times New Roman"/>
                <w:b/>
                <w:bCs/>
                <w:sz w:val="22"/>
                <w:szCs w:val="22"/>
              </w:rPr>
            </w:pPr>
            <w:r>
              <w:rPr>
                <w:rFonts w:ascii="Times New Roman" w:hAnsi="Times New Roman"/>
                <w:b/>
                <w:bCs/>
                <w:sz w:val="22"/>
                <w:szCs w:val="22"/>
              </w:rPr>
              <w:t xml:space="preserve">Annual </w:t>
            </w:r>
            <w:r>
              <w:rPr>
                <w:rFonts w:ascii="Times New Roman" w:hAnsi="Times New Roman"/>
                <w:b/>
                <w:bCs/>
                <w:sz w:val="22"/>
                <w:szCs w:val="22"/>
              </w:rPr>
              <w:t>Cost</w:t>
            </w:r>
            <w:r w:rsidR="00DE5BFA">
              <w:rPr>
                <w:rFonts w:ascii="Times New Roman" w:hAnsi="Times New Roman"/>
                <w:b/>
                <w:bCs/>
                <w:sz w:val="22"/>
                <w:szCs w:val="22"/>
              </w:rPr>
              <w:t xml:space="preserve"> to Respondents</w:t>
            </w:r>
            <w:r>
              <w:rPr>
                <w:rFonts w:ascii="Times New Roman" w:hAnsi="Times New Roman"/>
                <w:b/>
                <w:bCs/>
                <w:sz w:val="22"/>
                <w:szCs w:val="22"/>
              </w:rPr>
              <w:t>*</w:t>
            </w:r>
          </w:p>
        </w:tc>
      </w:tr>
      <w:tr w14:paraId="561AE11E" w14:textId="69021DEF" w:rsidTr="004A0E4D">
        <w:tblPrEx>
          <w:tblW w:w="9350" w:type="dxa"/>
          <w:tblLayout w:type="fixed"/>
          <w:tblLook w:val="06A0"/>
        </w:tblPrEx>
        <w:trPr>
          <w:trHeight w:val="2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RPr="00727D52" w:rsidP="00CB3F7F" w14:paraId="74FAAA34" w14:textId="125B1A75">
            <w:pPr>
              <w:spacing w:line="480" w:lineRule="auto"/>
              <w:rPr>
                <w:sz w:val="22"/>
                <w:szCs w:val="22"/>
              </w:rPr>
            </w:pPr>
            <w:r>
              <w:rPr>
                <w:rFonts w:ascii="Times New Roman" w:hAnsi="Times New Roman"/>
                <w:sz w:val="22"/>
                <w:szCs w:val="22"/>
              </w:rPr>
              <w:t xml:space="preserve">Older Americans Act </w:t>
            </w:r>
            <w:r w:rsidR="002A0BF1">
              <w:rPr>
                <w:rFonts w:ascii="Times New Roman" w:hAnsi="Times New Roman"/>
                <w:sz w:val="22"/>
                <w:szCs w:val="22"/>
              </w:rPr>
              <w:t xml:space="preserve">Title IV </w:t>
            </w:r>
            <w:r w:rsidRPr="00727D52">
              <w:rPr>
                <w:rFonts w:ascii="Times New Roman" w:hAnsi="Times New Roman"/>
                <w:sz w:val="22"/>
                <w:szCs w:val="22"/>
              </w:rPr>
              <w:t>Grant</w:t>
            </w:r>
            <w:r w:rsidR="00F46557">
              <w:rPr>
                <w:rFonts w:ascii="Times New Roman" w:hAnsi="Times New Roman"/>
                <w:sz w:val="22"/>
                <w:szCs w:val="22"/>
              </w:rPr>
              <w:t xml:space="preserve">ee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RPr="00727D52" w:rsidP="006F6DCD" w14:paraId="3492F66F" w14:textId="3670727D">
            <w:pPr>
              <w:spacing w:line="480" w:lineRule="auto"/>
              <w:rPr>
                <w:sz w:val="22"/>
                <w:szCs w:val="22"/>
              </w:rPr>
            </w:pPr>
            <w:r w:rsidRPr="00727D52">
              <w:rPr>
                <w:rFonts w:ascii="Times New Roman" w:hAnsi="Times New Roman"/>
                <w:sz w:val="22"/>
                <w:szCs w:val="22"/>
              </w:rPr>
              <w:t>1,189</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RPr="00727D52" w:rsidP="006F6DCD" w14:paraId="2CD6BF36" w14:textId="203F3E7D">
            <w:pPr>
              <w:spacing w:line="480" w:lineRule="auto"/>
              <w:rPr>
                <w:sz w:val="22"/>
                <w:szCs w:val="22"/>
              </w:rPr>
            </w:pPr>
            <w:r w:rsidRPr="00727D52">
              <w:rPr>
                <w:rFonts w:ascii="Times New Roman" w:hAnsi="Times New Roman"/>
                <w:sz w:val="22"/>
                <w:szCs w:val="22"/>
              </w:rPr>
              <w:t>2</w:t>
            </w: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RPr="00727D52" w:rsidP="006F6DCD" w14:paraId="424EF897" w14:textId="76987291">
            <w:pPr>
              <w:spacing w:line="480" w:lineRule="auto"/>
              <w:rPr>
                <w:sz w:val="22"/>
                <w:szCs w:val="22"/>
              </w:rPr>
            </w:pPr>
            <w:r w:rsidRPr="00727D52">
              <w:rPr>
                <w:rFonts w:ascii="Times New Roman" w:hAnsi="Times New Roman"/>
                <w:sz w:val="22"/>
                <w:szCs w:val="22"/>
              </w:rPr>
              <w:t>10</w:t>
            </w:r>
          </w:p>
        </w:tc>
        <w:tc>
          <w:tcPr>
            <w:tcW w:w="15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RPr="00727D52" w:rsidP="006F6DCD" w14:paraId="52BE18CC" w14:textId="00D8E61B">
            <w:pPr>
              <w:spacing w:line="480" w:lineRule="auto"/>
              <w:rPr>
                <w:sz w:val="22"/>
                <w:szCs w:val="22"/>
              </w:rPr>
            </w:pPr>
            <w:r w:rsidRPr="00727D52">
              <w:rPr>
                <w:rFonts w:ascii="Times New Roman" w:hAnsi="Times New Roman"/>
                <w:sz w:val="22"/>
                <w:szCs w:val="22"/>
              </w:rPr>
              <w:t>23,780</w:t>
            </w:r>
          </w:p>
        </w:tc>
        <w:tc>
          <w:tcPr>
            <w:tcW w:w="1530" w:type="dxa"/>
            <w:tcBorders>
              <w:top w:val="single" w:sz="8" w:space="0" w:color="auto"/>
              <w:left w:val="single" w:sz="8" w:space="0" w:color="auto"/>
              <w:bottom w:val="single" w:sz="8" w:space="0" w:color="auto"/>
              <w:right w:val="single" w:sz="8" w:space="0" w:color="auto"/>
            </w:tcBorders>
          </w:tcPr>
          <w:p w:rsidR="00CB3F7F" w:rsidP="006F6DCD" w14:paraId="3C9B4BD9" w14:textId="77777777">
            <w:pPr>
              <w:spacing w:line="480" w:lineRule="auto"/>
              <w:rPr>
                <w:rFonts w:ascii="Times New Roman" w:hAnsi="Times New Roman"/>
                <w:sz w:val="22"/>
                <w:szCs w:val="22"/>
              </w:rPr>
            </w:pPr>
          </w:p>
          <w:p w:rsidR="00CB3F7F" w:rsidP="006F6DCD" w14:paraId="65A69AE4" w14:textId="77777777">
            <w:pPr>
              <w:spacing w:line="480" w:lineRule="auto"/>
              <w:rPr>
                <w:rFonts w:ascii="Times New Roman" w:hAnsi="Times New Roman"/>
                <w:sz w:val="22"/>
                <w:szCs w:val="22"/>
              </w:rPr>
            </w:pPr>
          </w:p>
          <w:p w:rsidR="003E3C96" w:rsidRPr="00727D52" w:rsidP="006F6DCD" w14:paraId="11433CCF" w14:textId="7A403E0F">
            <w:pPr>
              <w:spacing w:line="480" w:lineRule="auto"/>
              <w:rPr>
                <w:rFonts w:ascii="Times New Roman" w:hAnsi="Times New Roman"/>
                <w:sz w:val="22"/>
                <w:szCs w:val="22"/>
              </w:rPr>
            </w:pPr>
            <w:r>
              <w:rPr>
                <w:rFonts w:ascii="Times New Roman" w:hAnsi="Times New Roman"/>
                <w:sz w:val="22"/>
                <w:szCs w:val="22"/>
              </w:rPr>
              <w:t>$</w:t>
            </w:r>
            <w:r w:rsidRPr="002A582C">
              <w:rPr>
                <w:rFonts w:ascii="Times New Roman" w:hAnsi="Times New Roman"/>
                <w:sz w:val="22"/>
                <w:szCs w:val="22"/>
              </w:rPr>
              <w:t>1,697,416.4</w:t>
            </w:r>
            <w:r w:rsidR="00286C9A">
              <w:rPr>
                <w:rFonts w:ascii="Times New Roman" w:hAnsi="Times New Roman"/>
                <w:sz w:val="22"/>
                <w:szCs w:val="22"/>
              </w:rPr>
              <w:t>0</w:t>
            </w:r>
          </w:p>
        </w:tc>
      </w:tr>
      <w:tr w14:paraId="6AE269CC" w14:textId="77777777" w:rsidTr="004A0E4D">
        <w:tblPrEx>
          <w:tblW w:w="9350" w:type="dxa"/>
          <w:tblLayout w:type="fixed"/>
          <w:tblLook w:val="06A0"/>
        </w:tblPrEx>
        <w:trPr>
          <w:trHeight w:val="2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76786" w:rsidRPr="00727D52" w:rsidP="00CB3F7F" w14:paraId="00074440" w14:textId="323AD5A9">
            <w:pPr>
              <w:spacing w:line="480" w:lineRule="auto"/>
              <w:rPr>
                <w:rFonts w:ascii="Times New Roman" w:hAnsi="Times New Roman"/>
                <w:sz w:val="22"/>
                <w:szCs w:val="22"/>
              </w:rPr>
            </w:pPr>
            <w:r>
              <w:rPr>
                <w:rFonts w:ascii="Times New Roman" w:hAnsi="Times New Roman"/>
                <w:sz w:val="22"/>
                <w:szCs w:val="22"/>
              </w:rPr>
              <w:t xml:space="preserve">Older Americans Act </w:t>
            </w:r>
            <w:r w:rsidR="00BE73F6">
              <w:rPr>
                <w:rFonts w:ascii="Times New Roman" w:hAnsi="Times New Roman"/>
                <w:sz w:val="22"/>
                <w:szCs w:val="22"/>
              </w:rPr>
              <w:t xml:space="preserve">Title III and VII </w:t>
            </w:r>
            <w:r w:rsidR="00F46557">
              <w:rPr>
                <w:rFonts w:ascii="Times New Roman" w:hAnsi="Times New Roman"/>
                <w:sz w:val="22"/>
                <w:szCs w:val="22"/>
              </w:rPr>
              <w:t>Grantee Performance Reports</w:t>
            </w:r>
            <w:r w:rsidR="009E48C4">
              <w:rPr>
                <w:rFonts w:ascii="Times New Roman" w:hAnsi="Times New Roman"/>
                <w:sz w:val="22"/>
                <w:szCs w:val="22"/>
              </w:rPr>
              <w:t xml:space="preserve"> (SPR)</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006F6DCD" w:rsidP="00CB3F7F" w14:paraId="295E1A45" w14:textId="77777777">
            <w:pPr>
              <w:spacing w:line="480" w:lineRule="auto"/>
              <w:rPr>
                <w:rFonts w:ascii="Times New Roman" w:hAnsi="Times New Roman"/>
                <w:sz w:val="22"/>
                <w:szCs w:val="22"/>
              </w:rPr>
            </w:pPr>
          </w:p>
          <w:p w:rsidR="006F6DCD" w:rsidP="00CB3F7F" w14:paraId="3B694BA1" w14:textId="77777777">
            <w:pPr>
              <w:spacing w:line="480" w:lineRule="auto"/>
              <w:rPr>
                <w:rFonts w:ascii="Times New Roman" w:hAnsi="Times New Roman"/>
                <w:sz w:val="22"/>
                <w:szCs w:val="22"/>
              </w:rPr>
            </w:pPr>
          </w:p>
          <w:p w:rsidR="00476786" w:rsidRPr="00727D52" w:rsidP="00CB3F7F" w14:paraId="31D2022C" w14:textId="1A2292E0">
            <w:pPr>
              <w:spacing w:line="480" w:lineRule="auto"/>
              <w:rPr>
                <w:rFonts w:ascii="Times New Roman" w:hAnsi="Times New Roman"/>
                <w:sz w:val="22"/>
                <w:szCs w:val="22"/>
              </w:rPr>
            </w:pPr>
            <w:r>
              <w:rPr>
                <w:rFonts w:ascii="Times New Roman" w:hAnsi="Times New Roman"/>
                <w:sz w:val="22"/>
                <w:szCs w:val="22"/>
              </w:rPr>
              <w:t>56</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rsidR="006F6DCD" w:rsidP="00CB3F7F" w14:paraId="4B8C9EBD" w14:textId="77777777">
            <w:pPr>
              <w:spacing w:line="480" w:lineRule="auto"/>
              <w:rPr>
                <w:rFonts w:ascii="Times New Roman" w:hAnsi="Times New Roman"/>
                <w:sz w:val="22"/>
                <w:szCs w:val="22"/>
              </w:rPr>
            </w:pPr>
          </w:p>
          <w:p w:rsidR="006F6DCD" w:rsidP="00CB3F7F" w14:paraId="1B4337CF" w14:textId="77777777">
            <w:pPr>
              <w:spacing w:line="480" w:lineRule="auto"/>
              <w:rPr>
                <w:rFonts w:ascii="Times New Roman" w:hAnsi="Times New Roman"/>
                <w:sz w:val="22"/>
                <w:szCs w:val="22"/>
              </w:rPr>
            </w:pPr>
          </w:p>
          <w:p w:rsidR="00476786" w:rsidRPr="00727D52" w:rsidP="00CB3F7F" w14:paraId="60AA314B" w14:textId="6CB29D23">
            <w:pPr>
              <w:spacing w:line="480" w:lineRule="auto"/>
              <w:rPr>
                <w:rFonts w:ascii="Times New Roman" w:hAnsi="Times New Roman"/>
                <w:sz w:val="22"/>
                <w:szCs w:val="22"/>
              </w:rPr>
            </w:pPr>
            <w:r>
              <w:rPr>
                <w:rFonts w:ascii="Times New Roman" w:hAnsi="Times New Roman"/>
                <w:sz w:val="22"/>
                <w:szCs w:val="22"/>
              </w:rPr>
              <w:t>1</w:t>
            </w: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tcPr>
          <w:p w:rsidR="006F6DCD" w:rsidP="00CB3F7F" w14:paraId="0BF294E6" w14:textId="77777777">
            <w:pPr>
              <w:spacing w:line="480" w:lineRule="auto"/>
              <w:rPr>
                <w:rFonts w:ascii="Times New Roman" w:hAnsi="Times New Roman"/>
                <w:sz w:val="22"/>
                <w:szCs w:val="22"/>
              </w:rPr>
            </w:pPr>
          </w:p>
          <w:p w:rsidR="006F6DCD" w:rsidP="00CB3F7F" w14:paraId="5E0271F6" w14:textId="77777777">
            <w:pPr>
              <w:spacing w:line="480" w:lineRule="auto"/>
              <w:rPr>
                <w:rFonts w:ascii="Times New Roman" w:hAnsi="Times New Roman"/>
                <w:sz w:val="22"/>
                <w:szCs w:val="22"/>
              </w:rPr>
            </w:pPr>
          </w:p>
          <w:p w:rsidR="00476786" w:rsidRPr="00727D52" w:rsidP="00CB3F7F" w14:paraId="7C31F384" w14:textId="7446DFBE">
            <w:pPr>
              <w:spacing w:line="480" w:lineRule="auto"/>
              <w:rPr>
                <w:rFonts w:ascii="Times New Roman" w:hAnsi="Times New Roman"/>
                <w:sz w:val="22"/>
                <w:szCs w:val="22"/>
              </w:rPr>
            </w:pPr>
            <w:r>
              <w:rPr>
                <w:rFonts w:ascii="Times New Roman" w:hAnsi="Times New Roman"/>
                <w:sz w:val="22"/>
                <w:szCs w:val="22"/>
              </w:rPr>
              <w:t>70</w:t>
            </w:r>
          </w:p>
        </w:tc>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rsidR="006F6DCD" w:rsidP="00CB3F7F" w14:paraId="491BFD22" w14:textId="77777777">
            <w:pPr>
              <w:spacing w:line="480" w:lineRule="auto"/>
              <w:rPr>
                <w:rFonts w:ascii="Times New Roman" w:hAnsi="Times New Roman"/>
                <w:sz w:val="22"/>
                <w:szCs w:val="22"/>
              </w:rPr>
            </w:pPr>
          </w:p>
          <w:p w:rsidR="006F6DCD" w:rsidP="00CB3F7F" w14:paraId="6F1C6EE6" w14:textId="77777777">
            <w:pPr>
              <w:spacing w:line="480" w:lineRule="auto"/>
              <w:rPr>
                <w:rFonts w:ascii="Times New Roman" w:hAnsi="Times New Roman"/>
                <w:sz w:val="22"/>
                <w:szCs w:val="22"/>
              </w:rPr>
            </w:pPr>
          </w:p>
          <w:p w:rsidR="00476786" w:rsidRPr="00727D52" w:rsidP="00CB3F7F" w14:paraId="23581706" w14:textId="51CAE0BC">
            <w:pPr>
              <w:spacing w:line="480" w:lineRule="auto"/>
              <w:rPr>
                <w:rFonts w:ascii="Times New Roman" w:hAnsi="Times New Roman"/>
                <w:sz w:val="22"/>
                <w:szCs w:val="22"/>
              </w:rPr>
            </w:pPr>
            <w:r>
              <w:rPr>
                <w:rFonts w:ascii="Times New Roman" w:hAnsi="Times New Roman"/>
                <w:sz w:val="22"/>
                <w:szCs w:val="22"/>
              </w:rPr>
              <w:t>3,920</w:t>
            </w:r>
          </w:p>
        </w:tc>
        <w:tc>
          <w:tcPr>
            <w:tcW w:w="1530" w:type="dxa"/>
            <w:tcBorders>
              <w:top w:val="single" w:sz="8" w:space="0" w:color="auto"/>
              <w:left w:val="single" w:sz="8" w:space="0" w:color="auto"/>
              <w:bottom w:val="single" w:sz="8" w:space="0" w:color="auto"/>
              <w:right w:val="single" w:sz="8" w:space="0" w:color="auto"/>
            </w:tcBorders>
          </w:tcPr>
          <w:p w:rsidR="006F6DCD" w:rsidP="00CB3F7F" w14:paraId="53D3FAA3" w14:textId="77777777">
            <w:pPr>
              <w:spacing w:line="480" w:lineRule="auto"/>
              <w:rPr>
                <w:rFonts w:ascii="Times New Roman" w:hAnsi="Times New Roman"/>
                <w:sz w:val="22"/>
                <w:szCs w:val="22"/>
              </w:rPr>
            </w:pPr>
          </w:p>
          <w:p w:rsidR="006F6DCD" w:rsidP="00CB3F7F" w14:paraId="57449E56" w14:textId="77777777">
            <w:pPr>
              <w:spacing w:line="480" w:lineRule="auto"/>
              <w:rPr>
                <w:rFonts w:ascii="Times New Roman" w:hAnsi="Times New Roman"/>
                <w:sz w:val="22"/>
                <w:szCs w:val="22"/>
              </w:rPr>
            </w:pPr>
          </w:p>
          <w:p w:rsidR="00476786" w:rsidP="00CB3F7F" w14:paraId="057815A1" w14:textId="064319E2">
            <w:pPr>
              <w:spacing w:line="480" w:lineRule="auto"/>
              <w:rPr>
                <w:rFonts w:ascii="Times New Roman" w:hAnsi="Times New Roman"/>
                <w:sz w:val="22"/>
                <w:szCs w:val="22"/>
              </w:rPr>
            </w:pPr>
            <w:r>
              <w:rPr>
                <w:rFonts w:ascii="Times New Roman" w:hAnsi="Times New Roman"/>
                <w:sz w:val="22"/>
                <w:szCs w:val="22"/>
              </w:rPr>
              <w:t>$</w:t>
            </w:r>
            <w:r w:rsidRPr="00CB3F7F">
              <w:rPr>
                <w:rFonts w:ascii="Times New Roman" w:hAnsi="Times New Roman"/>
                <w:sz w:val="22"/>
                <w:szCs w:val="22"/>
              </w:rPr>
              <w:t>279,809.6</w:t>
            </w:r>
            <w:r>
              <w:rPr>
                <w:rFonts w:ascii="Times New Roman" w:hAnsi="Times New Roman"/>
                <w:sz w:val="22"/>
                <w:szCs w:val="22"/>
              </w:rPr>
              <w:t>0</w:t>
            </w:r>
          </w:p>
        </w:tc>
      </w:tr>
      <w:tr w14:paraId="362A3AA7" w14:textId="5C75E973" w:rsidTr="004A0E4D">
        <w:tblPrEx>
          <w:tblW w:w="9350" w:type="dxa"/>
          <w:tblLayout w:type="fixed"/>
          <w:tblLook w:val="06A0"/>
        </w:tblPrEx>
        <w:trPr>
          <w:trHeight w:val="20"/>
        </w:trPr>
        <w:tc>
          <w:tcPr>
            <w:tcW w:w="1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RPr="00727D52" w:rsidP="00CB3F7F" w14:paraId="3EDFC255" w14:textId="11856186">
            <w:pPr>
              <w:spacing w:line="480" w:lineRule="auto"/>
              <w:rPr>
                <w:sz w:val="22"/>
                <w:szCs w:val="22"/>
              </w:rPr>
            </w:pPr>
            <w:r w:rsidRPr="00727D52">
              <w:rPr>
                <w:rFonts w:ascii="Times New Roman" w:hAnsi="Times New Roman"/>
                <w:b/>
                <w:bCs/>
                <w:sz w:val="22"/>
                <w:szCs w:val="22"/>
              </w:rPr>
              <w:t xml:space="preserve">         </w:t>
            </w:r>
          </w:p>
          <w:p w:rsidR="003E3C96" w:rsidRPr="00727D52" w:rsidP="00CB3F7F" w14:paraId="5317A463" w14:textId="0CAEC51B">
            <w:pPr>
              <w:spacing w:line="480" w:lineRule="auto"/>
              <w:rPr>
                <w:sz w:val="22"/>
                <w:szCs w:val="22"/>
              </w:rPr>
            </w:pPr>
            <w:r w:rsidRPr="00727D52">
              <w:rPr>
                <w:rFonts w:ascii="Times New Roman" w:hAnsi="Times New Roman"/>
                <w:b/>
                <w:bCs/>
                <w:sz w:val="22"/>
                <w:szCs w:val="22"/>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RPr="00727D52" w:rsidP="00CB3F7F" w14:paraId="61C8B65A" w14:textId="1CA33594">
            <w:pPr>
              <w:spacing w:line="480" w:lineRule="auto"/>
              <w:rPr>
                <w:sz w:val="22"/>
                <w:szCs w:val="22"/>
              </w:rPr>
            </w:pPr>
            <w:r w:rsidRPr="00727D52">
              <w:rPr>
                <w:rFonts w:ascii="Times New Roman" w:hAnsi="Times New Roman"/>
                <w:b/>
                <w:bCs/>
                <w:sz w:val="22"/>
                <w:szCs w:val="22"/>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32CE9" w:rsidRPr="004A0E4D" w:rsidP="00632CE9" w14:paraId="07CE22EF" w14:textId="511C3A89">
            <w:pPr>
              <w:spacing w:line="480" w:lineRule="auto"/>
              <w:rPr>
                <w:sz w:val="22"/>
                <w:szCs w:val="22"/>
              </w:rPr>
            </w:pPr>
            <w:r w:rsidRPr="00727D52">
              <w:rPr>
                <w:rFonts w:ascii="Times New Roman" w:hAnsi="Times New Roman"/>
                <w:b/>
                <w:bCs/>
                <w:sz w:val="22"/>
                <w:szCs w:val="22"/>
              </w:rPr>
              <w:t xml:space="preserve"> </w:t>
            </w:r>
          </w:p>
          <w:p w:rsidR="003E3C96" w:rsidRPr="004A0E4D" w:rsidP="00CB3F7F" w14:paraId="34F6A929" w14:textId="5EA1918F">
            <w:pPr>
              <w:spacing w:line="480" w:lineRule="auto"/>
              <w:rPr>
                <w:sz w:val="22"/>
                <w:szCs w:val="22"/>
              </w:rPr>
            </w:pPr>
          </w:p>
        </w:tc>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RPr="00727D52" w:rsidP="00CB3F7F" w14:paraId="670AA793" w14:textId="1FF2F10D">
            <w:pPr>
              <w:spacing w:line="480" w:lineRule="auto"/>
              <w:rPr>
                <w:sz w:val="22"/>
                <w:szCs w:val="22"/>
              </w:rPr>
            </w:pPr>
          </w:p>
        </w:tc>
        <w:tc>
          <w:tcPr>
            <w:tcW w:w="15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3E3C96" w:rsidP="00CB3F7F" w14:paraId="668BE592" w14:textId="1737143E">
            <w:pPr>
              <w:spacing w:line="480" w:lineRule="auto"/>
              <w:rPr>
                <w:rFonts w:ascii="Times New Roman" w:hAnsi="Times New Roman"/>
                <w:sz w:val="22"/>
                <w:szCs w:val="22"/>
              </w:rPr>
            </w:pPr>
            <w:r w:rsidRPr="004A0E4D">
              <w:rPr>
                <w:rFonts w:ascii="Times New Roman" w:hAnsi="Times New Roman"/>
                <w:b/>
                <w:bCs/>
                <w:sz w:val="22"/>
                <w:szCs w:val="22"/>
              </w:rPr>
              <w:t>Total</w:t>
            </w:r>
            <w:r w:rsidRPr="004A0E4D" w:rsidR="00571C9B">
              <w:rPr>
                <w:rFonts w:ascii="Times New Roman" w:hAnsi="Times New Roman"/>
                <w:b/>
                <w:bCs/>
                <w:sz w:val="22"/>
                <w:szCs w:val="22"/>
              </w:rPr>
              <w:t xml:space="preserve"> </w:t>
            </w:r>
            <w:r w:rsidR="004A0E4D">
              <w:rPr>
                <w:rFonts w:ascii="Times New Roman" w:hAnsi="Times New Roman"/>
                <w:b/>
                <w:bCs/>
                <w:sz w:val="22"/>
                <w:szCs w:val="22"/>
              </w:rPr>
              <w:t>H</w:t>
            </w:r>
            <w:r w:rsidRPr="004A0E4D" w:rsidR="00571C9B">
              <w:rPr>
                <w:rFonts w:ascii="Times New Roman" w:hAnsi="Times New Roman"/>
                <w:b/>
                <w:bCs/>
                <w:sz w:val="22"/>
                <w:szCs w:val="22"/>
              </w:rPr>
              <w:t>ours</w:t>
            </w:r>
            <w:r w:rsidRPr="00EA216B" w:rsidR="00571C9B">
              <w:rPr>
                <w:rFonts w:ascii="Times New Roman" w:hAnsi="Times New Roman"/>
                <w:sz w:val="22"/>
                <w:szCs w:val="22"/>
              </w:rPr>
              <w:t>:</w:t>
            </w:r>
          </w:p>
          <w:p w:rsidR="003E3C96" w:rsidRPr="00EA216B" w:rsidP="00CB3F7F" w14:paraId="3A91B928" w14:textId="18F94F43">
            <w:pPr>
              <w:spacing w:line="480" w:lineRule="auto"/>
              <w:rPr>
                <w:sz w:val="22"/>
                <w:szCs w:val="22"/>
              </w:rPr>
            </w:pPr>
            <w:r w:rsidRPr="00CB3F7F">
              <w:rPr>
                <w:rFonts w:ascii="Times New Roman" w:hAnsi="Times New Roman"/>
                <w:sz w:val="22"/>
                <w:szCs w:val="22"/>
              </w:rPr>
              <w:t>27,700</w:t>
            </w:r>
          </w:p>
        </w:tc>
        <w:tc>
          <w:tcPr>
            <w:tcW w:w="1530" w:type="dxa"/>
            <w:tcBorders>
              <w:top w:val="single" w:sz="8" w:space="0" w:color="auto"/>
              <w:left w:val="single" w:sz="8" w:space="0" w:color="auto"/>
              <w:bottom w:val="single" w:sz="8" w:space="0" w:color="auto"/>
              <w:right w:val="single" w:sz="8" w:space="0" w:color="auto"/>
            </w:tcBorders>
          </w:tcPr>
          <w:p w:rsidR="003E3C96" w:rsidRPr="00EA216B" w:rsidP="00CB3F7F" w14:paraId="3EDBC241" w14:textId="77777777">
            <w:pPr>
              <w:spacing w:line="480" w:lineRule="auto"/>
              <w:rPr>
                <w:rFonts w:ascii="Times New Roman" w:hAnsi="Times New Roman"/>
                <w:sz w:val="22"/>
                <w:szCs w:val="22"/>
              </w:rPr>
            </w:pPr>
            <w:r w:rsidRPr="004A0E4D">
              <w:rPr>
                <w:rFonts w:ascii="Times New Roman" w:hAnsi="Times New Roman"/>
                <w:b/>
                <w:bCs/>
                <w:sz w:val="22"/>
                <w:szCs w:val="22"/>
              </w:rPr>
              <w:t>Total Cost</w:t>
            </w:r>
            <w:r w:rsidRPr="00EA216B">
              <w:rPr>
                <w:rFonts w:ascii="Times New Roman" w:hAnsi="Times New Roman"/>
                <w:sz w:val="22"/>
                <w:szCs w:val="22"/>
              </w:rPr>
              <w:t xml:space="preserve">: </w:t>
            </w:r>
          </w:p>
          <w:p w:rsidR="00863ABE" w:rsidRPr="00EA216B" w:rsidP="00CB3F7F" w14:paraId="3289C449" w14:textId="1146FB71">
            <w:pPr>
              <w:spacing w:line="480" w:lineRule="auto"/>
              <w:rPr>
                <w:rFonts w:ascii="Times New Roman" w:hAnsi="Times New Roman"/>
                <w:sz w:val="22"/>
                <w:szCs w:val="22"/>
              </w:rPr>
            </w:pPr>
            <w:bookmarkStart w:id="1" w:name="_Hlk159324909"/>
            <w:r w:rsidRPr="00EA216B">
              <w:rPr>
                <w:rFonts w:ascii="Times New Roman" w:hAnsi="Times New Roman"/>
                <w:sz w:val="22"/>
                <w:szCs w:val="22"/>
              </w:rPr>
              <w:t>$</w:t>
            </w:r>
            <w:r w:rsidRPr="00CB3F7F" w:rsidR="00CB3F7F">
              <w:rPr>
                <w:rFonts w:ascii="Times New Roman" w:hAnsi="Times New Roman"/>
                <w:sz w:val="22"/>
                <w:szCs w:val="22"/>
              </w:rPr>
              <w:t>1,977,226</w:t>
            </w:r>
            <w:bookmarkEnd w:id="1"/>
          </w:p>
        </w:tc>
      </w:tr>
    </w:tbl>
    <w:p w:rsidR="742F0DC8" w:rsidP="742F0DC8" w14:paraId="3F3E4258" w14:textId="63309D85">
      <w:pPr>
        <w:rPr>
          <w:rFonts w:ascii="Times New Roman" w:hAnsi="Times New Roman"/>
          <w:sz w:val="24"/>
          <w:szCs w:val="24"/>
        </w:rPr>
      </w:pPr>
    </w:p>
    <w:p w:rsidR="742F0DC8" w:rsidP="742F0DC8" w14:paraId="237F3AFB" w14:textId="1AA3499A">
      <w:pPr>
        <w:rPr>
          <w:rFonts w:ascii="Times New Roman" w:hAnsi="Times New Roman"/>
          <w:sz w:val="24"/>
          <w:szCs w:val="24"/>
        </w:rPr>
      </w:pPr>
      <w:r>
        <w:rPr>
          <w:rFonts w:ascii="Times New Roman" w:hAnsi="Times New Roman"/>
          <w:sz w:val="24"/>
          <w:szCs w:val="24"/>
        </w:rPr>
        <w:t>*</w:t>
      </w:r>
      <w:r w:rsidRPr="00D93FFB" w:rsidR="00A90EAB">
        <w:rPr>
          <w:rFonts w:ascii="Times New Roman" w:hAnsi="Times New Roman"/>
          <w:sz w:val="24"/>
          <w:szCs w:val="24"/>
        </w:rPr>
        <w:t xml:space="preserve">The </w:t>
      </w:r>
      <w:r>
        <w:rPr>
          <w:rFonts w:ascii="Times New Roman" w:hAnsi="Times New Roman"/>
          <w:sz w:val="24"/>
          <w:szCs w:val="24"/>
        </w:rPr>
        <w:t xml:space="preserve">annual </w:t>
      </w:r>
      <w:r w:rsidRPr="00D93FFB" w:rsidR="00A90EAB">
        <w:rPr>
          <w:rFonts w:ascii="Times New Roman" w:hAnsi="Times New Roman"/>
          <w:sz w:val="24"/>
          <w:szCs w:val="24"/>
        </w:rPr>
        <w:t xml:space="preserve">cost to respondents was calculated using </w:t>
      </w:r>
      <w:r w:rsidR="00DD71D5">
        <w:rPr>
          <w:rFonts w:ascii="Times New Roman" w:hAnsi="Times New Roman"/>
          <w:sz w:val="24"/>
          <w:szCs w:val="24"/>
        </w:rPr>
        <w:t>the</w:t>
      </w:r>
      <w:r w:rsidRPr="00D93FFB" w:rsidR="00A90EAB">
        <w:rPr>
          <w:rFonts w:ascii="Times New Roman" w:hAnsi="Times New Roman"/>
          <w:sz w:val="24"/>
          <w:szCs w:val="24"/>
        </w:rPr>
        <w:t xml:space="preserve"> Bureau of Labor Statistics job code</w:t>
      </w:r>
      <w:r w:rsidR="00DD71D5">
        <w:rPr>
          <w:rFonts w:ascii="Times New Roman" w:hAnsi="Times New Roman"/>
          <w:sz w:val="24"/>
          <w:szCs w:val="24"/>
        </w:rPr>
        <w:t xml:space="preserve"> for </w:t>
      </w:r>
      <w:r w:rsidRPr="00D93FFB" w:rsidR="00A90EAB">
        <w:rPr>
          <w:rFonts w:ascii="Times New Roman" w:hAnsi="Times New Roman"/>
          <w:sz w:val="24"/>
          <w:szCs w:val="24"/>
        </w:rPr>
        <w:t>Social and Community Service Managers</w:t>
      </w:r>
      <w:r>
        <w:rPr>
          <w:rStyle w:val="FootnoteReference"/>
          <w:rFonts w:ascii="Times New Roman" w:hAnsi="Times New Roman"/>
          <w:sz w:val="24"/>
          <w:szCs w:val="24"/>
        </w:rPr>
        <w:footnoteReference w:id="3"/>
      </w:r>
      <w:r w:rsidR="00422EAB">
        <w:rPr>
          <w:rFonts w:ascii="Times New Roman" w:hAnsi="Times New Roman"/>
          <w:sz w:val="24"/>
          <w:szCs w:val="24"/>
        </w:rPr>
        <w:t>.</w:t>
      </w:r>
    </w:p>
    <w:p w:rsidR="007D54BE" w:rsidP="00B0408F" w14:paraId="322DA598" w14:textId="7371A223">
      <w:pPr>
        <w:pStyle w:val="NormalWeb"/>
      </w:pPr>
      <w:r w:rsidRPr="00D93FFB">
        <w:t xml:space="preserve">The </w:t>
      </w:r>
      <w:r w:rsidR="00DD71D5">
        <w:t>median</w:t>
      </w:r>
      <w:r w:rsidRPr="00D93FFB">
        <w:t xml:space="preserve"> hourly wage is </w:t>
      </w:r>
      <w:r w:rsidRPr="00DD71D5" w:rsidR="00DD71D5">
        <w:t>$35.69</w:t>
      </w:r>
      <w:r w:rsidRPr="00D93FFB">
        <w:t xml:space="preserve">. </w:t>
      </w:r>
      <w:r w:rsidRPr="00D93FFB" w:rsidR="00A90EAB">
        <w:t>To account for fringe benefits and overhead the rate was multiplied by two</w:t>
      </w:r>
      <w:r w:rsidRPr="00D93FFB">
        <w:t>,</w:t>
      </w:r>
      <w:r w:rsidRPr="00D93FFB" w:rsidR="00A90EAB">
        <w:t xml:space="preserve"> which is $</w:t>
      </w:r>
      <w:r w:rsidRPr="00DD71D5" w:rsidR="00DD71D5">
        <w:t>71.38</w:t>
      </w:r>
      <w:r w:rsidRPr="00D93FFB" w:rsidR="00A90EAB">
        <w:t>. </w:t>
      </w:r>
      <w:r w:rsidR="00D14F6D">
        <w:t xml:space="preserve">Therefore, the </w:t>
      </w:r>
      <w:r w:rsidRPr="00D93FFB" w:rsidR="00A90EAB">
        <w:t>estimate</w:t>
      </w:r>
      <w:r w:rsidR="00D14F6D">
        <w:t xml:space="preserve">d annual cost to respondents is </w:t>
      </w:r>
      <w:r w:rsidRPr="00C07752" w:rsidR="00C07752">
        <w:t>$</w:t>
      </w:r>
      <w:r w:rsidRPr="00CB3F7F" w:rsidR="006F6DCD">
        <w:rPr>
          <w:sz w:val="22"/>
          <w:szCs w:val="22"/>
        </w:rPr>
        <w:t>1,977,226</w:t>
      </w:r>
      <w:r w:rsidR="006F6DCD">
        <w:t xml:space="preserve"> </w:t>
      </w:r>
      <w:r w:rsidR="00D14F6D">
        <w:t>(</w:t>
      </w:r>
      <w:r w:rsidRPr="00D93FFB" w:rsidR="00D14F6D">
        <w:t>$</w:t>
      </w:r>
      <w:r w:rsidRPr="00DD71D5" w:rsidR="00D14F6D">
        <w:t>71.38</w:t>
      </w:r>
      <w:r w:rsidR="00D14F6D">
        <w:t xml:space="preserve">/hour x </w:t>
      </w:r>
      <w:r w:rsidRPr="00CB3F7F" w:rsidR="006F6DCD">
        <w:rPr>
          <w:sz w:val="22"/>
          <w:szCs w:val="22"/>
        </w:rPr>
        <w:t>27,700</w:t>
      </w:r>
      <w:r w:rsidR="006F6DCD">
        <w:rPr>
          <w:sz w:val="22"/>
          <w:szCs w:val="22"/>
        </w:rPr>
        <w:t xml:space="preserve"> </w:t>
      </w:r>
      <w:r w:rsidRPr="00D93FFB" w:rsidR="00D14F6D">
        <w:t>hours</w:t>
      </w:r>
      <w:r w:rsidR="00D14F6D">
        <w:t xml:space="preserve">). </w:t>
      </w:r>
    </w:p>
    <w:p w:rsidR="007E1599" w:rsidRPr="00D93FFB" w:rsidP="742F0DC8" w14:paraId="351B22AC" w14:textId="4360F819">
      <w:pPr>
        <w:widowControl/>
        <w:numPr>
          <w:ilvl w:val="0"/>
          <w:numId w:val="1"/>
        </w:numPr>
        <w:tabs>
          <w:tab w:val="clear" w:pos="720"/>
        </w:tabs>
        <w:spacing w:after="120"/>
        <w:ind w:left="360"/>
        <w:rPr>
          <w:rFonts w:ascii="Times New Roman" w:hAnsi="Times New Roman"/>
          <w:b/>
          <w:snapToGrid/>
          <w:sz w:val="24"/>
          <w:szCs w:val="24"/>
        </w:rPr>
      </w:pPr>
      <w:r w:rsidRPr="742F0DC8">
        <w:rPr>
          <w:rFonts w:ascii="Times New Roman" w:hAnsi="Times New Roman"/>
          <w:b/>
          <w:bCs/>
          <w:snapToGrid/>
          <w:sz w:val="24"/>
          <w:szCs w:val="24"/>
        </w:rPr>
        <w:t xml:space="preserve">     </w:t>
      </w:r>
      <w:r w:rsidRPr="00D93FFB">
        <w:rPr>
          <w:rFonts w:ascii="Times New Roman" w:hAnsi="Times New Roman"/>
          <w:b/>
          <w:snapToGrid/>
          <w:sz w:val="24"/>
          <w:szCs w:val="24"/>
        </w:rPr>
        <w:t xml:space="preserve">Estimates of Other Total Annual Cost Burden to Respondents and Record Keepers </w:t>
      </w:r>
    </w:p>
    <w:p w:rsidR="007E1599" w:rsidP="007D54BE" w14:paraId="4A99E739" w14:textId="02B44CE2">
      <w:pPr>
        <w:widowControl/>
        <w:rPr>
          <w:rFonts w:ascii="Times New Roman" w:hAnsi="Times New Roman"/>
          <w:snapToGrid/>
          <w:sz w:val="24"/>
          <w:szCs w:val="24"/>
        </w:rPr>
      </w:pPr>
      <w:r w:rsidRPr="00D93FFB">
        <w:rPr>
          <w:rFonts w:ascii="Times New Roman" w:hAnsi="Times New Roman"/>
          <w:snapToGrid/>
          <w:sz w:val="24"/>
          <w:szCs w:val="24"/>
        </w:rPr>
        <w:t xml:space="preserve">There are no </w:t>
      </w:r>
      <w:r w:rsidR="006F6DCD">
        <w:rPr>
          <w:rFonts w:ascii="Times New Roman" w:hAnsi="Times New Roman"/>
          <w:snapToGrid/>
          <w:sz w:val="24"/>
          <w:szCs w:val="24"/>
        </w:rPr>
        <w:t xml:space="preserve">other </w:t>
      </w:r>
      <w:r w:rsidRPr="00D93FFB">
        <w:rPr>
          <w:rFonts w:ascii="Times New Roman" w:hAnsi="Times New Roman"/>
          <w:snapToGrid/>
          <w:sz w:val="24"/>
          <w:szCs w:val="24"/>
        </w:rPr>
        <w:t xml:space="preserve">monetary costs to respondents </w:t>
      </w:r>
      <w:r w:rsidR="006F6DCD">
        <w:rPr>
          <w:rFonts w:ascii="Times New Roman" w:hAnsi="Times New Roman"/>
          <w:snapToGrid/>
          <w:sz w:val="24"/>
          <w:szCs w:val="24"/>
        </w:rPr>
        <w:t>and record keepers.</w:t>
      </w:r>
    </w:p>
    <w:p w:rsidR="007D54BE" w:rsidP="007D54BE" w14:paraId="752C3401" w14:textId="3BD40DA3">
      <w:pPr>
        <w:widowControl/>
        <w:rPr>
          <w:rFonts w:ascii="Times New Roman" w:hAnsi="Times New Roman"/>
          <w:snapToGrid/>
          <w:sz w:val="24"/>
          <w:szCs w:val="24"/>
        </w:rPr>
      </w:pPr>
    </w:p>
    <w:p w:rsidR="007E1599" w:rsidRPr="00D93FFB" w:rsidP="007D54BE" w14:paraId="0D485372" w14:textId="7F4CE102">
      <w:pPr>
        <w:widowControl/>
        <w:numPr>
          <w:ilvl w:val="0"/>
          <w:numId w:val="1"/>
        </w:numPr>
        <w:tabs>
          <w:tab w:val="left" w:pos="360"/>
          <w:tab w:val="clear" w:pos="720"/>
        </w:tabs>
        <w:spacing w:after="120"/>
        <w:ind w:left="0" w:firstLine="0"/>
        <w:rPr>
          <w:rFonts w:ascii="Times New Roman" w:hAnsi="Times New Roman"/>
          <w:b/>
          <w:snapToGrid/>
          <w:sz w:val="24"/>
          <w:szCs w:val="24"/>
        </w:rPr>
      </w:pPr>
      <w:r>
        <w:rPr>
          <w:rFonts w:ascii="Times New Roman" w:hAnsi="Times New Roman"/>
          <w:b/>
          <w:snapToGrid/>
          <w:sz w:val="24"/>
          <w:szCs w:val="24"/>
        </w:rPr>
        <w:t xml:space="preserve">     </w:t>
      </w:r>
      <w:r w:rsidRPr="00D93FFB">
        <w:rPr>
          <w:rFonts w:ascii="Times New Roman" w:hAnsi="Times New Roman"/>
          <w:b/>
          <w:snapToGrid/>
          <w:sz w:val="24"/>
          <w:szCs w:val="24"/>
        </w:rPr>
        <w:t xml:space="preserve">Annualized Cost to the Federal Government </w:t>
      </w:r>
    </w:p>
    <w:p w:rsidR="007D54BE" w:rsidP="007D54BE" w14:paraId="324E90BF" w14:textId="71DC01AE">
      <w:pPr>
        <w:widowControl/>
        <w:rPr>
          <w:rFonts w:ascii="Times New Roman" w:hAnsi="Times New Roman"/>
          <w:snapToGrid/>
          <w:sz w:val="24"/>
          <w:szCs w:val="24"/>
        </w:rPr>
      </w:pPr>
      <w:r>
        <w:rPr>
          <w:rFonts w:ascii="Times New Roman" w:hAnsi="Times New Roman"/>
          <w:snapToGrid/>
          <w:sz w:val="24"/>
          <w:szCs w:val="24"/>
        </w:rPr>
        <w:t>Annual c</w:t>
      </w:r>
      <w:r w:rsidRPr="00D93FFB" w:rsidR="00D03629">
        <w:rPr>
          <w:rFonts w:ascii="Times New Roman" w:hAnsi="Times New Roman"/>
          <w:snapToGrid/>
          <w:sz w:val="24"/>
          <w:szCs w:val="24"/>
        </w:rPr>
        <w:t xml:space="preserve">osts to the Federal Government are estimated based </w:t>
      </w:r>
      <w:r>
        <w:rPr>
          <w:rFonts w:ascii="Times New Roman" w:hAnsi="Times New Roman"/>
          <w:snapToGrid/>
          <w:sz w:val="24"/>
          <w:szCs w:val="24"/>
        </w:rPr>
        <w:t xml:space="preserve">50% of </w:t>
      </w:r>
      <w:r w:rsidRPr="00D93FFB" w:rsidR="00D03629">
        <w:rPr>
          <w:rFonts w:ascii="Times New Roman" w:hAnsi="Times New Roman"/>
          <w:snapToGrid/>
          <w:sz w:val="24"/>
          <w:szCs w:val="24"/>
        </w:rPr>
        <w:t xml:space="preserve">time </w:t>
      </w:r>
      <w:r>
        <w:rPr>
          <w:rFonts w:ascii="Times New Roman" w:hAnsi="Times New Roman"/>
          <w:snapToGrid/>
          <w:sz w:val="24"/>
          <w:szCs w:val="24"/>
        </w:rPr>
        <w:t>for f</w:t>
      </w:r>
      <w:r w:rsidR="00C07752">
        <w:rPr>
          <w:rFonts w:ascii="Times New Roman" w:hAnsi="Times New Roman"/>
          <w:snapToGrid/>
          <w:sz w:val="24"/>
          <w:szCs w:val="24"/>
        </w:rPr>
        <w:t xml:space="preserve">our </w:t>
      </w:r>
      <w:r w:rsidRPr="00D93FFB" w:rsidR="00D03629">
        <w:rPr>
          <w:rFonts w:ascii="Times New Roman" w:hAnsi="Times New Roman"/>
          <w:snapToGrid/>
          <w:sz w:val="24"/>
          <w:szCs w:val="24"/>
        </w:rPr>
        <w:t>GS-1</w:t>
      </w:r>
      <w:r>
        <w:rPr>
          <w:rFonts w:ascii="Times New Roman" w:hAnsi="Times New Roman"/>
          <w:snapToGrid/>
          <w:sz w:val="24"/>
          <w:szCs w:val="24"/>
        </w:rPr>
        <w:t>3s</w:t>
      </w:r>
      <w:r>
        <w:rPr>
          <w:rStyle w:val="FootnoteReference"/>
          <w:rFonts w:ascii="Times New Roman" w:hAnsi="Times New Roman"/>
          <w:snapToGrid/>
          <w:sz w:val="24"/>
          <w:szCs w:val="24"/>
        </w:rPr>
        <w:footnoteReference w:id="4"/>
      </w:r>
      <w:r>
        <w:rPr>
          <w:rFonts w:ascii="Times New Roman" w:hAnsi="Times New Roman"/>
          <w:snapToGrid/>
          <w:sz w:val="24"/>
          <w:szCs w:val="24"/>
        </w:rPr>
        <w:t xml:space="preserve"> </w:t>
      </w:r>
      <w:r w:rsidRPr="00D93FFB" w:rsidR="00D03629">
        <w:rPr>
          <w:rFonts w:ascii="Times New Roman" w:hAnsi="Times New Roman"/>
          <w:snapToGrid/>
          <w:sz w:val="24"/>
          <w:szCs w:val="24"/>
        </w:rPr>
        <w:t>for data collection</w:t>
      </w:r>
      <w:r>
        <w:rPr>
          <w:rFonts w:ascii="Times New Roman" w:hAnsi="Times New Roman"/>
          <w:snapToGrid/>
          <w:sz w:val="24"/>
          <w:szCs w:val="24"/>
        </w:rPr>
        <w:t>,</w:t>
      </w:r>
      <w:r w:rsidRPr="00D93FFB" w:rsidR="00D03629">
        <w:rPr>
          <w:rFonts w:ascii="Times New Roman" w:hAnsi="Times New Roman"/>
          <w:snapToGrid/>
          <w:sz w:val="24"/>
          <w:szCs w:val="24"/>
        </w:rPr>
        <w:t xml:space="preserve"> review</w:t>
      </w:r>
      <w:r>
        <w:rPr>
          <w:rFonts w:ascii="Times New Roman" w:hAnsi="Times New Roman"/>
          <w:snapToGrid/>
          <w:sz w:val="24"/>
          <w:szCs w:val="24"/>
        </w:rPr>
        <w:t>, and</w:t>
      </w:r>
      <w:r w:rsidR="00756CC5">
        <w:rPr>
          <w:rFonts w:ascii="Times New Roman" w:hAnsi="Times New Roman"/>
          <w:snapToGrid/>
          <w:sz w:val="24"/>
          <w:szCs w:val="24"/>
        </w:rPr>
        <w:t xml:space="preserve"> related</w:t>
      </w:r>
      <w:r>
        <w:rPr>
          <w:rFonts w:ascii="Times New Roman" w:hAnsi="Times New Roman"/>
          <w:snapToGrid/>
          <w:sz w:val="24"/>
          <w:szCs w:val="24"/>
        </w:rPr>
        <w:t xml:space="preserve"> technical assistance</w:t>
      </w:r>
      <w:r w:rsidRPr="00D93FFB" w:rsidR="00D03629">
        <w:rPr>
          <w:rFonts w:ascii="Times New Roman" w:hAnsi="Times New Roman"/>
          <w:snapToGrid/>
          <w:sz w:val="24"/>
          <w:szCs w:val="24"/>
        </w:rPr>
        <w:t>.</w:t>
      </w:r>
      <w:r>
        <w:rPr>
          <w:rFonts w:ascii="Times New Roman" w:hAnsi="Times New Roman"/>
          <w:snapToGrid/>
          <w:sz w:val="24"/>
          <w:szCs w:val="24"/>
        </w:rPr>
        <w:t xml:space="preserve"> </w:t>
      </w:r>
      <w:r w:rsidR="00756CC5">
        <w:rPr>
          <w:rFonts w:ascii="Times New Roman" w:hAnsi="Times New Roman"/>
          <w:snapToGrid/>
          <w:sz w:val="24"/>
          <w:szCs w:val="24"/>
        </w:rPr>
        <w:t>The</w:t>
      </w:r>
      <w:r w:rsidR="00D90AB6">
        <w:rPr>
          <w:rFonts w:ascii="Times New Roman" w:hAnsi="Times New Roman"/>
          <w:snapToGrid/>
          <w:sz w:val="24"/>
          <w:szCs w:val="24"/>
        </w:rPr>
        <w:t xml:space="preserve">refore, the </w:t>
      </w:r>
      <w:r w:rsidR="00756CC5">
        <w:rPr>
          <w:rFonts w:ascii="Times New Roman" w:hAnsi="Times New Roman"/>
          <w:snapToGrid/>
          <w:sz w:val="24"/>
          <w:szCs w:val="24"/>
        </w:rPr>
        <w:t>estimated</w:t>
      </w:r>
      <w:r w:rsidR="00D90AB6">
        <w:rPr>
          <w:rFonts w:ascii="Times New Roman" w:hAnsi="Times New Roman"/>
          <w:snapToGrid/>
          <w:sz w:val="24"/>
          <w:szCs w:val="24"/>
        </w:rPr>
        <w:t xml:space="preserve"> annual cost</w:t>
      </w:r>
      <w:r w:rsidR="00756CC5">
        <w:rPr>
          <w:rFonts w:ascii="Times New Roman" w:hAnsi="Times New Roman"/>
          <w:snapToGrid/>
          <w:sz w:val="24"/>
          <w:szCs w:val="24"/>
        </w:rPr>
        <w:t xml:space="preserve"> </w:t>
      </w:r>
      <w:r w:rsidR="00D90AB6">
        <w:rPr>
          <w:rFonts w:ascii="Times New Roman" w:hAnsi="Times New Roman"/>
          <w:snapToGrid/>
          <w:sz w:val="24"/>
          <w:szCs w:val="24"/>
        </w:rPr>
        <w:t xml:space="preserve">to the federal government is </w:t>
      </w:r>
      <w:r w:rsidR="00756CC5">
        <w:rPr>
          <w:rFonts w:ascii="Times New Roman" w:hAnsi="Times New Roman"/>
          <w:snapToGrid/>
          <w:sz w:val="24"/>
          <w:szCs w:val="24"/>
        </w:rPr>
        <w:t>$</w:t>
      </w:r>
      <w:r w:rsidRPr="00C71D35" w:rsidR="00C71D35">
        <w:rPr>
          <w:rFonts w:ascii="Times New Roman" w:hAnsi="Times New Roman"/>
          <w:snapToGrid/>
          <w:sz w:val="24"/>
          <w:szCs w:val="24"/>
        </w:rPr>
        <w:t xml:space="preserve">235,924 </w:t>
      </w:r>
      <w:r w:rsidR="00756CC5">
        <w:rPr>
          <w:rFonts w:ascii="Times New Roman" w:hAnsi="Times New Roman"/>
          <w:snapToGrid/>
          <w:sz w:val="24"/>
          <w:szCs w:val="24"/>
        </w:rPr>
        <w:t>(</w:t>
      </w:r>
      <w:r w:rsidR="009C7DEF">
        <w:rPr>
          <w:rFonts w:ascii="Times New Roman" w:hAnsi="Times New Roman"/>
          <w:snapToGrid/>
          <w:sz w:val="24"/>
          <w:szCs w:val="24"/>
        </w:rPr>
        <w:t>four GS-13s</w:t>
      </w:r>
      <w:r w:rsidR="00E27695">
        <w:rPr>
          <w:rFonts w:ascii="Times New Roman" w:hAnsi="Times New Roman"/>
          <w:snapToGrid/>
          <w:sz w:val="24"/>
          <w:szCs w:val="24"/>
        </w:rPr>
        <w:t xml:space="preserve"> </w:t>
      </w:r>
      <w:r w:rsidR="00756CC5">
        <w:rPr>
          <w:rFonts w:ascii="Times New Roman" w:hAnsi="Times New Roman"/>
          <w:snapToGrid/>
          <w:sz w:val="24"/>
          <w:szCs w:val="24"/>
        </w:rPr>
        <w:t>x $</w:t>
      </w:r>
      <w:r w:rsidRPr="0020158E" w:rsidR="00756CC5">
        <w:rPr>
          <w:rFonts w:ascii="Times New Roman" w:hAnsi="Times New Roman"/>
          <w:snapToGrid/>
          <w:sz w:val="24"/>
          <w:szCs w:val="24"/>
        </w:rPr>
        <w:t>58,981</w:t>
      </w:r>
      <w:r w:rsidR="00756CC5">
        <w:rPr>
          <w:rFonts w:ascii="Times New Roman" w:hAnsi="Times New Roman"/>
          <w:snapToGrid/>
          <w:sz w:val="24"/>
          <w:szCs w:val="24"/>
        </w:rPr>
        <w:t xml:space="preserve">). </w:t>
      </w:r>
    </w:p>
    <w:p w:rsidR="007D54BE" w:rsidRPr="00D93FFB" w:rsidP="007D54BE" w14:paraId="105AF069" w14:textId="77777777">
      <w:pPr>
        <w:widowControl/>
        <w:rPr>
          <w:rFonts w:ascii="Times New Roman" w:hAnsi="Times New Roman"/>
          <w:snapToGrid/>
          <w:sz w:val="24"/>
          <w:szCs w:val="24"/>
        </w:rPr>
      </w:pPr>
    </w:p>
    <w:p w:rsidR="007E1599" w:rsidRPr="00D93FFB" w:rsidP="007D54BE" w14:paraId="2216E01D" w14:textId="19B05C9F">
      <w:pPr>
        <w:widowControl/>
        <w:numPr>
          <w:ilvl w:val="0"/>
          <w:numId w:val="1"/>
        </w:numPr>
        <w:tabs>
          <w:tab w:val="num" w:pos="0"/>
          <w:tab w:val="left" w:pos="360"/>
          <w:tab w:val="clear" w:pos="720"/>
        </w:tabs>
        <w:spacing w:after="120"/>
        <w:ind w:hanging="720"/>
        <w:rPr>
          <w:rFonts w:ascii="Times New Roman" w:hAnsi="Times New Roman"/>
          <w:b/>
          <w:snapToGrid/>
          <w:sz w:val="24"/>
          <w:szCs w:val="24"/>
        </w:rPr>
      </w:pPr>
      <w:r>
        <w:rPr>
          <w:rFonts w:ascii="Times New Roman" w:hAnsi="Times New Roman"/>
          <w:b/>
          <w:snapToGrid/>
          <w:sz w:val="24"/>
          <w:szCs w:val="24"/>
        </w:rPr>
        <w:t xml:space="preserve">     </w:t>
      </w:r>
      <w:r w:rsidRPr="00D93FFB">
        <w:rPr>
          <w:rFonts w:ascii="Times New Roman" w:hAnsi="Times New Roman"/>
          <w:b/>
          <w:snapToGrid/>
          <w:sz w:val="24"/>
          <w:szCs w:val="24"/>
        </w:rPr>
        <w:t xml:space="preserve">Explanation for Program Changes or Adjustments </w:t>
      </w:r>
    </w:p>
    <w:p w:rsidR="007D54BE" w:rsidP="007D54BE" w14:paraId="389A7C26" w14:textId="4FEB668B">
      <w:pPr>
        <w:rPr>
          <w:rFonts w:ascii="Times New Roman" w:hAnsi="Times New Roman"/>
          <w:sz w:val="24"/>
          <w:szCs w:val="24"/>
        </w:rPr>
      </w:pPr>
      <w:r>
        <w:rPr>
          <w:rFonts w:ascii="Times New Roman" w:hAnsi="Times New Roman"/>
          <w:snapToGrid/>
          <w:sz w:val="24"/>
          <w:szCs w:val="24"/>
        </w:rPr>
        <w:t xml:space="preserve">There are no program changes or adjustments. This is a new collection. </w:t>
      </w:r>
    </w:p>
    <w:p w:rsidR="007D54BE" w:rsidRPr="00D93FFB" w:rsidP="007D54BE" w14:paraId="331C54F8" w14:textId="77777777">
      <w:pPr>
        <w:rPr>
          <w:rFonts w:ascii="Times New Roman" w:hAnsi="Times New Roman"/>
          <w:b/>
          <w:sz w:val="24"/>
          <w:szCs w:val="24"/>
        </w:rPr>
      </w:pPr>
    </w:p>
    <w:p w:rsidR="007E1599" w:rsidRPr="00D93FFB" w:rsidP="007D54BE" w14:paraId="15A600C0" w14:textId="77777777">
      <w:pPr>
        <w:widowControl/>
        <w:numPr>
          <w:ilvl w:val="0"/>
          <w:numId w:val="1"/>
        </w:numPr>
        <w:tabs>
          <w:tab w:val="clear" w:pos="720"/>
        </w:tabs>
        <w:spacing w:after="120"/>
        <w:ind w:left="0" w:firstLine="0"/>
        <w:rPr>
          <w:rFonts w:ascii="Times New Roman" w:hAnsi="Times New Roman"/>
          <w:b/>
          <w:snapToGrid/>
          <w:sz w:val="24"/>
          <w:szCs w:val="24"/>
        </w:rPr>
      </w:pPr>
      <w:r w:rsidRPr="00D93FFB">
        <w:rPr>
          <w:rFonts w:ascii="Times New Roman" w:hAnsi="Times New Roman"/>
          <w:b/>
          <w:snapToGrid/>
          <w:sz w:val="24"/>
          <w:szCs w:val="24"/>
        </w:rPr>
        <w:t xml:space="preserve">Plans for Tabulation and Publication and Project Time Schedule </w:t>
      </w:r>
    </w:p>
    <w:p w:rsidR="007E1599" w:rsidP="007D54BE" w14:paraId="1C7794F4" w14:textId="18436319">
      <w:pPr>
        <w:widowControl/>
        <w:rPr>
          <w:rFonts w:ascii="Times New Roman" w:hAnsi="Times New Roman"/>
          <w:snapToGrid/>
          <w:sz w:val="24"/>
          <w:szCs w:val="24"/>
        </w:rPr>
      </w:pPr>
      <w:r w:rsidRPr="004A28B6">
        <w:rPr>
          <w:rFonts w:ascii="Times New Roman" w:hAnsi="Times New Roman"/>
          <w:sz w:val="24"/>
          <w:szCs w:val="24"/>
        </w:rPr>
        <w:t xml:space="preserve">Results will be analyzed and published in a variety of ways across the programs included in this IC. Some examples of ways data may be used include, but </w:t>
      </w:r>
      <w:r w:rsidRPr="004A28B6" w:rsidR="03A6ABEA">
        <w:rPr>
          <w:rFonts w:ascii="Times New Roman" w:hAnsi="Times New Roman"/>
          <w:sz w:val="24"/>
          <w:szCs w:val="24"/>
        </w:rPr>
        <w:t xml:space="preserve">may </w:t>
      </w:r>
      <w:r w:rsidRPr="004A28B6">
        <w:rPr>
          <w:rFonts w:ascii="Times New Roman" w:hAnsi="Times New Roman"/>
          <w:sz w:val="24"/>
          <w:szCs w:val="24"/>
        </w:rPr>
        <w:t xml:space="preserve">not be limited to: inclusion in budget justifications and reports to Congress; publication on ACL’s website; inclusion in tangible, technical assistance resources for grantees; and inclusion in journal articles and conference presentations. The time schedule for tabulation and publication of information </w:t>
      </w:r>
      <w:r w:rsidRPr="004A28B6" w:rsidR="00284E53">
        <w:rPr>
          <w:rFonts w:ascii="Times New Roman" w:hAnsi="Times New Roman"/>
          <w:sz w:val="24"/>
          <w:szCs w:val="24"/>
        </w:rPr>
        <w:t>varies</w:t>
      </w:r>
      <w:r w:rsidRPr="004A28B6">
        <w:rPr>
          <w:rFonts w:ascii="Times New Roman" w:hAnsi="Times New Roman"/>
          <w:sz w:val="24"/>
          <w:szCs w:val="24"/>
        </w:rPr>
        <w:t xml:space="preserve"> across programs.</w:t>
      </w:r>
      <w:r w:rsidRPr="2CDE237D">
        <w:rPr>
          <w:rFonts w:ascii="Times New Roman" w:hAnsi="Times New Roman"/>
          <w:sz w:val="24"/>
          <w:szCs w:val="24"/>
        </w:rPr>
        <w:t xml:space="preserve"> </w:t>
      </w:r>
      <w:r w:rsidRPr="00B52851" w:rsidR="005A6338">
        <w:rPr>
          <w:rFonts w:ascii="Times New Roman" w:hAnsi="Times New Roman"/>
          <w:sz w:val="24"/>
          <w:szCs w:val="24"/>
        </w:rPr>
        <w:t xml:space="preserve">Data access plans are described and consistent with the OPEN Government </w:t>
      </w:r>
      <w:r w:rsidRPr="00B52851" w:rsidR="005A6338">
        <w:rPr>
          <w:rFonts w:ascii="Times New Roman" w:hAnsi="Times New Roman"/>
          <w:sz w:val="24"/>
          <w:szCs w:val="24"/>
        </w:rPr>
        <w:t>Data Act (Title II of the Foundations for Evidence-Based Policymaking Act of 2018, P.L. 115-435</w:t>
      </w:r>
    </w:p>
    <w:p w:rsidR="007D54BE" w:rsidP="007D54BE" w14:paraId="1F8E5351" w14:textId="321F1D73">
      <w:pPr>
        <w:widowControl/>
        <w:rPr>
          <w:rFonts w:ascii="Times New Roman" w:hAnsi="Times New Roman"/>
          <w:snapToGrid/>
          <w:sz w:val="24"/>
          <w:szCs w:val="24"/>
        </w:rPr>
      </w:pPr>
    </w:p>
    <w:p w:rsidR="007E1599" w:rsidRPr="00D93FFB" w:rsidP="007D54BE" w14:paraId="5A2D98F5" w14:textId="77777777">
      <w:pPr>
        <w:widowControl/>
        <w:numPr>
          <w:ilvl w:val="0"/>
          <w:numId w:val="1"/>
        </w:numPr>
        <w:tabs>
          <w:tab w:val="clear" w:pos="720"/>
        </w:tabs>
        <w:spacing w:after="120"/>
        <w:ind w:left="0" w:firstLine="0"/>
        <w:rPr>
          <w:rFonts w:ascii="Times New Roman" w:hAnsi="Times New Roman"/>
          <w:b/>
          <w:snapToGrid/>
          <w:sz w:val="24"/>
          <w:szCs w:val="24"/>
        </w:rPr>
      </w:pPr>
      <w:r w:rsidRPr="00D93FFB">
        <w:rPr>
          <w:rFonts w:ascii="Times New Roman" w:hAnsi="Times New Roman"/>
          <w:b/>
          <w:snapToGrid/>
          <w:sz w:val="24"/>
          <w:szCs w:val="24"/>
        </w:rPr>
        <w:t xml:space="preserve">Reason(s) Display of OMB Expiration Date is Inappropriate </w:t>
      </w:r>
    </w:p>
    <w:p w:rsidR="007E1599" w:rsidP="007D54BE" w14:paraId="2251D4C2" w14:textId="08BB707E">
      <w:pPr>
        <w:widowControl/>
        <w:rPr>
          <w:rFonts w:ascii="Times New Roman" w:hAnsi="Times New Roman"/>
          <w:snapToGrid/>
          <w:sz w:val="24"/>
          <w:szCs w:val="24"/>
        </w:rPr>
      </w:pPr>
      <w:r w:rsidRPr="00D93FFB">
        <w:rPr>
          <w:rFonts w:ascii="Times New Roman" w:hAnsi="Times New Roman"/>
          <w:snapToGrid/>
          <w:sz w:val="24"/>
          <w:szCs w:val="24"/>
        </w:rPr>
        <w:t>Not applicable</w:t>
      </w:r>
      <w:r w:rsidR="00284E53">
        <w:rPr>
          <w:rFonts w:ascii="Times New Roman" w:hAnsi="Times New Roman"/>
          <w:snapToGrid/>
          <w:sz w:val="24"/>
          <w:szCs w:val="24"/>
        </w:rPr>
        <w:t xml:space="preserve"> as ACL will display the expiration date</w:t>
      </w:r>
    </w:p>
    <w:p w:rsidR="007D54BE" w:rsidP="007D54BE" w14:paraId="0D098EA1" w14:textId="42B17760">
      <w:pPr>
        <w:widowControl/>
        <w:rPr>
          <w:rFonts w:ascii="Times New Roman" w:hAnsi="Times New Roman"/>
          <w:snapToGrid/>
          <w:sz w:val="24"/>
          <w:szCs w:val="24"/>
        </w:rPr>
      </w:pPr>
    </w:p>
    <w:p w:rsidR="007E1599" w:rsidRPr="00D93FFB" w:rsidP="007D54BE" w14:paraId="38367B15" w14:textId="2DF3C0AC">
      <w:pPr>
        <w:widowControl/>
        <w:numPr>
          <w:ilvl w:val="0"/>
          <w:numId w:val="1"/>
        </w:numPr>
        <w:tabs>
          <w:tab w:val="num" w:pos="0"/>
          <w:tab w:val="clear" w:pos="720"/>
        </w:tabs>
        <w:spacing w:after="120"/>
        <w:ind w:hanging="720"/>
        <w:rPr>
          <w:rFonts w:ascii="Times New Roman" w:hAnsi="Times New Roman"/>
          <w:b/>
          <w:snapToGrid/>
          <w:sz w:val="24"/>
          <w:szCs w:val="24"/>
        </w:rPr>
      </w:pPr>
      <w:r w:rsidRPr="00D93FFB">
        <w:rPr>
          <w:rFonts w:ascii="Times New Roman" w:hAnsi="Times New Roman"/>
          <w:b/>
          <w:snapToGrid/>
          <w:sz w:val="24"/>
          <w:szCs w:val="24"/>
        </w:rPr>
        <w:t>Exceptions to Certification for Paperwork Reduction Act Submissions</w:t>
      </w:r>
    </w:p>
    <w:p w:rsidR="00140C08" w:rsidRPr="00D93FFB" w:rsidP="007D54BE" w14:paraId="4AFEEFC4" w14:textId="19D740C2">
      <w:pPr>
        <w:widowControl/>
        <w:rPr>
          <w:rFonts w:ascii="Times New Roman" w:hAnsi="Times New Roman"/>
          <w:w w:val="105"/>
          <w:sz w:val="24"/>
          <w:szCs w:val="24"/>
        </w:rPr>
      </w:pPr>
      <w:r w:rsidRPr="00D93FFB">
        <w:rPr>
          <w:rFonts w:ascii="Times New Roman" w:hAnsi="Times New Roman"/>
          <w:snapToGrid/>
          <w:sz w:val="24"/>
          <w:szCs w:val="24"/>
        </w:rPr>
        <w:t>No exceptions</w:t>
      </w:r>
      <w:r w:rsidRPr="742F0DC8" w:rsidR="000F5FE6">
        <w:rPr>
          <w:rFonts w:ascii="Times New Roman" w:hAnsi="Times New Roman"/>
          <w:sz w:val="24"/>
          <w:szCs w:val="24"/>
        </w:rPr>
        <w:t xml:space="preserve"> are being sought</w:t>
      </w:r>
      <w:r w:rsidR="000F5FE6">
        <w:rPr>
          <w:rFonts w:ascii="Times New Roman" w:hAnsi="Times New Roman"/>
          <w:snapToGrid/>
          <w:sz w:val="24"/>
          <w:szCs w:val="24"/>
        </w:rPr>
        <w:t xml:space="preserve"> for this IC</w:t>
      </w:r>
      <w:r w:rsidRPr="00D93FFB">
        <w:rPr>
          <w:rFonts w:ascii="Times New Roman" w:hAnsi="Times New Roman"/>
          <w:snapToGrid/>
          <w:sz w:val="24"/>
          <w:szCs w:val="24"/>
        </w:rPr>
        <w:t>.</w:t>
      </w:r>
    </w:p>
    <w:sectPr w:rsidSect="00C50FD4">
      <w:headerReference w:type="even" r:id="rId11"/>
      <w:headerReference w:type="default" r:id="rId12"/>
      <w:headerReference w:type="first" r:id="rId13"/>
      <w:pgSz w:w="12240" w:h="15840"/>
      <w:pgMar w:top="1440" w:right="1440" w:bottom="1440" w:left="1440" w:header="739"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2711" w:rsidP="00D40B3F" w14:paraId="671C3F1B" w14:textId="77777777">
      <w:r>
        <w:separator/>
      </w:r>
    </w:p>
  </w:footnote>
  <w:footnote w:type="continuationSeparator" w:id="1">
    <w:p w:rsidR="00912711" w:rsidP="00D40B3F" w14:paraId="47192A62" w14:textId="77777777">
      <w:r>
        <w:continuationSeparator/>
      </w:r>
    </w:p>
  </w:footnote>
  <w:footnote w:type="continuationNotice" w:id="2">
    <w:p w:rsidR="00912711" w14:paraId="49D92176" w14:textId="77777777"/>
  </w:footnote>
  <w:footnote w:id="3">
    <w:p w:rsidR="00486A7F" w:rsidRPr="00B0408F" w14:paraId="054B580A" w14:textId="67F78AD9">
      <w:pPr>
        <w:pStyle w:val="FootnoteText"/>
        <w:rPr>
          <w:rFonts w:ascii="Times New Roman" w:hAnsi="Times New Roman"/>
        </w:rPr>
      </w:pPr>
      <w:r w:rsidRPr="00B0408F">
        <w:rPr>
          <w:rStyle w:val="FootnoteReference"/>
          <w:rFonts w:ascii="Times New Roman" w:hAnsi="Times New Roman"/>
        </w:rPr>
        <w:footnoteRef/>
      </w:r>
      <w:r w:rsidRPr="00B0408F">
        <w:rPr>
          <w:rFonts w:ascii="Times New Roman" w:hAnsi="Times New Roman"/>
        </w:rPr>
        <w:t xml:space="preserve"> Bureau of Labor Statistics, U.S. Department of Labor, Occupational Outlook Handbook, Social and Community Service Managers, at https://www.bls.gov/ooh/management/social-and-community-service-managers.htm (February 5, 2024).</w:t>
      </w:r>
    </w:p>
  </w:footnote>
  <w:footnote w:id="4">
    <w:p w:rsidR="00375A92" w:rsidRPr="00756CC5" w:rsidP="00375A92" w14:paraId="17A11DF9" w14:textId="705A3620">
      <w:pPr>
        <w:pStyle w:val="FootnoteText"/>
        <w:rPr>
          <w:rFonts w:ascii="Times New Roman" w:hAnsi="Times New Roman"/>
        </w:rPr>
      </w:pPr>
      <w:r w:rsidRPr="00756CC5">
        <w:rPr>
          <w:rStyle w:val="FootnoteReference"/>
          <w:rFonts w:ascii="Times New Roman" w:hAnsi="Times New Roman"/>
        </w:rPr>
        <w:footnoteRef/>
      </w:r>
      <w:r w:rsidRPr="00756CC5">
        <w:rPr>
          <w:rFonts w:ascii="Times New Roman" w:hAnsi="Times New Roman"/>
        </w:rPr>
        <w:t xml:space="preserve"> Step 1,</w:t>
      </w:r>
      <w:r w:rsidR="00BF27A3">
        <w:rPr>
          <w:rFonts w:ascii="Times New Roman" w:hAnsi="Times New Roman"/>
        </w:rPr>
        <w:t xml:space="preserve"> at 50% time,</w:t>
      </w:r>
      <w:r w:rsidRPr="00756CC5">
        <w:rPr>
          <w:rFonts w:ascii="Times New Roman" w:hAnsi="Times New Roman"/>
        </w:rPr>
        <w:t xml:space="preserve"> adjusted for </w:t>
      </w:r>
      <w:r w:rsidRPr="00756CC5" w:rsidR="00756CC5">
        <w:rPr>
          <w:rFonts w:ascii="Times New Roman" w:hAnsi="Times New Roman"/>
        </w:rPr>
        <w:t>Washington-Baltimore-Arlington, DC-MD-VA-WV-PA</w:t>
      </w:r>
      <w:r w:rsidR="00BF27A3">
        <w:rPr>
          <w:rFonts w:ascii="Times New Roman" w:hAnsi="Times New Roman"/>
        </w:rPr>
        <w:t>:</w:t>
      </w:r>
      <w:r w:rsidRPr="00756CC5">
        <w:rPr>
          <w:rFonts w:ascii="Times New Roman" w:hAnsi="Times New Roman"/>
        </w:rPr>
        <w:t xml:space="preserve"> </w:t>
      </w:r>
      <w:hyperlink r:id="rId1" w:history="1">
        <w:r w:rsidRPr="00C166FD" w:rsidR="00756CC5">
          <w:rPr>
            <w:rStyle w:val="Hyperlink"/>
            <w:rFonts w:ascii="Times New Roman" w:hAnsi="Times New Roman"/>
          </w:rPr>
          <w:t>https://www.opm.gov/policy-data-oversight/pay-leave/salaries-wages/2024/general-schedule</w:t>
        </w:r>
      </w:hyperlink>
      <w:r w:rsidR="00756CC5">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B3F" w14:paraId="6219C851" w14:textId="3C38D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B3F" w14:paraId="70AA4758" w14:textId="6C42C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B3F" w14:paraId="789C0C59" w14:textId="33436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BB035A"/>
    <w:multiLevelType w:val="hybridMultilevel"/>
    <w:tmpl w:val="28E2EA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BE2509"/>
    <w:multiLevelType w:val="multilevel"/>
    <w:tmpl w:val="2662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E55AAD"/>
    <w:multiLevelType w:val="hybridMultilevel"/>
    <w:tmpl w:val="AEF4492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2F2E3A57"/>
    <w:multiLevelType w:val="hybridMultilevel"/>
    <w:tmpl w:val="AF3651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D922CC"/>
    <w:multiLevelType w:val="hybridMultilevel"/>
    <w:tmpl w:val="9F0E5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0B120F"/>
    <w:multiLevelType w:val="hybridMultilevel"/>
    <w:tmpl w:val="11D2EAD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3BFD2981"/>
    <w:multiLevelType w:val="hybridMultilevel"/>
    <w:tmpl w:val="026AD4B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40703CBD"/>
    <w:multiLevelType w:val="hybridMultilevel"/>
    <w:tmpl w:val="B80660AA"/>
    <w:lvl w:ilvl="0">
      <w:start w:val="0"/>
      <w:numFmt w:val="bullet"/>
      <w:lvlText w:val="-"/>
      <w:lvlJc w:val="left"/>
      <w:pPr>
        <w:ind w:left="1800" w:hanging="360"/>
      </w:pPr>
      <w:rPr>
        <w:rFonts w:ascii="Courier New" w:eastAsia="Times New Roman"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51740526"/>
    <w:multiLevelType w:val="multilevel"/>
    <w:tmpl w:val="686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5433BB"/>
    <w:multiLevelType w:val="hybridMultilevel"/>
    <w:tmpl w:val="59F2F7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F37CBB"/>
    <w:multiLevelType w:val="hybridMultilevel"/>
    <w:tmpl w:val="EC04F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BB49DB"/>
    <w:multiLevelType w:val="hybridMultilevel"/>
    <w:tmpl w:val="3CA02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450310">
    <w:abstractNumId w:val="11"/>
  </w:num>
  <w:num w:numId="2" w16cid:durableId="1771269070">
    <w:abstractNumId w:val="2"/>
  </w:num>
  <w:num w:numId="3" w16cid:durableId="1748922818">
    <w:abstractNumId w:val="8"/>
  </w:num>
  <w:num w:numId="4" w16cid:durableId="1502355481">
    <w:abstractNumId w:val="9"/>
  </w:num>
  <w:num w:numId="5" w16cid:durableId="182715414">
    <w:abstractNumId w:val="1"/>
  </w:num>
  <w:num w:numId="6" w16cid:durableId="1539468776">
    <w:abstractNumId w:val="12"/>
  </w:num>
  <w:num w:numId="7" w16cid:durableId="585724062">
    <w:abstractNumId w:val="6"/>
  </w:num>
  <w:num w:numId="8" w16cid:durableId="1479229902">
    <w:abstractNumId w:val="5"/>
  </w:num>
  <w:num w:numId="9" w16cid:durableId="1864783653">
    <w:abstractNumId w:val="13"/>
  </w:num>
  <w:num w:numId="10" w16cid:durableId="1065568765">
    <w:abstractNumId w:val="10"/>
  </w:num>
  <w:num w:numId="11" w16cid:durableId="334303379">
    <w:abstractNumId w:val="0"/>
  </w:num>
  <w:num w:numId="12" w16cid:durableId="1833986359">
    <w:abstractNumId w:val="4"/>
  </w:num>
  <w:num w:numId="13" w16cid:durableId="909467562">
    <w:abstractNumId w:val="7"/>
  </w:num>
  <w:num w:numId="14" w16cid:durableId="1019241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99"/>
    <w:rsid w:val="000034BE"/>
    <w:rsid w:val="00005345"/>
    <w:rsid w:val="00012A26"/>
    <w:rsid w:val="0002281B"/>
    <w:rsid w:val="00034E05"/>
    <w:rsid w:val="00042F99"/>
    <w:rsid w:val="00045102"/>
    <w:rsid w:val="00046F99"/>
    <w:rsid w:val="00053202"/>
    <w:rsid w:val="000661DD"/>
    <w:rsid w:val="000A5214"/>
    <w:rsid w:val="000A60CA"/>
    <w:rsid w:val="000A6948"/>
    <w:rsid w:val="000A7008"/>
    <w:rsid w:val="000C09F1"/>
    <w:rsid w:val="000C5794"/>
    <w:rsid w:val="000D58F6"/>
    <w:rsid w:val="000D5F58"/>
    <w:rsid w:val="000F46A5"/>
    <w:rsid w:val="000F4F19"/>
    <w:rsid w:val="000F5FE6"/>
    <w:rsid w:val="00126BDE"/>
    <w:rsid w:val="00134C7E"/>
    <w:rsid w:val="00140C08"/>
    <w:rsid w:val="00142D16"/>
    <w:rsid w:val="0014311C"/>
    <w:rsid w:val="00150CD5"/>
    <w:rsid w:val="0015720B"/>
    <w:rsid w:val="0018001D"/>
    <w:rsid w:val="00186B32"/>
    <w:rsid w:val="00187810"/>
    <w:rsid w:val="00195639"/>
    <w:rsid w:val="001A50F7"/>
    <w:rsid w:val="001B162D"/>
    <w:rsid w:val="001B5967"/>
    <w:rsid w:val="001C0C77"/>
    <w:rsid w:val="001C4F32"/>
    <w:rsid w:val="001D456F"/>
    <w:rsid w:val="001D4F9D"/>
    <w:rsid w:val="001D5BD7"/>
    <w:rsid w:val="001E0EF5"/>
    <w:rsid w:val="001E45CF"/>
    <w:rsid w:val="001F0259"/>
    <w:rsid w:val="001F4FFA"/>
    <w:rsid w:val="0020158E"/>
    <w:rsid w:val="00201F3A"/>
    <w:rsid w:val="00210B9B"/>
    <w:rsid w:val="002124A7"/>
    <w:rsid w:val="00225651"/>
    <w:rsid w:val="002262C7"/>
    <w:rsid w:val="00270E9A"/>
    <w:rsid w:val="00271E9D"/>
    <w:rsid w:val="002845C5"/>
    <w:rsid w:val="00284E53"/>
    <w:rsid w:val="00286C9A"/>
    <w:rsid w:val="002928B7"/>
    <w:rsid w:val="0029494A"/>
    <w:rsid w:val="00295559"/>
    <w:rsid w:val="002A0BF1"/>
    <w:rsid w:val="002A582C"/>
    <w:rsid w:val="002A685F"/>
    <w:rsid w:val="002C65B2"/>
    <w:rsid w:val="002C69B8"/>
    <w:rsid w:val="002D3B7B"/>
    <w:rsid w:val="002D45C1"/>
    <w:rsid w:val="002D5180"/>
    <w:rsid w:val="002E36E4"/>
    <w:rsid w:val="00315539"/>
    <w:rsid w:val="00317CAA"/>
    <w:rsid w:val="00326ECE"/>
    <w:rsid w:val="00343525"/>
    <w:rsid w:val="00355E4C"/>
    <w:rsid w:val="00357079"/>
    <w:rsid w:val="00375A77"/>
    <w:rsid w:val="00375A92"/>
    <w:rsid w:val="00384B3F"/>
    <w:rsid w:val="003A123D"/>
    <w:rsid w:val="003A4224"/>
    <w:rsid w:val="003A4635"/>
    <w:rsid w:val="003C2314"/>
    <w:rsid w:val="003C4640"/>
    <w:rsid w:val="003D7805"/>
    <w:rsid w:val="003E3C96"/>
    <w:rsid w:val="003F42AA"/>
    <w:rsid w:val="004166E6"/>
    <w:rsid w:val="00416AC6"/>
    <w:rsid w:val="00420721"/>
    <w:rsid w:val="00422EAB"/>
    <w:rsid w:val="00426CE8"/>
    <w:rsid w:val="00431114"/>
    <w:rsid w:val="004630D0"/>
    <w:rsid w:val="004662D5"/>
    <w:rsid w:val="00474D82"/>
    <w:rsid w:val="00476786"/>
    <w:rsid w:val="00486A7F"/>
    <w:rsid w:val="00491A7B"/>
    <w:rsid w:val="004A0E4D"/>
    <w:rsid w:val="004A28B6"/>
    <w:rsid w:val="004A2FB5"/>
    <w:rsid w:val="004A397A"/>
    <w:rsid w:val="004A4019"/>
    <w:rsid w:val="004B068F"/>
    <w:rsid w:val="004B4155"/>
    <w:rsid w:val="004B6DE8"/>
    <w:rsid w:val="004C37CE"/>
    <w:rsid w:val="004D6A49"/>
    <w:rsid w:val="004E2AA1"/>
    <w:rsid w:val="004E74F1"/>
    <w:rsid w:val="004F33F1"/>
    <w:rsid w:val="00510CBE"/>
    <w:rsid w:val="005124BE"/>
    <w:rsid w:val="00515E72"/>
    <w:rsid w:val="0053028F"/>
    <w:rsid w:val="00571C9B"/>
    <w:rsid w:val="0058101C"/>
    <w:rsid w:val="0058214D"/>
    <w:rsid w:val="00587732"/>
    <w:rsid w:val="005A09D8"/>
    <w:rsid w:val="005A6338"/>
    <w:rsid w:val="005B3D14"/>
    <w:rsid w:val="005C6204"/>
    <w:rsid w:val="005E7C91"/>
    <w:rsid w:val="005F6D81"/>
    <w:rsid w:val="00627369"/>
    <w:rsid w:val="00632CE9"/>
    <w:rsid w:val="00632CFB"/>
    <w:rsid w:val="00637D87"/>
    <w:rsid w:val="00654755"/>
    <w:rsid w:val="006628E1"/>
    <w:rsid w:val="00670CED"/>
    <w:rsid w:val="00672DCB"/>
    <w:rsid w:val="006772BF"/>
    <w:rsid w:val="00686A8A"/>
    <w:rsid w:val="006912CB"/>
    <w:rsid w:val="006A1971"/>
    <w:rsid w:val="006A1DBA"/>
    <w:rsid w:val="006B5F79"/>
    <w:rsid w:val="006F50E2"/>
    <w:rsid w:val="006F6DCD"/>
    <w:rsid w:val="0070300A"/>
    <w:rsid w:val="00705084"/>
    <w:rsid w:val="007236C7"/>
    <w:rsid w:val="00724AC8"/>
    <w:rsid w:val="00727D52"/>
    <w:rsid w:val="00730D42"/>
    <w:rsid w:val="00735349"/>
    <w:rsid w:val="00737A41"/>
    <w:rsid w:val="0074011F"/>
    <w:rsid w:val="00744F2F"/>
    <w:rsid w:val="00756CC5"/>
    <w:rsid w:val="00765FBE"/>
    <w:rsid w:val="00766ED0"/>
    <w:rsid w:val="00767642"/>
    <w:rsid w:val="00772697"/>
    <w:rsid w:val="00775D18"/>
    <w:rsid w:val="00777C08"/>
    <w:rsid w:val="007849DF"/>
    <w:rsid w:val="0078710A"/>
    <w:rsid w:val="007923A1"/>
    <w:rsid w:val="007B10FB"/>
    <w:rsid w:val="007D3261"/>
    <w:rsid w:val="007D54BE"/>
    <w:rsid w:val="007E1599"/>
    <w:rsid w:val="007E72E5"/>
    <w:rsid w:val="007F51D4"/>
    <w:rsid w:val="00800775"/>
    <w:rsid w:val="00812E63"/>
    <w:rsid w:val="00825319"/>
    <w:rsid w:val="00830C97"/>
    <w:rsid w:val="008325C1"/>
    <w:rsid w:val="00833036"/>
    <w:rsid w:val="00840F9C"/>
    <w:rsid w:val="00857AAC"/>
    <w:rsid w:val="008623CE"/>
    <w:rsid w:val="00863ABE"/>
    <w:rsid w:val="00865A75"/>
    <w:rsid w:val="0087117B"/>
    <w:rsid w:val="008862D3"/>
    <w:rsid w:val="008A451F"/>
    <w:rsid w:val="008E505A"/>
    <w:rsid w:val="008E77D6"/>
    <w:rsid w:val="008F2276"/>
    <w:rsid w:val="008F2B77"/>
    <w:rsid w:val="00900708"/>
    <w:rsid w:val="0091254F"/>
    <w:rsid w:val="00912711"/>
    <w:rsid w:val="0091320B"/>
    <w:rsid w:val="00915911"/>
    <w:rsid w:val="0093215B"/>
    <w:rsid w:val="0093401B"/>
    <w:rsid w:val="00941832"/>
    <w:rsid w:val="0096347D"/>
    <w:rsid w:val="00966C60"/>
    <w:rsid w:val="0098088F"/>
    <w:rsid w:val="009C7DEF"/>
    <w:rsid w:val="009D232F"/>
    <w:rsid w:val="009E022E"/>
    <w:rsid w:val="009E4724"/>
    <w:rsid w:val="009E48C4"/>
    <w:rsid w:val="00A0429C"/>
    <w:rsid w:val="00A07340"/>
    <w:rsid w:val="00A379F1"/>
    <w:rsid w:val="00A440AC"/>
    <w:rsid w:val="00A45461"/>
    <w:rsid w:val="00A46234"/>
    <w:rsid w:val="00A5098F"/>
    <w:rsid w:val="00A50AE1"/>
    <w:rsid w:val="00A6301E"/>
    <w:rsid w:val="00A635D0"/>
    <w:rsid w:val="00A64894"/>
    <w:rsid w:val="00A87BA1"/>
    <w:rsid w:val="00A90EAB"/>
    <w:rsid w:val="00A93D7B"/>
    <w:rsid w:val="00AA6249"/>
    <w:rsid w:val="00AD1380"/>
    <w:rsid w:val="00AD2E11"/>
    <w:rsid w:val="00AD4AEA"/>
    <w:rsid w:val="00AD7414"/>
    <w:rsid w:val="00AF1DA5"/>
    <w:rsid w:val="00AF4B6F"/>
    <w:rsid w:val="00AF7D1E"/>
    <w:rsid w:val="00B009FD"/>
    <w:rsid w:val="00B0408F"/>
    <w:rsid w:val="00B0743F"/>
    <w:rsid w:val="00B11936"/>
    <w:rsid w:val="00B35211"/>
    <w:rsid w:val="00B369FE"/>
    <w:rsid w:val="00B4777D"/>
    <w:rsid w:val="00B52851"/>
    <w:rsid w:val="00B706CD"/>
    <w:rsid w:val="00B72322"/>
    <w:rsid w:val="00B8601F"/>
    <w:rsid w:val="00B863AB"/>
    <w:rsid w:val="00B937C0"/>
    <w:rsid w:val="00BB164D"/>
    <w:rsid w:val="00BC1786"/>
    <w:rsid w:val="00BC378C"/>
    <w:rsid w:val="00BD6152"/>
    <w:rsid w:val="00BE2EFE"/>
    <w:rsid w:val="00BE73F6"/>
    <w:rsid w:val="00BF27A3"/>
    <w:rsid w:val="00BF6869"/>
    <w:rsid w:val="00C0186A"/>
    <w:rsid w:val="00C07752"/>
    <w:rsid w:val="00C10E7E"/>
    <w:rsid w:val="00C1455A"/>
    <w:rsid w:val="00C166FD"/>
    <w:rsid w:val="00C46971"/>
    <w:rsid w:val="00C50FD4"/>
    <w:rsid w:val="00C71D35"/>
    <w:rsid w:val="00C82765"/>
    <w:rsid w:val="00C9059A"/>
    <w:rsid w:val="00CB1596"/>
    <w:rsid w:val="00CB3F7F"/>
    <w:rsid w:val="00CB5CAD"/>
    <w:rsid w:val="00CB6983"/>
    <w:rsid w:val="00CC47D2"/>
    <w:rsid w:val="00CC5CE7"/>
    <w:rsid w:val="00CD23B4"/>
    <w:rsid w:val="00CD454C"/>
    <w:rsid w:val="00CE377B"/>
    <w:rsid w:val="00D03629"/>
    <w:rsid w:val="00D104F5"/>
    <w:rsid w:val="00D11184"/>
    <w:rsid w:val="00D11FD3"/>
    <w:rsid w:val="00D14F6D"/>
    <w:rsid w:val="00D21840"/>
    <w:rsid w:val="00D22733"/>
    <w:rsid w:val="00D244FD"/>
    <w:rsid w:val="00D37B16"/>
    <w:rsid w:val="00D40B3F"/>
    <w:rsid w:val="00D606DF"/>
    <w:rsid w:val="00D81EED"/>
    <w:rsid w:val="00D82265"/>
    <w:rsid w:val="00D832FD"/>
    <w:rsid w:val="00D8577E"/>
    <w:rsid w:val="00D90AB6"/>
    <w:rsid w:val="00D93FFB"/>
    <w:rsid w:val="00DC03D3"/>
    <w:rsid w:val="00DD4521"/>
    <w:rsid w:val="00DD516F"/>
    <w:rsid w:val="00DD71D5"/>
    <w:rsid w:val="00DE5BFA"/>
    <w:rsid w:val="00DF6995"/>
    <w:rsid w:val="00E054FE"/>
    <w:rsid w:val="00E2321F"/>
    <w:rsid w:val="00E27695"/>
    <w:rsid w:val="00E308DA"/>
    <w:rsid w:val="00E3382E"/>
    <w:rsid w:val="00E457ED"/>
    <w:rsid w:val="00E57B64"/>
    <w:rsid w:val="00E66601"/>
    <w:rsid w:val="00E675D8"/>
    <w:rsid w:val="00E83CEE"/>
    <w:rsid w:val="00E85226"/>
    <w:rsid w:val="00E93E4A"/>
    <w:rsid w:val="00E94E3C"/>
    <w:rsid w:val="00EA011E"/>
    <w:rsid w:val="00EA216B"/>
    <w:rsid w:val="00EC322B"/>
    <w:rsid w:val="00EC3521"/>
    <w:rsid w:val="00EC68DC"/>
    <w:rsid w:val="00EC73A1"/>
    <w:rsid w:val="00ED228C"/>
    <w:rsid w:val="00ED284E"/>
    <w:rsid w:val="00ED2BD7"/>
    <w:rsid w:val="00ED3875"/>
    <w:rsid w:val="00EE7C84"/>
    <w:rsid w:val="00EF129A"/>
    <w:rsid w:val="00EF1E7F"/>
    <w:rsid w:val="00F055E3"/>
    <w:rsid w:val="00F06C3A"/>
    <w:rsid w:val="00F07732"/>
    <w:rsid w:val="00F21C4F"/>
    <w:rsid w:val="00F40B32"/>
    <w:rsid w:val="00F46557"/>
    <w:rsid w:val="00F57C02"/>
    <w:rsid w:val="00F743EA"/>
    <w:rsid w:val="00F91341"/>
    <w:rsid w:val="00F937B1"/>
    <w:rsid w:val="00F94603"/>
    <w:rsid w:val="00FA5254"/>
    <w:rsid w:val="00FB6B61"/>
    <w:rsid w:val="00FC2FD3"/>
    <w:rsid w:val="00FC4ED2"/>
    <w:rsid w:val="00FC7272"/>
    <w:rsid w:val="00FD543F"/>
    <w:rsid w:val="00FE0EA1"/>
    <w:rsid w:val="00FE2997"/>
    <w:rsid w:val="00FE36E3"/>
    <w:rsid w:val="00FE4598"/>
    <w:rsid w:val="00FF4588"/>
    <w:rsid w:val="01C92ECD"/>
    <w:rsid w:val="03405BBB"/>
    <w:rsid w:val="03A6ABEA"/>
    <w:rsid w:val="0460A08D"/>
    <w:rsid w:val="082FC531"/>
    <w:rsid w:val="0D35D0D4"/>
    <w:rsid w:val="0E87DDF3"/>
    <w:rsid w:val="112F6CA3"/>
    <w:rsid w:val="14FFA671"/>
    <w:rsid w:val="188C7A8E"/>
    <w:rsid w:val="1B4F99B0"/>
    <w:rsid w:val="1B9FCE94"/>
    <w:rsid w:val="1D84C9D7"/>
    <w:rsid w:val="25DFBE35"/>
    <w:rsid w:val="2CDE237D"/>
    <w:rsid w:val="2E758837"/>
    <w:rsid w:val="34E4C9BB"/>
    <w:rsid w:val="381C6A7D"/>
    <w:rsid w:val="3831ADD0"/>
    <w:rsid w:val="38CC6571"/>
    <w:rsid w:val="3A32A462"/>
    <w:rsid w:val="3C4F14B9"/>
    <w:rsid w:val="449B7689"/>
    <w:rsid w:val="4A03DEED"/>
    <w:rsid w:val="52952389"/>
    <w:rsid w:val="651DE7C8"/>
    <w:rsid w:val="6B7A3903"/>
    <w:rsid w:val="6C5FD65C"/>
    <w:rsid w:val="702D1EC3"/>
    <w:rsid w:val="72CF17E0"/>
    <w:rsid w:val="742F0DC8"/>
    <w:rsid w:val="74A330C9"/>
    <w:rsid w:val="790E15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7CDDDB"/>
  <w15:docId w15:val="{1639636E-6B9F-4A9B-9666-A8797D15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599"/>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link w:val="Heading1Char"/>
    <w:uiPriority w:val="1"/>
    <w:qFormat/>
    <w:rsid w:val="00140C08"/>
    <w:pPr>
      <w:outlineLvl w:val="0"/>
    </w:pPr>
    <w:rPr>
      <w:rFonts w:ascii="Times New Roman" w:hAnsi="Times New Roman" w:cstheme="minorBidi"/>
      <w:b/>
      <w:bCs/>
      <w:snapToGrid/>
      <w:sz w:val="24"/>
      <w:szCs w:val="24"/>
    </w:rPr>
  </w:style>
  <w:style w:type="paragraph" w:styleId="Heading2">
    <w:name w:val="heading 2"/>
    <w:basedOn w:val="Normal"/>
    <w:next w:val="Normal"/>
    <w:link w:val="Heading2Char"/>
    <w:uiPriority w:val="9"/>
    <w:semiHidden/>
    <w:unhideWhenUsed/>
    <w:qFormat/>
    <w:rsid w:val="000661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C08"/>
    <w:rPr>
      <w:rFonts w:ascii="Times New Roman" w:eastAsia="Times New Roman" w:hAnsi="Times New Roman"/>
      <w:b/>
      <w:bCs/>
      <w:sz w:val="24"/>
      <w:szCs w:val="24"/>
    </w:rPr>
  </w:style>
  <w:style w:type="paragraph" w:styleId="BodyText">
    <w:name w:val="Body Text"/>
    <w:basedOn w:val="Normal"/>
    <w:link w:val="BodyTextChar"/>
    <w:uiPriority w:val="1"/>
    <w:qFormat/>
    <w:rsid w:val="00140C08"/>
    <w:pPr>
      <w:ind w:left="100"/>
    </w:pPr>
    <w:rPr>
      <w:rFonts w:ascii="Times New Roman" w:hAnsi="Times New Roman" w:cstheme="minorBidi"/>
      <w:snapToGrid/>
      <w:sz w:val="24"/>
      <w:szCs w:val="24"/>
    </w:rPr>
  </w:style>
  <w:style w:type="character" w:customStyle="1" w:styleId="BodyTextChar">
    <w:name w:val="Body Text Char"/>
    <w:basedOn w:val="DefaultParagraphFont"/>
    <w:link w:val="BodyText"/>
    <w:uiPriority w:val="1"/>
    <w:rsid w:val="00140C08"/>
    <w:rPr>
      <w:rFonts w:ascii="Times New Roman" w:eastAsia="Times New Roman" w:hAnsi="Times New Roman"/>
      <w:sz w:val="24"/>
      <w:szCs w:val="24"/>
    </w:rPr>
  </w:style>
  <w:style w:type="paragraph" w:styleId="ListParagraph">
    <w:name w:val="List Paragraph"/>
    <w:basedOn w:val="Normal"/>
    <w:uiPriority w:val="1"/>
    <w:qFormat/>
    <w:rsid w:val="00140C08"/>
    <w:rPr>
      <w:rFonts w:asciiTheme="minorHAnsi" w:eastAsiaTheme="minorHAnsi" w:hAnsiTheme="minorHAnsi" w:cstheme="minorBidi"/>
      <w:snapToGrid/>
      <w:sz w:val="22"/>
      <w:szCs w:val="22"/>
    </w:rPr>
  </w:style>
  <w:style w:type="paragraph" w:customStyle="1" w:styleId="TableParagraph">
    <w:name w:val="Table Paragraph"/>
    <w:basedOn w:val="Normal"/>
    <w:uiPriority w:val="1"/>
    <w:qFormat/>
    <w:rsid w:val="00140C08"/>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140C08"/>
    <w:pPr>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140C08"/>
  </w:style>
  <w:style w:type="paragraph" w:styleId="Footer">
    <w:name w:val="footer"/>
    <w:basedOn w:val="Normal"/>
    <w:link w:val="FooterChar"/>
    <w:uiPriority w:val="99"/>
    <w:unhideWhenUsed/>
    <w:rsid w:val="00140C08"/>
    <w:pPr>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140C08"/>
  </w:style>
  <w:style w:type="paragraph" w:styleId="BalloonText">
    <w:name w:val="Balloon Text"/>
    <w:basedOn w:val="Normal"/>
    <w:link w:val="BalloonTextChar"/>
    <w:uiPriority w:val="99"/>
    <w:semiHidden/>
    <w:unhideWhenUsed/>
    <w:rsid w:val="007D3261"/>
    <w:rPr>
      <w:rFonts w:ascii="Tahoma" w:hAnsi="Tahoma" w:cs="Tahoma"/>
      <w:sz w:val="16"/>
      <w:szCs w:val="16"/>
    </w:rPr>
  </w:style>
  <w:style w:type="character" w:customStyle="1" w:styleId="BalloonTextChar">
    <w:name w:val="Balloon Text Char"/>
    <w:basedOn w:val="DefaultParagraphFont"/>
    <w:link w:val="BalloonText"/>
    <w:uiPriority w:val="99"/>
    <w:semiHidden/>
    <w:rsid w:val="007D3261"/>
    <w:rPr>
      <w:rFonts w:ascii="Tahoma" w:eastAsia="Times New Roman" w:hAnsi="Tahoma" w:cs="Tahoma"/>
      <w:snapToGrid w:val="0"/>
      <w:sz w:val="16"/>
      <w:szCs w:val="16"/>
    </w:rPr>
  </w:style>
  <w:style w:type="character" w:styleId="CommentReference">
    <w:name w:val="annotation reference"/>
    <w:uiPriority w:val="99"/>
    <w:rsid w:val="00FB6B61"/>
    <w:rPr>
      <w:sz w:val="16"/>
      <w:szCs w:val="16"/>
    </w:rPr>
  </w:style>
  <w:style w:type="paragraph" w:styleId="CommentText">
    <w:name w:val="annotation text"/>
    <w:basedOn w:val="Normal"/>
    <w:link w:val="CommentTextChar"/>
    <w:rsid w:val="00FB6B61"/>
  </w:style>
  <w:style w:type="character" w:customStyle="1" w:styleId="CommentTextChar">
    <w:name w:val="Comment Text Char"/>
    <w:basedOn w:val="DefaultParagraphFont"/>
    <w:link w:val="CommentText"/>
    <w:rsid w:val="00FB6B61"/>
    <w:rPr>
      <w:rFonts w:ascii="Courier New" w:eastAsia="Times New Roman" w:hAnsi="Courier New" w:cs="Times New Roman"/>
      <w:snapToGrid w:val="0"/>
      <w:sz w:val="20"/>
      <w:szCs w:val="20"/>
    </w:rPr>
  </w:style>
  <w:style w:type="paragraph" w:customStyle="1" w:styleId="ReportCover-Title">
    <w:name w:val="ReportCover-Title"/>
    <w:basedOn w:val="Normal"/>
    <w:rsid w:val="00FB6B6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FB6B61"/>
    <w:pPr>
      <w:widowControl/>
      <w:spacing w:after="840" w:line="260" w:lineRule="exact"/>
    </w:pPr>
    <w:rPr>
      <w:rFonts w:ascii="Franklin Gothic Medium" w:hAnsi="Franklin Gothic Medium"/>
      <w:b/>
      <w:snapToGrid/>
      <w:color w:val="003C79"/>
      <w:sz w:val="24"/>
    </w:rPr>
  </w:style>
  <w:style w:type="paragraph" w:styleId="CommentSubject">
    <w:name w:val="annotation subject"/>
    <w:basedOn w:val="CommentText"/>
    <w:next w:val="CommentText"/>
    <w:link w:val="CommentSubjectChar"/>
    <w:uiPriority w:val="99"/>
    <w:semiHidden/>
    <w:unhideWhenUsed/>
    <w:rsid w:val="003A4635"/>
    <w:rPr>
      <w:b/>
      <w:bCs/>
    </w:rPr>
  </w:style>
  <w:style w:type="character" w:customStyle="1" w:styleId="CommentSubjectChar">
    <w:name w:val="Comment Subject Char"/>
    <w:basedOn w:val="CommentTextChar"/>
    <w:link w:val="CommentSubject"/>
    <w:uiPriority w:val="99"/>
    <w:semiHidden/>
    <w:rsid w:val="003A4635"/>
    <w:rPr>
      <w:rFonts w:ascii="Courier New" w:eastAsia="Times New Roman" w:hAnsi="Courier New" w:cs="Times New Roman"/>
      <w:b/>
      <w:bCs/>
      <w:snapToGrid w:val="0"/>
      <w:sz w:val="20"/>
      <w:szCs w:val="20"/>
    </w:rPr>
  </w:style>
  <w:style w:type="character" w:styleId="Hyperlink">
    <w:name w:val="Hyperlink"/>
    <w:basedOn w:val="DefaultParagraphFont"/>
    <w:uiPriority w:val="99"/>
    <w:unhideWhenUsed/>
    <w:rsid w:val="000A60CA"/>
    <w:rPr>
      <w:color w:val="0000FF" w:themeColor="hyperlink"/>
      <w:u w:val="single"/>
    </w:rPr>
  </w:style>
  <w:style w:type="paragraph" w:styleId="Revision">
    <w:name w:val="Revision"/>
    <w:hidden/>
    <w:uiPriority w:val="99"/>
    <w:semiHidden/>
    <w:rsid w:val="00B72322"/>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uiPriority w:val="59"/>
    <w:rsid w:val="004A39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D6A49"/>
    <w:rPr>
      <w:vertAlign w:val="superscript"/>
    </w:rPr>
  </w:style>
  <w:style w:type="paragraph" w:styleId="NormalWeb">
    <w:name w:val="Normal (Web)"/>
    <w:basedOn w:val="Normal"/>
    <w:uiPriority w:val="99"/>
    <w:semiHidden/>
    <w:unhideWhenUsed/>
    <w:rsid w:val="00A90EAB"/>
    <w:pPr>
      <w:widowControl/>
      <w:spacing w:before="100" w:beforeAutospacing="1" w:after="100" w:afterAutospacing="1"/>
    </w:pPr>
    <w:rPr>
      <w:rFonts w:ascii="Times New Roman" w:hAnsi="Times New Roman"/>
      <w:snapToGrid/>
      <w:sz w:val="24"/>
      <w:szCs w:val="24"/>
    </w:rPr>
  </w:style>
  <w:style w:type="paragraph" w:styleId="FootnoteText">
    <w:name w:val="footnote text"/>
    <w:basedOn w:val="Normal"/>
    <w:link w:val="FootnoteTextChar"/>
    <w:uiPriority w:val="99"/>
    <w:semiHidden/>
    <w:unhideWhenUsed/>
    <w:rsid w:val="00D03629"/>
  </w:style>
  <w:style w:type="character" w:customStyle="1" w:styleId="FootnoteTextChar">
    <w:name w:val="Footnote Text Char"/>
    <w:basedOn w:val="DefaultParagraphFont"/>
    <w:link w:val="FootnoteText"/>
    <w:uiPriority w:val="99"/>
    <w:semiHidden/>
    <w:rsid w:val="00D03629"/>
    <w:rPr>
      <w:rFonts w:ascii="Courier New" w:eastAsia="Times New Roman" w:hAnsi="Courier New" w:cs="Times New Roman"/>
      <w:snapToGrid w:val="0"/>
      <w:sz w:val="20"/>
      <w:szCs w:val="20"/>
    </w:rPr>
  </w:style>
  <w:style w:type="character" w:customStyle="1" w:styleId="Heading2Char">
    <w:name w:val="Heading 2 Char"/>
    <w:basedOn w:val="DefaultParagraphFont"/>
    <w:link w:val="Heading2"/>
    <w:uiPriority w:val="9"/>
    <w:semiHidden/>
    <w:rsid w:val="000661DD"/>
    <w:rPr>
      <w:rFonts w:asciiTheme="majorHAnsi" w:eastAsiaTheme="majorEastAsia" w:hAnsiTheme="majorHAnsi" w:cstheme="majorBidi"/>
      <w:snapToGrid w:val="0"/>
      <w:color w:val="365F91" w:themeColor="accent1" w:themeShade="BF"/>
      <w:sz w:val="26"/>
      <w:szCs w:val="26"/>
    </w:rPr>
  </w:style>
  <w:style w:type="character" w:styleId="UnresolvedMention">
    <w:name w:val="Unresolved Mention"/>
    <w:basedOn w:val="DefaultParagraphFont"/>
    <w:uiPriority w:val="99"/>
    <w:semiHidden/>
    <w:unhideWhenUsed/>
    <w:rsid w:val="00422EAB"/>
    <w:rPr>
      <w:color w:val="605E5C"/>
      <w:shd w:val="clear" w:color="auto" w:fill="E1DFDD"/>
    </w:rPr>
  </w:style>
  <w:style w:type="character" w:styleId="HTMLCite">
    <w:name w:val="HTML Cite"/>
    <w:basedOn w:val="DefaultParagraphFont"/>
    <w:uiPriority w:val="99"/>
    <w:semiHidden/>
    <w:unhideWhenUsed/>
    <w:rsid w:val="00422EAB"/>
    <w:rPr>
      <w:i/>
      <w:iCs/>
    </w:rPr>
  </w:style>
  <w:style w:type="character" w:styleId="Emphasis">
    <w:name w:val="Emphasis"/>
    <w:basedOn w:val="DefaultParagraphFont"/>
    <w:uiPriority w:val="20"/>
    <w:qFormat/>
    <w:rsid w:val="00422EAB"/>
    <w:rPr>
      <w:i/>
      <w:iCs/>
    </w:rPr>
  </w:style>
  <w:style w:type="character" w:styleId="FollowedHyperlink">
    <w:name w:val="FollowedHyperlink"/>
    <w:basedOn w:val="DefaultParagraphFont"/>
    <w:uiPriority w:val="99"/>
    <w:semiHidden/>
    <w:unhideWhenUsed/>
    <w:rsid w:val="00A64894"/>
    <w:rPr>
      <w:color w:val="800080" w:themeColor="followedHyperlink"/>
      <w:u w:val="single"/>
    </w:rPr>
  </w:style>
  <w:style w:type="character" w:customStyle="1" w:styleId="cf01">
    <w:name w:val="cf01"/>
    <w:basedOn w:val="DefaultParagraphFont"/>
    <w:rsid w:val="00375A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whitehouse.gov%2Fwp-content%2Fuploads%2F2023%2F01%2FSOGI-Best-Practices.pdf&amp;data=05%7C02%7Ctomakie.washington%40acl.hhs.gov%7Ccbc9256c5d874a226bf908dcaa6dd4ea%7Cd58addea50534a808499ba4d944910df%7C0%7C0%7C638572636375334501%7CUnknown%7CTWFpbGZsb3d8eyJWIjoiMC4wLjAwMDAiLCJQIjoiV2luMzIiLCJBTiI6Ik1haWwiLCJXVCI6Mn0%3D%7C0%7C%7C%7C&amp;sdata=2ZR1HcmCKeL7UdOQCYCBVknb0zB058QUtTVU9li20gY%3D&amp;reserved=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nap.nationalacademies.org/catalog/26424/measuring-sex-gender-identity-and-sexual-orient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2024/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A18F6044F3B94C84BEF1A7024C8BEB" ma:contentTypeVersion="6" ma:contentTypeDescription="Create a new document." ma:contentTypeScope="" ma:versionID="b077b7440b9897388f2c137995bcbaa8">
  <xsd:schema xmlns:xsd="http://www.w3.org/2001/XMLSchema" xmlns:xs="http://www.w3.org/2001/XMLSchema" xmlns:p="http://schemas.microsoft.com/office/2006/metadata/properties" xmlns:ns2="24215dac-a169-41c6-9eb0-112dff6bd5ef" xmlns:ns3="4c901698-b8ff-4f01-8c25-867c41d13adb" targetNamespace="http://schemas.microsoft.com/office/2006/metadata/properties" ma:root="true" ma:fieldsID="25de9536c4ada4fedfc49ad62f86df51" ns2:_="" ns3:_="">
    <xsd:import namespace="24215dac-a169-41c6-9eb0-112dff6bd5ef"/>
    <xsd:import namespace="4c901698-b8ff-4f01-8c25-867c41d13a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15dac-a169-41c6-9eb0-112dff6bd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901698-b8ff-4f01-8c25-867c41d13a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39A35-9714-42E1-99BF-9D0EF7C337F0}">
  <ds:schemaRefs>
    <ds:schemaRef ds:uri="http://schemas.openxmlformats.org/officeDocument/2006/bibliography"/>
  </ds:schemaRefs>
</ds:datastoreItem>
</file>

<file path=customXml/itemProps2.xml><?xml version="1.0" encoding="utf-8"?>
<ds:datastoreItem xmlns:ds="http://schemas.openxmlformats.org/officeDocument/2006/customXml" ds:itemID="{40EC23DC-FD1C-46B3-AB88-53D724E5E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15dac-a169-41c6-9eb0-112dff6bd5ef"/>
    <ds:schemaRef ds:uri="4c901698-b8ff-4f01-8c25-867c41d13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68183-5400-4426-A4C6-38B7ED9C3B55}">
  <ds:schemaRefs>
    <ds:schemaRef ds:uri="http://schemas.microsoft.com/sharepoint/v3/contenttype/forms"/>
  </ds:schemaRefs>
</ds:datastoreItem>
</file>

<file path=customXml/itemProps4.xml><?xml version="1.0" encoding="utf-8"?>
<ds:datastoreItem xmlns:ds="http://schemas.openxmlformats.org/officeDocument/2006/customXml" ds:itemID="{46F1B564-6155-44A0-AEA7-AAEF2AC704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Washington, Tomakie (ACL)</cp:lastModifiedBy>
  <cp:revision>24</cp:revision>
  <cp:lastPrinted>2016-09-01T14:34:00Z</cp:lastPrinted>
  <dcterms:created xsi:type="dcterms:W3CDTF">2024-09-12T19:22:00Z</dcterms:created>
  <dcterms:modified xsi:type="dcterms:W3CDTF">2024-10-18T19:35:00Z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0x0101002CA18F6044F3B94C84BEF1A7024C8BEB</vt:lpwstr>
  </property>
</Properties>
</file>