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E05C8" w:rsidP="00DE05C8" w14:paraId="23635D0B" w14:textId="77777777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DE05C8" w:rsidRPr="00DE05C8" w:rsidP="00DE05C8" w14:paraId="60170CFE" w14:textId="10560CCE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DE05C8">
        <w:rPr>
          <w:rFonts w:ascii="Times New Roman" w:hAnsi="Times New Roman"/>
          <w:sz w:val="24"/>
          <w:szCs w:val="24"/>
        </w:rPr>
        <w:t xml:space="preserve">60-day notice published in the Federal Register on December 5, 2023, Vol 88, Number 232, pp. 84335-84336. During the 60-day public comment period, ACL received two comments related to the ACL Program Performance Report Template. A summary of the comments and the ACL response is provided below: </w:t>
      </w:r>
    </w:p>
    <w:p w:rsidR="00DE05C8" w:rsidP="00DE05C8" w14:paraId="19240307" w14:textId="77777777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</w:p>
    <w:p w:rsidR="00DE05C8" w:rsidP="00DE05C8" w14:paraId="4DB55852" w14:textId="35F5289E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#1:  Suggest including more specific instructions for completing the elements in the proposed ACL Program Performance Report Template: </w:t>
      </w:r>
    </w:p>
    <w:p w:rsidR="00DE05C8" w:rsidP="00DE05C8" w14:paraId="410A2465" w14:textId="77777777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ACL response: While ACL appreciates this suggestion, the instructions for completing the elements must be somewhat broad </w:t>
      </w:r>
      <w:r>
        <w:rPr>
          <w:rFonts w:ascii="Times New Roman" w:hAnsi="Times New Roman"/>
          <w:sz w:val="24"/>
          <w:szCs w:val="24"/>
        </w:rPr>
        <w:t>in order to</w:t>
      </w:r>
      <w:r>
        <w:rPr>
          <w:rFonts w:ascii="Times New Roman" w:hAnsi="Times New Roman"/>
          <w:sz w:val="24"/>
          <w:szCs w:val="24"/>
        </w:rPr>
        <w:t xml:space="preserve"> account for differences in the goals, objectives, and activities across the programs.</w:t>
      </w:r>
    </w:p>
    <w:p w:rsidR="00DE05C8" w:rsidP="00DE05C8" w14:paraId="3D231208" w14:textId="77777777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#2: Request confirmation that the grantee will be responsible for submitting a comprehensive program performance report each reporting period to ACL (as opposed to having grantees’ subcontractors each submit individual reports to ACL). </w:t>
      </w:r>
    </w:p>
    <w:p w:rsidR="00DE05C8" w:rsidP="00DE05C8" w14:paraId="0577807F" w14:textId="77777777">
      <w:pPr>
        <w:widowControl/>
        <w:spacing w:after="12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ACL response: Although grantees could work with their subcontractors to gather information to complete their program performance report, grantees would be responsible for submitting a comprehensive program performance report for the specified reporting period.</w:t>
      </w:r>
    </w:p>
    <w:p w:rsidR="00255E9B" w14:paraId="091713B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C8"/>
    <w:rsid w:val="000E0972"/>
    <w:rsid w:val="00255E9B"/>
    <w:rsid w:val="00DB2AD5"/>
    <w:rsid w:val="00DE05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35151B"/>
  <w15:chartTrackingRefBased/>
  <w15:docId w15:val="{4E360A87-DC8F-4DBD-A38F-21D4728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5C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Tomakie (ACL)</dc:creator>
  <cp:lastModifiedBy>Washington, Tomakie (ACL)</cp:lastModifiedBy>
  <cp:revision>1</cp:revision>
  <dcterms:created xsi:type="dcterms:W3CDTF">2024-10-18T19:46:00Z</dcterms:created>
  <dcterms:modified xsi:type="dcterms:W3CDTF">2024-10-18T19:48:00Z</dcterms:modified>
</cp:coreProperties>
</file>