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56F19" w14:paraId="3C0DE3C1" w14:textId="77777777">
      <w:pPr>
        <w:tabs>
          <w:tab w:val="left" w:pos="360"/>
          <w:tab w:val="left" w:pos="720"/>
        </w:tabs>
        <w:ind w:left="360" w:hanging="360"/>
        <w:jc w:val="center"/>
        <w:rPr>
          <w:rFonts w:ascii="Arial" w:hAnsi="Arial" w:cs="Arial"/>
          <w:b/>
          <w:bCs/>
          <w:caps/>
          <w:sz w:val="26"/>
          <w:szCs w:val="26"/>
        </w:rPr>
      </w:pPr>
      <w:r w:rsidRPr="00D965D4">
        <w:rPr>
          <w:rFonts w:ascii="Arial" w:hAnsi="Arial" w:cs="Arial"/>
          <w:b/>
          <w:bCs/>
          <w:caps/>
          <w:sz w:val="26"/>
          <w:szCs w:val="26"/>
        </w:rPr>
        <w:t>Supporting Statement B</w:t>
      </w:r>
    </w:p>
    <w:p w:rsidR="00D965D4" w:rsidRPr="00D965D4" w:rsidP="00056F19" w14:paraId="7BE7480A" w14:textId="77777777">
      <w:pPr>
        <w:tabs>
          <w:tab w:val="left" w:pos="360"/>
          <w:tab w:val="left" w:pos="720"/>
        </w:tabs>
        <w:ind w:left="360" w:hanging="360"/>
        <w:jc w:val="center"/>
        <w:rPr>
          <w:rFonts w:ascii="Arial" w:hAnsi="Arial" w:cs="Arial"/>
          <w:b/>
          <w:bCs/>
          <w:caps/>
          <w:sz w:val="26"/>
          <w:szCs w:val="26"/>
        </w:rPr>
      </w:pPr>
      <w:r>
        <w:rPr>
          <w:rFonts w:ascii="Arial" w:hAnsi="Arial" w:cs="Arial"/>
          <w:b/>
          <w:bCs/>
          <w:caps/>
          <w:sz w:val="26"/>
          <w:szCs w:val="26"/>
        </w:rPr>
        <w:t>for paperwork reduction act submission</w:t>
      </w:r>
    </w:p>
    <w:p w:rsidR="00D965D4" w:rsidRPr="00D551CC" w:rsidP="00056F19" w14:paraId="72C39B2B" w14:textId="77777777">
      <w:pPr>
        <w:tabs>
          <w:tab w:val="left" w:pos="360"/>
          <w:tab w:val="left" w:pos="720"/>
        </w:tabs>
        <w:ind w:left="360" w:hanging="360"/>
        <w:jc w:val="center"/>
        <w:rPr>
          <w:rFonts w:ascii="Arial" w:hAnsi="Arial" w:cs="Arial"/>
          <w:b/>
          <w:bCs/>
          <w:sz w:val="26"/>
          <w:szCs w:val="26"/>
        </w:rPr>
      </w:pPr>
    </w:p>
    <w:p w:rsidR="00D551CC" w:rsidRPr="00B50214" w:rsidP="00056F19" w14:paraId="5524C46B" w14:textId="77777777">
      <w:pPr>
        <w:tabs>
          <w:tab w:val="left" w:pos="360"/>
          <w:tab w:val="left" w:pos="720"/>
        </w:tabs>
        <w:jc w:val="center"/>
        <w:rPr>
          <w:rFonts w:ascii="Arial" w:hAnsi="Arial" w:cs="Arial"/>
          <w:b/>
          <w:bCs/>
          <w:sz w:val="26"/>
          <w:szCs w:val="26"/>
        </w:rPr>
      </w:pPr>
      <w:r>
        <w:rPr>
          <w:rFonts w:ascii="Arial" w:hAnsi="Arial" w:cs="Arial"/>
          <w:b/>
          <w:bCs/>
          <w:sz w:val="26"/>
          <w:szCs w:val="26"/>
          <w:highlight w:val="lightGray"/>
        </w:rPr>
        <w:fldChar w:fldCharType="begin">
          <w:ffData>
            <w:name w:val="TITLE"/>
            <w:enabled/>
            <w:calcOnExit w:val="0"/>
            <w:helpText w:type="text" w:val="Enter Title of Collection"/>
            <w:statusText w:type="text" w:val="Enter Title of Collection"/>
            <w:textInput/>
          </w:ffData>
        </w:fldChar>
      </w:r>
      <w:bookmarkStart w:id="0" w:name="TITLE"/>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bookmarkEnd w:id="0"/>
    </w:p>
    <w:p w:rsidR="008126AE" w:rsidRPr="00D551CC" w:rsidP="00056F19" w14:paraId="7E902A30" w14:textId="77777777">
      <w:pPr>
        <w:tabs>
          <w:tab w:val="left" w:pos="360"/>
          <w:tab w:val="left" w:pos="720"/>
        </w:tabs>
        <w:ind w:left="360" w:hanging="360"/>
        <w:jc w:val="center"/>
        <w:rPr>
          <w:rFonts w:ascii="Arial" w:hAnsi="Arial" w:cs="Arial"/>
          <w:b/>
          <w:bCs/>
          <w:sz w:val="22"/>
          <w:szCs w:val="22"/>
        </w:rPr>
      </w:pPr>
      <w:r w:rsidRPr="00B50214">
        <w:rPr>
          <w:rFonts w:ascii="Arial" w:hAnsi="Arial" w:cs="Arial"/>
          <w:b/>
          <w:bCs/>
          <w:sz w:val="26"/>
          <w:szCs w:val="26"/>
        </w:rPr>
        <w:t>OMB Control Number 10</w:t>
      </w:r>
      <w:r>
        <w:rPr>
          <w:rFonts w:ascii="Arial" w:hAnsi="Arial" w:cs="Arial"/>
          <w:b/>
          <w:bCs/>
          <w:sz w:val="26"/>
          <w:szCs w:val="26"/>
          <w:highlight w:val="lightGray"/>
        </w:rPr>
        <w:fldChar w:fldCharType="begin">
          <w:ffData>
            <w:name w:val="Text2"/>
            <w:enabled/>
            <w:calcOnExit w:val="0"/>
            <w:textInput>
              <w:type w:val="number"/>
              <w:maxLength w:val="2"/>
            </w:textInput>
          </w:ffData>
        </w:fldChar>
      </w:r>
      <w:bookmarkStart w:id="1" w:name="Text2"/>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bookmarkEnd w:id="1"/>
      <w:r w:rsidRPr="00B50214">
        <w:rPr>
          <w:rFonts w:ascii="Arial" w:hAnsi="Arial" w:cs="Arial"/>
          <w:b/>
          <w:bCs/>
          <w:sz w:val="26"/>
          <w:szCs w:val="26"/>
        </w:rPr>
        <w:t>-</w:t>
      </w:r>
      <w:r>
        <w:rPr>
          <w:rFonts w:ascii="Arial" w:hAnsi="Arial" w:cs="Arial"/>
          <w:b/>
          <w:bCs/>
          <w:sz w:val="26"/>
          <w:szCs w:val="26"/>
          <w:highlight w:val="lightGray"/>
        </w:rPr>
        <w:fldChar w:fldCharType="begin">
          <w:ffData>
            <w:name w:val=""/>
            <w:enabled/>
            <w:calcOnExit w:val="0"/>
            <w:textInput>
              <w:type w:val="number"/>
              <w:maxLength w:val="4"/>
            </w:textInput>
          </w:ffData>
        </w:fldChar>
      </w:r>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p>
    <w:p w:rsidR="008126AE" w:rsidRPr="00D551CC" w:rsidP="00056F19" w14:paraId="7BAF7429" w14:textId="77777777">
      <w:pPr>
        <w:tabs>
          <w:tab w:val="left" w:pos="360"/>
          <w:tab w:val="left" w:pos="720"/>
        </w:tabs>
        <w:ind w:left="360" w:hanging="360"/>
        <w:rPr>
          <w:rFonts w:ascii="Arial" w:hAnsi="Arial" w:cs="Arial"/>
          <w:b/>
          <w:bCs/>
          <w:sz w:val="22"/>
          <w:szCs w:val="22"/>
        </w:rPr>
      </w:pPr>
    </w:p>
    <w:p w:rsidR="008126AE" w:rsidRPr="00D551CC" w:rsidP="00056F19" w14:paraId="15084B7F" w14:textId="77777777">
      <w:pPr>
        <w:tabs>
          <w:tab w:val="left" w:pos="360"/>
          <w:tab w:val="left" w:pos="720"/>
        </w:tabs>
        <w:ind w:left="360" w:hanging="360"/>
        <w:rPr>
          <w:rFonts w:ascii="Arial" w:hAnsi="Arial" w:cs="Arial"/>
          <w:b/>
          <w:bCs/>
          <w:sz w:val="22"/>
          <w:szCs w:val="22"/>
        </w:rPr>
      </w:pPr>
    </w:p>
    <w:p w:rsidR="008126AE" w:rsidRPr="00D551CC" w:rsidP="00056F19" w14:paraId="7A4511B0"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8126AE" w:rsidRPr="00D551CC" w:rsidP="00056F19" w14:paraId="46C482E0" w14:textId="77777777">
      <w:pPr>
        <w:tabs>
          <w:tab w:val="left" w:pos="360"/>
          <w:tab w:val="left" w:pos="720"/>
        </w:tabs>
        <w:rPr>
          <w:rFonts w:ascii="Arial" w:hAnsi="Arial" w:cs="Arial"/>
          <w:sz w:val="22"/>
          <w:szCs w:val="22"/>
        </w:rPr>
      </w:pPr>
    </w:p>
    <w:p w:rsidR="008126AE" w:rsidRPr="00D551CC" w:rsidP="00056F19" w14:paraId="7BDDA19D"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D551CC" w:rsidR="000C30DF">
        <w:rPr>
          <w:rFonts w:ascii="Arial" w:hAnsi="Arial" w:cs="Arial"/>
          <w:sz w:val="22"/>
          <w:szCs w:val="22"/>
        </w:rPr>
        <w:t>,</w:t>
      </w:r>
      <w:r w:rsidRPr="00D551CC">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D551CC" w:rsidP="00056F19" w14:paraId="008E06DD" w14:textId="77777777">
      <w:pPr>
        <w:tabs>
          <w:tab w:val="left" w:pos="360"/>
          <w:tab w:val="left" w:pos="720"/>
        </w:tabs>
        <w:rPr>
          <w:rFonts w:ascii="Arial" w:hAnsi="Arial" w:cs="Arial"/>
          <w:sz w:val="22"/>
          <w:szCs w:val="22"/>
        </w:rPr>
      </w:pPr>
    </w:p>
    <w:p w:rsidR="008126AE" w:rsidRPr="00D551CC" w:rsidP="00F11910" w14:paraId="63AA0574" w14:textId="77777777">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D551CC">
        <w:rPr>
          <w:rFonts w:ascii="Arial" w:hAnsi="Arial" w:cs="Arial"/>
          <w:b/>
          <w:sz w:val="22"/>
          <w:szCs w:val="22"/>
        </w:rPr>
        <w:t>collection as a whole</w:t>
      </w:r>
      <w:r w:rsidRPr="00D551CC">
        <w:rPr>
          <w:rFonts w:ascii="Arial" w:hAnsi="Arial" w:cs="Arial"/>
          <w:b/>
          <w:sz w:val="22"/>
          <w:szCs w:val="22"/>
        </w:rPr>
        <w:t>.  If the collection had been conducted previously, include the actual response rate achieved during the last collection.</w:t>
      </w:r>
    </w:p>
    <w:p w:rsidR="00A96E86" w:rsidRPr="00A96E86" w:rsidP="00070175" w14:paraId="22209108" w14:textId="77777777">
      <w:pPr>
        <w:tabs>
          <w:tab w:val="left" w:pos="-1080"/>
          <w:tab w:val="left" w:pos="360"/>
          <w:tab w:val="left" w:pos="720"/>
          <w:tab w:val="left" w:pos="1080"/>
        </w:tabs>
        <w:rPr>
          <w:rFonts w:ascii="Arial" w:hAnsi="Arial" w:cs="Arial"/>
          <w:sz w:val="22"/>
          <w:szCs w:val="22"/>
        </w:rPr>
      </w:pPr>
    </w:p>
    <w:p w:rsidR="00A96E86" w:rsidRPr="00A96E86" w:rsidP="00070175" w14:paraId="0A266C03" w14:textId="0250446B">
      <w:pPr>
        <w:tabs>
          <w:tab w:val="left" w:pos="-1080"/>
          <w:tab w:val="left" w:pos="360"/>
          <w:tab w:val="left" w:pos="720"/>
          <w:tab w:val="left" w:pos="1080"/>
        </w:tabs>
        <w:rPr>
          <w:rFonts w:ascii="Arial" w:hAnsi="Arial" w:cs="Arial"/>
          <w:sz w:val="22"/>
          <w:szCs w:val="22"/>
        </w:rPr>
      </w:pPr>
      <w:r>
        <w:rPr>
          <w:rFonts w:ascii="Arial" w:hAnsi="Arial" w:cs="Arial"/>
          <w:sz w:val="22"/>
          <w:szCs w:val="22"/>
        </w:rPr>
        <w:t>Due to the very low population density of central Idaho (&lt; 1 household per square mile), w</w:t>
      </w:r>
      <w:r w:rsidR="001C3EA0">
        <w:rPr>
          <w:rFonts w:ascii="Arial" w:hAnsi="Arial" w:cs="Arial"/>
          <w:sz w:val="22"/>
          <w:szCs w:val="22"/>
        </w:rPr>
        <w:t xml:space="preserve">e will use an </w:t>
      </w:r>
      <w:r w:rsidR="00270FBB">
        <w:rPr>
          <w:rFonts w:ascii="Arial" w:hAnsi="Arial" w:cs="Arial"/>
          <w:sz w:val="22"/>
          <w:szCs w:val="22"/>
        </w:rPr>
        <w:t>event-based</w:t>
      </w:r>
      <w:r w:rsidR="001C3EA0">
        <w:rPr>
          <w:rFonts w:ascii="Arial" w:hAnsi="Arial" w:cs="Arial"/>
          <w:sz w:val="22"/>
          <w:szCs w:val="22"/>
        </w:rPr>
        <w:t xml:space="preserve"> sampling method to conduct this survey</w:t>
      </w:r>
      <w:r>
        <w:rPr>
          <w:rFonts w:ascii="Arial" w:hAnsi="Arial" w:cs="Arial"/>
          <w:sz w:val="22"/>
          <w:szCs w:val="22"/>
        </w:rPr>
        <w:t>,</w:t>
      </w:r>
      <w:r w:rsidR="00270FBB">
        <w:rPr>
          <w:rFonts w:ascii="Arial" w:hAnsi="Arial" w:cs="Arial"/>
          <w:sz w:val="22"/>
          <w:szCs w:val="22"/>
        </w:rPr>
        <w:t xml:space="preserve"> targeting </w:t>
      </w:r>
      <w:r w:rsidR="00070175">
        <w:rPr>
          <w:rFonts w:ascii="Arial" w:hAnsi="Arial" w:cs="Arial"/>
          <w:sz w:val="22"/>
          <w:szCs w:val="22"/>
        </w:rPr>
        <w:t xml:space="preserve">county fairs and community events in four </w:t>
      </w:r>
      <w:r w:rsidR="00270FBB">
        <w:rPr>
          <w:rFonts w:ascii="Arial" w:hAnsi="Arial" w:cs="Arial"/>
          <w:sz w:val="22"/>
          <w:szCs w:val="22"/>
        </w:rPr>
        <w:t xml:space="preserve">specific </w:t>
      </w:r>
      <w:r w:rsidR="00C90C76">
        <w:rPr>
          <w:rFonts w:ascii="Arial" w:hAnsi="Arial" w:cs="Arial"/>
          <w:sz w:val="22"/>
          <w:szCs w:val="22"/>
        </w:rPr>
        <w:t>counties</w:t>
      </w:r>
      <w:r w:rsidR="00070175">
        <w:rPr>
          <w:rFonts w:ascii="Arial" w:hAnsi="Arial" w:cs="Arial"/>
          <w:sz w:val="22"/>
          <w:szCs w:val="22"/>
        </w:rPr>
        <w:t xml:space="preserve"> in Central Idaho</w:t>
      </w:r>
      <w:r w:rsidR="001C3EA0">
        <w:rPr>
          <w:rFonts w:ascii="Arial" w:hAnsi="Arial" w:cs="Arial"/>
          <w:sz w:val="22"/>
          <w:szCs w:val="22"/>
        </w:rPr>
        <w:t xml:space="preserve">. </w:t>
      </w:r>
      <w:r w:rsidR="000A14DF">
        <w:rPr>
          <w:rFonts w:ascii="Arial" w:hAnsi="Arial" w:cs="Arial"/>
          <w:sz w:val="22"/>
          <w:szCs w:val="22"/>
        </w:rPr>
        <w:t xml:space="preserve">County fairs have been illustrated to serve as useful sampling sites for rural residents </w:t>
      </w:r>
      <w:r w:rsidR="00A24B11">
        <w:rPr>
          <w:rFonts w:ascii="Arial" w:hAnsi="Arial" w:cs="Arial"/>
          <w:sz w:val="22"/>
          <w:szCs w:val="22"/>
        </w:rPr>
        <w:t>increasing sampling efficiencies while simultaneously targeting the desired population (</w:t>
      </w:r>
      <w:r w:rsidRPr="00A24B11" w:rsidR="00A24B11">
        <w:rPr>
          <w:rFonts w:ascii="Arial" w:hAnsi="Arial" w:cs="Arial"/>
          <w:sz w:val="22"/>
          <w:szCs w:val="22"/>
        </w:rPr>
        <w:t xml:space="preserve">Rose </w:t>
      </w:r>
      <w:r w:rsidR="00A24B11">
        <w:rPr>
          <w:rFonts w:ascii="Arial" w:hAnsi="Arial" w:cs="Arial"/>
          <w:sz w:val="22"/>
          <w:szCs w:val="22"/>
        </w:rPr>
        <w:t>&amp;</w:t>
      </w:r>
      <w:r w:rsidRPr="00A24B11" w:rsidR="00A24B11">
        <w:rPr>
          <w:rFonts w:ascii="Arial" w:hAnsi="Arial" w:cs="Arial"/>
          <w:sz w:val="22"/>
          <w:szCs w:val="22"/>
        </w:rPr>
        <w:t xml:space="preserve"> Lindberg,</w:t>
      </w:r>
      <w:r w:rsidR="00A24B11">
        <w:rPr>
          <w:rFonts w:ascii="Arial" w:hAnsi="Arial" w:cs="Arial"/>
          <w:sz w:val="22"/>
          <w:szCs w:val="22"/>
        </w:rPr>
        <w:t xml:space="preserve"> 2016). </w:t>
      </w:r>
      <w:r w:rsidRPr="00A96E86">
        <w:rPr>
          <w:rFonts w:ascii="Arial" w:hAnsi="Arial" w:cs="Arial"/>
          <w:sz w:val="22"/>
          <w:szCs w:val="22"/>
        </w:rPr>
        <w:t xml:space="preserve">For the survey, all </w:t>
      </w:r>
      <w:r w:rsidR="00C81443">
        <w:rPr>
          <w:rFonts w:ascii="Arial" w:hAnsi="Arial" w:cs="Arial"/>
          <w:sz w:val="22"/>
          <w:szCs w:val="22"/>
        </w:rPr>
        <w:t>residents of</w:t>
      </w:r>
      <w:r w:rsidRPr="00A96E86">
        <w:rPr>
          <w:rFonts w:ascii="Arial" w:hAnsi="Arial" w:cs="Arial"/>
          <w:sz w:val="22"/>
          <w:szCs w:val="22"/>
        </w:rPr>
        <w:t xml:space="preserve"> </w:t>
      </w:r>
      <w:r w:rsidR="00070175">
        <w:rPr>
          <w:rFonts w:ascii="Arial" w:hAnsi="Arial" w:cs="Arial"/>
          <w:sz w:val="22"/>
          <w:szCs w:val="22"/>
        </w:rPr>
        <w:t xml:space="preserve">these counties with a </w:t>
      </w:r>
      <w:r w:rsidRPr="00A96E86">
        <w:rPr>
          <w:rFonts w:ascii="Arial" w:hAnsi="Arial" w:cs="Arial"/>
          <w:sz w:val="22"/>
          <w:szCs w:val="22"/>
        </w:rPr>
        <w:t xml:space="preserve">valid </w:t>
      </w:r>
      <w:r w:rsidR="00070175">
        <w:rPr>
          <w:rFonts w:ascii="Arial" w:hAnsi="Arial" w:cs="Arial"/>
          <w:sz w:val="22"/>
          <w:szCs w:val="22"/>
        </w:rPr>
        <w:t xml:space="preserve">zip code attending a county event </w:t>
      </w:r>
      <w:r w:rsidR="000A14DF">
        <w:rPr>
          <w:rFonts w:ascii="Arial" w:hAnsi="Arial" w:cs="Arial"/>
          <w:sz w:val="22"/>
          <w:szCs w:val="22"/>
        </w:rPr>
        <w:t>are eligible.</w:t>
      </w:r>
      <w:r w:rsidR="009F6C6B">
        <w:rPr>
          <w:rFonts w:ascii="Arial" w:hAnsi="Arial" w:cs="Arial"/>
          <w:sz w:val="22"/>
          <w:szCs w:val="22"/>
        </w:rPr>
        <w:t xml:space="preserve"> Additionally, </w:t>
      </w:r>
      <w:r w:rsidR="00BB2F4E">
        <w:rPr>
          <w:rFonts w:ascii="Arial" w:hAnsi="Arial" w:cs="Arial"/>
          <w:sz w:val="22"/>
          <w:szCs w:val="22"/>
        </w:rPr>
        <w:t xml:space="preserve">visitors from outside of the primary respondent universe not residing within those counties are a </w:t>
      </w:r>
      <w:r w:rsidR="00492A77">
        <w:rPr>
          <w:rFonts w:ascii="Arial" w:hAnsi="Arial" w:cs="Arial"/>
          <w:sz w:val="22"/>
          <w:szCs w:val="22"/>
        </w:rPr>
        <w:t xml:space="preserve">secondary universe that can also opt-into survey participation. </w:t>
      </w:r>
      <w:r w:rsidR="000A14DF">
        <w:rPr>
          <w:rFonts w:ascii="Arial" w:hAnsi="Arial" w:cs="Arial"/>
          <w:sz w:val="22"/>
          <w:szCs w:val="22"/>
        </w:rPr>
        <w:t xml:space="preserve"> </w:t>
      </w:r>
    </w:p>
    <w:p w:rsidR="00A96E86" w:rsidRPr="00A96E86" w:rsidP="00A96E86" w14:paraId="2605A893" w14:textId="77777777">
      <w:pPr>
        <w:rPr>
          <w:rFonts w:ascii="Arial" w:hAnsi="Arial" w:cs="Arial"/>
          <w:b/>
          <w:i/>
          <w:color w:val="C00000"/>
          <w:sz w:val="22"/>
          <w:szCs w:val="22"/>
        </w:rPr>
      </w:pPr>
    </w:p>
    <w:p w:rsidR="00A96E86" w:rsidRPr="00A96E86" w:rsidP="00070175" w14:paraId="4220E905" w14:textId="0AD2EB82">
      <w:pPr>
        <w:rPr>
          <w:rFonts w:ascii="Arial" w:hAnsi="Arial" w:cs="Arial"/>
          <w:b/>
          <w:i/>
          <w:sz w:val="22"/>
          <w:szCs w:val="22"/>
        </w:rPr>
      </w:pPr>
      <w:r w:rsidRPr="00A96E86">
        <w:rPr>
          <w:rFonts w:ascii="Arial" w:hAnsi="Arial" w:cs="Arial"/>
          <w:sz w:val="22"/>
          <w:szCs w:val="22"/>
        </w:rPr>
        <w:t xml:space="preserve">The </w:t>
      </w:r>
      <w:r w:rsidR="00492A77">
        <w:rPr>
          <w:rFonts w:ascii="Arial" w:hAnsi="Arial" w:cs="Arial"/>
          <w:sz w:val="22"/>
          <w:szCs w:val="22"/>
        </w:rPr>
        <w:t xml:space="preserve">primary respondent </w:t>
      </w:r>
      <w:r w:rsidRPr="00A96E86">
        <w:rPr>
          <w:rFonts w:ascii="Arial" w:hAnsi="Arial" w:cs="Arial"/>
          <w:sz w:val="22"/>
          <w:szCs w:val="22"/>
        </w:rPr>
        <w:t xml:space="preserve">universe for this collection will include </w:t>
      </w:r>
      <w:r w:rsidR="001D53EB">
        <w:rPr>
          <w:rFonts w:ascii="Arial" w:hAnsi="Arial" w:cs="Arial"/>
          <w:sz w:val="22"/>
          <w:szCs w:val="22"/>
        </w:rPr>
        <w:t xml:space="preserve">residents </w:t>
      </w:r>
      <w:r w:rsidR="00492A77">
        <w:rPr>
          <w:rFonts w:ascii="Arial" w:hAnsi="Arial" w:cs="Arial"/>
          <w:sz w:val="22"/>
          <w:szCs w:val="22"/>
        </w:rPr>
        <w:t xml:space="preserve">of households </w:t>
      </w:r>
      <w:r w:rsidR="002D3237">
        <w:rPr>
          <w:rFonts w:ascii="Arial" w:hAnsi="Arial" w:cs="Arial"/>
          <w:sz w:val="22"/>
          <w:szCs w:val="22"/>
        </w:rPr>
        <w:t>in</w:t>
      </w:r>
      <w:r w:rsidR="00164ADC">
        <w:rPr>
          <w:rFonts w:ascii="Arial" w:hAnsi="Arial" w:cs="Arial"/>
          <w:sz w:val="22"/>
          <w:szCs w:val="22"/>
        </w:rPr>
        <w:t xml:space="preserve"> counties </w:t>
      </w:r>
      <w:r w:rsidR="002D3237">
        <w:rPr>
          <w:rFonts w:ascii="Arial" w:hAnsi="Arial" w:cs="Arial"/>
          <w:sz w:val="22"/>
          <w:szCs w:val="22"/>
        </w:rPr>
        <w:t>within or adjacent to the Salmon River Bain (</w:t>
      </w:r>
      <w:r w:rsidRPr="002D3237" w:rsidR="002D3237">
        <w:rPr>
          <w:rFonts w:ascii="Arial" w:hAnsi="Arial" w:cs="Arial"/>
          <w:sz w:val="22"/>
          <w:szCs w:val="22"/>
        </w:rPr>
        <w:t xml:space="preserve">n = </w:t>
      </w:r>
      <w:r w:rsidRPr="002D3237" w:rsidR="002D3237">
        <w:rPr>
          <w:rFonts w:ascii="Arial" w:hAnsi="Arial" w:cs="Arial"/>
          <w:bCs/>
          <w:sz w:val="22"/>
          <w:szCs w:val="22"/>
        </w:rPr>
        <w:t>15,545</w:t>
      </w:r>
      <w:r w:rsidR="001D53EB">
        <w:rPr>
          <w:rFonts w:ascii="Arial" w:hAnsi="Arial" w:cs="Arial"/>
          <w:bCs/>
          <w:sz w:val="22"/>
          <w:szCs w:val="22"/>
        </w:rPr>
        <w:t xml:space="preserve"> households</w:t>
      </w:r>
      <w:r w:rsidR="002D3237">
        <w:rPr>
          <w:rFonts w:ascii="Arial" w:hAnsi="Arial" w:cs="Arial"/>
          <w:bCs/>
          <w:szCs w:val="22"/>
        </w:rPr>
        <w:t>)</w:t>
      </w:r>
      <w:r w:rsidRPr="00A96E86">
        <w:rPr>
          <w:rFonts w:ascii="Arial" w:hAnsi="Arial" w:cs="Arial"/>
          <w:sz w:val="22"/>
          <w:szCs w:val="22"/>
        </w:rPr>
        <w:t xml:space="preserve">. </w:t>
      </w:r>
      <w:r w:rsidR="001D53EB">
        <w:rPr>
          <w:rFonts w:ascii="Arial" w:hAnsi="Arial" w:cs="Arial"/>
          <w:sz w:val="22"/>
          <w:szCs w:val="22"/>
        </w:rPr>
        <w:t xml:space="preserve">Counties include Custer, Lemhi, Idaho, and Valley. Only one member per household will have the opportunity to </w:t>
      </w:r>
      <w:r w:rsidR="000A14DF">
        <w:rPr>
          <w:rFonts w:ascii="Arial" w:hAnsi="Arial" w:cs="Arial"/>
          <w:sz w:val="22"/>
          <w:szCs w:val="22"/>
        </w:rPr>
        <w:t>complete the survey</w:t>
      </w:r>
      <w:r w:rsidR="001D53EB">
        <w:rPr>
          <w:rFonts w:ascii="Arial" w:hAnsi="Arial" w:cs="Arial"/>
          <w:sz w:val="22"/>
          <w:szCs w:val="22"/>
        </w:rPr>
        <w:t xml:space="preserve"> to avoid the potential for nested data. </w:t>
      </w:r>
      <w:r w:rsidR="00492A77">
        <w:rPr>
          <w:rFonts w:ascii="Arial" w:hAnsi="Arial" w:cs="Arial"/>
          <w:sz w:val="22"/>
          <w:szCs w:val="22"/>
        </w:rPr>
        <w:t xml:space="preserve">Similarly, </w:t>
      </w:r>
      <w:r w:rsidR="0092559A">
        <w:rPr>
          <w:rFonts w:ascii="Arial" w:hAnsi="Arial" w:cs="Arial"/>
          <w:sz w:val="22"/>
          <w:szCs w:val="22"/>
        </w:rPr>
        <w:t xml:space="preserve">only one member per household </w:t>
      </w:r>
      <w:r w:rsidR="006D21CF">
        <w:rPr>
          <w:rFonts w:ascii="Arial" w:hAnsi="Arial" w:cs="Arial"/>
          <w:sz w:val="22"/>
          <w:szCs w:val="22"/>
        </w:rPr>
        <w:t xml:space="preserve">outside the Salmon Rive Basin </w:t>
      </w:r>
      <w:r w:rsidR="0092559A">
        <w:rPr>
          <w:rFonts w:ascii="Arial" w:hAnsi="Arial" w:cs="Arial"/>
          <w:sz w:val="22"/>
          <w:szCs w:val="22"/>
        </w:rPr>
        <w:t>from the secondary univers</w:t>
      </w:r>
      <w:r w:rsidR="00053097">
        <w:rPr>
          <w:rFonts w:ascii="Arial" w:hAnsi="Arial" w:cs="Arial"/>
          <w:sz w:val="22"/>
          <w:szCs w:val="22"/>
        </w:rPr>
        <w:t>e</w:t>
      </w:r>
      <w:r w:rsidR="0092559A">
        <w:rPr>
          <w:rFonts w:ascii="Arial" w:hAnsi="Arial" w:cs="Arial"/>
          <w:sz w:val="22"/>
          <w:szCs w:val="22"/>
        </w:rPr>
        <w:t xml:space="preserve"> will have the opportunity to complete the survey</w:t>
      </w:r>
      <w:r w:rsidR="006D21CF">
        <w:rPr>
          <w:rFonts w:ascii="Arial" w:hAnsi="Arial" w:cs="Arial"/>
          <w:sz w:val="22"/>
          <w:szCs w:val="22"/>
        </w:rPr>
        <w:t xml:space="preserve">. </w:t>
      </w:r>
      <w:r w:rsidRPr="00A96E86">
        <w:rPr>
          <w:rFonts w:ascii="Arial" w:hAnsi="Arial" w:cs="Arial"/>
          <w:sz w:val="22"/>
          <w:szCs w:val="22"/>
        </w:rPr>
        <w:t xml:space="preserve">There will be no attempts to generalize the results outside the scope of this study and this universe of </w:t>
      </w:r>
      <w:r w:rsidR="001D53EB">
        <w:rPr>
          <w:rFonts w:ascii="Arial" w:hAnsi="Arial" w:cs="Arial"/>
          <w:sz w:val="22"/>
          <w:szCs w:val="22"/>
        </w:rPr>
        <w:t xml:space="preserve">potential </w:t>
      </w:r>
      <w:r w:rsidRPr="00A96E86">
        <w:rPr>
          <w:rFonts w:ascii="Arial" w:hAnsi="Arial" w:cs="Arial"/>
          <w:sz w:val="22"/>
          <w:szCs w:val="22"/>
        </w:rPr>
        <w:t xml:space="preserve">respondents.  </w:t>
      </w:r>
    </w:p>
    <w:p w:rsidR="00A96E86" w:rsidP="00A96E86" w14:paraId="50D9EC03" w14:textId="77777777">
      <w:pPr>
        <w:widowControl/>
        <w:rPr>
          <w:rFonts w:ascii="Arial" w:hAnsi="Arial" w:cs="Arial"/>
          <w:b/>
          <w:sz w:val="22"/>
          <w:szCs w:val="22"/>
        </w:rPr>
      </w:pPr>
    </w:p>
    <w:p w:rsidR="006D21CF" w:rsidP="00A96E86" w14:paraId="55421430" w14:textId="77777777">
      <w:pPr>
        <w:widowControl/>
        <w:rPr>
          <w:rFonts w:ascii="Arial" w:hAnsi="Arial" w:cs="Arial"/>
          <w:b/>
          <w:sz w:val="22"/>
          <w:szCs w:val="22"/>
        </w:rPr>
      </w:pPr>
    </w:p>
    <w:p w:rsidR="006D21CF" w:rsidP="00A96E86" w14:paraId="0F42B881" w14:textId="77777777">
      <w:pPr>
        <w:widowControl/>
        <w:rPr>
          <w:rFonts w:ascii="Arial" w:hAnsi="Arial" w:cs="Arial"/>
          <w:b/>
          <w:sz w:val="22"/>
          <w:szCs w:val="22"/>
        </w:rPr>
      </w:pPr>
    </w:p>
    <w:p w:rsidR="006D21CF" w:rsidP="00A96E86" w14:paraId="3DED66D8" w14:textId="77777777">
      <w:pPr>
        <w:widowControl/>
        <w:rPr>
          <w:rFonts w:ascii="Arial" w:hAnsi="Arial" w:cs="Arial"/>
          <w:b/>
          <w:sz w:val="22"/>
          <w:szCs w:val="22"/>
        </w:rPr>
      </w:pPr>
    </w:p>
    <w:p w:rsidR="006D21CF" w:rsidP="00A96E86" w14:paraId="2EA01556" w14:textId="77777777">
      <w:pPr>
        <w:widowControl/>
        <w:rPr>
          <w:rFonts w:ascii="Arial" w:hAnsi="Arial" w:cs="Arial"/>
          <w:b/>
          <w:sz w:val="22"/>
          <w:szCs w:val="22"/>
        </w:rPr>
      </w:pPr>
    </w:p>
    <w:p w:rsidR="006D21CF" w:rsidP="00A96E86" w14:paraId="3C66D4C4" w14:textId="77777777">
      <w:pPr>
        <w:widowControl/>
        <w:rPr>
          <w:rFonts w:ascii="Arial" w:hAnsi="Arial" w:cs="Arial"/>
          <w:b/>
          <w:sz w:val="22"/>
          <w:szCs w:val="22"/>
        </w:rPr>
      </w:pPr>
    </w:p>
    <w:p w:rsidR="006D21CF" w:rsidP="00A96E86" w14:paraId="40862765" w14:textId="77777777">
      <w:pPr>
        <w:widowControl/>
        <w:rPr>
          <w:rFonts w:ascii="Arial" w:hAnsi="Arial" w:cs="Arial"/>
          <w:b/>
          <w:sz w:val="22"/>
          <w:szCs w:val="22"/>
        </w:rPr>
      </w:pPr>
    </w:p>
    <w:p w:rsidR="006D21CF" w:rsidP="00A96E86" w14:paraId="6660BA45" w14:textId="77777777">
      <w:pPr>
        <w:widowControl/>
        <w:rPr>
          <w:rFonts w:ascii="Arial" w:hAnsi="Arial" w:cs="Arial"/>
          <w:b/>
          <w:sz w:val="22"/>
          <w:szCs w:val="22"/>
        </w:rPr>
      </w:pPr>
    </w:p>
    <w:p w:rsidR="006D21CF" w:rsidP="00A96E86" w14:paraId="7755F50D" w14:textId="77777777">
      <w:pPr>
        <w:widowControl/>
        <w:rPr>
          <w:rFonts w:ascii="Arial" w:hAnsi="Arial" w:cs="Arial"/>
          <w:b/>
          <w:sz w:val="22"/>
          <w:szCs w:val="22"/>
        </w:rPr>
      </w:pPr>
    </w:p>
    <w:p w:rsidR="006D21CF" w:rsidP="00A96E86" w14:paraId="18DD7462" w14:textId="77777777">
      <w:pPr>
        <w:widowControl/>
        <w:rPr>
          <w:rFonts w:ascii="Arial" w:hAnsi="Arial" w:cs="Arial"/>
          <w:b/>
          <w:sz w:val="22"/>
          <w:szCs w:val="22"/>
        </w:rPr>
      </w:pPr>
    </w:p>
    <w:p w:rsidR="006D21CF" w:rsidRPr="00A96E86" w:rsidP="00A96E86" w14:paraId="195D8C38" w14:textId="77777777">
      <w:pPr>
        <w:widowControl/>
        <w:rPr>
          <w:rFonts w:ascii="Arial" w:hAnsi="Arial" w:cs="Arial"/>
          <w:b/>
          <w:sz w:val="22"/>
          <w:szCs w:val="22"/>
        </w:rPr>
      </w:pPr>
    </w:p>
    <w:p w:rsidR="00A96E86" w:rsidRPr="00A96E86" w:rsidP="00A96E86" w14:paraId="53400362" w14:textId="388DE6BB">
      <w:pPr>
        <w:widowControl/>
        <w:rPr>
          <w:rFonts w:ascii="Arial" w:hAnsi="Arial" w:cs="Arial"/>
          <w:b/>
          <w:sz w:val="22"/>
          <w:szCs w:val="22"/>
        </w:rPr>
      </w:pPr>
      <w:r w:rsidRPr="00A96E86">
        <w:rPr>
          <w:rFonts w:ascii="Arial" w:hAnsi="Arial" w:cs="Arial"/>
          <w:b/>
          <w:sz w:val="22"/>
          <w:szCs w:val="22"/>
        </w:rPr>
        <w:t>Respondent universe and expected sample size</w:t>
      </w:r>
    </w:p>
    <w:p w:rsidR="00A96E86" w:rsidRPr="00A96E86" w:rsidP="00A96E86" w14:paraId="59CEADB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tbl>
      <w:tblPr>
        <w:tblStyle w:val="TableGrid2"/>
        <w:tblW w:w="0" w:type="auto"/>
        <w:tblInd w:w="-5" w:type="dxa"/>
        <w:tblLook w:val="04A0"/>
      </w:tblPr>
      <w:tblGrid>
        <w:gridCol w:w="2700"/>
        <w:gridCol w:w="1980"/>
        <w:gridCol w:w="1170"/>
        <w:gridCol w:w="1440"/>
        <w:gridCol w:w="2065"/>
      </w:tblGrid>
      <w:tr w14:paraId="536A5E9E" w14:textId="77777777" w:rsidTr="002E0900">
        <w:tblPrEx>
          <w:tblW w:w="0" w:type="auto"/>
          <w:tblInd w:w="-5" w:type="dxa"/>
          <w:tblLook w:val="04A0"/>
        </w:tblPrEx>
        <w:trPr>
          <w:trHeight w:val="494"/>
        </w:trPr>
        <w:tc>
          <w:tcPr>
            <w:tcW w:w="2700" w:type="dxa"/>
            <w:vAlign w:val="bottom"/>
          </w:tcPr>
          <w:p w:rsidR="00C90C76" w:rsidRPr="00A96E86" w:rsidP="00BF2349" w14:paraId="68EAA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p>
          <w:p w:rsidR="00C90C76" w:rsidRPr="00A96E86" w:rsidP="00BF2349" w14:paraId="0D822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sidRPr="00A96E86">
              <w:rPr>
                <w:rFonts w:ascii="Arial" w:hAnsi="Arial" w:cs="Arial"/>
                <w:b/>
                <w:szCs w:val="22"/>
              </w:rPr>
              <w:t>Sample</w:t>
            </w:r>
          </w:p>
        </w:tc>
        <w:tc>
          <w:tcPr>
            <w:tcW w:w="1980" w:type="dxa"/>
            <w:vAlign w:val="bottom"/>
          </w:tcPr>
          <w:p w:rsidR="00C90C76" w:rsidRPr="00A96E86" w:rsidP="00BF2349" w14:paraId="557519B2" w14:textId="3BFCE7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Pr>
                <w:rFonts w:ascii="Arial" w:hAnsi="Arial" w:cs="Arial"/>
                <w:b/>
                <w:szCs w:val="22"/>
              </w:rPr>
              <w:t>*</w:t>
            </w:r>
            <w:r w:rsidRPr="00A96E86">
              <w:rPr>
                <w:rFonts w:ascii="Arial" w:hAnsi="Arial" w:cs="Arial"/>
                <w:b/>
                <w:szCs w:val="22"/>
              </w:rPr>
              <w:t>Respondent Universe</w:t>
            </w:r>
          </w:p>
        </w:tc>
        <w:tc>
          <w:tcPr>
            <w:tcW w:w="1170" w:type="dxa"/>
          </w:tcPr>
          <w:p w:rsidR="00C90C76" w:rsidP="00BF2349" w14:paraId="4015E7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p>
          <w:p w:rsidR="00C90C76" w:rsidRPr="00A96E86" w:rsidP="00BF2349" w14:paraId="17B7F54D" w14:textId="36E474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Pr>
                <w:rFonts w:ascii="Arial" w:hAnsi="Arial" w:cs="Arial"/>
                <w:b/>
                <w:szCs w:val="22"/>
              </w:rPr>
              <w:t>Contacts</w:t>
            </w:r>
          </w:p>
        </w:tc>
        <w:tc>
          <w:tcPr>
            <w:tcW w:w="1440" w:type="dxa"/>
            <w:vAlign w:val="bottom"/>
          </w:tcPr>
          <w:p w:rsidR="00C90C76" w:rsidRPr="00A96E86" w:rsidP="00BF2349" w14:paraId="0867AA45" w14:textId="4DFA5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sidRPr="00A96E86">
              <w:rPr>
                <w:rFonts w:ascii="Arial" w:hAnsi="Arial" w:cs="Arial"/>
                <w:b/>
                <w:szCs w:val="22"/>
              </w:rPr>
              <w:t>Response rate</w:t>
            </w:r>
          </w:p>
        </w:tc>
        <w:tc>
          <w:tcPr>
            <w:tcW w:w="2065" w:type="dxa"/>
            <w:vAlign w:val="bottom"/>
          </w:tcPr>
          <w:p w:rsidR="00C90C76" w:rsidRPr="00A96E86" w:rsidP="00BF2349" w14:paraId="0BFBB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sidRPr="00A96E86">
              <w:rPr>
                <w:rFonts w:ascii="Arial" w:hAnsi="Arial" w:cs="Arial"/>
                <w:b/>
                <w:szCs w:val="22"/>
              </w:rPr>
              <w:t>Expected number of responses</w:t>
            </w:r>
          </w:p>
        </w:tc>
      </w:tr>
      <w:tr w14:paraId="2A61AA2A" w14:textId="77777777" w:rsidTr="002E0900">
        <w:tblPrEx>
          <w:tblW w:w="0" w:type="auto"/>
          <w:tblInd w:w="-5" w:type="dxa"/>
          <w:tblLook w:val="04A0"/>
        </w:tblPrEx>
        <w:trPr>
          <w:trHeight w:val="620"/>
        </w:trPr>
        <w:tc>
          <w:tcPr>
            <w:tcW w:w="2700" w:type="dxa"/>
          </w:tcPr>
          <w:p w:rsidR="00C90C76" w:rsidRPr="00A96E86" w:rsidP="00F4430F" w14:paraId="10BE3ECE" w14:textId="01F27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Pr>
                <w:rFonts w:ascii="Arial" w:hAnsi="Arial" w:cs="Arial"/>
                <w:b/>
                <w:szCs w:val="22"/>
              </w:rPr>
              <w:t>*</w:t>
            </w:r>
            <w:r w:rsidR="004A0C73">
              <w:rPr>
                <w:rFonts w:ascii="Arial" w:hAnsi="Arial" w:cs="Arial"/>
                <w:b/>
                <w:szCs w:val="22"/>
              </w:rPr>
              <w:t>*</w:t>
            </w:r>
            <w:r w:rsidR="000B62CE">
              <w:rPr>
                <w:rFonts w:ascii="Arial" w:hAnsi="Arial" w:cs="Arial"/>
                <w:b/>
                <w:szCs w:val="22"/>
              </w:rPr>
              <w:t>Primary universe</w:t>
            </w:r>
          </w:p>
          <w:p w:rsidR="00C90C76" w:rsidP="00655878" w14:paraId="1905CA71" w14:textId="1F7EAA9D">
            <w:pPr>
              <w:pStyle w:val="ListParagraph"/>
            </w:pPr>
            <w:r>
              <w:t>Custer County</w:t>
            </w:r>
          </w:p>
          <w:p w:rsidR="00591A66" w:rsidP="00D749DA" w14:paraId="05B0E616" w14:textId="77777777">
            <w:pPr>
              <w:ind w:left="360"/>
            </w:pPr>
          </w:p>
          <w:p w:rsidR="006E3320" w:rsidP="00D749DA" w14:paraId="099E2A2C" w14:textId="77777777">
            <w:pPr>
              <w:ind w:left="360"/>
            </w:pPr>
          </w:p>
          <w:p w:rsidR="00C90C76" w:rsidRPr="00E767C6" w:rsidP="00655878" w14:paraId="031ADEA4" w14:textId="03E5C0C7">
            <w:pPr>
              <w:pStyle w:val="ListParagraph"/>
            </w:pPr>
            <w:r w:rsidRPr="00E767C6">
              <w:t xml:space="preserve">Lemhi County </w:t>
            </w:r>
          </w:p>
          <w:p w:rsidR="00C90C76" w:rsidRPr="00E767C6" w:rsidP="00D749DA" w14:paraId="43366CB6" w14:textId="77777777">
            <w:pPr>
              <w:ind w:left="360"/>
            </w:pPr>
          </w:p>
          <w:p w:rsidR="00C90C76" w:rsidRPr="00E767C6" w:rsidP="00F4430F" w14:paraId="6E1F73DB" w14:textId="77777777">
            <w:pPr>
              <w:tabs>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C90C76" w:rsidP="00F4430F" w14:paraId="3DB12361" w14:textId="24E996F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szCs w:val="22"/>
              </w:rPr>
            </w:pPr>
            <w:r w:rsidRPr="00A96E86">
              <w:rPr>
                <w:rFonts w:ascii="Arial" w:hAnsi="Arial" w:cs="Arial"/>
                <w:i/>
                <w:szCs w:val="22"/>
              </w:rPr>
              <w:t>(</w:t>
            </w:r>
            <w:r w:rsidR="00AC558C">
              <w:rPr>
                <w:rFonts w:ascii="Arial" w:hAnsi="Arial" w:cs="Arial"/>
                <w:i/>
                <w:szCs w:val="22"/>
              </w:rPr>
              <w:t xml:space="preserve">3) </w:t>
            </w:r>
            <w:r>
              <w:rPr>
                <w:rFonts w:ascii="Arial" w:hAnsi="Arial" w:cs="Arial"/>
                <w:i/>
                <w:szCs w:val="22"/>
              </w:rPr>
              <w:t xml:space="preserve">Idaho County </w:t>
            </w:r>
          </w:p>
          <w:p w:rsidR="00C90C76" w:rsidP="00F4430F" w14:paraId="2DA7E14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Cs/>
                <w:i/>
                <w:iCs/>
                <w:szCs w:val="22"/>
              </w:rPr>
            </w:pPr>
          </w:p>
          <w:p w:rsidR="00AC558C" w:rsidRPr="00E767C6" w:rsidP="00F4430F" w14:paraId="3141A80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Cs/>
                <w:i/>
                <w:iCs/>
                <w:szCs w:val="22"/>
              </w:rPr>
            </w:pPr>
          </w:p>
          <w:p w:rsidR="00C90C76" w:rsidRPr="00A96E86" w:rsidP="00AC558C" w14:paraId="6CC5F3C6" w14:textId="4608792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
                <w:szCs w:val="22"/>
              </w:rPr>
            </w:pPr>
            <w:r w:rsidRPr="00083378">
              <w:rPr>
                <w:rFonts w:ascii="Arial" w:hAnsi="Arial" w:cs="Arial"/>
                <w:bCs/>
                <w:i/>
                <w:iCs/>
                <w:szCs w:val="22"/>
              </w:rPr>
              <w:t>(</w:t>
            </w:r>
            <w:r w:rsidR="00AC558C">
              <w:rPr>
                <w:rFonts w:ascii="Arial" w:hAnsi="Arial" w:cs="Arial"/>
                <w:bCs/>
                <w:i/>
                <w:iCs/>
                <w:szCs w:val="22"/>
              </w:rPr>
              <w:t>4</w:t>
            </w:r>
            <w:r w:rsidRPr="00083378">
              <w:rPr>
                <w:rFonts w:ascii="Arial" w:hAnsi="Arial" w:cs="Arial"/>
                <w:bCs/>
                <w:i/>
                <w:iCs/>
                <w:szCs w:val="22"/>
              </w:rPr>
              <w:t xml:space="preserve">) </w:t>
            </w:r>
            <w:r>
              <w:rPr>
                <w:rFonts w:ascii="Arial" w:hAnsi="Arial" w:cs="Arial"/>
                <w:bCs/>
                <w:i/>
                <w:iCs/>
                <w:szCs w:val="22"/>
              </w:rPr>
              <w:t xml:space="preserve">Valley County </w:t>
            </w:r>
          </w:p>
        </w:tc>
        <w:tc>
          <w:tcPr>
            <w:tcW w:w="1980" w:type="dxa"/>
          </w:tcPr>
          <w:p w:rsidR="00C90C76" w:rsidP="00F4430F" w14:paraId="5363A63F" w14:textId="57A763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F4430F" w14:paraId="4BB1E446" w14:textId="0AB6C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BD2124">
              <w:rPr>
                <w:rFonts w:ascii="Arial" w:hAnsi="Arial" w:cs="Arial"/>
                <w:b/>
                <w:bCs/>
                <w:szCs w:val="22"/>
              </w:rPr>
              <w:t>1,808</w:t>
            </w:r>
            <w:r w:rsidRPr="00BD2124">
              <w:rPr>
                <w:rFonts w:ascii="Arial" w:hAnsi="Arial" w:cs="Arial"/>
                <w:szCs w:val="22"/>
              </w:rPr>
              <w:t xml:space="preserve"> </w:t>
            </w:r>
            <w:r>
              <w:rPr>
                <w:rFonts w:ascii="Arial" w:hAnsi="Arial" w:cs="Arial"/>
                <w:szCs w:val="22"/>
              </w:rPr>
              <w:t>(Households)</w:t>
            </w:r>
          </w:p>
          <w:p w:rsidR="00F4430F" w:rsidP="00AC558C" w14:paraId="006603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Cs w:val="22"/>
              </w:rPr>
            </w:pPr>
          </w:p>
          <w:p w:rsidR="002E0900" w:rsidP="00F4430F" w14:paraId="337F8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2"/>
              </w:rPr>
            </w:pPr>
          </w:p>
          <w:p w:rsidR="00C90C76" w:rsidP="00F4430F" w14:paraId="028F3577" w14:textId="254A6E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BD2124">
              <w:rPr>
                <w:rFonts w:ascii="Arial" w:hAnsi="Arial" w:cs="Arial"/>
                <w:b/>
                <w:bCs/>
                <w:szCs w:val="22"/>
              </w:rPr>
              <w:t>3,328</w:t>
            </w:r>
            <w:r w:rsidRPr="00BD2124">
              <w:rPr>
                <w:rFonts w:ascii="Arial" w:hAnsi="Arial" w:cs="Arial"/>
                <w:szCs w:val="22"/>
              </w:rPr>
              <w:t xml:space="preserve"> </w:t>
            </w:r>
            <w:r>
              <w:rPr>
                <w:rFonts w:ascii="Arial" w:hAnsi="Arial" w:cs="Arial"/>
                <w:szCs w:val="22"/>
              </w:rPr>
              <w:t>(Households)</w:t>
            </w:r>
          </w:p>
          <w:p w:rsidR="00C90C76" w:rsidP="00F4430F" w14:paraId="302C0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2E0900" w:rsidP="00F4430F" w14:paraId="38A446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2"/>
              </w:rPr>
            </w:pPr>
          </w:p>
          <w:p w:rsidR="00C90C76" w:rsidP="00F4430F" w14:paraId="681EA4C4" w14:textId="3E0A9F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BD2124">
              <w:rPr>
                <w:rFonts w:ascii="Arial" w:hAnsi="Arial" w:cs="Arial"/>
                <w:b/>
                <w:bCs/>
                <w:szCs w:val="22"/>
              </w:rPr>
              <w:t>6,603</w:t>
            </w:r>
            <w:r w:rsidRPr="00BD2124">
              <w:rPr>
                <w:rFonts w:ascii="Arial" w:hAnsi="Arial" w:cs="Arial"/>
                <w:szCs w:val="22"/>
              </w:rPr>
              <w:t xml:space="preserve"> </w:t>
            </w:r>
            <w:r>
              <w:rPr>
                <w:rFonts w:ascii="Arial" w:hAnsi="Arial" w:cs="Arial"/>
                <w:szCs w:val="22"/>
              </w:rPr>
              <w:t>(Households)</w:t>
            </w:r>
          </w:p>
          <w:p w:rsidR="00C90C76" w:rsidP="00AC3756" w14:paraId="5FEDEA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Cs w:val="22"/>
              </w:rPr>
            </w:pPr>
          </w:p>
          <w:p w:rsidR="002E0900" w:rsidP="00F4430F" w14:paraId="4B628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2"/>
              </w:rPr>
            </w:pPr>
          </w:p>
          <w:p w:rsidR="00C90C76" w:rsidP="00F4430F" w14:paraId="50531BD1" w14:textId="113F7B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BD2124">
              <w:rPr>
                <w:rFonts w:ascii="Arial" w:hAnsi="Arial" w:cs="Arial"/>
                <w:b/>
                <w:bCs/>
                <w:szCs w:val="22"/>
              </w:rPr>
              <w:t>3,806</w:t>
            </w:r>
            <w:r>
              <w:rPr>
                <w:rFonts w:ascii="Arial" w:hAnsi="Arial" w:cs="Arial"/>
                <w:szCs w:val="22"/>
              </w:rPr>
              <w:t xml:space="preserve"> (Households)</w:t>
            </w:r>
          </w:p>
          <w:p w:rsidR="00C90C76" w:rsidRPr="00A96E86" w:rsidP="00F4430F" w14:paraId="4B7B0F7D" w14:textId="429A6C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tc>
        <w:tc>
          <w:tcPr>
            <w:tcW w:w="1170" w:type="dxa"/>
          </w:tcPr>
          <w:p w:rsidR="001D53EB" w:rsidRPr="006E3320" w:rsidP="00F4430F" w14:paraId="4A361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F4430F" w14:paraId="28828F52" w14:textId="4287A5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634</w:t>
            </w:r>
          </w:p>
          <w:p w:rsidR="00C90C76" w:rsidP="00F4430F" w14:paraId="0F494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AC558C" w14:paraId="0DE44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P="00F4430F" w14:paraId="7E78AF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690</w:t>
            </w:r>
          </w:p>
          <w:p w:rsidR="00C90C76" w:rsidP="00F4430F" w14:paraId="6F4AD7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A24B11" w:rsidP="00F4430F" w14:paraId="7B001C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F4430F" w14:paraId="4FB8749A" w14:textId="0503B9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728</w:t>
            </w:r>
          </w:p>
          <w:p w:rsidR="00C90C76" w:rsidP="00AC3756" w14:paraId="6220EA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P="00F4430F" w14:paraId="4396CF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RPr="00A96E86" w:rsidP="00F4430F" w14:paraId="46F70BB1" w14:textId="5E48B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700</w:t>
            </w:r>
          </w:p>
        </w:tc>
        <w:tc>
          <w:tcPr>
            <w:tcW w:w="1440" w:type="dxa"/>
          </w:tcPr>
          <w:p w:rsidR="00591A66" w:rsidP="006E3320" w14:paraId="34638F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RPr="00A96E86" w:rsidP="00F4430F" w14:paraId="752887DE" w14:textId="20F00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50</w:t>
            </w:r>
            <w:r w:rsidRPr="00A96E86">
              <w:rPr>
                <w:rFonts w:ascii="Arial" w:hAnsi="Arial" w:cs="Arial"/>
                <w:szCs w:val="22"/>
              </w:rPr>
              <w:t>%</w:t>
            </w:r>
          </w:p>
          <w:p w:rsidR="00C90C76" w:rsidP="00F4430F" w14:paraId="2EF13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AC558C" w14:paraId="2ED9F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RPr="00A96E86" w:rsidP="00F4430F" w14:paraId="7783531E" w14:textId="08B51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50%</w:t>
            </w:r>
          </w:p>
          <w:p w:rsidR="00C90C76" w:rsidRPr="00A96E86" w:rsidP="00F4430F" w14:paraId="04188E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F4430F" w14:paraId="4046A322" w14:textId="396D6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F4430F" w14:paraId="2F49728E" w14:textId="142B63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50%</w:t>
            </w:r>
          </w:p>
          <w:p w:rsidR="00C90C76" w:rsidP="00F4430F" w14:paraId="6B9A50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AC3756" w14:paraId="2B6FF0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P="00F4430F" w14:paraId="433CD11E" w14:textId="5658E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50%</w:t>
            </w:r>
          </w:p>
          <w:p w:rsidR="00C90C76" w:rsidP="00F4430F" w14:paraId="25BB1C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RPr="00A96E86" w:rsidP="00F4430F" w14:paraId="3D254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tc>
        <w:tc>
          <w:tcPr>
            <w:tcW w:w="2065" w:type="dxa"/>
            <w:tcBorders>
              <w:bottom w:val="single" w:sz="4" w:space="0" w:color="auto"/>
            </w:tcBorders>
          </w:tcPr>
          <w:p w:rsidR="00591A66" w:rsidP="006E3320" w14:paraId="15AD6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P="00F4430F" w14:paraId="5B247140" w14:textId="2B1312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317</w:t>
            </w:r>
          </w:p>
          <w:p w:rsidR="00C90C76" w:rsidP="00F4430F" w14:paraId="28449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AC558C" w14:paraId="61CD4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RPr="00A96E86" w:rsidP="00F4430F" w14:paraId="29D81204" w14:textId="7ACB3C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345</w:t>
            </w:r>
          </w:p>
          <w:p w:rsidR="00C90C76" w:rsidRPr="00A96E86" w:rsidP="00F4430F" w14:paraId="38F9C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RPr="00A96E86" w:rsidP="00F4430F" w14:paraId="6F3AE1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RPr="00A96E86" w:rsidP="00F4430F" w14:paraId="311FF641" w14:textId="7C4D72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364</w:t>
            </w:r>
          </w:p>
          <w:p w:rsidR="00C90C76" w:rsidP="00F4430F" w14:paraId="3236E6EB" w14:textId="055C0B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C90C76" w:rsidP="00AC3756" w14:paraId="53F06B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90C76" w:rsidRPr="00A96E86" w:rsidP="00F4430F" w14:paraId="3B18A332" w14:textId="41D2ED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350</w:t>
            </w:r>
          </w:p>
          <w:p w:rsidR="00C90C76" w:rsidRPr="00A96E86" w:rsidP="00F4430F" w14:paraId="7F458DE6" w14:textId="1EB6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tc>
      </w:tr>
      <w:tr w14:paraId="6169E5A9" w14:textId="77777777" w:rsidTr="002E0900">
        <w:tblPrEx>
          <w:tblW w:w="0" w:type="auto"/>
          <w:tblInd w:w="-5" w:type="dxa"/>
          <w:tblLook w:val="04A0"/>
        </w:tblPrEx>
        <w:trPr>
          <w:trHeight w:val="278"/>
        </w:trPr>
        <w:tc>
          <w:tcPr>
            <w:tcW w:w="2700" w:type="dxa"/>
          </w:tcPr>
          <w:p w:rsidR="00236DF3" w:rsidP="00236DF3" w14:paraId="1B1944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Pr>
                <w:rFonts w:ascii="Arial" w:hAnsi="Arial" w:cs="Arial"/>
                <w:b/>
                <w:szCs w:val="22"/>
              </w:rPr>
              <w:t>Primary universe total</w:t>
            </w:r>
          </w:p>
          <w:p w:rsidR="00BA021E" w:rsidP="00236DF3" w14:paraId="2DCFF11B" w14:textId="719452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
        </w:tc>
        <w:tc>
          <w:tcPr>
            <w:tcW w:w="1980" w:type="dxa"/>
            <w:vAlign w:val="center"/>
          </w:tcPr>
          <w:p w:rsidR="00236DF3" w:rsidP="00BA021E" w14:paraId="1D6156B4" w14:textId="6B76D6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6C390D">
              <w:rPr>
                <w:rFonts w:ascii="Arial" w:hAnsi="Arial" w:cs="Arial"/>
                <w:b/>
                <w:szCs w:val="22"/>
              </w:rPr>
              <w:t>15,545</w:t>
            </w:r>
          </w:p>
        </w:tc>
        <w:tc>
          <w:tcPr>
            <w:tcW w:w="1170" w:type="dxa"/>
            <w:vAlign w:val="center"/>
          </w:tcPr>
          <w:p w:rsidR="00236DF3" w:rsidRPr="006E3320" w:rsidP="00BA021E" w14:paraId="3A47EC37" w14:textId="49166A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b/>
                <w:szCs w:val="22"/>
              </w:rPr>
              <w:t>2,752</w:t>
            </w:r>
          </w:p>
        </w:tc>
        <w:tc>
          <w:tcPr>
            <w:tcW w:w="1440" w:type="dxa"/>
            <w:vAlign w:val="center"/>
          </w:tcPr>
          <w:p w:rsidR="00236DF3" w:rsidP="00BA021E" w14:paraId="743DD5FD" w14:textId="7BF0B3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b/>
                <w:szCs w:val="22"/>
              </w:rPr>
              <w:t>50%</w:t>
            </w:r>
          </w:p>
        </w:tc>
        <w:tc>
          <w:tcPr>
            <w:tcW w:w="2065" w:type="dxa"/>
            <w:tcBorders>
              <w:bottom w:val="single" w:sz="4" w:space="0" w:color="auto"/>
            </w:tcBorders>
            <w:vAlign w:val="center"/>
          </w:tcPr>
          <w:p w:rsidR="00236DF3" w:rsidP="00BA021E" w14:paraId="03474D37" w14:textId="5C23D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sidRPr="00A96E86">
              <w:rPr>
                <w:rFonts w:ascii="Arial" w:hAnsi="Arial" w:cs="Arial"/>
                <w:b/>
                <w:szCs w:val="22"/>
              </w:rPr>
              <w:t>1</w:t>
            </w:r>
            <w:r>
              <w:rPr>
                <w:rFonts w:ascii="Arial" w:hAnsi="Arial" w:cs="Arial"/>
                <w:b/>
                <w:szCs w:val="22"/>
              </w:rPr>
              <w:t>,376</w:t>
            </w:r>
          </w:p>
        </w:tc>
      </w:tr>
      <w:tr w14:paraId="5394EBEA" w14:textId="77777777" w:rsidTr="002E0900">
        <w:tblPrEx>
          <w:tblW w:w="0" w:type="auto"/>
          <w:tblInd w:w="-5" w:type="dxa"/>
          <w:tblLook w:val="04A0"/>
        </w:tblPrEx>
        <w:trPr>
          <w:trHeight w:val="620"/>
        </w:trPr>
        <w:tc>
          <w:tcPr>
            <w:tcW w:w="2700" w:type="dxa"/>
          </w:tcPr>
          <w:p w:rsidR="00236DF3" w:rsidP="00236DF3" w14:paraId="6AD073D6" w14:textId="4FB612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Pr>
                <w:rFonts w:ascii="Arial" w:hAnsi="Arial" w:cs="Arial"/>
                <w:b/>
                <w:szCs w:val="22"/>
              </w:rPr>
              <w:t>***</w:t>
            </w:r>
            <w:r>
              <w:rPr>
                <w:rFonts w:ascii="Arial" w:hAnsi="Arial" w:cs="Arial"/>
                <w:b/>
                <w:szCs w:val="22"/>
              </w:rPr>
              <w:t>Secondary universe</w:t>
            </w:r>
          </w:p>
          <w:p w:rsidR="00236DF3" w:rsidRPr="00236DF3" w:rsidP="00236DF3" w14:paraId="2C008A6A" w14:textId="60BF2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i/>
                <w:iCs/>
                <w:szCs w:val="22"/>
              </w:rPr>
            </w:pPr>
            <w:r w:rsidRPr="00236DF3">
              <w:rPr>
                <w:rFonts w:ascii="Arial" w:hAnsi="Arial" w:cs="Arial"/>
                <w:bCs/>
                <w:i/>
                <w:iCs/>
                <w:szCs w:val="22"/>
              </w:rPr>
              <w:t xml:space="preserve">Event </w:t>
            </w:r>
            <w:r w:rsidR="00776C05">
              <w:rPr>
                <w:rFonts w:ascii="Arial" w:hAnsi="Arial" w:cs="Arial"/>
                <w:bCs/>
                <w:i/>
                <w:iCs/>
                <w:szCs w:val="22"/>
              </w:rPr>
              <w:t>visitors</w:t>
            </w:r>
          </w:p>
        </w:tc>
        <w:tc>
          <w:tcPr>
            <w:tcW w:w="1980" w:type="dxa"/>
          </w:tcPr>
          <w:p w:rsidR="00236DF3" w:rsidP="00236DF3" w14:paraId="19DA5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516424" w:rsidRPr="00516424" w:rsidP="00655878" w14:paraId="2BCAC001" w14:textId="04F4B93A">
            <w:pPr>
              <w:pStyle w:val="ListParagraph"/>
            </w:pPr>
          </w:p>
        </w:tc>
        <w:tc>
          <w:tcPr>
            <w:tcW w:w="1170" w:type="dxa"/>
          </w:tcPr>
          <w:p w:rsidR="00516424" w:rsidP="0099681B" w14:paraId="29E9BA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516424" w:rsidRPr="00516424" w:rsidP="0099681B" w14:paraId="1C34A262" w14:textId="612151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8</w:t>
            </w:r>
            <w:r w:rsidR="006F34F0">
              <w:rPr>
                <w:rFonts w:ascii="Arial" w:hAnsi="Arial" w:cs="Arial"/>
                <w:szCs w:val="22"/>
              </w:rPr>
              <w:t>00</w:t>
            </w:r>
          </w:p>
        </w:tc>
        <w:tc>
          <w:tcPr>
            <w:tcW w:w="1440" w:type="dxa"/>
          </w:tcPr>
          <w:p w:rsidR="00236DF3" w:rsidP="006F34F0" w14:paraId="0BA6D8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6F34F0" w:rsidRPr="00A96E86" w:rsidP="006F34F0" w14:paraId="2A465009" w14:textId="7D4823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50%</w:t>
            </w:r>
          </w:p>
        </w:tc>
        <w:tc>
          <w:tcPr>
            <w:tcW w:w="2065" w:type="dxa"/>
            <w:tcBorders>
              <w:bottom w:val="single" w:sz="4" w:space="0" w:color="auto"/>
            </w:tcBorders>
          </w:tcPr>
          <w:p w:rsidR="00236DF3" w:rsidP="0099681B" w14:paraId="025FC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p>
          <w:p w:rsidR="006F34F0" w:rsidP="0099681B" w14:paraId="66793937" w14:textId="023731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2"/>
              </w:rPr>
            </w:pPr>
            <w:r>
              <w:rPr>
                <w:rFonts w:ascii="Arial" w:hAnsi="Arial" w:cs="Arial"/>
                <w:szCs w:val="22"/>
              </w:rPr>
              <w:t>4</w:t>
            </w:r>
            <w:r>
              <w:rPr>
                <w:rFonts w:ascii="Arial" w:hAnsi="Arial" w:cs="Arial"/>
                <w:szCs w:val="22"/>
              </w:rPr>
              <w:t>00</w:t>
            </w:r>
          </w:p>
        </w:tc>
      </w:tr>
      <w:tr w14:paraId="3D809BDC" w14:textId="77777777" w:rsidTr="002E0900">
        <w:tblPrEx>
          <w:tblW w:w="0" w:type="auto"/>
          <w:tblInd w:w="-5" w:type="dxa"/>
          <w:tblLook w:val="04A0"/>
        </w:tblPrEx>
        <w:tc>
          <w:tcPr>
            <w:tcW w:w="2700" w:type="dxa"/>
          </w:tcPr>
          <w:p w:rsidR="00236DF3" w:rsidP="004A0C73" w14:paraId="6E8F6F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A96E86">
              <w:rPr>
                <w:rFonts w:ascii="Arial" w:hAnsi="Arial" w:cs="Arial"/>
                <w:b/>
                <w:szCs w:val="22"/>
              </w:rPr>
              <w:t>Total</w:t>
            </w:r>
          </w:p>
          <w:p w:rsidR="00BA021E" w:rsidRPr="00A96E86" w:rsidP="004A0C73" w14:paraId="7FC9DF9A" w14:textId="16D7D6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
        </w:tc>
        <w:tc>
          <w:tcPr>
            <w:tcW w:w="1980" w:type="dxa"/>
            <w:shd w:val="clear" w:color="auto" w:fill="auto"/>
            <w:vAlign w:val="center"/>
          </w:tcPr>
          <w:p w:rsidR="00236DF3" w:rsidRPr="00A96E86" w:rsidP="00BA021E" w14:paraId="7E9408AF" w14:textId="3AFC73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highlight w:val="yellow"/>
              </w:rPr>
            </w:pPr>
            <w:r w:rsidRPr="00DB3A13">
              <w:rPr>
                <w:rFonts w:ascii="Arial" w:hAnsi="Arial" w:cs="Arial"/>
                <w:b/>
                <w:szCs w:val="22"/>
              </w:rPr>
              <w:t>-</w:t>
            </w:r>
          </w:p>
        </w:tc>
        <w:tc>
          <w:tcPr>
            <w:tcW w:w="1170" w:type="dxa"/>
            <w:vAlign w:val="center"/>
          </w:tcPr>
          <w:p w:rsidR="00236DF3" w:rsidP="00BA021E" w14:paraId="1E161804" w14:textId="1C9C3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Pr>
                <w:rFonts w:ascii="Arial" w:hAnsi="Arial" w:cs="Arial"/>
                <w:b/>
                <w:szCs w:val="22"/>
              </w:rPr>
              <w:t>3,552</w:t>
            </w:r>
          </w:p>
        </w:tc>
        <w:tc>
          <w:tcPr>
            <w:tcW w:w="1440" w:type="dxa"/>
            <w:vAlign w:val="center"/>
          </w:tcPr>
          <w:p w:rsidR="00236DF3" w:rsidRPr="00A96E86" w:rsidP="00BA021E" w14:paraId="101E1797" w14:textId="1321E3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Pr>
                <w:rFonts w:ascii="Arial" w:hAnsi="Arial" w:cs="Arial"/>
                <w:b/>
                <w:szCs w:val="22"/>
              </w:rPr>
              <w:t>50%</w:t>
            </w:r>
          </w:p>
        </w:tc>
        <w:tc>
          <w:tcPr>
            <w:tcW w:w="2065" w:type="dxa"/>
            <w:tcBorders>
              <w:top w:val="single" w:sz="4" w:space="0" w:color="auto"/>
            </w:tcBorders>
            <w:vAlign w:val="center"/>
          </w:tcPr>
          <w:p w:rsidR="00BA021E" w:rsidRPr="00A96E86" w:rsidP="00BA021E" w14:paraId="6D7BB2A0" w14:textId="33A9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Pr>
                <w:rFonts w:ascii="Arial" w:hAnsi="Arial" w:cs="Arial"/>
                <w:b/>
                <w:szCs w:val="22"/>
              </w:rPr>
              <w:t>1</w:t>
            </w:r>
            <w:r w:rsidR="00AF699E">
              <w:rPr>
                <w:rFonts w:ascii="Arial" w:hAnsi="Arial" w:cs="Arial"/>
                <w:b/>
                <w:szCs w:val="22"/>
              </w:rPr>
              <w:t>,776</w:t>
            </w:r>
          </w:p>
        </w:tc>
      </w:tr>
    </w:tbl>
    <w:p w:rsidR="00F51B11" w:rsidP="00A96E86" w14:paraId="3F896AB5" w14:textId="77777777">
      <w:pPr>
        <w:tabs>
          <w:tab w:val="left" w:pos="-1080"/>
          <w:tab w:val="left" w:pos="360"/>
          <w:tab w:val="left" w:pos="720"/>
          <w:tab w:val="left" w:pos="1080"/>
        </w:tabs>
        <w:ind w:left="360" w:hanging="360"/>
        <w:rPr>
          <w:rFonts w:ascii="Arial" w:hAnsi="Arial" w:cs="Arial"/>
        </w:rPr>
      </w:pPr>
      <w:r w:rsidRPr="00591A66">
        <w:rPr>
          <w:rFonts w:ascii="Arial" w:hAnsi="Arial" w:cs="Arial"/>
        </w:rPr>
        <w:t xml:space="preserve">*Our proxy for estimating </w:t>
      </w:r>
      <w:r w:rsidR="00AC3756">
        <w:rPr>
          <w:rFonts w:ascii="Arial" w:hAnsi="Arial" w:cs="Arial"/>
        </w:rPr>
        <w:t xml:space="preserve">appropriate </w:t>
      </w:r>
      <w:r>
        <w:rPr>
          <w:rFonts w:ascii="Arial" w:hAnsi="Arial" w:cs="Arial"/>
        </w:rPr>
        <w:t xml:space="preserve">primary universe </w:t>
      </w:r>
      <w:r w:rsidR="00AC3756">
        <w:rPr>
          <w:rFonts w:ascii="Arial" w:hAnsi="Arial" w:cs="Arial"/>
        </w:rPr>
        <w:t xml:space="preserve">sample size and </w:t>
      </w:r>
      <w:r w:rsidRPr="00591A66">
        <w:rPr>
          <w:rFonts w:ascii="Arial" w:hAnsi="Arial" w:cs="Arial"/>
        </w:rPr>
        <w:t xml:space="preserve">event attendance </w:t>
      </w:r>
      <w:r w:rsidRPr="00591A66" w:rsidR="00591A66">
        <w:rPr>
          <w:rFonts w:ascii="Arial" w:hAnsi="Arial" w:cs="Arial"/>
        </w:rPr>
        <w:t>numbers</w:t>
      </w:r>
      <w:r w:rsidRPr="00591A66">
        <w:rPr>
          <w:rFonts w:ascii="Arial" w:hAnsi="Arial" w:cs="Arial"/>
        </w:rPr>
        <w:t xml:space="preserve"> is </w:t>
      </w:r>
    </w:p>
    <w:p w:rsidR="00A96E86" w:rsidRPr="00591A66" w:rsidP="00A96E86" w14:paraId="09E82AF4" w14:textId="441A49AE">
      <w:pPr>
        <w:tabs>
          <w:tab w:val="left" w:pos="-1080"/>
          <w:tab w:val="left" w:pos="360"/>
          <w:tab w:val="left" w:pos="720"/>
          <w:tab w:val="left" w:pos="1080"/>
        </w:tabs>
        <w:ind w:left="360" w:hanging="360"/>
        <w:rPr>
          <w:rFonts w:ascii="Arial" w:hAnsi="Arial" w:cs="Arial"/>
        </w:rPr>
      </w:pPr>
      <w:r w:rsidRPr="00591A66">
        <w:rPr>
          <w:rFonts w:ascii="Arial" w:hAnsi="Arial" w:cs="Arial"/>
        </w:rPr>
        <w:t>County level data</w:t>
      </w:r>
      <w:r w:rsidRPr="00591A66" w:rsidR="00D43C32">
        <w:rPr>
          <w:rFonts w:ascii="Arial" w:hAnsi="Arial" w:cs="Arial"/>
        </w:rPr>
        <w:t xml:space="preserve">. </w:t>
      </w:r>
    </w:p>
    <w:p w:rsidR="00591A66" w:rsidRPr="00591A66" w:rsidP="00A96E86" w14:paraId="7FE3B004" w14:textId="4D62CF15">
      <w:pPr>
        <w:tabs>
          <w:tab w:val="left" w:pos="-1080"/>
          <w:tab w:val="left" w:pos="360"/>
          <w:tab w:val="left" w:pos="720"/>
          <w:tab w:val="left" w:pos="1080"/>
        </w:tabs>
        <w:ind w:left="360" w:hanging="360"/>
        <w:rPr>
          <w:rFonts w:ascii="Arial" w:hAnsi="Arial" w:cs="Arial"/>
        </w:rPr>
      </w:pPr>
      <w:r w:rsidRPr="00591A66">
        <w:rPr>
          <w:rFonts w:ascii="Arial" w:hAnsi="Arial" w:cs="Arial"/>
        </w:rPr>
        <w:t>*</w:t>
      </w:r>
      <w:r w:rsidR="004A0C73">
        <w:rPr>
          <w:rFonts w:ascii="Arial" w:hAnsi="Arial" w:cs="Arial"/>
        </w:rPr>
        <w:t>*</w:t>
      </w:r>
      <w:r w:rsidRPr="00591A66">
        <w:rPr>
          <w:rFonts w:ascii="Arial" w:hAnsi="Arial" w:cs="Arial"/>
        </w:rPr>
        <w:t xml:space="preserve">Potential sampling sites include but are not limited </w:t>
      </w:r>
      <w:r w:rsidRPr="00591A66" w:rsidR="006431E8">
        <w:rPr>
          <w:rFonts w:ascii="Arial" w:hAnsi="Arial" w:cs="Arial"/>
        </w:rPr>
        <w:t>to</w:t>
      </w:r>
      <w:r w:rsidRPr="00591A66">
        <w:rPr>
          <w:rFonts w:ascii="Arial" w:hAnsi="Arial" w:cs="Arial"/>
        </w:rPr>
        <w:t xml:space="preserve"> the Custer County Fair, Reside</w:t>
      </w:r>
    </w:p>
    <w:p w:rsidR="00591A66" w:rsidRPr="00591A66" w:rsidP="00A96E86" w14:paraId="45FD89BA" w14:textId="77777777">
      <w:pPr>
        <w:tabs>
          <w:tab w:val="left" w:pos="-1080"/>
          <w:tab w:val="left" w:pos="360"/>
          <w:tab w:val="left" w:pos="720"/>
          <w:tab w:val="left" w:pos="1080"/>
        </w:tabs>
        <w:ind w:left="360" w:hanging="360"/>
        <w:rPr>
          <w:rFonts w:ascii="Arial" w:hAnsi="Arial" w:cs="Arial"/>
        </w:rPr>
      </w:pPr>
      <w:r w:rsidRPr="00591A66">
        <w:rPr>
          <w:rFonts w:ascii="Arial" w:hAnsi="Arial" w:cs="Arial"/>
        </w:rPr>
        <w:t xml:space="preserve">Rendezvous, Sawtooth Gathering, Lemhi County Fair, Idaho County Fair, Big Water Blowout </w:t>
      </w:r>
    </w:p>
    <w:p w:rsidR="00A50F5F" w:rsidP="00A96E86" w14:paraId="62385B53" w14:textId="5CE48635">
      <w:pPr>
        <w:tabs>
          <w:tab w:val="left" w:pos="-1080"/>
          <w:tab w:val="left" w:pos="360"/>
          <w:tab w:val="left" w:pos="720"/>
          <w:tab w:val="left" w:pos="1080"/>
        </w:tabs>
        <w:ind w:left="360" w:hanging="360"/>
        <w:rPr>
          <w:rFonts w:ascii="Arial" w:hAnsi="Arial" w:cs="Arial"/>
        </w:rPr>
      </w:pPr>
      <w:r w:rsidRPr="00591A66">
        <w:rPr>
          <w:rFonts w:ascii="Arial" w:hAnsi="Arial" w:cs="Arial"/>
        </w:rPr>
        <w:t xml:space="preserve">River Festival, Valley County Fair, &amp; Winter Carnival </w:t>
      </w:r>
    </w:p>
    <w:p w:rsidR="004A0C73" w:rsidRPr="00591A66" w:rsidP="00A96E86" w14:paraId="6D743700" w14:textId="5C01992F">
      <w:pPr>
        <w:tabs>
          <w:tab w:val="left" w:pos="-1080"/>
          <w:tab w:val="left" w:pos="360"/>
          <w:tab w:val="left" w:pos="720"/>
          <w:tab w:val="left" w:pos="1080"/>
        </w:tabs>
        <w:ind w:left="360" w:hanging="360"/>
        <w:rPr>
          <w:rFonts w:ascii="Arial" w:hAnsi="Arial" w:cs="Arial"/>
        </w:rPr>
      </w:pPr>
      <w:r>
        <w:rPr>
          <w:rFonts w:ascii="Arial" w:hAnsi="Arial" w:cs="Arial"/>
        </w:rPr>
        <w:t xml:space="preserve">***Secondary universe includes </w:t>
      </w:r>
      <w:r w:rsidR="00776C05">
        <w:rPr>
          <w:rFonts w:ascii="Arial" w:hAnsi="Arial" w:cs="Arial"/>
        </w:rPr>
        <w:t>visitors attending events from outside of the 4-county primary universe</w:t>
      </w:r>
      <w:r w:rsidR="00AF699E">
        <w:rPr>
          <w:rFonts w:ascii="Arial" w:hAnsi="Arial" w:cs="Arial"/>
        </w:rPr>
        <w:t>.</w:t>
      </w:r>
    </w:p>
    <w:p w:rsidR="00591A66" w:rsidRPr="00A96E86" w:rsidP="00A96E86" w14:paraId="757E6343" w14:textId="77777777">
      <w:pPr>
        <w:tabs>
          <w:tab w:val="left" w:pos="-1080"/>
          <w:tab w:val="left" w:pos="360"/>
          <w:tab w:val="left" w:pos="720"/>
          <w:tab w:val="left" w:pos="1080"/>
        </w:tabs>
        <w:ind w:left="360" w:hanging="360"/>
        <w:rPr>
          <w:rFonts w:ascii="Arial" w:hAnsi="Arial" w:cs="Arial"/>
          <w:sz w:val="22"/>
          <w:szCs w:val="22"/>
        </w:rPr>
      </w:pPr>
    </w:p>
    <w:p w:rsidR="008126AE" w:rsidRPr="00D551CC" w:rsidP="00F11910" w14:paraId="65BACB49" w14:textId="77777777">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rsidR="008126AE" w:rsidRPr="00D551CC" w:rsidP="00056F19" w14:paraId="4A159C51"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8126AE" w:rsidRPr="00D551CC" w:rsidP="00056F19" w14:paraId="3A1A9F60"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8126AE" w:rsidRPr="00D551CC" w:rsidP="00056F19" w14:paraId="2A60F873"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8126AE" w:rsidRPr="00D551CC" w:rsidP="00056F19" w14:paraId="65280DB2"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8126AE" w:rsidRPr="00D551CC" w:rsidP="00056F19" w14:paraId="4CA24F2A"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A96E86" w:rsidRPr="00A96E86" w:rsidP="000A14DF" w14:paraId="1EE5EC70" w14:textId="77777777">
      <w:pPr>
        <w:rPr>
          <w:rFonts w:ascii="Arial" w:hAnsi="Arial" w:cs="Arial"/>
          <w:sz w:val="22"/>
        </w:rPr>
      </w:pPr>
    </w:p>
    <w:p w:rsidR="00A96E86" w:rsidRPr="00A96E86" w:rsidP="00A24B11" w14:paraId="75AC3B3B" w14:textId="5961711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A96E86">
        <w:rPr>
          <w:rFonts w:ascii="Arial" w:hAnsi="Arial" w:cs="Arial"/>
          <w:sz w:val="22"/>
        </w:rPr>
        <w:t xml:space="preserve">Based on our estimations, we conservatively anticipate a response rate of </w:t>
      </w:r>
      <w:r w:rsidR="000A14DF">
        <w:rPr>
          <w:rFonts w:ascii="Arial" w:hAnsi="Arial" w:cs="Arial"/>
          <w:sz w:val="22"/>
        </w:rPr>
        <w:t>50</w:t>
      </w:r>
      <w:r w:rsidRPr="00A96E86">
        <w:rPr>
          <w:rFonts w:ascii="Arial" w:hAnsi="Arial" w:cs="Arial"/>
          <w:sz w:val="22"/>
        </w:rPr>
        <w:t xml:space="preserve">% for the </w:t>
      </w:r>
      <w:r w:rsidR="006C390D">
        <w:rPr>
          <w:rFonts w:ascii="Arial" w:hAnsi="Arial" w:cs="Arial"/>
          <w:sz w:val="22"/>
        </w:rPr>
        <w:t xml:space="preserve">entire </w:t>
      </w:r>
      <w:r w:rsidR="00500808">
        <w:rPr>
          <w:rFonts w:ascii="Arial" w:hAnsi="Arial" w:cs="Arial"/>
          <w:sz w:val="22"/>
        </w:rPr>
        <w:t>event-based</w:t>
      </w:r>
      <w:r w:rsidR="00083378">
        <w:rPr>
          <w:rFonts w:ascii="Arial" w:hAnsi="Arial" w:cs="Arial"/>
          <w:sz w:val="22"/>
        </w:rPr>
        <w:t xml:space="preserve"> survey</w:t>
      </w:r>
      <w:r w:rsidR="006C390D">
        <w:rPr>
          <w:rFonts w:ascii="Arial" w:hAnsi="Arial" w:cs="Arial"/>
          <w:sz w:val="22"/>
        </w:rPr>
        <w:t xml:space="preserve"> design to intercept a representative sample of residents of counties </w:t>
      </w:r>
      <w:r w:rsidR="000A14DF">
        <w:rPr>
          <w:rFonts w:ascii="Arial" w:hAnsi="Arial" w:cs="Arial"/>
          <w:sz w:val="22"/>
        </w:rPr>
        <w:t xml:space="preserve">within and </w:t>
      </w:r>
      <w:r w:rsidR="006C390D">
        <w:rPr>
          <w:rFonts w:ascii="Arial" w:hAnsi="Arial" w:cs="Arial"/>
          <w:sz w:val="22"/>
        </w:rPr>
        <w:t>adjacent to the Salmon River Basin.</w:t>
      </w:r>
      <w:r w:rsidRPr="00A96E86">
        <w:rPr>
          <w:rFonts w:ascii="Arial" w:hAnsi="Arial" w:cs="Arial"/>
          <w:sz w:val="22"/>
        </w:rPr>
        <w:t xml:space="preserve"> </w:t>
      </w:r>
      <w:r w:rsidR="000A14DF">
        <w:rPr>
          <w:rFonts w:ascii="Arial" w:hAnsi="Arial" w:cs="Arial"/>
          <w:sz w:val="22"/>
        </w:rPr>
        <w:t>County households reflect</w:t>
      </w:r>
      <w:r w:rsidRPr="00A96E86">
        <w:rPr>
          <w:rFonts w:ascii="Arial" w:hAnsi="Arial" w:cs="Arial"/>
          <w:sz w:val="22"/>
        </w:rPr>
        <w:t xml:space="preserve"> </w:t>
      </w:r>
      <w:r w:rsidR="00083378">
        <w:rPr>
          <w:rFonts w:ascii="Arial" w:hAnsi="Arial" w:cs="Arial"/>
          <w:sz w:val="22"/>
        </w:rPr>
        <w:t xml:space="preserve">US census data </w:t>
      </w:r>
      <w:r w:rsidR="000A14DF">
        <w:rPr>
          <w:rFonts w:ascii="Arial" w:hAnsi="Arial" w:cs="Arial"/>
          <w:sz w:val="22"/>
        </w:rPr>
        <w:t>for</w:t>
      </w:r>
      <w:r w:rsidR="00083378">
        <w:rPr>
          <w:rFonts w:ascii="Arial" w:hAnsi="Arial" w:cs="Arial"/>
          <w:sz w:val="22"/>
        </w:rPr>
        <w:t xml:space="preserve"> Custer, Lemhi, Valley, and Idaho</w:t>
      </w:r>
      <w:r w:rsidR="000A14DF">
        <w:rPr>
          <w:rFonts w:ascii="Arial" w:hAnsi="Arial" w:cs="Arial"/>
          <w:sz w:val="22"/>
        </w:rPr>
        <w:t xml:space="preserve"> Counties</w:t>
      </w:r>
      <w:r w:rsidR="006C390D">
        <w:rPr>
          <w:rFonts w:ascii="Arial" w:hAnsi="Arial" w:cs="Arial"/>
          <w:sz w:val="22"/>
        </w:rPr>
        <w:t xml:space="preserve">. Event-based sampling will target events in the county seats of </w:t>
      </w:r>
      <w:r w:rsidR="00164ADC">
        <w:rPr>
          <w:rFonts w:ascii="Arial" w:hAnsi="Arial" w:cs="Arial"/>
          <w:sz w:val="22"/>
        </w:rPr>
        <w:t>Challis, Salmon, Cascade, and Grangeville, as well as</w:t>
      </w:r>
      <w:r w:rsidR="00083378">
        <w:rPr>
          <w:rFonts w:ascii="Arial" w:hAnsi="Arial" w:cs="Arial"/>
          <w:sz w:val="22"/>
        </w:rPr>
        <w:t xml:space="preserve"> Riggins</w:t>
      </w:r>
      <w:r w:rsidR="00500808">
        <w:rPr>
          <w:rFonts w:ascii="Arial" w:hAnsi="Arial" w:cs="Arial"/>
          <w:sz w:val="22"/>
        </w:rPr>
        <w:t>,</w:t>
      </w:r>
      <w:r w:rsidR="00083378">
        <w:rPr>
          <w:rFonts w:ascii="Arial" w:hAnsi="Arial" w:cs="Arial"/>
          <w:sz w:val="22"/>
        </w:rPr>
        <w:t xml:space="preserve"> McCall</w:t>
      </w:r>
      <w:r w:rsidR="00500808">
        <w:rPr>
          <w:rFonts w:ascii="Arial" w:hAnsi="Arial" w:cs="Arial"/>
          <w:sz w:val="22"/>
        </w:rPr>
        <w:t>, and Stanley</w:t>
      </w:r>
      <w:r w:rsidR="00083378">
        <w:rPr>
          <w:rFonts w:ascii="Arial" w:hAnsi="Arial" w:cs="Arial"/>
          <w:sz w:val="22"/>
        </w:rPr>
        <w:t xml:space="preserve">. Our estimate of </w:t>
      </w:r>
      <w:r w:rsidRPr="00A96E86">
        <w:rPr>
          <w:rFonts w:ascii="Arial" w:hAnsi="Arial" w:cs="Arial"/>
          <w:sz w:val="22"/>
        </w:rPr>
        <w:t xml:space="preserve">the response rate </w:t>
      </w:r>
      <w:r w:rsidR="000A14DF">
        <w:rPr>
          <w:rFonts w:ascii="Arial" w:hAnsi="Arial" w:cs="Arial"/>
          <w:sz w:val="22"/>
        </w:rPr>
        <w:t xml:space="preserve">is incredibly conservative and based on </w:t>
      </w:r>
      <w:r w:rsidRPr="000A14DF">
        <w:rPr>
          <w:rFonts w:ascii="Arial" w:hAnsi="Arial" w:cs="Arial"/>
          <w:sz w:val="22"/>
        </w:rPr>
        <w:t>(</w:t>
      </w:r>
      <w:r w:rsidRPr="000A14DF" w:rsidR="000A14DF">
        <w:rPr>
          <w:rFonts w:ascii="Arial" w:hAnsi="Arial" w:cs="Arial"/>
          <w:sz w:val="22"/>
        </w:rPr>
        <w:t>80</w:t>
      </w:r>
      <w:r w:rsidRPr="000A14DF">
        <w:rPr>
          <w:rFonts w:ascii="Arial" w:hAnsi="Arial" w:cs="Arial"/>
          <w:sz w:val="22"/>
        </w:rPr>
        <w:t xml:space="preserve">%) in </w:t>
      </w:r>
      <w:r w:rsidR="000A14DF">
        <w:rPr>
          <w:rFonts w:ascii="Arial" w:hAnsi="Arial" w:cs="Arial"/>
          <w:sz w:val="22"/>
        </w:rPr>
        <w:t>Trentleman</w:t>
      </w:r>
      <w:r w:rsidR="000A14DF">
        <w:rPr>
          <w:rFonts w:ascii="Arial" w:hAnsi="Arial" w:cs="Arial"/>
          <w:sz w:val="22"/>
        </w:rPr>
        <w:t xml:space="preserve"> et al. (2016) which details the effectiveness of personal interaction on survey response in rural environments in the Intermountain West</w:t>
      </w:r>
      <w:r w:rsidRPr="00A96E86">
        <w:rPr>
          <w:rFonts w:ascii="Arial" w:hAnsi="Arial" w:cs="Arial"/>
          <w:sz w:val="22"/>
        </w:rPr>
        <w:t>. This effort will produce sample sizes</w:t>
      </w:r>
      <w:r w:rsidR="00C449C4">
        <w:rPr>
          <w:rFonts w:ascii="Arial" w:hAnsi="Arial" w:cs="Arial"/>
          <w:sz w:val="22"/>
        </w:rPr>
        <w:t xml:space="preserve"> for the primary universe</w:t>
      </w:r>
      <w:r w:rsidRPr="00A96E86">
        <w:rPr>
          <w:rFonts w:ascii="Arial" w:hAnsi="Arial" w:cs="Arial"/>
          <w:sz w:val="22"/>
        </w:rPr>
        <w:t xml:space="preserve"> that are considered robust in the aggregate with acceptable margins of error </w:t>
      </w:r>
      <w:r w:rsidR="00083378">
        <w:rPr>
          <w:rFonts w:ascii="Arial" w:hAnsi="Arial" w:cs="Arial"/>
          <w:sz w:val="22"/>
        </w:rPr>
        <w:t>at</w:t>
      </w:r>
      <w:r w:rsidRPr="00A96E86">
        <w:rPr>
          <w:rFonts w:ascii="Arial" w:hAnsi="Arial" w:cs="Arial"/>
          <w:sz w:val="22"/>
        </w:rPr>
        <w:t xml:space="preserve"> ±5% </w:t>
      </w:r>
      <w:r w:rsidR="00083378">
        <w:rPr>
          <w:rFonts w:ascii="Arial" w:hAnsi="Arial" w:cs="Arial"/>
          <w:sz w:val="22"/>
        </w:rPr>
        <w:t>at</w:t>
      </w:r>
      <w:r w:rsidRPr="00A96E86">
        <w:rPr>
          <w:rFonts w:ascii="Arial" w:hAnsi="Arial" w:cs="Arial"/>
          <w:sz w:val="22"/>
        </w:rPr>
        <w:t xml:space="preserve"> the 95% confidence level for all aggregate samples and potential sub-samples.</w:t>
      </w:r>
      <w:r w:rsidR="00C449C4">
        <w:rPr>
          <w:rFonts w:ascii="Arial" w:hAnsi="Arial" w:cs="Arial"/>
          <w:sz w:val="22"/>
        </w:rPr>
        <w:t xml:space="preserve"> For the secondary universe, a convenience sampling approach will </w:t>
      </w:r>
      <w:r w:rsidR="004B1142">
        <w:rPr>
          <w:rFonts w:ascii="Arial" w:hAnsi="Arial" w:cs="Arial"/>
          <w:sz w:val="22"/>
        </w:rPr>
        <w:t xml:space="preserve">allow intercepted event attendees to opt-in to survey participation. As the secondary universe includes the entire global population, </w:t>
      </w:r>
      <w:r w:rsidR="009B7095">
        <w:rPr>
          <w:rFonts w:ascii="Arial" w:hAnsi="Arial" w:cs="Arial"/>
          <w:sz w:val="22"/>
        </w:rPr>
        <w:t>there is no effort made to generalize the visitor population</w:t>
      </w:r>
      <w:r w:rsidR="00542FDE">
        <w:rPr>
          <w:rFonts w:ascii="Arial" w:hAnsi="Arial" w:cs="Arial"/>
          <w:sz w:val="22"/>
        </w:rPr>
        <w:t xml:space="preserve">, which will comprise a convenience </w:t>
      </w:r>
      <w:r w:rsidR="00542FDE">
        <w:rPr>
          <w:rFonts w:ascii="Arial" w:hAnsi="Arial" w:cs="Arial"/>
          <w:sz w:val="22"/>
        </w:rPr>
        <w:t>sample,</w:t>
      </w:r>
      <w:r w:rsidR="009B7095">
        <w:rPr>
          <w:rFonts w:ascii="Arial" w:hAnsi="Arial" w:cs="Arial"/>
          <w:sz w:val="22"/>
        </w:rPr>
        <w:t xml:space="preserve"> </w:t>
      </w:r>
      <w:r w:rsidR="00542FDE">
        <w:rPr>
          <w:rFonts w:ascii="Arial" w:hAnsi="Arial" w:cs="Arial"/>
          <w:sz w:val="22"/>
        </w:rPr>
        <w:t xml:space="preserve">outside the scope of this study. </w:t>
      </w:r>
      <w:r w:rsidR="009B7095">
        <w:rPr>
          <w:rFonts w:ascii="Arial" w:hAnsi="Arial" w:cs="Arial"/>
          <w:sz w:val="22"/>
        </w:rPr>
        <w:t xml:space="preserve"> </w:t>
      </w:r>
    </w:p>
    <w:p w:rsidR="00A96E86" w:rsidRPr="00A96E86" w:rsidP="00A96E86" w14:paraId="6B694FA0" w14:textId="77777777">
      <w:pPr>
        <w:tabs>
          <w:tab w:val="left" w:pos="-1080"/>
          <w:tab w:val="left" w:pos="360"/>
          <w:tab w:val="left" w:pos="720"/>
          <w:tab w:val="left" w:pos="1080"/>
        </w:tabs>
        <w:ind w:left="360" w:hanging="360"/>
        <w:rPr>
          <w:rFonts w:ascii="Arial" w:hAnsi="Arial" w:cs="Arial"/>
          <w:sz w:val="22"/>
        </w:rPr>
      </w:pPr>
    </w:p>
    <w:p w:rsidR="008126AE" w:rsidRPr="00D551CC" w:rsidP="00F11910" w14:paraId="2A46E223" w14:textId="77777777">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C9590C" w:rsidP="00056F19" w14:paraId="7C5E1AE0" w14:textId="77777777">
      <w:pPr>
        <w:tabs>
          <w:tab w:val="left" w:pos="360"/>
          <w:tab w:val="left" w:pos="720"/>
        </w:tabs>
        <w:rPr>
          <w:rFonts w:ascii="Arial" w:hAnsi="Arial" w:cs="Arial"/>
          <w:sz w:val="24"/>
          <w:szCs w:val="22"/>
        </w:rPr>
      </w:pPr>
    </w:p>
    <w:p w:rsidR="006B0CA1" w:rsidP="00542FDE" w14:paraId="1416E61D" w14:textId="496CA0A4">
      <w:pPr>
        <w:rPr>
          <w:rFonts w:ascii="Arial" w:hAnsi="Arial" w:cs="Arial"/>
          <w:sz w:val="22"/>
        </w:rPr>
      </w:pPr>
      <w:r w:rsidRPr="00804AE6">
        <w:rPr>
          <w:rFonts w:ascii="Arial" w:hAnsi="Arial" w:cs="Arial"/>
          <w:sz w:val="22"/>
        </w:rPr>
        <w:t>Best practices for in-person intercepts</w:t>
      </w:r>
      <w:r w:rsidR="00804AE6">
        <w:rPr>
          <w:rFonts w:ascii="Arial" w:hAnsi="Arial" w:cs="Arial"/>
          <w:sz w:val="22"/>
        </w:rPr>
        <w:t xml:space="preserve"> in rural environments in the western United States</w:t>
      </w:r>
      <w:r w:rsidRPr="00804AE6">
        <w:rPr>
          <w:rFonts w:ascii="Arial" w:hAnsi="Arial" w:cs="Arial"/>
          <w:sz w:val="22"/>
        </w:rPr>
        <w:t xml:space="preserve"> are modified from </w:t>
      </w:r>
      <w:r w:rsidRPr="00804AE6">
        <w:rPr>
          <w:rFonts w:ascii="Arial" w:hAnsi="Arial" w:cs="Arial"/>
          <w:sz w:val="22"/>
        </w:rPr>
        <w:t>Trentlemen</w:t>
      </w:r>
      <w:r w:rsidRPr="00804AE6">
        <w:rPr>
          <w:rFonts w:ascii="Arial" w:hAnsi="Arial" w:cs="Arial"/>
          <w:sz w:val="22"/>
        </w:rPr>
        <w:t xml:space="preserve"> et al. (2016). Sample practices include direct interaction to leverage social exchange dynamics, utilizing tablet-based sampling with surveyor assistance, surveyor working from a preset script, and assisting with questionnaire completion</w:t>
      </w:r>
      <w:r w:rsidR="000C228A">
        <w:rPr>
          <w:rFonts w:ascii="Arial" w:hAnsi="Arial" w:cs="Arial"/>
          <w:sz w:val="22"/>
        </w:rPr>
        <w:t>, when requested by respondents</w:t>
      </w:r>
      <w:r w:rsidRPr="00804AE6">
        <w:rPr>
          <w:rFonts w:ascii="Arial" w:hAnsi="Arial" w:cs="Arial"/>
          <w:sz w:val="22"/>
        </w:rPr>
        <w:t xml:space="preserve">. </w:t>
      </w:r>
      <w:r w:rsidR="00804AE6">
        <w:rPr>
          <w:rFonts w:ascii="Arial" w:hAnsi="Arial" w:cs="Arial"/>
          <w:sz w:val="22"/>
        </w:rPr>
        <w:t xml:space="preserve">A minimum of two researchers will be present at each sampling event. </w:t>
      </w:r>
    </w:p>
    <w:p w:rsidR="000C228A" w:rsidP="00542FDE" w14:paraId="3EA06FCB" w14:textId="77777777">
      <w:pPr>
        <w:rPr>
          <w:rFonts w:ascii="Arial" w:hAnsi="Arial" w:cs="Arial"/>
          <w:sz w:val="22"/>
        </w:rPr>
      </w:pPr>
    </w:p>
    <w:p w:rsidR="001271F0" w:rsidRPr="001271F0" w:rsidP="001271F0" w14:paraId="7704A8AC" w14:textId="5C749AF8">
      <w:pPr>
        <w:rPr>
          <w:rFonts w:ascii="Arial" w:hAnsi="Arial" w:cs="Arial"/>
          <w:sz w:val="22"/>
          <w:szCs w:val="22"/>
        </w:rPr>
      </w:pPr>
      <w:r w:rsidRPr="001271F0">
        <w:rPr>
          <w:rFonts w:ascii="Arial" w:hAnsi="Arial" w:cs="Arial"/>
          <w:sz w:val="22"/>
          <w:szCs w:val="22"/>
        </w:rPr>
        <w:t>The surveys in this collection will follow the same sampling procedures although the locations and settings will differ. The initial contact with</w:t>
      </w:r>
      <w:r w:rsidR="00D708F5">
        <w:rPr>
          <w:rFonts w:ascii="Arial" w:hAnsi="Arial" w:cs="Arial"/>
          <w:sz w:val="22"/>
          <w:szCs w:val="22"/>
        </w:rPr>
        <w:t xml:space="preserve"> event attendees</w:t>
      </w:r>
      <w:r w:rsidRPr="001271F0">
        <w:rPr>
          <w:rFonts w:ascii="Arial" w:hAnsi="Arial" w:cs="Arial"/>
          <w:sz w:val="22"/>
          <w:szCs w:val="22"/>
        </w:rPr>
        <w:t xml:space="preserve"> will be used to explain the study and determine if </w:t>
      </w:r>
      <w:r w:rsidR="00D708F5">
        <w:rPr>
          <w:rFonts w:ascii="Arial" w:hAnsi="Arial" w:cs="Arial"/>
          <w:sz w:val="22"/>
          <w:szCs w:val="22"/>
        </w:rPr>
        <w:t>they</w:t>
      </w:r>
      <w:r w:rsidRPr="001271F0">
        <w:rPr>
          <w:rFonts w:ascii="Arial" w:hAnsi="Arial" w:cs="Arial"/>
          <w:sz w:val="22"/>
          <w:szCs w:val="22"/>
        </w:rPr>
        <w:t xml:space="preserve"> are interested in participating (see script below). This should take approximately one minute. The </w:t>
      </w:r>
      <w:r w:rsidR="009729B0">
        <w:rPr>
          <w:rFonts w:ascii="Arial" w:hAnsi="Arial" w:cs="Arial"/>
          <w:sz w:val="22"/>
          <w:szCs w:val="22"/>
        </w:rPr>
        <w:t xml:space="preserve">attendees </w:t>
      </w:r>
      <w:r w:rsidRPr="001271F0">
        <w:rPr>
          <w:rFonts w:ascii="Arial" w:hAnsi="Arial" w:cs="Arial"/>
          <w:sz w:val="22"/>
          <w:szCs w:val="22"/>
        </w:rPr>
        <w:t xml:space="preserve">that refuse to participate will be asked if they would be willing to take a minute to respond to non-response bias questions (which will be recorded by the survey administrator). The number of refusals will be recorded and used to calculate the overall response rate for the collection.  </w:t>
      </w:r>
    </w:p>
    <w:p w:rsidR="00F16C5F" w:rsidP="00F16C5F" w14:paraId="5F89B2DD" w14:textId="77777777">
      <w:pPr>
        <w:ind w:left="360" w:hanging="360"/>
        <w:rPr>
          <w:sz w:val="22"/>
          <w:szCs w:val="22"/>
        </w:rPr>
      </w:pPr>
    </w:p>
    <w:p w:rsidR="001271F0" w:rsidRPr="00F16C5F" w:rsidP="00F16C5F" w14:paraId="08C7C493" w14:textId="55C5E726">
      <w:pPr>
        <w:ind w:left="360" w:firstLine="360"/>
        <w:rPr>
          <w:rFonts w:ascii="Arial" w:hAnsi="Arial" w:cs="Arial"/>
          <w:sz w:val="22"/>
          <w:szCs w:val="22"/>
        </w:rPr>
      </w:pPr>
      <w:r w:rsidRPr="00F16C5F">
        <w:rPr>
          <w:rFonts w:ascii="Arial" w:hAnsi="Arial" w:cs="Arial"/>
          <w:sz w:val="22"/>
          <w:szCs w:val="22"/>
        </w:rPr>
        <w:t xml:space="preserve">Attendees </w:t>
      </w:r>
      <w:r w:rsidRPr="00F16C5F">
        <w:rPr>
          <w:rFonts w:ascii="Arial" w:hAnsi="Arial" w:cs="Arial"/>
          <w:sz w:val="22"/>
          <w:szCs w:val="22"/>
        </w:rPr>
        <w:t>selected for participating in the survey will be read the following script:</w:t>
      </w:r>
    </w:p>
    <w:p w:rsidR="001271F0" w:rsidRPr="001271F0" w:rsidP="00D749DA" w14:paraId="72CCF911" w14:textId="77777777">
      <w:pPr>
        <w:ind w:left="360"/>
      </w:pPr>
    </w:p>
    <w:p w:rsidR="001271F0" w:rsidP="00D749DA" w14:paraId="3C7BEDD3" w14:textId="633D9827">
      <w:pPr>
        <w:ind w:left="720"/>
      </w:pPr>
      <w:r w:rsidRPr="001271F0">
        <w:t xml:space="preserve">“Hello, my name is_________.  I am conducting a survey for the </w:t>
      </w:r>
      <w:r w:rsidR="00F16C5F">
        <w:t>U</w:t>
      </w:r>
      <w:r w:rsidR="00655878">
        <w:t>.</w:t>
      </w:r>
      <w:r w:rsidR="00F16C5F">
        <w:t>S</w:t>
      </w:r>
      <w:r w:rsidR="00655878">
        <w:t>.</w:t>
      </w:r>
      <w:r w:rsidR="00F16C5F">
        <w:t xml:space="preserve"> Geological Survey</w:t>
      </w:r>
      <w:r w:rsidRPr="001271F0">
        <w:t xml:space="preserve"> to better understand</w:t>
      </w:r>
      <w:r w:rsidR="001555CC">
        <w:t xml:space="preserve"> </w:t>
      </w:r>
      <w:r w:rsidRPr="001271F0">
        <w:t xml:space="preserve">your </w:t>
      </w:r>
      <w:r w:rsidR="00076CE9">
        <w:t>use of natural resources in the Salmon River Basin</w:t>
      </w:r>
      <w:r w:rsidRPr="001271F0">
        <w:t>. Your participation is voluntary, and all responses will be kept anonymous. Would you be willing to take a 1</w:t>
      </w:r>
      <w:r w:rsidR="00076CE9">
        <w:t>5</w:t>
      </w:r>
      <w:r w:rsidRPr="001271F0">
        <w:t>-minute survey?”</w:t>
      </w:r>
    </w:p>
    <w:p w:rsidR="001555CC" w:rsidP="00D749DA" w14:paraId="7C20C296" w14:textId="77777777">
      <w:pPr>
        <w:ind w:left="720"/>
      </w:pPr>
    </w:p>
    <w:p w:rsidR="00076CE9" w:rsidRPr="001271F0" w:rsidP="00D749DA" w14:paraId="0EBA024B" w14:textId="77777777">
      <w:pPr>
        <w:ind w:left="720"/>
      </w:pPr>
    </w:p>
    <w:tbl>
      <w:tblPr>
        <w:tblStyle w:val="TableGrid"/>
        <w:tblW w:w="8265" w:type="dxa"/>
        <w:tblInd w:w="805" w:type="dxa"/>
        <w:tblBorders>
          <w:insideH w:val="none" w:sz="0" w:space="0" w:color="auto"/>
          <w:insideV w:val="none" w:sz="0" w:space="0" w:color="auto"/>
        </w:tblBorders>
        <w:tblLayout w:type="fixed"/>
        <w:tblLook w:val="04A0"/>
      </w:tblPr>
      <w:tblGrid>
        <w:gridCol w:w="8265"/>
      </w:tblGrid>
      <w:tr w14:paraId="5ED10950" w14:textId="77777777" w:rsidTr="002E5868">
        <w:tblPrEx>
          <w:tblW w:w="8265" w:type="dxa"/>
          <w:tblInd w:w="805" w:type="dxa"/>
          <w:tblBorders>
            <w:insideH w:val="none" w:sz="0" w:space="0" w:color="auto"/>
            <w:insideV w:val="none" w:sz="0" w:space="0" w:color="auto"/>
          </w:tblBorders>
          <w:tblLayout w:type="fixed"/>
          <w:tblLook w:val="04A0"/>
        </w:tblPrEx>
        <w:trPr>
          <w:trHeight w:val="611"/>
        </w:trPr>
        <w:tc>
          <w:tcPr>
            <w:tcW w:w="8265" w:type="dxa"/>
            <w:tcBorders>
              <w:top w:val="single" w:sz="4" w:space="0" w:color="auto"/>
              <w:left w:val="single" w:sz="4" w:space="0" w:color="auto"/>
              <w:bottom w:val="nil"/>
              <w:right w:val="single" w:sz="4" w:space="0" w:color="auto"/>
            </w:tcBorders>
            <w:shd w:val="clear" w:color="auto" w:fill="F2F2F2" w:themeFill="background1" w:themeFillShade="F2"/>
          </w:tcPr>
          <w:p w:rsidR="001271F0" w:rsidRPr="00E445D2" w:rsidP="002E5868" w14:paraId="795F79D0" w14:textId="77777777">
            <w:r w:rsidRPr="00E445D2">
              <w:rPr>
                <w:rFonts w:ascii="Wingdings" w:hAnsi="Wingdings"/>
              </w:rPr>
              <w:sym w:font="Wingdings" w:char="F0E8"/>
            </w:r>
            <w:r w:rsidRPr="00E445D2">
              <w:t xml:space="preserve">If </w:t>
            </w:r>
            <w:r w:rsidRPr="00E445D2">
              <w:rPr>
                <w:b/>
              </w:rPr>
              <w:t>YES</w:t>
            </w:r>
            <w:r w:rsidRPr="00E445D2">
              <w:t xml:space="preserve"> – then ask, “has any member of your group been asked to participate in this survey before?”</w:t>
            </w:r>
          </w:p>
        </w:tc>
      </w:tr>
      <w:tr w14:paraId="1F6242BB" w14:textId="77777777" w:rsidTr="002E5868">
        <w:tblPrEx>
          <w:tblW w:w="8265" w:type="dxa"/>
          <w:tblInd w:w="805" w:type="dxa"/>
          <w:tblLayout w:type="fixed"/>
          <w:tblLook w:val="04A0"/>
        </w:tblPrEx>
        <w:trPr>
          <w:trHeight w:val="720"/>
        </w:trPr>
        <w:tc>
          <w:tcPr>
            <w:tcW w:w="8265" w:type="dxa"/>
            <w:tcBorders>
              <w:top w:val="nil"/>
              <w:left w:val="single" w:sz="4" w:space="0" w:color="auto"/>
              <w:bottom w:val="nil"/>
              <w:right w:val="single" w:sz="4" w:space="0" w:color="auto"/>
            </w:tcBorders>
            <w:shd w:val="clear" w:color="auto" w:fill="F2F2F2" w:themeFill="background1" w:themeFillShade="F2"/>
          </w:tcPr>
          <w:p w:rsidR="001271F0" w:rsidRPr="00E445D2" w:rsidP="002E5868" w14:paraId="145F1982" w14:textId="77777777">
            <w:pPr>
              <w:ind w:left="342"/>
            </w:pPr>
            <w:r w:rsidRPr="00E445D2">
              <w:t>If “</w:t>
            </w:r>
            <w:r w:rsidRPr="00E445D2">
              <w:rPr>
                <w:b/>
              </w:rPr>
              <w:t>YES</w:t>
            </w:r>
            <w:r w:rsidRPr="00E445D2">
              <w:t>” (already asked to participate) then, “</w:t>
            </w:r>
            <w:r w:rsidRPr="00E445D2">
              <w:rPr>
                <w:i/>
              </w:rPr>
              <w:t>Thank you for agreeing to participate in this study. Have a great day.”</w:t>
            </w:r>
          </w:p>
        </w:tc>
      </w:tr>
      <w:tr w14:paraId="4A791B7B" w14:textId="77777777" w:rsidTr="003B11FB">
        <w:tblPrEx>
          <w:tblW w:w="8265" w:type="dxa"/>
          <w:tblInd w:w="805" w:type="dxa"/>
          <w:tblLayout w:type="fixed"/>
          <w:tblLook w:val="04A0"/>
        </w:tblPrEx>
        <w:trPr>
          <w:trHeight w:val="738"/>
        </w:trPr>
        <w:tc>
          <w:tcPr>
            <w:tcW w:w="8265" w:type="dxa"/>
            <w:tcBorders>
              <w:top w:val="nil"/>
              <w:left w:val="single" w:sz="4" w:space="0" w:color="auto"/>
              <w:bottom w:val="nil"/>
              <w:right w:val="single" w:sz="4" w:space="0" w:color="auto"/>
            </w:tcBorders>
            <w:shd w:val="clear" w:color="auto" w:fill="F2F2F2" w:themeFill="background1" w:themeFillShade="F2"/>
          </w:tcPr>
          <w:p w:rsidR="001271F0" w:rsidRPr="00E445D2" w:rsidP="002E5868" w14:paraId="17A6C3BF" w14:textId="77777777">
            <w:pPr>
              <w:ind w:left="342"/>
            </w:pPr>
            <w:r w:rsidRPr="00E445D2">
              <w:t>If “</w:t>
            </w:r>
            <w:r w:rsidRPr="00E445D2">
              <w:rPr>
                <w:b/>
              </w:rPr>
              <w:t>NO</w:t>
            </w:r>
            <w:r w:rsidRPr="00E445D2">
              <w:t xml:space="preserve">” (have not been previously asked to participate) then, </w:t>
            </w:r>
          </w:p>
          <w:p w:rsidR="001271F0" w:rsidRPr="00E445D2" w:rsidP="002E5868" w14:paraId="73B0389F" w14:textId="29565A18">
            <w:pPr>
              <w:ind w:left="342"/>
              <w:rPr>
                <w:i/>
              </w:rPr>
            </w:pPr>
            <w:r w:rsidRPr="00E445D2">
              <w:rPr>
                <w:i/>
              </w:rPr>
              <w:t>“Thank you for agreeing to participate.</w:t>
            </w:r>
            <w:r w:rsidR="001555CC">
              <w:rPr>
                <w:i/>
              </w:rPr>
              <w:t xml:space="preserve"> </w:t>
            </w:r>
            <w:r w:rsidRPr="00E445D2">
              <w:rPr>
                <w:i/>
              </w:rPr>
              <w:t xml:space="preserve">Please use </w:t>
            </w:r>
            <w:r w:rsidR="001555CC">
              <w:rPr>
                <w:i/>
              </w:rPr>
              <w:t xml:space="preserve">this </w:t>
            </w:r>
            <w:r w:rsidR="003B11FB">
              <w:rPr>
                <w:i/>
              </w:rPr>
              <w:t xml:space="preserve">tablet to </w:t>
            </w:r>
            <w:r w:rsidRPr="00E445D2">
              <w:rPr>
                <w:i/>
              </w:rPr>
              <w:t>answer the questions in the survey, please let me know if you have any questions about the process.”</w:t>
            </w:r>
            <w:r w:rsidRPr="00E445D2" w:rsidR="009F7B8C">
              <w:rPr>
                <w:i/>
              </w:rPr>
              <w:t xml:space="preserve"> Record responses in spaces provided on the tracking sheet.</w:t>
            </w:r>
          </w:p>
        </w:tc>
      </w:tr>
      <w:tr w14:paraId="20364CBC" w14:textId="77777777" w:rsidTr="002E5868">
        <w:tblPrEx>
          <w:tblW w:w="8265" w:type="dxa"/>
          <w:tblInd w:w="805" w:type="dxa"/>
          <w:tblLayout w:type="fixed"/>
          <w:tblLook w:val="04A0"/>
        </w:tblPrEx>
        <w:trPr>
          <w:trHeight w:val="981"/>
        </w:trPr>
        <w:tc>
          <w:tcPr>
            <w:tcW w:w="8265" w:type="dxa"/>
            <w:tcBorders>
              <w:top w:val="nil"/>
              <w:left w:val="single" w:sz="4" w:space="0" w:color="auto"/>
              <w:bottom w:val="nil"/>
              <w:right w:val="single" w:sz="4" w:space="0" w:color="auto"/>
            </w:tcBorders>
            <w:shd w:val="clear" w:color="auto" w:fill="F2F2F2" w:themeFill="background1" w:themeFillShade="F2"/>
          </w:tcPr>
          <w:p w:rsidR="001271F0" w:rsidRPr="00E445D2" w:rsidP="002E5868" w14:paraId="232010EE" w14:textId="77777777">
            <w:pPr>
              <w:rPr>
                <w:b/>
                <w:i/>
              </w:rPr>
            </w:pPr>
            <w:r w:rsidRPr="00E445D2">
              <w:rPr>
                <w:rFonts w:ascii="Wingdings" w:hAnsi="Wingdings"/>
              </w:rPr>
              <w:sym w:font="Wingdings" w:char="F0E8"/>
            </w:r>
            <w:r w:rsidRPr="00E445D2">
              <w:t>If NO– (soft refusal) - ask them if they would be willing to answer the non-response bias questions (listed below) and then thank them for their time.</w:t>
            </w:r>
            <w:r w:rsidRPr="00E445D2">
              <w:rPr>
                <w:b/>
                <w:i/>
              </w:rPr>
              <w:t xml:space="preserve"> </w:t>
            </w:r>
            <w:r w:rsidRPr="00E445D2">
              <w:rPr>
                <w:i/>
              </w:rPr>
              <w:t>Record responses in spaces provided on the tracking sheet.</w:t>
            </w:r>
          </w:p>
        </w:tc>
      </w:tr>
      <w:tr w14:paraId="2164CF60" w14:textId="77777777" w:rsidTr="002E5868">
        <w:tblPrEx>
          <w:tblW w:w="8265" w:type="dxa"/>
          <w:tblInd w:w="805" w:type="dxa"/>
          <w:tblLayout w:type="fixed"/>
          <w:tblLook w:val="04A0"/>
        </w:tblPrEx>
        <w:trPr>
          <w:trHeight w:val="459"/>
        </w:trPr>
        <w:tc>
          <w:tcPr>
            <w:tcW w:w="8265" w:type="dxa"/>
            <w:tcBorders>
              <w:top w:val="nil"/>
              <w:left w:val="single" w:sz="4" w:space="0" w:color="auto"/>
              <w:bottom w:val="single" w:sz="4" w:space="0" w:color="auto"/>
              <w:right w:val="single" w:sz="4" w:space="0" w:color="auto"/>
            </w:tcBorders>
            <w:shd w:val="clear" w:color="auto" w:fill="F2F2F2" w:themeFill="background1" w:themeFillShade="F2"/>
          </w:tcPr>
          <w:p w:rsidR="001271F0" w:rsidRPr="00E445D2" w:rsidP="002E5868" w14:paraId="5E2A8CB4" w14:textId="77777777">
            <w:r w:rsidRPr="00E445D2">
              <w:rPr>
                <w:rFonts w:ascii="Wingdings" w:hAnsi="Wingdings"/>
                <w:i/>
              </w:rPr>
              <w:sym w:font="Wingdings" w:char="F0E8"/>
            </w:r>
            <w:r w:rsidRPr="00E445D2">
              <w:rPr>
                <w:i/>
              </w:rPr>
              <w:t>If NO– (hard refusal) - end the contact and thank them for their time.</w:t>
            </w:r>
          </w:p>
        </w:tc>
      </w:tr>
    </w:tbl>
    <w:p w:rsidR="000C228A" w:rsidRPr="00804AE6" w:rsidP="00542FDE" w14:paraId="5448AC92" w14:textId="77777777">
      <w:pPr>
        <w:rPr>
          <w:rFonts w:ascii="Arial" w:hAnsi="Arial" w:cs="Arial"/>
          <w:sz w:val="22"/>
        </w:rPr>
      </w:pPr>
    </w:p>
    <w:p w:rsidR="00816811" w:rsidP="00816811" w14:paraId="003C72E7" w14:textId="63E9B75A">
      <w:pPr>
        <w:tabs>
          <w:tab w:val="left" w:pos="2160"/>
        </w:tabs>
        <w:ind w:left="360" w:hanging="360"/>
        <w:rPr>
          <w:rFonts w:ascii="Arial" w:hAnsi="Arial" w:cs="Arial"/>
          <w:sz w:val="22"/>
          <w:szCs w:val="22"/>
        </w:rPr>
      </w:pPr>
      <w:r w:rsidRPr="00816811">
        <w:rPr>
          <w:rFonts w:ascii="Arial" w:hAnsi="Arial" w:cs="Arial"/>
          <w:sz w:val="22"/>
          <w:szCs w:val="22"/>
        </w:rPr>
        <w:t>The following questions will</w:t>
      </w:r>
      <w:r>
        <w:rPr>
          <w:rFonts w:ascii="Arial" w:hAnsi="Arial" w:cs="Arial"/>
          <w:sz w:val="22"/>
          <w:szCs w:val="22"/>
        </w:rPr>
        <w:t xml:space="preserve"> be</w:t>
      </w:r>
      <w:r w:rsidRPr="00816811">
        <w:rPr>
          <w:rFonts w:ascii="Arial" w:hAnsi="Arial" w:cs="Arial"/>
          <w:sz w:val="22"/>
          <w:szCs w:val="22"/>
        </w:rPr>
        <w:t xml:space="preserve"> the non-response bias check for this collection:</w:t>
      </w:r>
    </w:p>
    <w:p w:rsidR="00AB4304" w:rsidRPr="00816811" w:rsidP="00816811" w14:paraId="21DBCB6B" w14:textId="77777777">
      <w:pPr>
        <w:tabs>
          <w:tab w:val="left" w:pos="2160"/>
        </w:tabs>
        <w:ind w:left="360" w:hanging="360"/>
        <w:rPr>
          <w:rFonts w:ascii="Arial" w:hAnsi="Arial" w:cs="Arial"/>
          <w:sz w:val="22"/>
          <w:szCs w:val="22"/>
        </w:rPr>
      </w:pPr>
    </w:p>
    <w:p w:rsidR="00816811" w:rsidRPr="00816811" w:rsidP="00655878" w14:paraId="2A10BB2C" w14:textId="56132E61">
      <w:pPr>
        <w:pStyle w:val="ListParagraph"/>
        <w:numPr>
          <w:ilvl w:val="0"/>
          <w:numId w:val="9"/>
        </w:numPr>
      </w:pPr>
      <w:r>
        <w:t xml:space="preserve">Do you reside in Custer, Lemhi, Valley, or Idaho county? </w:t>
      </w:r>
      <w:r w:rsidRPr="00816811">
        <w:rPr>
          <w:i/>
        </w:rPr>
        <w:t>____yes _____no</w:t>
      </w:r>
      <w:r w:rsidR="00AB4304">
        <w:t>___</w:t>
      </w:r>
      <w:r w:rsidR="0080141F">
        <w:rPr>
          <w:i/>
        </w:rPr>
        <w:t xml:space="preserve"> </w:t>
      </w:r>
      <w:r w:rsidRPr="00816811">
        <w:rPr>
          <w:i/>
        </w:rPr>
        <w:t>not sure</w:t>
      </w:r>
    </w:p>
    <w:p w:rsidR="00816811" w:rsidRPr="00AB4304" w:rsidP="00655878" w14:paraId="5EE943C0" w14:textId="5CB5CC0C">
      <w:pPr>
        <w:pStyle w:val="ListParagraph"/>
        <w:numPr>
          <w:ilvl w:val="0"/>
          <w:numId w:val="9"/>
        </w:numPr>
      </w:pPr>
      <w:r w:rsidRPr="00AB4304">
        <w:t xml:space="preserve">If “yes,” which county: </w:t>
      </w:r>
      <w:r w:rsidRPr="00AB4304">
        <w:rPr>
          <w:i/>
        </w:rPr>
        <w:t>____</w:t>
      </w:r>
      <w:r w:rsidRPr="00AB4304">
        <w:t>Custer</w:t>
      </w:r>
      <w:r w:rsidRPr="00AB4304">
        <w:rPr>
          <w:i/>
        </w:rPr>
        <w:t xml:space="preserve"> ____ </w:t>
      </w:r>
      <w:r w:rsidRPr="00AB4304">
        <w:t>Lemhi</w:t>
      </w:r>
      <w:r w:rsidRPr="00AB4304">
        <w:rPr>
          <w:i/>
        </w:rPr>
        <w:t xml:space="preserve"> ____ </w:t>
      </w:r>
      <w:r w:rsidRPr="00AB4304">
        <w:t>Valley</w:t>
      </w:r>
      <w:r w:rsidRPr="00AB4304">
        <w:rPr>
          <w:i/>
        </w:rPr>
        <w:t xml:space="preserve"> ____</w:t>
      </w:r>
      <w:r w:rsidRPr="00AB4304">
        <w:t>Idaho</w:t>
      </w:r>
      <w:r w:rsidRPr="00AB4304">
        <w:rPr>
          <w:i/>
        </w:rPr>
        <w:t xml:space="preserve"> </w:t>
      </w:r>
    </w:p>
    <w:p w:rsidR="00AB4304" w:rsidRPr="00AB4304" w:rsidP="00655878" w14:paraId="21BDE6E8" w14:textId="53BC40D6">
      <w:pPr>
        <w:pStyle w:val="ListParagraph"/>
        <w:numPr>
          <w:ilvl w:val="0"/>
          <w:numId w:val="9"/>
        </w:numPr>
      </w:pPr>
      <w:r>
        <w:t xml:space="preserve">If “no,” what county and state: </w:t>
      </w:r>
      <w:r w:rsidRPr="00AB4304">
        <w:rPr>
          <w:i/>
        </w:rPr>
        <w:t>____</w:t>
      </w:r>
      <w:r>
        <w:t>____ (County) ________ (State)</w:t>
      </w:r>
    </w:p>
    <w:p w:rsidR="00AB4304" w:rsidRPr="00816811" w:rsidP="00D749DA" w14:paraId="442B4CBF" w14:textId="77777777">
      <w:pPr>
        <w:ind w:left="720"/>
      </w:pPr>
    </w:p>
    <w:p w:rsidR="00816811" w:rsidRPr="00816811" w:rsidP="00816811" w14:paraId="6369C322" w14:textId="16D47758">
      <w:pPr>
        <w:tabs>
          <w:tab w:val="left" w:pos="360"/>
          <w:tab w:val="left" w:pos="720"/>
          <w:tab w:val="left" w:pos="1440"/>
          <w:tab w:val="left" w:pos="2160"/>
          <w:tab w:val="left" w:pos="3600"/>
          <w:tab w:val="left" w:pos="5040"/>
          <w:tab w:val="left" w:pos="5760"/>
        </w:tabs>
        <w:rPr>
          <w:rFonts w:ascii="Arial" w:hAnsi="Arial" w:cs="Arial"/>
          <w:sz w:val="22"/>
          <w:szCs w:val="22"/>
        </w:rPr>
      </w:pPr>
      <w:r w:rsidRPr="00816811">
        <w:rPr>
          <w:rFonts w:ascii="Arial" w:hAnsi="Arial" w:cs="Arial"/>
          <w:sz w:val="22"/>
          <w:szCs w:val="22"/>
        </w:rPr>
        <w:t xml:space="preserve">All responses will be recorded on a log for every survey contacted. Results of the non-response </w:t>
      </w:r>
      <w:r w:rsidRPr="00816811">
        <w:rPr>
          <w:rFonts w:ascii="Arial" w:hAnsi="Arial" w:cs="Arial"/>
          <w:sz w:val="22"/>
          <w:szCs w:val="22"/>
        </w:rPr>
        <w:t>bias check will be described in a report and any implications for park planning and management will be discussed.</w:t>
      </w:r>
    </w:p>
    <w:p w:rsidR="00B66FD5" w:rsidRPr="00C9590C" w:rsidP="00056F19" w14:paraId="66245F10" w14:textId="36B82C4A">
      <w:pPr>
        <w:tabs>
          <w:tab w:val="left" w:pos="360"/>
          <w:tab w:val="left" w:pos="720"/>
        </w:tabs>
        <w:rPr>
          <w:rFonts w:ascii="Arial" w:hAnsi="Arial" w:cs="Arial"/>
          <w:b/>
          <w:bCs/>
          <w:sz w:val="28"/>
          <w:szCs w:val="26"/>
        </w:rPr>
      </w:pPr>
    </w:p>
    <w:p w:rsidR="008126AE" w:rsidRPr="00D551CC" w:rsidP="00F11910" w14:paraId="1C5FE80B" w14:textId="77777777">
      <w:pPr>
        <w:tabs>
          <w:tab w:val="left" w:pos="360"/>
          <w:tab w:val="left" w:pos="720"/>
        </w:tabs>
        <w:rPr>
          <w:rFonts w:ascii="Arial" w:hAnsi="Arial" w:cs="Arial"/>
          <w:b/>
          <w:sz w:val="22"/>
          <w:szCs w:val="22"/>
        </w:rPr>
      </w:pPr>
      <w:r w:rsidRPr="00D551CC">
        <w:rPr>
          <w:rFonts w:ascii="Arial" w:hAnsi="Arial" w:cs="Arial"/>
          <w:b/>
          <w:sz w:val="22"/>
          <w:szCs w:val="22"/>
        </w:rPr>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C9590C" w:rsidP="00056F19" w14:paraId="2655B1CF" w14:textId="77777777">
      <w:pPr>
        <w:tabs>
          <w:tab w:val="left" w:pos="360"/>
          <w:tab w:val="left" w:pos="720"/>
        </w:tabs>
        <w:rPr>
          <w:rFonts w:ascii="Arial" w:hAnsi="Arial" w:cs="Arial"/>
          <w:sz w:val="24"/>
          <w:szCs w:val="22"/>
        </w:rPr>
      </w:pPr>
    </w:p>
    <w:p w:rsidR="00B66FD5" w:rsidP="00C9590C" w14:paraId="40931470" w14:textId="5C0261DE">
      <w:pPr>
        <w:tabs>
          <w:tab w:val="left" w:pos="360"/>
          <w:tab w:val="left" w:pos="720"/>
        </w:tabs>
        <w:rPr>
          <w:rFonts w:ascii="Arial" w:hAnsi="Arial" w:cs="Arial"/>
          <w:sz w:val="22"/>
        </w:rPr>
      </w:pPr>
      <w:r>
        <w:rPr>
          <w:rFonts w:ascii="Arial" w:hAnsi="Arial" w:cs="Arial"/>
          <w:sz w:val="22"/>
        </w:rPr>
        <w:t>Pretesting with stakeholders</w:t>
      </w:r>
      <w:r w:rsidR="00A17D44">
        <w:rPr>
          <w:rFonts w:ascii="Arial" w:hAnsi="Arial" w:cs="Arial"/>
          <w:sz w:val="22"/>
        </w:rPr>
        <w:t xml:space="preserve"> (n=3)</w:t>
      </w:r>
      <w:r>
        <w:rPr>
          <w:rFonts w:ascii="Arial" w:hAnsi="Arial" w:cs="Arial"/>
          <w:sz w:val="22"/>
        </w:rPr>
        <w:t xml:space="preserve"> from the Idaho Department of Park and Recreation and the US Forest Service </w:t>
      </w:r>
      <w:r w:rsidR="00A17D44">
        <w:rPr>
          <w:rFonts w:ascii="Arial" w:hAnsi="Arial" w:cs="Arial"/>
          <w:sz w:val="22"/>
        </w:rPr>
        <w:t xml:space="preserve">helped to refine the questionnaire. As these individuals are not part of the desired primary or secondary respondent universe, no results are presented here. That said, language surrounding natural resource uses, question sequencing, and </w:t>
      </w:r>
      <w:r w:rsidR="003D0174">
        <w:rPr>
          <w:rFonts w:ascii="Arial" w:hAnsi="Arial" w:cs="Arial"/>
          <w:sz w:val="22"/>
        </w:rPr>
        <w:t xml:space="preserve">carry-forward applications were added following their helpful feedback. </w:t>
      </w:r>
      <w:r w:rsidR="002E0900">
        <w:rPr>
          <w:rFonts w:ascii="Arial" w:hAnsi="Arial" w:cs="Arial"/>
          <w:sz w:val="22"/>
        </w:rPr>
        <w:t xml:space="preserve">More specific information can be found in Supporting Statement A. </w:t>
      </w:r>
    </w:p>
    <w:p w:rsidR="00A17D44" w:rsidRPr="00C9590C" w:rsidP="00C9590C" w14:paraId="4D253F1B" w14:textId="77777777">
      <w:pPr>
        <w:tabs>
          <w:tab w:val="left" w:pos="360"/>
          <w:tab w:val="left" w:pos="720"/>
        </w:tabs>
        <w:rPr>
          <w:rFonts w:ascii="Arial" w:hAnsi="Arial" w:cs="Arial"/>
          <w:sz w:val="24"/>
          <w:szCs w:val="22"/>
        </w:rPr>
      </w:pPr>
    </w:p>
    <w:p w:rsidR="00EB3B45" w:rsidRPr="00D551CC" w:rsidP="00F11910" w14:paraId="0DB7372B" w14:textId="77777777">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Provide the name</w:t>
      </w:r>
      <w:r w:rsidRPr="00D551CC" w:rsidR="00DD29FE">
        <w:rPr>
          <w:rFonts w:ascii="Arial" w:hAnsi="Arial" w:cs="Arial"/>
          <w:b/>
          <w:sz w:val="22"/>
          <w:szCs w:val="22"/>
        </w:rPr>
        <w:t>s</w:t>
      </w:r>
      <w:r w:rsidRPr="00D551CC">
        <w:rPr>
          <w:rFonts w:ascii="Arial" w:hAnsi="Arial" w:cs="Arial"/>
          <w:b/>
          <w:sz w:val="22"/>
          <w:szCs w:val="22"/>
        </w:rPr>
        <w:t xml:space="preserve"> and telephone number</w:t>
      </w:r>
      <w:r w:rsidRPr="00D551CC" w:rsidR="00DD29FE">
        <w:rPr>
          <w:rFonts w:ascii="Arial" w:hAnsi="Arial" w:cs="Arial"/>
          <w:b/>
          <w:sz w:val="22"/>
          <w:szCs w:val="22"/>
        </w:rPr>
        <w:t>s</w:t>
      </w:r>
      <w:r w:rsidRPr="00D551CC">
        <w:rPr>
          <w:rFonts w:ascii="Arial" w:hAnsi="Arial" w:cs="Arial"/>
          <w:b/>
          <w:sz w:val="22"/>
          <w:szCs w:val="22"/>
        </w:rPr>
        <w:t xml:space="preserve"> of individuals consulted on statistical aspects of the design and the name of the agency unit, contractor(s), grantee(s), or other person(s) who will </w:t>
      </w:r>
      <w:r w:rsidRPr="00D551CC">
        <w:rPr>
          <w:rFonts w:ascii="Arial" w:hAnsi="Arial" w:cs="Arial"/>
          <w:b/>
          <w:sz w:val="22"/>
          <w:szCs w:val="22"/>
        </w:rPr>
        <w:t>actually collect</w:t>
      </w:r>
      <w:r w:rsidRPr="00D551CC">
        <w:rPr>
          <w:rFonts w:ascii="Arial" w:hAnsi="Arial" w:cs="Arial"/>
          <w:b/>
          <w:sz w:val="22"/>
          <w:szCs w:val="22"/>
        </w:rPr>
        <w:t xml:space="preserve"> and/or analyze the information for the agency.</w:t>
      </w:r>
    </w:p>
    <w:p w:rsidR="00A76BEF" w:rsidRPr="00C9590C" w:rsidP="00056F19" w14:paraId="48CC37EC" w14:textId="77777777">
      <w:pPr>
        <w:tabs>
          <w:tab w:val="left" w:pos="360"/>
          <w:tab w:val="left" w:pos="720"/>
        </w:tabs>
        <w:ind w:left="360" w:hanging="360"/>
        <w:rPr>
          <w:rFonts w:ascii="Arial" w:hAnsi="Arial" w:cs="Arial"/>
          <w:sz w:val="24"/>
          <w:szCs w:val="22"/>
        </w:rPr>
      </w:pPr>
    </w:p>
    <w:p w:rsidR="00655878" w:rsidP="00655878" w14:paraId="19E29E6D" w14:textId="0B5B7B83">
      <w:pPr>
        <w:tabs>
          <w:tab w:val="left" w:pos="-1080"/>
          <w:tab w:val="left" w:pos="360"/>
          <w:tab w:val="left" w:pos="720"/>
          <w:tab w:val="left" w:pos="1080"/>
        </w:tabs>
        <w:ind w:left="360" w:hanging="360"/>
        <w:rPr>
          <w:rFonts w:ascii="Arial" w:hAnsi="Arial" w:cs="Arial"/>
          <w:sz w:val="22"/>
        </w:rPr>
      </w:pPr>
      <w:r>
        <w:rPr>
          <w:rFonts w:ascii="Arial" w:hAnsi="Arial" w:cs="Arial"/>
          <w:sz w:val="22"/>
        </w:rPr>
        <w:t>I</w:t>
      </w:r>
      <w:r w:rsidRPr="00C9590C" w:rsidR="00C9590C">
        <w:rPr>
          <w:rFonts w:ascii="Arial" w:hAnsi="Arial" w:cs="Arial"/>
          <w:sz w:val="22"/>
        </w:rPr>
        <w:t>ndividuals (outside of the submitters) that were consulted on statistical aspects of the design</w:t>
      </w:r>
      <w:r>
        <w:rPr>
          <w:rFonts w:ascii="Arial" w:hAnsi="Arial" w:cs="Arial"/>
          <w:sz w:val="22"/>
        </w:rPr>
        <w:t xml:space="preserve">: </w:t>
      </w:r>
    </w:p>
    <w:p w:rsidR="00655878" w:rsidRPr="00655878" w:rsidP="00655878" w14:paraId="09D9682D" w14:textId="77777777">
      <w:pPr>
        <w:tabs>
          <w:tab w:val="left" w:pos="-1080"/>
          <w:tab w:val="left" w:pos="360"/>
          <w:tab w:val="left" w:pos="720"/>
          <w:tab w:val="left" w:pos="1080"/>
        </w:tabs>
        <w:ind w:left="360" w:hanging="360"/>
      </w:pPr>
    </w:p>
    <w:p w:rsidR="002E0900" w:rsidP="00655878" w14:paraId="44598F5D" w14:textId="5BD2D446">
      <w:pPr>
        <w:pStyle w:val="ListParagraph"/>
        <w:numPr>
          <w:ilvl w:val="0"/>
          <w:numId w:val="11"/>
        </w:numPr>
      </w:pPr>
      <w:r w:rsidRPr="0046634E">
        <w:t xml:space="preserve">Keith Jones, Idaho Department of </w:t>
      </w:r>
      <w:r w:rsidRPr="0046634E">
        <w:t>Parks</w:t>
      </w:r>
      <w:r w:rsidRPr="0046634E">
        <w:t xml:space="preserve"> and Recreation, </w:t>
      </w:r>
      <w:r w:rsidRPr="00352F54" w:rsidR="00352F54">
        <w:t>208 769-1511</w:t>
      </w:r>
      <w:r w:rsidR="00352F54">
        <w:t xml:space="preserve">, </w:t>
      </w:r>
      <w:hyperlink r:id="rId8" w:history="1">
        <w:r w:rsidRPr="00F37B09" w:rsidR="00FE4B87">
          <w:rPr>
            <w:rStyle w:val="Hyperlink"/>
          </w:rPr>
          <w:t>Keith.Jones@idpr.idaho.gov</w:t>
        </w:r>
      </w:hyperlink>
    </w:p>
    <w:p w:rsidR="00C9590C" w:rsidP="00655878" w14:paraId="5DF44672" w14:textId="5323F3F8">
      <w:pPr>
        <w:pStyle w:val="ListParagraph"/>
        <w:numPr>
          <w:ilvl w:val="0"/>
          <w:numId w:val="11"/>
        </w:numPr>
      </w:pPr>
      <w:r>
        <w:t xml:space="preserve">Monika Derrien, PhD, </w:t>
      </w:r>
      <w:r w:rsidR="00440FA7">
        <w:t>Pacific Northwest Research Station</w:t>
      </w:r>
      <w:r w:rsidR="0046634E">
        <w:t xml:space="preserve">, US Forest Service, </w:t>
      </w:r>
      <w:r w:rsidRPr="0046634E" w:rsidR="0046634E">
        <w:t>206-732-7824</w:t>
      </w:r>
      <w:r w:rsidR="0046634E">
        <w:t xml:space="preserve">, </w:t>
      </w:r>
      <w:hyperlink r:id="rId9" w:history="1">
        <w:r w:rsidRPr="00F37B09" w:rsidR="0046634E">
          <w:rPr>
            <w:rStyle w:val="Hyperlink"/>
          </w:rPr>
          <w:t>monika.derrien@usda.gov</w:t>
        </w:r>
      </w:hyperlink>
      <w:r w:rsidR="0046634E">
        <w:t xml:space="preserve"> </w:t>
      </w:r>
    </w:p>
    <w:p w:rsidR="0046634E" w:rsidRPr="0046634E" w:rsidP="00655878" w14:paraId="048CEBFE" w14:textId="6531D323">
      <w:pPr>
        <w:pStyle w:val="ListParagraph"/>
        <w:numPr>
          <w:ilvl w:val="0"/>
          <w:numId w:val="11"/>
        </w:numPr>
      </w:pPr>
      <w:r>
        <w:t xml:space="preserve">Chris Armatas, PhD, </w:t>
      </w:r>
      <w:r w:rsidR="00735CCF">
        <w:t xml:space="preserve">Rocky Mountain Research Station, US Forest Service, </w:t>
      </w:r>
      <w:r w:rsidRPr="00735CCF" w:rsidR="00735CCF">
        <w:t>406-542-4192</w:t>
      </w:r>
      <w:r w:rsidR="005C785F">
        <w:t xml:space="preserve">, </w:t>
      </w:r>
      <w:hyperlink r:id="rId10" w:history="1">
        <w:r w:rsidRPr="00F37B09" w:rsidR="005C785F">
          <w:rPr>
            <w:rStyle w:val="Hyperlink"/>
          </w:rPr>
          <w:t>christopher.armatas@usda.gov</w:t>
        </w:r>
      </w:hyperlink>
      <w:r w:rsidR="005C785F">
        <w:t xml:space="preserve"> </w:t>
      </w:r>
    </w:p>
    <w:p w:rsidR="00C9590C" w:rsidP="00C9590C" w14:paraId="5009C414" w14:textId="5EBDD08E">
      <w:pPr>
        <w:tabs>
          <w:tab w:val="left" w:pos="-1080"/>
          <w:tab w:val="left" w:pos="360"/>
          <w:tab w:val="left" w:pos="720"/>
          <w:tab w:val="left" w:pos="1080"/>
        </w:tabs>
        <w:ind w:left="360" w:hanging="360"/>
        <w:rPr>
          <w:rFonts w:ascii="Arial" w:hAnsi="Arial" w:cs="Arial"/>
          <w:sz w:val="22"/>
        </w:rPr>
      </w:pPr>
    </w:p>
    <w:p w:rsidR="005C785F" w:rsidP="00C9590C" w14:paraId="6C8D8E7F" w14:textId="3CC9654B">
      <w:pPr>
        <w:tabs>
          <w:tab w:val="left" w:pos="-1080"/>
          <w:tab w:val="left" w:pos="360"/>
          <w:tab w:val="left" w:pos="720"/>
          <w:tab w:val="left" w:pos="1080"/>
        </w:tabs>
        <w:ind w:left="360" w:hanging="360"/>
        <w:rPr>
          <w:rFonts w:ascii="Arial" w:hAnsi="Arial" w:cs="Arial"/>
          <w:sz w:val="22"/>
        </w:rPr>
      </w:pPr>
      <w:r>
        <w:rPr>
          <w:rFonts w:ascii="Arial" w:hAnsi="Arial" w:cs="Arial"/>
          <w:sz w:val="22"/>
        </w:rPr>
        <w:t>Individuals who will collect and analyze the information for the agency</w:t>
      </w:r>
    </w:p>
    <w:p w:rsidR="0087377B" w:rsidP="00C9590C" w14:paraId="3703C81A" w14:textId="77777777">
      <w:pPr>
        <w:tabs>
          <w:tab w:val="left" w:pos="-1080"/>
          <w:tab w:val="left" w:pos="360"/>
          <w:tab w:val="left" w:pos="720"/>
          <w:tab w:val="left" w:pos="1080"/>
        </w:tabs>
        <w:ind w:left="360" w:hanging="360"/>
        <w:rPr>
          <w:rFonts w:ascii="Arial" w:hAnsi="Arial" w:cs="Arial"/>
          <w:sz w:val="22"/>
        </w:rPr>
      </w:pPr>
    </w:p>
    <w:p w:rsidR="0087377B" w:rsidP="00655878" w14:paraId="1E21EFFB" w14:textId="10F803F6">
      <w:pPr>
        <w:pStyle w:val="ListParagraph"/>
        <w:numPr>
          <w:ilvl w:val="0"/>
          <w:numId w:val="12"/>
        </w:numPr>
      </w:pPr>
      <w:r>
        <w:t xml:space="preserve">Chris Zajchowski, </w:t>
      </w:r>
      <w:r w:rsidR="000F4208">
        <w:t xml:space="preserve">PhD, </w:t>
      </w:r>
      <w:r>
        <w:t xml:space="preserve">University of Idaho, 385-222-1055, </w:t>
      </w:r>
      <w:hyperlink r:id="rId11" w:history="1">
        <w:r w:rsidRPr="00F37B09" w:rsidR="00562493">
          <w:rPr>
            <w:rStyle w:val="Hyperlink"/>
          </w:rPr>
          <w:t>czajchowski@uidaho.edu</w:t>
        </w:r>
      </w:hyperlink>
      <w:r w:rsidR="00562493">
        <w:t xml:space="preserve"> </w:t>
      </w:r>
    </w:p>
    <w:p w:rsidR="00562493" w:rsidP="00655878" w14:paraId="70437B68" w14:textId="5CB21C6C">
      <w:pPr>
        <w:pStyle w:val="ListParagraph"/>
        <w:numPr>
          <w:ilvl w:val="0"/>
          <w:numId w:val="12"/>
        </w:numPr>
      </w:pPr>
      <w:r>
        <w:t xml:space="preserve">Nathan Moody, University of Idaho, </w:t>
      </w:r>
      <w:r w:rsidR="002A7003">
        <w:t>208-</w:t>
      </w:r>
      <w:r w:rsidR="000F4208">
        <w:t xml:space="preserve">731-9348, </w:t>
      </w:r>
      <w:hyperlink r:id="rId12" w:history="1">
        <w:r w:rsidRPr="00F37B09" w:rsidR="000F4208">
          <w:rPr>
            <w:rStyle w:val="Hyperlink"/>
          </w:rPr>
          <w:t>nmoody@uidaho.edu</w:t>
        </w:r>
      </w:hyperlink>
      <w:r w:rsidR="000F4208">
        <w:t xml:space="preserve"> </w:t>
      </w:r>
    </w:p>
    <w:p w:rsidR="000F4208" w:rsidRPr="0087377B" w:rsidP="00655878" w14:paraId="49F01D15" w14:textId="7381B542">
      <w:pPr>
        <w:pStyle w:val="ListParagraph"/>
        <w:numPr>
          <w:ilvl w:val="0"/>
          <w:numId w:val="12"/>
        </w:numPr>
      </w:pPr>
      <w:r>
        <w:t xml:space="preserve">JD </w:t>
      </w:r>
      <w:r>
        <w:t>Wulfhorst</w:t>
      </w:r>
      <w:r>
        <w:t xml:space="preserve">, PhD, University of Idaho, </w:t>
      </w:r>
      <w:r w:rsidRPr="0080141F" w:rsidR="0080141F">
        <w:t>208-885-2572</w:t>
      </w:r>
      <w:r w:rsidR="0080141F">
        <w:t xml:space="preserve">, </w:t>
      </w:r>
      <w:hyperlink r:id="rId13" w:history="1">
        <w:r w:rsidRPr="00F37B09" w:rsidR="0080141F">
          <w:rPr>
            <w:rStyle w:val="Hyperlink"/>
          </w:rPr>
          <w:t>jd@uidaho.edu</w:t>
        </w:r>
      </w:hyperlink>
      <w:r w:rsidR="0080141F">
        <w:t xml:space="preserve"> </w:t>
      </w:r>
    </w:p>
    <w:p w:rsidR="00C9590C" w:rsidRPr="00C9590C" w:rsidP="00C9590C" w14:paraId="32F6BCD1" w14:textId="77777777">
      <w:pPr>
        <w:tabs>
          <w:tab w:val="left" w:pos="-1080"/>
          <w:tab w:val="left" w:pos="360"/>
          <w:tab w:val="left" w:pos="720"/>
          <w:tab w:val="left" w:pos="1080"/>
        </w:tabs>
        <w:ind w:left="360" w:hanging="360"/>
        <w:rPr>
          <w:rFonts w:ascii="Arial" w:hAnsi="Arial" w:cs="Arial"/>
          <w:sz w:val="22"/>
        </w:rPr>
      </w:pPr>
    </w:p>
    <w:p w:rsidR="00A76BEF" w:rsidRPr="00C9590C" w:rsidP="00C9590C" w14:paraId="09D5BDE6" w14:textId="74C83062">
      <w:pPr>
        <w:tabs>
          <w:tab w:val="left" w:pos="360"/>
          <w:tab w:val="left" w:pos="720"/>
        </w:tabs>
        <w:rPr>
          <w:rFonts w:ascii="Arial" w:hAnsi="Arial" w:cs="Arial"/>
          <w:sz w:val="24"/>
          <w:szCs w:val="22"/>
        </w:rPr>
      </w:pPr>
    </w:p>
    <w:sectPr w:rsidSect="00EB3B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49C6B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53F6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33CDA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354AF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70D05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63D8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32A5F"/>
    <w:multiLevelType w:val="hybridMultilevel"/>
    <w:tmpl w:val="FC16A4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5B3693"/>
    <w:multiLevelType w:val="hybridMultilevel"/>
    <w:tmpl w:val="A30CA9B6"/>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812ACC"/>
    <w:multiLevelType w:val="hybridMultilevel"/>
    <w:tmpl w:val="CAAE094E"/>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D165C0"/>
    <w:multiLevelType w:val="hybridMultilevel"/>
    <w:tmpl w:val="9D5ECDB8"/>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C704A5A"/>
    <w:multiLevelType w:val="hybridMultilevel"/>
    <w:tmpl w:val="8EB89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C24A19"/>
    <w:multiLevelType w:val="hybridMultilevel"/>
    <w:tmpl w:val="EC562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4A3BB2"/>
    <w:multiLevelType w:val="hybridMultilevel"/>
    <w:tmpl w:val="71625D40"/>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2B429D"/>
    <w:multiLevelType w:val="hybridMultilevel"/>
    <w:tmpl w:val="3BF20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65853">
    <w:abstractNumId w:val="7"/>
  </w:num>
  <w:num w:numId="2" w16cid:durableId="1460414158">
    <w:abstractNumId w:val="3"/>
  </w:num>
  <w:num w:numId="3" w16cid:durableId="1277518020">
    <w:abstractNumId w:val="6"/>
  </w:num>
  <w:num w:numId="4" w16cid:durableId="1147552092">
    <w:abstractNumId w:val="10"/>
  </w:num>
  <w:num w:numId="5" w16cid:durableId="2079743068">
    <w:abstractNumId w:val="4"/>
  </w:num>
  <w:num w:numId="6" w16cid:durableId="216360051">
    <w:abstractNumId w:val="4"/>
    <w:lvlOverride w:ilvl="0">
      <w:startOverride w:val="1"/>
    </w:lvlOverride>
  </w:num>
  <w:num w:numId="7" w16cid:durableId="1680814180">
    <w:abstractNumId w:val="9"/>
  </w:num>
  <w:num w:numId="8" w16cid:durableId="170067570">
    <w:abstractNumId w:val="2"/>
  </w:num>
  <w:num w:numId="9" w16cid:durableId="804003347">
    <w:abstractNumId w:val="11"/>
  </w:num>
  <w:num w:numId="10" w16cid:durableId="1874343729">
    <w:abstractNumId w:val="5"/>
  </w:num>
  <w:num w:numId="11" w16cid:durableId="1449740365">
    <w:abstractNumId w:val="0"/>
  </w:num>
  <w:num w:numId="12" w16cid:durableId="1130123855">
    <w:abstractNumId w:val="8"/>
  </w:num>
  <w:num w:numId="13" w16cid:durableId="1501041798">
    <w:abstractNumId w:val="1"/>
  </w:num>
  <w:num w:numId="14" w16cid:durableId="3062799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41402"/>
    <w:rsid w:val="00053097"/>
    <w:rsid w:val="00056F19"/>
    <w:rsid w:val="00070175"/>
    <w:rsid w:val="00076CE9"/>
    <w:rsid w:val="00083378"/>
    <w:rsid w:val="000A14DF"/>
    <w:rsid w:val="000B62CE"/>
    <w:rsid w:val="000C228A"/>
    <w:rsid w:val="000C30DF"/>
    <w:rsid w:val="000F4208"/>
    <w:rsid w:val="001271F0"/>
    <w:rsid w:val="00135608"/>
    <w:rsid w:val="001555CC"/>
    <w:rsid w:val="00164ADC"/>
    <w:rsid w:val="001C3EA0"/>
    <w:rsid w:val="001D53EB"/>
    <w:rsid w:val="001F3973"/>
    <w:rsid w:val="002052AE"/>
    <w:rsid w:val="00236DF3"/>
    <w:rsid w:val="00270FBB"/>
    <w:rsid w:val="002A7003"/>
    <w:rsid w:val="002C0164"/>
    <w:rsid w:val="002C11E4"/>
    <w:rsid w:val="002D3237"/>
    <w:rsid w:val="002E0900"/>
    <w:rsid w:val="002E5868"/>
    <w:rsid w:val="0031518A"/>
    <w:rsid w:val="00352F54"/>
    <w:rsid w:val="00381390"/>
    <w:rsid w:val="003B11FB"/>
    <w:rsid w:val="003C664A"/>
    <w:rsid w:val="003D0174"/>
    <w:rsid w:val="003F7C7E"/>
    <w:rsid w:val="004170D7"/>
    <w:rsid w:val="00440FA7"/>
    <w:rsid w:val="0046634E"/>
    <w:rsid w:val="00471C93"/>
    <w:rsid w:val="00492A77"/>
    <w:rsid w:val="004A0C73"/>
    <w:rsid w:val="004B1142"/>
    <w:rsid w:val="004D18C8"/>
    <w:rsid w:val="00500808"/>
    <w:rsid w:val="00516424"/>
    <w:rsid w:val="00542FDE"/>
    <w:rsid w:val="00562493"/>
    <w:rsid w:val="00591A66"/>
    <w:rsid w:val="005C785F"/>
    <w:rsid w:val="006431E8"/>
    <w:rsid w:val="00655878"/>
    <w:rsid w:val="00661571"/>
    <w:rsid w:val="006B0CA1"/>
    <w:rsid w:val="006C390D"/>
    <w:rsid w:val="006D21CF"/>
    <w:rsid w:val="006D3613"/>
    <w:rsid w:val="006E3320"/>
    <w:rsid w:val="006F34F0"/>
    <w:rsid w:val="00735CCF"/>
    <w:rsid w:val="00765937"/>
    <w:rsid w:val="00776C05"/>
    <w:rsid w:val="00797B8D"/>
    <w:rsid w:val="0080141F"/>
    <w:rsid w:val="00804AE6"/>
    <w:rsid w:val="008126AE"/>
    <w:rsid w:val="00816811"/>
    <w:rsid w:val="00857EDD"/>
    <w:rsid w:val="0087377B"/>
    <w:rsid w:val="009127A9"/>
    <w:rsid w:val="0092559A"/>
    <w:rsid w:val="009729B0"/>
    <w:rsid w:val="0099681B"/>
    <w:rsid w:val="009B7095"/>
    <w:rsid w:val="009B7DCD"/>
    <w:rsid w:val="009F488F"/>
    <w:rsid w:val="009F6C6B"/>
    <w:rsid w:val="009F7B8C"/>
    <w:rsid w:val="00A17D44"/>
    <w:rsid w:val="00A24B11"/>
    <w:rsid w:val="00A50F5F"/>
    <w:rsid w:val="00A76BEF"/>
    <w:rsid w:val="00A94A51"/>
    <w:rsid w:val="00A96E86"/>
    <w:rsid w:val="00AB4304"/>
    <w:rsid w:val="00AC3756"/>
    <w:rsid w:val="00AC558C"/>
    <w:rsid w:val="00AF699E"/>
    <w:rsid w:val="00B31CAC"/>
    <w:rsid w:val="00B50214"/>
    <w:rsid w:val="00B66FD5"/>
    <w:rsid w:val="00BA021E"/>
    <w:rsid w:val="00BA376C"/>
    <w:rsid w:val="00BB2F4E"/>
    <w:rsid w:val="00BD2124"/>
    <w:rsid w:val="00BF2349"/>
    <w:rsid w:val="00C03B9C"/>
    <w:rsid w:val="00C07772"/>
    <w:rsid w:val="00C449C4"/>
    <w:rsid w:val="00C81443"/>
    <w:rsid w:val="00C90C76"/>
    <w:rsid w:val="00C9590C"/>
    <w:rsid w:val="00D40D04"/>
    <w:rsid w:val="00D43C32"/>
    <w:rsid w:val="00D551CC"/>
    <w:rsid w:val="00D708F5"/>
    <w:rsid w:val="00D749DA"/>
    <w:rsid w:val="00D965D4"/>
    <w:rsid w:val="00DB3A13"/>
    <w:rsid w:val="00DD29FE"/>
    <w:rsid w:val="00E445D2"/>
    <w:rsid w:val="00E5777B"/>
    <w:rsid w:val="00E767C6"/>
    <w:rsid w:val="00EB3B45"/>
    <w:rsid w:val="00F100D2"/>
    <w:rsid w:val="00F11910"/>
    <w:rsid w:val="00F16C5F"/>
    <w:rsid w:val="00F37B09"/>
    <w:rsid w:val="00F4430F"/>
    <w:rsid w:val="00F51B11"/>
    <w:rsid w:val="00FC31CA"/>
    <w:rsid w:val="00FD4038"/>
    <w:rsid w:val="00FE4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655878"/>
    <w:pPr>
      <w:numPr>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pPr>
    <w:rPr>
      <w:rFonts w:ascii="Arial" w:hAnsi="Arial" w:eastAsiaTheme="minorHAnsi" w:cs="Arial"/>
      <w:iCs/>
      <w:sz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14DF"/>
    <w:rPr>
      <w:sz w:val="16"/>
      <w:szCs w:val="16"/>
    </w:rPr>
  </w:style>
  <w:style w:type="paragraph" w:styleId="CommentText">
    <w:name w:val="annotation text"/>
    <w:basedOn w:val="Normal"/>
    <w:link w:val="CommentTextChar"/>
    <w:uiPriority w:val="99"/>
    <w:unhideWhenUsed/>
    <w:rsid w:val="000A14DF"/>
  </w:style>
  <w:style w:type="character" w:customStyle="1" w:styleId="CommentTextChar">
    <w:name w:val="Comment Text Char"/>
    <w:basedOn w:val="DefaultParagraphFont"/>
    <w:link w:val="CommentText"/>
    <w:uiPriority w:val="99"/>
    <w:rsid w:val="000A14D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A14DF"/>
    <w:rPr>
      <w:b/>
      <w:bCs/>
    </w:rPr>
  </w:style>
  <w:style w:type="character" w:customStyle="1" w:styleId="CommentSubjectChar">
    <w:name w:val="Comment Subject Char"/>
    <w:basedOn w:val="CommentTextChar"/>
    <w:link w:val="CommentSubject"/>
    <w:uiPriority w:val="99"/>
    <w:semiHidden/>
    <w:rsid w:val="000A14DF"/>
    <w:rPr>
      <w:rFonts w:ascii="Times New Roman" w:eastAsia="Times New Roman" w:hAnsi="Times New Roman"/>
      <w:b/>
      <w:bCs/>
    </w:rPr>
  </w:style>
  <w:style w:type="character" w:styleId="UnresolvedMention">
    <w:name w:val="Unresolved Mention"/>
    <w:basedOn w:val="DefaultParagraphFont"/>
    <w:uiPriority w:val="99"/>
    <w:semiHidden/>
    <w:unhideWhenUsed/>
    <w:rsid w:val="00FE4B87"/>
    <w:rPr>
      <w:color w:val="605E5C"/>
      <w:shd w:val="clear" w:color="auto" w:fill="E1DFDD"/>
    </w:rPr>
  </w:style>
  <w:style w:type="paragraph" w:styleId="Revision">
    <w:name w:val="Revision"/>
    <w:hidden/>
    <w:uiPriority w:val="99"/>
    <w:semiHidden/>
    <w:rsid w:val="0005309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ristopher.armatas@usda.gov" TargetMode="External" /><Relationship Id="rId11" Type="http://schemas.openxmlformats.org/officeDocument/2006/relationships/hyperlink" Target="mailto:czajchowski@uidaho.edu" TargetMode="External" /><Relationship Id="rId12" Type="http://schemas.openxmlformats.org/officeDocument/2006/relationships/hyperlink" Target="mailto:nmoody@uidaho.edu" TargetMode="External" /><Relationship Id="rId13" Type="http://schemas.openxmlformats.org/officeDocument/2006/relationships/hyperlink" Target="mailto:jd@uidaho.edu"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ith.Jones@idpr.idaho.gov" TargetMode="External" /><Relationship Id="rId9" Type="http://schemas.openxmlformats.org/officeDocument/2006/relationships/hyperlink" Target="mailto:monika.derrie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91aa55e90fa8df66b624272701d31ec6">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e30b11b61b7318091c5e451d5d8ce2c7"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Meeting Minutes"/>
          <xsd:enumeration value="Exemption Request"/>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2.xml><?xml version="1.0" encoding="utf-8"?>
<ds:datastoreItem xmlns:ds="http://schemas.openxmlformats.org/officeDocument/2006/customXml" ds:itemID="{1610C50D-4E7D-4836-86C3-054B58162262}">
  <ds:schemaRefs/>
</ds:datastoreItem>
</file>

<file path=customXml/itemProps3.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4.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Mapping for the Salmon River Basin, Idaho</dc:title>
  <cp:revision>1</cp:revision>
  <dcterms:created xsi:type="dcterms:W3CDTF">2024-09-20T21:13:00Z</dcterms:created>
  <dcterms:modified xsi:type="dcterms:W3CDTF">2024-09-20T21:13:00Z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ICRTitle">
    <vt:lpwstr>Cultural Ecosystem Services Mapping Survey</vt:lpwstr>
  </property>
  <property fmtid="{D5CDD505-2E9C-101B-9397-08002B2CF9AE}" pid="4" name="MediaServiceImageTags">
    <vt:lpwstr/>
  </property>
  <property fmtid="{D5CDD505-2E9C-101B-9397-08002B2CF9AE}" pid="5" name="OMBControlNo">
    <vt:lpwstr>1028-New</vt:lpwstr>
  </property>
  <property fmtid="{D5CDD505-2E9C-101B-9397-08002B2CF9AE}" pid="6" name="Schedule Number">
    <vt:lpwstr>[Please Populate]</vt:lpwstr>
  </property>
</Properties>
</file>