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5BCD" w:rsidRPr="00300BC3" w:rsidP="00C26516" w14:paraId="09BABFF8" w14:textId="77777777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0B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00BC3" w:rsidR="007C6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00B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Statistical Methods</w:t>
      </w:r>
    </w:p>
    <w:p w:rsidR="005175B4" w:rsidRPr="00300BC3" w:rsidP="00300BC3" w14:paraId="672A6659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490" w:rsidRPr="00300BC3" w:rsidP="00300BC3" w14:paraId="636C362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Universe and Respondent Selection</w:t>
      </w:r>
    </w:p>
    <w:p w:rsidR="00633490" w:rsidRPr="0086279B" w:rsidP="00300BC3" w14:paraId="0A37501D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279B" w:rsidRPr="0086279B" w:rsidP="00300BC3" w14:paraId="36C071D1" w14:textId="484AF77E">
      <w:pPr>
        <w:spacing w:after="0" w:line="240" w:lineRule="auto"/>
        <w:ind w:left="720"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79B">
        <w:rPr>
          <w:rFonts w:ascii="Times New Roman" w:hAnsi="Times New Roman"/>
          <w:color w:val="000000" w:themeColor="text1"/>
          <w:sz w:val="24"/>
          <w:szCs w:val="24"/>
        </w:rPr>
        <w:t xml:space="preserve">The NIBRS-only data collection began on January 1, 2021; however,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some agencies did not complete the transition to NIBRS by th</w:t>
      </w:r>
      <w:r w:rsidR="00A25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given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date.  Therefore, the FBI’s UCR Program continues to collect cargo theft information under SRS.  Until this practice officially expires, </w:t>
      </w:r>
      <w:r w:rsidRPr="0086279B" w:rsidR="000E281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6279B" w:rsidR="00F21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potential respondent universe </w:t>
      </w:r>
      <w:r w:rsidRPr="0086279B" w:rsidR="000E2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the </w:t>
      </w:r>
      <w:r w:rsidRPr="00A25E0A" w:rsidR="00FD6F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Cargo Theft</w:t>
      </w:r>
      <w:r w:rsidRPr="00A25E0A" w:rsidR="00F21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Incident Report</w:t>
      </w:r>
      <w:r w:rsidRPr="0086279B" w:rsidR="007339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6279B" w:rsidR="000E2812">
        <w:rPr>
          <w:rFonts w:ascii="Times New Roman" w:hAnsi="Times New Roman" w:cs="Times New Roman"/>
          <w:color w:val="000000" w:themeColor="text1"/>
          <w:sz w:val="24"/>
          <w:szCs w:val="24"/>
        </w:rPr>
        <w:t>include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6279B" w:rsidR="00733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</w:t>
      </w:r>
      <w:r w:rsidRPr="0086279B" w:rsidR="001C4AB8">
        <w:rPr>
          <w:rFonts w:ascii="Times New Roman" w:hAnsi="Times New Roman" w:cs="Times New Roman"/>
          <w:color w:val="000000" w:themeColor="text1"/>
          <w:sz w:val="24"/>
          <w:szCs w:val="24"/>
        </w:rPr>
        <w:t>LEA</w:t>
      </w:r>
      <w:r w:rsidRPr="0086279B" w:rsidR="0073399B">
        <w:rPr>
          <w:rFonts w:ascii="Times New Roman" w:hAnsi="Times New Roman" w:cs="Times New Roman"/>
          <w:color w:val="000000" w:themeColor="text1"/>
          <w:sz w:val="24"/>
          <w:szCs w:val="24"/>
        </w:rPr>
        <w:t>s throughout the nation voluntarily participating in the FBI</w:t>
      </w:r>
      <w:r w:rsidR="00A25E0A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86279B" w:rsidR="00733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UCR Program’s </w:t>
      </w:r>
      <w:r w:rsidRPr="0086279B" w:rsidR="00FD6FEA">
        <w:rPr>
          <w:rFonts w:ascii="Times New Roman" w:hAnsi="Times New Roman" w:cs="Times New Roman"/>
          <w:color w:val="000000" w:themeColor="text1"/>
          <w:sz w:val="24"/>
          <w:szCs w:val="24"/>
        </w:rPr>
        <w:t>Cargo Theft</w:t>
      </w:r>
      <w:r w:rsidRPr="0086279B" w:rsidR="00E64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279B" w:rsidR="0073399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6279B" w:rsidR="00E64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 </w:t>
      </w:r>
      <w:r w:rsidRPr="0086279B" w:rsidR="0073399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86279B" w:rsidR="00E648AB">
        <w:rPr>
          <w:rFonts w:ascii="Times New Roman" w:hAnsi="Times New Roman" w:cs="Times New Roman"/>
          <w:color w:val="000000" w:themeColor="text1"/>
          <w:sz w:val="24"/>
          <w:szCs w:val="24"/>
        </w:rPr>
        <w:t>ollection</w:t>
      </w:r>
      <w:r w:rsidRPr="0086279B" w:rsidR="00733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via SRS.</w:t>
      </w:r>
    </w:p>
    <w:p w:rsidR="0086279B" w:rsidRPr="0086279B" w:rsidP="00300BC3" w14:paraId="671234E6" w14:textId="77777777">
      <w:pPr>
        <w:spacing w:after="0" w:line="240" w:lineRule="auto"/>
        <w:ind w:left="720"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99B" w:rsidRPr="0086279B" w:rsidP="00300BC3" w14:paraId="260DD13F" w14:textId="2584B1DD">
      <w:pPr>
        <w:spacing w:after="0" w:line="240" w:lineRule="auto"/>
        <w:ind w:left="720"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In 2023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total number of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SRS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LEAs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permitted to </w:t>
      </w:r>
      <w:r w:rsidRPr="0086279B" w:rsid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</w:t>
      </w:r>
      <w:r w:rsidRPr="0086279B" w:rsidR="00FD6FEA">
        <w:rPr>
          <w:rFonts w:ascii="Times New Roman" w:hAnsi="Times New Roman" w:cs="Times New Roman"/>
          <w:color w:val="000000" w:themeColor="text1"/>
          <w:sz w:val="24"/>
          <w:szCs w:val="24"/>
        </w:rPr>
        <w:t>cargo theft</w:t>
      </w:r>
      <w:r w:rsidRPr="0086279B" w:rsidR="00536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data to the FBI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UCR Program </w:t>
      </w:r>
      <w:r w:rsidRPr="0086279B" w:rsidR="00B56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2,953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6279B" w:rsidR="000E2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below shows the number of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SRS and NIBRS 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>LEAs</w:t>
      </w:r>
      <w:r w:rsidRPr="0086279B" w:rsidR="00300BC3">
        <w:rPr>
          <w:rFonts w:ascii="Times New Roman" w:hAnsi="Times New Roman" w:cs="Times New Roman"/>
          <w:color w:val="000000" w:themeColor="text1"/>
          <w:sz w:val="24"/>
          <w:szCs w:val="24"/>
        </w:rPr>
        <w:t>, along with the percentage</w:t>
      </w:r>
      <w:r w:rsidRP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agencies reporting via SRS</w:t>
      </w:r>
      <w:r w:rsidRPr="0086279B" w:rsidR="00300B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6279B" w:rsidR="000E2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4629E" w:rsidRPr="00300BC3" w:rsidP="00300BC3" w14:paraId="5DAB6C7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560" w:type="dxa"/>
        <w:jc w:val="center"/>
        <w:tblCellMar>
          <w:top w:w="15" w:type="dxa"/>
          <w:bottom w:w="15" w:type="dxa"/>
        </w:tblCellMar>
        <w:tblLook w:val="04A0"/>
      </w:tblPr>
      <w:tblGrid>
        <w:gridCol w:w="750"/>
        <w:gridCol w:w="2627"/>
        <w:gridCol w:w="2627"/>
        <w:gridCol w:w="1556"/>
      </w:tblGrid>
      <w:tr w14:paraId="6B443605" w14:textId="2B3C3363" w:rsidTr="0086279B">
        <w:tblPrEx>
          <w:tblW w:w="7560" w:type="dxa"/>
          <w:jc w:val="center"/>
          <w:tblCellMar>
            <w:top w:w="15" w:type="dxa"/>
            <w:bottom w:w="15" w:type="dxa"/>
          </w:tblCellMar>
          <w:tblLook w:val="04A0"/>
        </w:tblPrEx>
        <w:trPr>
          <w:trHeight w:val="424"/>
          <w:jc w:val="center"/>
        </w:trPr>
        <w:tc>
          <w:tcPr>
            <w:tcW w:w="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30FDB" w:rsidRPr="00930FDB" w:rsidP="00300BC3" w14:paraId="15481DE2" w14:textId="19DB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30FDB" w:rsidRPr="00300BC3" w:rsidP="00300BC3" w14:paraId="70383E40" w14:textId="089F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Number of</w:t>
            </w:r>
          </w:p>
          <w:p w:rsidR="00930FDB" w:rsidRPr="00930FDB" w:rsidP="00300BC3" w14:paraId="0AAF2645" w14:textId="54DE9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SRS</w:t>
            </w:r>
            <w:r w:rsidRPr="003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LEAs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30FDB" w:rsidRPr="00300BC3" w:rsidP="00300BC3" w14:paraId="3038C210" w14:textId="2655D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Number of</w:t>
            </w:r>
          </w:p>
          <w:p w:rsidR="00930FDB" w:rsidRPr="00930FDB" w:rsidP="00300BC3" w14:paraId="7C5BDD42" w14:textId="4A9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0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862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IBRS</w:t>
            </w:r>
            <w:r w:rsidRPr="00930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LEA</w:t>
            </w:r>
            <w:r w:rsidRPr="00930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930FDB" w:rsidRPr="00300BC3" w:rsidP="00300BC3" w14:paraId="1F0405B5" w14:textId="2D07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Percent of </w:t>
            </w:r>
            <w:r w:rsidR="008627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SRS</w:t>
            </w:r>
            <w:r w:rsidRPr="003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30FDB" w:rsidRPr="00300BC3" w:rsidP="00300BC3" w14:paraId="3F8C2A11" w14:textId="2146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LEAs</w:t>
            </w:r>
          </w:p>
        </w:tc>
      </w:tr>
      <w:tr w14:paraId="31FE5794" w14:textId="41D7FB3A" w:rsidTr="0086279B">
        <w:tblPrEx>
          <w:tblW w:w="7560" w:type="dxa"/>
          <w:jc w:val="center"/>
          <w:tblCellMar>
            <w:top w:w="15" w:type="dxa"/>
            <w:bottom w:w="15" w:type="dxa"/>
          </w:tblCellMar>
          <w:tblLook w:val="04A0"/>
        </w:tblPrEx>
        <w:trPr>
          <w:trHeight w:val="330"/>
          <w:jc w:val="center"/>
        </w:trPr>
        <w:tc>
          <w:tcPr>
            <w:tcW w:w="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08FB8F20" w14:textId="3679A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35AE7E3D" w14:textId="621EE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2,454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022DCC2C" w14:textId="35408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13,110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930FDB" w:rsidRPr="00300BC3" w:rsidP="00300BC3" w14:paraId="15CDCA19" w14:textId="0DF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15.8</w:t>
            </w:r>
          </w:p>
        </w:tc>
      </w:tr>
      <w:tr w14:paraId="47A5E23D" w14:textId="12CED563" w:rsidTr="0086279B">
        <w:tblPrEx>
          <w:tblW w:w="7560" w:type="dxa"/>
          <w:jc w:val="center"/>
          <w:tblCellMar>
            <w:top w:w="15" w:type="dxa"/>
            <w:bottom w:w="15" w:type="dxa"/>
          </w:tblCellMar>
          <w:tblLook w:val="04A0"/>
        </w:tblPrEx>
        <w:trPr>
          <w:trHeight w:val="330"/>
          <w:jc w:val="center"/>
        </w:trPr>
        <w:tc>
          <w:tcPr>
            <w:tcW w:w="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057286F6" w14:textId="0AB6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15B04CB5" w14:textId="571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2,904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277B7E38" w14:textId="08B7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930FDB" w:rsidRPr="00300BC3" w:rsidP="00300BC3" w14:paraId="23DCE233" w14:textId="1181B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17.4</w:t>
            </w:r>
          </w:p>
        </w:tc>
      </w:tr>
      <w:tr w14:paraId="19EF6B92" w14:textId="3CFEA194" w:rsidTr="0086279B">
        <w:tblPrEx>
          <w:tblW w:w="7560" w:type="dxa"/>
          <w:jc w:val="center"/>
          <w:tblCellMar>
            <w:top w:w="15" w:type="dxa"/>
            <w:bottom w:w="15" w:type="dxa"/>
          </w:tblCellMar>
          <w:tblLook w:val="04A0"/>
        </w:tblPrEx>
        <w:trPr>
          <w:trHeight w:val="330"/>
          <w:jc w:val="center"/>
        </w:trPr>
        <w:tc>
          <w:tcPr>
            <w:tcW w:w="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471DF3E6" w14:textId="648C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63229ADD" w14:textId="68DB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2,953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DB" w:rsidRPr="00930FDB" w:rsidP="00300BC3" w14:paraId="419C0819" w14:textId="77A2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14,152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930FDB" w:rsidRPr="00300BC3" w:rsidP="00300BC3" w14:paraId="0F89813C" w14:textId="46FCB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17.3</w:t>
            </w:r>
          </w:p>
        </w:tc>
      </w:tr>
    </w:tbl>
    <w:p w:rsidR="0073399B" w:rsidRPr="00300BC3" w:rsidP="00300BC3" w14:paraId="02EB378F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99B" w:rsidRPr="00300BC3" w:rsidP="00300BC3" w14:paraId="6A05A809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29E" w:rsidRPr="00300BC3" w:rsidP="00300BC3" w14:paraId="0FC9A7D0" w14:textId="037B7FFF">
      <w:pPr>
        <w:pStyle w:val="ListParagraph"/>
        <w:spacing w:after="0" w:line="240" w:lineRule="auto"/>
        <w:ind w:right="-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LEAs consist of </w:t>
      </w:r>
      <w:r w:rsidRPr="00300BC3" w:rsidR="0091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federal, state, local,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tribal</w:t>
      </w:r>
      <w:r w:rsidR="0086279B">
        <w:rPr>
          <w:rFonts w:ascii="Times New Roman" w:hAnsi="Times New Roman" w:cs="Times New Roman"/>
          <w:color w:val="000000" w:themeColor="text1"/>
          <w:sz w:val="24"/>
          <w:szCs w:val="24"/>
        </w:rPr>
        <w:t>, university/college, and territorial</w:t>
      </w:r>
      <w:r w:rsidRPr="00300BC3" w:rsidR="0091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agencies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serving all population group sizes having diverse attributes.  The areas served include various characteristics which may impact crime, such as population density and degree of urbanization; various compositions of population, particularly youth concentration; population movement with respect to residents’ mobility, commuting patterns, and transient factors; diverse economic conditions including median income, poverty level, and job availability; areas with different modes of transportation and highway systems; various cultural factors and educational, recreational, and religious characteristics; family conditions with respect to divorce and family cohesiveness; climate; effective strength of law enforcement; policies of other components of the criminal justice system; citizens’ attitudes toward crime; and crime reporting practices of the citizenry.  </w:t>
      </w:r>
    </w:p>
    <w:p w:rsidR="00E4629E" w:rsidRPr="00300BC3" w:rsidP="00300BC3" w14:paraId="5A39BBE3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0BC3" w:rsidP="00300BC3" w14:paraId="2FA97000" w14:textId="7777777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33490" w:rsidRPr="00300BC3" w:rsidP="00300BC3" w14:paraId="50035D84" w14:textId="7777777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00BC3">
        <w:rPr>
          <w:rFonts w:ascii="Times New Roman" w:hAnsi="Times New Roman"/>
          <w:color w:val="000000" w:themeColor="text1"/>
          <w:sz w:val="24"/>
          <w:szCs w:val="24"/>
          <w:u w:val="single"/>
        </w:rPr>
        <w:t>Procedures for Collecting Information</w:t>
      </w:r>
    </w:p>
    <w:p w:rsidR="00633490" w:rsidRPr="00300BC3" w:rsidP="00300BC3" w14:paraId="53128261" w14:textId="77777777">
      <w:pPr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0110C6" w:rsidRPr="009A2F95" w:rsidP="000110C6" w14:paraId="25C0D2AA" w14:textId="68A28BAD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SRS and NIBRS agencies continued to submit data regarding cargo theft incidents and the information was added to the master file.  </w:t>
      </w:r>
      <w:bookmarkStart w:id="0" w:name="_Hlk172721262"/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>On January 1, 2021, the FBI transitioned to a NIBRS-only data collection under which cargo theft incidents are reported.  However, some agencies did not complete the transition to NIBRS by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 given</w:t>
      </w:r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the FBI’s UCR program will continue to collect information regarding new cargo theft incidents, along with updates to previously reported incidents, via the Cargo Theft Incident Report.  </w:t>
      </w:r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updated information will be added to the master file for historical purposes.   </w:t>
      </w:r>
    </w:p>
    <w:bookmarkEnd w:id="0"/>
    <w:p w:rsidR="0086279B" w:rsidP="00300BC3" w14:paraId="0B24777F" w14:textId="77777777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490" w:rsidRPr="00300BC3" w:rsidP="00300BC3" w14:paraId="37525E0F" w14:textId="7F305ADD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the FBI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makes an effort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its editing procedures, training practices, and correspondence to ensure the reliability of the data received, the receipt of accurate statistics </w:t>
      </w:r>
      <w:r w:rsidRPr="00300BC3" w:rsidR="16708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depends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adherence to the established standards of reporting at the agency level.  The FBI relies on the integrity of the data from contributors and results obtained from </w:t>
      </w:r>
      <w:r w:rsidR="00D80DAF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uality </w:t>
      </w:r>
      <w:r w:rsidR="00D80DA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ssurance </w:t>
      </w:r>
      <w:r w:rsidR="00D80D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eviews conducted by the CJIS Audit Unit staff.  The results of the audits are not used to adjust crime data, but to educate reporting agencies on compliance with FBI</w:t>
      </w:r>
      <w:r w:rsidR="0086279B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UCR Program guidelines.</w:t>
      </w:r>
    </w:p>
    <w:p w:rsidR="00633490" w:rsidRPr="00300BC3" w:rsidP="00300BC3" w14:paraId="4101652C" w14:textId="77777777">
      <w:pPr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633490" w:rsidRPr="00300BC3" w:rsidP="00300BC3" w14:paraId="4B99056E" w14:textId="77777777">
      <w:pPr>
        <w:tabs>
          <w:tab w:val="left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282108" w:rsidRPr="00300BC3" w:rsidP="00300BC3" w14:paraId="76552E4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Methods to Maximize Response</w:t>
      </w:r>
    </w:p>
    <w:p w:rsidR="00282108" w:rsidRPr="00300BC3" w:rsidP="00300BC3" w14:paraId="1299C43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ED3" w:rsidRPr="00300BC3" w:rsidP="00B5653B" w14:paraId="36D8E435" w14:textId="16903B8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Cargo theft</w:t>
      </w:r>
      <w:r w:rsidRPr="00300BC3" w:rsidR="0028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are available within NIBRS</w:t>
      </w:r>
      <w:r w:rsidR="005411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00BC3" w:rsidR="0028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similar response rates are expected</w:t>
      </w:r>
      <w:r w:rsidRPr="00300BC3" w:rsidR="00C07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6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300BC3" w:rsidR="00282108">
        <w:rPr>
          <w:rFonts w:ascii="Times New Roman" w:hAnsi="Times New Roman" w:cs="Times New Roman"/>
          <w:color w:val="000000" w:themeColor="text1"/>
          <w:sz w:val="24"/>
          <w:szCs w:val="24"/>
        </w:rPr>
        <w:t>FBI</w:t>
      </w:r>
      <w:r w:rsidR="0086279B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300BC3" w:rsidR="0028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UCR Program</w:t>
      </w:r>
      <w:r w:rsidR="0086279B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300BC3" w:rsidR="0028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0BC3" w:rsidR="00C07B2F">
        <w:rPr>
          <w:rFonts w:ascii="Times New Roman" w:hAnsi="Times New Roman" w:cs="Times New Roman"/>
          <w:color w:val="000000" w:themeColor="text1"/>
          <w:sz w:val="24"/>
          <w:szCs w:val="24"/>
        </w:rPr>
        <w:t>staff actively liais</w:t>
      </w:r>
      <w:r w:rsidR="005411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00BC3" w:rsidR="0028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LEAs to encourage participation</w:t>
      </w:r>
      <w:r w:rsidRPr="00300BC3" w:rsidR="00C07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 agencies with maximizing response rates and </w:t>
      </w:r>
      <w:r w:rsidRPr="00300BC3" w:rsidR="00DE4372">
        <w:rPr>
          <w:rFonts w:ascii="Times New Roman" w:hAnsi="Times New Roman" w:cs="Times New Roman"/>
          <w:color w:val="000000" w:themeColor="text1"/>
          <w:sz w:val="24"/>
          <w:szCs w:val="24"/>
        </w:rPr>
        <w:t>providing accurate, up-to-date</w:t>
      </w:r>
      <w:r w:rsidRPr="00300BC3" w:rsidR="001C0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information.  </w:t>
      </w:r>
    </w:p>
    <w:p w:rsidR="00300BC3" w:rsidP="00300BC3" w14:paraId="204A64D2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00BC3" w:rsidP="00300BC3" w14:paraId="6FC51AF8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F76A4" w:rsidRPr="00300BC3" w:rsidP="00300BC3" w14:paraId="6CCF4C9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Testing of Procedures</w:t>
      </w:r>
    </w:p>
    <w:p w:rsidR="005F76A4" w:rsidRPr="00300BC3" w:rsidP="00300BC3" w14:paraId="3CF2D8B6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279B" w:rsidP="0086279B" w14:paraId="03D69989" w14:textId="4AFA7449">
      <w:pPr>
        <w:pStyle w:val="ListParagraph"/>
        <w:spacing w:after="0" w:line="240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The FBI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UCR Program receives guidance for implementing or making changes to a data collection from the </w:t>
      </w:r>
      <w:r w:rsidRPr="00300BC3" w:rsidR="00EF5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FBI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CJIS APB.  The </w:t>
      </w:r>
      <w:r w:rsidRPr="00300BC3" w:rsidR="00EF5CB0">
        <w:rPr>
          <w:rFonts w:ascii="Times New Roman" w:hAnsi="Times New Roman" w:cs="Times New Roman"/>
          <w:color w:val="000000" w:themeColor="text1"/>
          <w:sz w:val="24"/>
          <w:szCs w:val="24"/>
        </w:rPr>
        <w:t>APB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developed to obtain user community advice and guidance on the development and operation of all CJIS</w:t>
      </w:r>
      <w:r w:rsidRPr="00300BC3" w:rsidR="00EF5C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Division programs.  The philosophy underlying the advisory process is one of shared management, i.e., the FBI; federal, state, local,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ribal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university/college, and territorial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providers; and system users share responsibility for the operation and management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and existing FBI CJIS Division </w:t>
      </w:r>
      <w:r w:rsidR="008C5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programs as determined by the FBI Director </w:t>
      </w:r>
      <w:r w:rsidRPr="00300BC3">
        <w:rPr>
          <w:rFonts w:ascii="Times New Roman" w:hAnsi="Times New Roman" w:cs="Times New Roman"/>
          <w:color w:val="000000" w:themeColor="text1"/>
          <w:sz w:val="24"/>
          <w:szCs w:val="24"/>
        </w:rPr>
        <w:t>to benefit the criminal justice community.</w:t>
      </w:r>
    </w:p>
    <w:p w:rsidR="0086279B" w:rsidP="0086279B" w14:paraId="0FD47206" w14:textId="77777777">
      <w:pPr>
        <w:pStyle w:val="ListParagraph"/>
        <w:spacing w:after="0" w:line="240" w:lineRule="auto"/>
        <w:ind w:right="-90"/>
        <w:rPr>
          <w:rFonts w:ascii="Times New Roman" w:hAnsi="Times New Roman"/>
          <w:color w:val="000000" w:themeColor="text1"/>
          <w:sz w:val="24"/>
          <w:szCs w:val="24"/>
        </w:rPr>
      </w:pPr>
    </w:p>
    <w:p w:rsidR="001C035A" w:rsidRPr="000110C6" w:rsidP="000110C6" w14:paraId="401595E6" w14:textId="632E127A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>SRS and NIBRS agencies continued to submit data regarding cargo theft incidents and the information was added to the master file.  On January 1, 2021, the FBI transitioned to a NIBRS-only data collection under which cargo theft incidents are reported.  However, some agencies did not complete the transition to NIBRS by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 given</w:t>
      </w:r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the FBI’s UCR program will continue to collect information regarding new cargo theft incidents, along with updates to previously reported incidents, via the Cargo Theft Incident Report.  </w:t>
      </w:r>
      <w:r w:rsidRPr="009A2F95">
        <w:rPr>
          <w:rFonts w:ascii="Times New Roman" w:hAnsi="Times New Roman" w:cs="Times New Roman"/>
          <w:color w:val="000000" w:themeColor="text1"/>
          <w:sz w:val="24"/>
          <w:szCs w:val="24"/>
        </w:rPr>
        <w:t>The updated information will be added to the master file for historical purposes.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110C6" w:rsidR="0086279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11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esting is not required.   </w:t>
      </w:r>
    </w:p>
    <w:p w:rsidR="005A4375" w:rsidRPr="00300BC3" w:rsidP="00300BC3" w14:paraId="1FC39945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279B" w14:paraId="0562CB0E" w14:textId="4E361F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D2487" w:rsidRPr="00300BC3" w:rsidP="00300BC3" w14:paraId="763B5F9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B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Contacts for Statistical Aspects and Data Collection</w:t>
      </w:r>
    </w:p>
    <w:p w:rsidR="00CD2487" w:rsidRPr="00300BC3" w:rsidP="00300BC3" w14:paraId="34CE0A41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C29" w:rsidRPr="002E1961" w:rsidP="003E6C29" w14:paraId="6870FCF9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Scott E. Schubert</w:t>
      </w:r>
    </w:p>
    <w:p w:rsidR="003E6C29" w:rsidRPr="002E1961" w:rsidP="003E6C29" w14:paraId="51A5CD6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Law Enforcement Engagement and Data Sharing (LEEDS) Section Chief</w:t>
      </w:r>
    </w:p>
    <w:p w:rsidR="003E6C29" w:rsidRPr="002E1961" w:rsidP="003E6C29" w14:paraId="60C4AB72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seschubert@fbi.gov</w:t>
      </w:r>
    </w:p>
    <w:p w:rsidR="003E6C29" w:rsidRPr="002E1961" w:rsidP="003E6C29" w14:paraId="73F230DE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304-625-3690</w:t>
      </w:r>
    </w:p>
    <w:p w:rsidR="003E6C29" w:rsidRPr="002E1961" w:rsidP="003E6C29" w14:paraId="2D49A98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C29" w:rsidRPr="002E1961" w:rsidP="003E6C29" w14:paraId="7DF9D464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Joey L. Hixenbaugh</w:t>
      </w:r>
    </w:p>
    <w:p w:rsidR="003E6C29" w:rsidRPr="002E1961" w:rsidP="003E6C29" w14:paraId="7456088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LEEDS Assistant Section Chief</w:t>
      </w:r>
    </w:p>
    <w:p w:rsidR="003E6C29" w:rsidRPr="002E1961" w:rsidP="003E6C29" w14:paraId="2392C564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jlhixenbaugh</w:t>
      </w: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@fbi.gov</w:t>
      </w:r>
    </w:p>
    <w:p w:rsidR="003E6C29" w:rsidRPr="002E1961" w:rsidP="003E6C29" w14:paraId="50AB61C6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304-625-4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507</w:t>
      </w:r>
    </w:p>
    <w:p w:rsidR="003E6C29" w:rsidRPr="002E1961" w:rsidP="003E6C29" w14:paraId="59D2B79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C29" w:rsidRPr="002E1961" w:rsidP="003E6C29" w14:paraId="03DA8483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Edward L. Abraham</w:t>
      </w:r>
    </w:p>
    <w:p w:rsidR="003E6C29" w:rsidRPr="002E1961" w:rsidP="003E6C29" w14:paraId="711A48D7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rime and </w:t>
      </w: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 </w:t>
      </w: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nforcement </w:t>
      </w: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tatistics </w:t>
      </w: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nit</w:t>
      </w: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Chief</w:t>
      </w:r>
    </w:p>
    <w:p w:rsidR="003E6C29" w:rsidRPr="002E1961" w:rsidP="003E6C29" w14:paraId="1869433D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elabraham@fbi.gov</w:t>
      </w:r>
    </w:p>
    <w:p w:rsidR="003E6C29" w:rsidRPr="002E1961" w:rsidP="003E6C29" w14:paraId="19453AA1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304-625-2136</w:t>
      </w:r>
    </w:p>
    <w:p w:rsidR="003E6C29" w:rsidRPr="002E1961" w:rsidP="003E6C29" w14:paraId="0FE6E033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C29" w:rsidRPr="002E1961" w:rsidP="003E6C29" w14:paraId="2733B05D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Chad M. Garman</w:t>
      </w:r>
    </w:p>
    <w:p w:rsidR="003E6C29" w:rsidRPr="002E1961" w:rsidP="003E6C29" w14:paraId="05019D3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Supervisory Survey Statistician</w:t>
      </w:r>
    </w:p>
    <w:p w:rsidR="003E6C29" w:rsidRPr="002E1961" w:rsidP="003E6C29" w14:paraId="29F991D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cmgarman@fbi.gov</w:t>
      </w:r>
    </w:p>
    <w:p w:rsidR="003E6C29" w:rsidRPr="002E1961" w:rsidP="003E6C29" w14:paraId="665BA6EF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304-625-3296</w:t>
      </w:r>
    </w:p>
    <w:p w:rsidR="003E6C29" w:rsidRPr="002E1961" w:rsidP="003E6C29" w14:paraId="65201EE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C29" w:rsidRPr="002E1961" w:rsidP="003E6C29" w14:paraId="1C4D617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Malissa C. Vavra</w:t>
      </w:r>
    </w:p>
    <w:p w:rsidR="003E6C29" w:rsidRPr="002E1961" w:rsidP="003E6C29" w14:paraId="5FA14096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Survey Statistician</w:t>
      </w:r>
    </w:p>
    <w:p w:rsidR="003E6C29" w:rsidRPr="002E1961" w:rsidP="003E6C29" w14:paraId="4837AE55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mcvavra@fbi.gov</w:t>
      </w:r>
    </w:p>
    <w:p w:rsidR="003E6C29" w:rsidRPr="002E1961" w:rsidP="003E6C29" w14:paraId="1B27C5AD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61">
        <w:rPr>
          <w:rFonts w:ascii="Times New Roman" w:hAnsi="Times New Roman" w:cs="Times New Roman"/>
          <w:color w:val="000000" w:themeColor="text1"/>
          <w:sz w:val="24"/>
          <w:szCs w:val="24"/>
        </w:rPr>
        <w:t>304-625-3010</w:t>
      </w:r>
    </w:p>
    <w:sectPr w:rsidSect="00884E36">
      <w:footerReference w:type="default" r:id="rId8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256024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4E36" w14:paraId="32F15D14" w14:textId="5A4E445B">
        <w:pPr>
          <w:pStyle w:val="Footer"/>
          <w:jc w:val="center"/>
        </w:pPr>
        <w:r w:rsidRPr="00884E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4E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4E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4E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84E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E29E3" w14:paraId="6D98A12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B6228E"/>
    <w:multiLevelType w:val="hybridMultilevel"/>
    <w:tmpl w:val="EBE65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4A47"/>
    <w:multiLevelType w:val="hybridMultilevel"/>
    <w:tmpl w:val="47C82D6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331B7"/>
    <w:multiLevelType w:val="hybridMultilevel"/>
    <w:tmpl w:val="6458F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702AD"/>
    <w:multiLevelType w:val="hybridMultilevel"/>
    <w:tmpl w:val="7D826518"/>
    <w:lvl w:ilvl="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10F7A"/>
    <w:multiLevelType w:val="hybridMultilevel"/>
    <w:tmpl w:val="20C226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27922"/>
    <w:multiLevelType w:val="hybridMultilevel"/>
    <w:tmpl w:val="8EE09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98882">
    <w:abstractNumId w:val="5"/>
  </w:num>
  <w:num w:numId="2" w16cid:durableId="1437871479">
    <w:abstractNumId w:val="2"/>
  </w:num>
  <w:num w:numId="3" w16cid:durableId="186406751">
    <w:abstractNumId w:val="0"/>
  </w:num>
  <w:num w:numId="4" w16cid:durableId="1986928807">
    <w:abstractNumId w:val="3"/>
  </w:num>
  <w:num w:numId="5" w16cid:durableId="728459378">
    <w:abstractNumId w:val="1"/>
  </w:num>
  <w:num w:numId="6" w16cid:durableId="169877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06"/>
    <w:rsid w:val="00007F0B"/>
    <w:rsid w:val="000110C6"/>
    <w:rsid w:val="000114E2"/>
    <w:rsid w:val="0003184A"/>
    <w:rsid w:val="00045A20"/>
    <w:rsid w:val="000835A0"/>
    <w:rsid w:val="000B58D8"/>
    <w:rsid w:val="000E2812"/>
    <w:rsid w:val="000F05A3"/>
    <w:rsid w:val="000F470E"/>
    <w:rsid w:val="00146C5A"/>
    <w:rsid w:val="001677DF"/>
    <w:rsid w:val="001A272C"/>
    <w:rsid w:val="001B0D14"/>
    <w:rsid w:val="001B14DE"/>
    <w:rsid w:val="001C035A"/>
    <w:rsid w:val="001C4AB8"/>
    <w:rsid w:val="001D574A"/>
    <w:rsid w:val="001F221B"/>
    <w:rsid w:val="00212C26"/>
    <w:rsid w:val="00231489"/>
    <w:rsid w:val="00272890"/>
    <w:rsid w:val="00273B17"/>
    <w:rsid w:val="00276382"/>
    <w:rsid w:val="00282108"/>
    <w:rsid w:val="00282CF9"/>
    <w:rsid w:val="0029093E"/>
    <w:rsid w:val="002E1961"/>
    <w:rsid w:val="002F350E"/>
    <w:rsid w:val="00300BC3"/>
    <w:rsid w:val="00376CDA"/>
    <w:rsid w:val="003E6C29"/>
    <w:rsid w:val="00403F4C"/>
    <w:rsid w:val="00422D69"/>
    <w:rsid w:val="004413CF"/>
    <w:rsid w:val="0045609C"/>
    <w:rsid w:val="0046449A"/>
    <w:rsid w:val="004C00B0"/>
    <w:rsid w:val="004D7873"/>
    <w:rsid w:val="005175B4"/>
    <w:rsid w:val="00536916"/>
    <w:rsid w:val="005411FF"/>
    <w:rsid w:val="00583CEB"/>
    <w:rsid w:val="005A4375"/>
    <w:rsid w:val="005A4924"/>
    <w:rsid w:val="005F76A4"/>
    <w:rsid w:val="006010F5"/>
    <w:rsid w:val="00633490"/>
    <w:rsid w:val="00643E18"/>
    <w:rsid w:val="00651659"/>
    <w:rsid w:val="006527CA"/>
    <w:rsid w:val="006638A5"/>
    <w:rsid w:val="006B546C"/>
    <w:rsid w:val="006E29E3"/>
    <w:rsid w:val="006E4FBD"/>
    <w:rsid w:val="007023D4"/>
    <w:rsid w:val="0070362C"/>
    <w:rsid w:val="0073399B"/>
    <w:rsid w:val="00771E6D"/>
    <w:rsid w:val="0079050D"/>
    <w:rsid w:val="007A126D"/>
    <w:rsid w:val="007B5006"/>
    <w:rsid w:val="007C6296"/>
    <w:rsid w:val="0086279B"/>
    <w:rsid w:val="00880594"/>
    <w:rsid w:val="00884E36"/>
    <w:rsid w:val="008A0926"/>
    <w:rsid w:val="008A1C37"/>
    <w:rsid w:val="008A6FE2"/>
    <w:rsid w:val="008B7101"/>
    <w:rsid w:val="008C5425"/>
    <w:rsid w:val="008D0860"/>
    <w:rsid w:val="00901927"/>
    <w:rsid w:val="00910108"/>
    <w:rsid w:val="009119D5"/>
    <w:rsid w:val="00930FDB"/>
    <w:rsid w:val="00934BD0"/>
    <w:rsid w:val="00936DAB"/>
    <w:rsid w:val="009A2F95"/>
    <w:rsid w:val="009E2A51"/>
    <w:rsid w:val="00A25E0A"/>
    <w:rsid w:val="00A322B7"/>
    <w:rsid w:val="00AE1B2B"/>
    <w:rsid w:val="00AE29E4"/>
    <w:rsid w:val="00AE354B"/>
    <w:rsid w:val="00AE6A39"/>
    <w:rsid w:val="00AF29E1"/>
    <w:rsid w:val="00B5653B"/>
    <w:rsid w:val="00BE19A0"/>
    <w:rsid w:val="00C07B2F"/>
    <w:rsid w:val="00C2369B"/>
    <w:rsid w:val="00C26516"/>
    <w:rsid w:val="00C368E1"/>
    <w:rsid w:val="00C42030"/>
    <w:rsid w:val="00C63E47"/>
    <w:rsid w:val="00C74C10"/>
    <w:rsid w:val="00C85BCD"/>
    <w:rsid w:val="00CC6AF9"/>
    <w:rsid w:val="00CD0ED3"/>
    <w:rsid w:val="00CD2487"/>
    <w:rsid w:val="00D510E7"/>
    <w:rsid w:val="00D646EE"/>
    <w:rsid w:val="00D80DAF"/>
    <w:rsid w:val="00DA1AE7"/>
    <w:rsid w:val="00DE4372"/>
    <w:rsid w:val="00DF3932"/>
    <w:rsid w:val="00E31188"/>
    <w:rsid w:val="00E4629E"/>
    <w:rsid w:val="00E648AB"/>
    <w:rsid w:val="00E71640"/>
    <w:rsid w:val="00E91167"/>
    <w:rsid w:val="00EF4A3E"/>
    <w:rsid w:val="00EF5CB0"/>
    <w:rsid w:val="00EF7C60"/>
    <w:rsid w:val="00F06A74"/>
    <w:rsid w:val="00F21C06"/>
    <w:rsid w:val="00F3140D"/>
    <w:rsid w:val="00F4269F"/>
    <w:rsid w:val="00FC078C"/>
    <w:rsid w:val="00FD6FEA"/>
    <w:rsid w:val="1670808C"/>
    <w:rsid w:val="739584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4DEFCA"/>
  <w15:chartTrackingRefBased/>
  <w15:docId w15:val="{85391EFB-E32C-403F-9378-02EB68B8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C06"/>
    <w:pPr>
      <w:ind w:left="720"/>
      <w:contextualSpacing/>
    </w:pPr>
  </w:style>
  <w:style w:type="table" w:styleId="TableGrid">
    <w:name w:val="Table Grid"/>
    <w:basedOn w:val="TableNormal"/>
    <w:uiPriority w:val="39"/>
    <w:rsid w:val="006E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E3"/>
  </w:style>
  <w:style w:type="paragraph" w:styleId="Footer">
    <w:name w:val="footer"/>
    <w:basedOn w:val="Normal"/>
    <w:link w:val="FooterChar"/>
    <w:uiPriority w:val="99"/>
    <w:unhideWhenUsed/>
    <w:rsid w:val="006E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E3"/>
  </w:style>
  <w:style w:type="paragraph" w:styleId="BalloonText">
    <w:name w:val="Balloon Text"/>
    <w:basedOn w:val="Normal"/>
    <w:link w:val="BalloonTextChar"/>
    <w:uiPriority w:val="99"/>
    <w:semiHidden/>
    <w:unhideWhenUsed/>
    <w:rsid w:val="000B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248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9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9A0"/>
    <w:rPr>
      <w:vertAlign w:val="superscript"/>
    </w:rPr>
  </w:style>
  <w:style w:type="character" w:customStyle="1" w:styleId="ui-provider">
    <w:name w:val="ui-provider"/>
    <w:basedOn w:val="DefaultParagraphFont"/>
    <w:rsid w:val="0086279B"/>
  </w:style>
  <w:style w:type="character" w:styleId="CommentReference">
    <w:name w:val="annotation reference"/>
    <w:basedOn w:val="DefaultParagraphFont"/>
    <w:uiPriority w:val="99"/>
    <w:semiHidden/>
    <w:unhideWhenUsed/>
    <w:rsid w:val="000F4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0df4396-f4f0-49ca-81e6-0622fab6fa8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584E6FAA9BC478EB9D609D20310B1" ma:contentTypeVersion="12" ma:contentTypeDescription="Create a new document." ma:contentTypeScope="" ma:versionID="dd3eefd1232a34cf06ff82a816de4716">
  <xsd:schema xmlns:xsd="http://www.w3.org/2001/XMLSchema" xmlns:xs="http://www.w3.org/2001/XMLSchema" xmlns:p="http://schemas.microsoft.com/office/2006/metadata/properties" xmlns:ns1="http://schemas.microsoft.com/sharepoint/v3" xmlns:ns2="183e5f64-3519-4a88-b621-7c6749c532cb" xmlns:ns3="30df4396-f4f0-49ca-81e6-0622fab6fa8e" targetNamespace="http://schemas.microsoft.com/office/2006/metadata/properties" ma:root="true" ma:fieldsID="2822ba064ee51ef10878ce411394232e" ns1:_="" ns2:_="" ns3:_="">
    <xsd:import namespace="http://schemas.microsoft.com/sharepoint/v3"/>
    <xsd:import namespace="183e5f64-3519-4a88-b621-7c6749c532cb"/>
    <xsd:import namespace="30df4396-f4f0-49ca-81e6-0622fab6f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PublishingStartDate" minOccurs="0"/>
                <xsd:element ref="ns1:PublishingExpirationDate" minOccurs="0"/>
                <xsd:element ref="ns3:MediaServiceOCR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5f64-3519-4a88-b621-7c6749c53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4396-f4f0-49ca-81e6-0622fab6f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E7B54-453C-4107-97D2-52EFF16186E6}">
  <ds:schemaRefs>
    <ds:schemaRef ds:uri="http://schemas.microsoft.com/office/2006/metadata/properties"/>
    <ds:schemaRef ds:uri="http://schemas.microsoft.com/office/infopath/2007/PartnerControls"/>
    <ds:schemaRef ds:uri="30df4396-f4f0-49ca-81e6-0622fab6fa8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C34E5B-A6AB-4ED0-BB57-7AB50C224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35210-7DD6-4E55-AC70-34C674D0AF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99AA5-82B4-4C13-9B2D-6710EB6BD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e5f64-3519-4a88-b621-7c6749c532cb"/>
    <ds:schemaRef ds:uri="30df4396-f4f0-49ca-81e6-0622fab6f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Donahue, Kristi L. (CJIS) (FBI)</dc:creator>
  <cp:lastModifiedBy>Malissa Vavra</cp:lastModifiedBy>
  <cp:revision>2</cp:revision>
  <cp:lastPrinted>2024-09-23T14:03:00Z</cp:lastPrinted>
  <dcterms:created xsi:type="dcterms:W3CDTF">2024-10-01T14:57:00Z</dcterms:created>
  <dcterms:modified xsi:type="dcterms:W3CDTF">2024-10-01T14:57:00Z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0x010100064584E6FAA9BC478EB9D609D20310B1</vt:lpwstr>
  </property>
</Properties>
</file>