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P="002E1DE5" w14:paraId="60089450" w14:textId="52478902">
      <w:pPr>
        <w:widowControl/>
        <w:jc w:val="center"/>
        <w:rPr>
          <w:rFonts w:ascii="Times New Roman" w:hAnsi="Times New Roman"/>
          <w:b/>
          <w:bCs/>
        </w:rPr>
      </w:pPr>
      <w:r w:rsidRPr="000C5434">
        <w:rPr>
          <w:rFonts w:ascii="Times New Roman" w:hAnsi="Times New Roman"/>
          <w:b/>
          <w:bCs/>
        </w:rPr>
        <w:t>Application for Registration-DEA 224, Application of Registration Renewal-DEA 224A</w:t>
      </w:r>
    </w:p>
    <w:p w:rsidR="00740CF0" w:rsidP="002E1DE5" w14:paraId="1D5FEF17" w14:textId="04640546">
      <w:pPr>
        <w:widowControl/>
        <w:jc w:val="center"/>
        <w:rPr>
          <w:rFonts w:ascii="Times New Roman" w:hAnsi="Times New Roman"/>
          <w:b/>
          <w:bCs/>
        </w:rPr>
      </w:pPr>
      <w:bookmarkStart w:id="0" w:name="OLE_LINK5"/>
    </w:p>
    <w:p w:rsidR="00740CF0" w:rsidRPr="00740CF0" w:rsidP="00740CF0" w14:paraId="694D6907" w14:textId="77777777">
      <w:pPr>
        <w:widowControl/>
        <w:jc w:val="center"/>
        <w:rPr>
          <w:rFonts w:ascii="Times New Roman" w:hAnsi="Times New Roman"/>
        </w:rPr>
      </w:pPr>
      <w:r w:rsidRPr="00740CF0">
        <w:rPr>
          <w:rFonts w:ascii="Times New Roman" w:hAnsi="Times New Roman"/>
        </w:rPr>
        <w:t>The Drug Enforcement Administration (DEA) seeks approval by the Office of Manage</w:t>
      </w:r>
      <w:bookmarkEnd w:id="0"/>
      <w:r w:rsidRPr="00740CF0">
        <w:rPr>
          <w:rFonts w:ascii="Times New Roman" w:hAnsi="Times New Roman"/>
        </w:rPr>
        <w:t>ment and Budget (OMB) for an existing collection of information that was previously approved by OMB – OMB Approval #1117-0014 Application for Registration (DEA Form 224) and Renewal Application for Registration (DEA Form 224A).</w:t>
      </w:r>
    </w:p>
    <w:p w:rsidR="00740CF0" w:rsidRPr="00871CA6" w:rsidP="002E1DE5" w14:paraId="0C2AFF96" w14:textId="77777777">
      <w:pPr>
        <w:widowControl/>
        <w:jc w:val="center"/>
        <w:rPr>
          <w:rFonts w:ascii="Times New Roman" w:hAnsi="Times New Roman"/>
          <w:b/>
          <w:bCs/>
        </w:rPr>
      </w:pP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DF1363" w:rsidRPr="008556E6" w:rsidP="008556E6" w14:paraId="53BFF98E" w14:textId="000B21BF">
      <w:pPr>
        <w:widowControl/>
        <w:rPr>
          <w:rFonts w:ascii="Times New Roman" w:hAnsi="Times New Roman"/>
          <w:color w:val="000000"/>
        </w:rPr>
      </w:pPr>
      <w:r w:rsidRPr="00D53DEB">
        <w:rPr>
          <w:rFonts w:ascii="Times New Roman" w:hAnsi="Times New Roman"/>
          <w:b/>
          <w:bCs/>
        </w:rPr>
        <w:t xml:space="preserve">1.  </w:t>
      </w:r>
      <w:r w:rsidRPr="008556E6">
        <w:rPr>
          <w:rFonts w:ascii="Times New Roman" w:hAnsi="Times New Roman"/>
          <w:color w:val="000000"/>
        </w:rPr>
        <w:t xml:space="preserve">DEA implements and enforces titles II and III of the Comprehensive Drug Abuse Prevention and Control Act of 1970, Pub. L. No. 91-513, 84 Stat. 1242 (1970), as amended (collectively, the Controlled Substances Act (CSA)).  21 U.S.C. 801–971.  The CSA requires all persons that manufacture, distribute, dispense, conduct research with, import, or export any controlled substance to obtain a registration issued by the Attorney General.  21 U.S.C. 822, 823, 957.  This includes persons that reverse </w:t>
      </w:r>
      <w:r w:rsidRPr="008556E6">
        <w:rPr>
          <w:rFonts w:ascii="Times New Roman" w:hAnsi="Times New Roman"/>
          <w:color w:val="000000"/>
        </w:rPr>
        <w:t>distribute, or</w:t>
      </w:r>
      <w:r w:rsidRPr="008556E6">
        <w:rPr>
          <w:rFonts w:ascii="Times New Roman" w:hAnsi="Times New Roman"/>
          <w:color w:val="000000"/>
        </w:rPr>
        <w:t xml:space="preserve"> conduct research or chemical or other laboratory analysis of any controlled substance (including canine handlers).  See 21 CFR 1301.13.  Generally, any person who is registered may apply to be reregistered no more than 60 days before the expiration date of their registration.  21 CFR 1301.13(b).  However, a bulk manufacturer of a schedule I or II controlled substance or an importer of a schedule I or II controlled substance may apply to be reregistered no more than 120 days before the expiration date of their registration.  21 CFR 1301.13(b).</w:t>
      </w:r>
    </w:p>
    <w:p w:rsidR="006E0714" w:rsidRPr="00DF1363" w:rsidP="00DF1363" w14:paraId="16478E7B" w14:textId="2BD98561">
      <w:pPr>
        <w:pStyle w:val="paragraph"/>
        <w:textAlignment w:val="baseline"/>
        <w:rPr>
          <w:color w:val="000000"/>
        </w:rPr>
      </w:pPr>
      <w:r w:rsidRPr="006E0714">
        <w:rPr>
          <w:color w:val="000000"/>
        </w:rPr>
        <w:t>The “Protecting Patient Access to Emergency Medications Act of 2017” creates a new registration category under the CSA for Emergency Medical Services (EMS) agencies, directing the Attorney General (and thus the Administrator of DEA by delegation) to register such an agency under the CSA if the agency submits an application demonstrating that it is authorized to conduct emergency medical services under the laws of each State in which the agency practices</w:t>
      </w:r>
    </w:p>
    <w:p w:rsidR="00690F56" w:rsidP="0033578D" w14:paraId="6EBE63D5" w14:textId="16FCFF9E">
      <w:pPr>
        <w:widowControl/>
        <w:rPr>
          <w:rFonts w:ascii="Times New Roman" w:hAnsi="Times New Roman"/>
        </w:rPr>
      </w:pPr>
      <w:r w:rsidRPr="00D53DEB">
        <w:rPr>
          <w:rFonts w:ascii="Times New Roman" w:hAnsi="Times New Roman"/>
          <w:b/>
          <w:bCs/>
        </w:rPr>
        <w:t xml:space="preserve">2.  </w:t>
      </w:r>
      <w:r w:rsidRPr="00524782" w:rsidR="00524782">
        <w:rPr>
          <w:rFonts w:ascii="Times New Roman" w:hAnsi="Times New Roman"/>
        </w:rPr>
        <w:t>DEA Form 224 and related sub-forms are utilized by various applicants (e.g., physicians, hospitals/clinics, retail pharmacies, central fill pharmacies, and teaching institutions) seeking to become registered to dispense controlled substances (including through administering and prescribing).  21 CFR 1301.13(a) and (e).  DEA Form 224A is utilized for renewals of such registrations on a triennial basis.  21 CFR 1301.13(d) and (e)(iv).  The purpose of registration or reregistration is to ensure the persons handling controlled substances are qualified and have the experience necessary to handle controlled substances.  The purpose is to also ensure the integrity of the closed system of distribution as well as track/monitor the movement of controlled substances in accordance with the CSA. 21 U.S.C. 823, 824, and 831; 21 CFR 1301.31, 1301.37.</w:t>
      </w:r>
    </w:p>
    <w:p w:rsidR="006E0714" w:rsidP="006E0714" w14:paraId="1AD5E5E8" w14:textId="77777777">
      <w:pPr>
        <w:widowControl/>
        <w:rPr>
          <w:rFonts w:ascii="Times New Roman" w:hAnsi="Times New Roman"/>
        </w:rPr>
      </w:pPr>
    </w:p>
    <w:p w:rsidR="000D65E1" w:rsidP="006E0714" w14:paraId="0D95D16B" w14:textId="77777777">
      <w:pPr>
        <w:widowControl/>
        <w:rPr>
          <w:rFonts w:ascii="Times New Roman" w:hAnsi="Times New Roman"/>
        </w:rPr>
      </w:pPr>
      <w:bookmarkStart w:id="1" w:name="OLE_LINK2"/>
      <w:r w:rsidRPr="006E0714">
        <w:rPr>
          <w:rFonts w:ascii="Times New Roman" w:hAnsi="Times New Roman"/>
        </w:rPr>
        <w:t xml:space="preserve">Under proposed </w:t>
      </w:r>
      <w:r w:rsidR="00E3018F">
        <w:rPr>
          <w:rFonts w:ascii="Times New Roman" w:hAnsi="Times New Roman"/>
        </w:rPr>
        <w:t xml:space="preserve">21 </w:t>
      </w:r>
      <w:r w:rsidR="00A378C6">
        <w:rPr>
          <w:rFonts w:ascii="Times New Roman" w:hAnsi="Times New Roman"/>
        </w:rPr>
        <w:t>U.S.C. 823(k)</w:t>
      </w:r>
      <w:r w:rsidR="002B4393">
        <w:rPr>
          <w:rFonts w:ascii="Times New Roman" w:hAnsi="Times New Roman"/>
        </w:rPr>
        <w:t>(1)-(3)</w:t>
      </w:r>
      <w:r>
        <w:rPr>
          <w:rStyle w:val="FootnoteReference"/>
          <w:rFonts w:ascii="Times New Roman" w:hAnsi="Times New Roman"/>
        </w:rPr>
        <w:footnoteReference w:id="3"/>
      </w:r>
      <w:r w:rsidRPr="006E0714">
        <w:rPr>
          <w:rFonts w:ascii="Times New Roman" w:hAnsi="Times New Roman"/>
        </w:rPr>
        <w:t xml:space="preserve">, EMS agencies, if authorized by state law, may register </w:t>
      </w:r>
    </w:p>
    <w:p w:rsidR="006E0714" w:rsidRPr="006E0714" w:rsidP="006E0714" w14:paraId="45E1DD63" w14:textId="2B8E4FBD">
      <w:pPr>
        <w:widowControl/>
        <w:rPr>
          <w:rFonts w:ascii="Times New Roman" w:hAnsi="Times New Roman"/>
        </w:rPr>
      </w:pPr>
      <w:r w:rsidRPr="006E0714">
        <w:rPr>
          <w:rFonts w:ascii="Times New Roman" w:hAnsi="Times New Roman"/>
        </w:rPr>
        <w:t xml:space="preserve">as a new type of business activity.  For Emergency Medical Services, DEA is proposing to add a new business activity to DEA Form 224 for applicants seeking to register as an EMS Agency.  </w:t>
      </w:r>
      <w:bookmarkEnd w:id="1"/>
      <w:r w:rsidRPr="006E0714">
        <w:rPr>
          <w:rFonts w:ascii="Times New Roman" w:hAnsi="Times New Roman"/>
        </w:rPr>
        <w:t xml:space="preserve">Similarly, DEA Form 224A would also be updated to add the EMS Agency business activity for those registrants wishing to renew their registration.  This new business activity will allow EMS agencies to obtain a DEA registration that will permit EMS agencies to deliver controlled substances to their designated locations without obtaining a separate registration as a Distributor.  This registration will allow EMS personnel to administer controlled substances outside the physical presence of a medical director or authorizing medical professional </w:t>
      </w:r>
      <w:r w:rsidRPr="006E0714">
        <w:rPr>
          <w:rFonts w:ascii="Times New Roman" w:hAnsi="Times New Roman"/>
        </w:rPr>
        <w:t>in the course of</w:t>
      </w:r>
      <w:r w:rsidRPr="006E0714">
        <w:rPr>
          <w:rFonts w:ascii="Times New Roman" w:hAnsi="Times New Roman"/>
        </w:rPr>
        <w:t xml:space="preserve"> providing emergency medical services.  Upon issuance of an EMS agency registration, the EMS agency should use the online system to identify </w:t>
      </w:r>
      <w:r w:rsidRPr="006E0714">
        <w:rPr>
          <w:rFonts w:ascii="Times New Roman" w:hAnsi="Times New Roman"/>
        </w:rPr>
        <w:t>all of</w:t>
      </w:r>
      <w:r w:rsidRPr="006E0714">
        <w:rPr>
          <w:rFonts w:ascii="Times New Roman" w:hAnsi="Times New Roman"/>
        </w:rPr>
        <w:t xml:space="preserve"> the locations it intends to designate under the EMS agencies’ DEA registration.</w:t>
      </w:r>
    </w:p>
    <w:p w:rsidR="006E0714" w:rsidRPr="006E0714" w:rsidP="006E0714" w14:paraId="04F7094B" w14:textId="77777777">
      <w:pPr>
        <w:widowControl/>
        <w:rPr>
          <w:rFonts w:ascii="Times New Roman" w:hAnsi="Times New Roman"/>
        </w:rPr>
      </w:pPr>
    </w:p>
    <w:p w:rsidR="006E0714" w:rsidRPr="00802A30" w:rsidP="0033578D" w14:paraId="09F6B352" w14:textId="7E16E0CF">
      <w:pPr>
        <w:widowControl/>
        <w:rPr>
          <w:rFonts w:ascii="Times New Roman" w:hAnsi="Times New Roman"/>
        </w:rPr>
      </w:pPr>
      <w:r w:rsidRPr="006E0714">
        <w:rPr>
          <w:rFonts w:ascii="Times New Roman" w:hAnsi="Times New Roman"/>
        </w:rPr>
        <w:t>To lessen the burden for EMS agencies with several stationhouses in a single state, DEA proposes to allow EMS agencies to choose the option of a single registration in each state where the EMS agency operates.  If the agency operates EMS facilities in multiple states, the agency must have a separate registration in each state where the agency operates.</w:t>
      </w:r>
    </w:p>
    <w:p w:rsidR="00802A30" w:rsidRPr="00A47DA7" w:rsidP="00802A30" w14:paraId="34E41BA0" w14:textId="77777777">
      <w:pPr>
        <w:widowControl/>
        <w:rPr>
          <w:rFonts w:ascii="Times New Roman" w:hAnsi="Times New Roman"/>
          <w:u w:val="single"/>
        </w:rPr>
      </w:pPr>
    </w:p>
    <w:p w:rsidR="009407FC" w:rsidRPr="008556E6" w:rsidP="00690F56" w14:paraId="711B75A7" w14:textId="494BF8E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w:t>
      </w:r>
      <w:r w:rsidRPr="004A1073" w:rsidR="004A1073">
        <w:rPr>
          <w:rFonts w:ascii="Times New Roman" w:hAnsi="Times New Roman"/>
        </w:rPr>
        <w:t>Currently, DEA permits online registration and renewal of registration through the secure network application on the DEA Diversion Control Division Web site (</w:t>
      </w:r>
      <w:hyperlink r:id="rId9" w:history="1">
        <w:r w:rsidRPr="006941BE" w:rsidR="004A1073">
          <w:rPr>
            <w:rStyle w:val="Hyperlink"/>
            <w:rFonts w:ascii="Times New Roman" w:hAnsi="Times New Roman"/>
          </w:rPr>
          <w:t>http://www.deadiversion.usdoj.gov</w:t>
        </w:r>
      </w:hyperlink>
      <w:r w:rsidRPr="004A1073" w:rsidR="004A1073">
        <w:rPr>
          <w:rFonts w:ascii="Times New Roman" w:hAnsi="Times New Roman"/>
        </w:rPr>
        <w:t>)</w:t>
      </w:r>
      <w:r w:rsidR="004A1073">
        <w:rPr>
          <w:rFonts w:ascii="Times New Roman" w:hAnsi="Times New Roman"/>
        </w:rPr>
        <w:t>.</w:t>
      </w:r>
      <w:r w:rsidRPr="004A1073" w:rsidR="004A1073">
        <w:rPr>
          <w:rFonts w:ascii="Times New Roman" w:hAnsi="Times New Roman"/>
        </w:rPr>
        <w:t xml:space="preserve">  Applicants may complete and submit the required DEA Registration Forms online, along with credit card payment.  This</w:t>
      </w:r>
      <w:r w:rsidR="004F08E0">
        <w:rPr>
          <w:rFonts w:ascii="Times New Roman" w:hAnsi="Times New Roman"/>
        </w:rPr>
        <w:t xml:space="preserve"> </w:t>
      </w:r>
      <w:r w:rsidRPr="004A1073" w:rsidR="004A1073">
        <w:rPr>
          <w:rFonts w:ascii="Times New Roman" w:hAnsi="Times New Roman"/>
        </w:rPr>
        <w:t>will require 100% online submissions.</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50BD4" w:rsidRPr="00A47DA7" w:rsidP="008556E6" w14:paraId="3E1C55FD" w14:textId="3D774D3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w:t>
      </w:r>
      <w:r w:rsidRPr="00A50BD4">
        <w:rPr>
          <w:rFonts w:ascii="Times New Roman" w:hAnsi="Times New Roman"/>
        </w:rPr>
        <w:t>DEA has made efforts to identify and prevent duplication of the collection of information.  The existing DEA Registration Forms are not duplicative of any other DEA forms.  The collection of this information is unique to the DEA.</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RPr="008556E6" w:rsidP="00690F56" w14:paraId="7B476245" w14:textId="45CAFF1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E57D9F" w:rsidR="003F5FF4">
        <w:rPr>
          <w:rFonts w:ascii="Times New Roman" w:hAnsi="Times New Roman"/>
        </w:rPr>
        <w:t>DEA does not anticipate any additional impact on small businesses or other small entities since the initial approval of this form.  The collection will not have a significant economic impact on a substantial number of small entities within the meaning of the Regulatory Flexibility Act, 5 U.S.C. 601–612</w:t>
      </w:r>
      <w:r w:rsidRPr="005622FE" w:rsidR="005622FE">
        <w:rPr>
          <w:rFonts w:ascii="Times New Roman" w:hAnsi="Times New Roman"/>
        </w:rPr>
        <w:t>.</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F5FF4" w:rsidRPr="008556E6" w:rsidP="00690F56" w14:paraId="360630F2" w14:textId="7E28C99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xml:space="preserve">.  </w:t>
      </w:r>
      <w:r w:rsidRPr="003F5FF4">
        <w:rPr>
          <w:rFonts w:ascii="Times New Roman" w:hAnsi="Times New Roman"/>
        </w:rPr>
        <w:t>By law, this information must be collected at least every three years.  The CSA states that</w:t>
      </w:r>
      <w:r w:rsidRPr="003F5FF4">
        <w:rPr>
          <w:rFonts w:ascii="Times New Roman" w:hAnsi="Times New Roman"/>
        </w:rPr>
        <w:t>:  “</w:t>
      </w:r>
      <w:r w:rsidRPr="003F5FF4">
        <w:rPr>
          <w:rFonts w:ascii="Times New Roman" w:hAnsi="Times New Roman"/>
        </w:rPr>
        <w:t>Every person who dispenses, or who proposes to dispense, any controlled substance, shall obtain from the Attorney General a registration issued in accordance with the rules and regulations promulgated by him.  The Attorney General shall, by regulation, determine the period for such registrations.  In no event, however, shall such registrations be issued for less than one year nor for more than three years.”  21 U.S.C. 822(a)(2).</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23E3A" w:rsidRPr="008556E6" w:rsidP="008556E6" w14:paraId="4498B60F" w14:textId="3A6580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rFonts w:ascii="Times New Roman" w:hAnsi="Times New Roman"/>
          <w:b/>
          <w:bCs/>
        </w:rPr>
        <w:t xml:space="preserve">7.  </w:t>
      </w:r>
      <w:r w:rsidRPr="00DA7DC9" w:rsid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73C91" w:rsidRPr="00B73C91" w:rsidP="008556E6" w14:paraId="59AFE78C" w14:textId="72DF1B4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w:t>
      </w:r>
      <w:r w:rsidRPr="0040056E" w:rsidR="0040056E">
        <w:rPr>
          <w:rFonts w:ascii="Times New Roman" w:hAnsi="Times New Roman"/>
        </w:rPr>
        <w:t>T</w:t>
      </w:r>
      <w:r w:rsidRPr="0040056E" w:rsidR="00EE41DA">
        <w:rPr>
          <w:rFonts w:ascii="Times New Roman" w:hAnsi="Times New Roman"/>
        </w:rPr>
        <w:t xml:space="preserve">he 60-Day </w:t>
      </w:r>
      <w:r w:rsidR="0040056E">
        <w:rPr>
          <w:rFonts w:ascii="Times New Roman" w:hAnsi="Times New Roman"/>
        </w:rPr>
        <w:t>Notice was published</w:t>
      </w:r>
      <w:r w:rsidR="001B6B33">
        <w:rPr>
          <w:rFonts w:ascii="Times New Roman" w:hAnsi="Times New Roman"/>
        </w:rPr>
        <w:t xml:space="preserve"> on October 7, 2024</w:t>
      </w:r>
      <w:r w:rsidR="00EA4ED4">
        <w:rPr>
          <w:rFonts w:ascii="Times New Roman" w:hAnsi="Times New Roman"/>
        </w:rPr>
        <w:t xml:space="preserve"> (</w:t>
      </w:r>
      <w:r w:rsidR="008556E6">
        <w:rPr>
          <w:rFonts w:ascii="Times New Roman" w:hAnsi="Times New Roman"/>
        </w:rPr>
        <w:t>89</w:t>
      </w:r>
      <w:r w:rsidRPr="00B73C91">
        <w:rPr>
          <w:rFonts w:ascii="Times New Roman" w:hAnsi="Times New Roman"/>
        </w:rPr>
        <w:t xml:space="preserve"> FR </w:t>
      </w:r>
      <w:r w:rsidR="008556E6">
        <w:rPr>
          <w:rFonts w:ascii="Times New Roman" w:hAnsi="Times New Roman"/>
        </w:rPr>
        <w:t>81109</w:t>
      </w:r>
      <w:r w:rsidR="00EA4ED4">
        <w:rPr>
          <w:rFonts w:ascii="Times New Roman" w:hAnsi="Times New Roman"/>
        </w:rPr>
        <w:t>)</w:t>
      </w:r>
      <w:r w:rsidRPr="00B73C91">
        <w:rPr>
          <w:rFonts w:ascii="Times New Roman" w:hAnsi="Times New Roman"/>
        </w:rPr>
        <w:t>.</w:t>
      </w:r>
      <w:r w:rsidR="00EA4ED4">
        <w:rPr>
          <w:rFonts w:ascii="Times New Roman" w:hAnsi="Times New Roman"/>
        </w:rPr>
        <w:t xml:space="preserve">  The comment period ended on </w:t>
      </w:r>
      <w:r w:rsidR="005B01EA">
        <w:rPr>
          <w:rFonts w:ascii="Times New Roman" w:hAnsi="Times New Roman"/>
        </w:rPr>
        <w:t xml:space="preserve">December </w:t>
      </w:r>
      <w:r w:rsidRPr="00B73C91">
        <w:rPr>
          <w:rFonts w:ascii="Times New Roman" w:hAnsi="Times New Roman"/>
        </w:rPr>
        <w:t xml:space="preserve">  </w:t>
      </w:r>
      <w:bookmarkStart w:id="2" w:name="OLE_LINK3"/>
      <w:r w:rsidRPr="00B73C91">
        <w:rPr>
          <w:rFonts w:ascii="Times New Roman" w:hAnsi="Times New Roman"/>
        </w:rPr>
        <w:t xml:space="preserve">During the 60-day comment period, DEA received no comments regarding the information being collected. The </w:t>
      </w:r>
      <w:r w:rsidR="008556E6">
        <w:rPr>
          <w:rFonts w:ascii="Times New Roman" w:hAnsi="Times New Roman"/>
        </w:rPr>
        <w:t xml:space="preserve">30-day notice </w:t>
      </w:r>
      <w:r w:rsidRPr="00B73C91">
        <w:rPr>
          <w:rFonts w:ascii="Times New Roman" w:hAnsi="Times New Roman"/>
        </w:rPr>
        <w:t xml:space="preserve">published in the Federal Register on </w:t>
      </w:r>
      <w:r w:rsidR="008556E6">
        <w:rPr>
          <w:rFonts w:ascii="Times New Roman" w:hAnsi="Times New Roman"/>
        </w:rPr>
        <w:t>December</w:t>
      </w:r>
      <w:r w:rsidRPr="00B73C91">
        <w:rPr>
          <w:rFonts w:ascii="Times New Roman" w:hAnsi="Times New Roman"/>
        </w:rPr>
        <w:t xml:space="preserve"> </w:t>
      </w:r>
      <w:r w:rsidR="008556E6">
        <w:rPr>
          <w:rFonts w:ascii="Times New Roman" w:hAnsi="Times New Roman"/>
        </w:rPr>
        <w:t>12</w:t>
      </w:r>
      <w:r w:rsidRPr="00B73C91">
        <w:rPr>
          <w:rFonts w:ascii="Times New Roman" w:hAnsi="Times New Roman"/>
        </w:rPr>
        <w:t xml:space="preserve">, </w:t>
      </w:r>
      <w:r w:rsidRPr="00B73C91" w:rsidR="008556E6">
        <w:rPr>
          <w:rFonts w:ascii="Times New Roman" w:hAnsi="Times New Roman"/>
        </w:rPr>
        <w:t>202</w:t>
      </w:r>
      <w:r w:rsidR="008556E6">
        <w:rPr>
          <w:rFonts w:ascii="Times New Roman" w:hAnsi="Times New Roman"/>
        </w:rPr>
        <w:t>4</w:t>
      </w:r>
      <w:bookmarkEnd w:id="2"/>
      <w:r w:rsidR="008556E6">
        <w:rPr>
          <w:rFonts w:ascii="Times New Roman" w:hAnsi="Times New Roman"/>
        </w:rPr>
        <w:t>,</w:t>
      </w:r>
      <w:r w:rsidRPr="00B73C91">
        <w:rPr>
          <w:rFonts w:ascii="Times New Roman" w:hAnsi="Times New Roman"/>
        </w:rPr>
        <w:t xml:space="preserve"> at 8</w:t>
      </w:r>
      <w:r w:rsidR="00D667CE">
        <w:rPr>
          <w:rFonts w:ascii="Times New Roman" w:hAnsi="Times New Roman"/>
        </w:rPr>
        <w:t>9</w:t>
      </w:r>
      <w:r w:rsidRPr="00B73C91">
        <w:rPr>
          <w:rFonts w:ascii="Times New Roman" w:hAnsi="Times New Roman"/>
        </w:rPr>
        <w:t xml:space="preserve"> FR </w:t>
      </w:r>
      <w:r w:rsidR="008556E6">
        <w:rPr>
          <w:rFonts w:ascii="Times New Roman" w:hAnsi="Times New Roman"/>
        </w:rPr>
        <w:t>100536</w:t>
      </w:r>
      <w:r w:rsidRPr="00B73C91">
        <w:rPr>
          <w:rFonts w:ascii="Times New Roman" w:hAnsi="Times New Roman"/>
        </w:rPr>
        <w:t xml:space="preserve">. </w:t>
      </w:r>
    </w:p>
    <w:p w:rsidR="00B73C91" w:rsidRPr="00B73C91" w:rsidP="00B73C91" w14:paraId="4C52C23F" w14:textId="77777777">
      <w:pPr>
        <w:widowControl/>
        <w:autoSpaceDE/>
        <w:autoSpaceDN/>
        <w:adjustRightInd/>
        <w:rPr>
          <w:rFonts w:ascii="Times New Roman" w:hAnsi="Times New Roman"/>
        </w:rPr>
      </w:pPr>
    </w:p>
    <w:p w:rsidR="0060114B" w:rsidRPr="00B73C91" w:rsidP="00B73C91" w14:paraId="425C0DB9" w14:textId="37F430F0">
      <w:pPr>
        <w:widowControl/>
        <w:autoSpaceDE/>
        <w:autoSpaceDN/>
        <w:adjustRightInd/>
        <w:rPr>
          <w:rFonts w:ascii="Times New Roman" w:hAnsi="Times New Roman"/>
        </w:rPr>
      </w:pPr>
      <w:r w:rsidRPr="00B73C91">
        <w:rPr>
          <w:rFonts w:ascii="Times New Roman" w:hAnsi="Times New Roman"/>
        </w:rPr>
        <w:t>DEA meets regularly with the affected industry to discuss policies, programs, and regulations.  These meetings provide an open forum to discuss matters of mutual concern with representatives of those entities from whom the information is obtained.</w:t>
      </w:r>
    </w:p>
    <w:p w:rsidR="00DA7DC9" w:rsidRPr="00A47DA7" w:rsidP="0060114B" w14:paraId="0C933CDF" w14:textId="77777777">
      <w:pPr>
        <w:widowControl/>
        <w:autoSpaceDE/>
        <w:autoSpaceDN/>
        <w:adjustRightInd/>
        <w:rPr>
          <w:rFonts w:ascii="Times New Roman" w:eastAsia="Calibri" w:hAnsi="Times New Roman"/>
        </w:rPr>
      </w:pPr>
    </w:p>
    <w:p w:rsidR="00262716" w:rsidP="00262716" w14:paraId="47C3F7E4" w14:textId="7613A6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9. </w:t>
      </w:r>
      <w:r w:rsidR="008556E6">
        <w:rPr>
          <w:rFonts w:ascii="Times New Roman" w:hAnsi="Times New Roman"/>
          <w:b/>
          <w:bCs/>
        </w:rPr>
        <w:t xml:space="preserve"> </w:t>
      </w:r>
      <w:r w:rsidRPr="004328D9" w:rsid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41BB" w:rsidRPr="008556E6" w:rsidP="00690F56" w14:paraId="0FC34AA0" w14:textId="0308AB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E441BB">
        <w:rPr>
          <w:rFonts w:ascii="Times New Roman" w:hAnsi="Times New Roman"/>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DEA will give written notice to the submitter to allow an opportunity to object within a reasonable time prior to any disclosure by DEA.</w:t>
      </w:r>
    </w:p>
    <w:p w:rsidR="00E441BB" w:rsidP="00690F56" w14:paraId="2B8F2A7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F7C76" w:rsidRPr="004F7C76" w:rsidP="006636D3" w14:paraId="72A7DFA4" w14:textId="7B55B08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11. </w:t>
      </w:r>
      <w:r w:rsidRPr="004F7C76">
        <w:rPr>
          <w:rFonts w:ascii="Times New Roman" w:hAnsi="Times New Roman"/>
        </w:rPr>
        <w:t>This collection of information does not ask any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904007E" w14:textId="3ACF54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12.  </w:t>
      </w: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11040" w:type="dxa"/>
        <w:tblInd w:w="-10" w:type="dxa"/>
        <w:tblCellMar>
          <w:top w:w="15" w:type="dxa"/>
        </w:tblCellMar>
        <w:tblLook w:val="04A0"/>
      </w:tblPr>
      <w:tblGrid>
        <w:gridCol w:w="956"/>
        <w:gridCol w:w="1306"/>
        <w:gridCol w:w="1127"/>
        <w:gridCol w:w="1281"/>
        <w:gridCol w:w="1620"/>
        <w:gridCol w:w="1170"/>
        <w:gridCol w:w="1080"/>
        <w:gridCol w:w="1483"/>
        <w:gridCol w:w="1017"/>
      </w:tblGrid>
      <w:tr w14:paraId="1E79BD15" w14:textId="77777777" w:rsidTr="00CE5D47">
        <w:tblPrEx>
          <w:tblW w:w="11040" w:type="dxa"/>
          <w:tblInd w:w="-10" w:type="dxa"/>
          <w:tblCellMar>
            <w:top w:w="15" w:type="dxa"/>
          </w:tblCellMar>
          <w:tblLook w:val="04A0"/>
        </w:tblPrEx>
        <w:trPr>
          <w:gridAfter w:val="1"/>
          <w:wAfter w:w="1017" w:type="dxa"/>
          <w:trHeight w:val="1035"/>
        </w:trPr>
        <w:tc>
          <w:tcPr>
            <w:tcW w:w="956"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CE5D47" w:rsidRPr="00CE5D47" w:rsidP="00CE5D47" w14:paraId="0F5AF77B" w14:textId="77777777">
            <w:pPr>
              <w:widowControl/>
              <w:autoSpaceDE/>
              <w:autoSpaceDN/>
              <w:adjustRightInd/>
              <w:rPr>
                <w:rFonts w:ascii="Times New Roman" w:hAnsi="Times New Roman"/>
                <w:color w:val="000000"/>
                <w:sz w:val="20"/>
                <w:szCs w:val="20"/>
              </w:rPr>
            </w:pPr>
            <w:r w:rsidRPr="00CE5D47">
              <w:rPr>
                <w:rFonts w:ascii="Times New Roman" w:hAnsi="Times New Roman"/>
                <w:color w:val="000000"/>
                <w:sz w:val="20"/>
                <w:szCs w:val="20"/>
              </w:rPr>
              <w:t> </w:t>
            </w:r>
            <w:r w:rsidRPr="00CE5D47">
              <w:rPr>
                <w:rFonts w:ascii="Times New Roman" w:hAnsi="Times New Roman"/>
                <w:b/>
                <w:bCs/>
                <w:color w:val="000000"/>
                <w:sz w:val="20"/>
                <w:szCs w:val="20"/>
              </w:rPr>
              <w:t xml:space="preserve">Activity </w:t>
            </w:r>
          </w:p>
        </w:tc>
        <w:tc>
          <w:tcPr>
            <w:tcW w:w="1306" w:type="dxa"/>
            <w:tcBorders>
              <w:top w:val="single" w:sz="8" w:space="0" w:color="auto"/>
              <w:left w:val="nil"/>
              <w:bottom w:val="single" w:sz="8" w:space="0" w:color="auto"/>
              <w:right w:val="single" w:sz="8" w:space="0" w:color="auto"/>
            </w:tcBorders>
            <w:shd w:val="clear" w:color="000000" w:fill="C5D9F1"/>
            <w:vAlign w:val="center"/>
            <w:hideMark/>
          </w:tcPr>
          <w:p w:rsidR="00CE5D47" w:rsidRPr="00CE5D47" w:rsidP="00CE5D47" w14:paraId="2FD4E3AE" w14:textId="77777777">
            <w:pPr>
              <w:widowControl/>
              <w:autoSpaceDE/>
              <w:autoSpaceDN/>
              <w:adjustRightInd/>
              <w:jc w:val="center"/>
              <w:rPr>
                <w:rFonts w:ascii="Times New Roman" w:hAnsi="Times New Roman"/>
                <w:b/>
                <w:bCs/>
                <w:color w:val="000000"/>
                <w:sz w:val="20"/>
                <w:szCs w:val="20"/>
              </w:rPr>
            </w:pPr>
            <w:r w:rsidRPr="00CE5D47">
              <w:rPr>
                <w:rFonts w:ascii="Times New Roman" w:hAnsi="Times New Roman"/>
                <w:b/>
                <w:bCs/>
                <w:color w:val="000000"/>
                <w:sz w:val="20"/>
                <w:szCs w:val="20"/>
              </w:rPr>
              <w:t>Number of Respondents</w:t>
            </w:r>
          </w:p>
        </w:tc>
        <w:tc>
          <w:tcPr>
            <w:tcW w:w="1127" w:type="dxa"/>
            <w:tcBorders>
              <w:top w:val="single" w:sz="8" w:space="0" w:color="auto"/>
              <w:left w:val="nil"/>
              <w:bottom w:val="single" w:sz="8" w:space="0" w:color="auto"/>
              <w:right w:val="single" w:sz="8" w:space="0" w:color="auto"/>
            </w:tcBorders>
            <w:shd w:val="clear" w:color="000000" w:fill="C5D9F1"/>
            <w:vAlign w:val="center"/>
            <w:hideMark/>
          </w:tcPr>
          <w:p w:rsidR="00CE5D47" w:rsidRPr="00CE5D47" w:rsidP="00CE5D47" w14:paraId="152F5451" w14:textId="77777777">
            <w:pPr>
              <w:widowControl/>
              <w:autoSpaceDE/>
              <w:autoSpaceDN/>
              <w:adjustRightInd/>
              <w:jc w:val="center"/>
              <w:rPr>
                <w:rFonts w:ascii="Times New Roman" w:hAnsi="Times New Roman"/>
                <w:b/>
                <w:bCs/>
                <w:color w:val="000000"/>
                <w:sz w:val="20"/>
                <w:szCs w:val="20"/>
              </w:rPr>
            </w:pPr>
            <w:r w:rsidRPr="00CE5D47">
              <w:rPr>
                <w:rFonts w:ascii="Times New Roman" w:hAnsi="Times New Roman"/>
                <w:b/>
                <w:bCs/>
                <w:color w:val="000000"/>
                <w:sz w:val="20"/>
                <w:szCs w:val="20"/>
              </w:rPr>
              <w:t>Frequency</w:t>
            </w:r>
          </w:p>
        </w:tc>
        <w:tc>
          <w:tcPr>
            <w:tcW w:w="1281" w:type="dxa"/>
            <w:tcBorders>
              <w:top w:val="single" w:sz="8" w:space="0" w:color="auto"/>
              <w:left w:val="nil"/>
              <w:bottom w:val="single" w:sz="8" w:space="0" w:color="auto"/>
              <w:right w:val="single" w:sz="8" w:space="0" w:color="auto"/>
            </w:tcBorders>
            <w:shd w:val="clear" w:color="000000" w:fill="C5D9F1"/>
            <w:vAlign w:val="center"/>
            <w:hideMark/>
          </w:tcPr>
          <w:p w:rsidR="00CE5D47" w:rsidRPr="00CE5D47" w:rsidP="00CE5D47" w14:paraId="53C2738D" w14:textId="77777777">
            <w:pPr>
              <w:widowControl/>
              <w:autoSpaceDE/>
              <w:autoSpaceDN/>
              <w:adjustRightInd/>
              <w:jc w:val="center"/>
              <w:rPr>
                <w:rFonts w:ascii="Times New Roman" w:hAnsi="Times New Roman"/>
                <w:b/>
                <w:bCs/>
                <w:color w:val="000000"/>
                <w:sz w:val="20"/>
                <w:szCs w:val="20"/>
              </w:rPr>
            </w:pPr>
            <w:r w:rsidRPr="00CE5D47">
              <w:rPr>
                <w:rFonts w:ascii="Times New Roman" w:hAnsi="Times New Roman"/>
                <w:b/>
                <w:bCs/>
                <w:color w:val="000000"/>
                <w:sz w:val="20"/>
                <w:szCs w:val="20"/>
              </w:rPr>
              <w:t>Total Annual Responses</w:t>
            </w:r>
          </w:p>
        </w:tc>
        <w:tc>
          <w:tcPr>
            <w:tcW w:w="1620" w:type="dxa"/>
            <w:tcBorders>
              <w:top w:val="single" w:sz="8" w:space="0" w:color="auto"/>
              <w:left w:val="nil"/>
              <w:bottom w:val="single" w:sz="8" w:space="0" w:color="auto"/>
              <w:right w:val="single" w:sz="8" w:space="0" w:color="auto"/>
            </w:tcBorders>
            <w:shd w:val="clear" w:color="000000" w:fill="C5D9F1"/>
            <w:vAlign w:val="center"/>
            <w:hideMark/>
          </w:tcPr>
          <w:p w:rsidR="00CE5D47" w:rsidRPr="00CE5D47" w:rsidP="00CE5D47" w14:paraId="65D7D70A" w14:textId="44F333C0">
            <w:pPr>
              <w:widowControl/>
              <w:autoSpaceDE/>
              <w:autoSpaceDN/>
              <w:adjustRightInd/>
              <w:jc w:val="center"/>
              <w:rPr>
                <w:rFonts w:ascii="Times New Roman" w:hAnsi="Times New Roman"/>
                <w:b/>
                <w:bCs/>
                <w:color w:val="000000"/>
                <w:sz w:val="20"/>
                <w:szCs w:val="20"/>
              </w:rPr>
            </w:pPr>
            <w:r w:rsidRPr="00CE5D47">
              <w:rPr>
                <w:rFonts w:ascii="Times New Roman" w:hAnsi="Times New Roman"/>
                <w:b/>
                <w:bCs/>
                <w:color w:val="000000"/>
                <w:sz w:val="20"/>
                <w:szCs w:val="20"/>
              </w:rPr>
              <w:t xml:space="preserve">Time Per Response </w:t>
            </w:r>
          </w:p>
        </w:tc>
        <w:tc>
          <w:tcPr>
            <w:tcW w:w="1170" w:type="dxa"/>
            <w:tcBorders>
              <w:top w:val="single" w:sz="8" w:space="0" w:color="auto"/>
              <w:left w:val="nil"/>
              <w:bottom w:val="single" w:sz="8" w:space="0" w:color="auto"/>
              <w:right w:val="single" w:sz="8" w:space="0" w:color="auto"/>
            </w:tcBorders>
            <w:shd w:val="clear" w:color="000000" w:fill="C5D9F1"/>
            <w:vAlign w:val="center"/>
            <w:hideMark/>
          </w:tcPr>
          <w:p w:rsidR="00CE5D47" w:rsidRPr="00CE5D47" w:rsidP="00CE5D47" w14:paraId="24618D46" w14:textId="77777777">
            <w:pPr>
              <w:widowControl/>
              <w:autoSpaceDE/>
              <w:autoSpaceDN/>
              <w:adjustRightInd/>
              <w:jc w:val="center"/>
              <w:rPr>
                <w:rFonts w:ascii="Times New Roman" w:hAnsi="Times New Roman"/>
                <w:b/>
                <w:bCs/>
                <w:color w:val="000000"/>
                <w:sz w:val="20"/>
                <w:szCs w:val="20"/>
              </w:rPr>
            </w:pPr>
            <w:r w:rsidRPr="00CE5D47">
              <w:rPr>
                <w:rFonts w:ascii="Times New Roman" w:hAnsi="Times New Roman"/>
                <w:b/>
                <w:bCs/>
                <w:color w:val="000000"/>
                <w:sz w:val="20"/>
                <w:szCs w:val="20"/>
              </w:rPr>
              <w:t>Total Annual Burden (Hours)</w:t>
            </w:r>
          </w:p>
        </w:tc>
        <w:tc>
          <w:tcPr>
            <w:tcW w:w="1080" w:type="dxa"/>
            <w:tcBorders>
              <w:top w:val="single" w:sz="8" w:space="0" w:color="auto"/>
              <w:left w:val="nil"/>
              <w:bottom w:val="single" w:sz="8" w:space="0" w:color="auto"/>
              <w:right w:val="single" w:sz="8" w:space="0" w:color="auto"/>
            </w:tcBorders>
            <w:shd w:val="clear" w:color="000000" w:fill="C5D9F1"/>
            <w:vAlign w:val="center"/>
            <w:hideMark/>
          </w:tcPr>
          <w:p w:rsidR="00CE5D47" w:rsidRPr="00CE5D47" w:rsidP="00CE5D47" w14:paraId="4D758CD2" w14:textId="77777777">
            <w:pPr>
              <w:widowControl/>
              <w:autoSpaceDE/>
              <w:autoSpaceDN/>
              <w:adjustRightInd/>
              <w:jc w:val="center"/>
              <w:rPr>
                <w:rFonts w:ascii="Times New Roman" w:hAnsi="Times New Roman"/>
                <w:b/>
                <w:bCs/>
                <w:color w:val="000000"/>
                <w:sz w:val="20"/>
                <w:szCs w:val="20"/>
              </w:rPr>
            </w:pPr>
            <w:r w:rsidRPr="00CE5D47">
              <w:rPr>
                <w:rFonts w:ascii="Times New Roman" w:hAnsi="Times New Roman"/>
                <w:b/>
                <w:bCs/>
                <w:color w:val="000000"/>
                <w:sz w:val="20"/>
                <w:szCs w:val="20"/>
              </w:rPr>
              <w:t>Hourly Rate*</w:t>
            </w:r>
          </w:p>
        </w:tc>
        <w:tc>
          <w:tcPr>
            <w:tcW w:w="1483" w:type="dxa"/>
            <w:tcBorders>
              <w:top w:val="single" w:sz="8" w:space="0" w:color="auto"/>
              <w:left w:val="nil"/>
              <w:bottom w:val="single" w:sz="8" w:space="0" w:color="auto"/>
              <w:right w:val="single" w:sz="8" w:space="0" w:color="auto"/>
            </w:tcBorders>
            <w:shd w:val="clear" w:color="000000" w:fill="C5D9F1"/>
            <w:vAlign w:val="center"/>
            <w:hideMark/>
          </w:tcPr>
          <w:p w:rsidR="00CE5D47" w:rsidRPr="00CE5D47" w:rsidP="00CE5D47" w14:paraId="31A83EB0" w14:textId="77777777">
            <w:pPr>
              <w:widowControl/>
              <w:autoSpaceDE/>
              <w:autoSpaceDN/>
              <w:adjustRightInd/>
              <w:jc w:val="center"/>
              <w:rPr>
                <w:rFonts w:ascii="Times New Roman" w:hAnsi="Times New Roman"/>
                <w:b/>
                <w:bCs/>
                <w:color w:val="000000"/>
                <w:sz w:val="20"/>
                <w:szCs w:val="20"/>
              </w:rPr>
            </w:pPr>
            <w:r w:rsidRPr="00CE5D47">
              <w:rPr>
                <w:rFonts w:ascii="Times New Roman" w:hAnsi="Times New Roman"/>
                <w:b/>
                <w:bCs/>
                <w:color w:val="000000"/>
                <w:sz w:val="20"/>
                <w:szCs w:val="20"/>
              </w:rPr>
              <w:t>Monetized Value of Respondent Time</w:t>
            </w:r>
          </w:p>
        </w:tc>
      </w:tr>
      <w:tr w14:paraId="36F716F8" w14:textId="77777777" w:rsidTr="00CE5D47">
        <w:tblPrEx>
          <w:tblW w:w="11040" w:type="dxa"/>
          <w:tblInd w:w="-10" w:type="dxa"/>
          <w:tblCellMar>
            <w:top w:w="15" w:type="dxa"/>
          </w:tblCellMar>
          <w:tblLook w:val="04A0"/>
        </w:tblPrEx>
        <w:trPr>
          <w:gridAfter w:val="1"/>
          <w:wAfter w:w="1017" w:type="dxa"/>
          <w:trHeight w:val="450"/>
        </w:trPr>
        <w:tc>
          <w:tcPr>
            <w:tcW w:w="956"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3F578B9F" w14:textId="77777777">
            <w:pPr>
              <w:widowControl/>
              <w:autoSpaceDE/>
              <w:autoSpaceDN/>
              <w:adjustRightInd/>
              <w:rPr>
                <w:rFonts w:ascii="Times New Roman" w:hAnsi="Times New Roman"/>
                <w:color w:val="000000"/>
                <w:sz w:val="20"/>
                <w:szCs w:val="20"/>
              </w:rPr>
            </w:pPr>
            <w:r w:rsidRPr="00CE5D47">
              <w:rPr>
                <w:rFonts w:ascii="Times New Roman" w:hAnsi="Times New Roman"/>
                <w:color w:val="000000"/>
                <w:sz w:val="20"/>
                <w:szCs w:val="20"/>
              </w:rPr>
              <w:t>DEA-224</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1C94270F" w14:textId="77777777">
            <w:pPr>
              <w:widowControl/>
              <w:autoSpaceDE/>
              <w:autoSpaceDN/>
              <w:adjustRightInd/>
              <w:jc w:val="right"/>
              <w:rPr>
                <w:rFonts w:ascii="Times New Roman" w:hAnsi="Times New Roman"/>
                <w:color w:val="000000"/>
                <w:sz w:val="20"/>
                <w:szCs w:val="20"/>
              </w:rPr>
            </w:pPr>
            <w:r w:rsidRPr="00CE5D47">
              <w:rPr>
                <w:rFonts w:ascii="Times New Roman" w:hAnsi="Times New Roman"/>
                <w:color w:val="000000"/>
                <w:sz w:val="20"/>
                <w:szCs w:val="20"/>
              </w:rPr>
              <w:t>146,285</w:t>
            </w:r>
          </w:p>
        </w:tc>
        <w:tc>
          <w:tcPr>
            <w:tcW w:w="1127"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7AAB2B2F" w14:textId="77777777">
            <w:pPr>
              <w:widowControl/>
              <w:autoSpaceDE/>
              <w:autoSpaceDN/>
              <w:adjustRightInd/>
              <w:jc w:val="center"/>
              <w:rPr>
                <w:rFonts w:ascii="Times New Roman" w:hAnsi="Times New Roman"/>
                <w:color w:val="000000"/>
                <w:sz w:val="20"/>
                <w:szCs w:val="20"/>
              </w:rPr>
            </w:pPr>
            <w:r w:rsidRPr="00CE5D47">
              <w:rPr>
                <w:rFonts w:ascii="Times New Roman" w:hAnsi="Times New Roman"/>
                <w:color w:val="000000"/>
                <w:sz w:val="20"/>
                <w:szCs w:val="20"/>
              </w:rPr>
              <w:t>1</w:t>
            </w:r>
          </w:p>
        </w:tc>
        <w:tc>
          <w:tcPr>
            <w:tcW w:w="1281"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13A4A7E2" w14:textId="77777777">
            <w:pPr>
              <w:widowControl/>
              <w:autoSpaceDE/>
              <w:autoSpaceDN/>
              <w:adjustRightInd/>
              <w:jc w:val="center"/>
              <w:rPr>
                <w:rFonts w:ascii="Times New Roman" w:hAnsi="Times New Roman"/>
                <w:color w:val="000000"/>
                <w:sz w:val="20"/>
                <w:szCs w:val="20"/>
              </w:rPr>
            </w:pPr>
            <w:r w:rsidRPr="00CE5D47">
              <w:rPr>
                <w:rFonts w:ascii="Times New Roman" w:hAnsi="Times New Roman"/>
                <w:color w:val="000000"/>
                <w:sz w:val="20"/>
                <w:szCs w:val="20"/>
              </w:rPr>
              <w:t>146,285</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2EC93BAE" w14:textId="77777777">
            <w:pPr>
              <w:widowControl/>
              <w:autoSpaceDE/>
              <w:autoSpaceDN/>
              <w:adjustRightInd/>
              <w:jc w:val="center"/>
              <w:rPr>
                <w:rFonts w:ascii="Times New Roman" w:hAnsi="Times New Roman"/>
                <w:color w:val="000000"/>
                <w:sz w:val="20"/>
                <w:szCs w:val="20"/>
              </w:rPr>
            </w:pPr>
            <w:r w:rsidRPr="00CE5D47">
              <w:rPr>
                <w:rFonts w:ascii="Times New Roman" w:hAnsi="Times New Roman"/>
                <w:color w:val="000000"/>
                <w:sz w:val="20"/>
                <w:szCs w:val="20"/>
              </w:rPr>
              <w:t xml:space="preserve">20 minutes </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79034CFC" w14:textId="77777777">
            <w:pPr>
              <w:widowControl/>
              <w:autoSpaceDE/>
              <w:autoSpaceDN/>
              <w:adjustRightInd/>
              <w:jc w:val="right"/>
              <w:rPr>
                <w:rFonts w:ascii="Times New Roman" w:hAnsi="Times New Roman"/>
                <w:color w:val="000000"/>
                <w:sz w:val="20"/>
                <w:szCs w:val="20"/>
              </w:rPr>
            </w:pPr>
            <w:r w:rsidRPr="00CE5D47">
              <w:rPr>
                <w:rFonts w:ascii="Times New Roman" w:hAnsi="Times New Roman"/>
                <w:color w:val="000000"/>
                <w:sz w:val="20"/>
                <w:szCs w:val="20"/>
              </w:rPr>
              <w:t>48,761</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0EAD6A64" w14:textId="77777777">
            <w:pPr>
              <w:widowControl/>
              <w:autoSpaceDE/>
              <w:autoSpaceDN/>
              <w:adjustRightInd/>
              <w:jc w:val="center"/>
              <w:rPr>
                <w:rFonts w:ascii="Times New Roman" w:hAnsi="Times New Roman"/>
                <w:color w:val="000000"/>
                <w:sz w:val="20"/>
                <w:szCs w:val="20"/>
              </w:rPr>
            </w:pPr>
            <w:r w:rsidRPr="00CE5D47">
              <w:rPr>
                <w:rFonts w:ascii="Times New Roman" w:hAnsi="Times New Roman"/>
                <w:color w:val="000000"/>
                <w:sz w:val="20"/>
                <w:szCs w:val="20"/>
              </w:rPr>
              <w:t xml:space="preserve">$165.11 </w:t>
            </w:r>
          </w:p>
        </w:tc>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2DD74822" w14:textId="77777777">
            <w:pPr>
              <w:widowControl/>
              <w:autoSpaceDE/>
              <w:autoSpaceDN/>
              <w:adjustRightInd/>
              <w:jc w:val="center"/>
              <w:rPr>
                <w:rFonts w:ascii="Times New Roman" w:hAnsi="Times New Roman"/>
                <w:color w:val="000000"/>
                <w:sz w:val="20"/>
                <w:szCs w:val="20"/>
              </w:rPr>
            </w:pPr>
            <w:r w:rsidRPr="00CE5D47">
              <w:rPr>
                <w:rFonts w:ascii="Times New Roman" w:hAnsi="Times New Roman"/>
                <w:color w:val="000000"/>
                <w:sz w:val="20"/>
                <w:szCs w:val="20"/>
              </w:rPr>
              <w:t xml:space="preserve">$8,050,929 </w:t>
            </w:r>
          </w:p>
        </w:tc>
      </w:tr>
      <w:tr w14:paraId="745198BE" w14:textId="77777777" w:rsidTr="00CE5D47">
        <w:tblPrEx>
          <w:tblW w:w="11040" w:type="dxa"/>
          <w:tblInd w:w="-10" w:type="dxa"/>
          <w:tblCellMar>
            <w:top w:w="15" w:type="dxa"/>
          </w:tblCellMar>
          <w:tblLook w:val="04A0"/>
        </w:tblPrEx>
        <w:trPr>
          <w:trHeight w:val="315"/>
        </w:trPr>
        <w:tc>
          <w:tcPr>
            <w:tcW w:w="956" w:type="dxa"/>
            <w:vMerge/>
            <w:tcBorders>
              <w:top w:val="nil"/>
              <w:left w:val="single" w:sz="8" w:space="0" w:color="auto"/>
              <w:bottom w:val="single" w:sz="8" w:space="0" w:color="000000"/>
              <w:right w:val="single" w:sz="8" w:space="0" w:color="auto"/>
            </w:tcBorders>
            <w:vAlign w:val="center"/>
            <w:hideMark/>
          </w:tcPr>
          <w:p w:rsidR="00CE5D47" w:rsidRPr="00CE5D47" w:rsidP="00CE5D47" w14:paraId="40390109" w14:textId="77777777">
            <w:pPr>
              <w:widowControl/>
              <w:autoSpaceDE/>
              <w:autoSpaceDN/>
              <w:adjustRightInd/>
              <w:rPr>
                <w:rFonts w:ascii="Times New Roman" w:hAnsi="Times New Roman"/>
                <w:color w:val="000000"/>
                <w:sz w:val="20"/>
                <w:szCs w:val="20"/>
              </w:rPr>
            </w:pPr>
          </w:p>
        </w:tc>
        <w:tc>
          <w:tcPr>
            <w:tcW w:w="1306" w:type="dxa"/>
            <w:vMerge/>
            <w:tcBorders>
              <w:top w:val="nil"/>
              <w:left w:val="single" w:sz="8" w:space="0" w:color="auto"/>
              <w:bottom w:val="single" w:sz="8" w:space="0" w:color="000000"/>
              <w:right w:val="single" w:sz="8" w:space="0" w:color="auto"/>
            </w:tcBorders>
            <w:vAlign w:val="center"/>
            <w:hideMark/>
          </w:tcPr>
          <w:p w:rsidR="00CE5D47" w:rsidRPr="00CE5D47" w:rsidP="00CE5D47" w14:paraId="65E9810C" w14:textId="77777777">
            <w:pPr>
              <w:widowControl/>
              <w:autoSpaceDE/>
              <w:autoSpaceDN/>
              <w:adjustRightInd/>
              <w:rPr>
                <w:rFonts w:ascii="Times New Roman" w:hAnsi="Times New Roman"/>
                <w:color w:val="000000"/>
                <w:sz w:val="20"/>
                <w:szCs w:val="20"/>
              </w:rPr>
            </w:pPr>
          </w:p>
        </w:tc>
        <w:tc>
          <w:tcPr>
            <w:tcW w:w="1127" w:type="dxa"/>
            <w:vMerge/>
            <w:tcBorders>
              <w:top w:val="nil"/>
              <w:left w:val="single" w:sz="8" w:space="0" w:color="auto"/>
              <w:bottom w:val="single" w:sz="8" w:space="0" w:color="000000"/>
              <w:right w:val="single" w:sz="8" w:space="0" w:color="auto"/>
            </w:tcBorders>
            <w:vAlign w:val="center"/>
            <w:hideMark/>
          </w:tcPr>
          <w:p w:rsidR="00CE5D47" w:rsidRPr="00CE5D47" w:rsidP="00CE5D47" w14:paraId="4A088DD7" w14:textId="77777777">
            <w:pPr>
              <w:widowControl/>
              <w:autoSpaceDE/>
              <w:autoSpaceDN/>
              <w:adjustRightInd/>
              <w:rPr>
                <w:rFonts w:ascii="Times New Roman" w:hAnsi="Times New Roman"/>
                <w:color w:val="000000"/>
                <w:sz w:val="20"/>
                <w:szCs w:val="20"/>
              </w:rPr>
            </w:pPr>
          </w:p>
        </w:tc>
        <w:tc>
          <w:tcPr>
            <w:tcW w:w="1281" w:type="dxa"/>
            <w:vMerge/>
            <w:tcBorders>
              <w:top w:val="nil"/>
              <w:left w:val="single" w:sz="8" w:space="0" w:color="auto"/>
              <w:bottom w:val="single" w:sz="8" w:space="0" w:color="000000"/>
              <w:right w:val="single" w:sz="8" w:space="0" w:color="auto"/>
            </w:tcBorders>
            <w:vAlign w:val="center"/>
            <w:hideMark/>
          </w:tcPr>
          <w:p w:rsidR="00CE5D47" w:rsidRPr="00CE5D47" w:rsidP="00CE5D47" w14:paraId="45363AD6" w14:textId="77777777">
            <w:pPr>
              <w:widowControl/>
              <w:autoSpaceDE/>
              <w:autoSpaceDN/>
              <w:adjustRightInd/>
              <w:rPr>
                <w:rFonts w:ascii="Times New Roman" w:hAnsi="Times New Roman"/>
                <w:color w:val="000000"/>
                <w:sz w:val="20"/>
                <w:szCs w:val="20"/>
              </w:rPr>
            </w:pPr>
          </w:p>
        </w:tc>
        <w:tc>
          <w:tcPr>
            <w:tcW w:w="1620" w:type="dxa"/>
            <w:vMerge/>
            <w:tcBorders>
              <w:top w:val="nil"/>
              <w:left w:val="single" w:sz="8" w:space="0" w:color="auto"/>
              <w:bottom w:val="single" w:sz="8" w:space="0" w:color="000000"/>
              <w:right w:val="single" w:sz="8" w:space="0" w:color="auto"/>
            </w:tcBorders>
            <w:vAlign w:val="center"/>
            <w:hideMark/>
          </w:tcPr>
          <w:p w:rsidR="00CE5D47" w:rsidRPr="00CE5D47" w:rsidP="00CE5D47" w14:paraId="4C7BF364" w14:textId="77777777">
            <w:pPr>
              <w:widowControl/>
              <w:autoSpaceDE/>
              <w:autoSpaceDN/>
              <w:adjustRightInd/>
              <w:rPr>
                <w:rFonts w:ascii="Times New Roman" w:hAnsi="Times New Roman"/>
                <w:color w:val="000000"/>
                <w:sz w:val="20"/>
                <w:szCs w:val="20"/>
              </w:rPr>
            </w:pPr>
          </w:p>
        </w:tc>
        <w:tc>
          <w:tcPr>
            <w:tcW w:w="1170" w:type="dxa"/>
            <w:vMerge/>
            <w:tcBorders>
              <w:top w:val="nil"/>
              <w:left w:val="single" w:sz="8" w:space="0" w:color="auto"/>
              <w:bottom w:val="single" w:sz="8" w:space="0" w:color="000000"/>
              <w:right w:val="single" w:sz="8" w:space="0" w:color="auto"/>
            </w:tcBorders>
            <w:vAlign w:val="center"/>
            <w:hideMark/>
          </w:tcPr>
          <w:p w:rsidR="00CE5D47" w:rsidRPr="00CE5D47" w:rsidP="00CE5D47" w14:paraId="4A352064" w14:textId="77777777">
            <w:pPr>
              <w:widowControl/>
              <w:autoSpaceDE/>
              <w:autoSpaceDN/>
              <w:adjustRightInd/>
              <w:rPr>
                <w:rFonts w:ascii="Times New Roman" w:hAnsi="Times New Roman"/>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rsidR="00CE5D47" w:rsidRPr="00CE5D47" w:rsidP="00CE5D47" w14:paraId="732866BB" w14:textId="77777777">
            <w:pPr>
              <w:widowControl/>
              <w:autoSpaceDE/>
              <w:autoSpaceDN/>
              <w:adjustRightInd/>
              <w:rPr>
                <w:rFonts w:ascii="Times New Roman" w:hAnsi="Times New Roman"/>
                <w:color w:val="000000"/>
                <w:sz w:val="20"/>
                <w:szCs w:val="20"/>
              </w:rPr>
            </w:pPr>
          </w:p>
        </w:tc>
        <w:tc>
          <w:tcPr>
            <w:tcW w:w="1483" w:type="dxa"/>
            <w:vMerge/>
            <w:tcBorders>
              <w:top w:val="nil"/>
              <w:left w:val="single" w:sz="8" w:space="0" w:color="auto"/>
              <w:bottom w:val="single" w:sz="8" w:space="0" w:color="000000"/>
              <w:right w:val="single" w:sz="8" w:space="0" w:color="auto"/>
            </w:tcBorders>
            <w:vAlign w:val="center"/>
            <w:hideMark/>
          </w:tcPr>
          <w:p w:rsidR="00CE5D47" w:rsidRPr="00CE5D47" w:rsidP="00CE5D47" w14:paraId="6FF9FBEE" w14:textId="77777777">
            <w:pPr>
              <w:widowControl/>
              <w:autoSpaceDE/>
              <w:autoSpaceDN/>
              <w:adjustRightInd/>
              <w:rPr>
                <w:rFonts w:ascii="Times New Roman" w:hAnsi="Times New Roman"/>
                <w:color w:val="000000"/>
                <w:sz w:val="20"/>
                <w:szCs w:val="20"/>
              </w:rPr>
            </w:pPr>
          </w:p>
        </w:tc>
        <w:tc>
          <w:tcPr>
            <w:tcW w:w="1017" w:type="dxa"/>
            <w:tcBorders>
              <w:top w:val="nil"/>
              <w:left w:val="nil"/>
              <w:bottom w:val="nil"/>
              <w:right w:val="nil"/>
            </w:tcBorders>
            <w:shd w:val="clear" w:color="auto" w:fill="auto"/>
            <w:noWrap/>
            <w:vAlign w:val="bottom"/>
            <w:hideMark/>
          </w:tcPr>
          <w:p w:rsidR="00CE5D47" w:rsidRPr="00CE5D47" w:rsidP="00CE5D47" w14:paraId="6442DE28" w14:textId="77777777">
            <w:pPr>
              <w:widowControl/>
              <w:autoSpaceDE/>
              <w:autoSpaceDN/>
              <w:adjustRightInd/>
              <w:jc w:val="center"/>
              <w:rPr>
                <w:rFonts w:ascii="Times New Roman" w:hAnsi="Times New Roman"/>
                <w:color w:val="000000"/>
                <w:sz w:val="20"/>
                <w:szCs w:val="20"/>
              </w:rPr>
            </w:pPr>
          </w:p>
        </w:tc>
      </w:tr>
      <w:tr w14:paraId="519CAD4B" w14:textId="77777777" w:rsidTr="00CE5D47">
        <w:tblPrEx>
          <w:tblW w:w="11040" w:type="dxa"/>
          <w:tblInd w:w="-10" w:type="dxa"/>
          <w:tblCellMar>
            <w:top w:w="15" w:type="dxa"/>
          </w:tblCellMar>
          <w:tblLook w:val="04A0"/>
        </w:tblPrEx>
        <w:trPr>
          <w:trHeight w:val="450"/>
        </w:trPr>
        <w:tc>
          <w:tcPr>
            <w:tcW w:w="956"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795DA6A8" w14:textId="77777777">
            <w:pPr>
              <w:widowControl/>
              <w:autoSpaceDE/>
              <w:autoSpaceDN/>
              <w:adjustRightInd/>
              <w:rPr>
                <w:rFonts w:ascii="Times New Roman" w:hAnsi="Times New Roman"/>
                <w:color w:val="000000"/>
                <w:sz w:val="20"/>
                <w:szCs w:val="20"/>
              </w:rPr>
            </w:pPr>
            <w:r w:rsidRPr="00CE5D47">
              <w:rPr>
                <w:rFonts w:ascii="Times New Roman" w:hAnsi="Times New Roman"/>
                <w:color w:val="000000"/>
                <w:sz w:val="20"/>
                <w:szCs w:val="20"/>
              </w:rPr>
              <w:t>DEA-224a</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18CF8221" w14:textId="77777777">
            <w:pPr>
              <w:widowControl/>
              <w:autoSpaceDE/>
              <w:autoSpaceDN/>
              <w:adjustRightInd/>
              <w:jc w:val="right"/>
              <w:rPr>
                <w:rFonts w:ascii="Times New Roman" w:hAnsi="Times New Roman"/>
                <w:color w:val="000000"/>
                <w:sz w:val="20"/>
                <w:szCs w:val="20"/>
              </w:rPr>
            </w:pPr>
            <w:r w:rsidRPr="00CE5D47">
              <w:rPr>
                <w:rFonts w:ascii="Times New Roman" w:hAnsi="Times New Roman"/>
                <w:color w:val="000000"/>
                <w:sz w:val="20"/>
                <w:szCs w:val="20"/>
              </w:rPr>
              <w:t>524,196</w:t>
            </w:r>
          </w:p>
        </w:tc>
        <w:tc>
          <w:tcPr>
            <w:tcW w:w="1127"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6BBFF2A5" w14:textId="77777777">
            <w:pPr>
              <w:widowControl/>
              <w:autoSpaceDE/>
              <w:autoSpaceDN/>
              <w:adjustRightInd/>
              <w:jc w:val="center"/>
              <w:rPr>
                <w:rFonts w:ascii="Times New Roman" w:hAnsi="Times New Roman"/>
                <w:color w:val="000000"/>
                <w:sz w:val="20"/>
                <w:szCs w:val="20"/>
              </w:rPr>
            </w:pPr>
            <w:r w:rsidRPr="00CE5D47">
              <w:rPr>
                <w:rFonts w:ascii="Times New Roman" w:hAnsi="Times New Roman"/>
                <w:color w:val="000000"/>
                <w:sz w:val="20"/>
                <w:szCs w:val="20"/>
              </w:rPr>
              <w:t>1</w:t>
            </w:r>
          </w:p>
        </w:tc>
        <w:tc>
          <w:tcPr>
            <w:tcW w:w="1281"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3DCC88CC" w14:textId="77777777">
            <w:pPr>
              <w:widowControl/>
              <w:autoSpaceDE/>
              <w:autoSpaceDN/>
              <w:adjustRightInd/>
              <w:jc w:val="center"/>
              <w:rPr>
                <w:rFonts w:ascii="Times New Roman" w:hAnsi="Times New Roman"/>
                <w:color w:val="000000"/>
                <w:sz w:val="20"/>
                <w:szCs w:val="20"/>
              </w:rPr>
            </w:pPr>
            <w:r w:rsidRPr="00CE5D47">
              <w:rPr>
                <w:rFonts w:ascii="Times New Roman" w:hAnsi="Times New Roman"/>
                <w:color w:val="000000"/>
                <w:sz w:val="20"/>
                <w:szCs w:val="20"/>
              </w:rPr>
              <w:t>524,196</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6AA8C077" w14:textId="77777777">
            <w:pPr>
              <w:widowControl/>
              <w:autoSpaceDE/>
              <w:autoSpaceDN/>
              <w:adjustRightInd/>
              <w:jc w:val="center"/>
              <w:rPr>
                <w:rFonts w:ascii="Times New Roman" w:hAnsi="Times New Roman"/>
                <w:color w:val="000000"/>
                <w:sz w:val="20"/>
                <w:szCs w:val="20"/>
              </w:rPr>
            </w:pPr>
            <w:r w:rsidRPr="00CE5D47">
              <w:rPr>
                <w:rFonts w:ascii="Times New Roman" w:hAnsi="Times New Roman"/>
                <w:color w:val="000000"/>
                <w:sz w:val="20"/>
                <w:szCs w:val="20"/>
              </w:rPr>
              <w:t xml:space="preserve">10 minutes </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66EC8492" w14:textId="77777777">
            <w:pPr>
              <w:widowControl/>
              <w:autoSpaceDE/>
              <w:autoSpaceDN/>
              <w:adjustRightInd/>
              <w:jc w:val="right"/>
              <w:rPr>
                <w:rFonts w:ascii="Times New Roman" w:hAnsi="Times New Roman"/>
                <w:color w:val="000000"/>
                <w:sz w:val="20"/>
                <w:szCs w:val="20"/>
              </w:rPr>
            </w:pPr>
            <w:r w:rsidRPr="00CE5D47">
              <w:rPr>
                <w:rFonts w:ascii="Times New Roman" w:hAnsi="Times New Roman"/>
                <w:color w:val="000000"/>
                <w:sz w:val="20"/>
                <w:szCs w:val="20"/>
              </w:rPr>
              <w:t>87,366</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1AA6D219" w14:textId="77777777">
            <w:pPr>
              <w:widowControl/>
              <w:autoSpaceDE/>
              <w:autoSpaceDN/>
              <w:adjustRightInd/>
              <w:jc w:val="center"/>
              <w:rPr>
                <w:rFonts w:ascii="Times New Roman" w:hAnsi="Times New Roman"/>
                <w:color w:val="000000"/>
                <w:sz w:val="20"/>
                <w:szCs w:val="20"/>
              </w:rPr>
            </w:pPr>
            <w:r w:rsidRPr="00CE5D47">
              <w:rPr>
                <w:rFonts w:ascii="Times New Roman" w:hAnsi="Times New Roman"/>
                <w:color w:val="000000"/>
                <w:sz w:val="20"/>
                <w:szCs w:val="20"/>
              </w:rPr>
              <w:t xml:space="preserve">$165.11 </w:t>
            </w:r>
          </w:p>
        </w:tc>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CE5D47" w:rsidRPr="00CE5D47" w:rsidP="00CE5D47" w14:paraId="0CD6C2A1" w14:textId="77777777">
            <w:pPr>
              <w:widowControl/>
              <w:autoSpaceDE/>
              <w:autoSpaceDN/>
              <w:adjustRightInd/>
              <w:jc w:val="center"/>
              <w:rPr>
                <w:rFonts w:ascii="Times New Roman" w:hAnsi="Times New Roman"/>
                <w:color w:val="000000"/>
                <w:sz w:val="20"/>
                <w:szCs w:val="20"/>
              </w:rPr>
            </w:pPr>
            <w:r w:rsidRPr="00CE5D47">
              <w:rPr>
                <w:rFonts w:ascii="Times New Roman" w:hAnsi="Times New Roman"/>
                <w:color w:val="000000"/>
                <w:sz w:val="20"/>
                <w:szCs w:val="20"/>
              </w:rPr>
              <w:t xml:space="preserve">$14,425,000 </w:t>
            </w:r>
          </w:p>
        </w:tc>
        <w:tc>
          <w:tcPr>
            <w:tcW w:w="1017" w:type="dxa"/>
            <w:vAlign w:val="center"/>
            <w:hideMark/>
          </w:tcPr>
          <w:p w:rsidR="00CE5D47" w:rsidRPr="00CE5D47" w:rsidP="00CE5D47" w14:paraId="25F56126" w14:textId="77777777">
            <w:pPr>
              <w:widowControl/>
              <w:autoSpaceDE/>
              <w:autoSpaceDN/>
              <w:adjustRightInd/>
              <w:rPr>
                <w:rFonts w:ascii="Times New Roman" w:hAnsi="Times New Roman"/>
                <w:sz w:val="20"/>
                <w:szCs w:val="20"/>
              </w:rPr>
            </w:pPr>
          </w:p>
        </w:tc>
      </w:tr>
      <w:tr w14:paraId="767D360F" w14:textId="77777777" w:rsidTr="00CE5D47">
        <w:tblPrEx>
          <w:tblW w:w="11040" w:type="dxa"/>
          <w:tblInd w:w="-10" w:type="dxa"/>
          <w:tblCellMar>
            <w:top w:w="15" w:type="dxa"/>
          </w:tblCellMar>
          <w:tblLook w:val="04A0"/>
        </w:tblPrEx>
        <w:trPr>
          <w:trHeight w:val="315"/>
        </w:trPr>
        <w:tc>
          <w:tcPr>
            <w:tcW w:w="956" w:type="dxa"/>
            <w:vMerge/>
            <w:tcBorders>
              <w:top w:val="nil"/>
              <w:left w:val="single" w:sz="8" w:space="0" w:color="auto"/>
              <w:bottom w:val="single" w:sz="8" w:space="0" w:color="000000"/>
              <w:right w:val="single" w:sz="8" w:space="0" w:color="auto"/>
            </w:tcBorders>
            <w:vAlign w:val="center"/>
            <w:hideMark/>
          </w:tcPr>
          <w:p w:rsidR="00CE5D47" w:rsidRPr="00CE5D47" w:rsidP="00CE5D47" w14:paraId="02B102D2" w14:textId="77777777">
            <w:pPr>
              <w:widowControl/>
              <w:autoSpaceDE/>
              <w:autoSpaceDN/>
              <w:adjustRightInd/>
              <w:rPr>
                <w:rFonts w:ascii="Times New Roman" w:hAnsi="Times New Roman"/>
                <w:color w:val="000000"/>
                <w:sz w:val="20"/>
                <w:szCs w:val="20"/>
              </w:rPr>
            </w:pPr>
          </w:p>
        </w:tc>
        <w:tc>
          <w:tcPr>
            <w:tcW w:w="1306" w:type="dxa"/>
            <w:vMerge/>
            <w:tcBorders>
              <w:top w:val="nil"/>
              <w:left w:val="single" w:sz="8" w:space="0" w:color="auto"/>
              <w:bottom w:val="single" w:sz="8" w:space="0" w:color="000000"/>
              <w:right w:val="single" w:sz="8" w:space="0" w:color="auto"/>
            </w:tcBorders>
            <w:vAlign w:val="center"/>
            <w:hideMark/>
          </w:tcPr>
          <w:p w:rsidR="00CE5D47" w:rsidRPr="00CE5D47" w:rsidP="00CE5D47" w14:paraId="5BC5ED55" w14:textId="77777777">
            <w:pPr>
              <w:widowControl/>
              <w:autoSpaceDE/>
              <w:autoSpaceDN/>
              <w:adjustRightInd/>
              <w:rPr>
                <w:rFonts w:ascii="Times New Roman" w:hAnsi="Times New Roman"/>
                <w:color w:val="000000"/>
                <w:sz w:val="20"/>
                <w:szCs w:val="20"/>
              </w:rPr>
            </w:pPr>
          </w:p>
        </w:tc>
        <w:tc>
          <w:tcPr>
            <w:tcW w:w="1127" w:type="dxa"/>
            <w:vMerge/>
            <w:tcBorders>
              <w:top w:val="nil"/>
              <w:left w:val="single" w:sz="8" w:space="0" w:color="auto"/>
              <w:bottom w:val="single" w:sz="8" w:space="0" w:color="000000"/>
              <w:right w:val="single" w:sz="8" w:space="0" w:color="auto"/>
            </w:tcBorders>
            <w:vAlign w:val="center"/>
            <w:hideMark/>
          </w:tcPr>
          <w:p w:rsidR="00CE5D47" w:rsidRPr="00CE5D47" w:rsidP="00CE5D47" w14:paraId="532EB4D1" w14:textId="77777777">
            <w:pPr>
              <w:widowControl/>
              <w:autoSpaceDE/>
              <w:autoSpaceDN/>
              <w:adjustRightInd/>
              <w:rPr>
                <w:rFonts w:ascii="Times New Roman" w:hAnsi="Times New Roman"/>
                <w:color w:val="000000"/>
                <w:sz w:val="20"/>
                <w:szCs w:val="20"/>
              </w:rPr>
            </w:pPr>
          </w:p>
        </w:tc>
        <w:tc>
          <w:tcPr>
            <w:tcW w:w="1281" w:type="dxa"/>
            <w:vMerge/>
            <w:tcBorders>
              <w:top w:val="nil"/>
              <w:left w:val="single" w:sz="8" w:space="0" w:color="auto"/>
              <w:bottom w:val="single" w:sz="8" w:space="0" w:color="000000"/>
              <w:right w:val="single" w:sz="8" w:space="0" w:color="auto"/>
            </w:tcBorders>
            <w:vAlign w:val="center"/>
            <w:hideMark/>
          </w:tcPr>
          <w:p w:rsidR="00CE5D47" w:rsidRPr="00CE5D47" w:rsidP="00CE5D47" w14:paraId="41DB85BA" w14:textId="77777777">
            <w:pPr>
              <w:widowControl/>
              <w:autoSpaceDE/>
              <w:autoSpaceDN/>
              <w:adjustRightInd/>
              <w:rPr>
                <w:rFonts w:ascii="Times New Roman" w:hAnsi="Times New Roman"/>
                <w:color w:val="000000"/>
                <w:sz w:val="20"/>
                <w:szCs w:val="20"/>
              </w:rPr>
            </w:pPr>
          </w:p>
        </w:tc>
        <w:tc>
          <w:tcPr>
            <w:tcW w:w="1620" w:type="dxa"/>
            <w:vMerge/>
            <w:tcBorders>
              <w:top w:val="nil"/>
              <w:left w:val="single" w:sz="8" w:space="0" w:color="auto"/>
              <w:bottom w:val="single" w:sz="8" w:space="0" w:color="000000"/>
              <w:right w:val="single" w:sz="8" w:space="0" w:color="auto"/>
            </w:tcBorders>
            <w:vAlign w:val="center"/>
            <w:hideMark/>
          </w:tcPr>
          <w:p w:rsidR="00CE5D47" w:rsidRPr="00CE5D47" w:rsidP="00CE5D47" w14:paraId="1DA5F535" w14:textId="77777777">
            <w:pPr>
              <w:widowControl/>
              <w:autoSpaceDE/>
              <w:autoSpaceDN/>
              <w:adjustRightInd/>
              <w:rPr>
                <w:rFonts w:ascii="Times New Roman" w:hAnsi="Times New Roman"/>
                <w:color w:val="000000"/>
                <w:sz w:val="20"/>
                <w:szCs w:val="20"/>
              </w:rPr>
            </w:pPr>
          </w:p>
        </w:tc>
        <w:tc>
          <w:tcPr>
            <w:tcW w:w="1170" w:type="dxa"/>
            <w:vMerge/>
            <w:tcBorders>
              <w:top w:val="nil"/>
              <w:left w:val="single" w:sz="8" w:space="0" w:color="auto"/>
              <w:bottom w:val="single" w:sz="8" w:space="0" w:color="000000"/>
              <w:right w:val="single" w:sz="8" w:space="0" w:color="auto"/>
            </w:tcBorders>
            <w:vAlign w:val="center"/>
            <w:hideMark/>
          </w:tcPr>
          <w:p w:rsidR="00CE5D47" w:rsidRPr="00CE5D47" w:rsidP="00CE5D47" w14:paraId="02BCB46B" w14:textId="77777777">
            <w:pPr>
              <w:widowControl/>
              <w:autoSpaceDE/>
              <w:autoSpaceDN/>
              <w:adjustRightInd/>
              <w:rPr>
                <w:rFonts w:ascii="Times New Roman" w:hAnsi="Times New Roman"/>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rsidR="00CE5D47" w:rsidRPr="00CE5D47" w:rsidP="00CE5D47" w14:paraId="1C622F43" w14:textId="77777777">
            <w:pPr>
              <w:widowControl/>
              <w:autoSpaceDE/>
              <w:autoSpaceDN/>
              <w:adjustRightInd/>
              <w:rPr>
                <w:rFonts w:ascii="Times New Roman" w:hAnsi="Times New Roman"/>
                <w:color w:val="000000"/>
                <w:sz w:val="20"/>
                <w:szCs w:val="20"/>
              </w:rPr>
            </w:pPr>
          </w:p>
        </w:tc>
        <w:tc>
          <w:tcPr>
            <w:tcW w:w="1483" w:type="dxa"/>
            <w:vMerge/>
            <w:tcBorders>
              <w:top w:val="nil"/>
              <w:left w:val="single" w:sz="8" w:space="0" w:color="auto"/>
              <w:bottom w:val="single" w:sz="8" w:space="0" w:color="000000"/>
              <w:right w:val="single" w:sz="8" w:space="0" w:color="auto"/>
            </w:tcBorders>
            <w:vAlign w:val="center"/>
            <w:hideMark/>
          </w:tcPr>
          <w:p w:rsidR="00CE5D47" w:rsidRPr="00CE5D47" w:rsidP="00CE5D47" w14:paraId="7DBBCE44" w14:textId="77777777">
            <w:pPr>
              <w:widowControl/>
              <w:autoSpaceDE/>
              <w:autoSpaceDN/>
              <w:adjustRightInd/>
              <w:rPr>
                <w:rFonts w:ascii="Times New Roman" w:hAnsi="Times New Roman"/>
                <w:color w:val="000000"/>
                <w:sz w:val="20"/>
                <w:szCs w:val="20"/>
              </w:rPr>
            </w:pPr>
          </w:p>
        </w:tc>
        <w:tc>
          <w:tcPr>
            <w:tcW w:w="1017" w:type="dxa"/>
            <w:tcBorders>
              <w:top w:val="nil"/>
              <w:left w:val="nil"/>
              <w:bottom w:val="nil"/>
              <w:right w:val="nil"/>
            </w:tcBorders>
            <w:shd w:val="clear" w:color="auto" w:fill="auto"/>
            <w:noWrap/>
            <w:vAlign w:val="bottom"/>
            <w:hideMark/>
          </w:tcPr>
          <w:p w:rsidR="00CE5D47" w:rsidRPr="00CE5D47" w:rsidP="00CE5D47" w14:paraId="28E50F00" w14:textId="77777777">
            <w:pPr>
              <w:widowControl/>
              <w:autoSpaceDE/>
              <w:autoSpaceDN/>
              <w:adjustRightInd/>
              <w:jc w:val="center"/>
              <w:rPr>
                <w:rFonts w:ascii="Times New Roman" w:hAnsi="Times New Roman"/>
                <w:color w:val="000000"/>
                <w:sz w:val="20"/>
                <w:szCs w:val="20"/>
              </w:rPr>
            </w:pPr>
          </w:p>
        </w:tc>
      </w:tr>
      <w:tr w14:paraId="61177CFF" w14:textId="77777777" w:rsidTr="00CE5D47">
        <w:tblPrEx>
          <w:tblW w:w="11040" w:type="dxa"/>
          <w:tblInd w:w="-10" w:type="dxa"/>
          <w:tblCellMar>
            <w:top w:w="15" w:type="dxa"/>
          </w:tblCellMar>
          <w:tblLook w:val="04A0"/>
        </w:tblPrEx>
        <w:trPr>
          <w:trHeight w:val="300"/>
        </w:trPr>
        <w:tc>
          <w:tcPr>
            <w:tcW w:w="956" w:type="dxa"/>
            <w:vMerge w:val="restart"/>
            <w:tcBorders>
              <w:top w:val="nil"/>
              <w:left w:val="single" w:sz="8" w:space="0" w:color="auto"/>
              <w:bottom w:val="single" w:sz="8" w:space="0" w:color="000000"/>
              <w:right w:val="single" w:sz="8" w:space="0" w:color="auto"/>
            </w:tcBorders>
            <w:shd w:val="clear" w:color="000000" w:fill="C5D9F1"/>
            <w:vAlign w:val="center"/>
            <w:hideMark/>
          </w:tcPr>
          <w:p w:rsidR="00CE5D47" w:rsidRPr="00CE5D47" w:rsidP="00CE5D47" w14:paraId="3C8FCD18" w14:textId="77777777">
            <w:pPr>
              <w:widowControl/>
              <w:autoSpaceDE/>
              <w:autoSpaceDN/>
              <w:adjustRightInd/>
              <w:rPr>
                <w:rFonts w:ascii="Times New Roman" w:hAnsi="Times New Roman"/>
                <w:b/>
                <w:bCs/>
                <w:color w:val="000000"/>
                <w:sz w:val="20"/>
                <w:szCs w:val="20"/>
              </w:rPr>
            </w:pPr>
            <w:r w:rsidRPr="00CE5D47">
              <w:rPr>
                <w:rFonts w:ascii="Times New Roman" w:hAnsi="Times New Roman"/>
                <w:b/>
                <w:bCs/>
                <w:color w:val="000000"/>
                <w:sz w:val="20"/>
                <w:szCs w:val="20"/>
              </w:rPr>
              <w:t>Total</w:t>
            </w:r>
          </w:p>
        </w:tc>
        <w:tc>
          <w:tcPr>
            <w:tcW w:w="1306" w:type="dxa"/>
            <w:vMerge w:val="restart"/>
            <w:tcBorders>
              <w:top w:val="nil"/>
              <w:left w:val="single" w:sz="8" w:space="0" w:color="auto"/>
              <w:bottom w:val="single" w:sz="8" w:space="0" w:color="000000"/>
              <w:right w:val="single" w:sz="8" w:space="0" w:color="auto"/>
            </w:tcBorders>
            <w:shd w:val="clear" w:color="000000" w:fill="C5D9F1"/>
            <w:vAlign w:val="center"/>
            <w:hideMark/>
          </w:tcPr>
          <w:p w:rsidR="00CE5D47" w:rsidRPr="00CE5D47" w:rsidP="00CE5D47" w14:paraId="73BBDE11" w14:textId="77777777">
            <w:pPr>
              <w:widowControl/>
              <w:autoSpaceDE/>
              <w:autoSpaceDN/>
              <w:adjustRightInd/>
              <w:jc w:val="right"/>
              <w:rPr>
                <w:rFonts w:ascii="Times New Roman" w:hAnsi="Times New Roman"/>
                <w:b/>
                <w:bCs/>
                <w:color w:val="000000"/>
                <w:sz w:val="20"/>
                <w:szCs w:val="20"/>
              </w:rPr>
            </w:pPr>
            <w:r w:rsidRPr="00CE5D47">
              <w:rPr>
                <w:rFonts w:ascii="Times New Roman" w:hAnsi="Times New Roman"/>
                <w:b/>
                <w:bCs/>
                <w:color w:val="000000"/>
                <w:sz w:val="20"/>
                <w:szCs w:val="20"/>
              </w:rPr>
              <w:t>670,481</w:t>
            </w:r>
          </w:p>
        </w:tc>
        <w:tc>
          <w:tcPr>
            <w:tcW w:w="1127" w:type="dxa"/>
            <w:vMerge w:val="restart"/>
            <w:tcBorders>
              <w:top w:val="nil"/>
              <w:left w:val="single" w:sz="8" w:space="0" w:color="auto"/>
              <w:bottom w:val="single" w:sz="8" w:space="0" w:color="000000"/>
              <w:right w:val="single" w:sz="8" w:space="0" w:color="auto"/>
            </w:tcBorders>
            <w:shd w:val="clear" w:color="000000" w:fill="C5D9F1"/>
            <w:vAlign w:val="center"/>
            <w:hideMark/>
          </w:tcPr>
          <w:p w:rsidR="00CE5D47" w:rsidRPr="00CE5D47" w:rsidP="00CE5D47" w14:paraId="094335E7" w14:textId="24D85FAD">
            <w:pPr>
              <w:widowControl/>
              <w:autoSpaceDE/>
              <w:autoSpaceDN/>
              <w:adjustRightInd/>
              <w:jc w:val="center"/>
              <w:rPr>
                <w:rFonts w:ascii="Times New Roman" w:hAnsi="Times New Roman"/>
                <w:b/>
                <w:bCs/>
                <w:color w:val="000000"/>
                <w:sz w:val="20"/>
                <w:szCs w:val="20"/>
              </w:rPr>
            </w:pPr>
            <w:r w:rsidRPr="00CE5D47">
              <w:rPr>
                <w:rFonts w:ascii="Times New Roman" w:hAnsi="Times New Roman"/>
                <w:b/>
                <w:bCs/>
                <w:color w:val="000000"/>
                <w:sz w:val="20"/>
                <w:szCs w:val="20"/>
              </w:rPr>
              <w:t> </w:t>
            </w:r>
            <w:r w:rsidR="00875D38">
              <w:rPr>
                <w:rFonts w:ascii="Times New Roman" w:hAnsi="Times New Roman"/>
                <w:b/>
                <w:bCs/>
                <w:color w:val="000000"/>
                <w:sz w:val="20"/>
                <w:szCs w:val="20"/>
              </w:rPr>
              <w:t>1</w:t>
            </w:r>
          </w:p>
        </w:tc>
        <w:tc>
          <w:tcPr>
            <w:tcW w:w="1281" w:type="dxa"/>
            <w:vMerge w:val="restart"/>
            <w:tcBorders>
              <w:top w:val="nil"/>
              <w:left w:val="single" w:sz="8" w:space="0" w:color="auto"/>
              <w:bottom w:val="single" w:sz="8" w:space="0" w:color="000000"/>
              <w:right w:val="single" w:sz="8" w:space="0" w:color="auto"/>
            </w:tcBorders>
            <w:shd w:val="clear" w:color="000000" w:fill="C5D9F1"/>
            <w:vAlign w:val="center"/>
            <w:hideMark/>
          </w:tcPr>
          <w:p w:rsidR="00CE5D47" w:rsidRPr="00CE5D47" w:rsidP="00CE5D47" w14:paraId="72779EFB" w14:textId="77777777">
            <w:pPr>
              <w:widowControl/>
              <w:autoSpaceDE/>
              <w:autoSpaceDN/>
              <w:adjustRightInd/>
              <w:jc w:val="center"/>
              <w:rPr>
                <w:rFonts w:ascii="Times New Roman" w:hAnsi="Times New Roman"/>
                <w:b/>
                <w:bCs/>
                <w:color w:val="000000"/>
                <w:sz w:val="20"/>
                <w:szCs w:val="20"/>
              </w:rPr>
            </w:pPr>
            <w:r w:rsidRPr="00CE5D47">
              <w:rPr>
                <w:rFonts w:ascii="Times New Roman" w:hAnsi="Times New Roman"/>
                <w:b/>
                <w:bCs/>
                <w:color w:val="000000"/>
                <w:sz w:val="20"/>
                <w:szCs w:val="20"/>
              </w:rPr>
              <w:t>670,481</w:t>
            </w:r>
          </w:p>
        </w:tc>
        <w:tc>
          <w:tcPr>
            <w:tcW w:w="1620" w:type="dxa"/>
            <w:vMerge w:val="restart"/>
            <w:tcBorders>
              <w:top w:val="nil"/>
              <w:left w:val="single" w:sz="8" w:space="0" w:color="auto"/>
              <w:bottom w:val="single" w:sz="8" w:space="0" w:color="000000"/>
              <w:right w:val="single" w:sz="8" w:space="0" w:color="auto"/>
            </w:tcBorders>
            <w:shd w:val="clear" w:color="000000" w:fill="C5D9F1"/>
            <w:vAlign w:val="center"/>
            <w:hideMark/>
          </w:tcPr>
          <w:p w:rsidR="00CE5D47" w:rsidRPr="00CE5D47" w:rsidP="00CE5D47" w14:paraId="721AE8A2" w14:textId="126B5791">
            <w:pPr>
              <w:widowControl/>
              <w:autoSpaceDE/>
              <w:autoSpaceDN/>
              <w:adjustRightInd/>
              <w:rPr>
                <w:rFonts w:ascii="Times New Roman" w:hAnsi="Times New Roman"/>
                <w:b/>
                <w:bCs/>
                <w:color w:val="000000"/>
                <w:sz w:val="20"/>
                <w:szCs w:val="20"/>
              </w:rPr>
            </w:pPr>
            <w:r w:rsidRPr="00CE5D47">
              <w:rPr>
                <w:rFonts w:ascii="Times New Roman" w:hAnsi="Times New Roman"/>
                <w:b/>
                <w:bCs/>
                <w:color w:val="000000"/>
                <w:sz w:val="20"/>
                <w:szCs w:val="20"/>
              </w:rPr>
              <w:t> </w:t>
            </w:r>
            <w:r w:rsidR="002B3D3B">
              <w:rPr>
                <w:rFonts w:ascii="Times New Roman" w:hAnsi="Times New Roman"/>
                <w:b/>
                <w:bCs/>
                <w:color w:val="000000"/>
                <w:sz w:val="20"/>
                <w:szCs w:val="20"/>
              </w:rPr>
              <w:t>0.203029 hours</w:t>
            </w:r>
          </w:p>
        </w:tc>
        <w:tc>
          <w:tcPr>
            <w:tcW w:w="1170" w:type="dxa"/>
            <w:vMerge w:val="restart"/>
            <w:tcBorders>
              <w:top w:val="nil"/>
              <w:left w:val="single" w:sz="8" w:space="0" w:color="auto"/>
              <w:bottom w:val="single" w:sz="8" w:space="0" w:color="000000"/>
              <w:right w:val="single" w:sz="8" w:space="0" w:color="auto"/>
            </w:tcBorders>
            <w:shd w:val="clear" w:color="000000" w:fill="C5D9F1"/>
            <w:vAlign w:val="center"/>
            <w:hideMark/>
          </w:tcPr>
          <w:p w:rsidR="00CE5D47" w:rsidRPr="00CE5D47" w:rsidP="00CE5D47" w14:paraId="0D5B8CF6" w14:textId="77777777">
            <w:pPr>
              <w:widowControl/>
              <w:autoSpaceDE/>
              <w:autoSpaceDN/>
              <w:adjustRightInd/>
              <w:jc w:val="right"/>
              <w:rPr>
                <w:rFonts w:ascii="Times New Roman" w:hAnsi="Times New Roman"/>
                <w:b/>
                <w:bCs/>
                <w:color w:val="000000"/>
                <w:sz w:val="20"/>
                <w:szCs w:val="20"/>
              </w:rPr>
            </w:pPr>
            <w:r w:rsidRPr="00CE5D47">
              <w:rPr>
                <w:rFonts w:ascii="Times New Roman" w:hAnsi="Times New Roman"/>
                <w:b/>
                <w:bCs/>
                <w:color w:val="000000"/>
                <w:sz w:val="20"/>
                <w:szCs w:val="20"/>
              </w:rPr>
              <w:t>136,127</w:t>
            </w:r>
          </w:p>
        </w:tc>
        <w:tc>
          <w:tcPr>
            <w:tcW w:w="1080" w:type="dxa"/>
            <w:vMerge w:val="restart"/>
            <w:tcBorders>
              <w:top w:val="nil"/>
              <w:left w:val="single" w:sz="8" w:space="0" w:color="auto"/>
              <w:bottom w:val="single" w:sz="8" w:space="0" w:color="000000"/>
              <w:right w:val="single" w:sz="8" w:space="0" w:color="auto"/>
            </w:tcBorders>
            <w:shd w:val="clear" w:color="000000" w:fill="C5D9F1"/>
            <w:vAlign w:val="center"/>
            <w:hideMark/>
          </w:tcPr>
          <w:p w:rsidR="00CE5D47" w:rsidRPr="00CE5D47" w:rsidP="00875D38" w14:paraId="0C3B6175" w14:textId="5673AC1F">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$165.11</w:t>
            </w:r>
            <w:r w:rsidRPr="00CE5D47">
              <w:rPr>
                <w:rFonts w:ascii="Times New Roman" w:hAnsi="Times New Roman"/>
                <w:b/>
                <w:bCs/>
                <w:color w:val="000000"/>
                <w:sz w:val="20"/>
                <w:szCs w:val="20"/>
              </w:rPr>
              <w:t> </w:t>
            </w:r>
          </w:p>
        </w:tc>
        <w:tc>
          <w:tcPr>
            <w:tcW w:w="1483" w:type="dxa"/>
            <w:vMerge w:val="restart"/>
            <w:tcBorders>
              <w:top w:val="nil"/>
              <w:left w:val="single" w:sz="8" w:space="0" w:color="auto"/>
              <w:bottom w:val="single" w:sz="8" w:space="0" w:color="000000"/>
              <w:right w:val="single" w:sz="8" w:space="0" w:color="auto"/>
            </w:tcBorders>
            <w:shd w:val="clear" w:color="000000" w:fill="C5D9F1"/>
            <w:vAlign w:val="center"/>
            <w:hideMark/>
          </w:tcPr>
          <w:p w:rsidR="00CE5D47" w:rsidRPr="00CE5D47" w:rsidP="00CE5D47" w14:paraId="5D167FCC" w14:textId="77777777">
            <w:pPr>
              <w:widowControl/>
              <w:autoSpaceDE/>
              <w:autoSpaceDN/>
              <w:adjustRightInd/>
              <w:jc w:val="center"/>
              <w:rPr>
                <w:rFonts w:ascii="Times New Roman" w:hAnsi="Times New Roman"/>
                <w:b/>
                <w:bCs/>
                <w:color w:val="000000"/>
                <w:sz w:val="20"/>
                <w:szCs w:val="20"/>
              </w:rPr>
            </w:pPr>
            <w:r w:rsidRPr="00CE5D47">
              <w:rPr>
                <w:rFonts w:ascii="Times New Roman" w:hAnsi="Times New Roman"/>
                <w:b/>
                <w:bCs/>
                <w:color w:val="000000"/>
                <w:sz w:val="20"/>
                <w:szCs w:val="20"/>
              </w:rPr>
              <w:t xml:space="preserve">$22,475,929 </w:t>
            </w:r>
          </w:p>
        </w:tc>
        <w:tc>
          <w:tcPr>
            <w:tcW w:w="1017" w:type="dxa"/>
            <w:vAlign w:val="center"/>
            <w:hideMark/>
          </w:tcPr>
          <w:p w:rsidR="00CE5D47" w:rsidRPr="00CE5D47" w:rsidP="00CE5D47" w14:paraId="43319B16" w14:textId="77777777">
            <w:pPr>
              <w:widowControl/>
              <w:autoSpaceDE/>
              <w:autoSpaceDN/>
              <w:adjustRightInd/>
              <w:rPr>
                <w:rFonts w:ascii="Times New Roman" w:hAnsi="Times New Roman"/>
                <w:sz w:val="20"/>
                <w:szCs w:val="20"/>
              </w:rPr>
            </w:pPr>
          </w:p>
        </w:tc>
      </w:tr>
      <w:tr w14:paraId="457D4ADF" w14:textId="77777777" w:rsidTr="00CE5D47">
        <w:tblPrEx>
          <w:tblW w:w="11040" w:type="dxa"/>
          <w:tblInd w:w="-10" w:type="dxa"/>
          <w:tblCellMar>
            <w:top w:w="15" w:type="dxa"/>
          </w:tblCellMar>
          <w:tblLook w:val="04A0"/>
        </w:tblPrEx>
        <w:trPr>
          <w:trHeight w:val="315"/>
        </w:trPr>
        <w:tc>
          <w:tcPr>
            <w:tcW w:w="956" w:type="dxa"/>
            <w:vMerge/>
            <w:tcBorders>
              <w:top w:val="nil"/>
              <w:left w:val="single" w:sz="8" w:space="0" w:color="auto"/>
              <w:bottom w:val="single" w:sz="8" w:space="0" w:color="000000"/>
              <w:right w:val="single" w:sz="8" w:space="0" w:color="auto"/>
            </w:tcBorders>
            <w:vAlign w:val="center"/>
            <w:hideMark/>
          </w:tcPr>
          <w:p w:rsidR="00CE5D47" w:rsidRPr="00CE5D47" w:rsidP="00CE5D47" w14:paraId="5D2332F4" w14:textId="77777777">
            <w:pPr>
              <w:widowControl/>
              <w:autoSpaceDE/>
              <w:autoSpaceDN/>
              <w:adjustRightInd/>
              <w:rPr>
                <w:rFonts w:ascii="Times New Roman" w:hAnsi="Times New Roman"/>
                <w:b/>
                <w:bCs/>
                <w:color w:val="000000"/>
                <w:sz w:val="20"/>
                <w:szCs w:val="20"/>
              </w:rPr>
            </w:pPr>
          </w:p>
        </w:tc>
        <w:tc>
          <w:tcPr>
            <w:tcW w:w="1306" w:type="dxa"/>
            <w:vMerge/>
            <w:tcBorders>
              <w:top w:val="nil"/>
              <w:left w:val="single" w:sz="8" w:space="0" w:color="auto"/>
              <w:bottom w:val="single" w:sz="8" w:space="0" w:color="000000"/>
              <w:right w:val="single" w:sz="8" w:space="0" w:color="auto"/>
            </w:tcBorders>
            <w:vAlign w:val="center"/>
            <w:hideMark/>
          </w:tcPr>
          <w:p w:rsidR="00CE5D47" w:rsidRPr="00CE5D47" w:rsidP="00CE5D47" w14:paraId="2A669F32" w14:textId="77777777">
            <w:pPr>
              <w:widowControl/>
              <w:autoSpaceDE/>
              <w:autoSpaceDN/>
              <w:adjustRightInd/>
              <w:rPr>
                <w:rFonts w:ascii="Times New Roman" w:hAnsi="Times New Roman"/>
                <w:b/>
                <w:bCs/>
                <w:color w:val="000000"/>
                <w:sz w:val="20"/>
                <w:szCs w:val="20"/>
              </w:rPr>
            </w:pPr>
          </w:p>
        </w:tc>
        <w:tc>
          <w:tcPr>
            <w:tcW w:w="1127" w:type="dxa"/>
            <w:vMerge/>
            <w:tcBorders>
              <w:top w:val="nil"/>
              <w:left w:val="single" w:sz="8" w:space="0" w:color="auto"/>
              <w:bottom w:val="single" w:sz="8" w:space="0" w:color="000000"/>
              <w:right w:val="single" w:sz="8" w:space="0" w:color="auto"/>
            </w:tcBorders>
            <w:vAlign w:val="center"/>
            <w:hideMark/>
          </w:tcPr>
          <w:p w:rsidR="00CE5D47" w:rsidRPr="00CE5D47" w:rsidP="00CE5D47" w14:paraId="3DF611DD" w14:textId="77777777">
            <w:pPr>
              <w:widowControl/>
              <w:autoSpaceDE/>
              <w:autoSpaceDN/>
              <w:adjustRightInd/>
              <w:rPr>
                <w:rFonts w:ascii="Times New Roman" w:hAnsi="Times New Roman"/>
                <w:b/>
                <w:bCs/>
                <w:color w:val="000000"/>
                <w:sz w:val="20"/>
                <w:szCs w:val="20"/>
              </w:rPr>
            </w:pPr>
          </w:p>
        </w:tc>
        <w:tc>
          <w:tcPr>
            <w:tcW w:w="1281" w:type="dxa"/>
            <w:vMerge/>
            <w:tcBorders>
              <w:top w:val="nil"/>
              <w:left w:val="single" w:sz="8" w:space="0" w:color="auto"/>
              <w:bottom w:val="single" w:sz="8" w:space="0" w:color="000000"/>
              <w:right w:val="single" w:sz="8" w:space="0" w:color="auto"/>
            </w:tcBorders>
            <w:vAlign w:val="center"/>
            <w:hideMark/>
          </w:tcPr>
          <w:p w:rsidR="00CE5D47" w:rsidRPr="00CE5D47" w:rsidP="00CE5D47" w14:paraId="241816D1" w14:textId="77777777">
            <w:pPr>
              <w:widowControl/>
              <w:autoSpaceDE/>
              <w:autoSpaceDN/>
              <w:adjustRightInd/>
              <w:rPr>
                <w:rFonts w:ascii="Times New Roman" w:hAnsi="Times New Roman"/>
                <w:b/>
                <w:bCs/>
                <w:color w:val="000000"/>
                <w:sz w:val="20"/>
                <w:szCs w:val="20"/>
              </w:rPr>
            </w:pPr>
          </w:p>
        </w:tc>
        <w:tc>
          <w:tcPr>
            <w:tcW w:w="1620" w:type="dxa"/>
            <w:vMerge/>
            <w:tcBorders>
              <w:top w:val="nil"/>
              <w:left w:val="single" w:sz="8" w:space="0" w:color="auto"/>
              <w:bottom w:val="single" w:sz="8" w:space="0" w:color="000000"/>
              <w:right w:val="single" w:sz="8" w:space="0" w:color="auto"/>
            </w:tcBorders>
            <w:vAlign w:val="center"/>
            <w:hideMark/>
          </w:tcPr>
          <w:p w:rsidR="00CE5D47" w:rsidRPr="00CE5D47" w:rsidP="00CE5D47" w14:paraId="4B3006FF" w14:textId="77777777">
            <w:pPr>
              <w:widowControl/>
              <w:autoSpaceDE/>
              <w:autoSpaceDN/>
              <w:adjustRightInd/>
              <w:rPr>
                <w:rFonts w:ascii="Times New Roman" w:hAnsi="Times New Roman"/>
                <w:b/>
                <w:bCs/>
                <w:color w:val="000000"/>
                <w:sz w:val="20"/>
                <w:szCs w:val="20"/>
              </w:rPr>
            </w:pPr>
          </w:p>
        </w:tc>
        <w:tc>
          <w:tcPr>
            <w:tcW w:w="1170" w:type="dxa"/>
            <w:vMerge/>
            <w:tcBorders>
              <w:top w:val="nil"/>
              <w:left w:val="single" w:sz="8" w:space="0" w:color="auto"/>
              <w:bottom w:val="single" w:sz="8" w:space="0" w:color="000000"/>
              <w:right w:val="single" w:sz="8" w:space="0" w:color="auto"/>
            </w:tcBorders>
            <w:vAlign w:val="center"/>
            <w:hideMark/>
          </w:tcPr>
          <w:p w:rsidR="00CE5D47" w:rsidRPr="00CE5D47" w:rsidP="00CE5D47" w14:paraId="0C8951E3" w14:textId="77777777">
            <w:pPr>
              <w:widowControl/>
              <w:autoSpaceDE/>
              <w:autoSpaceDN/>
              <w:adjustRightInd/>
              <w:rPr>
                <w:rFonts w:ascii="Times New Roman" w:hAnsi="Times New Roman"/>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rsidR="00CE5D47" w:rsidRPr="00CE5D47" w:rsidP="00CE5D47" w14:paraId="0B171E80" w14:textId="77777777">
            <w:pPr>
              <w:widowControl/>
              <w:autoSpaceDE/>
              <w:autoSpaceDN/>
              <w:adjustRightInd/>
              <w:rPr>
                <w:rFonts w:ascii="Times New Roman" w:hAnsi="Times New Roman"/>
                <w:b/>
                <w:bCs/>
                <w:color w:val="000000"/>
                <w:sz w:val="20"/>
                <w:szCs w:val="20"/>
              </w:rPr>
            </w:pPr>
          </w:p>
        </w:tc>
        <w:tc>
          <w:tcPr>
            <w:tcW w:w="1483" w:type="dxa"/>
            <w:vMerge/>
            <w:tcBorders>
              <w:top w:val="nil"/>
              <w:left w:val="single" w:sz="8" w:space="0" w:color="auto"/>
              <w:bottom w:val="single" w:sz="8" w:space="0" w:color="000000"/>
              <w:right w:val="single" w:sz="8" w:space="0" w:color="auto"/>
            </w:tcBorders>
            <w:vAlign w:val="center"/>
            <w:hideMark/>
          </w:tcPr>
          <w:p w:rsidR="00CE5D47" w:rsidRPr="00CE5D47" w:rsidP="00CE5D47" w14:paraId="10F9CE59" w14:textId="77777777">
            <w:pPr>
              <w:widowControl/>
              <w:autoSpaceDE/>
              <w:autoSpaceDN/>
              <w:adjustRightInd/>
              <w:rPr>
                <w:rFonts w:ascii="Times New Roman" w:hAnsi="Times New Roman"/>
                <w:b/>
                <w:bCs/>
                <w:color w:val="000000"/>
                <w:sz w:val="20"/>
                <w:szCs w:val="20"/>
              </w:rPr>
            </w:pPr>
          </w:p>
        </w:tc>
        <w:tc>
          <w:tcPr>
            <w:tcW w:w="1017" w:type="dxa"/>
            <w:tcBorders>
              <w:top w:val="nil"/>
              <w:left w:val="nil"/>
              <w:bottom w:val="nil"/>
              <w:right w:val="nil"/>
            </w:tcBorders>
            <w:shd w:val="clear" w:color="auto" w:fill="auto"/>
            <w:noWrap/>
            <w:vAlign w:val="bottom"/>
            <w:hideMark/>
          </w:tcPr>
          <w:p w:rsidR="00CE5D47" w:rsidRPr="00CE5D47" w:rsidP="00CE5D47" w14:paraId="5A6DE880" w14:textId="77777777">
            <w:pPr>
              <w:widowControl/>
              <w:autoSpaceDE/>
              <w:autoSpaceDN/>
              <w:adjustRightInd/>
              <w:jc w:val="center"/>
              <w:rPr>
                <w:rFonts w:ascii="Times New Roman" w:hAnsi="Times New Roman"/>
                <w:b/>
                <w:bCs/>
                <w:color w:val="000000"/>
                <w:sz w:val="20"/>
                <w:szCs w:val="20"/>
              </w:rPr>
            </w:pPr>
          </w:p>
        </w:tc>
      </w:tr>
    </w:tbl>
    <w:p w:rsidR="00D472BE" w:rsidP="00E60FB0" w14:paraId="1758C1F3" w14:textId="275E780F">
      <w:pPr>
        <w:widowControl/>
        <w:autoSpaceDE/>
        <w:autoSpaceDN/>
        <w:adjustRightInd/>
        <w:rPr>
          <w:rFonts w:ascii="Times New Roman" w:hAnsi="Times New Roman"/>
          <w:highlight w:val="yellow"/>
        </w:rPr>
      </w:pPr>
    </w:p>
    <w:p w:rsidR="00D14E6A" w:rsidRPr="00D14E6A" w:rsidP="00D14E6A" w14:paraId="25BCF4EE" w14:textId="5F647D2B">
      <w:pPr>
        <w:widowControl/>
        <w:autoSpaceDE/>
        <w:autoSpaceDN/>
        <w:adjustRightInd/>
        <w:rPr>
          <w:rFonts w:ascii="Times New Roman" w:hAnsi="Times New Roman"/>
        </w:rPr>
      </w:pPr>
      <w:r w:rsidRPr="00D14E6A">
        <w:rPr>
          <w:rFonts w:ascii="Times New Roman" w:hAnsi="Times New Roman"/>
        </w:rPr>
        <w:t>Based on three-year average, 2020-2022.  Practitioners are registered for a three-year cycle and the number of registrants is not equally distributed between years.  The growth rate in the number of practitioners is low enough where the actual numbers for this period would not be materially different from the number expected for the next several years.</w:t>
      </w:r>
    </w:p>
    <w:p w:rsidR="006630D2" w:rsidRPr="006630D2" w:rsidP="006630D2" w14:paraId="67FE7383" w14:textId="77777777">
      <w:pPr>
        <w:widowControl/>
        <w:autoSpaceDE/>
        <w:autoSpaceDN/>
        <w:adjustRightInd/>
        <w:rPr>
          <w:rFonts w:ascii="Times New Roman" w:hAnsi="Times New Roman"/>
        </w:rPr>
      </w:pPr>
    </w:p>
    <w:p w:rsidR="006630D2" w:rsidRPr="006630D2" w:rsidP="006630D2" w14:paraId="27A250AB" w14:textId="1D69E1EC">
      <w:pPr>
        <w:widowControl/>
        <w:autoSpaceDE/>
        <w:autoSpaceDN/>
        <w:adjustRightInd/>
        <w:rPr>
          <w:rFonts w:ascii="Times New Roman" w:hAnsi="Times New Roman"/>
        </w:rPr>
      </w:pPr>
      <w:r>
        <w:rPr>
          <w:rFonts w:ascii="Times New Roman" w:hAnsi="Times New Roman"/>
        </w:rPr>
        <w:t>*Hourly Rate</w:t>
      </w:r>
      <w:r w:rsidRPr="006630D2">
        <w:rPr>
          <w:rFonts w:ascii="Times New Roman" w:hAnsi="Times New Roman"/>
        </w:rPr>
        <w:t>:</w:t>
      </w:r>
    </w:p>
    <w:p w:rsidR="0036728E" w:rsidP="006630D2" w14:paraId="012B6049" w14:textId="79BB0BBA">
      <w:pPr>
        <w:widowControl/>
        <w:autoSpaceDE/>
        <w:autoSpaceDN/>
        <w:adjustRightInd/>
        <w:rPr>
          <w:rFonts w:ascii="Times New Roman" w:hAnsi="Times New Roman"/>
        </w:rPr>
      </w:pPr>
    </w:p>
    <w:tbl>
      <w:tblPr>
        <w:tblStyle w:val="TableGrid"/>
        <w:tblW w:w="0" w:type="auto"/>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5"/>
        <w:gridCol w:w="1530"/>
      </w:tblGrid>
      <w:tr w14:paraId="4ACB14DD" w14:textId="77777777" w:rsidTr="004821A1">
        <w:tblPrEx>
          <w:tblW w:w="0" w:type="auto"/>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15" w:type="dxa"/>
          </w:tcPr>
          <w:p w:rsidR="0036728E" w:rsidRPr="004821A1" w:rsidP="006630D2" w14:paraId="7A96689E" w14:textId="3DAC8487">
            <w:pPr>
              <w:widowControl/>
              <w:autoSpaceDE/>
              <w:autoSpaceDN/>
              <w:adjustRightInd/>
              <w:rPr>
                <w:rFonts w:ascii="Times New Roman" w:hAnsi="Times New Roman"/>
                <w:vertAlign w:val="superscript"/>
              </w:rPr>
            </w:pPr>
            <w:r>
              <w:rPr>
                <w:rFonts w:ascii="Times New Roman" w:hAnsi="Times New Roman"/>
              </w:rPr>
              <w:t>Estimated hourly wage ($/hour):</w:t>
            </w:r>
            <w:r>
              <w:rPr>
                <w:rStyle w:val="FootnoteReference"/>
                <w:rFonts w:ascii="Times New Roman" w:hAnsi="Times New Roman"/>
              </w:rPr>
              <w:footnoteReference w:id="4"/>
            </w:r>
          </w:p>
        </w:tc>
        <w:tc>
          <w:tcPr>
            <w:tcW w:w="1530" w:type="dxa"/>
          </w:tcPr>
          <w:p w:rsidR="0036728E" w:rsidP="006630D2" w14:paraId="77386D6E" w14:textId="76DBD750">
            <w:pPr>
              <w:widowControl/>
              <w:autoSpaceDE/>
              <w:autoSpaceDN/>
              <w:adjustRightInd/>
              <w:rPr>
                <w:rFonts w:ascii="Times New Roman" w:hAnsi="Times New Roman"/>
              </w:rPr>
            </w:pPr>
            <w:r>
              <w:rPr>
                <w:rFonts w:ascii="Times New Roman" w:hAnsi="Times New Roman"/>
              </w:rPr>
              <w:t>$</w:t>
            </w:r>
            <w:r>
              <w:rPr>
                <w:rFonts w:ascii="Times New Roman" w:hAnsi="Times New Roman"/>
              </w:rPr>
              <w:t>116.44</w:t>
            </w:r>
          </w:p>
        </w:tc>
      </w:tr>
      <w:tr w14:paraId="3F609EA6" w14:textId="77777777" w:rsidTr="004821A1">
        <w:tblPrEx>
          <w:tblW w:w="0" w:type="auto"/>
          <w:tblInd w:w="707" w:type="dxa"/>
          <w:tblLook w:val="04A0"/>
        </w:tblPrEx>
        <w:tc>
          <w:tcPr>
            <w:tcW w:w="4315" w:type="dxa"/>
          </w:tcPr>
          <w:p w:rsidR="0036728E" w:rsidRPr="004821A1" w:rsidP="006630D2" w14:paraId="6BEC3E85" w14:textId="2E8F2454">
            <w:pPr>
              <w:widowControl/>
              <w:autoSpaceDE/>
              <w:autoSpaceDN/>
              <w:adjustRightInd/>
              <w:rPr>
                <w:rFonts w:ascii="Times New Roman" w:hAnsi="Times New Roman"/>
                <w:vertAlign w:val="superscript"/>
              </w:rPr>
            </w:pPr>
            <w:r>
              <w:rPr>
                <w:rFonts w:ascii="Times New Roman" w:hAnsi="Times New Roman"/>
              </w:rPr>
              <w:t>Load for benefits (percent of labor rate):</w:t>
            </w:r>
            <w:r>
              <w:rPr>
                <w:rStyle w:val="FootnoteReference"/>
                <w:rFonts w:ascii="Times New Roman" w:hAnsi="Times New Roman"/>
              </w:rPr>
              <w:footnoteReference w:id="5"/>
            </w:r>
          </w:p>
        </w:tc>
        <w:tc>
          <w:tcPr>
            <w:tcW w:w="1530" w:type="dxa"/>
          </w:tcPr>
          <w:p w:rsidR="0036728E" w:rsidP="006630D2" w14:paraId="61276528" w14:textId="7CB2FE1E">
            <w:pPr>
              <w:widowControl/>
              <w:autoSpaceDE/>
              <w:autoSpaceDN/>
              <w:adjustRightInd/>
              <w:rPr>
                <w:rFonts w:ascii="Times New Roman" w:hAnsi="Times New Roman"/>
              </w:rPr>
            </w:pPr>
            <w:r>
              <w:rPr>
                <w:rFonts w:ascii="Times New Roman" w:hAnsi="Times New Roman"/>
              </w:rPr>
              <w:t>41.8%</w:t>
            </w:r>
          </w:p>
        </w:tc>
      </w:tr>
      <w:tr w14:paraId="54581C1E" w14:textId="77777777" w:rsidTr="004821A1">
        <w:tblPrEx>
          <w:tblW w:w="0" w:type="auto"/>
          <w:tblInd w:w="707" w:type="dxa"/>
          <w:tblLook w:val="04A0"/>
        </w:tblPrEx>
        <w:tc>
          <w:tcPr>
            <w:tcW w:w="4315" w:type="dxa"/>
          </w:tcPr>
          <w:p w:rsidR="0036728E" w:rsidRPr="004821A1" w:rsidP="006630D2" w14:paraId="78B32E74" w14:textId="692E28D6">
            <w:pPr>
              <w:widowControl/>
              <w:autoSpaceDE/>
              <w:autoSpaceDN/>
              <w:adjustRightInd/>
              <w:rPr>
                <w:rFonts w:ascii="Times New Roman" w:hAnsi="Times New Roman"/>
                <w:vertAlign w:val="superscript"/>
              </w:rPr>
            </w:pPr>
            <w:r>
              <w:rPr>
                <w:rFonts w:ascii="Times New Roman" w:hAnsi="Times New Roman"/>
              </w:rPr>
              <w:t>Loaded labor rate ($/hour):</w:t>
            </w:r>
            <w:r>
              <w:rPr>
                <w:rStyle w:val="FootnoteReference"/>
                <w:rFonts w:ascii="Times New Roman" w:hAnsi="Times New Roman"/>
              </w:rPr>
              <w:footnoteReference w:id="6"/>
            </w:r>
          </w:p>
        </w:tc>
        <w:tc>
          <w:tcPr>
            <w:tcW w:w="1530" w:type="dxa"/>
          </w:tcPr>
          <w:p w:rsidR="0036728E" w:rsidP="006630D2" w14:paraId="0D0A046A" w14:textId="55AA946D">
            <w:pPr>
              <w:widowControl/>
              <w:autoSpaceDE/>
              <w:autoSpaceDN/>
              <w:adjustRightInd/>
              <w:rPr>
                <w:rFonts w:ascii="Times New Roman" w:hAnsi="Times New Roman"/>
              </w:rPr>
            </w:pPr>
            <w:r>
              <w:rPr>
                <w:rFonts w:ascii="Times New Roman" w:hAnsi="Times New Roman"/>
              </w:rPr>
              <w:t>$</w:t>
            </w:r>
            <w:r>
              <w:rPr>
                <w:rFonts w:ascii="Times New Roman" w:hAnsi="Times New Roman"/>
              </w:rPr>
              <w:t>165.11</w:t>
            </w:r>
          </w:p>
        </w:tc>
      </w:tr>
    </w:tbl>
    <w:p w:rsidR="006630D2" w:rsidP="006630D2" w14:paraId="05174BC3" w14:textId="5CE55FE6">
      <w:pPr>
        <w:widowControl/>
        <w:autoSpaceDE/>
        <w:autoSpaceDN/>
        <w:adjustRightInd/>
        <w:rPr>
          <w:rFonts w:ascii="Times New Roman" w:hAnsi="Times New Roman"/>
          <w:highlight w:val="yellow"/>
        </w:rPr>
      </w:pPr>
    </w:p>
    <w:p w:rsidR="00700AF3" w:rsidRPr="006636D3" w:rsidP="00700AF3" w14:paraId="342C52E3" w14:textId="78C341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w:t>
      </w:r>
      <w:r w:rsidRPr="00700AF3">
        <w:rPr>
          <w:rFonts w:ascii="Times New Roman" w:hAnsi="Times New Roman"/>
        </w:rPr>
        <w:t xml:space="preserve">The estimated annual cost burden is zero.  Respondents are not estimated to incur any    a) additional start-up cost or capital expenditure, or b) additional operation and maintenance costs or purchase services </w:t>
      </w:r>
      <w:r w:rsidRPr="00700AF3">
        <w:rPr>
          <w:rFonts w:ascii="Times New Roman" w:hAnsi="Times New Roman"/>
        </w:rPr>
        <w:t>as a result of</w:t>
      </w:r>
      <w:r w:rsidRPr="00700AF3">
        <w:rPr>
          <w:rFonts w:ascii="Times New Roman" w:hAnsi="Times New Roman"/>
        </w:rPr>
        <w:t xml:space="preserve"> this information collection.</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5CA625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w:t>
      </w:r>
      <w:r w:rsidRPr="00B42369" w:rsidR="00B42369">
        <w:rPr>
          <w:rFonts w:ascii="Times New Roman" w:hAnsi="Times New Roman"/>
        </w:rPr>
        <w:t>Estimated annual production cost to the Federal government:</w:t>
      </w:r>
      <w:r w:rsidRPr="00D53DEB">
        <w:rPr>
          <w:rFonts w:ascii="Times New Roman" w:hAnsi="Times New Roman"/>
          <w:b/>
          <w:bCs/>
        </w:rPr>
        <w:t xml:space="preserve"> </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tbl>
      <w:tblPr>
        <w:tblW w:w="8905" w:type="dxa"/>
        <w:tblLook w:val="04A0"/>
      </w:tblPr>
      <w:tblGrid>
        <w:gridCol w:w="2687"/>
        <w:gridCol w:w="928"/>
        <w:gridCol w:w="1420"/>
        <w:gridCol w:w="1012"/>
        <w:gridCol w:w="1113"/>
        <w:gridCol w:w="1745"/>
      </w:tblGrid>
      <w:tr w14:paraId="1939F60C" w14:textId="77777777" w:rsidTr="00023353">
        <w:tblPrEx>
          <w:tblW w:w="8905" w:type="dxa"/>
          <w:tblLook w:val="04A0"/>
        </w:tblPrEx>
        <w:trPr>
          <w:trHeight w:val="300"/>
        </w:trPr>
        <w:tc>
          <w:tcPr>
            <w:tcW w:w="2687"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1754DE" w:rsidRPr="001754DE" w:rsidP="001754DE" w14:paraId="7D3B1B66" w14:textId="77777777">
            <w:pPr>
              <w:widowControl/>
              <w:autoSpaceDE/>
              <w:autoSpaceDN/>
              <w:adjustRightInd/>
              <w:rPr>
                <w:rFonts w:ascii="Times New Roman" w:hAnsi="Times New Roman"/>
                <w:b/>
                <w:bCs/>
                <w:color w:val="000000"/>
                <w:sz w:val="20"/>
                <w:szCs w:val="20"/>
              </w:rPr>
            </w:pPr>
            <w:r w:rsidRPr="001754DE">
              <w:rPr>
                <w:rFonts w:ascii="Times New Roman" w:hAnsi="Times New Roman"/>
                <w:b/>
                <w:bCs/>
                <w:color w:val="000000"/>
                <w:sz w:val="20"/>
                <w:szCs w:val="20"/>
              </w:rPr>
              <w:t>Labor Category</w:t>
            </w:r>
          </w:p>
        </w:tc>
        <w:tc>
          <w:tcPr>
            <w:tcW w:w="928" w:type="dxa"/>
            <w:tcBorders>
              <w:top w:val="single" w:sz="4" w:space="0" w:color="auto"/>
              <w:left w:val="nil"/>
              <w:bottom w:val="single" w:sz="4" w:space="0" w:color="auto"/>
              <w:right w:val="single" w:sz="4" w:space="0" w:color="auto"/>
            </w:tcBorders>
            <w:shd w:val="clear" w:color="000000" w:fill="C5D9F1"/>
            <w:vAlign w:val="center"/>
            <w:hideMark/>
          </w:tcPr>
          <w:p w:rsidR="001754DE" w:rsidRPr="001754DE" w:rsidP="001754DE" w14:paraId="5F972452" w14:textId="77777777">
            <w:pPr>
              <w:widowControl/>
              <w:autoSpaceDE/>
              <w:autoSpaceDN/>
              <w:adjustRightInd/>
              <w:jc w:val="center"/>
              <w:rPr>
                <w:rFonts w:ascii="Times New Roman" w:hAnsi="Times New Roman"/>
                <w:b/>
                <w:bCs/>
                <w:color w:val="000000"/>
                <w:sz w:val="20"/>
                <w:szCs w:val="20"/>
              </w:rPr>
            </w:pPr>
            <w:r w:rsidRPr="001754DE">
              <w:rPr>
                <w:rFonts w:ascii="Times New Roman" w:hAnsi="Times New Roman"/>
                <w:b/>
                <w:bCs/>
                <w:color w:val="000000"/>
                <w:sz w:val="20"/>
                <w:szCs w:val="20"/>
              </w:rPr>
              <w:t>Number</w:t>
            </w:r>
          </w:p>
        </w:tc>
        <w:tc>
          <w:tcPr>
            <w:tcW w:w="1420" w:type="dxa"/>
            <w:tcBorders>
              <w:top w:val="single" w:sz="4" w:space="0" w:color="auto"/>
              <w:left w:val="nil"/>
              <w:bottom w:val="single" w:sz="4" w:space="0" w:color="auto"/>
              <w:right w:val="single" w:sz="4" w:space="0" w:color="auto"/>
            </w:tcBorders>
            <w:shd w:val="clear" w:color="000000" w:fill="C5D9F1"/>
            <w:vAlign w:val="center"/>
            <w:hideMark/>
          </w:tcPr>
          <w:p w:rsidR="001754DE" w:rsidRPr="001754DE" w:rsidP="001754DE" w14:paraId="445938D4" w14:textId="77777777">
            <w:pPr>
              <w:widowControl/>
              <w:autoSpaceDE/>
              <w:autoSpaceDN/>
              <w:adjustRightInd/>
              <w:jc w:val="center"/>
              <w:rPr>
                <w:rFonts w:ascii="Times New Roman" w:hAnsi="Times New Roman"/>
                <w:b/>
                <w:bCs/>
                <w:color w:val="000000"/>
                <w:sz w:val="20"/>
                <w:szCs w:val="20"/>
              </w:rPr>
            </w:pPr>
            <w:r w:rsidRPr="001754DE">
              <w:rPr>
                <w:rFonts w:ascii="Times New Roman" w:hAnsi="Times New Roman"/>
                <w:b/>
                <w:bCs/>
                <w:color w:val="000000"/>
                <w:sz w:val="20"/>
                <w:szCs w:val="20"/>
              </w:rPr>
              <w:t>Annual rate</w:t>
            </w:r>
          </w:p>
        </w:tc>
        <w:tc>
          <w:tcPr>
            <w:tcW w:w="1012" w:type="dxa"/>
            <w:tcBorders>
              <w:top w:val="single" w:sz="4" w:space="0" w:color="auto"/>
              <w:left w:val="nil"/>
              <w:bottom w:val="single" w:sz="4" w:space="0" w:color="auto"/>
              <w:right w:val="single" w:sz="4" w:space="0" w:color="auto"/>
            </w:tcBorders>
            <w:shd w:val="clear" w:color="000000" w:fill="C5D9F1"/>
            <w:vAlign w:val="center"/>
            <w:hideMark/>
          </w:tcPr>
          <w:p w:rsidR="001754DE" w:rsidRPr="001754DE" w:rsidP="001754DE" w14:paraId="2DE5EB18" w14:textId="77777777">
            <w:pPr>
              <w:widowControl/>
              <w:autoSpaceDE/>
              <w:autoSpaceDN/>
              <w:adjustRightInd/>
              <w:jc w:val="center"/>
              <w:rPr>
                <w:rFonts w:ascii="Times New Roman" w:hAnsi="Times New Roman"/>
                <w:b/>
                <w:bCs/>
                <w:color w:val="000000"/>
                <w:sz w:val="20"/>
                <w:szCs w:val="20"/>
              </w:rPr>
            </w:pPr>
            <w:r w:rsidRPr="001754DE">
              <w:rPr>
                <w:rFonts w:ascii="Times New Roman" w:hAnsi="Times New Roman"/>
                <w:b/>
                <w:bCs/>
                <w:color w:val="000000"/>
                <w:sz w:val="20"/>
                <w:szCs w:val="20"/>
              </w:rPr>
              <w:t>Load</w:t>
            </w:r>
          </w:p>
        </w:tc>
        <w:tc>
          <w:tcPr>
            <w:tcW w:w="1113" w:type="dxa"/>
            <w:tcBorders>
              <w:top w:val="single" w:sz="4" w:space="0" w:color="auto"/>
              <w:left w:val="nil"/>
              <w:bottom w:val="single" w:sz="4" w:space="0" w:color="auto"/>
              <w:right w:val="single" w:sz="4" w:space="0" w:color="auto"/>
            </w:tcBorders>
            <w:shd w:val="clear" w:color="000000" w:fill="C5D9F1"/>
            <w:vAlign w:val="center"/>
            <w:hideMark/>
          </w:tcPr>
          <w:p w:rsidR="001754DE" w:rsidRPr="001754DE" w:rsidP="001754DE" w14:paraId="6878B588" w14:textId="77777777">
            <w:pPr>
              <w:widowControl/>
              <w:autoSpaceDE/>
              <w:autoSpaceDN/>
              <w:adjustRightInd/>
              <w:jc w:val="center"/>
              <w:rPr>
                <w:rFonts w:ascii="Times New Roman" w:hAnsi="Times New Roman"/>
                <w:b/>
                <w:bCs/>
                <w:color w:val="000000"/>
                <w:sz w:val="20"/>
                <w:szCs w:val="20"/>
              </w:rPr>
            </w:pPr>
            <w:r w:rsidRPr="001754DE">
              <w:rPr>
                <w:rFonts w:ascii="Times New Roman" w:hAnsi="Times New Roman"/>
                <w:b/>
                <w:bCs/>
                <w:color w:val="000000"/>
                <w:sz w:val="20"/>
                <w:szCs w:val="20"/>
              </w:rPr>
              <w:t>% of time</w:t>
            </w:r>
          </w:p>
        </w:tc>
        <w:tc>
          <w:tcPr>
            <w:tcW w:w="1745" w:type="dxa"/>
            <w:tcBorders>
              <w:top w:val="single" w:sz="4" w:space="0" w:color="auto"/>
              <w:left w:val="nil"/>
              <w:bottom w:val="single" w:sz="4" w:space="0" w:color="auto"/>
              <w:right w:val="single" w:sz="4" w:space="0" w:color="auto"/>
            </w:tcBorders>
            <w:shd w:val="clear" w:color="000000" w:fill="C5D9F1"/>
            <w:vAlign w:val="center"/>
            <w:hideMark/>
          </w:tcPr>
          <w:p w:rsidR="001754DE" w:rsidRPr="001754DE" w:rsidP="001754DE" w14:paraId="79D91CFC" w14:textId="77777777">
            <w:pPr>
              <w:widowControl/>
              <w:autoSpaceDE/>
              <w:autoSpaceDN/>
              <w:adjustRightInd/>
              <w:jc w:val="center"/>
              <w:rPr>
                <w:rFonts w:ascii="Times New Roman" w:hAnsi="Times New Roman"/>
                <w:b/>
                <w:bCs/>
                <w:color w:val="000000"/>
                <w:sz w:val="20"/>
                <w:szCs w:val="20"/>
              </w:rPr>
            </w:pPr>
            <w:r w:rsidRPr="001754DE">
              <w:rPr>
                <w:rFonts w:ascii="Times New Roman" w:hAnsi="Times New Roman"/>
                <w:b/>
                <w:bCs/>
                <w:color w:val="000000"/>
                <w:sz w:val="20"/>
                <w:szCs w:val="20"/>
              </w:rPr>
              <w:t>Cost</w:t>
            </w:r>
          </w:p>
        </w:tc>
      </w:tr>
      <w:tr w14:paraId="08E695DB" w14:textId="77777777" w:rsidTr="00023353">
        <w:tblPrEx>
          <w:tblW w:w="8905" w:type="dxa"/>
          <w:tblLook w:val="04A0"/>
        </w:tblPrEx>
        <w:trPr>
          <w:trHeight w:val="525"/>
        </w:trPr>
        <w:tc>
          <w:tcPr>
            <w:tcW w:w="2687" w:type="dxa"/>
            <w:tcBorders>
              <w:top w:val="nil"/>
              <w:left w:val="single" w:sz="4" w:space="0" w:color="auto"/>
              <w:bottom w:val="single" w:sz="4" w:space="0" w:color="auto"/>
              <w:right w:val="single" w:sz="4" w:space="0" w:color="auto"/>
            </w:tcBorders>
            <w:shd w:val="clear" w:color="auto" w:fill="auto"/>
            <w:vAlign w:val="bottom"/>
            <w:hideMark/>
          </w:tcPr>
          <w:p w:rsidR="001754DE" w:rsidRPr="001754DE" w:rsidP="001754DE" w14:paraId="5FA0DFA2" w14:textId="77777777">
            <w:pPr>
              <w:widowControl/>
              <w:autoSpaceDE/>
              <w:autoSpaceDN/>
              <w:adjustRightInd/>
              <w:rPr>
                <w:rFonts w:ascii="Times New Roman" w:hAnsi="Times New Roman"/>
                <w:color w:val="000000"/>
                <w:sz w:val="20"/>
                <w:szCs w:val="20"/>
              </w:rPr>
            </w:pPr>
            <w:r w:rsidRPr="001754DE">
              <w:rPr>
                <w:rFonts w:ascii="Times New Roman" w:hAnsi="Times New Roman"/>
                <w:color w:val="000000"/>
                <w:sz w:val="20"/>
                <w:szCs w:val="20"/>
              </w:rPr>
              <w:t>Registration Program Specialists - GS-963-9 (Field)</w:t>
            </w:r>
          </w:p>
        </w:tc>
        <w:tc>
          <w:tcPr>
            <w:tcW w:w="928" w:type="dxa"/>
            <w:tcBorders>
              <w:top w:val="nil"/>
              <w:left w:val="nil"/>
              <w:bottom w:val="single" w:sz="4" w:space="0" w:color="auto"/>
              <w:right w:val="single" w:sz="4" w:space="0" w:color="auto"/>
            </w:tcBorders>
            <w:shd w:val="clear" w:color="auto" w:fill="auto"/>
            <w:noWrap/>
            <w:vAlign w:val="bottom"/>
            <w:hideMark/>
          </w:tcPr>
          <w:p w:rsidR="001754DE" w:rsidRPr="001754DE" w:rsidP="001754DE" w14:paraId="39B02950" w14:textId="0E5544CF">
            <w:pPr>
              <w:widowControl/>
              <w:autoSpaceDE/>
              <w:autoSpaceDN/>
              <w:adjustRightInd/>
              <w:jc w:val="right"/>
              <w:rPr>
                <w:rFonts w:ascii="Times New Roman" w:hAnsi="Times New Roman"/>
                <w:color w:val="000000"/>
                <w:sz w:val="20"/>
                <w:szCs w:val="20"/>
              </w:rPr>
            </w:pPr>
            <w:r w:rsidRPr="001754DE">
              <w:rPr>
                <w:rFonts w:ascii="Times New Roman" w:hAnsi="Times New Roman"/>
                <w:color w:val="000000"/>
                <w:sz w:val="20"/>
                <w:szCs w:val="20"/>
              </w:rPr>
              <w:t>70</w:t>
            </w:r>
            <w:r>
              <w:rPr>
                <w:rStyle w:val="FootnoteReference"/>
                <w:rFonts w:ascii="Times New Roman" w:hAnsi="Times New Roman"/>
                <w:color w:val="000000"/>
                <w:sz w:val="20"/>
                <w:szCs w:val="20"/>
              </w:rPr>
              <w:footnoteReference w:id="7"/>
            </w:r>
          </w:p>
        </w:tc>
        <w:tc>
          <w:tcPr>
            <w:tcW w:w="1420" w:type="dxa"/>
            <w:tcBorders>
              <w:top w:val="nil"/>
              <w:left w:val="nil"/>
              <w:bottom w:val="single" w:sz="4" w:space="0" w:color="auto"/>
              <w:right w:val="single" w:sz="4" w:space="0" w:color="auto"/>
            </w:tcBorders>
            <w:shd w:val="clear" w:color="auto" w:fill="auto"/>
            <w:noWrap/>
            <w:vAlign w:val="bottom"/>
            <w:hideMark/>
          </w:tcPr>
          <w:p w:rsidR="001754DE" w:rsidRPr="001754DE" w:rsidP="001754DE" w14:paraId="362DA546" w14:textId="4B0A04FA">
            <w:pPr>
              <w:widowControl/>
              <w:autoSpaceDE/>
              <w:autoSpaceDN/>
              <w:adjustRightInd/>
              <w:rPr>
                <w:rFonts w:ascii="Times New Roman" w:hAnsi="Times New Roman"/>
                <w:color w:val="000000"/>
                <w:sz w:val="20"/>
                <w:szCs w:val="20"/>
              </w:rPr>
            </w:pPr>
            <w:r w:rsidRPr="001754DE">
              <w:rPr>
                <w:rFonts w:ascii="Times New Roman" w:hAnsi="Times New Roman"/>
                <w:color w:val="000000"/>
                <w:sz w:val="20"/>
                <w:szCs w:val="20"/>
              </w:rPr>
              <w:t xml:space="preserve"> $        73,617</w:t>
            </w:r>
            <w:r>
              <w:rPr>
                <w:rStyle w:val="FootnoteReference"/>
                <w:rFonts w:ascii="Times New Roman" w:hAnsi="Times New Roman"/>
                <w:color w:val="000000"/>
                <w:sz w:val="20"/>
                <w:szCs w:val="20"/>
              </w:rPr>
              <w:footnoteReference w:id="8"/>
            </w:r>
            <w:r w:rsidRPr="001754DE">
              <w:rPr>
                <w:rFonts w:ascii="Times New Roman" w:hAnsi="Times New Roman"/>
                <w:color w:val="000000"/>
                <w:sz w:val="20"/>
                <w:szCs w:val="20"/>
              </w:rPr>
              <w:t xml:space="preserve"> </w:t>
            </w:r>
          </w:p>
        </w:tc>
        <w:tc>
          <w:tcPr>
            <w:tcW w:w="1012" w:type="dxa"/>
            <w:tcBorders>
              <w:top w:val="nil"/>
              <w:left w:val="nil"/>
              <w:bottom w:val="single" w:sz="4" w:space="0" w:color="auto"/>
              <w:right w:val="single" w:sz="4" w:space="0" w:color="auto"/>
            </w:tcBorders>
            <w:shd w:val="clear" w:color="auto" w:fill="auto"/>
            <w:noWrap/>
            <w:vAlign w:val="bottom"/>
            <w:hideMark/>
          </w:tcPr>
          <w:p w:rsidR="001754DE" w:rsidRPr="001754DE" w:rsidP="001754DE" w14:paraId="102A45A6" w14:textId="2E93FC36">
            <w:pPr>
              <w:widowControl/>
              <w:autoSpaceDE/>
              <w:autoSpaceDN/>
              <w:adjustRightInd/>
              <w:jc w:val="right"/>
              <w:rPr>
                <w:rFonts w:ascii="Times New Roman" w:hAnsi="Times New Roman"/>
                <w:color w:val="000000"/>
                <w:sz w:val="20"/>
                <w:szCs w:val="20"/>
              </w:rPr>
            </w:pPr>
            <w:r w:rsidRPr="001754DE">
              <w:rPr>
                <w:rFonts w:ascii="Times New Roman" w:hAnsi="Times New Roman"/>
                <w:color w:val="000000"/>
                <w:sz w:val="20"/>
                <w:szCs w:val="20"/>
              </w:rPr>
              <w:t>1.616</w:t>
            </w:r>
            <w:r>
              <w:rPr>
                <w:rStyle w:val="FootnoteReference"/>
                <w:rFonts w:ascii="Times New Roman" w:hAnsi="Times New Roman"/>
                <w:color w:val="000000"/>
                <w:sz w:val="20"/>
                <w:szCs w:val="20"/>
              </w:rPr>
              <w:footnoteReference w:id="9"/>
            </w:r>
          </w:p>
        </w:tc>
        <w:tc>
          <w:tcPr>
            <w:tcW w:w="1113" w:type="dxa"/>
            <w:tcBorders>
              <w:top w:val="nil"/>
              <w:left w:val="nil"/>
              <w:bottom w:val="single" w:sz="4" w:space="0" w:color="auto"/>
              <w:right w:val="single" w:sz="4" w:space="0" w:color="auto"/>
            </w:tcBorders>
            <w:shd w:val="clear" w:color="auto" w:fill="auto"/>
            <w:noWrap/>
            <w:vAlign w:val="bottom"/>
            <w:hideMark/>
          </w:tcPr>
          <w:p w:rsidR="001754DE" w:rsidRPr="001754DE" w:rsidP="001754DE" w14:paraId="40BEB544" w14:textId="77777777">
            <w:pPr>
              <w:widowControl/>
              <w:autoSpaceDE/>
              <w:autoSpaceDN/>
              <w:adjustRightInd/>
              <w:jc w:val="right"/>
              <w:rPr>
                <w:rFonts w:ascii="Times New Roman" w:hAnsi="Times New Roman"/>
                <w:color w:val="000000"/>
                <w:sz w:val="20"/>
                <w:szCs w:val="20"/>
              </w:rPr>
            </w:pPr>
            <w:r w:rsidRPr="001754DE">
              <w:rPr>
                <w:rFonts w:ascii="Times New Roman" w:hAnsi="Times New Roman"/>
                <w:color w:val="000000"/>
                <w:sz w:val="20"/>
                <w:szCs w:val="20"/>
              </w:rPr>
              <w:t>92.0%</w:t>
            </w:r>
          </w:p>
        </w:tc>
        <w:tc>
          <w:tcPr>
            <w:tcW w:w="1745" w:type="dxa"/>
            <w:tcBorders>
              <w:top w:val="nil"/>
              <w:left w:val="nil"/>
              <w:bottom w:val="single" w:sz="4" w:space="0" w:color="auto"/>
              <w:right w:val="single" w:sz="4" w:space="0" w:color="auto"/>
            </w:tcBorders>
            <w:shd w:val="clear" w:color="auto" w:fill="auto"/>
            <w:noWrap/>
            <w:vAlign w:val="bottom"/>
            <w:hideMark/>
          </w:tcPr>
          <w:p w:rsidR="001754DE" w:rsidRPr="001754DE" w:rsidP="001754DE" w14:paraId="6F3CC1E0" w14:textId="11703923">
            <w:pPr>
              <w:widowControl/>
              <w:autoSpaceDE/>
              <w:autoSpaceDN/>
              <w:adjustRightInd/>
              <w:rPr>
                <w:rFonts w:ascii="Times New Roman" w:hAnsi="Times New Roman"/>
                <w:color w:val="000000"/>
                <w:sz w:val="20"/>
                <w:szCs w:val="20"/>
              </w:rPr>
            </w:pPr>
            <w:r w:rsidRPr="001754DE">
              <w:rPr>
                <w:rFonts w:ascii="Times New Roman" w:hAnsi="Times New Roman"/>
                <w:color w:val="000000"/>
                <w:sz w:val="20"/>
                <w:szCs w:val="20"/>
              </w:rPr>
              <w:t xml:space="preserve"> </w:t>
            </w:r>
            <w:r>
              <w:rPr>
                <w:rFonts w:ascii="Times New Roman" w:hAnsi="Times New Roman"/>
                <w:color w:val="000000"/>
                <w:sz w:val="20"/>
                <w:szCs w:val="20"/>
              </w:rPr>
              <w:t xml:space="preserve">  </w:t>
            </w:r>
            <w:r w:rsidRPr="001754DE">
              <w:rPr>
                <w:rFonts w:ascii="Times New Roman" w:hAnsi="Times New Roman"/>
                <w:color w:val="000000"/>
                <w:sz w:val="20"/>
                <w:szCs w:val="20"/>
              </w:rPr>
              <w:t xml:space="preserve">$       7,664,713 </w:t>
            </w:r>
          </w:p>
        </w:tc>
      </w:tr>
      <w:tr w14:paraId="7B9C0313" w14:textId="77777777" w:rsidTr="00023353">
        <w:tblPrEx>
          <w:tblW w:w="8905" w:type="dxa"/>
          <w:tblLook w:val="04A0"/>
        </w:tblPrEx>
        <w:trPr>
          <w:trHeight w:val="300"/>
        </w:trPr>
        <w:tc>
          <w:tcPr>
            <w:tcW w:w="2687" w:type="dxa"/>
            <w:tcBorders>
              <w:top w:val="nil"/>
              <w:left w:val="single" w:sz="4" w:space="0" w:color="auto"/>
              <w:bottom w:val="single" w:sz="4" w:space="0" w:color="auto"/>
              <w:right w:val="single" w:sz="4" w:space="0" w:color="auto"/>
            </w:tcBorders>
            <w:shd w:val="clear" w:color="000000" w:fill="C5D9F1"/>
            <w:vAlign w:val="center"/>
            <w:hideMark/>
          </w:tcPr>
          <w:p w:rsidR="001754DE" w:rsidRPr="001754DE" w:rsidP="001754DE" w14:paraId="110FA031" w14:textId="77777777">
            <w:pPr>
              <w:widowControl/>
              <w:autoSpaceDE/>
              <w:autoSpaceDN/>
              <w:adjustRightInd/>
              <w:rPr>
                <w:rFonts w:ascii="Times New Roman" w:hAnsi="Times New Roman"/>
                <w:b/>
                <w:bCs/>
                <w:color w:val="000000"/>
                <w:sz w:val="20"/>
                <w:szCs w:val="20"/>
              </w:rPr>
            </w:pPr>
            <w:r w:rsidRPr="001754DE">
              <w:rPr>
                <w:rFonts w:ascii="Times New Roman" w:hAnsi="Times New Roman"/>
                <w:b/>
                <w:bCs/>
                <w:color w:val="000000"/>
                <w:sz w:val="20"/>
                <w:szCs w:val="20"/>
              </w:rPr>
              <w:t>Total</w:t>
            </w:r>
          </w:p>
        </w:tc>
        <w:tc>
          <w:tcPr>
            <w:tcW w:w="928" w:type="dxa"/>
            <w:tcBorders>
              <w:top w:val="nil"/>
              <w:left w:val="nil"/>
              <w:bottom w:val="single" w:sz="4" w:space="0" w:color="auto"/>
              <w:right w:val="single" w:sz="4" w:space="0" w:color="auto"/>
            </w:tcBorders>
            <w:shd w:val="clear" w:color="000000" w:fill="C5D9F1"/>
            <w:vAlign w:val="center"/>
            <w:hideMark/>
          </w:tcPr>
          <w:p w:rsidR="001754DE" w:rsidRPr="001754DE" w:rsidP="001754DE" w14:paraId="1F814308" w14:textId="77777777">
            <w:pPr>
              <w:widowControl/>
              <w:autoSpaceDE/>
              <w:autoSpaceDN/>
              <w:adjustRightInd/>
              <w:jc w:val="center"/>
              <w:rPr>
                <w:rFonts w:ascii="Times New Roman" w:hAnsi="Times New Roman"/>
                <w:b/>
                <w:bCs/>
                <w:color w:val="000000"/>
                <w:sz w:val="20"/>
                <w:szCs w:val="20"/>
              </w:rPr>
            </w:pPr>
            <w:r w:rsidRPr="001754DE">
              <w:rPr>
                <w:rFonts w:ascii="Times New Roman" w:hAnsi="Times New Roman"/>
                <w:b/>
                <w:bCs/>
                <w:color w:val="000000"/>
                <w:sz w:val="20"/>
                <w:szCs w:val="20"/>
              </w:rPr>
              <w:t> </w:t>
            </w:r>
          </w:p>
        </w:tc>
        <w:tc>
          <w:tcPr>
            <w:tcW w:w="1420" w:type="dxa"/>
            <w:tcBorders>
              <w:top w:val="nil"/>
              <w:left w:val="nil"/>
              <w:bottom w:val="single" w:sz="4" w:space="0" w:color="auto"/>
              <w:right w:val="single" w:sz="4" w:space="0" w:color="auto"/>
            </w:tcBorders>
            <w:shd w:val="clear" w:color="000000" w:fill="C5D9F1"/>
            <w:vAlign w:val="center"/>
            <w:hideMark/>
          </w:tcPr>
          <w:p w:rsidR="001754DE" w:rsidRPr="001754DE" w:rsidP="001754DE" w14:paraId="3CF54B78" w14:textId="77777777">
            <w:pPr>
              <w:widowControl/>
              <w:autoSpaceDE/>
              <w:autoSpaceDN/>
              <w:adjustRightInd/>
              <w:jc w:val="center"/>
              <w:rPr>
                <w:rFonts w:ascii="Times New Roman" w:hAnsi="Times New Roman"/>
                <w:b/>
                <w:bCs/>
                <w:color w:val="000000"/>
                <w:sz w:val="20"/>
                <w:szCs w:val="20"/>
              </w:rPr>
            </w:pPr>
            <w:r w:rsidRPr="001754DE">
              <w:rPr>
                <w:rFonts w:ascii="Times New Roman" w:hAnsi="Times New Roman"/>
                <w:b/>
                <w:bCs/>
                <w:color w:val="000000"/>
                <w:sz w:val="20"/>
                <w:szCs w:val="20"/>
              </w:rPr>
              <w:t> </w:t>
            </w:r>
          </w:p>
        </w:tc>
        <w:tc>
          <w:tcPr>
            <w:tcW w:w="1012" w:type="dxa"/>
            <w:tcBorders>
              <w:top w:val="nil"/>
              <w:left w:val="nil"/>
              <w:bottom w:val="single" w:sz="4" w:space="0" w:color="auto"/>
              <w:right w:val="single" w:sz="4" w:space="0" w:color="auto"/>
            </w:tcBorders>
            <w:shd w:val="clear" w:color="000000" w:fill="C5D9F1"/>
            <w:vAlign w:val="center"/>
            <w:hideMark/>
          </w:tcPr>
          <w:p w:rsidR="001754DE" w:rsidRPr="001754DE" w:rsidP="001754DE" w14:paraId="295D11F6" w14:textId="77777777">
            <w:pPr>
              <w:widowControl/>
              <w:autoSpaceDE/>
              <w:autoSpaceDN/>
              <w:adjustRightInd/>
              <w:jc w:val="center"/>
              <w:rPr>
                <w:rFonts w:ascii="Times New Roman" w:hAnsi="Times New Roman"/>
                <w:b/>
                <w:bCs/>
                <w:color w:val="000000"/>
                <w:sz w:val="20"/>
                <w:szCs w:val="20"/>
              </w:rPr>
            </w:pPr>
            <w:r w:rsidRPr="001754DE">
              <w:rPr>
                <w:rFonts w:ascii="Times New Roman" w:hAnsi="Times New Roman"/>
                <w:b/>
                <w:bCs/>
                <w:color w:val="000000"/>
                <w:sz w:val="20"/>
                <w:szCs w:val="20"/>
              </w:rPr>
              <w:t> </w:t>
            </w:r>
          </w:p>
        </w:tc>
        <w:tc>
          <w:tcPr>
            <w:tcW w:w="1113" w:type="dxa"/>
            <w:tcBorders>
              <w:top w:val="nil"/>
              <w:left w:val="nil"/>
              <w:bottom w:val="single" w:sz="4" w:space="0" w:color="auto"/>
              <w:right w:val="single" w:sz="4" w:space="0" w:color="auto"/>
            </w:tcBorders>
            <w:shd w:val="clear" w:color="000000" w:fill="C5D9F1"/>
            <w:vAlign w:val="center"/>
            <w:hideMark/>
          </w:tcPr>
          <w:p w:rsidR="001754DE" w:rsidRPr="001754DE" w:rsidP="001754DE" w14:paraId="7286DC43" w14:textId="77777777">
            <w:pPr>
              <w:widowControl/>
              <w:autoSpaceDE/>
              <w:autoSpaceDN/>
              <w:adjustRightInd/>
              <w:jc w:val="center"/>
              <w:rPr>
                <w:rFonts w:ascii="Times New Roman" w:hAnsi="Times New Roman"/>
                <w:b/>
                <w:bCs/>
                <w:color w:val="000000"/>
                <w:sz w:val="20"/>
                <w:szCs w:val="20"/>
              </w:rPr>
            </w:pPr>
            <w:r w:rsidRPr="001754DE">
              <w:rPr>
                <w:rFonts w:ascii="Times New Roman" w:hAnsi="Times New Roman"/>
                <w:b/>
                <w:bCs/>
                <w:color w:val="000000"/>
                <w:sz w:val="20"/>
                <w:szCs w:val="20"/>
              </w:rPr>
              <w:t> </w:t>
            </w:r>
          </w:p>
        </w:tc>
        <w:tc>
          <w:tcPr>
            <w:tcW w:w="1745" w:type="dxa"/>
            <w:tcBorders>
              <w:top w:val="nil"/>
              <w:left w:val="nil"/>
              <w:bottom w:val="single" w:sz="4" w:space="0" w:color="auto"/>
              <w:right w:val="single" w:sz="4" w:space="0" w:color="auto"/>
            </w:tcBorders>
            <w:shd w:val="clear" w:color="000000" w:fill="C5D9F1"/>
            <w:vAlign w:val="center"/>
            <w:hideMark/>
          </w:tcPr>
          <w:p w:rsidR="001754DE" w:rsidRPr="001754DE" w:rsidP="001754DE" w14:paraId="3ABCE4A3" w14:textId="77777777">
            <w:pPr>
              <w:widowControl/>
              <w:autoSpaceDE/>
              <w:autoSpaceDN/>
              <w:adjustRightInd/>
              <w:jc w:val="center"/>
              <w:rPr>
                <w:rFonts w:ascii="Times New Roman" w:hAnsi="Times New Roman"/>
                <w:b/>
                <w:bCs/>
                <w:color w:val="000000"/>
                <w:sz w:val="20"/>
                <w:szCs w:val="20"/>
              </w:rPr>
            </w:pPr>
            <w:r w:rsidRPr="001754DE">
              <w:rPr>
                <w:rFonts w:ascii="Times New Roman" w:hAnsi="Times New Roman"/>
                <w:b/>
                <w:bCs/>
                <w:color w:val="000000"/>
                <w:sz w:val="20"/>
                <w:szCs w:val="20"/>
              </w:rPr>
              <w:t xml:space="preserve"> $       7,664,713 </w:t>
            </w:r>
          </w:p>
        </w:tc>
      </w:tr>
    </w:tbl>
    <w:p w:rsidR="001754DE" w:rsidP="008C1976" w14:paraId="04D461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C76C1" w:rsidRPr="004C76C1" w:rsidP="004C76C1" w14:paraId="3579CD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C76C1">
        <w:rPr>
          <w:rFonts w:ascii="Times New Roman" w:hAnsi="Times New Roman"/>
        </w:rPr>
        <w:t>Total annual cost: $7,664,713.</w:t>
      </w:r>
    </w:p>
    <w:p w:rsidR="004C76C1" w:rsidRPr="004C76C1" w:rsidP="004C76C1" w14:paraId="1CBB6B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C76C1" w:rsidRPr="004C76C1" w:rsidP="004C76C1" w14:paraId="5D0A4F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C76C1">
        <w:rPr>
          <w:rFonts w:ascii="Times New Roman" w:hAnsi="Times New Roman"/>
        </w:rPr>
        <w:t>All costs are recovered from the registrants through registration fees, as required by the CSA.  21 U.S.C. 886a.</w:t>
      </w:r>
    </w:p>
    <w:p w:rsidR="008C1976" w:rsidRPr="00871CA6" w:rsidP="008C1976" w14:paraId="1229572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RPr="006636D3" w:rsidP="006636D3" w14:paraId="33AED649" w14:textId="6BEC33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r>
      <w:bookmarkStart w:id="4" w:name="OLE_LINK6"/>
      <w:r w:rsidRPr="00AF1EDA" w:rsidR="00AF1EDA">
        <w:rPr>
          <w:rFonts w:ascii="Times New Roman" w:hAnsi="Times New Roman"/>
        </w:rPr>
        <w:t xml:space="preserve">DEA </w:t>
      </w:r>
      <w:r w:rsidR="00C91CF5">
        <w:rPr>
          <w:rFonts w:ascii="Times New Roman" w:hAnsi="Times New Roman"/>
        </w:rPr>
        <w:t>is</w:t>
      </w:r>
      <w:r w:rsidRPr="00AF1EDA" w:rsidR="00AF1EDA">
        <w:rPr>
          <w:rFonts w:ascii="Times New Roman" w:hAnsi="Times New Roman"/>
        </w:rPr>
        <w:t xml:space="preserve"> revising the proposed information collections by adding a checkbox to the new application and renewal application for applicants to affirm that they have completed the new eight-hour training requirement. DEA </w:t>
      </w:r>
      <w:r w:rsidR="00C91CF5">
        <w:rPr>
          <w:rFonts w:ascii="Times New Roman" w:hAnsi="Times New Roman"/>
        </w:rPr>
        <w:t>is</w:t>
      </w:r>
      <w:r w:rsidRPr="00AF1EDA" w:rsidR="00AF1EDA">
        <w:rPr>
          <w:rFonts w:ascii="Times New Roman" w:hAnsi="Times New Roman"/>
        </w:rPr>
        <w:t xml:space="preserve"> also adding three questions to the applications </w:t>
      </w:r>
      <w:r w:rsidRPr="00AF1EDA" w:rsidR="00AF1EDA">
        <w:rPr>
          <w:rFonts w:ascii="Times New Roman" w:hAnsi="Times New Roman"/>
        </w:rPr>
        <w:t>in regards to</w:t>
      </w:r>
      <w:r w:rsidRPr="00AF1EDA" w:rsidR="00AF1EDA">
        <w:rPr>
          <w:rFonts w:ascii="Times New Roman" w:hAnsi="Times New Roman"/>
        </w:rPr>
        <w:t xml:space="preserve"> the training requirements, in which they w</w:t>
      </w:r>
      <w:r w:rsidR="00C91CF5">
        <w:rPr>
          <w:rFonts w:ascii="Times New Roman" w:hAnsi="Times New Roman"/>
        </w:rPr>
        <w:t>ill</w:t>
      </w:r>
      <w:r w:rsidRPr="00AF1EDA" w:rsidR="00AF1EDA">
        <w:rPr>
          <w:rFonts w:ascii="Times New Roman" w:hAnsi="Times New Roman"/>
        </w:rPr>
        <w:t xml:space="preserve"> be required to answer yes to at least one of the questions in order to proceed.</w:t>
      </w:r>
    </w:p>
    <w:p w:rsidR="00232B69" w:rsidP="00690F56" w14:paraId="713CE6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32B69" w:rsidP="00690F56" w14:paraId="0794882C" w14:textId="03F6D5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32B69">
        <w:rPr>
          <w:rFonts w:ascii="Times New Roman" w:hAnsi="Times New Roman"/>
        </w:rPr>
        <w:t xml:space="preserve">The change in annual burden hours is due to </w:t>
      </w:r>
      <w:r>
        <w:rPr>
          <w:rFonts w:ascii="Times New Roman" w:hAnsi="Times New Roman"/>
        </w:rPr>
        <w:t>rounding in the calculation</w:t>
      </w:r>
      <w:r w:rsidRPr="00232B69">
        <w:rPr>
          <w:rFonts w:ascii="Times New Roman" w:hAnsi="Times New Roman"/>
        </w:rPr>
        <w:t xml:space="preserve">.  The change in annual cost burden is due to change in method.  Previously, the approved </w:t>
      </w:r>
      <w:r>
        <w:rPr>
          <w:rFonts w:ascii="Times New Roman" w:hAnsi="Times New Roman"/>
        </w:rPr>
        <w:t>2023</w:t>
      </w:r>
      <w:r w:rsidRPr="00232B69">
        <w:rPr>
          <w:rFonts w:ascii="Times New Roman" w:hAnsi="Times New Roman"/>
        </w:rPr>
        <w:t xml:space="preserve"> figure represents the annual labor burden hours calculated in section 12.  The </w:t>
      </w:r>
      <w:r>
        <w:rPr>
          <w:rFonts w:ascii="Times New Roman" w:hAnsi="Times New Roman"/>
        </w:rPr>
        <w:t xml:space="preserve">new requested </w:t>
      </w:r>
      <w:r w:rsidRPr="00232B69">
        <w:rPr>
          <w:rFonts w:ascii="Times New Roman" w:hAnsi="Times New Roman"/>
        </w:rPr>
        <w:t xml:space="preserve">annual cost burden </w:t>
      </w:r>
      <w:r>
        <w:rPr>
          <w:rFonts w:ascii="Times New Roman" w:hAnsi="Times New Roman"/>
        </w:rPr>
        <w:t>represents the figure from</w:t>
      </w:r>
      <w:r w:rsidRPr="00232B69">
        <w:rPr>
          <w:rFonts w:ascii="Times New Roman" w:hAnsi="Times New Roman"/>
        </w:rPr>
        <w:t xml:space="preserve"> section 13</w:t>
      </w:r>
      <w:r>
        <w:rPr>
          <w:rFonts w:ascii="Times New Roman" w:hAnsi="Times New Roman"/>
        </w:rPr>
        <w:t>.</w:t>
      </w:r>
    </w:p>
    <w:bookmarkEnd w:id="4"/>
    <w:p w:rsidR="00707835" w:rsidP="00690F56" w14:paraId="752312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W w:w="6835" w:type="dxa"/>
        <w:tblLook w:val="04A0"/>
      </w:tblPr>
      <w:tblGrid>
        <w:gridCol w:w="2591"/>
        <w:gridCol w:w="1364"/>
        <w:gridCol w:w="1350"/>
        <w:gridCol w:w="1530"/>
      </w:tblGrid>
      <w:tr w14:paraId="1950E4EF" w14:textId="77777777" w:rsidTr="00707835">
        <w:tblPrEx>
          <w:tblW w:w="6835" w:type="dxa"/>
          <w:tblLook w:val="04A0"/>
        </w:tblPrEx>
        <w:trPr>
          <w:trHeight w:val="765"/>
        </w:trPr>
        <w:tc>
          <w:tcPr>
            <w:tcW w:w="2591"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707835" w:rsidRPr="00707835" w:rsidP="00707835" w14:paraId="2B55EC81" w14:textId="77777777">
            <w:pPr>
              <w:widowControl/>
              <w:autoSpaceDE/>
              <w:autoSpaceDN/>
              <w:adjustRightInd/>
              <w:jc w:val="center"/>
              <w:rPr>
                <w:rFonts w:ascii="Times New Roman" w:hAnsi="Times New Roman"/>
                <w:b/>
                <w:bCs/>
                <w:color w:val="000000"/>
                <w:sz w:val="20"/>
                <w:szCs w:val="20"/>
              </w:rPr>
            </w:pPr>
            <w:r w:rsidRPr="00707835">
              <w:rPr>
                <w:rFonts w:ascii="Times New Roman" w:hAnsi="Times New Roman"/>
                <w:b/>
                <w:bCs/>
                <w:color w:val="000000"/>
                <w:sz w:val="20"/>
                <w:szCs w:val="20"/>
              </w:rPr>
              <w:t> </w:t>
            </w:r>
          </w:p>
        </w:tc>
        <w:tc>
          <w:tcPr>
            <w:tcW w:w="1364" w:type="dxa"/>
            <w:tcBorders>
              <w:top w:val="single" w:sz="4" w:space="0" w:color="auto"/>
              <w:left w:val="nil"/>
              <w:bottom w:val="single" w:sz="4" w:space="0" w:color="auto"/>
              <w:right w:val="single" w:sz="4" w:space="0" w:color="auto"/>
            </w:tcBorders>
            <w:shd w:val="clear" w:color="000000" w:fill="C5D9F1"/>
            <w:vAlign w:val="center"/>
            <w:hideMark/>
          </w:tcPr>
          <w:p w:rsidR="00707835" w:rsidRPr="00707835" w:rsidP="00707835" w14:paraId="1A5EE04A" w14:textId="77777777">
            <w:pPr>
              <w:widowControl/>
              <w:autoSpaceDE/>
              <w:autoSpaceDN/>
              <w:adjustRightInd/>
              <w:jc w:val="center"/>
              <w:rPr>
                <w:rFonts w:ascii="Times New Roman" w:hAnsi="Times New Roman"/>
                <w:b/>
                <w:bCs/>
                <w:color w:val="000000"/>
                <w:sz w:val="20"/>
                <w:szCs w:val="20"/>
              </w:rPr>
            </w:pPr>
            <w:r w:rsidRPr="00707835">
              <w:rPr>
                <w:rFonts w:ascii="Times New Roman" w:hAnsi="Times New Roman"/>
                <w:b/>
                <w:bCs/>
                <w:color w:val="000000"/>
                <w:sz w:val="20"/>
                <w:szCs w:val="20"/>
              </w:rPr>
              <w:t>2023 Approved Burden</w:t>
            </w:r>
          </w:p>
        </w:tc>
        <w:tc>
          <w:tcPr>
            <w:tcW w:w="1350" w:type="dxa"/>
            <w:tcBorders>
              <w:top w:val="single" w:sz="4" w:space="0" w:color="auto"/>
              <w:left w:val="nil"/>
              <w:bottom w:val="single" w:sz="4" w:space="0" w:color="auto"/>
              <w:right w:val="single" w:sz="4" w:space="0" w:color="auto"/>
            </w:tcBorders>
            <w:shd w:val="clear" w:color="000000" w:fill="C5D9F1"/>
            <w:vAlign w:val="center"/>
            <w:hideMark/>
          </w:tcPr>
          <w:p w:rsidR="00707835" w:rsidRPr="00707835" w:rsidP="00707835" w14:paraId="44CF3F0A" w14:textId="77777777">
            <w:pPr>
              <w:widowControl/>
              <w:autoSpaceDE/>
              <w:autoSpaceDN/>
              <w:adjustRightInd/>
              <w:jc w:val="center"/>
              <w:rPr>
                <w:rFonts w:ascii="Times New Roman" w:hAnsi="Times New Roman"/>
                <w:b/>
                <w:bCs/>
                <w:color w:val="000000"/>
                <w:sz w:val="20"/>
                <w:szCs w:val="20"/>
              </w:rPr>
            </w:pPr>
            <w:r w:rsidRPr="00707835">
              <w:rPr>
                <w:rFonts w:ascii="Times New Roman" w:hAnsi="Times New Roman"/>
                <w:b/>
                <w:bCs/>
                <w:color w:val="000000"/>
                <w:sz w:val="20"/>
                <w:szCs w:val="20"/>
              </w:rPr>
              <w:t>New Requested Burden</w:t>
            </w:r>
          </w:p>
        </w:tc>
        <w:tc>
          <w:tcPr>
            <w:tcW w:w="1530" w:type="dxa"/>
            <w:tcBorders>
              <w:top w:val="single" w:sz="4" w:space="0" w:color="auto"/>
              <w:left w:val="nil"/>
              <w:bottom w:val="single" w:sz="4" w:space="0" w:color="auto"/>
              <w:right w:val="single" w:sz="4" w:space="0" w:color="auto"/>
            </w:tcBorders>
            <w:shd w:val="clear" w:color="000000" w:fill="C5D9F1"/>
            <w:vAlign w:val="center"/>
            <w:hideMark/>
          </w:tcPr>
          <w:p w:rsidR="00707835" w:rsidRPr="00707835" w:rsidP="00707835" w14:paraId="5DB23966" w14:textId="77777777">
            <w:pPr>
              <w:widowControl/>
              <w:autoSpaceDE/>
              <w:autoSpaceDN/>
              <w:adjustRightInd/>
              <w:jc w:val="center"/>
              <w:rPr>
                <w:rFonts w:ascii="Times New Roman" w:hAnsi="Times New Roman"/>
                <w:b/>
                <w:bCs/>
                <w:color w:val="000000"/>
                <w:sz w:val="20"/>
                <w:szCs w:val="20"/>
              </w:rPr>
            </w:pPr>
            <w:r w:rsidRPr="00707835">
              <w:rPr>
                <w:rFonts w:ascii="Times New Roman" w:hAnsi="Times New Roman"/>
                <w:b/>
                <w:bCs/>
                <w:color w:val="000000"/>
                <w:sz w:val="20"/>
                <w:szCs w:val="20"/>
              </w:rPr>
              <w:t>Difference</w:t>
            </w:r>
          </w:p>
        </w:tc>
      </w:tr>
      <w:tr w14:paraId="43E779BB" w14:textId="77777777" w:rsidTr="00707835">
        <w:tblPrEx>
          <w:tblW w:w="6835" w:type="dxa"/>
          <w:tblLook w:val="04A0"/>
        </w:tblPrEx>
        <w:trPr>
          <w:trHeight w:val="300"/>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707835" w:rsidRPr="00707835" w:rsidP="00707835" w14:paraId="4F6B675C" w14:textId="77777777">
            <w:pPr>
              <w:widowControl/>
              <w:autoSpaceDE/>
              <w:autoSpaceDN/>
              <w:adjustRightInd/>
              <w:rPr>
                <w:rFonts w:ascii="Times New Roman" w:hAnsi="Times New Roman"/>
                <w:color w:val="000000"/>
                <w:sz w:val="20"/>
                <w:szCs w:val="20"/>
              </w:rPr>
            </w:pPr>
            <w:r w:rsidRPr="00707835">
              <w:rPr>
                <w:rFonts w:ascii="Times New Roman" w:hAnsi="Times New Roman"/>
                <w:color w:val="000000"/>
                <w:sz w:val="20"/>
                <w:szCs w:val="20"/>
              </w:rPr>
              <w:t>Annual respondents</w:t>
            </w:r>
          </w:p>
        </w:tc>
        <w:tc>
          <w:tcPr>
            <w:tcW w:w="1364" w:type="dxa"/>
            <w:tcBorders>
              <w:top w:val="nil"/>
              <w:left w:val="nil"/>
              <w:bottom w:val="single" w:sz="4" w:space="0" w:color="auto"/>
              <w:right w:val="single" w:sz="4" w:space="0" w:color="auto"/>
            </w:tcBorders>
            <w:shd w:val="clear" w:color="auto" w:fill="auto"/>
            <w:vAlign w:val="center"/>
            <w:hideMark/>
          </w:tcPr>
          <w:p w:rsidR="00707835" w:rsidRPr="00707835" w:rsidP="00707835" w14:paraId="666919A6" w14:textId="77777777">
            <w:pPr>
              <w:widowControl/>
              <w:autoSpaceDE/>
              <w:autoSpaceDN/>
              <w:adjustRightInd/>
              <w:jc w:val="right"/>
              <w:rPr>
                <w:rFonts w:ascii="Times New Roman" w:hAnsi="Times New Roman"/>
                <w:color w:val="000000"/>
                <w:sz w:val="20"/>
                <w:szCs w:val="20"/>
              </w:rPr>
            </w:pPr>
            <w:r w:rsidRPr="00707835">
              <w:rPr>
                <w:rFonts w:ascii="Times New Roman" w:hAnsi="Times New Roman"/>
                <w:color w:val="000000"/>
                <w:sz w:val="20"/>
                <w:szCs w:val="20"/>
              </w:rPr>
              <w:t xml:space="preserve">         670,481 </w:t>
            </w:r>
          </w:p>
        </w:tc>
        <w:tc>
          <w:tcPr>
            <w:tcW w:w="1350" w:type="dxa"/>
            <w:tcBorders>
              <w:top w:val="nil"/>
              <w:left w:val="nil"/>
              <w:bottom w:val="single" w:sz="4" w:space="0" w:color="auto"/>
              <w:right w:val="single" w:sz="4" w:space="0" w:color="auto"/>
            </w:tcBorders>
            <w:shd w:val="clear" w:color="auto" w:fill="auto"/>
            <w:vAlign w:val="center"/>
            <w:hideMark/>
          </w:tcPr>
          <w:p w:rsidR="00707835" w:rsidRPr="00707835" w:rsidP="00707835" w14:paraId="6909DE5A" w14:textId="77777777">
            <w:pPr>
              <w:widowControl/>
              <w:autoSpaceDE/>
              <w:autoSpaceDN/>
              <w:adjustRightInd/>
              <w:jc w:val="right"/>
              <w:rPr>
                <w:rFonts w:ascii="Times New Roman" w:hAnsi="Times New Roman"/>
                <w:color w:val="000000"/>
                <w:sz w:val="20"/>
                <w:szCs w:val="20"/>
              </w:rPr>
            </w:pPr>
            <w:r w:rsidRPr="00707835">
              <w:rPr>
                <w:rFonts w:ascii="Times New Roman" w:hAnsi="Times New Roman"/>
                <w:color w:val="000000"/>
                <w:sz w:val="20"/>
                <w:szCs w:val="20"/>
              </w:rPr>
              <w:t xml:space="preserve">         670,481 </w:t>
            </w:r>
          </w:p>
        </w:tc>
        <w:tc>
          <w:tcPr>
            <w:tcW w:w="1530" w:type="dxa"/>
            <w:tcBorders>
              <w:top w:val="nil"/>
              <w:left w:val="nil"/>
              <w:bottom w:val="single" w:sz="4" w:space="0" w:color="auto"/>
              <w:right w:val="single" w:sz="4" w:space="0" w:color="auto"/>
            </w:tcBorders>
            <w:shd w:val="clear" w:color="auto" w:fill="auto"/>
            <w:vAlign w:val="center"/>
            <w:hideMark/>
          </w:tcPr>
          <w:p w:rsidR="00707835" w:rsidRPr="00707835" w:rsidP="00707835" w14:paraId="3AA415DC" w14:textId="77777777">
            <w:pPr>
              <w:widowControl/>
              <w:autoSpaceDE/>
              <w:autoSpaceDN/>
              <w:adjustRightInd/>
              <w:jc w:val="right"/>
              <w:rPr>
                <w:rFonts w:ascii="Times New Roman" w:hAnsi="Times New Roman"/>
                <w:color w:val="000000"/>
                <w:sz w:val="20"/>
                <w:szCs w:val="20"/>
              </w:rPr>
            </w:pPr>
            <w:r w:rsidRPr="00707835">
              <w:rPr>
                <w:rFonts w:ascii="Times New Roman" w:hAnsi="Times New Roman"/>
                <w:color w:val="000000"/>
                <w:sz w:val="20"/>
                <w:szCs w:val="20"/>
              </w:rPr>
              <w:t xml:space="preserve">                  -   </w:t>
            </w:r>
          </w:p>
        </w:tc>
      </w:tr>
      <w:tr w14:paraId="0398B5D6" w14:textId="77777777" w:rsidTr="00707835">
        <w:tblPrEx>
          <w:tblW w:w="6835" w:type="dxa"/>
          <w:tblLook w:val="04A0"/>
        </w:tblPrEx>
        <w:trPr>
          <w:trHeight w:val="300"/>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707835" w:rsidRPr="00707835" w:rsidP="00707835" w14:paraId="2235C87D" w14:textId="77777777">
            <w:pPr>
              <w:widowControl/>
              <w:autoSpaceDE/>
              <w:autoSpaceDN/>
              <w:adjustRightInd/>
              <w:rPr>
                <w:rFonts w:ascii="Times New Roman" w:hAnsi="Times New Roman"/>
                <w:color w:val="000000"/>
                <w:sz w:val="20"/>
                <w:szCs w:val="20"/>
              </w:rPr>
            </w:pPr>
            <w:r w:rsidRPr="00707835">
              <w:rPr>
                <w:rFonts w:ascii="Times New Roman" w:hAnsi="Times New Roman"/>
                <w:color w:val="000000"/>
                <w:sz w:val="20"/>
                <w:szCs w:val="20"/>
              </w:rPr>
              <w:t>Annual burden hours</w:t>
            </w:r>
          </w:p>
        </w:tc>
        <w:tc>
          <w:tcPr>
            <w:tcW w:w="1364" w:type="dxa"/>
            <w:tcBorders>
              <w:top w:val="nil"/>
              <w:left w:val="nil"/>
              <w:bottom w:val="single" w:sz="4" w:space="0" w:color="auto"/>
              <w:right w:val="single" w:sz="4" w:space="0" w:color="auto"/>
            </w:tcBorders>
            <w:shd w:val="clear" w:color="auto" w:fill="auto"/>
            <w:vAlign w:val="center"/>
            <w:hideMark/>
          </w:tcPr>
          <w:p w:rsidR="00707835" w:rsidRPr="00707835" w:rsidP="00707835" w14:paraId="045916D1" w14:textId="77777777">
            <w:pPr>
              <w:widowControl/>
              <w:autoSpaceDE/>
              <w:autoSpaceDN/>
              <w:adjustRightInd/>
              <w:jc w:val="right"/>
              <w:rPr>
                <w:rFonts w:ascii="Times New Roman" w:hAnsi="Times New Roman"/>
                <w:color w:val="000000"/>
                <w:sz w:val="20"/>
                <w:szCs w:val="20"/>
              </w:rPr>
            </w:pPr>
            <w:r w:rsidRPr="00707835">
              <w:rPr>
                <w:rFonts w:ascii="Times New Roman" w:hAnsi="Times New Roman"/>
                <w:color w:val="000000"/>
                <w:sz w:val="20"/>
                <w:szCs w:val="20"/>
              </w:rPr>
              <w:t xml:space="preserve">         136,128 </w:t>
            </w:r>
          </w:p>
        </w:tc>
        <w:tc>
          <w:tcPr>
            <w:tcW w:w="1350" w:type="dxa"/>
            <w:tcBorders>
              <w:top w:val="nil"/>
              <w:left w:val="nil"/>
              <w:bottom w:val="single" w:sz="4" w:space="0" w:color="auto"/>
              <w:right w:val="single" w:sz="4" w:space="0" w:color="auto"/>
            </w:tcBorders>
            <w:shd w:val="clear" w:color="auto" w:fill="auto"/>
            <w:vAlign w:val="center"/>
            <w:hideMark/>
          </w:tcPr>
          <w:p w:rsidR="00707835" w:rsidRPr="00707835" w:rsidP="00707835" w14:paraId="68CCF444" w14:textId="77777777">
            <w:pPr>
              <w:widowControl/>
              <w:autoSpaceDE/>
              <w:autoSpaceDN/>
              <w:adjustRightInd/>
              <w:jc w:val="right"/>
              <w:rPr>
                <w:rFonts w:ascii="Times New Roman" w:hAnsi="Times New Roman"/>
                <w:color w:val="000000"/>
                <w:sz w:val="20"/>
                <w:szCs w:val="20"/>
              </w:rPr>
            </w:pPr>
            <w:r w:rsidRPr="00707835">
              <w:rPr>
                <w:rFonts w:ascii="Times New Roman" w:hAnsi="Times New Roman"/>
                <w:color w:val="000000"/>
                <w:sz w:val="20"/>
                <w:szCs w:val="20"/>
              </w:rPr>
              <w:t xml:space="preserve">         136,127 </w:t>
            </w:r>
          </w:p>
        </w:tc>
        <w:tc>
          <w:tcPr>
            <w:tcW w:w="1530" w:type="dxa"/>
            <w:tcBorders>
              <w:top w:val="nil"/>
              <w:left w:val="nil"/>
              <w:bottom w:val="single" w:sz="4" w:space="0" w:color="auto"/>
              <w:right w:val="single" w:sz="4" w:space="0" w:color="auto"/>
            </w:tcBorders>
            <w:shd w:val="clear" w:color="auto" w:fill="auto"/>
            <w:vAlign w:val="center"/>
            <w:hideMark/>
          </w:tcPr>
          <w:p w:rsidR="00707835" w:rsidRPr="00707835" w:rsidP="00707835" w14:paraId="19C3B237" w14:textId="77777777">
            <w:pPr>
              <w:widowControl/>
              <w:autoSpaceDE/>
              <w:autoSpaceDN/>
              <w:adjustRightInd/>
              <w:jc w:val="right"/>
              <w:rPr>
                <w:rFonts w:ascii="Times New Roman" w:hAnsi="Times New Roman"/>
                <w:color w:val="000000"/>
                <w:sz w:val="20"/>
                <w:szCs w:val="20"/>
              </w:rPr>
            </w:pPr>
            <w:r w:rsidRPr="00707835">
              <w:rPr>
                <w:rFonts w:ascii="Times New Roman" w:hAnsi="Times New Roman"/>
                <w:color w:val="000000"/>
                <w:sz w:val="20"/>
                <w:szCs w:val="20"/>
              </w:rPr>
              <w:t xml:space="preserve">                  (1)</w:t>
            </w:r>
          </w:p>
        </w:tc>
      </w:tr>
      <w:tr w14:paraId="2EEFCB64" w14:textId="77777777" w:rsidTr="00707835">
        <w:tblPrEx>
          <w:tblW w:w="6835" w:type="dxa"/>
          <w:tblLook w:val="04A0"/>
        </w:tblPrEx>
        <w:trPr>
          <w:trHeight w:val="300"/>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707835" w:rsidRPr="00707835" w:rsidP="00707835" w14:paraId="14847BA8" w14:textId="77777777">
            <w:pPr>
              <w:widowControl/>
              <w:autoSpaceDE/>
              <w:autoSpaceDN/>
              <w:adjustRightInd/>
              <w:rPr>
                <w:rFonts w:ascii="Times New Roman" w:hAnsi="Times New Roman"/>
                <w:color w:val="000000"/>
                <w:sz w:val="20"/>
                <w:szCs w:val="20"/>
              </w:rPr>
            </w:pPr>
            <w:r w:rsidRPr="00707835">
              <w:rPr>
                <w:rFonts w:ascii="Times New Roman" w:hAnsi="Times New Roman"/>
                <w:color w:val="000000"/>
                <w:sz w:val="20"/>
                <w:szCs w:val="20"/>
              </w:rPr>
              <w:t>Annual cost ($)</w:t>
            </w:r>
          </w:p>
        </w:tc>
        <w:tc>
          <w:tcPr>
            <w:tcW w:w="1364" w:type="dxa"/>
            <w:tcBorders>
              <w:top w:val="nil"/>
              <w:left w:val="nil"/>
              <w:bottom w:val="single" w:sz="4" w:space="0" w:color="auto"/>
              <w:right w:val="single" w:sz="4" w:space="0" w:color="auto"/>
            </w:tcBorders>
            <w:shd w:val="clear" w:color="auto" w:fill="auto"/>
            <w:vAlign w:val="center"/>
            <w:hideMark/>
          </w:tcPr>
          <w:p w:rsidR="00707835" w:rsidRPr="00707835" w:rsidP="00707835" w14:paraId="39889640" w14:textId="77777777">
            <w:pPr>
              <w:widowControl/>
              <w:autoSpaceDE/>
              <w:autoSpaceDN/>
              <w:adjustRightInd/>
              <w:jc w:val="right"/>
              <w:rPr>
                <w:rFonts w:ascii="Times New Roman" w:hAnsi="Times New Roman"/>
                <w:color w:val="000000"/>
                <w:sz w:val="20"/>
                <w:szCs w:val="20"/>
              </w:rPr>
            </w:pPr>
            <w:r w:rsidRPr="00707835">
              <w:rPr>
                <w:rFonts w:ascii="Times New Roman" w:hAnsi="Times New Roman"/>
                <w:color w:val="000000"/>
                <w:sz w:val="20"/>
                <w:szCs w:val="20"/>
              </w:rPr>
              <w:t xml:space="preserve">    22,475,937 </w:t>
            </w:r>
          </w:p>
        </w:tc>
        <w:tc>
          <w:tcPr>
            <w:tcW w:w="1350" w:type="dxa"/>
            <w:tcBorders>
              <w:top w:val="nil"/>
              <w:left w:val="nil"/>
              <w:bottom w:val="single" w:sz="4" w:space="0" w:color="auto"/>
              <w:right w:val="single" w:sz="4" w:space="0" w:color="auto"/>
            </w:tcBorders>
            <w:shd w:val="clear" w:color="auto" w:fill="auto"/>
            <w:vAlign w:val="center"/>
            <w:hideMark/>
          </w:tcPr>
          <w:p w:rsidR="00707835" w:rsidRPr="00707835" w:rsidP="00707835" w14:paraId="47F8F442" w14:textId="77777777">
            <w:pPr>
              <w:widowControl/>
              <w:autoSpaceDE/>
              <w:autoSpaceDN/>
              <w:adjustRightInd/>
              <w:jc w:val="right"/>
              <w:rPr>
                <w:rFonts w:ascii="Times New Roman" w:hAnsi="Times New Roman"/>
                <w:color w:val="000000"/>
                <w:sz w:val="20"/>
                <w:szCs w:val="20"/>
              </w:rPr>
            </w:pPr>
            <w:r w:rsidRPr="00707835">
              <w:rPr>
                <w:rFonts w:ascii="Times New Roman" w:hAnsi="Times New Roman"/>
                <w:color w:val="000000"/>
                <w:sz w:val="20"/>
                <w:szCs w:val="20"/>
              </w:rPr>
              <w:t xml:space="preserve">                  -   </w:t>
            </w:r>
          </w:p>
        </w:tc>
        <w:tc>
          <w:tcPr>
            <w:tcW w:w="1530" w:type="dxa"/>
            <w:tcBorders>
              <w:top w:val="nil"/>
              <w:left w:val="nil"/>
              <w:bottom w:val="single" w:sz="4" w:space="0" w:color="auto"/>
              <w:right w:val="single" w:sz="4" w:space="0" w:color="auto"/>
            </w:tcBorders>
            <w:shd w:val="clear" w:color="auto" w:fill="auto"/>
            <w:vAlign w:val="center"/>
            <w:hideMark/>
          </w:tcPr>
          <w:p w:rsidR="00707835" w:rsidRPr="00707835" w:rsidP="00707835" w14:paraId="34BF6E1B" w14:textId="77777777">
            <w:pPr>
              <w:widowControl/>
              <w:autoSpaceDE/>
              <w:autoSpaceDN/>
              <w:adjustRightInd/>
              <w:jc w:val="right"/>
              <w:rPr>
                <w:rFonts w:ascii="Times New Roman" w:hAnsi="Times New Roman"/>
                <w:color w:val="000000"/>
                <w:sz w:val="20"/>
                <w:szCs w:val="20"/>
              </w:rPr>
            </w:pPr>
            <w:r w:rsidRPr="00707835">
              <w:rPr>
                <w:rFonts w:ascii="Times New Roman" w:hAnsi="Times New Roman"/>
                <w:color w:val="000000"/>
                <w:sz w:val="20"/>
                <w:szCs w:val="20"/>
              </w:rPr>
              <w:t xml:space="preserve">  (22,475,937)</w:t>
            </w:r>
          </w:p>
        </w:tc>
      </w:tr>
    </w:tbl>
    <w:p w:rsidR="00707835" w:rsidP="00690F56" w14:paraId="3658E0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F1EDA" w:rsidRPr="00F4518C" w:rsidP="00690F56" w14:paraId="7058CF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24D52" w:rsidRPr="00524D52" w:rsidP="006636D3" w14:paraId="31B0E6B6" w14:textId="776D75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6.</w:t>
      </w:r>
      <w:r w:rsidR="006636D3">
        <w:rPr>
          <w:rFonts w:ascii="Times New Roman" w:hAnsi="Times New Roman"/>
          <w:b/>
          <w:bCs/>
        </w:rPr>
        <w:t xml:space="preserve">  </w:t>
      </w:r>
      <w:r w:rsidRPr="00524D52">
        <w:rPr>
          <w:rFonts w:ascii="Times New Roman" w:hAnsi="Times New Roman"/>
        </w:rPr>
        <w:t>DEA will not publish the results of the information collected.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6636D3" w:rsidP="0014601E" w14:paraId="3D60B41E" w14:textId="5490CD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17.  </w:t>
      </w:r>
      <w:r w:rsidRPr="001C39F6" w:rsidR="001C39F6">
        <w:rPr>
          <w:rFonts w:ascii="Times New Roman" w:hAnsi="Times New Roman"/>
        </w:rPr>
        <w:t>We are requesting no exemption.</w:t>
      </w:r>
      <w:r w:rsidR="001C39F6">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6636D3" w:rsidP="0049001D" w14:paraId="5DDA6EEA" w14:textId="75F02F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18.  </w:t>
      </w: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042B" w14:paraId="22E387F1" w14:textId="77777777">
      <w:r>
        <w:separator/>
      </w:r>
    </w:p>
  </w:footnote>
  <w:footnote w:type="continuationSeparator" w:id="1">
    <w:p w:rsidR="0042042B" w14:paraId="56BA80B3" w14:textId="77777777">
      <w:r>
        <w:continuationSeparator/>
      </w:r>
    </w:p>
  </w:footnote>
  <w:footnote w:type="continuationNotice" w:id="2">
    <w:p w:rsidR="0042042B" w14:paraId="27F690D4" w14:textId="77777777"/>
  </w:footnote>
  <w:footnote w:id="3">
    <w:p w:rsidR="003235A3" w14:paraId="2F1B1C07" w14:textId="19C50262">
      <w:pPr>
        <w:pStyle w:val="FootnoteText"/>
      </w:pPr>
      <w:r>
        <w:rPr>
          <w:rStyle w:val="FootnoteReference"/>
        </w:rPr>
        <w:footnoteRef/>
      </w:r>
      <w:r>
        <w:t xml:space="preserve"> </w:t>
      </w:r>
      <w:r w:rsidRPr="006961B7" w:rsidR="00DD34F6">
        <w:rPr>
          <w:rFonts w:ascii="Times New Roman" w:hAnsi="Times New Roman"/>
        </w:rPr>
        <w:t>Consistent with 21 U.S.C. 823(k)(3), DEA is implementing regulations that</w:t>
      </w:r>
      <w:r w:rsidRPr="00DD34F6" w:rsidR="00DD34F6">
        <w:t xml:space="preserve"> </w:t>
      </w:r>
      <w:r w:rsidRPr="006961B7" w:rsidR="00DD34F6">
        <w:rPr>
          <w:rFonts w:ascii="Times New Roman" w:hAnsi="Times New Roman"/>
        </w:rPr>
        <w:t>will continue to allow an EMS agency based in a hospital that is registered under § 1301.13 to use the hospital’s registration to administer controlled substances, without being separately registered as an EMS agency.</w:t>
      </w:r>
      <w:r w:rsidRPr="00DD34F6" w:rsidR="00DD34F6">
        <w:t> </w:t>
      </w:r>
    </w:p>
  </w:footnote>
  <w:footnote w:id="4">
    <w:p w:rsidR="00D41211" w14:paraId="1E650C42" w14:textId="730D5FC5">
      <w:pPr>
        <w:pStyle w:val="FootnoteText"/>
      </w:pPr>
      <w:r>
        <w:rPr>
          <w:rStyle w:val="FootnoteReference"/>
        </w:rPr>
        <w:footnoteRef/>
      </w:r>
      <w:r>
        <w:t xml:space="preserve"> </w:t>
      </w:r>
      <w:r w:rsidRPr="005E7942" w:rsidR="005E7942">
        <w:rPr>
          <w:rFonts w:ascii="Times New Roman" w:hAnsi="Times New Roman"/>
        </w:rPr>
        <w:t>Average of median hourly wages for 29-</w:t>
      </w:r>
      <w:r w:rsidR="008E0A40">
        <w:rPr>
          <w:rFonts w:ascii="Times New Roman" w:hAnsi="Times New Roman"/>
        </w:rPr>
        <w:t>1216</w:t>
      </w:r>
      <w:r w:rsidR="008366F3">
        <w:rPr>
          <w:rFonts w:ascii="Times New Roman" w:hAnsi="Times New Roman"/>
        </w:rPr>
        <w:t xml:space="preserve"> </w:t>
      </w:r>
      <w:r w:rsidR="008E0A40">
        <w:rPr>
          <w:rFonts w:ascii="Times New Roman" w:hAnsi="Times New Roman"/>
        </w:rPr>
        <w:t>General Internal Medicine Physicians</w:t>
      </w:r>
      <w:r w:rsidRPr="005E7942" w:rsidR="005E7942">
        <w:rPr>
          <w:rFonts w:ascii="Times New Roman" w:hAnsi="Times New Roman"/>
        </w:rPr>
        <w:t xml:space="preserve"> is used to represent the occupation of persons completing the DEA Form 224 and 224a.  May 20</w:t>
      </w:r>
      <w:r w:rsidR="008E0A40">
        <w:rPr>
          <w:rFonts w:ascii="Times New Roman" w:hAnsi="Times New Roman"/>
        </w:rPr>
        <w:t>21</w:t>
      </w:r>
      <w:r w:rsidRPr="005E7942" w:rsidR="005E7942">
        <w:rPr>
          <w:rFonts w:ascii="Times New Roman" w:hAnsi="Times New Roman"/>
        </w:rPr>
        <w:t xml:space="preserve"> National Occupational Employment and Wage Estimates United States.</w:t>
      </w:r>
      <w:r w:rsidRPr="00771DDE" w:rsidR="005E7942">
        <w:t xml:space="preserve"> </w:t>
      </w:r>
      <w:hyperlink r:id="rId1" w:history="1">
        <w:r w:rsidRPr="00771DDE" w:rsidR="00771DDE">
          <w:rPr>
            <w:rStyle w:val="Hyperlink"/>
            <w:rFonts w:ascii="Times New Roman" w:hAnsi="Times New Roman"/>
          </w:rPr>
          <w:t>https://www.bls.gov/oes/2021/may/oes_nat.htm</w:t>
        </w:r>
      </w:hyperlink>
      <w:r w:rsidRPr="005E7942" w:rsidR="005E7942">
        <w:rPr>
          <w:rFonts w:ascii="Times New Roman" w:hAnsi="Times New Roman"/>
        </w:rPr>
        <w:t xml:space="preserve">.  </w:t>
      </w:r>
    </w:p>
  </w:footnote>
  <w:footnote w:id="5">
    <w:p w:rsidR="00D41211" w14:paraId="447181F5" w14:textId="78D2FA56">
      <w:pPr>
        <w:pStyle w:val="FootnoteText"/>
      </w:pPr>
      <w:r>
        <w:rPr>
          <w:rStyle w:val="FootnoteReference"/>
        </w:rPr>
        <w:footnoteRef/>
      </w:r>
      <w:r>
        <w:t xml:space="preserve"> </w:t>
      </w:r>
      <w:bookmarkStart w:id="3" w:name="OLE_LINK1"/>
      <w:r w:rsidRPr="005E7942" w:rsidR="005E7942">
        <w:rPr>
          <w:rFonts w:ascii="Times New Roman" w:hAnsi="Times New Roman"/>
        </w:rPr>
        <w:t>Bureau of Labor Statistics, “Employer Costs for Employee Compensation – December 2</w:t>
      </w:r>
      <w:r w:rsidR="008E0A40">
        <w:rPr>
          <w:rFonts w:ascii="Times New Roman" w:hAnsi="Times New Roman"/>
        </w:rPr>
        <w:t>021</w:t>
      </w:r>
      <w:r w:rsidRPr="005E7942" w:rsidR="005E7942">
        <w:rPr>
          <w:rFonts w:ascii="Times New Roman" w:hAnsi="Times New Roman"/>
        </w:rPr>
        <w:t>” (ECEC) reports that average benefits for private industry is 29.</w:t>
      </w:r>
      <w:r w:rsidR="008E0A40">
        <w:rPr>
          <w:rFonts w:ascii="Times New Roman" w:hAnsi="Times New Roman"/>
        </w:rPr>
        <w:t>5</w:t>
      </w:r>
      <w:r w:rsidRPr="005E7942" w:rsidR="005E7942">
        <w:rPr>
          <w:rFonts w:ascii="Times New Roman" w:hAnsi="Times New Roman"/>
        </w:rPr>
        <w:t xml:space="preserve"> percent of total compensation. The 29.</w:t>
      </w:r>
      <w:r w:rsidR="008E0A40">
        <w:rPr>
          <w:rFonts w:ascii="Times New Roman" w:hAnsi="Times New Roman"/>
        </w:rPr>
        <w:t>5</w:t>
      </w:r>
      <w:r w:rsidRPr="005E7942" w:rsidR="005E7942">
        <w:rPr>
          <w:rFonts w:ascii="Times New Roman" w:hAnsi="Times New Roman"/>
        </w:rPr>
        <w:t xml:space="preserve"> percent of total compensation equates to 4</w:t>
      </w:r>
      <w:r w:rsidR="008E0A40">
        <w:rPr>
          <w:rFonts w:ascii="Times New Roman" w:hAnsi="Times New Roman"/>
        </w:rPr>
        <w:t>1.8</w:t>
      </w:r>
      <w:r w:rsidRPr="005E7942" w:rsidR="005E7942">
        <w:rPr>
          <w:rFonts w:ascii="Times New Roman" w:hAnsi="Times New Roman"/>
        </w:rPr>
        <w:t xml:space="preserve"> percent (29.</w:t>
      </w:r>
      <w:r w:rsidR="008E0A40">
        <w:rPr>
          <w:rFonts w:ascii="Times New Roman" w:hAnsi="Times New Roman"/>
        </w:rPr>
        <w:t>5</w:t>
      </w:r>
      <w:r w:rsidRPr="005E7942" w:rsidR="005E7942">
        <w:rPr>
          <w:rFonts w:ascii="Times New Roman" w:hAnsi="Times New Roman"/>
        </w:rPr>
        <w:t>% / 70.</w:t>
      </w:r>
      <w:r w:rsidR="008E0A40">
        <w:rPr>
          <w:rFonts w:ascii="Times New Roman" w:hAnsi="Times New Roman"/>
        </w:rPr>
        <w:t>5</w:t>
      </w:r>
      <w:r w:rsidRPr="005E7942" w:rsidR="005E7942">
        <w:rPr>
          <w:rFonts w:ascii="Times New Roman" w:hAnsi="Times New Roman"/>
        </w:rPr>
        <w:t>%) load on wages and salaries.</w:t>
      </w:r>
      <w:bookmarkEnd w:id="3"/>
    </w:p>
  </w:footnote>
  <w:footnote w:id="6">
    <w:p w:rsidR="00940B25" w:rsidP="00940B25" w14:paraId="212B2669" w14:textId="7A3C83E9">
      <w:pPr>
        <w:pStyle w:val="FootnoteText"/>
      </w:pPr>
      <w:r>
        <w:rPr>
          <w:rStyle w:val="FootnoteReference"/>
        </w:rPr>
        <w:footnoteRef/>
      </w:r>
      <w:r>
        <w:t xml:space="preserve"> </w:t>
      </w:r>
      <w:r>
        <w:rPr>
          <w:rFonts w:ascii="Times New Roman" w:hAnsi="Times New Roman"/>
        </w:rPr>
        <w:t>$116.44 x (1 + 0.418) = $165.11.</w:t>
      </w:r>
    </w:p>
    <w:p w:rsidR="00940B25" w14:paraId="2AE19048" w14:textId="0F6D51C7">
      <w:pPr>
        <w:pStyle w:val="FootnoteText"/>
      </w:pPr>
    </w:p>
  </w:footnote>
  <w:footnote w:id="7">
    <w:p w:rsidR="00923253" w:rsidRPr="00023353" w14:paraId="783D640E" w14:textId="37B5683B">
      <w:pPr>
        <w:pStyle w:val="FootnoteText"/>
        <w:rPr>
          <w:rFonts w:ascii="Times New Roman" w:hAnsi="Times New Roman"/>
        </w:rPr>
      </w:pPr>
      <w:r>
        <w:rPr>
          <w:rStyle w:val="FootnoteReference"/>
        </w:rPr>
        <w:footnoteRef/>
      </w:r>
      <w:r>
        <w:t xml:space="preserve"> </w:t>
      </w:r>
      <w:r w:rsidR="00B32584">
        <w:rPr>
          <w:rFonts w:ascii="Times New Roman" w:hAnsi="Times New Roman"/>
        </w:rPr>
        <w:t xml:space="preserve">Number of Registration Program Specialists </w:t>
      </w:r>
      <w:r w:rsidR="00023353">
        <w:rPr>
          <w:rFonts w:ascii="Times New Roman" w:hAnsi="Times New Roman"/>
        </w:rPr>
        <w:t xml:space="preserve">(RPS) </w:t>
      </w:r>
      <w:r w:rsidR="00B32584">
        <w:rPr>
          <w:rFonts w:ascii="Times New Roman" w:hAnsi="Times New Roman"/>
        </w:rPr>
        <w:t>personnel from</w:t>
      </w:r>
      <w:r w:rsidR="00023353">
        <w:rPr>
          <w:rFonts w:ascii="Times New Roman" w:hAnsi="Times New Roman"/>
        </w:rPr>
        <w:t xml:space="preserve"> DEA’s</w:t>
      </w:r>
      <w:r w:rsidR="00B32584">
        <w:rPr>
          <w:rFonts w:ascii="Times New Roman" w:hAnsi="Times New Roman"/>
        </w:rPr>
        <w:t xml:space="preserve"> 2021 RPS study</w:t>
      </w:r>
      <w:r>
        <w:rPr>
          <w:rFonts w:ascii="Times New Roman" w:hAnsi="Times New Roman"/>
        </w:rPr>
        <w:t xml:space="preserve"> </w:t>
      </w:r>
    </w:p>
  </w:footnote>
  <w:footnote w:id="8">
    <w:p w:rsidR="00923253" w:rsidRPr="00023353" w14:paraId="5A6DC1A9" w14:textId="45D93F32">
      <w:pPr>
        <w:pStyle w:val="FootnoteText"/>
        <w:rPr>
          <w:rFonts w:ascii="Times New Roman" w:hAnsi="Times New Roman"/>
        </w:rPr>
      </w:pPr>
      <w:r>
        <w:rPr>
          <w:rStyle w:val="FootnoteReference"/>
        </w:rPr>
        <w:footnoteRef/>
      </w:r>
      <w:r>
        <w:t xml:space="preserve"> </w:t>
      </w:r>
      <w:r w:rsidR="00CD02B1">
        <w:rPr>
          <w:rFonts w:ascii="Times New Roman" w:hAnsi="Times New Roman"/>
        </w:rPr>
        <w:t xml:space="preserve">Annual Rate based on GS grade 9 step 5 in 2023 </w:t>
      </w:r>
      <w:r w:rsidR="00AB172F">
        <w:rPr>
          <w:rFonts w:ascii="Times New Roman" w:hAnsi="Times New Roman"/>
        </w:rPr>
        <w:t xml:space="preserve">OPM </w:t>
      </w:r>
      <w:r w:rsidR="00CD02B1">
        <w:rPr>
          <w:rFonts w:ascii="Times New Roman" w:hAnsi="Times New Roman"/>
        </w:rPr>
        <w:t>Washington-Baltimore-Arlington</w:t>
      </w:r>
      <w:r w:rsidR="00AB172F">
        <w:rPr>
          <w:rFonts w:ascii="Times New Roman" w:hAnsi="Times New Roman"/>
        </w:rPr>
        <w:t xml:space="preserve"> Salary Table</w:t>
      </w:r>
    </w:p>
  </w:footnote>
  <w:footnote w:id="9">
    <w:p w:rsidR="00923253" w:rsidRPr="00023353" w14:paraId="7E3F62EE" w14:textId="2C450E24">
      <w:pPr>
        <w:pStyle w:val="FootnoteText"/>
        <w:rPr>
          <w:rFonts w:ascii="Times New Roman" w:hAnsi="Times New Roman"/>
        </w:rPr>
      </w:pPr>
      <w:r>
        <w:rPr>
          <w:rStyle w:val="FootnoteReference"/>
        </w:rPr>
        <w:footnoteRef/>
      </w:r>
      <w:r>
        <w:t xml:space="preserve"> </w:t>
      </w:r>
      <w:r w:rsidRPr="00023353" w:rsidR="006740AF">
        <w:rPr>
          <w:rFonts w:ascii="Times New Roman" w:hAnsi="Times New Roman"/>
        </w:rPr>
        <w:t xml:space="preserve">Bureau of Labor Statistics, “Employer Costs for Employee Compensation – </w:t>
      </w:r>
      <w:r w:rsidR="008477E0">
        <w:rPr>
          <w:rFonts w:ascii="Times New Roman" w:hAnsi="Times New Roman"/>
        </w:rPr>
        <w:t>September 2022</w:t>
      </w:r>
      <w:r w:rsidRPr="00023353" w:rsidR="006740AF">
        <w:rPr>
          <w:rFonts w:ascii="Times New Roman" w:hAnsi="Times New Roman"/>
        </w:rPr>
        <w:t xml:space="preserve">” (ECEC) reports that average benefits for </w:t>
      </w:r>
      <w:r w:rsidR="008477E0">
        <w:rPr>
          <w:rFonts w:ascii="Times New Roman" w:hAnsi="Times New Roman"/>
        </w:rPr>
        <w:t>state and local workers</w:t>
      </w:r>
      <w:r w:rsidRPr="00023353" w:rsidR="006740AF">
        <w:rPr>
          <w:rFonts w:ascii="Times New Roman" w:hAnsi="Times New Roman"/>
        </w:rPr>
        <w:t xml:space="preserve"> is </w:t>
      </w:r>
      <w:r w:rsidR="008477E0">
        <w:rPr>
          <w:rFonts w:ascii="Times New Roman" w:hAnsi="Times New Roman"/>
        </w:rPr>
        <w:t>38.1</w:t>
      </w:r>
      <w:r w:rsidRPr="00023353" w:rsidR="006740AF">
        <w:rPr>
          <w:rFonts w:ascii="Times New Roman" w:hAnsi="Times New Roman"/>
        </w:rPr>
        <w:t xml:space="preserve"> percent of total compensation. The </w:t>
      </w:r>
      <w:r w:rsidR="008477E0">
        <w:rPr>
          <w:rFonts w:ascii="Times New Roman" w:hAnsi="Times New Roman"/>
        </w:rPr>
        <w:t>38.1</w:t>
      </w:r>
      <w:r w:rsidRPr="00023353" w:rsidR="006740AF">
        <w:rPr>
          <w:rFonts w:ascii="Times New Roman" w:hAnsi="Times New Roman"/>
        </w:rPr>
        <w:t xml:space="preserve"> percent of total compensation equates to </w:t>
      </w:r>
      <w:r w:rsidR="008477E0">
        <w:rPr>
          <w:rFonts w:ascii="Times New Roman" w:hAnsi="Times New Roman"/>
        </w:rPr>
        <w:t>61.6</w:t>
      </w:r>
      <w:r w:rsidRPr="00023353" w:rsidR="006740AF">
        <w:rPr>
          <w:rFonts w:ascii="Times New Roman" w:hAnsi="Times New Roman"/>
        </w:rPr>
        <w:t xml:space="preserve"> percent (</w:t>
      </w:r>
      <w:r w:rsidR="008477E0">
        <w:rPr>
          <w:rFonts w:ascii="Times New Roman" w:hAnsi="Times New Roman"/>
        </w:rPr>
        <w:t>38.1% / 61.9%</w:t>
      </w:r>
      <w:r w:rsidRPr="00023353" w:rsidR="006740AF">
        <w:rPr>
          <w:rFonts w:ascii="Times New Roman" w:hAnsi="Times New Roman"/>
        </w:rPr>
        <w:t>) load on wages and salaries.</w:t>
      </w:r>
      <w:r w:rsidR="008477E0">
        <w:rPr>
          <w:rFonts w:ascii="Times New Roman" w:hAnsi="Times New Roman"/>
        </w:rPr>
        <w:t xml:space="preserve"> </w:t>
      </w:r>
      <w:r w:rsidR="00023353">
        <w:rPr>
          <w:rFonts w:ascii="Times New Roman" w:hAnsi="Times New Roman"/>
        </w:rPr>
        <w:t>Figures for s</w:t>
      </w:r>
      <w:r w:rsidR="00D661B5">
        <w:rPr>
          <w:rFonts w:ascii="Times New Roman" w:hAnsi="Times New Roman"/>
        </w:rPr>
        <w:t xml:space="preserve">tate and local workers </w:t>
      </w:r>
      <w:r w:rsidR="008477E0">
        <w:rPr>
          <w:rFonts w:ascii="Times New Roman" w:hAnsi="Times New Roman"/>
        </w:rPr>
        <w:t>w</w:t>
      </w:r>
      <w:r w:rsidR="00D661B5">
        <w:rPr>
          <w:rFonts w:ascii="Times New Roman" w:hAnsi="Times New Roman"/>
        </w:rPr>
        <w:t>ere</w:t>
      </w:r>
      <w:r w:rsidR="008477E0">
        <w:rPr>
          <w:rFonts w:ascii="Times New Roman" w:hAnsi="Times New Roman"/>
        </w:rPr>
        <w:t xml:space="preserve">  </w:t>
      </w:r>
      <w:r w:rsidR="00023353">
        <w:rPr>
          <w:rFonts w:ascii="Times New Roman" w:hAnsi="Times New Roman"/>
        </w:rPr>
        <w:t>used</w:t>
      </w:r>
      <w:r w:rsidR="008477E0">
        <w:rPr>
          <w:rFonts w:ascii="Times New Roman" w:hAnsi="Times New Roman"/>
        </w:rPr>
        <w:t xml:space="preserve"> as an estimate </w:t>
      </w:r>
      <w:r w:rsidR="00D661B5">
        <w:rPr>
          <w:rFonts w:ascii="Times New Roman" w:hAnsi="Times New Roman"/>
        </w:rPr>
        <w:t>for federal workers.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E221AF" w:rsidP="00F8164B" w14:paraId="4C516217" w14:textId="362AC199">
    <w:pPr>
      <w:pStyle w:val="Header"/>
      <w:rPr>
        <w:rFonts w:ascii="Times New Roman" w:hAnsi="Times New Roman"/>
        <w:sz w:val="20"/>
        <w:szCs w:val="20"/>
      </w:rPr>
    </w:pPr>
    <w:r w:rsidRPr="00E221AF">
      <w:rPr>
        <w:rFonts w:ascii="Times New Roman" w:hAnsi="Times New Roman"/>
        <w:sz w:val="20"/>
        <w:szCs w:val="20"/>
      </w:rPr>
      <w:t>Application for Registration-DEA 224, Application of Registration Renewal-DEA 224A</w:t>
    </w:r>
  </w:p>
  <w:p w:rsidR="00EC0B43" w14:paraId="52F50703" w14:textId="0381A815">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E221AF">
      <w:rPr>
        <w:rFonts w:ascii="Times New Roman" w:hAnsi="Times New Roman"/>
        <w:sz w:val="20"/>
        <w:szCs w:val="20"/>
      </w:rPr>
      <w:t>1117-0014</w:t>
    </w:r>
  </w:p>
  <w:p w:rsidR="00304132" w14:paraId="29EBD65C" w14:textId="05B860C3">
    <w:pPr>
      <w:pStyle w:val="Header"/>
      <w:rPr>
        <w:rFonts w:ascii="Times New Roman" w:hAnsi="Times New Roman"/>
        <w:sz w:val="20"/>
        <w:szCs w:val="20"/>
      </w:rPr>
    </w:pPr>
    <w:r>
      <w:rPr>
        <w:rFonts w:ascii="Times New Roman" w:hAnsi="Times New Roman"/>
        <w:sz w:val="20"/>
        <w:szCs w:val="20"/>
      </w:rPr>
      <w:t xml:space="preserve">OMB Expiration Date: </w:t>
    </w:r>
    <w:r w:rsidR="0083435F">
      <w:rPr>
        <w:rFonts w:ascii="Times New Roman" w:hAnsi="Times New Roman"/>
        <w:sz w:val="20"/>
        <w:szCs w:val="20"/>
      </w:rPr>
      <w:t>09/30/2025</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41978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08916105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66178362">
    <w:abstractNumId w:val="3"/>
  </w:num>
  <w:num w:numId="4" w16cid:durableId="1459833696">
    <w:abstractNumId w:val="9"/>
  </w:num>
  <w:num w:numId="5" w16cid:durableId="110441620">
    <w:abstractNumId w:val="2"/>
  </w:num>
  <w:num w:numId="6" w16cid:durableId="16272313">
    <w:abstractNumId w:val="4"/>
  </w:num>
  <w:num w:numId="7" w16cid:durableId="110553520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766725215">
    <w:abstractNumId w:val="11"/>
  </w:num>
  <w:num w:numId="9" w16cid:durableId="479227886">
    <w:abstractNumId w:val="1"/>
  </w:num>
  <w:num w:numId="10" w16cid:durableId="1795753926">
    <w:abstractNumId w:val="10"/>
  </w:num>
  <w:num w:numId="11" w16cid:durableId="474027147">
    <w:abstractNumId w:val="6"/>
  </w:num>
  <w:num w:numId="12" w16cid:durableId="59448432">
    <w:abstractNumId w:val="8"/>
  </w:num>
  <w:num w:numId="13" w16cid:durableId="1560824691">
    <w:abstractNumId w:val="5"/>
  </w:num>
  <w:num w:numId="14" w16cid:durableId="218786987">
    <w:abstractNumId w:val="12"/>
  </w:num>
  <w:num w:numId="15" w16cid:durableId="4186057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16C6B"/>
    <w:rsid w:val="00020F69"/>
    <w:rsid w:val="00022303"/>
    <w:rsid w:val="00023353"/>
    <w:rsid w:val="00023771"/>
    <w:rsid w:val="0003073D"/>
    <w:rsid w:val="0004107F"/>
    <w:rsid w:val="00042CBD"/>
    <w:rsid w:val="00052174"/>
    <w:rsid w:val="00061F6C"/>
    <w:rsid w:val="0006453E"/>
    <w:rsid w:val="00064E28"/>
    <w:rsid w:val="000655CC"/>
    <w:rsid w:val="0007383F"/>
    <w:rsid w:val="00094A5E"/>
    <w:rsid w:val="00095C30"/>
    <w:rsid w:val="00097C15"/>
    <w:rsid w:val="000A7853"/>
    <w:rsid w:val="000B0391"/>
    <w:rsid w:val="000B4875"/>
    <w:rsid w:val="000B6FB6"/>
    <w:rsid w:val="000B777C"/>
    <w:rsid w:val="000C257C"/>
    <w:rsid w:val="000C3A92"/>
    <w:rsid w:val="000C5434"/>
    <w:rsid w:val="000C74FB"/>
    <w:rsid w:val="000D65E1"/>
    <w:rsid w:val="000D7F95"/>
    <w:rsid w:val="000E1C64"/>
    <w:rsid w:val="000E7884"/>
    <w:rsid w:val="000F6836"/>
    <w:rsid w:val="001040D4"/>
    <w:rsid w:val="001048F3"/>
    <w:rsid w:val="001078BB"/>
    <w:rsid w:val="00116CD5"/>
    <w:rsid w:val="00117CA5"/>
    <w:rsid w:val="00133C47"/>
    <w:rsid w:val="00133E3D"/>
    <w:rsid w:val="001376D3"/>
    <w:rsid w:val="0014556E"/>
    <w:rsid w:val="0014601E"/>
    <w:rsid w:val="0015322B"/>
    <w:rsid w:val="0015365E"/>
    <w:rsid w:val="00157A90"/>
    <w:rsid w:val="00164628"/>
    <w:rsid w:val="00167AD4"/>
    <w:rsid w:val="001754DE"/>
    <w:rsid w:val="00180E5A"/>
    <w:rsid w:val="00192711"/>
    <w:rsid w:val="001A47D9"/>
    <w:rsid w:val="001B4BB9"/>
    <w:rsid w:val="001B6B33"/>
    <w:rsid w:val="001C39F6"/>
    <w:rsid w:val="001C3F14"/>
    <w:rsid w:val="001D10ED"/>
    <w:rsid w:val="001D2D09"/>
    <w:rsid w:val="001D67BB"/>
    <w:rsid w:val="001E0E7F"/>
    <w:rsid w:val="001E2932"/>
    <w:rsid w:val="001E3596"/>
    <w:rsid w:val="001E5213"/>
    <w:rsid w:val="001F056F"/>
    <w:rsid w:val="001F2E8E"/>
    <w:rsid w:val="001F552E"/>
    <w:rsid w:val="001F5878"/>
    <w:rsid w:val="00201610"/>
    <w:rsid w:val="002036A1"/>
    <w:rsid w:val="00210A61"/>
    <w:rsid w:val="002134B4"/>
    <w:rsid w:val="002203C9"/>
    <w:rsid w:val="00232B69"/>
    <w:rsid w:val="00234341"/>
    <w:rsid w:val="00237691"/>
    <w:rsid w:val="00242CA0"/>
    <w:rsid w:val="00243432"/>
    <w:rsid w:val="0024438F"/>
    <w:rsid w:val="00247146"/>
    <w:rsid w:val="002517E4"/>
    <w:rsid w:val="002552E0"/>
    <w:rsid w:val="00262716"/>
    <w:rsid w:val="00265753"/>
    <w:rsid w:val="00273D58"/>
    <w:rsid w:val="00277C1F"/>
    <w:rsid w:val="002866AD"/>
    <w:rsid w:val="00286BE3"/>
    <w:rsid w:val="00287ACB"/>
    <w:rsid w:val="00287B7D"/>
    <w:rsid w:val="0029135D"/>
    <w:rsid w:val="00292951"/>
    <w:rsid w:val="00293CD1"/>
    <w:rsid w:val="002A3962"/>
    <w:rsid w:val="002A5972"/>
    <w:rsid w:val="002A6FB5"/>
    <w:rsid w:val="002A776D"/>
    <w:rsid w:val="002A7D7D"/>
    <w:rsid w:val="002B3D3B"/>
    <w:rsid w:val="002B4393"/>
    <w:rsid w:val="002C5AE9"/>
    <w:rsid w:val="002E1DE5"/>
    <w:rsid w:val="002E238B"/>
    <w:rsid w:val="002E4200"/>
    <w:rsid w:val="002E6DF9"/>
    <w:rsid w:val="002E6F9C"/>
    <w:rsid w:val="002F0ECB"/>
    <w:rsid w:val="002F3BB8"/>
    <w:rsid w:val="00304132"/>
    <w:rsid w:val="00304EAD"/>
    <w:rsid w:val="00312124"/>
    <w:rsid w:val="00313820"/>
    <w:rsid w:val="00313AC0"/>
    <w:rsid w:val="00322C1B"/>
    <w:rsid w:val="003235A3"/>
    <w:rsid w:val="0032604B"/>
    <w:rsid w:val="0032649A"/>
    <w:rsid w:val="00332F98"/>
    <w:rsid w:val="0033578D"/>
    <w:rsid w:val="0034118D"/>
    <w:rsid w:val="003430A6"/>
    <w:rsid w:val="003448FC"/>
    <w:rsid w:val="003548D8"/>
    <w:rsid w:val="00363CC2"/>
    <w:rsid w:val="0036728E"/>
    <w:rsid w:val="00370C9A"/>
    <w:rsid w:val="00371EEC"/>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3F5FF4"/>
    <w:rsid w:val="0040056E"/>
    <w:rsid w:val="00400B4D"/>
    <w:rsid w:val="00401F18"/>
    <w:rsid w:val="00403B06"/>
    <w:rsid w:val="004056B7"/>
    <w:rsid w:val="004073A2"/>
    <w:rsid w:val="00410AC8"/>
    <w:rsid w:val="00414664"/>
    <w:rsid w:val="004172C1"/>
    <w:rsid w:val="0042042B"/>
    <w:rsid w:val="00423E3A"/>
    <w:rsid w:val="004328D9"/>
    <w:rsid w:val="00435E05"/>
    <w:rsid w:val="0043771F"/>
    <w:rsid w:val="00442410"/>
    <w:rsid w:val="00443460"/>
    <w:rsid w:val="0044773C"/>
    <w:rsid w:val="00461B8A"/>
    <w:rsid w:val="004672B5"/>
    <w:rsid w:val="00471037"/>
    <w:rsid w:val="00476912"/>
    <w:rsid w:val="004821A1"/>
    <w:rsid w:val="004844D1"/>
    <w:rsid w:val="0048559D"/>
    <w:rsid w:val="0049001D"/>
    <w:rsid w:val="00494A93"/>
    <w:rsid w:val="00494D75"/>
    <w:rsid w:val="004A1073"/>
    <w:rsid w:val="004A1763"/>
    <w:rsid w:val="004B1E83"/>
    <w:rsid w:val="004B475C"/>
    <w:rsid w:val="004C1C37"/>
    <w:rsid w:val="004C76C1"/>
    <w:rsid w:val="004D1C78"/>
    <w:rsid w:val="004D441E"/>
    <w:rsid w:val="004D46D1"/>
    <w:rsid w:val="004D7DCE"/>
    <w:rsid w:val="004E1D9E"/>
    <w:rsid w:val="004E5B39"/>
    <w:rsid w:val="004F08E0"/>
    <w:rsid w:val="004F7C76"/>
    <w:rsid w:val="00501A15"/>
    <w:rsid w:val="005164DC"/>
    <w:rsid w:val="00522B8D"/>
    <w:rsid w:val="00524782"/>
    <w:rsid w:val="00524D52"/>
    <w:rsid w:val="0052585C"/>
    <w:rsid w:val="00530EBD"/>
    <w:rsid w:val="00534B51"/>
    <w:rsid w:val="005528AF"/>
    <w:rsid w:val="00553E81"/>
    <w:rsid w:val="005622FE"/>
    <w:rsid w:val="00567912"/>
    <w:rsid w:val="00570098"/>
    <w:rsid w:val="005805E7"/>
    <w:rsid w:val="005825A4"/>
    <w:rsid w:val="00583F5D"/>
    <w:rsid w:val="0058424C"/>
    <w:rsid w:val="00584F8D"/>
    <w:rsid w:val="005A0350"/>
    <w:rsid w:val="005A7D9E"/>
    <w:rsid w:val="005B01EA"/>
    <w:rsid w:val="005B2697"/>
    <w:rsid w:val="005B5990"/>
    <w:rsid w:val="005B7487"/>
    <w:rsid w:val="005C6147"/>
    <w:rsid w:val="005D5F8C"/>
    <w:rsid w:val="005E5148"/>
    <w:rsid w:val="005E71FF"/>
    <w:rsid w:val="005E7942"/>
    <w:rsid w:val="0060114B"/>
    <w:rsid w:val="00603D4A"/>
    <w:rsid w:val="00611DE2"/>
    <w:rsid w:val="00613B30"/>
    <w:rsid w:val="00614A1C"/>
    <w:rsid w:val="006227B3"/>
    <w:rsid w:val="0062591C"/>
    <w:rsid w:val="00627B1F"/>
    <w:rsid w:val="00630B76"/>
    <w:rsid w:val="00642220"/>
    <w:rsid w:val="00642BF5"/>
    <w:rsid w:val="0065148D"/>
    <w:rsid w:val="00652ED1"/>
    <w:rsid w:val="006626FF"/>
    <w:rsid w:val="00662A18"/>
    <w:rsid w:val="006630D2"/>
    <w:rsid w:val="006636D3"/>
    <w:rsid w:val="006650A8"/>
    <w:rsid w:val="006740AF"/>
    <w:rsid w:val="0067772C"/>
    <w:rsid w:val="00683A96"/>
    <w:rsid w:val="00685435"/>
    <w:rsid w:val="00685658"/>
    <w:rsid w:val="00687746"/>
    <w:rsid w:val="00690F56"/>
    <w:rsid w:val="006941BE"/>
    <w:rsid w:val="006961B7"/>
    <w:rsid w:val="006A4637"/>
    <w:rsid w:val="006A5029"/>
    <w:rsid w:val="006B6961"/>
    <w:rsid w:val="006C39F8"/>
    <w:rsid w:val="006E0714"/>
    <w:rsid w:val="006E1A08"/>
    <w:rsid w:val="006E4433"/>
    <w:rsid w:val="006E54FE"/>
    <w:rsid w:val="006E604F"/>
    <w:rsid w:val="006E63C6"/>
    <w:rsid w:val="006F2132"/>
    <w:rsid w:val="006F66F9"/>
    <w:rsid w:val="006F6E13"/>
    <w:rsid w:val="00700AF3"/>
    <w:rsid w:val="007010C5"/>
    <w:rsid w:val="007011F1"/>
    <w:rsid w:val="00707835"/>
    <w:rsid w:val="0071190D"/>
    <w:rsid w:val="007127A1"/>
    <w:rsid w:val="00713ACE"/>
    <w:rsid w:val="00715F82"/>
    <w:rsid w:val="0071749C"/>
    <w:rsid w:val="00721E05"/>
    <w:rsid w:val="00740CF0"/>
    <w:rsid w:val="007412B6"/>
    <w:rsid w:val="00753389"/>
    <w:rsid w:val="00755761"/>
    <w:rsid w:val="007636EC"/>
    <w:rsid w:val="00767D37"/>
    <w:rsid w:val="00771DDE"/>
    <w:rsid w:val="00774503"/>
    <w:rsid w:val="007754A0"/>
    <w:rsid w:val="00777CD2"/>
    <w:rsid w:val="00780272"/>
    <w:rsid w:val="0078038F"/>
    <w:rsid w:val="0078153B"/>
    <w:rsid w:val="00785FE9"/>
    <w:rsid w:val="00786E04"/>
    <w:rsid w:val="007A7F79"/>
    <w:rsid w:val="007A7FD3"/>
    <w:rsid w:val="007B5BAA"/>
    <w:rsid w:val="007C0AB9"/>
    <w:rsid w:val="007C124D"/>
    <w:rsid w:val="007D345C"/>
    <w:rsid w:val="007D46C2"/>
    <w:rsid w:val="007E3065"/>
    <w:rsid w:val="007F3B38"/>
    <w:rsid w:val="007F3C02"/>
    <w:rsid w:val="00802605"/>
    <w:rsid w:val="00802A30"/>
    <w:rsid w:val="008043E5"/>
    <w:rsid w:val="00804A1A"/>
    <w:rsid w:val="00806FDE"/>
    <w:rsid w:val="0081073D"/>
    <w:rsid w:val="00813CC0"/>
    <w:rsid w:val="008323ED"/>
    <w:rsid w:val="0083435F"/>
    <w:rsid w:val="00835955"/>
    <w:rsid w:val="008366F3"/>
    <w:rsid w:val="00846701"/>
    <w:rsid w:val="008477E0"/>
    <w:rsid w:val="008556E6"/>
    <w:rsid w:val="008624D5"/>
    <w:rsid w:val="00871CA6"/>
    <w:rsid w:val="00875D38"/>
    <w:rsid w:val="00882AB5"/>
    <w:rsid w:val="00882B1D"/>
    <w:rsid w:val="0088672C"/>
    <w:rsid w:val="00895C78"/>
    <w:rsid w:val="008A0CAA"/>
    <w:rsid w:val="008A1F0C"/>
    <w:rsid w:val="008A40D1"/>
    <w:rsid w:val="008B3128"/>
    <w:rsid w:val="008B541B"/>
    <w:rsid w:val="008C1976"/>
    <w:rsid w:val="008C363B"/>
    <w:rsid w:val="008C656B"/>
    <w:rsid w:val="008E0A40"/>
    <w:rsid w:val="008E2A66"/>
    <w:rsid w:val="008E63D0"/>
    <w:rsid w:val="008F0EDD"/>
    <w:rsid w:val="00901003"/>
    <w:rsid w:val="0090158E"/>
    <w:rsid w:val="00901EF6"/>
    <w:rsid w:val="0090413E"/>
    <w:rsid w:val="00923253"/>
    <w:rsid w:val="00923B37"/>
    <w:rsid w:val="009271B1"/>
    <w:rsid w:val="0093485F"/>
    <w:rsid w:val="009407FC"/>
    <w:rsid w:val="00940B25"/>
    <w:rsid w:val="009441E2"/>
    <w:rsid w:val="00951841"/>
    <w:rsid w:val="00956388"/>
    <w:rsid w:val="00963680"/>
    <w:rsid w:val="00964D3F"/>
    <w:rsid w:val="009700D9"/>
    <w:rsid w:val="00983CA7"/>
    <w:rsid w:val="00985369"/>
    <w:rsid w:val="00985C15"/>
    <w:rsid w:val="00996A5D"/>
    <w:rsid w:val="009A3562"/>
    <w:rsid w:val="009A45A3"/>
    <w:rsid w:val="009A6DCA"/>
    <w:rsid w:val="009B00FD"/>
    <w:rsid w:val="009B38D1"/>
    <w:rsid w:val="009B4116"/>
    <w:rsid w:val="009B689F"/>
    <w:rsid w:val="009B6955"/>
    <w:rsid w:val="009C2A10"/>
    <w:rsid w:val="009D0BBA"/>
    <w:rsid w:val="009D1EA2"/>
    <w:rsid w:val="009E0141"/>
    <w:rsid w:val="009E234B"/>
    <w:rsid w:val="009F52F3"/>
    <w:rsid w:val="00A03C39"/>
    <w:rsid w:val="00A0615D"/>
    <w:rsid w:val="00A07F08"/>
    <w:rsid w:val="00A10441"/>
    <w:rsid w:val="00A15094"/>
    <w:rsid w:val="00A217C3"/>
    <w:rsid w:val="00A21F98"/>
    <w:rsid w:val="00A2391E"/>
    <w:rsid w:val="00A33AAC"/>
    <w:rsid w:val="00A378C6"/>
    <w:rsid w:val="00A41C21"/>
    <w:rsid w:val="00A47DA7"/>
    <w:rsid w:val="00A50BD4"/>
    <w:rsid w:val="00A52DE7"/>
    <w:rsid w:val="00A55023"/>
    <w:rsid w:val="00A56B86"/>
    <w:rsid w:val="00A62D76"/>
    <w:rsid w:val="00A632EF"/>
    <w:rsid w:val="00A677E9"/>
    <w:rsid w:val="00A740AB"/>
    <w:rsid w:val="00A834BF"/>
    <w:rsid w:val="00A90769"/>
    <w:rsid w:val="00A973AA"/>
    <w:rsid w:val="00AA177A"/>
    <w:rsid w:val="00AA418C"/>
    <w:rsid w:val="00AB172F"/>
    <w:rsid w:val="00AB4DC3"/>
    <w:rsid w:val="00AC775D"/>
    <w:rsid w:val="00AD022F"/>
    <w:rsid w:val="00AD113F"/>
    <w:rsid w:val="00AD75AC"/>
    <w:rsid w:val="00AE0885"/>
    <w:rsid w:val="00AE0D00"/>
    <w:rsid w:val="00AF1EDA"/>
    <w:rsid w:val="00AF2C11"/>
    <w:rsid w:val="00AF3788"/>
    <w:rsid w:val="00AF5262"/>
    <w:rsid w:val="00AF7928"/>
    <w:rsid w:val="00B13844"/>
    <w:rsid w:val="00B17110"/>
    <w:rsid w:val="00B26E3E"/>
    <w:rsid w:val="00B32584"/>
    <w:rsid w:val="00B35DAD"/>
    <w:rsid w:val="00B417B3"/>
    <w:rsid w:val="00B42369"/>
    <w:rsid w:val="00B47443"/>
    <w:rsid w:val="00B5043F"/>
    <w:rsid w:val="00B5377A"/>
    <w:rsid w:val="00B6181C"/>
    <w:rsid w:val="00B64496"/>
    <w:rsid w:val="00B66231"/>
    <w:rsid w:val="00B674DE"/>
    <w:rsid w:val="00B67A3F"/>
    <w:rsid w:val="00B73C91"/>
    <w:rsid w:val="00B93110"/>
    <w:rsid w:val="00B9439C"/>
    <w:rsid w:val="00B96E43"/>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12BD"/>
    <w:rsid w:val="00C4763A"/>
    <w:rsid w:val="00C63D1E"/>
    <w:rsid w:val="00C667F3"/>
    <w:rsid w:val="00C712D2"/>
    <w:rsid w:val="00C767C0"/>
    <w:rsid w:val="00C77B5C"/>
    <w:rsid w:val="00C824C6"/>
    <w:rsid w:val="00C8275F"/>
    <w:rsid w:val="00C87068"/>
    <w:rsid w:val="00C9162F"/>
    <w:rsid w:val="00C91CF5"/>
    <w:rsid w:val="00C939B5"/>
    <w:rsid w:val="00C955C4"/>
    <w:rsid w:val="00CA2F0A"/>
    <w:rsid w:val="00CB1ECE"/>
    <w:rsid w:val="00CB3579"/>
    <w:rsid w:val="00CB5C31"/>
    <w:rsid w:val="00CC0731"/>
    <w:rsid w:val="00CC1B60"/>
    <w:rsid w:val="00CC770C"/>
    <w:rsid w:val="00CD02B1"/>
    <w:rsid w:val="00CD215D"/>
    <w:rsid w:val="00CD4F92"/>
    <w:rsid w:val="00CD6628"/>
    <w:rsid w:val="00CE031C"/>
    <w:rsid w:val="00CE0B32"/>
    <w:rsid w:val="00CE5D47"/>
    <w:rsid w:val="00D00B48"/>
    <w:rsid w:val="00D14E6A"/>
    <w:rsid w:val="00D2331B"/>
    <w:rsid w:val="00D36BB6"/>
    <w:rsid w:val="00D41211"/>
    <w:rsid w:val="00D472BE"/>
    <w:rsid w:val="00D52F65"/>
    <w:rsid w:val="00D53DEB"/>
    <w:rsid w:val="00D558A9"/>
    <w:rsid w:val="00D57DE8"/>
    <w:rsid w:val="00D661B5"/>
    <w:rsid w:val="00D667CE"/>
    <w:rsid w:val="00D735B0"/>
    <w:rsid w:val="00D73AAD"/>
    <w:rsid w:val="00D75842"/>
    <w:rsid w:val="00D802D6"/>
    <w:rsid w:val="00D86A15"/>
    <w:rsid w:val="00D86FF7"/>
    <w:rsid w:val="00D8765A"/>
    <w:rsid w:val="00DA7DC9"/>
    <w:rsid w:val="00DB7B7C"/>
    <w:rsid w:val="00DD34F6"/>
    <w:rsid w:val="00DD6DF0"/>
    <w:rsid w:val="00DF0A8F"/>
    <w:rsid w:val="00DF1363"/>
    <w:rsid w:val="00E0031C"/>
    <w:rsid w:val="00E0138A"/>
    <w:rsid w:val="00E06430"/>
    <w:rsid w:val="00E13DE5"/>
    <w:rsid w:val="00E163CF"/>
    <w:rsid w:val="00E20D5B"/>
    <w:rsid w:val="00E221AF"/>
    <w:rsid w:val="00E22463"/>
    <w:rsid w:val="00E23871"/>
    <w:rsid w:val="00E3018F"/>
    <w:rsid w:val="00E322E9"/>
    <w:rsid w:val="00E400EA"/>
    <w:rsid w:val="00E441BB"/>
    <w:rsid w:val="00E46EE5"/>
    <w:rsid w:val="00E50915"/>
    <w:rsid w:val="00E57D9F"/>
    <w:rsid w:val="00E57F5E"/>
    <w:rsid w:val="00E60FB0"/>
    <w:rsid w:val="00E614A1"/>
    <w:rsid w:val="00E674A9"/>
    <w:rsid w:val="00E700AD"/>
    <w:rsid w:val="00E74ABD"/>
    <w:rsid w:val="00E81C88"/>
    <w:rsid w:val="00E829F2"/>
    <w:rsid w:val="00E83023"/>
    <w:rsid w:val="00E83271"/>
    <w:rsid w:val="00E833E4"/>
    <w:rsid w:val="00E852C3"/>
    <w:rsid w:val="00E86973"/>
    <w:rsid w:val="00E87122"/>
    <w:rsid w:val="00E909D5"/>
    <w:rsid w:val="00E92EED"/>
    <w:rsid w:val="00E93A0F"/>
    <w:rsid w:val="00EA3E66"/>
    <w:rsid w:val="00EA4ED4"/>
    <w:rsid w:val="00EB2123"/>
    <w:rsid w:val="00EB234B"/>
    <w:rsid w:val="00EC0B43"/>
    <w:rsid w:val="00EC4383"/>
    <w:rsid w:val="00EC5D7E"/>
    <w:rsid w:val="00ED49C1"/>
    <w:rsid w:val="00EE2223"/>
    <w:rsid w:val="00EE41DA"/>
    <w:rsid w:val="00EF0244"/>
    <w:rsid w:val="00EF5392"/>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529B"/>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eadiversion.usdoj.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7F332-141A-444A-9B6C-7DB79B486288}">
  <ds:schemaRefs>
    <ds:schemaRef ds:uri="http://schemas.openxmlformats.org/officeDocument/2006/bibliography"/>
  </ds:schemaRefs>
</ds:datastoreItem>
</file>

<file path=customXml/itemProps2.xml><?xml version="1.0" encoding="utf-8"?>
<ds:datastoreItem xmlns:ds="http://schemas.openxmlformats.org/officeDocument/2006/customXml" ds:itemID="{2451E19B-ABE3-455D-98E9-C536440A15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12D481-DB4D-41FD-8966-6D235F4F8402}">
  <ds:schemaRefs>
    <ds:schemaRef ds:uri="http://schemas.microsoft.com/sharepoint/v3/contenttype/forms"/>
  </ds:schemaRefs>
</ds:datastoreItem>
</file>

<file path=customXml/itemProps4.xml><?xml version="1.0" encoding="utf-8"?>
<ds:datastoreItem xmlns:ds="http://schemas.openxmlformats.org/officeDocument/2006/customXml" ds:itemID="{1CC5E0E6-A2A4-49A1-A5E2-DC23717DB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62</TotalTime>
  <Pages>5</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Frye, Christa</cp:lastModifiedBy>
  <cp:revision>12</cp:revision>
  <cp:lastPrinted>2020-02-19T15:46:00Z</cp:lastPrinted>
  <dcterms:created xsi:type="dcterms:W3CDTF">2025-01-07T17:43:00Z</dcterms:created>
  <dcterms:modified xsi:type="dcterms:W3CDTF">2025-01-08T13:35:00Z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