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E86973" w14:paraId="7E97B93F" w14:textId="6498E115">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082FE0" w:rsidP="00082FE0" w14:paraId="2C138110" w14:textId="77777777">
      <w:pPr>
        <w:widowControl/>
        <w:jc w:val="center"/>
        <w:rPr>
          <w:rFonts w:ascii="Times New Roman" w:hAnsi="Times New Roman"/>
          <w:b/>
          <w:bCs/>
        </w:rPr>
      </w:pPr>
      <w:bookmarkStart w:id="0" w:name="OLE_LINK1"/>
      <w:r>
        <w:rPr>
          <w:rFonts w:ascii="Times New Roman" w:hAnsi="Times New Roman"/>
          <w:b/>
          <w:bCs/>
        </w:rPr>
        <w:t>Reporting and Recordkeeping for Digital Certificates</w:t>
      </w:r>
      <w:bookmarkEnd w:id="0"/>
    </w:p>
    <w:p w:rsidR="00082FE0" w:rsidP="00082FE0" w14:paraId="1408D358" w14:textId="77777777">
      <w:pPr>
        <w:widowControl/>
        <w:jc w:val="center"/>
        <w:rPr>
          <w:rFonts w:ascii="Times New Roman" w:hAnsi="Times New Roman"/>
          <w:bCs/>
        </w:rPr>
      </w:pPr>
    </w:p>
    <w:p w:rsidR="004763FD" w:rsidP="009C6480" w14:paraId="573745BF" w14:textId="0D6F1D5A">
      <w:pPr>
        <w:widowControl/>
        <w:rPr>
          <w:rFonts w:ascii="Times New Roman" w:hAnsi="Times New Roman"/>
          <w:b/>
          <w:bCs/>
        </w:rPr>
      </w:pPr>
      <w:r>
        <w:rPr>
          <w:rFonts w:ascii="Times New Roman" w:hAnsi="Times New Roman"/>
          <w:bCs/>
        </w:rPr>
        <w:t>The Drug Enforcement Administration (hereinafter, “DEA”) seeks approval by the Office of Management and Budget (hereinafter, “OMB”) for an existing collection of information</w:t>
      </w:r>
      <w:r w:rsidR="00964F91">
        <w:rPr>
          <w:rFonts w:ascii="Times New Roman" w:hAnsi="Times New Roman"/>
          <w:bCs/>
        </w:rPr>
        <w:t xml:space="preserve"> that was previously approved by OMB – OMB Approval number 1117-0038, Reporting and Recordkeeping for Digital Certificates</w:t>
      </w:r>
      <w:r w:rsidR="00EF6692">
        <w:rPr>
          <w:rFonts w:ascii="Times New Roman" w:hAnsi="Times New Roman"/>
          <w:bCs/>
        </w:rPr>
        <w:t>.</w:t>
      </w:r>
      <w:r w:rsidR="00082FE0">
        <w:rPr>
          <w:rFonts w:ascii="Times New Roman" w:hAnsi="Times New Roman"/>
          <w:bCs/>
        </w:rPr>
        <w:t xml:space="preserve"> </w:t>
      </w:r>
    </w:p>
    <w:p w:rsidR="004763FD" w:rsidRPr="00A47DA7" w:rsidP="00690F56" w14:paraId="659217C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B85AE7" w:rsidP="00FA0DE3" w14:paraId="625F0B28" w14:textId="672E98A9"/>
    <w:p w:rsidR="00FA0DE3" w:rsidRPr="00851E59" w:rsidP="009C6480" w14:paraId="01A38468" w14:textId="4C03915A">
      <w:pPr>
        <w:pStyle w:val="ListParagraph"/>
        <w:numPr>
          <w:ilvl w:val="0"/>
          <w:numId w:val="17"/>
        </w:numPr>
      </w:pPr>
      <w:r w:rsidRPr="009C6480">
        <w:rPr>
          <w:rFonts w:ascii="Times New Roman" w:hAnsi="Times New Roman"/>
        </w:rPr>
        <w:t>The Controlled Substances Act (</w:t>
      </w:r>
      <w:r w:rsidRPr="009C6480" w:rsidR="001B3AA9">
        <w:rPr>
          <w:rFonts w:ascii="Times New Roman" w:hAnsi="Times New Roman"/>
        </w:rPr>
        <w:t>hereinafter, “</w:t>
      </w:r>
      <w:r w:rsidRPr="009C6480">
        <w:rPr>
          <w:rFonts w:ascii="Times New Roman" w:hAnsi="Times New Roman"/>
        </w:rPr>
        <w:t>CSA</w:t>
      </w:r>
      <w:r w:rsidRPr="009C6480" w:rsidR="001B3AA9">
        <w:rPr>
          <w:rFonts w:ascii="Times New Roman" w:hAnsi="Times New Roman"/>
        </w:rPr>
        <w:t>”</w:t>
      </w:r>
      <w:r w:rsidRPr="009C6480">
        <w:rPr>
          <w:rFonts w:ascii="Times New Roman" w:hAnsi="Times New Roman"/>
        </w:rPr>
        <w:t>)</w:t>
      </w:r>
      <w:r w:rsidRPr="009C6480" w:rsidR="001B3AA9">
        <w:rPr>
          <w:rFonts w:ascii="Times New Roman" w:hAnsi="Times New Roman"/>
        </w:rPr>
        <w:t xml:space="preserve"> grants the </w:t>
      </w:r>
      <w:r w:rsidRPr="009C6480" w:rsidR="00AF6F55">
        <w:rPr>
          <w:rFonts w:ascii="Times New Roman" w:hAnsi="Times New Roman"/>
        </w:rPr>
        <w:t xml:space="preserve">Attorney General </w:t>
      </w:r>
      <w:r w:rsidRPr="009C6480" w:rsidR="00233AF8">
        <w:rPr>
          <w:rFonts w:ascii="Times New Roman" w:hAnsi="Times New Roman"/>
        </w:rPr>
        <w:t xml:space="preserve">authority to promulgate rules and regulations relating </w:t>
      </w:r>
      <w:r w:rsidRPr="009C6480" w:rsidR="00233AF8">
        <w:rPr>
          <w:rFonts w:ascii="Times New Roman" w:hAnsi="Times New Roman"/>
        </w:rPr>
        <w:t>to:</w:t>
      </w:r>
      <w:r w:rsidRPr="009C6480" w:rsidR="00233AF8">
        <w:rPr>
          <w:rFonts w:ascii="Times New Roman" w:hAnsi="Times New Roman"/>
        </w:rPr>
        <w:t xml:space="preserve"> the registration and control of manufacture, distribution, and dispensing of controlled substances and listed chemicals; reporting changes to professional or business addresses; and the efficient execution of his statutory functions. </w:t>
      </w:r>
      <w:r w:rsidRPr="009C6480" w:rsidR="00E618D1">
        <w:rPr>
          <w:rFonts w:ascii="Times New Roman" w:hAnsi="Times New Roman"/>
        </w:rPr>
        <w:t xml:space="preserve">21 U.S.C. 821, 822(a), 827(h), 871(b), 957(a). </w:t>
      </w:r>
      <w:r w:rsidRPr="009C6480" w:rsidR="00036D27">
        <w:rPr>
          <w:rFonts w:ascii="Times New Roman" w:hAnsi="Times New Roman"/>
        </w:rPr>
        <w:t>Under 21 U.S.C.</w:t>
      </w:r>
      <w:r w:rsidRPr="009C6480" w:rsidR="00E618D1">
        <w:rPr>
          <w:rFonts w:ascii="Times New Roman" w:hAnsi="Times New Roman"/>
        </w:rPr>
        <w:t xml:space="preserve"> 828, </w:t>
      </w:r>
      <w:r w:rsidRPr="009C6480" w:rsidR="00FF045B">
        <w:rPr>
          <w:rFonts w:ascii="Times New Roman" w:hAnsi="Times New Roman"/>
        </w:rPr>
        <w:t xml:space="preserve">a person may distribute a schedule I and II controlled substance pursuant to an order made on a DEA-provided form. </w:t>
      </w:r>
      <w:r w:rsidRPr="009C6480" w:rsidR="00851E59">
        <w:rPr>
          <w:rFonts w:ascii="Times New Roman" w:hAnsi="Times New Roman"/>
        </w:rPr>
        <w:t xml:space="preserve">The Attorney General will issue forms pursuant to subsections (a) and (c)(2) of 21 U.S.C. 828 only to persons validly registered under section 823 or exempted under section 822(d). </w:t>
      </w:r>
    </w:p>
    <w:p w:rsidR="00851E59" w:rsidP="00851E59" w14:paraId="46863F0C" w14:textId="272D7CFD">
      <w:pPr>
        <w:pStyle w:val="ListParagraph"/>
      </w:pPr>
    </w:p>
    <w:p w:rsidR="00690F56" w:rsidP="003502DB" w14:paraId="2BBF8E2F" w14:textId="53A062D3">
      <w:pPr>
        <w:pStyle w:val="ListParagraph"/>
      </w:pPr>
      <w:r>
        <w:rPr>
          <w:rFonts w:ascii="Times New Roman" w:hAnsi="Times New Roman"/>
        </w:rPr>
        <w:t xml:space="preserve">The current CSOS regulations are found in 21 CFR </w:t>
      </w:r>
      <w:r w:rsidR="00612EFD">
        <w:rPr>
          <w:rFonts w:ascii="Times New Roman" w:hAnsi="Times New Roman"/>
        </w:rPr>
        <w:t>sections 1305 and 1311. DEA registrants use CSOS to track schedule I and II controlled substance orders. The system allows for orders to be placed through</w:t>
      </w:r>
      <w:r w:rsidR="005A1570">
        <w:rPr>
          <w:rFonts w:ascii="Times New Roman" w:hAnsi="Times New Roman"/>
        </w:rPr>
        <w:t xml:space="preserve"> a</w:t>
      </w:r>
      <w:r w:rsidR="00612EFD">
        <w:rPr>
          <w:rFonts w:ascii="Times New Roman" w:hAnsi="Times New Roman"/>
        </w:rPr>
        <w:t xml:space="preserve"> secure </w:t>
      </w:r>
      <w:r w:rsidR="00CE038A">
        <w:rPr>
          <w:rFonts w:ascii="Times New Roman" w:hAnsi="Times New Roman"/>
        </w:rPr>
        <w:t xml:space="preserve">electronic system, which uses Public Key Infrastructure. </w:t>
      </w:r>
      <w:r w:rsidR="001762ED">
        <w:rPr>
          <w:rFonts w:ascii="Times New Roman" w:hAnsi="Times New Roman"/>
        </w:rPr>
        <w:t xml:space="preserve">The secure CSOS system allows for the controlled substance orders to be submitted without the need for a paper DEA form 222. </w:t>
      </w:r>
      <w:r w:rsidR="008945D9">
        <w:rPr>
          <w:rFonts w:ascii="Times New Roman" w:hAnsi="Times New Roman"/>
        </w:rPr>
        <w:t xml:space="preserve">Each individual </w:t>
      </w:r>
      <w:r w:rsidR="00A94E02">
        <w:rPr>
          <w:rFonts w:ascii="Times New Roman" w:hAnsi="Times New Roman"/>
        </w:rPr>
        <w:t xml:space="preserve">supplier and purchaser </w:t>
      </w:r>
      <w:r w:rsidR="00137539">
        <w:rPr>
          <w:rFonts w:ascii="Times New Roman" w:hAnsi="Times New Roman"/>
        </w:rPr>
        <w:t xml:space="preserve">enroll with DEA to acquire a CSOS digital certificate. </w:t>
      </w:r>
      <w:r w:rsidR="004443E1">
        <w:rPr>
          <w:rFonts w:ascii="Times New Roman" w:hAnsi="Times New Roman"/>
        </w:rPr>
        <w:t xml:space="preserve">Once the applicant agrees to the CSOS User Agreement the applicant can then apply for one of the three system user roles, including: registrant, coordinator, or </w:t>
      </w:r>
      <w:r w:rsidR="0031056B">
        <w:rPr>
          <w:rFonts w:ascii="Times New Roman" w:hAnsi="Times New Roman"/>
        </w:rPr>
        <w:t>P</w:t>
      </w:r>
      <w:r w:rsidR="004443E1">
        <w:rPr>
          <w:rFonts w:ascii="Times New Roman" w:hAnsi="Times New Roman"/>
        </w:rPr>
        <w:t xml:space="preserve">ower of </w:t>
      </w:r>
      <w:r w:rsidR="0031056B">
        <w:rPr>
          <w:rFonts w:ascii="Times New Roman" w:hAnsi="Times New Roman"/>
        </w:rPr>
        <w:t>A</w:t>
      </w:r>
      <w:r w:rsidR="004443E1">
        <w:rPr>
          <w:rFonts w:ascii="Times New Roman" w:hAnsi="Times New Roman"/>
        </w:rPr>
        <w:t xml:space="preserve">ttorney. </w:t>
      </w:r>
      <w:r w:rsidR="00FF2B30">
        <w:rPr>
          <w:rFonts w:ascii="Times New Roman" w:hAnsi="Times New Roman"/>
        </w:rPr>
        <w:t>Th</w:t>
      </w:r>
      <w:r w:rsidR="002A210E">
        <w:rPr>
          <w:rFonts w:ascii="Times New Roman" w:hAnsi="Times New Roman"/>
        </w:rPr>
        <w:t>e</w:t>
      </w:r>
      <w:r w:rsidR="00FF2B30">
        <w:rPr>
          <w:rFonts w:ascii="Times New Roman" w:hAnsi="Times New Roman"/>
        </w:rPr>
        <w:t xml:space="preserve"> proposed amendment to 21 CFR section 1311.25 eliminates the manual paper process and requires all registrants or authorized representatives with a power of attorney to enroll using the secure online portal. </w:t>
      </w:r>
      <w:r w:rsidR="00E81CEB">
        <w:rPr>
          <w:rFonts w:ascii="Times New Roman" w:hAnsi="Times New Roman"/>
        </w:rPr>
        <w:t xml:space="preserve">The proposal revises </w:t>
      </w:r>
      <w:r w:rsidR="00FF2B30">
        <w:rPr>
          <w:rFonts w:ascii="Times New Roman" w:hAnsi="Times New Roman"/>
        </w:rPr>
        <w:t xml:space="preserve">21 CFR 1311.25 </w:t>
      </w:r>
      <w:r w:rsidR="00E81CEB">
        <w:rPr>
          <w:rFonts w:ascii="Times New Roman" w:hAnsi="Times New Roman"/>
        </w:rPr>
        <w:t>so that a registrant, coordinator</w:t>
      </w:r>
      <w:r w:rsidR="0031056B">
        <w:rPr>
          <w:rFonts w:ascii="Times New Roman" w:hAnsi="Times New Roman"/>
        </w:rPr>
        <w:t>,</w:t>
      </w:r>
      <w:r w:rsidR="00E81CEB">
        <w:rPr>
          <w:rFonts w:ascii="Times New Roman" w:hAnsi="Times New Roman"/>
        </w:rPr>
        <w:t xml:space="preserve"> or person with </w:t>
      </w:r>
      <w:r w:rsidR="0031056B">
        <w:rPr>
          <w:rFonts w:ascii="Times New Roman" w:hAnsi="Times New Roman"/>
        </w:rPr>
        <w:t>P</w:t>
      </w:r>
      <w:r w:rsidR="00E81CEB">
        <w:rPr>
          <w:rFonts w:ascii="Times New Roman" w:hAnsi="Times New Roman"/>
        </w:rPr>
        <w:t xml:space="preserve">ower of </w:t>
      </w:r>
      <w:r w:rsidR="0031056B">
        <w:rPr>
          <w:rFonts w:ascii="Times New Roman" w:hAnsi="Times New Roman"/>
        </w:rPr>
        <w:t>A</w:t>
      </w:r>
      <w:r w:rsidR="00E81CEB">
        <w:rPr>
          <w:rFonts w:ascii="Times New Roman" w:hAnsi="Times New Roman"/>
        </w:rPr>
        <w:t>ttorney authorized to obtain a certificate for signing electronic orders for controlled substances for a registrant</w:t>
      </w:r>
      <w:r w:rsidR="0031056B">
        <w:rPr>
          <w:rFonts w:ascii="Times New Roman" w:hAnsi="Times New Roman"/>
        </w:rPr>
        <w:t>,</w:t>
      </w:r>
      <w:r w:rsidR="00E81CEB">
        <w:rPr>
          <w:rFonts w:ascii="Times New Roman" w:hAnsi="Times New Roman"/>
        </w:rPr>
        <w:t xml:space="preserve"> must complete the online enrollment by: completing the online identification proofing process, providing a current listing of DEA registrations which the individual has authority to sign, uploading all power of attorney forms, and acknowledg</w:t>
      </w:r>
      <w:r w:rsidR="006E41D4">
        <w:rPr>
          <w:rFonts w:ascii="Times New Roman" w:hAnsi="Times New Roman"/>
        </w:rPr>
        <w:t>ing</w:t>
      </w:r>
      <w:r w:rsidR="00E81CEB">
        <w:rPr>
          <w:rFonts w:ascii="Times New Roman" w:hAnsi="Times New Roman"/>
        </w:rPr>
        <w:t xml:space="preserve"> </w:t>
      </w:r>
      <w:r w:rsidR="006E41D4">
        <w:rPr>
          <w:rFonts w:ascii="Times New Roman" w:hAnsi="Times New Roman"/>
        </w:rPr>
        <w:t xml:space="preserve">the </w:t>
      </w:r>
      <w:r w:rsidR="00E81CEB">
        <w:rPr>
          <w:rFonts w:ascii="Times New Roman" w:hAnsi="Times New Roman"/>
        </w:rPr>
        <w:t xml:space="preserve">subscriber agreement and terms. </w:t>
      </w:r>
    </w:p>
    <w:p w:rsidR="00C25E66" w:rsidP="00690F56" w14:paraId="5EFBC942" w14:textId="77777777">
      <w:pPr>
        <w:widowControl/>
        <w:rPr>
          <w:rFonts w:ascii="Times New Roman" w:hAnsi="Times New Roman"/>
          <w:b/>
          <w:bCs/>
        </w:rPr>
      </w:pPr>
    </w:p>
    <w:p w:rsidR="00690F56" w:rsidRPr="009C6480" w:rsidP="009C6480" w14:paraId="6EBE63D5" w14:textId="6BBFFE02">
      <w:pPr>
        <w:pStyle w:val="ListParagraph"/>
        <w:widowControl/>
        <w:numPr>
          <w:ilvl w:val="0"/>
          <w:numId w:val="17"/>
        </w:numPr>
        <w:rPr>
          <w:rFonts w:ascii="Times New Roman" w:hAnsi="Times New Roman"/>
        </w:rPr>
      </w:pPr>
      <w:r w:rsidRPr="009C6480">
        <w:rPr>
          <w:rFonts w:ascii="Times New Roman" w:hAnsi="Times New Roman"/>
        </w:rPr>
        <w:t xml:space="preserve">DEA Registrants use CSOS as a secure system to track schedule I and II controlled substance orders. </w:t>
      </w:r>
      <w:r w:rsidRPr="009C6480" w:rsidR="00B07E92">
        <w:rPr>
          <w:rFonts w:ascii="Times New Roman" w:hAnsi="Times New Roman"/>
        </w:rPr>
        <w:t xml:space="preserve">Currently, </w:t>
      </w:r>
      <w:r w:rsidRPr="009C6480" w:rsidR="00E737F8">
        <w:rPr>
          <w:rFonts w:ascii="Times New Roman" w:hAnsi="Times New Roman"/>
        </w:rPr>
        <w:t xml:space="preserve">registrants </w:t>
      </w:r>
      <w:r w:rsidRPr="009C6480" w:rsidR="00990368">
        <w:rPr>
          <w:rFonts w:ascii="Times New Roman" w:hAnsi="Times New Roman"/>
        </w:rPr>
        <w:t xml:space="preserve">who wish to participate in CSOS </w:t>
      </w:r>
      <w:r w:rsidRPr="009C6480" w:rsidR="00990368">
        <w:rPr>
          <w:rFonts w:ascii="Times New Roman" w:hAnsi="Times New Roman"/>
        </w:rPr>
        <w:t>have to</w:t>
      </w:r>
      <w:r w:rsidRPr="009C6480" w:rsidR="00990368">
        <w:rPr>
          <w:rFonts w:ascii="Times New Roman" w:hAnsi="Times New Roman"/>
        </w:rPr>
        <w:t xml:space="preserve"> enroll using paper applications, causing delays in the enrollment process as well as risking application</w:t>
      </w:r>
      <w:r w:rsidRPr="009C6480" w:rsidR="006E41D4">
        <w:rPr>
          <w:rFonts w:ascii="Times New Roman" w:hAnsi="Times New Roman"/>
        </w:rPr>
        <w:t>s</w:t>
      </w:r>
      <w:r w:rsidRPr="009C6480" w:rsidR="00990368">
        <w:rPr>
          <w:rFonts w:ascii="Times New Roman" w:hAnsi="Times New Roman"/>
        </w:rPr>
        <w:t xml:space="preserve"> being lost. </w:t>
      </w:r>
      <w:r w:rsidRPr="009C6480" w:rsidR="00021849">
        <w:rPr>
          <w:rFonts w:ascii="Times New Roman" w:hAnsi="Times New Roman"/>
        </w:rPr>
        <w:t xml:space="preserve">By </w:t>
      </w:r>
      <w:r w:rsidRPr="009C6480" w:rsidR="004D6CF0">
        <w:rPr>
          <w:rFonts w:ascii="Times New Roman" w:hAnsi="Times New Roman"/>
        </w:rPr>
        <w:t xml:space="preserve">requiring CSOS applications to be </w:t>
      </w:r>
      <w:r w:rsidRPr="009C6480" w:rsidR="00FA44D4">
        <w:rPr>
          <w:rFonts w:ascii="Times New Roman" w:hAnsi="Times New Roman"/>
        </w:rPr>
        <w:t>submitted onlin</w:t>
      </w:r>
      <w:r w:rsidRPr="009C6480" w:rsidR="00A643CF">
        <w:rPr>
          <w:rFonts w:ascii="Times New Roman" w:hAnsi="Times New Roman"/>
        </w:rPr>
        <w:t xml:space="preserve">e, the application process will be simplified. </w:t>
      </w:r>
      <w:r w:rsidRPr="009C6480" w:rsidR="005B1C92">
        <w:rPr>
          <w:rFonts w:ascii="Times New Roman" w:hAnsi="Times New Roman"/>
        </w:rPr>
        <w:t xml:space="preserve">Electronic enrollment through the secure web-based system would benefit both DEA and CSOS participants as the process will be both secure and streamlined. </w:t>
      </w:r>
      <w:r w:rsidRPr="009C6480" w:rsidR="005F39B6">
        <w:rPr>
          <w:rFonts w:ascii="Times New Roman" w:hAnsi="Times New Roman"/>
        </w:rPr>
        <w:t xml:space="preserve">Applicants will </w:t>
      </w:r>
      <w:r w:rsidRPr="009C6480" w:rsidR="009F26AD">
        <w:rPr>
          <w:rFonts w:ascii="Times New Roman" w:hAnsi="Times New Roman"/>
        </w:rPr>
        <w:t>be redirected to login.gov from the CSOS login page for identification verification and</w:t>
      </w:r>
      <w:r w:rsidRPr="009C6480" w:rsidR="0031056B">
        <w:rPr>
          <w:rFonts w:ascii="Times New Roman" w:hAnsi="Times New Roman"/>
        </w:rPr>
        <w:t xml:space="preserve"> to</w:t>
      </w:r>
      <w:r w:rsidRPr="009C6480" w:rsidR="009F26AD">
        <w:rPr>
          <w:rFonts w:ascii="Times New Roman" w:hAnsi="Times New Roman"/>
        </w:rPr>
        <w:t xml:space="preserve"> create an account with login.gov. </w:t>
      </w:r>
    </w:p>
    <w:p w:rsidR="00690F56" w:rsidRPr="00D53DEB" w:rsidP="00690F56" w14:paraId="1908DC84" w14:textId="5DCE38A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407FC" w:rsidRPr="009C6480" w:rsidP="009C6480" w14:paraId="711B75A7" w14:textId="576CF091">
      <w:pPr>
        <w:pStyle w:val="ListParagraph"/>
        <w:widowControl/>
        <w:numPr>
          <w:ilvl w:val="0"/>
          <w:numId w:val="1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C6480">
        <w:rPr>
          <w:rFonts w:ascii="Times New Roman" w:hAnsi="Times New Roman"/>
        </w:rPr>
        <w:t xml:space="preserve">The proposed rule </w:t>
      </w:r>
      <w:r w:rsidRPr="009C6480" w:rsidR="00721774">
        <w:rPr>
          <w:rFonts w:ascii="Times New Roman" w:hAnsi="Times New Roman"/>
        </w:rPr>
        <w:t xml:space="preserve">would amend current regulations to require online </w:t>
      </w:r>
      <w:r w:rsidRPr="009C6480" w:rsidR="00721774">
        <w:rPr>
          <w:rFonts w:ascii="Times New Roman" w:hAnsi="Times New Roman"/>
        </w:rPr>
        <w:t>enrollment</w:t>
      </w:r>
      <w:r w:rsidRPr="009C6480" w:rsidR="00721774">
        <w:rPr>
          <w:rFonts w:ascii="Times New Roman" w:hAnsi="Times New Roman"/>
        </w:rPr>
        <w:t xml:space="preserve"> for all registrants, coordinators, and authorized representative</w:t>
      </w:r>
      <w:r w:rsidRPr="009C6480" w:rsidR="006E41D4">
        <w:rPr>
          <w:rFonts w:ascii="Times New Roman" w:hAnsi="Times New Roman"/>
        </w:rPr>
        <w:t>s</w:t>
      </w:r>
      <w:r w:rsidRPr="009C6480" w:rsidR="00721774">
        <w:rPr>
          <w:rFonts w:ascii="Times New Roman" w:hAnsi="Times New Roman"/>
        </w:rPr>
        <w:t xml:space="preserve"> with Power of Attorney.</w:t>
      </w:r>
      <w:r w:rsidRPr="009C6480" w:rsidR="002A6D64">
        <w:rPr>
          <w:rFonts w:ascii="Times New Roman" w:hAnsi="Times New Roman"/>
        </w:rPr>
        <w:t xml:space="preserve">  Through the online enrollment</w:t>
      </w:r>
      <w:r w:rsidRPr="009C6480" w:rsidR="00625B5C">
        <w:rPr>
          <w:rFonts w:ascii="Times New Roman" w:hAnsi="Times New Roman"/>
        </w:rPr>
        <w:t xml:space="preserve"> process</w:t>
      </w:r>
      <w:r w:rsidRPr="009C6480" w:rsidR="006E41D4">
        <w:rPr>
          <w:rFonts w:ascii="Times New Roman" w:hAnsi="Times New Roman"/>
        </w:rPr>
        <w:t>,</w:t>
      </w:r>
      <w:r w:rsidRPr="009C6480" w:rsidR="002A6D64">
        <w:rPr>
          <w:rFonts w:ascii="Times New Roman" w:hAnsi="Times New Roman"/>
        </w:rPr>
        <w:t xml:space="preserve"> the registrant, coordinator, and authorized representative with Power of Attorney</w:t>
      </w:r>
      <w:r w:rsidRPr="009C6480" w:rsidR="00625B5C">
        <w:rPr>
          <w:rFonts w:ascii="Times New Roman" w:hAnsi="Times New Roman"/>
        </w:rPr>
        <w:t xml:space="preserve"> </w:t>
      </w:r>
      <w:r w:rsidRPr="009C6480" w:rsidR="00E16D8C">
        <w:rPr>
          <w:rFonts w:ascii="Times New Roman" w:hAnsi="Times New Roman"/>
        </w:rPr>
        <w:t xml:space="preserve">can obtain a certificate to use for signing </w:t>
      </w:r>
      <w:r w:rsidRPr="009C6480" w:rsidR="00B13A80">
        <w:rPr>
          <w:rFonts w:ascii="Times New Roman" w:hAnsi="Times New Roman"/>
        </w:rPr>
        <w:t xml:space="preserve">electronic orders for controlled substances. Renewal applications for CSOS certificate holders will be submitted online. </w:t>
      </w:r>
      <w:r w:rsidRPr="009C6480" w:rsidR="00BD7D1C">
        <w:rPr>
          <w:rFonts w:ascii="Times New Roman" w:hAnsi="Times New Roman"/>
        </w:rPr>
        <w:t xml:space="preserve">The online system will </w:t>
      </w:r>
      <w:r w:rsidRPr="009C6480" w:rsidR="00E00C66">
        <w:rPr>
          <w:rFonts w:ascii="Times New Roman" w:hAnsi="Times New Roman"/>
        </w:rPr>
        <w:t xml:space="preserve">simplify the process as paper forms will no longer be needed. </w:t>
      </w:r>
    </w:p>
    <w:p w:rsidR="00690F56" w:rsidP="00690F56" w14:paraId="2693B8DC" w14:textId="2C551E8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9C6480" w:rsidP="009C6480" w14:paraId="686EF219" w14:textId="433C1089">
      <w:pPr>
        <w:pStyle w:val="ListParagraph"/>
        <w:widowControl/>
        <w:numPr>
          <w:ilvl w:val="0"/>
          <w:numId w:val="1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C6480">
        <w:rPr>
          <w:rFonts w:ascii="Times New Roman" w:hAnsi="Times New Roman"/>
        </w:rPr>
        <w:t>DEA has made efforts to identify and prevent duplication of information.  The collection of this information</w:t>
      </w:r>
      <w:r w:rsidRPr="009C6480" w:rsidR="000A166A">
        <w:rPr>
          <w:rFonts w:ascii="Times New Roman" w:hAnsi="Times New Roman"/>
        </w:rPr>
        <w:t xml:space="preserve"> is unique to DEA. </w:t>
      </w:r>
    </w:p>
    <w:p w:rsidR="005622FE" w:rsidP="00690F56" w14:paraId="6F57386F" w14:textId="3EABB4B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9C6480" w:rsidP="009C6480" w14:paraId="5F528885" w14:textId="3B1A8002">
      <w:pPr>
        <w:pStyle w:val="ListParagraph"/>
        <w:widowControl/>
        <w:numPr>
          <w:ilvl w:val="0"/>
          <w:numId w:val="1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C6480">
        <w:rPr>
          <w:rFonts w:ascii="Times New Roman" w:hAnsi="Times New Roman"/>
        </w:rPr>
        <w:t xml:space="preserve">In accordance with the Regulatory Flexibility Act (RFA), DEA evaluated the impact of this proposed rule on small entities. </w:t>
      </w:r>
      <w:r w:rsidRPr="009C6480" w:rsidR="00337B11">
        <w:rPr>
          <w:rFonts w:ascii="Times New Roman" w:hAnsi="Times New Roman"/>
        </w:rPr>
        <w:t xml:space="preserve">DEA’s evaluation of economic impact by size category indicates that the rule will not, if promulgated, have a significant economic impact on a substantial number of these small entities. </w:t>
      </w:r>
    </w:p>
    <w:p w:rsidR="00B417B3" w:rsidP="00690F56" w14:paraId="21DD2D8C" w14:textId="0B790FB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37B11" w:rsidRPr="009C6480" w:rsidP="009C6480" w14:paraId="3E5C1E4B" w14:textId="02AD9782">
      <w:pPr>
        <w:pStyle w:val="ListParagraph"/>
        <w:widowControl/>
        <w:numPr>
          <w:ilvl w:val="0"/>
          <w:numId w:val="1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C6480">
        <w:rPr>
          <w:rFonts w:ascii="Times New Roman" w:hAnsi="Times New Roman"/>
        </w:rPr>
        <w:t xml:space="preserve">Pursuant to 21 U.S.C. 827(b), records must be maintained for a period of at least two years. DEA does not have the authority to reduce the burden or period of recordkeeping. </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97266B" w:rsidRPr="009C6480" w:rsidP="009C6480" w14:paraId="70AAA656" w14:textId="6E22C2BE">
      <w:pPr>
        <w:pStyle w:val="ListParagraph"/>
        <w:widowControl/>
        <w:numPr>
          <w:ilvl w:val="0"/>
          <w:numId w:val="1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C6480">
        <w:rPr>
          <w:rFonts w:ascii="Times New Roman" w:hAnsi="Times New Roman"/>
        </w:rPr>
        <w:t xml:space="preserve">  </w:t>
      </w:r>
      <w:r w:rsidRPr="009C6480" w:rsidR="00DA7DC9">
        <w:rPr>
          <w:rFonts w:ascii="Times New Roman" w:hAnsi="Times New Roman"/>
        </w:rPr>
        <w:t>There are no special circumstances</w:t>
      </w:r>
      <w:r w:rsidR="009C6480">
        <w:rPr>
          <w:rFonts w:ascii="Times New Roman" w:hAnsi="Times New Roman"/>
        </w:rPr>
        <w:t xml:space="preserve"> applicable to this information collection</w:t>
      </w:r>
      <w:r w:rsidRPr="009C6480" w:rsidR="003E15A0">
        <w:rPr>
          <w:rFonts w:ascii="Times New Roman" w:hAnsi="Times New Roman"/>
        </w:rPr>
        <w:t>.</w:t>
      </w:r>
    </w:p>
    <w:p w:rsidR="0097266B" w:rsidP="0097266B" w14:paraId="471F206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C6480" w:rsidP="009C6480" w14:paraId="2FC171FF" w14:textId="4AA898ED">
      <w:pPr>
        <w:pStyle w:val="ListParagraph"/>
        <w:widowControl/>
        <w:numPr>
          <w:ilvl w:val="0"/>
          <w:numId w:val="1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C6480">
        <w:rPr>
          <w:rFonts w:ascii="Times New Roman" w:hAnsi="Times New Roman"/>
        </w:rPr>
        <w:t xml:space="preserve"> </w:t>
      </w:r>
      <w:r w:rsidRPr="009C6480" w:rsidR="00E6600D">
        <w:rPr>
          <w:rFonts w:ascii="Times New Roman" w:hAnsi="Times New Roman"/>
        </w:rPr>
        <w:t xml:space="preserve">  Public comment was solicited in the notice of proposed rulemaking (NPRM) published</w:t>
      </w:r>
      <w:r w:rsidRPr="009C6480">
        <w:rPr>
          <w:rFonts w:ascii="Times New Roman" w:hAnsi="Times New Roman"/>
        </w:rPr>
        <w:t xml:space="preserve"> </w:t>
      </w:r>
      <w:r w:rsidRPr="009C6480" w:rsidR="00A2391E">
        <w:rPr>
          <w:rFonts w:ascii="Times New Roman" w:hAnsi="Times New Roman"/>
        </w:rPr>
        <w:t xml:space="preserve">on </w:t>
      </w:r>
      <w:r w:rsidRPr="009C6480" w:rsidR="009C5494">
        <w:rPr>
          <w:rFonts w:ascii="Times New Roman" w:hAnsi="Times New Roman"/>
        </w:rPr>
        <w:t>February 2, 2023</w:t>
      </w:r>
      <w:r w:rsidRPr="009C6480">
        <w:rPr>
          <w:rFonts w:ascii="Times New Roman" w:hAnsi="Times New Roman"/>
        </w:rPr>
        <w:t>, 88 FR 7033</w:t>
      </w:r>
      <w:r w:rsidRPr="009C6480" w:rsidR="00A2391E">
        <w:rPr>
          <w:rFonts w:ascii="Times New Roman" w:hAnsi="Times New Roman"/>
        </w:rPr>
        <w:t>. The comment period ended on</w:t>
      </w:r>
      <w:r w:rsidRPr="009C6480" w:rsidR="002517E4">
        <w:rPr>
          <w:rFonts w:ascii="Times New Roman" w:hAnsi="Times New Roman"/>
        </w:rPr>
        <w:t xml:space="preserve"> </w:t>
      </w:r>
      <w:r w:rsidRPr="009C6480" w:rsidR="009C5494">
        <w:rPr>
          <w:rFonts w:ascii="Times New Roman" w:hAnsi="Times New Roman"/>
        </w:rPr>
        <w:t>April 3, 2023</w:t>
      </w:r>
      <w:r w:rsidRPr="009C6480" w:rsidR="002517E4">
        <w:rPr>
          <w:rFonts w:ascii="Times New Roman" w:hAnsi="Times New Roman"/>
        </w:rPr>
        <w:t>.</w:t>
      </w:r>
      <w:r w:rsidRPr="009C6480" w:rsidR="00A2391E">
        <w:rPr>
          <w:rFonts w:ascii="Times New Roman" w:hAnsi="Times New Roman"/>
        </w:rPr>
        <w:t xml:space="preserve"> </w:t>
      </w:r>
      <w:r w:rsidRPr="009C6480" w:rsidR="003F27E2">
        <w:rPr>
          <w:rFonts w:ascii="Times New Roman" w:hAnsi="Times New Roman"/>
        </w:rPr>
        <w:t>Eight (8) total comments were received</w:t>
      </w:r>
      <w:r>
        <w:rPr>
          <w:rFonts w:ascii="Times New Roman" w:hAnsi="Times New Roman"/>
        </w:rPr>
        <w:t xml:space="preserve">.  </w:t>
      </w:r>
    </w:p>
    <w:p w:rsidR="009C6480" w:rsidP="009C6480" w14:paraId="4FD83F33" w14:textId="77777777">
      <w:pPr>
        <w:pStyle w:val="ListParagraph"/>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C6480" w:rsidP="009C6480" w14:paraId="0DE8788E" w14:textId="3763C61E">
      <w:pPr>
        <w:pStyle w:val="ListParagraph"/>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DEA meets regular with the affected industry to discuss policies, programs, and regulations.  These meetings provide an open forum to discuss matters of mutual concern with representatives of those entities from whom the information is obtained.  </w:t>
      </w:r>
    </w:p>
    <w:p w:rsidR="00690F56" w:rsidRPr="00A47DA7" w:rsidP="00690F56" w14:paraId="3EC59954" w14:textId="17B44AB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rPr>
        <w:tab/>
      </w:r>
      <w:r>
        <w:rPr>
          <w:rFonts w:ascii="Times New Roman" w:hAnsi="Times New Roman"/>
        </w:rPr>
        <w:tab/>
      </w:r>
    </w:p>
    <w:p w:rsidR="00262716" w:rsidRPr="009C6480" w:rsidP="009C6480" w14:paraId="47C3F7E4" w14:textId="43146535">
      <w:pPr>
        <w:pStyle w:val="ListParagraph"/>
        <w:widowControl/>
        <w:numPr>
          <w:ilvl w:val="0"/>
          <w:numId w:val="1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7266B">
        <w:rPr>
          <w:rFonts w:ascii="Times New Roman" w:hAnsi="Times New Roman"/>
        </w:rPr>
        <w:t xml:space="preserve"> </w:t>
      </w:r>
      <w:r w:rsidR="002C7EB7">
        <w:rPr>
          <w:rFonts w:ascii="Times New Roman" w:hAnsi="Times New Roman"/>
        </w:rPr>
        <w:t xml:space="preserve"> </w:t>
      </w:r>
      <w:r w:rsidRPr="009C6480" w:rsidR="008E1ECD">
        <w:rPr>
          <w:rFonts w:ascii="Times New Roman" w:hAnsi="Times New Roman"/>
        </w:rPr>
        <w:t xml:space="preserve">This collection of information does not propose to provide any payment or gift to respondents. </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RPr="009C6480" w:rsidP="009C6480" w14:paraId="0AD89F5C" w14:textId="5664E8CC">
      <w:pPr>
        <w:pStyle w:val="ListParagraph"/>
        <w:widowControl/>
        <w:numPr>
          <w:ilvl w:val="0"/>
          <w:numId w:val="1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C6480">
        <w:rPr>
          <w:rFonts w:ascii="Times New Roman" w:hAnsi="Times New Roman"/>
        </w:rPr>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DEA through secure storage, limited access, and federal regulatory and DEA procedures.  In the event a FOIA request is made to obtain information that has been designated as confidential business information per 28 CFR 16.8(c) and Exemption 4 of FOIA, DEA will give written notice to the submitter to allow an opportunity to object within a reasonable time prior to any disclosure by DEA.</w:t>
      </w:r>
    </w:p>
    <w:p w:rsidR="00BD21CA" w:rsidP="00690F56" w14:paraId="13A55570" w14:textId="60B1DFF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4059D9" w:rsidRPr="003502DB" w:rsidP="003502DB" w14:paraId="22E95D39" w14:textId="6D9CB6FC">
      <w:pPr>
        <w:pStyle w:val="ListParagraph"/>
        <w:widowControl/>
        <w:numPr>
          <w:ilvl w:val="0"/>
          <w:numId w:val="1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97266B">
        <w:rPr>
          <w:rFonts w:ascii="Times New Roman" w:hAnsi="Times New Roman"/>
          <w:bCs/>
        </w:rPr>
        <w:t xml:space="preserve"> </w:t>
      </w:r>
      <w:r w:rsidRPr="003502DB">
        <w:rPr>
          <w:rFonts w:ascii="Times New Roman" w:hAnsi="Times New Roman"/>
          <w:bCs/>
        </w:rPr>
        <w:t>Th</w:t>
      </w:r>
      <w:r w:rsidRPr="003502DB" w:rsidR="004534FA">
        <w:rPr>
          <w:rFonts w:ascii="Times New Roman" w:hAnsi="Times New Roman"/>
          <w:bCs/>
        </w:rPr>
        <w:t xml:space="preserve">is collection of information does not ask any questions of a sensitive nature. </w:t>
      </w:r>
    </w:p>
    <w:p w:rsidR="006969A0" w:rsidP="00690F56" w14:paraId="6988066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6969A0" w:rsidRPr="003502DB" w:rsidP="003502DB" w14:paraId="6D476815" w14:textId="14F97EE5">
      <w:pPr>
        <w:pStyle w:val="ListParagraph"/>
        <w:widowControl/>
        <w:numPr>
          <w:ilvl w:val="0"/>
          <w:numId w:val="1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3502DB">
        <w:rPr>
          <w:rFonts w:ascii="Times New Roman" w:hAnsi="Times New Roman"/>
          <w:bCs/>
        </w:rPr>
        <w:t xml:space="preserve">Responses can be new applications or renewals. DEA received 31,172 new applications in 2021. For every third renewal, the CSOS certificate holder must submit a new application. Therefore, DEA estimates that new applications are approximately one-third of total </w:t>
      </w:r>
      <w:r w:rsidRPr="003502DB">
        <w:rPr>
          <w:rFonts w:ascii="Times New Roman" w:hAnsi="Times New Roman"/>
          <w:bCs/>
        </w:rPr>
        <w:t>applications</w:t>
      </w:r>
      <w:r w:rsidRPr="003502DB">
        <w:rPr>
          <w:rFonts w:ascii="Times New Roman" w:hAnsi="Times New Roman"/>
          <w:bCs/>
        </w:rPr>
        <w:t xml:space="preserve"> and the number of renewals is approximately twice the number of new applications which is 62,344. The estimated total applications in 2021 </w:t>
      </w:r>
      <w:r w:rsidRPr="003502DB">
        <w:rPr>
          <w:rFonts w:ascii="Times New Roman" w:hAnsi="Times New Roman"/>
          <w:bCs/>
        </w:rPr>
        <w:t>is</w:t>
      </w:r>
      <w:r w:rsidRPr="003502DB">
        <w:rPr>
          <w:rFonts w:ascii="Times New Roman" w:hAnsi="Times New Roman"/>
          <w:bCs/>
        </w:rPr>
        <w:t xml:space="preserve"> 93,516.</w:t>
      </w:r>
    </w:p>
    <w:p w:rsidR="006114B5" w:rsidP="006969A0" w14:paraId="269AE1F2" w14:textId="2C67E8E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bCs/>
        </w:rPr>
      </w:pPr>
    </w:p>
    <w:p w:rsidR="009201C2" w:rsidP="006969A0" w14:paraId="295DA115" w14:textId="2F6E4DC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bCs/>
        </w:rPr>
      </w:pPr>
      <w:r>
        <w:rPr>
          <w:rFonts w:ascii="Times New Roman" w:hAnsi="Times New Roman"/>
          <w:bCs/>
        </w:rPr>
        <w:t xml:space="preserve">The </w:t>
      </w:r>
      <w:r w:rsidR="00BF132F">
        <w:rPr>
          <w:rFonts w:ascii="Times New Roman" w:hAnsi="Times New Roman"/>
          <w:bCs/>
        </w:rPr>
        <w:t xml:space="preserve">response </w:t>
      </w:r>
      <w:r>
        <w:rPr>
          <w:rFonts w:ascii="Times New Roman" w:hAnsi="Times New Roman"/>
          <w:bCs/>
        </w:rPr>
        <w:t>frequency is 0.994735 (94,011/93,516)</w:t>
      </w:r>
    </w:p>
    <w:p w:rsidR="009201C2" w:rsidP="006969A0" w14:paraId="153EFC7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bCs/>
        </w:rPr>
      </w:pPr>
    </w:p>
    <w:p w:rsidR="00C73321" w:rsidP="006969A0" w14:paraId="4285DF6C" w14:textId="489782D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bCs/>
        </w:rPr>
      </w:pPr>
      <w:r w:rsidRPr="006114B5">
        <w:rPr>
          <w:rFonts w:ascii="Times New Roman" w:hAnsi="Times New Roman"/>
          <w:bCs/>
        </w:rPr>
        <w:t>DEA estimates the required time to complete a new application would be 1.75 hours</w:t>
      </w:r>
      <w:r>
        <w:rPr>
          <w:rFonts w:ascii="Times New Roman" w:hAnsi="Times New Roman"/>
          <w:bCs/>
        </w:rPr>
        <w:t xml:space="preserve"> </w:t>
      </w:r>
      <w:r w:rsidRPr="006114B5">
        <w:rPr>
          <w:rFonts w:ascii="Times New Roman" w:hAnsi="Times New Roman"/>
          <w:bCs/>
        </w:rPr>
        <w:t>which includes an estimated 1.5 hours to prepare and provided the necessary information and</w:t>
      </w:r>
      <w:r>
        <w:rPr>
          <w:rFonts w:ascii="Times New Roman" w:hAnsi="Times New Roman"/>
          <w:bCs/>
        </w:rPr>
        <w:t xml:space="preserve"> </w:t>
      </w:r>
      <w:r w:rsidRPr="006114B5">
        <w:rPr>
          <w:rFonts w:ascii="Times New Roman" w:hAnsi="Times New Roman"/>
          <w:bCs/>
        </w:rPr>
        <w:t>an estimated 0.25 hours for logging to CSOS system or calls to DEA for assistance</w:t>
      </w:r>
      <w:r>
        <w:rPr>
          <w:rFonts w:ascii="Times New Roman" w:hAnsi="Times New Roman"/>
          <w:bCs/>
        </w:rPr>
        <w:t xml:space="preserve">. On the other hand, </w:t>
      </w:r>
      <w:r w:rsidRPr="006114B5">
        <w:rPr>
          <w:rFonts w:ascii="Times New Roman" w:hAnsi="Times New Roman"/>
          <w:bCs/>
        </w:rPr>
        <w:t>the</w:t>
      </w:r>
      <w:r>
        <w:rPr>
          <w:rFonts w:ascii="Times New Roman" w:hAnsi="Times New Roman"/>
          <w:bCs/>
        </w:rPr>
        <w:t xml:space="preserve"> estimated</w:t>
      </w:r>
      <w:r w:rsidRPr="006114B5">
        <w:rPr>
          <w:rFonts w:ascii="Times New Roman" w:hAnsi="Times New Roman"/>
          <w:bCs/>
        </w:rPr>
        <w:t xml:space="preserve"> time spent requesting a renewal </w:t>
      </w:r>
      <w:r>
        <w:rPr>
          <w:rFonts w:ascii="Times New Roman" w:hAnsi="Times New Roman"/>
          <w:bCs/>
        </w:rPr>
        <w:t>is</w:t>
      </w:r>
      <w:r w:rsidRPr="006114B5">
        <w:rPr>
          <w:rFonts w:ascii="Times New Roman" w:hAnsi="Times New Roman"/>
          <w:bCs/>
        </w:rPr>
        <w:t xml:space="preserve"> 0.25 hours using the online method</w:t>
      </w:r>
      <w:r>
        <w:rPr>
          <w:rFonts w:ascii="Times New Roman" w:hAnsi="Times New Roman"/>
          <w:bCs/>
        </w:rPr>
        <w:t>.</w:t>
      </w:r>
    </w:p>
    <w:p w:rsidR="006114B5" w:rsidP="006969A0" w14:paraId="77846898" w14:textId="2DAD894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bCs/>
        </w:rPr>
      </w:pPr>
    </w:p>
    <w:p w:rsidR="006114B5" w:rsidRPr="006969A0" w:rsidP="006969A0" w14:paraId="75783E95" w14:textId="2EAB960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bCs/>
        </w:rPr>
      </w:pPr>
      <w:r>
        <w:rPr>
          <w:rFonts w:ascii="Times New Roman" w:hAnsi="Times New Roman"/>
          <w:bCs/>
        </w:rPr>
        <w:t>Based on the reported hourly wage of $62.81</w:t>
      </w:r>
      <w:r>
        <w:rPr>
          <w:rStyle w:val="FootnoteReference"/>
          <w:rFonts w:ascii="Times New Roman" w:hAnsi="Times New Roman"/>
          <w:bCs/>
        </w:rPr>
        <w:footnoteReference w:id="2"/>
      </w:r>
      <w:r>
        <w:rPr>
          <w:rFonts w:ascii="Times New Roman" w:hAnsi="Times New Roman"/>
          <w:bCs/>
        </w:rPr>
        <w:t xml:space="preserve"> and the loaded benefits of 41.8%</w:t>
      </w:r>
      <w:r w:rsidR="001D4681">
        <w:rPr>
          <w:rFonts w:ascii="Times New Roman" w:hAnsi="Times New Roman"/>
          <w:bCs/>
        </w:rPr>
        <w:t>,</w:t>
      </w:r>
      <w:r>
        <w:rPr>
          <w:rStyle w:val="FootnoteReference"/>
          <w:rFonts w:ascii="Times New Roman" w:hAnsi="Times New Roman"/>
          <w:bCs/>
        </w:rPr>
        <w:footnoteReference w:id="3"/>
      </w:r>
      <w:r>
        <w:rPr>
          <w:rFonts w:ascii="Times New Roman" w:hAnsi="Times New Roman"/>
          <w:bCs/>
        </w:rPr>
        <w:t xml:space="preserve"> DEA estimates hourly loaded labor rate of a pharmacist is $87.65.</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9625" w:type="dxa"/>
        <w:tblLook w:val="04A0"/>
      </w:tblPr>
      <w:tblGrid>
        <w:gridCol w:w="1439"/>
        <w:gridCol w:w="1415"/>
        <w:gridCol w:w="1219"/>
        <w:gridCol w:w="1182"/>
        <w:gridCol w:w="1097"/>
        <w:gridCol w:w="950"/>
        <w:gridCol w:w="889"/>
        <w:gridCol w:w="1434"/>
      </w:tblGrid>
      <w:tr w14:paraId="4AA59B92" w14:textId="77777777" w:rsidTr="00501A15">
        <w:tblPrEx>
          <w:tblW w:w="9625" w:type="dxa"/>
          <w:tblLook w:val="04A0"/>
        </w:tblPrEx>
        <w:tc>
          <w:tcPr>
            <w:tcW w:w="1439" w:type="dxa"/>
            <w:shd w:val="clear" w:color="auto" w:fill="ADB9CA" w:themeFill="text2" w:themeFillTint="66"/>
          </w:tcPr>
          <w:p w:rsidR="003908B9" w:rsidRPr="008F47CB" w:rsidP="00792E63"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3908B9" w:rsidRPr="008F47CB" w:rsidP="00792E63"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3908B9" w:rsidRPr="008F47CB" w:rsidP="00792E63"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3908B9" w:rsidRPr="008F47CB" w:rsidP="00792E63"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3908B9" w:rsidRPr="008F47CB" w:rsidP="00792E63"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3908B9" w:rsidRPr="008F47CB" w:rsidP="00792E63"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c>
          <w:tcPr>
            <w:tcW w:w="889" w:type="dxa"/>
            <w:shd w:val="clear" w:color="auto" w:fill="ADB9CA" w:themeFill="text2" w:themeFillTint="66"/>
          </w:tcPr>
          <w:p w:rsidR="003908B9" w:rsidRPr="008F47CB" w:rsidP="00792E63" w14:paraId="66A83D48" w14:textId="77777777">
            <w:pPr>
              <w:rPr>
                <w:rFonts w:ascii="Times New Roman" w:hAnsi="Times New Roman"/>
                <w:b/>
                <w:sz w:val="22"/>
                <w:szCs w:val="22"/>
              </w:rPr>
            </w:pPr>
            <w:r w:rsidRPr="008F47CB">
              <w:rPr>
                <w:rFonts w:ascii="Times New Roman" w:hAnsi="Times New Roman"/>
                <w:b/>
                <w:sz w:val="22"/>
                <w:szCs w:val="22"/>
              </w:rPr>
              <w:t>Hourly Rate</w:t>
            </w:r>
            <w:r>
              <w:rPr>
                <w:rFonts w:ascii="Times New Roman" w:hAnsi="Times New Roman"/>
                <w:b/>
                <w:sz w:val="22"/>
                <w:szCs w:val="22"/>
              </w:rPr>
              <w:t>*</w:t>
            </w:r>
          </w:p>
        </w:tc>
        <w:tc>
          <w:tcPr>
            <w:tcW w:w="1434" w:type="dxa"/>
            <w:shd w:val="clear" w:color="auto" w:fill="ADB9CA" w:themeFill="text2" w:themeFillTint="66"/>
          </w:tcPr>
          <w:p w:rsidR="003908B9" w:rsidRPr="008F47CB" w:rsidP="00792E63" w14:paraId="5F43E499" w14:textId="77777777">
            <w:pPr>
              <w:rPr>
                <w:rFonts w:ascii="Times New Roman" w:hAnsi="Times New Roman"/>
                <w:b/>
                <w:sz w:val="22"/>
                <w:szCs w:val="22"/>
              </w:rPr>
            </w:pPr>
            <w:r w:rsidRPr="008F47CB">
              <w:rPr>
                <w:rFonts w:ascii="Times New Roman" w:hAnsi="Times New Roman"/>
                <w:b/>
                <w:sz w:val="22"/>
                <w:szCs w:val="22"/>
              </w:rPr>
              <w:t>Monetized Value of Respondent Time</w:t>
            </w:r>
          </w:p>
        </w:tc>
      </w:tr>
      <w:tr w14:paraId="079EF15D" w14:textId="77777777" w:rsidTr="00501A15">
        <w:tblPrEx>
          <w:tblW w:w="9625" w:type="dxa"/>
          <w:tblLook w:val="04A0"/>
        </w:tblPrEx>
        <w:tc>
          <w:tcPr>
            <w:tcW w:w="1439" w:type="dxa"/>
            <w:vAlign w:val="bottom"/>
          </w:tcPr>
          <w:p w:rsidR="003908B9" w:rsidRPr="008F47CB" w:rsidP="009201C2" w14:paraId="4E4E0FA6" w14:textId="6D07785D">
            <w:pPr>
              <w:rPr>
                <w:rFonts w:ascii="Times New Roman" w:hAnsi="Times New Roman"/>
                <w:sz w:val="22"/>
                <w:szCs w:val="22"/>
              </w:rPr>
            </w:pPr>
            <w:r>
              <w:rPr>
                <w:rFonts w:ascii="Times New Roman" w:hAnsi="Times New Roman"/>
                <w:sz w:val="22"/>
                <w:szCs w:val="22"/>
              </w:rPr>
              <w:t>New</w:t>
            </w:r>
            <w:r w:rsidR="006969A0">
              <w:rPr>
                <w:rFonts w:ascii="Times New Roman" w:hAnsi="Times New Roman"/>
                <w:sz w:val="22"/>
                <w:szCs w:val="22"/>
              </w:rPr>
              <w:t xml:space="preserve"> application</w:t>
            </w:r>
            <w:r>
              <w:rPr>
                <w:rFonts w:ascii="Times New Roman" w:hAnsi="Times New Roman"/>
                <w:sz w:val="22"/>
                <w:szCs w:val="22"/>
              </w:rPr>
              <w:t>s</w:t>
            </w:r>
          </w:p>
        </w:tc>
        <w:tc>
          <w:tcPr>
            <w:tcW w:w="1415" w:type="dxa"/>
            <w:vAlign w:val="bottom"/>
          </w:tcPr>
          <w:p w:rsidR="003908B9" w:rsidRPr="008F47CB" w:rsidP="00792E63" w14:paraId="23BB2474" w14:textId="12464471">
            <w:pPr>
              <w:jc w:val="right"/>
              <w:rPr>
                <w:rFonts w:ascii="Times New Roman" w:hAnsi="Times New Roman"/>
                <w:sz w:val="22"/>
                <w:szCs w:val="22"/>
              </w:rPr>
            </w:pPr>
            <w:r>
              <w:rPr>
                <w:rFonts w:ascii="Times New Roman" w:hAnsi="Times New Roman"/>
                <w:sz w:val="22"/>
                <w:szCs w:val="22"/>
              </w:rPr>
              <w:t>31,337</w:t>
            </w:r>
          </w:p>
        </w:tc>
        <w:tc>
          <w:tcPr>
            <w:tcW w:w="1219" w:type="dxa"/>
            <w:vAlign w:val="bottom"/>
          </w:tcPr>
          <w:p w:rsidR="003908B9" w:rsidRPr="008F47CB" w:rsidP="00792E63" w14:paraId="5D72451D" w14:textId="41A2FF33">
            <w:pPr>
              <w:jc w:val="right"/>
              <w:rPr>
                <w:rFonts w:ascii="Times New Roman" w:hAnsi="Times New Roman"/>
                <w:sz w:val="22"/>
                <w:szCs w:val="22"/>
              </w:rPr>
            </w:pPr>
            <w:r>
              <w:rPr>
                <w:rFonts w:ascii="Times New Roman" w:hAnsi="Times New Roman"/>
                <w:sz w:val="22"/>
                <w:szCs w:val="22"/>
              </w:rPr>
              <w:t>0.994735</w:t>
            </w:r>
          </w:p>
        </w:tc>
        <w:tc>
          <w:tcPr>
            <w:tcW w:w="1182" w:type="dxa"/>
            <w:vAlign w:val="bottom"/>
          </w:tcPr>
          <w:p w:rsidR="003908B9" w:rsidRPr="008F47CB" w:rsidP="00792E63" w14:paraId="03D2549D" w14:textId="543FDE7D">
            <w:pPr>
              <w:jc w:val="right"/>
              <w:rPr>
                <w:rFonts w:ascii="Times New Roman" w:hAnsi="Times New Roman"/>
                <w:sz w:val="22"/>
                <w:szCs w:val="22"/>
              </w:rPr>
            </w:pPr>
            <w:r>
              <w:rPr>
                <w:rFonts w:ascii="Times New Roman" w:hAnsi="Times New Roman"/>
                <w:sz w:val="22"/>
                <w:szCs w:val="22"/>
              </w:rPr>
              <w:t>31,172</w:t>
            </w:r>
          </w:p>
        </w:tc>
        <w:tc>
          <w:tcPr>
            <w:tcW w:w="1097" w:type="dxa"/>
            <w:vAlign w:val="bottom"/>
          </w:tcPr>
          <w:p w:rsidR="003908B9" w:rsidRPr="008F47CB" w:rsidP="00792E63" w14:paraId="3704ADCE" w14:textId="43026452">
            <w:pPr>
              <w:jc w:val="right"/>
              <w:rPr>
                <w:rFonts w:ascii="Times New Roman" w:hAnsi="Times New Roman"/>
                <w:sz w:val="22"/>
                <w:szCs w:val="22"/>
              </w:rPr>
            </w:pPr>
            <w:r>
              <w:rPr>
                <w:rFonts w:ascii="Times New Roman" w:hAnsi="Times New Roman"/>
                <w:sz w:val="22"/>
                <w:szCs w:val="22"/>
              </w:rPr>
              <w:t>1.75hrs</w:t>
            </w:r>
          </w:p>
        </w:tc>
        <w:tc>
          <w:tcPr>
            <w:tcW w:w="950" w:type="dxa"/>
            <w:vAlign w:val="bottom"/>
          </w:tcPr>
          <w:p w:rsidR="003908B9" w:rsidRPr="008F47CB" w:rsidP="00792E63" w14:paraId="498C761A" w14:textId="3541965C">
            <w:pPr>
              <w:jc w:val="right"/>
              <w:rPr>
                <w:rFonts w:ascii="Times New Roman" w:hAnsi="Times New Roman"/>
                <w:sz w:val="22"/>
                <w:szCs w:val="22"/>
              </w:rPr>
            </w:pPr>
            <w:r w:rsidRPr="00C564B0">
              <w:rPr>
                <w:rFonts w:ascii="Times New Roman" w:hAnsi="Times New Roman"/>
                <w:sz w:val="22"/>
                <w:szCs w:val="22"/>
              </w:rPr>
              <w:t>54</w:t>
            </w:r>
            <w:r>
              <w:rPr>
                <w:rFonts w:ascii="Times New Roman" w:hAnsi="Times New Roman"/>
                <w:sz w:val="22"/>
                <w:szCs w:val="22"/>
              </w:rPr>
              <w:t>,</w:t>
            </w:r>
            <w:r w:rsidRPr="00C564B0">
              <w:rPr>
                <w:rFonts w:ascii="Times New Roman" w:hAnsi="Times New Roman"/>
                <w:sz w:val="22"/>
                <w:szCs w:val="22"/>
              </w:rPr>
              <w:t>551</w:t>
            </w:r>
          </w:p>
        </w:tc>
        <w:tc>
          <w:tcPr>
            <w:tcW w:w="889" w:type="dxa"/>
            <w:vAlign w:val="bottom"/>
          </w:tcPr>
          <w:p w:rsidR="003908B9" w:rsidRPr="008F47CB" w:rsidP="00792E63" w14:paraId="2C9B9B1D" w14:textId="5C5A36D9">
            <w:pPr>
              <w:jc w:val="right"/>
              <w:rPr>
                <w:rFonts w:ascii="Times New Roman" w:hAnsi="Times New Roman"/>
                <w:sz w:val="22"/>
                <w:szCs w:val="22"/>
              </w:rPr>
            </w:pPr>
            <w:r>
              <w:rPr>
                <w:rFonts w:ascii="Times New Roman" w:hAnsi="Times New Roman"/>
                <w:sz w:val="22"/>
                <w:szCs w:val="22"/>
              </w:rPr>
              <w:t>87.65</w:t>
            </w:r>
          </w:p>
        </w:tc>
        <w:tc>
          <w:tcPr>
            <w:tcW w:w="1434" w:type="dxa"/>
            <w:vAlign w:val="bottom"/>
          </w:tcPr>
          <w:p w:rsidR="003908B9" w:rsidRPr="008F47CB" w:rsidP="00792E63" w14:paraId="689A6EF1" w14:textId="40819F56">
            <w:pPr>
              <w:jc w:val="right"/>
              <w:rPr>
                <w:rFonts w:ascii="Times New Roman" w:hAnsi="Times New Roman"/>
                <w:sz w:val="22"/>
                <w:szCs w:val="22"/>
              </w:rPr>
            </w:pPr>
            <w:r w:rsidRPr="00C564B0">
              <w:rPr>
                <w:rFonts w:ascii="Times New Roman" w:hAnsi="Times New Roman"/>
                <w:sz w:val="22"/>
                <w:szCs w:val="22"/>
              </w:rPr>
              <w:t>4</w:t>
            </w:r>
            <w:r w:rsidR="00295738">
              <w:rPr>
                <w:rFonts w:ascii="Times New Roman" w:hAnsi="Times New Roman"/>
                <w:sz w:val="22"/>
                <w:szCs w:val="22"/>
              </w:rPr>
              <w:t>,</w:t>
            </w:r>
            <w:r w:rsidRPr="00C564B0">
              <w:rPr>
                <w:rFonts w:ascii="Times New Roman" w:hAnsi="Times New Roman"/>
                <w:sz w:val="22"/>
                <w:szCs w:val="22"/>
              </w:rPr>
              <w:t>781</w:t>
            </w:r>
            <w:r w:rsidR="00295738">
              <w:rPr>
                <w:rFonts w:ascii="Times New Roman" w:hAnsi="Times New Roman"/>
                <w:sz w:val="22"/>
                <w:szCs w:val="22"/>
              </w:rPr>
              <w:t>,</w:t>
            </w:r>
            <w:r w:rsidRPr="00C564B0">
              <w:rPr>
                <w:rFonts w:ascii="Times New Roman" w:hAnsi="Times New Roman"/>
                <w:sz w:val="22"/>
                <w:szCs w:val="22"/>
              </w:rPr>
              <w:t>395</w:t>
            </w:r>
          </w:p>
        </w:tc>
      </w:tr>
      <w:tr w14:paraId="28A27403" w14:textId="77777777" w:rsidTr="00501A15">
        <w:tblPrEx>
          <w:tblW w:w="9625" w:type="dxa"/>
          <w:tblLook w:val="04A0"/>
        </w:tblPrEx>
        <w:tc>
          <w:tcPr>
            <w:tcW w:w="1439" w:type="dxa"/>
            <w:vAlign w:val="bottom"/>
          </w:tcPr>
          <w:p w:rsidR="003908B9" w:rsidRPr="008F47CB" w:rsidP="009201C2" w14:paraId="779E4025" w14:textId="77BB71BE">
            <w:pPr>
              <w:rPr>
                <w:rFonts w:ascii="Times New Roman" w:hAnsi="Times New Roman"/>
                <w:sz w:val="22"/>
                <w:szCs w:val="22"/>
              </w:rPr>
            </w:pPr>
            <w:r>
              <w:rPr>
                <w:rFonts w:ascii="Times New Roman" w:hAnsi="Times New Roman"/>
                <w:sz w:val="22"/>
                <w:szCs w:val="22"/>
              </w:rPr>
              <w:t>Renewals</w:t>
            </w:r>
          </w:p>
        </w:tc>
        <w:tc>
          <w:tcPr>
            <w:tcW w:w="1415" w:type="dxa"/>
            <w:vAlign w:val="bottom"/>
          </w:tcPr>
          <w:p w:rsidR="003908B9" w:rsidRPr="008F47CB" w:rsidP="00792E63" w14:paraId="0D0FB099" w14:textId="0D34DFFD">
            <w:pPr>
              <w:jc w:val="right"/>
              <w:rPr>
                <w:rFonts w:ascii="Times New Roman" w:hAnsi="Times New Roman"/>
                <w:sz w:val="22"/>
                <w:szCs w:val="22"/>
              </w:rPr>
            </w:pPr>
            <w:r>
              <w:rPr>
                <w:rFonts w:ascii="Times New Roman" w:hAnsi="Times New Roman"/>
                <w:sz w:val="22"/>
                <w:szCs w:val="22"/>
              </w:rPr>
              <w:t>62,6</w:t>
            </w:r>
            <w:r w:rsidR="00A57C82">
              <w:rPr>
                <w:rFonts w:ascii="Times New Roman" w:hAnsi="Times New Roman"/>
                <w:sz w:val="22"/>
                <w:szCs w:val="22"/>
              </w:rPr>
              <w:t>74</w:t>
            </w:r>
          </w:p>
        </w:tc>
        <w:tc>
          <w:tcPr>
            <w:tcW w:w="1219" w:type="dxa"/>
            <w:vAlign w:val="bottom"/>
          </w:tcPr>
          <w:p w:rsidR="003908B9" w:rsidRPr="008F47CB" w:rsidP="00792E63" w14:paraId="2DF69973" w14:textId="14EB97C3">
            <w:pPr>
              <w:jc w:val="right"/>
              <w:rPr>
                <w:rFonts w:ascii="Times New Roman" w:hAnsi="Times New Roman"/>
                <w:sz w:val="22"/>
                <w:szCs w:val="22"/>
              </w:rPr>
            </w:pPr>
            <w:bookmarkStart w:id="2" w:name="OLE_LINK4"/>
            <w:r>
              <w:rPr>
                <w:rFonts w:ascii="Times New Roman" w:hAnsi="Times New Roman"/>
                <w:sz w:val="22"/>
                <w:szCs w:val="22"/>
              </w:rPr>
              <w:t>0.99</w:t>
            </w:r>
            <w:r w:rsidR="00412CCC">
              <w:rPr>
                <w:rFonts w:ascii="Times New Roman" w:hAnsi="Times New Roman"/>
                <w:sz w:val="22"/>
                <w:szCs w:val="22"/>
              </w:rPr>
              <w:t>4735</w:t>
            </w:r>
            <w:bookmarkEnd w:id="2"/>
          </w:p>
        </w:tc>
        <w:tc>
          <w:tcPr>
            <w:tcW w:w="1182" w:type="dxa"/>
            <w:vAlign w:val="bottom"/>
          </w:tcPr>
          <w:p w:rsidR="003908B9" w:rsidRPr="008F47CB" w:rsidP="00792E63" w14:paraId="6869AFA2" w14:textId="7880DADD">
            <w:pPr>
              <w:jc w:val="right"/>
              <w:rPr>
                <w:rFonts w:ascii="Times New Roman" w:hAnsi="Times New Roman"/>
                <w:sz w:val="22"/>
                <w:szCs w:val="22"/>
              </w:rPr>
            </w:pPr>
            <w:r>
              <w:rPr>
                <w:rFonts w:ascii="Times New Roman" w:hAnsi="Times New Roman"/>
                <w:sz w:val="22"/>
                <w:szCs w:val="22"/>
              </w:rPr>
              <w:t>62,3</w:t>
            </w:r>
            <w:r w:rsidR="00C564B0">
              <w:rPr>
                <w:rFonts w:ascii="Times New Roman" w:hAnsi="Times New Roman"/>
                <w:sz w:val="22"/>
                <w:szCs w:val="22"/>
              </w:rPr>
              <w:t>4</w:t>
            </w:r>
            <w:r>
              <w:rPr>
                <w:rFonts w:ascii="Times New Roman" w:hAnsi="Times New Roman"/>
                <w:sz w:val="22"/>
                <w:szCs w:val="22"/>
              </w:rPr>
              <w:t>4</w:t>
            </w:r>
          </w:p>
        </w:tc>
        <w:tc>
          <w:tcPr>
            <w:tcW w:w="1097" w:type="dxa"/>
            <w:vAlign w:val="bottom"/>
          </w:tcPr>
          <w:p w:rsidR="003908B9" w:rsidRPr="008F47CB" w:rsidP="00792E63" w14:paraId="3983D868" w14:textId="517159A8">
            <w:pPr>
              <w:jc w:val="right"/>
              <w:rPr>
                <w:rFonts w:ascii="Times New Roman" w:hAnsi="Times New Roman"/>
                <w:sz w:val="22"/>
                <w:szCs w:val="22"/>
              </w:rPr>
            </w:pPr>
            <w:r>
              <w:rPr>
                <w:rFonts w:ascii="Times New Roman" w:hAnsi="Times New Roman"/>
                <w:sz w:val="22"/>
                <w:szCs w:val="22"/>
              </w:rPr>
              <w:t>0.25hrs</w:t>
            </w:r>
          </w:p>
        </w:tc>
        <w:tc>
          <w:tcPr>
            <w:tcW w:w="950" w:type="dxa"/>
            <w:vAlign w:val="bottom"/>
          </w:tcPr>
          <w:p w:rsidR="003908B9" w:rsidRPr="008F47CB" w:rsidP="00792E63" w14:paraId="1211DF9B" w14:textId="7211F06E">
            <w:pPr>
              <w:jc w:val="right"/>
              <w:rPr>
                <w:rFonts w:ascii="Times New Roman" w:hAnsi="Times New Roman"/>
                <w:sz w:val="22"/>
                <w:szCs w:val="22"/>
              </w:rPr>
            </w:pPr>
            <w:r w:rsidRPr="00C564B0">
              <w:rPr>
                <w:rFonts w:ascii="Times New Roman" w:hAnsi="Times New Roman"/>
                <w:sz w:val="22"/>
                <w:szCs w:val="22"/>
              </w:rPr>
              <w:t>15</w:t>
            </w:r>
            <w:r>
              <w:rPr>
                <w:rFonts w:ascii="Times New Roman" w:hAnsi="Times New Roman"/>
                <w:sz w:val="22"/>
                <w:szCs w:val="22"/>
              </w:rPr>
              <w:t>,</w:t>
            </w:r>
            <w:r w:rsidRPr="00C564B0">
              <w:rPr>
                <w:rFonts w:ascii="Times New Roman" w:hAnsi="Times New Roman"/>
                <w:sz w:val="22"/>
                <w:szCs w:val="22"/>
              </w:rPr>
              <w:t>586</w:t>
            </w:r>
          </w:p>
        </w:tc>
        <w:tc>
          <w:tcPr>
            <w:tcW w:w="889" w:type="dxa"/>
            <w:vAlign w:val="bottom"/>
          </w:tcPr>
          <w:p w:rsidR="003908B9" w:rsidRPr="008F47CB" w:rsidP="00792E63" w14:paraId="52BBFE45" w14:textId="5167DF6D">
            <w:pPr>
              <w:jc w:val="right"/>
              <w:rPr>
                <w:rFonts w:ascii="Times New Roman" w:hAnsi="Times New Roman"/>
                <w:sz w:val="22"/>
                <w:szCs w:val="22"/>
              </w:rPr>
            </w:pPr>
            <w:r>
              <w:rPr>
                <w:rFonts w:ascii="Times New Roman" w:hAnsi="Times New Roman"/>
                <w:sz w:val="22"/>
                <w:szCs w:val="22"/>
              </w:rPr>
              <w:t>87.65</w:t>
            </w:r>
          </w:p>
        </w:tc>
        <w:tc>
          <w:tcPr>
            <w:tcW w:w="1434" w:type="dxa"/>
            <w:vAlign w:val="bottom"/>
          </w:tcPr>
          <w:p w:rsidR="003908B9" w:rsidRPr="008F47CB" w:rsidP="00792E63" w14:paraId="1116896A" w14:textId="4007C723">
            <w:pPr>
              <w:jc w:val="right"/>
              <w:rPr>
                <w:rFonts w:ascii="Times New Roman" w:hAnsi="Times New Roman"/>
                <w:sz w:val="22"/>
                <w:szCs w:val="22"/>
              </w:rPr>
            </w:pPr>
            <w:r w:rsidRPr="00C564B0">
              <w:rPr>
                <w:rFonts w:ascii="Times New Roman" w:hAnsi="Times New Roman"/>
                <w:sz w:val="22"/>
                <w:szCs w:val="22"/>
              </w:rPr>
              <w:t>1</w:t>
            </w:r>
            <w:r w:rsidR="00295738">
              <w:rPr>
                <w:rFonts w:ascii="Times New Roman" w:hAnsi="Times New Roman"/>
                <w:sz w:val="22"/>
                <w:szCs w:val="22"/>
              </w:rPr>
              <w:t>,</w:t>
            </w:r>
            <w:r w:rsidRPr="00C564B0">
              <w:rPr>
                <w:rFonts w:ascii="Times New Roman" w:hAnsi="Times New Roman"/>
                <w:sz w:val="22"/>
                <w:szCs w:val="22"/>
              </w:rPr>
              <w:t>366</w:t>
            </w:r>
            <w:r w:rsidR="00295738">
              <w:rPr>
                <w:rFonts w:ascii="Times New Roman" w:hAnsi="Times New Roman"/>
                <w:sz w:val="22"/>
                <w:szCs w:val="22"/>
              </w:rPr>
              <w:t>,113</w:t>
            </w:r>
          </w:p>
        </w:tc>
      </w:tr>
      <w:tr w14:paraId="578B68EB" w14:textId="77777777" w:rsidTr="00501A15">
        <w:tblPrEx>
          <w:tblW w:w="9625" w:type="dxa"/>
          <w:tblLook w:val="04A0"/>
        </w:tblPrEx>
        <w:tc>
          <w:tcPr>
            <w:tcW w:w="1439" w:type="dxa"/>
          </w:tcPr>
          <w:p w:rsidR="00501A15"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501A15" w:rsidRPr="008F47CB" w:rsidP="00501A15" w14:paraId="32AB6B8A" w14:textId="1D32D389">
            <w:pPr>
              <w:jc w:val="right"/>
              <w:rPr>
                <w:rFonts w:ascii="Times New Roman" w:hAnsi="Times New Roman"/>
                <w:b/>
                <w:i/>
                <w:sz w:val="22"/>
                <w:szCs w:val="22"/>
              </w:rPr>
            </w:pPr>
            <w:r>
              <w:rPr>
                <w:rFonts w:ascii="Times New Roman" w:hAnsi="Times New Roman"/>
                <w:b/>
                <w:i/>
                <w:sz w:val="22"/>
                <w:szCs w:val="22"/>
              </w:rPr>
              <w:t>94,011</w:t>
            </w:r>
          </w:p>
        </w:tc>
        <w:tc>
          <w:tcPr>
            <w:tcW w:w="1219" w:type="dxa"/>
            <w:vAlign w:val="bottom"/>
          </w:tcPr>
          <w:p w:rsidR="00501A15" w:rsidRPr="008F47CB" w:rsidP="00627B1F" w14:paraId="75495CB4" w14:textId="05A6D37F">
            <w:pPr>
              <w:jc w:val="center"/>
              <w:rPr>
                <w:rFonts w:ascii="Times New Roman" w:hAnsi="Times New Roman"/>
                <w:b/>
                <w:i/>
                <w:sz w:val="22"/>
                <w:szCs w:val="22"/>
              </w:rPr>
            </w:pPr>
            <w:r w:rsidRPr="00631C6F">
              <w:rPr>
                <w:rFonts w:ascii="Times New Roman" w:hAnsi="Times New Roman"/>
                <w:b/>
                <w:i/>
                <w:sz w:val="22"/>
                <w:szCs w:val="22"/>
              </w:rPr>
              <w:t>0.994735</w:t>
            </w:r>
          </w:p>
        </w:tc>
        <w:tc>
          <w:tcPr>
            <w:tcW w:w="1182" w:type="dxa"/>
            <w:vAlign w:val="bottom"/>
          </w:tcPr>
          <w:p w:rsidR="00501A15" w:rsidRPr="008F47CB" w:rsidP="00501A15" w14:paraId="1A7661D9" w14:textId="149C43AC">
            <w:pPr>
              <w:jc w:val="right"/>
              <w:rPr>
                <w:rFonts w:ascii="Times New Roman" w:hAnsi="Times New Roman"/>
                <w:b/>
                <w:i/>
                <w:sz w:val="22"/>
                <w:szCs w:val="22"/>
              </w:rPr>
            </w:pPr>
            <w:r>
              <w:rPr>
                <w:rFonts w:ascii="Times New Roman" w:hAnsi="Times New Roman"/>
                <w:b/>
                <w:i/>
                <w:sz w:val="22"/>
                <w:szCs w:val="22"/>
              </w:rPr>
              <w:t>93,516</w:t>
            </w:r>
          </w:p>
        </w:tc>
        <w:tc>
          <w:tcPr>
            <w:tcW w:w="1097" w:type="dxa"/>
            <w:vAlign w:val="bottom"/>
          </w:tcPr>
          <w:p w:rsidR="00501A15" w:rsidRPr="008F47CB" w:rsidP="00501A15" w14:paraId="4A94906E" w14:textId="49D72FB4">
            <w:pPr>
              <w:jc w:val="right"/>
              <w:rPr>
                <w:rFonts w:ascii="Times New Roman" w:hAnsi="Times New Roman"/>
                <w:b/>
                <w:i/>
                <w:sz w:val="22"/>
                <w:szCs w:val="22"/>
              </w:rPr>
            </w:pPr>
            <w:r>
              <w:rPr>
                <w:rFonts w:ascii="Times New Roman" w:hAnsi="Times New Roman"/>
                <w:b/>
                <w:i/>
                <w:sz w:val="22"/>
                <w:szCs w:val="22"/>
              </w:rPr>
              <w:t>0.75 hrs</w:t>
            </w:r>
          </w:p>
        </w:tc>
        <w:tc>
          <w:tcPr>
            <w:tcW w:w="950" w:type="dxa"/>
            <w:vAlign w:val="bottom"/>
          </w:tcPr>
          <w:p w:rsidR="00501A15" w:rsidRPr="008F47CB" w:rsidP="00501A15" w14:paraId="4075BA8E" w14:textId="7A16616D">
            <w:pPr>
              <w:jc w:val="right"/>
              <w:rPr>
                <w:rFonts w:ascii="Times New Roman" w:hAnsi="Times New Roman"/>
                <w:b/>
                <w:i/>
                <w:sz w:val="22"/>
                <w:szCs w:val="22"/>
              </w:rPr>
            </w:pPr>
            <w:r>
              <w:rPr>
                <w:rFonts w:ascii="Times New Roman" w:hAnsi="Times New Roman"/>
                <w:b/>
                <w:i/>
                <w:sz w:val="22"/>
                <w:szCs w:val="22"/>
              </w:rPr>
              <w:t>70,137</w:t>
            </w:r>
          </w:p>
        </w:tc>
        <w:tc>
          <w:tcPr>
            <w:tcW w:w="889" w:type="dxa"/>
            <w:vAlign w:val="bottom"/>
          </w:tcPr>
          <w:p w:rsidR="00501A15" w:rsidRPr="008F47CB" w:rsidP="00501A15" w14:paraId="7F82B751" w14:textId="50FAEA02">
            <w:pPr>
              <w:jc w:val="right"/>
              <w:rPr>
                <w:rFonts w:ascii="Times New Roman" w:hAnsi="Times New Roman"/>
                <w:b/>
                <w:i/>
                <w:sz w:val="22"/>
                <w:szCs w:val="22"/>
              </w:rPr>
            </w:pPr>
          </w:p>
        </w:tc>
        <w:tc>
          <w:tcPr>
            <w:tcW w:w="1434" w:type="dxa"/>
            <w:vAlign w:val="bottom"/>
          </w:tcPr>
          <w:p w:rsidR="002D2A41" w:rsidRPr="008F47CB" w:rsidP="00501A15" w14:paraId="54BFA78B" w14:textId="5666A840">
            <w:pPr>
              <w:jc w:val="right"/>
              <w:rPr>
                <w:rFonts w:ascii="Times New Roman" w:hAnsi="Times New Roman"/>
                <w:b/>
                <w:i/>
                <w:sz w:val="22"/>
                <w:szCs w:val="22"/>
              </w:rPr>
            </w:pPr>
            <w:r w:rsidRPr="00C564B0">
              <w:rPr>
                <w:rFonts w:ascii="Times New Roman" w:hAnsi="Times New Roman"/>
                <w:sz w:val="22"/>
                <w:szCs w:val="22"/>
              </w:rPr>
              <w:t>6</w:t>
            </w:r>
            <w:r w:rsidR="00295738">
              <w:rPr>
                <w:rFonts w:ascii="Times New Roman" w:hAnsi="Times New Roman"/>
                <w:sz w:val="22"/>
                <w:szCs w:val="22"/>
              </w:rPr>
              <w:t>,</w:t>
            </w:r>
            <w:r w:rsidRPr="00C564B0">
              <w:rPr>
                <w:rFonts w:ascii="Times New Roman" w:hAnsi="Times New Roman"/>
                <w:sz w:val="22"/>
                <w:szCs w:val="22"/>
              </w:rPr>
              <w:t>147</w:t>
            </w:r>
            <w:r w:rsidR="00295738">
              <w:rPr>
                <w:rFonts w:ascii="Times New Roman" w:hAnsi="Times New Roman"/>
                <w:sz w:val="22"/>
                <w:szCs w:val="22"/>
              </w:rPr>
              <w:t>,</w:t>
            </w:r>
            <w:r w:rsidRPr="00C564B0">
              <w:rPr>
                <w:rFonts w:ascii="Times New Roman" w:hAnsi="Times New Roman"/>
                <w:sz w:val="22"/>
                <w:szCs w:val="22"/>
              </w:rPr>
              <w:t xml:space="preserve">508 </w:t>
            </w:r>
          </w:p>
        </w:tc>
      </w:tr>
    </w:tbl>
    <w:p w:rsidR="00D472BE" w:rsidP="00E60FB0" w14:paraId="1758C1F3" w14:textId="7C90956B">
      <w:pPr>
        <w:widowControl/>
        <w:autoSpaceDE/>
        <w:autoSpaceDN/>
        <w:adjustRightInd/>
        <w:rPr>
          <w:rFonts w:ascii="Times New Roman" w:hAnsi="Times New Roman"/>
          <w:highlight w:val="yellow"/>
        </w:rPr>
      </w:pPr>
    </w:p>
    <w:p w:rsidR="00EE2223" w:rsidRPr="00E84630" w:rsidP="00E84630" w14:paraId="73540948" w14:textId="4C331431">
      <w:pPr>
        <w:pStyle w:val="ListParagraph"/>
        <w:widowControl/>
        <w:numPr>
          <w:ilvl w:val="0"/>
          <w:numId w:val="17"/>
        </w:numPr>
        <w:autoSpaceDE/>
        <w:autoSpaceDN/>
        <w:adjustRightInd/>
        <w:rPr>
          <w:rFonts w:ascii="Times New Roman" w:hAnsi="Times New Roman"/>
          <w:iCs/>
          <w:u w:val="single"/>
        </w:rPr>
      </w:pPr>
      <w:r w:rsidRPr="00E84630">
        <w:rPr>
          <w:rFonts w:ascii="Times New Roman" w:hAnsi="Times New Roman"/>
          <w:iCs/>
          <w:u w:val="single"/>
        </w:rPr>
        <w:t>Estimate of the total annual cost burden</w:t>
      </w:r>
    </w:p>
    <w:p w:rsidR="00E84630" w:rsidP="00E84630" w14:paraId="5E9A6AA0" w14:textId="0028B614">
      <w:pPr>
        <w:widowControl/>
        <w:autoSpaceDE/>
        <w:autoSpaceDN/>
        <w:adjustRightInd/>
        <w:ind w:left="360"/>
        <w:rPr>
          <w:rFonts w:ascii="Times New Roman" w:hAnsi="Times New Roman"/>
          <w:iCs/>
        </w:rPr>
      </w:pPr>
      <w:r w:rsidRPr="00E84630">
        <w:rPr>
          <w:rFonts w:ascii="Times New Roman" w:hAnsi="Times New Roman"/>
          <w:iCs/>
        </w:rPr>
        <w:t xml:space="preserve">Respondents are not estimated to incur any additional start-up cost or capital expenditure </w:t>
      </w:r>
      <w:r w:rsidRPr="00E84630">
        <w:rPr>
          <w:rFonts w:ascii="Times New Roman" w:hAnsi="Times New Roman"/>
          <w:iCs/>
        </w:rPr>
        <w:t>as a result of</w:t>
      </w:r>
      <w:r w:rsidRPr="00E84630">
        <w:rPr>
          <w:rFonts w:ascii="Times New Roman" w:hAnsi="Times New Roman"/>
          <w:iCs/>
        </w:rPr>
        <w:t xml:space="preserve"> this information collection</w:t>
      </w:r>
    </w:p>
    <w:p w:rsidR="00E84630" w:rsidRPr="00E84630" w:rsidP="00E84630" w14:paraId="34DDDE9B" w14:textId="77777777">
      <w:pPr>
        <w:widowControl/>
        <w:autoSpaceDE/>
        <w:autoSpaceDN/>
        <w:adjustRightInd/>
        <w:ind w:left="360"/>
        <w:rPr>
          <w:rFonts w:ascii="Times New Roman" w:hAnsi="Times New Roman"/>
          <w:iCs/>
        </w:rPr>
      </w:pPr>
    </w:p>
    <w:p w:rsidR="00E84630" w:rsidRPr="00C155DE" w:rsidP="00E84630" w14:paraId="776A2F17" w14:textId="3EB1A2C6">
      <w:pPr>
        <w:pStyle w:val="ListParagraph"/>
        <w:widowControl/>
        <w:numPr>
          <w:ilvl w:val="0"/>
          <w:numId w:val="17"/>
        </w:numPr>
        <w:autoSpaceDE/>
        <w:autoSpaceDN/>
        <w:adjustRightInd/>
        <w:rPr>
          <w:rFonts w:ascii="Times New Roman" w:hAnsi="Times New Roman"/>
          <w:iCs/>
          <w:u w:val="single"/>
        </w:rPr>
      </w:pPr>
      <w:r w:rsidRPr="00C155DE">
        <w:rPr>
          <w:rFonts w:ascii="Times New Roman" w:hAnsi="Times New Roman"/>
          <w:iCs/>
          <w:u w:val="single"/>
        </w:rPr>
        <w:t>Estimate of the annualized cost to the Federal Government</w:t>
      </w:r>
    </w:p>
    <w:p w:rsidR="00E84630" w:rsidP="00E84630" w14:paraId="3FBE4C36" w14:textId="3ABE878C">
      <w:pPr>
        <w:widowControl/>
        <w:autoSpaceDE/>
        <w:autoSpaceDN/>
        <w:adjustRightInd/>
        <w:ind w:left="360"/>
        <w:rPr>
          <w:rFonts w:ascii="Times New Roman" w:hAnsi="Times New Roman"/>
          <w:iCs/>
        </w:rPr>
      </w:pPr>
      <w:r>
        <w:rPr>
          <w:rFonts w:ascii="Times New Roman" w:hAnsi="Times New Roman"/>
          <w:iCs/>
        </w:rPr>
        <w:t xml:space="preserve">Certification Authority Cost: </w:t>
      </w:r>
      <w:r w:rsidR="00C155DE">
        <w:rPr>
          <w:rFonts w:ascii="Times New Roman" w:hAnsi="Times New Roman"/>
          <w:iCs/>
        </w:rPr>
        <w:tab/>
      </w:r>
      <w:r>
        <w:rPr>
          <w:rFonts w:ascii="Times New Roman" w:hAnsi="Times New Roman"/>
          <w:iCs/>
        </w:rPr>
        <w:t>$732,922</w:t>
      </w:r>
    </w:p>
    <w:p w:rsidR="00E84630" w:rsidP="00E84630" w14:paraId="439878B6" w14:textId="3A62E026">
      <w:pPr>
        <w:widowControl/>
        <w:autoSpaceDE/>
        <w:autoSpaceDN/>
        <w:adjustRightInd/>
        <w:ind w:left="360"/>
        <w:rPr>
          <w:rFonts w:ascii="Times New Roman" w:hAnsi="Times New Roman"/>
          <w:iCs/>
        </w:rPr>
      </w:pPr>
      <w:r>
        <w:rPr>
          <w:rFonts w:ascii="Times New Roman" w:hAnsi="Times New Roman"/>
          <w:iCs/>
        </w:rPr>
        <w:t xml:space="preserve">Registration Authority Cost: </w:t>
      </w:r>
      <w:r w:rsidR="00C155DE">
        <w:rPr>
          <w:rFonts w:ascii="Times New Roman" w:hAnsi="Times New Roman"/>
          <w:iCs/>
        </w:rPr>
        <w:tab/>
      </w:r>
      <w:r>
        <w:rPr>
          <w:rFonts w:ascii="Times New Roman" w:hAnsi="Times New Roman"/>
          <w:iCs/>
        </w:rPr>
        <w:t xml:space="preserve">$597,688 for year 1 and $418,382 for year 2 and </w:t>
      </w:r>
      <w:r w:rsidR="00C155DE">
        <w:rPr>
          <w:rFonts w:ascii="Times New Roman" w:hAnsi="Times New Roman"/>
          <w:iCs/>
        </w:rPr>
        <w:t>there</w:t>
      </w:r>
      <w:r>
        <w:rPr>
          <w:rFonts w:ascii="Times New Roman" w:hAnsi="Times New Roman"/>
          <w:iCs/>
        </w:rPr>
        <w:t>after.</w:t>
      </w:r>
    </w:p>
    <w:p w:rsidR="00C155DE" w:rsidP="00E84630" w14:paraId="1615B9A6" w14:textId="7E3DE6EB">
      <w:pPr>
        <w:widowControl/>
        <w:autoSpaceDE/>
        <w:autoSpaceDN/>
        <w:adjustRightInd/>
        <w:ind w:left="360"/>
        <w:rPr>
          <w:rFonts w:ascii="Times New Roman" w:hAnsi="Times New Roman"/>
          <w:iCs/>
        </w:rPr>
      </w:pPr>
      <w:r>
        <w:rPr>
          <w:rFonts w:ascii="Times New Roman" w:hAnsi="Times New Roman"/>
          <w:iCs/>
        </w:rPr>
        <w:t xml:space="preserve">Call Center Support Cost: </w:t>
      </w:r>
      <w:r>
        <w:rPr>
          <w:rFonts w:ascii="Times New Roman" w:hAnsi="Times New Roman"/>
          <w:iCs/>
        </w:rPr>
        <w:tab/>
      </w:r>
      <w:r w:rsidRPr="00C155DE">
        <w:rPr>
          <w:rFonts w:ascii="Times New Roman" w:hAnsi="Times New Roman"/>
          <w:iCs/>
        </w:rPr>
        <w:t>$1,749,946</w:t>
      </w:r>
      <w:r>
        <w:rPr>
          <w:rFonts w:ascii="Times New Roman" w:hAnsi="Times New Roman"/>
          <w:iCs/>
        </w:rPr>
        <w:t>.</w:t>
      </w:r>
    </w:p>
    <w:p w:rsidR="00C155DE" w:rsidP="00E84630" w14:paraId="50248A2B" w14:textId="27D0D2C3">
      <w:pPr>
        <w:widowControl/>
        <w:autoSpaceDE/>
        <w:autoSpaceDN/>
        <w:adjustRightInd/>
        <w:ind w:left="360"/>
        <w:rPr>
          <w:rFonts w:ascii="Times New Roman" w:hAnsi="Times New Roman"/>
          <w:iCs/>
        </w:rPr>
      </w:pPr>
      <w:r>
        <w:rPr>
          <w:rFonts w:ascii="Times New Roman" w:hAnsi="Times New Roman"/>
          <w:iCs/>
        </w:rPr>
        <w:t xml:space="preserve">Information Technology Cost: </w:t>
      </w:r>
      <w:r>
        <w:rPr>
          <w:rFonts w:ascii="Times New Roman" w:hAnsi="Times New Roman"/>
          <w:iCs/>
        </w:rPr>
        <w:tab/>
      </w:r>
      <w:r w:rsidRPr="00C155DE">
        <w:rPr>
          <w:rFonts w:ascii="Times New Roman" w:hAnsi="Times New Roman"/>
          <w:iCs/>
        </w:rPr>
        <w:t>$2,935,200</w:t>
      </w:r>
      <w:r>
        <w:rPr>
          <w:rFonts w:ascii="Times New Roman" w:hAnsi="Times New Roman"/>
          <w:iCs/>
        </w:rPr>
        <w:t>.</w:t>
      </w:r>
    </w:p>
    <w:p w:rsidR="00C155DE" w:rsidP="00C155DE" w14:paraId="4FDCBBFA" w14:textId="7493A8FF">
      <w:pPr>
        <w:widowControl/>
        <w:autoSpaceDE/>
        <w:autoSpaceDN/>
        <w:adjustRightInd/>
        <w:ind w:left="3600" w:hanging="3240"/>
        <w:rPr>
          <w:rFonts w:ascii="Times New Roman" w:hAnsi="Times New Roman"/>
          <w:iCs/>
        </w:rPr>
      </w:pPr>
      <w:r>
        <w:rPr>
          <w:rFonts w:ascii="Times New Roman" w:hAnsi="Times New Roman"/>
          <w:iCs/>
        </w:rPr>
        <w:t xml:space="preserve">Total Cost: </w:t>
      </w:r>
      <w:r>
        <w:rPr>
          <w:rFonts w:ascii="Times New Roman" w:hAnsi="Times New Roman"/>
          <w:iCs/>
        </w:rPr>
        <w:tab/>
        <w:t>$</w:t>
      </w:r>
      <w:r w:rsidRPr="00C155DE">
        <w:rPr>
          <w:rFonts w:ascii="Times New Roman" w:hAnsi="Times New Roman"/>
          <w:iCs/>
        </w:rPr>
        <w:t>5,836,519</w:t>
      </w:r>
      <w:r>
        <w:rPr>
          <w:rFonts w:ascii="Times New Roman" w:hAnsi="Times New Roman"/>
          <w:iCs/>
        </w:rPr>
        <w:t xml:space="preserve"> for year 1 and $</w:t>
      </w:r>
      <w:r w:rsidRPr="00C155DE">
        <w:rPr>
          <w:rFonts w:ascii="Times New Roman" w:hAnsi="Times New Roman"/>
          <w:iCs/>
        </w:rPr>
        <w:t>5,521,909</w:t>
      </w:r>
      <w:r>
        <w:rPr>
          <w:rFonts w:ascii="Times New Roman" w:hAnsi="Times New Roman"/>
          <w:iCs/>
        </w:rPr>
        <w:t xml:space="preserve"> for year 2 and thereafter.</w:t>
      </w:r>
    </w:p>
    <w:p w:rsidR="00E84630" w:rsidP="00E84630" w14:paraId="5167409D" w14:textId="7814F09E">
      <w:pPr>
        <w:widowControl/>
        <w:autoSpaceDE/>
        <w:autoSpaceDN/>
        <w:adjustRightInd/>
        <w:ind w:left="360"/>
        <w:rPr>
          <w:rFonts w:ascii="Times New Roman" w:hAnsi="Times New Roman"/>
          <w:iCs/>
        </w:rPr>
      </w:pPr>
      <w:r>
        <w:rPr>
          <w:rFonts w:ascii="Times New Roman" w:hAnsi="Times New Roman"/>
          <w:iCs/>
        </w:rPr>
        <w:t>For simplicity, DEA uses the “year 2” figure of $5,521,909 as the annualized cost.</w:t>
      </w:r>
    </w:p>
    <w:p w:rsidR="002D2282" w:rsidRPr="001D4681" w:rsidP="002D2282" w14:paraId="448FFE03" w14:textId="18EFAEE4">
      <w:pPr>
        <w:pStyle w:val="ListParagraph"/>
        <w:widowControl/>
        <w:numPr>
          <w:ilvl w:val="0"/>
          <w:numId w:val="17"/>
        </w:numPr>
        <w:autoSpaceDE/>
        <w:autoSpaceDN/>
        <w:adjustRightInd/>
        <w:rPr>
          <w:rFonts w:ascii="Times New Roman" w:hAnsi="Times New Roman"/>
          <w:iCs/>
          <w:u w:val="single"/>
        </w:rPr>
      </w:pPr>
      <w:r w:rsidRPr="001D4681">
        <w:rPr>
          <w:rFonts w:ascii="Times New Roman" w:hAnsi="Times New Roman"/>
          <w:iCs/>
          <w:u w:val="single"/>
        </w:rPr>
        <w:t>Reason in changes for burden</w:t>
      </w:r>
    </w:p>
    <w:p w:rsidR="002D2282" w:rsidP="002D2282" w14:paraId="3E152C82" w14:textId="6A48F719">
      <w:pPr>
        <w:widowControl/>
        <w:autoSpaceDE/>
        <w:autoSpaceDN/>
        <w:adjustRightInd/>
        <w:ind w:left="360"/>
        <w:rPr>
          <w:rFonts w:ascii="Times New Roman" w:hAnsi="Times New Roman"/>
          <w:iCs/>
        </w:rPr>
      </w:pPr>
      <w:bookmarkStart w:id="3" w:name="OLE_LINK5"/>
      <w:r>
        <w:rPr>
          <w:rFonts w:ascii="Times New Roman" w:hAnsi="Times New Roman"/>
          <w:iCs/>
        </w:rPr>
        <w:t>Changes in the annual burden estimate is the result of the decreases in the expected time to complete the new applications or renewals using online portal. T</w:t>
      </w:r>
      <w:r w:rsidRPr="002D2282">
        <w:rPr>
          <w:rFonts w:ascii="Times New Roman" w:hAnsi="Times New Roman"/>
          <w:iCs/>
        </w:rPr>
        <w:t>he</w:t>
      </w:r>
      <w:r w:rsidR="00BF1DC3">
        <w:rPr>
          <w:rFonts w:ascii="Times New Roman" w:hAnsi="Times New Roman"/>
          <w:iCs/>
        </w:rPr>
        <w:t xml:space="preserve"> estimated</w:t>
      </w:r>
      <w:r w:rsidRPr="002D2282">
        <w:rPr>
          <w:rFonts w:ascii="Times New Roman" w:hAnsi="Times New Roman"/>
          <w:iCs/>
        </w:rPr>
        <w:t xml:space="preserve"> required time to complete a new application</w:t>
      </w:r>
      <w:r w:rsidR="00BF1DC3">
        <w:rPr>
          <w:rFonts w:ascii="Times New Roman" w:hAnsi="Times New Roman"/>
          <w:iCs/>
        </w:rPr>
        <w:t xml:space="preserve"> and a renewal</w:t>
      </w:r>
      <w:r w:rsidRPr="002D2282">
        <w:rPr>
          <w:rFonts w:ascii="Times New Roman" w:hAnsi="Times New Roman"/>
          <w:iCs/>
        </w:rPr>
        <w:t xml:space="preserve"> </w:t>
      </w:r>
      <w:r>
        <w:rPr>
          <w:rFonts w:ascii="Times New Roman" w:hAnsi="Times New Roman"/>
          <w:iCs/>
        </w:rPr>
        <w:t>is</w:t>
      </w:r>
      <w:r w:rsidRPr="002D2282">
        <w:rPr>
          <w:rFonts w:ascii="Times New Roman" w:hAnsi="Times New Roman"/>
          <w:iCs/>
        </w:rPr>
        <w:t xml:space="preserve"> 1.75 hours</w:t>
      </w:r>
      <w:r w:rsidR="00BF1DC3">
        <w:rPr>
          <w:rFonts w:ascii="Times New Roman" w:hAnsi="Times New Roman"/>
          <w:iCs/>
        </w:rPr>
        <w:t xml:space="preserve"> and 0.25 hours respectively</w:t>
      </w:r>
      <w:r w:rsidRPr="002D2282">
        <w:rPr>
          <w:rFonts w:ascii="Times New Roman" w:hAnsi="Times New Roman"/>
          <w:iCs/>
        </w:rPr>
        <w:t xml:space="preserve"> </w:t>
      </w:r>
      <w:r>
        <w:rPr>
          <w:rFonts w:ascii="Times New Roman" w:hAnsi="Times New Roman"/>
          <w:iCs/>
        </w:rPr>
        <w:t>compared to 3 hours</w:t>
      </w:r>
      <w:r w:rsidR="00BF1DC3">
        <w:rPr>
          <w:rFonts w:ascii="Times New Roman" w:hAnsi="Times New Roman"/>
          <w:iCs/>
        </w:rPr>
        <w:t xml:space="preserve"> and 1.5 hours</w:t>
      </w:r>
      <w:r>
        <w:rPr>
          <w:rFonts w:ascii="Times New Roman" w:hAnsi="Times New Roman"/>
          <w:iCs/>
        </w:rPr>
        <w:t xml:space="preserve"> using paper application</w:t>
      </w:r>
      <w:r w:rsidR="00BF1DC3">
        <w:rPr>
          <w:rFonts w:ascii="Times New Roman" w:hAnsi="Times New Roman"/>
          <w:iCs/>
        </w:rPr>
        <w:t xml:space="preserve">. </w:t>
      </w:r>
      <w:r w:rsidR="001D4681">
        <w:rPr>
          <w:rFonts w:ascii="Times New Roman" w:hAnsi="Times New Roman"/>
          <w:iCs/>
        </w:rPr>
        <w:t xml:space="preserve">The change in requested cost burden is due to change in methodology.  The 2022 annual cost burden was based on the labor burden calculated in section </w:t>
      </w:r>
      <w:r w:rsidR="00174D37">
        <w:rPr>
          <w:rFonts w:ascii="Times New Roman" w:hAnsi="Times New Roman"/>
          <w:iCs/>
        </w:rPr>
        <w:t xml:space="preserve">12; </w:t>
      </w:r>
      <w:r w:rsidR="00174D37">
        <w:rPr>
          <w:rFonts w:ascii="Times New Roman" w:hAnsi="Times New Roman"/>
          <w:iCs/>
        </w:rPr>
        <w:t>whereas</w:t>
      </w:r>
      <w:r w:rsidR="001D4681">
        <w:rPr>
          <w:rFonts w:ascii="Times New Roman" w:hAnsi="Times New Roman"/>
          <w:iCs/>
        </w:rPr>
        <w:t>,</w:t>
      </w:r>
      <w:r w:rsidR="001D4681">
        <w:rPr>
          <w:rFonts w:ascii="Times New Roman" w:hAnsi="Times New Roman"/>
          <w:iCs/>
        </w:rPr>
        <w:t xml:space="preserve"> the new requested annual cost burden is based on the annual cost burden in section 13.  </w:t>
      </w:r>
      <w:r>
        <w:rPr>
          <w:rFonts w:ascii="Times New Roman" w:hAnsi="Times New Roman"/>
          <w:iCs/>
        </w:rPr>
        <w:t>The table below summarizes the changes since the last renewal of the collection of this information.</w:t>
      </w:r>
    </w:p>
    <w:bookmarkEnd w:id="3"/>
    <w:p w:rsidR="002D2282" w:rsidP="002D2282" w14:paraId="58A82527" w14:textId="77777777">
      <w:pPr>
        <w:widowControl/>
        <w:autoSpaceDE/>
        <w:autoSpaceDN/>
        <w:adjustRightInd/>
        <w:ind w:left="360"/>
        <w:rPr>
          <w:rFonts w:ascii="Times New Roman" w:hAnsi="Times New Roman"/>
          <w:iCs/>
        </w:rPr>
      </w:pPr>
    </w:p>
    <w:tbl>
      <w:tblPr>
        <w:tblW w:w="7285" w:type="dxa"/>
        <w:jc w:val="center"/>
        <w:tblLayout w:type="fixed"/>
        <w:tblLook w:val="04A0"/>
      </w:tblPr>
      <w:tblGrid>
        <w:gridCol w:w="2279"/>
        <w:gridCol w:w="1946"/>
        <w:gridCol w:w="1350"/>
        <w:gridCol w:w="1710"/>
      </w:tblGrid>
      <w:tr w14:paraId="78FAA078" w14:textId="77777777" w:rsidTr="001D4681">
        <w:tblPrEx>
          <w:tblW w:w="7285" w:type="dxa"/>
          <w:jc w:val="center"/>
          <w:tblLayout w:type="fixed"/>
          <w:tblLook w:val="04A0"/>
        </w:tblPrEx>
        <w:trPr>
          <w:trHeight w:val="765"/>
          <w:jc w:val="center"/>
        </w:trPr>
        <w:tc>
          <w:tcPr>
            <w:tcW w:w="2279"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2D2282" w:rsidRPr="001D4681" w:rsidP="002D2282" w14:paraId="4D44F3A0" w14:textId="77777777">
            <w:pPr>
              <w:widowControl/>
              <w:autoSpaceDE/>
              <w:autoSpaceDN/>
              <w:adjustRightInd/>
              <w:rPr>
                <w:rFonts w:ascii="Times New Roman" w:hAnsi="Times New Roman"/>
                <w:color w:val="000000"/>
                <w:sz w:val="22"/>
                <w:szCs w:val="22"/>
              </w:rPr>
            </w:pPr>
            <w:r w:rsidRPr="001D4681">
              <w:rPr>
                <w:rFonts w:ascii="Times New Roman" w:hAnsi="Times New Roman"/>
                <w:color w:val="000000"/>
                <w:sz w:val="22"/>
                <w:szCs w:val="22"/>
              </w:rPr>
              <w:t> </w:t>
            </w:r>
          </w:p>
        </w:tc>
        <w:tc>
          <w:tcPr>
            <w:tcW w:w="1946" w:type="dxa"/>
            <w:tcBorders>
              <w:top w:val="single" w:sz="4" w:space="0" w:color="auto"/>
              <w:left w:val="nil"/>
              <w:bottom w:val="single" w:sz="4" w:space="0" w:color="auto"/>
              <w:right w:val="single" w:sz="4" w:space="0" w:color="auto"/>
            </w:tcBorders>
            <w:shd w:val="clear" w:color="000000" w:fill="D9E1F2"/>
            <w:vAlign w:val="center"/>
            <w:hideMark/>
          </w:tcPr>
          <w:p w:rsidR="002D2282" w:rsidRPr="001D4681" w:rsidP="002D2282" w14:paraId="6943115F" w14:textId="77777777">
            <w:pPr>
              <w:widowControl/>
              <w:autoSpaceDE/>
              <w:autoSpaceDN/>
              <w:adjustRightInd/>
              <w:jc w:val="center"/>
              <w:rPr>
                <w:rFonts w:ascii="Times New Roman" w:hAnsi="Times New Roman"/>
                <w:b/>
                <w:bCs/>
                <w:color w:val="000000"/>
                <w:sz w:val="22"/>
                <w:szCs w:val="22"/>
              </w:rPr>
            </w:pPr>
            <w:r w:rsidRPr="001D4681">
              <w:rPr>
                <w:rFonts w:ascii="Times New Roman" w:hAnsi="Times New Roman"/>
                <w:b/>
                <w:bCs/>
                <w:color w:val="000000"/>
                <w:sz w:val="22"/>
                <w:szCs w:val="22"/>
              </w:rPr>
              <w:t>2022 Approved Burden</w:t>
            </w:r>
          </w:p>
        </w:tc>
        <w:tc>
          <w:tcPr>
            <w:tcW w:w="1350" w:type="dxa"/>
            <w:tcBorders>
              <w:top w:val="single" w:sz="4" w:space="0" w:color="auto"/>
              <w:left w:val="nil"/>
              <w:bottom w:val="single" w:sz="4" w:space="0" w:color="auto"/>
              <w:right w:val="single" w:sz="4" w:space="0" w:color="auto"/>
            </w:tcBorders>
            <w:shd w:val="clear" w:color="000000" w:fill="D9E1F2"/>
            <w:vAlign w:val="center"/>
            <w:hideMark/>
          </w:tcPr>
          <w:p w:rsidR="002D2282" w:rsidRPr="001D4681" w:rsidP="002D2282" w14:paraId="4CFE57F5" w14:textId="77777777">
            <w:pPr>
              <w:widowControl/>
              <w:autoSpaceDE/>
              <w:autoSpaceDN/>
              <w:adjustRightInd/>
              <w:jc w:val="center"/>
              <w:rPr>
                <w:rFonts w:ascii="Times New Roman" w:hAnsi="Times New Roman"/>
                <w:b/>
                <w:bCs/>
                <w:color w:val="000000"/>
                <w:sz w:val="22"/>
                <w:szCs w:val="22"/>
              </w:rPr>
            </w:pPr>
            <w:r w:rsidRPr="001D4681">
              <w:rPr>
                <w:rFonts w:ascii="Times New Roman" w:hAnsi="Times New Roman"/>
                <w:b/>
                <w:bCs/>
                <w:color w:val="000000"/>
                <w:sz w:val="22"/>
                <w:szCs w:val="22"/>
              </w:rPr>
              <w:t>New Requested Burden</w:t>
            </w:r>
          </w:p>
        </w:tc>
        <w:tc>
          <w:tcPr>
            <w:tcW w:w="1710" w:type="dxa"/>
            <w:tcBorders>
              <w:top w:val="single" w:sz="4" w:space="0" w:color="auto"/>
              <w:left w:val="nil"/>
              <w:bottom w:val="single" w:sz="4" w:space="0" w:color="auto"/>
              <w:right w:val="single" w:sz="4" w:space="0" w:color="auto"/>
            </w:tcBorders>
            <w:shd w:val="clear" w:color="000000" w:fill="D9E1F2"/>
            <w:vAlign w:val="center"/>
            <w:hideMark/>
          </w:tcPr>
          <w:p w:rsidR="002D2282" w:rsidRPr="001D4681" w:rsidP="002D2282" w14:paraId="548121CD" w14:textId="77777777">
            <w:pPr>
              <w:widowControl/>
              <w:autoSpaceDE/>
              <w:autoSpaceDN/>
              <w:adjustRightInd/>
              <w:jc w:val="center"/>
              <w:rPr>
                <w:rFonts w:ascii="Times New Roman" w:hAnsi="Times New Roman"/>
                <w:b/>
                <w:bCs/>
                <w:color w:val="000000"/>
                <w:sz w:val="22"/>
                <w:szCs w:val="22"/>
              </w:rPr>
            </w:pPr>
            <w:r w:rsidRPr="001D4681">
              <w:rPr>
                <w:rFonts w:ascii="Times New Roman" w:hAnsi="Times New Roman"/>
                <w:b/>
                <w:bCs/>
                <w:color w:val="000000"/>
                <w:sz w:val="22"/>
                <w:szCs w:val="22"/>
              </w:rPr>
              <w:t>Difference</w:t>
            </w:r>
          </w:p>
        </w:tc>
      </w:tr>
      <w:tr w14:paraId="5DBD4B96" w14:textId="77777777" w:rsidTr="001D4681">
        <w:tblPrEx>
          <w:tblW w:w="7285" w:type="dxa"/>
          <w:jc w:val="center"/>
          <w:tblLayout w:type="fixed"/>
          <w:tblLook w:val="04A0"/>
        </w:tblPrEx>
        <w:trPr>
          <w:trHeight w:val="300"/>
          <w:jc w:val="center"/>
        </w:trPr>
        <w:tc>
          <w:tcPr>
            <w:tcW w:w="2279" w:type="dxa"/>
            <w:tcBorders>
              <w:top w:val="nil"/>
              <w:left w:val="single" w:sz="4" w:space="0" w:color="auto"/>
              <w:bottom w:val="single" w:sz="4" w:space="0" w:color="auto"/>
              <w:right w:val="single" w:sz="4" w:space="0" w:color="auto"/>
            </w:tcBorders>
            <w:shd w:val="clear" w:color="auto" w:fill="auto"/>
            <w:vAlign w:val="center"/>
            <w:hideMark/>
          </w:tcPr>
          <w:p w:rsidR="002D2282" w:rsidRPr="001D4681" w:rsidP="002D2282" w14:paraId="41EB041E" w14:textId="77777777">
            <w:pPr>
              <w:widowControl/>
              <w:autoSpaceDE/>
              <w:autoSpaceDN/>
              <w:adjustRightInd/>
              <w:rPr>
                <w:rFonts w:ascii="Times New Roman" w:hAnsi="Times New Roman"/>
                <w:color w:val="000000"/>
                <w:sz w:val="22"/>
                <w:szCs w:val="22"/>
              </w:rPr>
            </w:pPr>
            <w:r w:rsidRPr="001D4681">
              <w:rPr>
                <w:rFonts w:ascii="Times New Roman" w:hAnsi="Times New Roman"/>
                <w:color w:val="000000"/>
                <w:sz w:val="22"/>
                <w:szCs w:val="22"/>
              </w:rPr>
              <w:t>Annual responses</w:t>
            </w:r>
          </w:p>
        </w:tc>
        <w:tc>
          <w:tcPr>
            <w:tcW w:w="1946" w:type="dxa"/>
            <w:tcBorders>
              <w:top w:val="nil"/>
              <w:left w:val="nil"/>
              <w:bottom w:val="single" w:sz="4" w:space="0" w:color="auto"/>
              <w:right w:val="single" w:sz="4" w:space="0" w:color="auto"/>
            </w:tcBorders>
            <w:shd w:val="clear" w:color="auto" w:fill="auto"/>
            <w:vAlign w:val="center"/>
            <w:hideMark/>
          </w:tcPr>
          <w:p w:rsidR="002D2282" w:rsidRPr="001D4681" w:rsidP="002D2282" w14:paraId="7009DBB8" w14:textId="77777777">
            <w:pPr>
              <w:widowControl/>
              <w:autoSpaceDE/>
              <w:autoSpaceDN/>
              <w:adjustRightInd/>
              <w:jc w:val="right"/>
              <w:rPr>
                <w:rFonts w:ascii="Times New Roman" w:hAnsi="Times New Roman"/>
                <w:color w:val="000000"/>
                <w:sz w:val="22"/>
                <w:szCs w:val="22"/>
              </w:rPr>
            </w:pPr>
            <w:r w:rsidRPr="001D4681">
              <w:rPr>
                <w:rFonts w:ascii="Times New Roman" w:hAnsi="Times New Roman"/>
                <w:color w:val="000000"/>
                <w:sz w:val="22"/>
                <w:szCs w:val="22"/>
              </w:rPr>
              <w:t xml:space="preserve">                   93,516 </w:t>
            </w:r>
          </w:p>
        </w:tc>
        <w:tc>
          <w:tcPr>
            <w:tcW w:w="1350" w:type="dxa"/>
            <w:tcBorders>
              <w:top w:val="nil"/>
              <w:left w:val="nil"/>
              <w:bottom w:val="single" w:sz="4" w:space="0" w:color="auto"/>
              <w:right w:val="single" w:sz="4" w:space="0" w:color="auto"/>
            </w:tcBorders>
            <w:shd w:val="clear" w:color="auto" w:fill="auto"/>
            <w:vAlign w:val="center"/>
            <w:hideMark/>
          </w:tcPr>
          <w:p w:rsidR="002D2282" w:rsidRPr="001D4681" w:rsidP="002D2282" w14:paraId="453F2678" w14:textId="77777777">
            <w:pPr>
              <w:widowControl/>
              <w:autoSpaceDE/>
              <w:autoSpaceDN/>
              <w:adjustRightInd/>
              <w:jc w:val="right"/>
              <w:rPr>
                <w:rFonts w:ascii="Times New Roman" w:hAnsi="Times New Roman"/>
                <w:color w:val="000000"/>
                <w:sz w:val="22"/>
                <w:szCs w:val="22"/>
              </w:rPr>
            </w:pPr>
            <w:r w:rsidRPr="001D4681">
              <w:rPr>
                <w:rFonts w:ascii="Times New Roman" w:hAnsi="Times New Roman"/>
                <w:color w:val="000000"/>
                <w:sz w:val="22"/>
                <w:szCs w:val="22"/>
              </w:rPr>
              <w:t xml:space="preserve">         93,516 </w:t>
            </w:r>
          </w:p>
        </w:tc>
        <w:tc>
          <w:tcPr>
            <w:tcW w:w="1710" w:type="dxa"/>
            <w:tcBorders>
              <w:top w:val="nil"/>
              <w:left w:val="nil"/>
              <w:bottom w:val="single" w:sz="4" w:space="0" w:color="auto"/>
              <w:right w:val="single" w:sz="4" w:space="0" w:color="auto"/>
            </w:tcBorders>
            <w:shd w:val="clear" w:color="auto" w:fill="auto"/>
            <w:vAlign w:val="center"/>
            <w:hideMark/>
          </w:tcPr>
          <w:p w:rsidR="002D2282" w:rsidRPr="001D4681" w:rsidP="002D2282" w14:paraId="22B3908E" w14:textId="77777777">
            <w:pPr>
              <w:widowControl/>
              <w:autoSpaceDE/>
              <w:autoSpaceDN/>
              <w:adjustRightInd/>
              <w:jc w:val="right"/>
              <w:rPr>
                <w:rFonts w:ascii="Times New Roman" w:hAnsi="Times New Roman"/>
                <w:color w:val="000000"/>
                <w:sz w:val="22"/>
                <w:szCs w:val="22"/>
              </w:rPr>
            </w:pPr>
            <w:r w:rsidRPr="001D4681">
              <w:rPr>
                <w:rFonts w:ascii="Times New Roman" w:hAnsi="Times New Roman"/>
                <w:color w:val="000000"/>
                <w:sz w:val="22"/>
                <w:szCs w:val="22"/>
              </w:rPr>
              <w:t xml:space="preserve">                     -   </w:t>
            </w:r>
          </w:p>
        </w:tc>
      </w:tr>
      <w:tr w14:paraId="3866072A" w14:textId="77777777" w:rsidTr="001D4681">
        <w:tblPrEx>
          <w:tblW w:w="7285" w:type="dxa"/>
          <w:jc w:val="center"/>
          <w:tblLayout w:type="fixed"/>
          <w:tblLook w:val="04A0"/>
        </w:tblPrEx>
        <w:trPr>
          <w:trHeight w:val="323"/>
          <w:jc w:val="center"/>
        </w:trPr>
        <w:tc>
          <w:tcPr>
            <w:tcW w:w="2279" w:type="dxa"/>
            <w:tcBorders>
              <w:top w:val="nil"/>
              <w:left w:val="single" w:sz="4" w:space="0" w:color="auto"/>
              <w:bottom w:val="single" w:sz="4" w:space="0" w:color="auto"/>
              <w:right w:val="single" w:sz="4" w:space="0" w:color="auto"/>
            </w:tcBorders>
            <w:shd w:val="clear" w:color="auto" w:fill="auto"/>
            <w:vAlign w:val="center"/>
            <w:hideMark/>
          </w:tcPr>
          <w:p w:rsidR="002D2282" w:rsidRPr="001D4681" w:rsidP="002D2282" w14:paraId="42099594" w14:textId="77777777">
            <w:pPr>
              <w:widowControl/>
              <w:autoSpaceDE/>
              <w:autoSpaceDN/>
              <w:adjustRightInd/>
              <w:rPr>
                <w:rFonts w:ascii="Times New Roman" w:hAnsi="Times New Roman"/>
                <w:color w:val="000000"/>
                <w:sz w:val="22"/>
                <w:szCs w:val="22"/>
              </w:rPr>
            </w:pPr>
            <w:r w:rsidRPr="001D4681">
              <w:rPr>
                <w:rFonts w:ascii="Times New Roman" w:hAnsi="Times New Roman"/>
                <w:color w:val="000000"/>
                <w:sz w:val="22"/>
                <w:szCs w:val="22"/>
              </w:rPr>
              <w:t>Annual burden hours</w:t>
            </w:r>
          </w:p>
        </w:tc>
        <w:tc>
          <w:tcPr>
            <w:tcW w:w="1946" w:type="dxa"/>
            <w:tcBorders>
              <w:top w:val="nil"/>
              <w:left w:val="nil"/>
              <w:bottom w:val="single" w:sz="4" w:space="0" w:color="auto"/>
              <w:right w:val="single" w:sz="4" w:space="0" w:color="auto"/>
            </w:tcBorders>
            <w:shd w:val="clear" w:color="auto" w:fill="auto"/>
            <w:vAlign w:val="center"/>
            <w:hideMark/>
          </w:tcPr>
          <w:p w:rsidR="002D2282" w:rsidRPr="001D4681" w:rsidP="002D2282" w14:paraId="04BC31AD" w14:textId="77777777">
            <w:pPr>
              <w:widowControl/>
              <w:autoSpaceDE/>
              <w:autoSpaceDN/>
              <w:adjustRightInd/>
              <w:jc w:val="right"/>
              <w:rPr>
                <w:rFonts w:ascii="Times New Roman" w:hAnsi="Times New Roman"/>
                <w:color w:val="000000"/>
                <w:sz w:val="22"/>
                <w:szCs w:val="22"/>
              </w:rPr>
            </w:pPr>
            <w:r w:rsidRPr="001D4681">
              <w:rPr>
                <w:rFonts w:ascii="Times New Roman" w:hAnsi="Times New Roman"/>
                <w:color w:val="000000"/>
                <w:sz w:val="22"/>
                <w:szCs w:val="22"/>
              </w:rPr>
              <w:t xml:space="preserve">                 187,032 </w:t>
            </w:r>
          </w:p>
        </w:tc>
        <w:tc>
          <w:tcPr>
            <w:tcW w:w="1350" w:type="dxa"/>
            <w:tcBorders>
              <w:top w:val="nil"/>
              <w:left w:val="nil"/>
              <w:bottom w:val="single" w:sz="4" w:space="0" w:color="auto"/>
              <w:right w:val="single" w:sz="4" w:space="0" w:color="auto"/>
            </w:tcBorders>
            <w:shd w:val="clear" w:color="auto" w:fill="auto"/>
            <w:vAlign w:val="center"/>
            <w:hideMark/>
          </w:tcPr>
          <w:p w:rsidR="002D2282" w:rsidRPr="001D4681" w:rsidP="002D2282" w14:paraId="42CA6455" w14:textId="77777777">
            <w:pPr>
              <w:widowControl/>
              <w:autoSpaceDE/>
              <w:autoSpaceDN/>
              <w:adjustRightInd/>
              <w:jc w:val="right"/>
              <w:rPr>
                <w:rFonts w:ascii="Times New Roman" w:hAnsi="Times New Roman"/>
                <w:color w:val="000000"/>
                <w:sz w:val="22"/>
                <w:szCs w:val="22"/>
              </w:rPr>
            </w:pPr>
            <w:r w:rsidRPr="001D4681">
              <w:rPr>
                <w:rFonts w:ascii="Times New Roman" w:hAnsi="Times New Roman"/>
                <w:color w:val="000000"/>
                <w:sz w:val="22"/>
                <w:szCs w:val="22"/>
              </w:rPr>
              <w:t xml:space="preserve">         70,137 </w:t>
            </w:r>
          </w:p>
        </w:tc>
        <w:tc>
          <w:tcPr>
            <w:tcW w:w="1710" w:type="dxa"/>
            <w:tcBorders>
              <w:top w:val="nil"/>
              <w:left w:val="nil"/>
              <w:bottom w:val="single" w:sz="4" w:space="0" w:color="auto"/>
              <w:right w:val="single" w:sz="4" w:space="0" w:color="auto"/>
            </w:tcBorders>
            <w:shd w:val="clear" w:color="auto" w:fill="auto"/>
            <w:vAlign w:val="center"/>
            <w:hideMark/>
          </w:tcPr>
          <w:p w:rsidR="002D2282" w:rsidRPr="001D4681" w:rsidP="002D2282" w14:paraId="6977EA57" w14:textId="77777777">
            <w:pPr>
              <w:widowControl/>
              <w:autoSpaceDE/>
              <w:autoSpaceDN/>
              <w:adjustRightInd/>
              <w:jc w:val="right"/>
              <w:rPr>
                <w:rFonts w:ascii="Times New Roman" w:hAnsi="Times New Roman"/>
                <w:color w:val="000000"/>
                <w:sz w:val="22"/>
                <w:szCs w:val="22"/>
              </w:rPr>
            </w:pPr>
            <w:r w:rsidRPr="001D4681">
              <w:rPr>
                <w:rFonts w:ascii="Times New Roman" w:hAnsi="Times New Roman"/>
                <w:color w:val="000000"/>
                <w:sz w:val="22"/>
                <w:szCs w:val="22"/>
              </w:rPr>
              <w:t xml:space="preserve">          (116,895)</w:t>
            </w:r>
          </w:p>
        </w:tc>
      </w:tr>
      <w:tr w14:paraId="116EB372" w14:textId="77777777" w:rsidTr="001D4681">
        <w:tblPrEx>
          <w:tblW w:w="7285" w:type="dxa"/>
          <w:jc w:val="center"/>
          <w:tblLayout w:type="fixed"/>
          <w:tblLook w:val="04A0"/>
        </w:tblPrEx>
        <w:trPr>
          <w:trHeight w:val="300"/>
          <w:jc w:val="center"/>
        </w:trPr>
        <w:tc>
          <w:tcPr>
            <w:tcW w:w="2279" w:type="dxa"/>
            <w:tcBorders>
              <w:top w:val="nil"/>
              <w:left w:val="single" w:sz="4" w:space="0" w:color="auto"/>
              <w:bottom w:val="single" w:sz="4" w:space="0" w:color="auto"/>
              <w:right w:val="single" w:sz="4" w:space="0" w:color="auto"/>
            </w:tcBorders>
            <w:shd w:val="clear" w:color="auto" w:fill="auto"/>
            <w:vAlign w:val="center"/>
            <w:hideMark/>
          </w:tcPr>
          <w:p w:rsidR="002D2282" w:rsidRPr="001D4681" w:rsidP="002D2282" w14:paraId="3D2D9DE4" w14:textId="31D976D6">
            <w:pPr>
              <w:widowControl/>
              <w:autoSpaceDE/>
              <w:autoSpaceDN/>
              <w:adjustRightInd/>
              <w:rPr>
                <w:rFonts w:ascii="Times New Roman" w:hAnsi="Times New Roman"/>
                <w:color w:val="000000"/>
                <w:sz w:val="22"/>
                <w:szCs w:val="22"/>
              </w:rPr>
            </w:pPr>
            <w:r w:rsidRPr="001D4681">
              <w:rPr>
                <w:rFonts w:ascii="Times New Roman" w:hAnsi="Times New Roman"/>
                <w:color w:val="000000"/>
                <w:sz w:val="22"/>
                <w:szCs w:val="22"/>
              </w:rPr>
              <w:t>Annual cost</w:t>
            </w:r>
            <w:r w:rsidR="001D4681">
              <w:rPr>
                <w:rFonts w:ascii="Times New Roman" w:hAnsi="Times New Roman"/>
                <w:color w:val="000000"/>
                <w:sz w:val="22"/>
                <w:szCs w:val="22"/>
              </w:rPr>
              <w:t xml:space="preserve"> burden</w:t>
            </w:r>
            <w:r w:rsidRPr="001D4681">
              <w:rPr>
                <w:rFonts w:ascii="Times New Roman" w:hAnsi="Times New Roman"/>
                <w:color w:val="000000"/>
                <w:sz w:val="22"/>
                <w:szCs w:val="22"/>
              </w:rPr>
              <w:t xml:space="preserve"> ($)</w:t>
            </w:r>
          </w:p>
        </w:tc>
        <w:tc>
          <w:tcPr>
            <w:tcW w:w="1946" w:type="dxa"/>
            <w:tcBorders>
              <w:top w:val="nil"/>
              <w:left w:val="nil"/>
              <w:bottom w:val="single" w:sz="4" w:space="0" w:color="auto"/>
              <w:right w:val="single" w:sz="4" w:space="0" w:color="auto"/>
            </w:tcBorders>
            <w:shd w:val="clear" w:color="auto" w:fill="auto"/>
            <w:vAlign w:val="center"/>
            <w:hideMark/>
          </w:tcPr>
          <w:p w:rsidR="002D2282" w:rsidRPr="001D4681" w:rsidP="002D2282" w14:paraId="1A0F002F" w14:textId="77777777">
            <w:pPr>
              <w:widowControl/>
              <w:autoSpaceDE/>
              <w:autoSpaceDN/>
              <w:adjustRightInd/>
              <w:jc w:val="right"/>
              <w:rPr>
                <w:rFonts w:ascii="Times New Roman" w:hAnsi="Times New Roman"/>
                <w:color w:val="000000"/>
                <w:sz w:val="22"/>
                <w:szCs w:val="22"/>
              </w:rPr>
            </w:pPr>
            <w:r w:rsidRPr="001D4681">
              <w:rPr>
                <w:rFonts w:ascii="Times New Roman" w:hAnsi="Times New Roman"/>
                <w:color w:val="000000"/>
                <w:sz w:val="22"/>
                <w:szCs w:val="22"/>
              </w:rPr>
              <w:t xml:space="preserve">            </w:t>
            </w:r>
            <w:bookmarkStart w:id="4" w:name="OLE_LINK3"/>
            <w:r w:rsidRPr="001D4681">
              <w:rPr>
                <w:rFonts w:ascii="Times New Roman" w:hAnsi="Times New Roman"/>
                <w:color w:val="000000"/>
                <w:sz w:val="22"/>
                <w:szCs w:val="22"/>
              </w:rPr>
              <w:t xml:space="preserve">16,393,355 </w:t>
            </w:r>
            <w:bookmarkEnd w:id="4"/>
          </w:p>
        </w:tc>
        <w:tc>
          <w:tcPr>
            <w:tcW w:w="1350" w:type="dxa"/>
            <w:tcBorders>
              <w:top w:val="nil"/>
              <w:left w:val="nil"/>
              <w:bottom w:val="single" w:sz="4" w:space="0" w:color="auto"/>
              <w:right w:val="single" w:sz="4" w:space="0" w:color="auto"/>
            </w:tcBorders>
            <w:shd w:val="clear" w:color="auto" w:fill="auto"/>
            <w:vAlign w:val="center"/>
            <w:hideMark/>
          </w:tcPr>
          <w:p w:rsidR="002D2282" w:rsidRPr="001D4681" w:rsidP="002D2282" w14:paraId="4C86C212" w14:textId="148FBA8F">
            <w:pPr>
              <w:widowControl/>
              <w:autoSpaceDE/>
              <w:autoSpaceDN/>
              <w:adjustRightInd/>
              <w:jc w:val="right"/>
              <w:rPr>
                <w:rFonts w:ascii="Times New Roman" w:hAnsi="Times New Roman"/>
                <w:color w:val="000000"/>
                <w:sz w:val="22"/>
                <w:szCs w:val="22"/>
              </w:rPr>
            </w:pPr>
            <w:r w:rsidRPr="001D4681">
              <w:rPr>
                <w:rFonts w:ascii="Times New Roman" w:hAnsi="Times New Roman"/>
                <w:color w:val="000000"/>
                <w:sz w:val="22"/>
                <w:szCs w:val="22"/>
              </w:rPr>
              <w:t xml:space="preserve"> </w:t>
            </w:r>
            <w:r w:rsidR="001D4681">
              <w:rPr>
                <w:rFonts w:ascii="Times New Roman" w:hAnsi="Times New Roman"/>
                <w:color w:val="000000"/>
                <w:sz w:val="22"/>
                <w:szCs w:val="22"/>
              </w:rPr>
              <w:t>0</w:t>
            </w:r>
          </w:p>
        </w:tc>
        <w:tc>
          <w:tcPr>
            <w:tcW w:w="1710" w:type="dxa"/>
            <w:tcBorders>
              <w:top w:val="nil"/>
              <w:left w:val="nil"/>
              <w:bottom w:val="single" w:sz="4" w:space="0" w:color="auto"/>
              <w:right w:val="single" w:sz="4" w:space="0" w:color="auto"/>
            </w:tcBorders>
            <w:shd w:val="clear" w:color="auto" w:fill="auto"/>
            <w:vAlign w:val="center"/>
            <w:hideMark/>
          </w:tcPr>
          <w:p w:rsidR="002D2282" w:rsidRPr="001D4681" w:rsidP="002D2282" w14:paraId="68D012D0" w14:textId="4568274C">
            <w:pPr>
              <w:widowControl/>
              <w:autoSpaceDE/>
              <w:autoSpaceDN/>
              <w:adjustRightInd/>
              <w:jc w:val="right"/>
              <w:rPr>
                <w:rFonts w:ascii="Times New Roman" w:hAnsi="Times New Roman"/>
                <w:color w:val="000000"/>
                <w:sz w:val="22"/>
                <w:szCs w:val="22"/>
              </w:rPr>
            </w:pPr>
            <w:r w:rsidRPr="001D4681">
              <w:rPr>
                <w:rFonts w:ascii="Times New Roman" w:hAnsi="Times New Roman"/>
                <w:color w:val="000000"/>
                <w:sz w:val="22"/>
                <w:szCs w:val="22"/>
              </w:rPr>
              <w:t xml:space="preserve">     (</w:t>
            </w:r>
            <w:r w:rsidR="001D4681">
              <w:rPr>
                <w:rFonts w:ascii="Times New Roman" w:hAnsi="Times New Roman"/>
                <w:color w:val="000000"/>
                <w:sz w:val="22"/>
                <w:szCs w:val="22"/>
              </w:rPr>
              <w:t>16,393,355</w:t>
            </w:r>
            <w:r w:rsidRPr="001D4681">
              <w:rPr>
                <w:rFonts w:ascii="Times New Roman" w:hAnsi="Times New Roman"/>
                <w:color w:val="000000"/>
                <w:sz w:val="22"/>
                <w:szCs w:val="22"/>
              </w:rPr>
              <w:t>)</w:t>
            </w:r>
          </w:p>
        </w:tc>
      </w:tr>
    </w:tbl>
    <w:p w:rsidR="00983CA7" w:rsidRPr="00F4518C" w:rsidP="00690F56"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10180C3" w14:textId="3AB06C3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97266B" w:rsidP="00690F56" w14:paraId="6F473DAE" w14:textId="41B9681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16.</w:t>
      </w:r>
      <w:r w:rsidR="0097266B">
        <w:rPr>
          <w:rFonts w:ascii="Times New Roman" w:hAnsi="Times New Roman"/>
        </w:rPr>
        <w:t xml:space="preserve"> </w:t>
      </w:r>
      <w:r>
        <w:rPr>
          <w:rFonts w:ascii="Times New Roman" w:hAnsi="Times New Roman"/>
        </w:rPr>
        <w:t xml:space="preserve">DEA will not publish the results of the information collected. </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5B4ADBB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17.</w:t>
      </w:r>
      <w:r w:rsidR="0097266B">
        <w:rPr>
          <w:rFonts w:ascii="Times New Roman" w:hAnsi="Times New Roman"/>
        </w:rPr>
        <w:t xml:space="preserve"> </w:t>
      </w:r>
      <w:r w:rsidR="00142508">
        <w:rPr>
          <w:rFonts w:ascii="Times New Roman" w:hAnsi="Times New Roman"/>
        </w:rPr>
        <w:t xml:space="preserve">DEA does not object to OMB displaying the expiration date.  </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6B2D13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18. </w:t>
      </w:r>
      <w:r w:rsidR="00CE1515">
        <w:rPr>
          <w:rFonts w:ascii="Times New Roman" w:hAnsi="Times New Roman"/>
        </w:rPr>
        <w:t xml:space="preserve">DEA is not seeking an exception to the certification statement “Certification for Paperwork Reduction Act Submissions” for this collection of information. </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60197720">
      <w:pPr>
        <w:rPr>
          <w:rFonts w:ascii="Times New Roman" w:hAnsi="Times New Roman"/>
        </w:rPr>
      </w:pPr>
      <w:r>
        <w:rPr>
          <w:rFonts w:ascii="Times New Roman" w:hAnsi="Times New Roman"/>
        </w:rPr>
        <w:t xml:space="preserve">DEA will not be employing statistical methods in this information collection. </w:t>
      </w:r>
    </w:p>
    <w:sectPr w:rsidSect="00C07F7F">
      <w:headerReference w:type="default" r:id="rId9"/>
      <w:footerReference w:type="even" r:id="rId10"/>
      <w:footerReference w:type="default" r:id="rId11"/>
      <w:headerReference w:type="first" r:id="rId12"/>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92E63" w14:paraId="4093558B" w14:textId="77777777">
      <w:r>
        <w:separator/>
      </w:r>
    </w:p>
  </w:footnote>
  <w:footnote w:type="continuationSeparator" w:id="1">
    <w:p w:rsidR="00792E63" w14:paraId="574B8DEF" w14:textId="77777777">
      <w:r>
        <w:continuationSeparator/>
      </w:r>
    </w:p>
  </w:footnote>
  <w:footnote w:id="2">
    <w:p w:rsidR="00BF132F" w:rsidRPr="00BF132F" w14:paraId="5802070E" w14:textId="68624CF7">
      <w:pPr>
        <w:pStyle w:val="FootnoteText"/>
        <w:rPr>
          <w:rFonts w:ascii="Times New Roman" w:hAnsi="Times New Roman"/>
        </w:rPr>
      </w:pPr>
      <w:r w:rsidRPr="00BF132F">
        <w:rPr>
          <w:rStyle w:val="FootnoteReference"/>
          <w:rFonts w:ascii="Times New Roman" w:hAnsi="Times New Roman"/>
        </w:rPr>
        <w:footnoteRef/>
      </w:r>
      <w:r w:rsidRPr="00BF132F">
        <w:rPr>
          <w:rFonts w:ascii="Times New Roman" w:hAnsi="Times New Roman"/>
        </w:rPr>
        <w:t xml:space="preserve"> Hourly median wage, Bureau of Labor Statistics, Occupational and Employment and Wages, May 2021, 29-1051 Pharmacists (</w:t>
      </w:r>
      <w:bookmarkStart w:id="1" w:name="OLE_LINK2"/>
      <w:r w:rsidRPr="00BF132F">
        <w:rPr>
          <w:rFonts w:ascii="Times New Roman" w:hAnsi="Times New Roman"/>
        </w:rPr>
        <w:t>http://www.bls.gov/oes/current/oes</w:t>
      </w:r>
      <w:bookmarkEnd w:id="1"/>
      <w:r w:rsidRPr="00BF132F">
        <w:rPr>
          <w:rFonts w:ascii="Times New Roman" w:hAnsi="Times New Roman"/>
        </w:rPr>
        <w:t>).</w:t>
      </w:r>
    </w:p>
  </w:footnote>
  <w:footnote w:id="3">
    <w:p w:rsidR="00BF132F" w:rsidRPr="00BF132F" w14:paraId="208B0E5E" w14:textId="278092D3">
      <w:pPr>
        <w:pStyle w:val="FootnoteText"/>
        <w:rPr>
          <w:rFonts w:ascii="Times New Roman" w:hAnsi="Times New Roman"/>
        </w:rPr>
      </w:pPr>
      <w:r w:rsidRPr="00BF132F">
        <w:rPr>
          <w:rStyle w:val="FootnoteReference"/>
          <w:rFonts w:ascii="Times New Roman" w:hAnsi="Times New Roman"/>
        </w:rPr>
        <w:footnoteRef/>
      </w:r>
      <w:r w:rsidRPr="00BF132F">
        <w:rPr>
          <w:rFonts w:ascii="Times New Roman" w:hAnsi="Times New Roman"/>
        </w:rPr>
        <w:t xml:space="preserve"> Bureau of Labor Statistics, “Employer Costs for Employee Compensation – December 2021” (ECEC) reports that average benefits for private industry is 29.5% of total compensation.  The 29.5% of total compensation equates to 41.8% (29.5% / 70.5%) load on wages and salaries.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388C6124">
    <w:pPr>
      <w:pStyle w:val="Header"/>
      <w:rPr>
        <w:rFonts w:ascii="Times New Roman" w:hAnsi="Times New Roman"/>
        <w:bCs/>
        <w:sz w:val="20"/>
        <w:szCs w:val="20"/>
      </w:rPr>
    </w:pPr>
    <w:r>
      <w:rPr>
        <w:rFonts w:ascii="Times New Roman" w:hAnsi="Times New Roman"/>
        <w:bCs/>
        <w:sz w:val="20"/>
        <w:szCs w:val="20"/>
      </w:rPr>
      <w:t>Reporting and Recordkeeping for Digital Certificates- Form 251</w:t>
    </w:r>
  </w:p>
  <w:p w:rsidR="00EC0B43" w14:paraId="52F50703" w14:textId="6607AC16">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520B6F">
      <w:rPr>
        <w:rFonts w:ascii="Times New Roman" w:hAnsi="Times New Roman"/>
        <w:sz w:val="20"/>
        <w:szCs w:val="20"/>
      </w:rPr>
      <w:t>1117-0038</w:t>
    </w:r>
  </w:p>
  <w:p w:rsidR="00304132" w14:paraId="29EBD65C" w14:textId="2944B478">
    <w:pPr>
      <w:pStyle w:val="Header"/>
      <w:rPr>
        <w:rFonts w:ascii="Times New Roman" w:hAnsi="Times New Roman"/>
        <w:sz w:val="20"/>
        <w:szCs w:val="20"/>
      </w:rPr>
    </w:pPr>
    <w:r>
      <w:rPr>
        <w:rFonts w:ascii="Times New Roman" w:hAnsi="Times New Roman"/>
        <w:sz w:val="20"/>
        <w:szCs w:val="20"/>
      </w:rPr>
      <w:t xml:space="preserve">OMB Expiration Date: </w:t>
    </w:r>
    <w:r w:rsidR="00E6600D">
      <w:rPr>
        <w:rFonts w:ascii="Times New Roman" w:hAnsi="Times New Roman"/>
        <w:sz w:val="20"/>
        <w:szCs w:val="20"/>
      </w:rPr>
      <w:t>11</w:t>
    </w:r>
    <w:r w:rsidR="00996A5D">
      <w:rPr>
        <w:rFonts w:ascii="Times New Roman" w:hAnsi="Times New Roman"/>
        <w:sz w:val="20"/>
        <w:szCs w:val="20"/>
      </w:rPr>
      <w:t>/</w:t>
    </w:r>
    <w:r w:rsidR="00E6600D">
      <w:rPr>
        <w:rFonts w:ascii="Times New Roman" w:hAnsi="Times New Roman"/>
        <w:sz w:val="20"/>
        <w:szCs w:val="20"/>
      </w:rPr>
      <w:t>30</w:t>
    </w:r>
    <w:r w:rsidR="00996A5D">
      <w:rPr>
        <w:rFonts w:ascii="Times New Roman" w:hAnsi="Times New Roman"/>
        <w:sz w:val="20"/>
        <w:szCs w:val="20"/>
      </w:rPr>
      <w:t>/</w:t>
    </w:r>
    <w:r w:rsidR="00E6600D">
      <w:rPr>
        <w:rFonts w:ascii="Times New Roman" w:hAnsi="Times New Roman"/>
        <w:sz w:val="20"/>
        <w:szCs w:val="20"/>
      </w:rPr>
      <w:t>2025</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58E0021"/>
    <w:multiLevelType w:val="hybridMultilevel"/>
    <w:tmpl w:val="55EC9B18"/>
    <w:lvl w:ilvl="0">
      <w:start w:val="1"/>
      <w:numFmt w:val="decimal"/>
      <w:lvlText w:val="%1."/>
      <w:lvlJc w:val="left"/>
      <w:pPr>
        <w:ind w:left="720" w:hanging="360"/>
      </w:pPr>
      <w:rPr>
        <w:rFonts w:ascii="Times New Roman" w:hAnsi="Times New Roman" w:cs="Times New Roman"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AB8145A"/>
    <w:multiLevelType w:val="hybridMultilevel"/>
    <w:tmpl w:val="A3AEF9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3">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E223735"/>
    <w:multiLevelType w:val="hybridMultilevel"/>
    <w:tmpl w:val="E8B89388"/>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77970647">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24480392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179545108">
    <w:abstractNumId w:val="3"/>
  </w:num>
  <w:num w:numId="4" w16cid:durableId="937055761">
    <w:abstractNumId w:val="11"/>
  </w:num>
  <w:num w:numId="5" w16cid:durableId="1379667368">
    <w:abstractNumId w:val="2"/>
  </w:num>
  <w:num w:numId="6" w16cid:durableId="549077429">
    <w:abstractNumId w:val="4"/>
  </w:num>
  <w:num w:numId="7" w16cid:durableId="33384647">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98199841">
    <w:abstractNumId w:val="13"/>
  </w:num>
  <w:num w:numId="9" w16cid:durableId="33239299">
    <w:abstractNumId w:val="1"/>
  </w:num>
  <w:num w:numId="10" w16cid:durableId="1466699188">
    <w:abstractNumId w:val="12"/>
  </w:num>
  <w:num w:numId="11" w16cid:durableId="1406418938">
    <w:abstractNumId w:val="6"/>
  </w:num>
  <w:num w:numId="12" w16cid:durableId="1853571519">
    <w:abstractNumId w:val="8"/>
  </w:num>
  <w:num w:numId="13" w16cid:durableId="897588099">
    <w:abstractNumId w:val="5"/>
  </w:num>
  <w:num w:numId="14" w16cid:durableId="1575820366">
    <w:abstractNumId w:val="14"/>
  </w:num>
  <w:num w:numId="15" w16cid:durableId="1196582511">
    <w:abstractNumId w:val="7"/>
  </w:num>
  <w:num w:numId="16" w16cid:durableId="1891963846">
    <w:abstractNumId w:val="10"/>
  </w:num>
  <w:num w:numId="17" w16cid:durableId="1919175030">
    <w:abstractNumId w:val="9"/>
  </w:num>
  <w:num w:numId="18" w16cid:durableId="11839762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20790"/>
    <w:rsid w:val="00020F69"/>
    <w:rsid w:val="00021849"/>
    <w:rsid w:val="00022303"/>
    <w:rsid w:val="0003073D"/>
    <w:rsid w:val="00036D27"/>
    <w:rsid w:val="0004107F"/>
    <w:rsid w:val="00042CBD"/>
    <w:rsid w:val="00052174"/>
    <w:rsid w:val="00061F6C"/>
    <w:rsid w:val="00064E28"/>
    <w:rsid w:val="000655CC"/>
    <w:rsid w:val="0007383F"/>
    <w:rsid w:val="00082FE0"/>
    <w:rsid w:val="00085885"/>
    <w:rsid w:val="00094A5E"/>
    <w:rsid w:val="00095C30"/>
    <w:rsid w:val="00097C15"/>
    <w:rsid w:val="000A166A"/>
    <w:rsid w:val="000A1CDA"/>
    <w:rsid w:val="000A27AA"/>
    <w:rsid w:val="000A7853"/>
    <w:rsid w:val="000B0391"/>
    <w:rsid w:val="000B4875"/>
    <w:rsid w:val="000B6FB6"/>
    <w:rsid w:val="000C257C"/>
    <w:rsid w:val="000C3A92"/>
    <w:rsid w:val="000C74FB"/>
    <w:rsid w:val="000D7F95"/>
    <w:rsid w:val="000E1C64"/>
    <w:rsid w:val="000F6836"/>
    <w:rsid w:val="001040D4"/>
    <w:rsid w:val="001078BB"/>
    <w:rsid w:val="00116CD5"/>
    <w:rsid w:val="00117CA5"/>
    <w:rsid w:val="00130188"/>
    <w:rsid w:val="00133C47"/>
    <w:rsid w:val="00133E3D"/>
    <w:rsid w:val="00137539"/>
    <w:rsid w:val="001376D3"/>
    <w:rsid w:val="00142508"/>
    <w:rsid w:val="0014556E"/>
    <w:rsid w:val="0014601E"/>
    <w:rsid w:val="0015322B"/>
    <w:rsid w:val="0015365E"/>
    <w:rsid w:val="00157A90"/>
    <w:rsid w:val="00167AD4"/>
    <w:rsid w:val="00174D37"/>
    <w:rsid w:val="001762ED"/>
    <w:rsid w:val="00180E5A"/>
    <w:rsid w:val="00192711"/>
    <w:rsid w:val="001A47D9"/>
    <w:rsid w:val="001B3AA9"/>
    <w:rsid w:val="001B4BB9"/>
    <w:rsid w:val="001C39F6"/>
    <w:rsid w:val="001C4212"/>
    <w:rsid w:val="001D10ED"/>
    <w:rsid w:val="001D2D09"/>
    <w:rsid w:val="001D4681"/>
    <w:rsid w:val="001D67BB"/>
    <w:rsid w:val="001E0E7F"/>
    <w:rsid w:val="001E2932"/>
    <w:rsid w:val="001E3596"/>
    <w:rsid w:val="001E5213"/>
    <w:rsid w:val="001F056F"/>
    <w:rsid w:val="001F2E8E"/>
    <w:rsid w:val="001F552E"/>
    <w:rsid w:val="002036A1"/>
    <w:rsid w:val="00210A61"/>
    <w:rsid w:val="002134B4"/>
    <w:rsid w:val="002203C9"/>
    <w:rsid w:val="00231254"/>
    <w:rsid w:val="0023275B"/>
    <w:rsid w:val="00233AF8"/>
    <w:rsid w:val="00234341"/>
    <w:rsid w:val="00237691"/>
    <w:rsid w:val="00237927"/>
    <w:rsid w:val="00242CA0"/>
    <w:rsid w:val="00243432"/>
    <w:rsid w:val="0024438F"/>
    <w:rsid w:val="00245705"/>
    <w:rsid w:val="00247146"/>
    <w:rsid w:val="002517E4"/>
    <w:rsid w:val="00262716"/>
    <w:rsid w:val="0026560A"/>
    <w:rsid w:val="00273D58"/>
    <w:rsid w:val="00277C1F"/>
    <w:rsid w:val="002866AD"/>
    <w:rsid w:val="00286BE3"/>
    <w:rsid w:val="00287ACB"/>
    <w:rsid w:val="00287B7D"/>
    <w:rsid w:val="0029135D"/>
    <w:rsid w:val="00292951"/>
    <w:rsid w:val="00293CD1"/>
    <w:rsid w:val="00295738"/>
    <w:rsid w:val="002A210E"/>
    <w:rsid w:val="002A300D"/>
    <w:rsid w:val="002A3962"/>
    <w:rsid w:val="002A5972"/>
    <w:rsid w:val="002A6D64"/>
    <w:rsid w:val="002A6FB5"/>
    <w:rsid w:val="002C5AE9"/>
    <w:rsid w:val="002C7EB7"/>
    <w:rsid w:val="002D2282"/>
    <w:rsid w:val="002D2A41"/>
    <w:rsid w:val="002E238B"/>
    <w:rsid w:val="002E4200"/>
    <w:rsid w:val="002E6DF9"/>
    <w:rsid w:val="002E6F9C"/>
    <w:rsid w:val="002F36D4"/>
    <w:rsid w:val="002F3BB8"/>
    <w:rsid w:val="00304132"/>
    <w:rsid w:val="00304EAD"/>
    <w:rsid w:val="0031056B"/>
    <w:rsid w:val="00312124"/>
    <w:rsid w:val="00313820"/>
    <w:rsid w:val="00313AC0"/>
    <w:rsid w:val="00322C1B"/>
    <w:rsid w:val="0032649A"/>
    <w:rsid w:val="00332F98"/>
    <w:rsid w:val="0033578D"/>
    <w:rsid w:val="00337B11"/>
    <w:rsid w:val="003430A6"/>
    <w:rsid w:val="003448FC"/>
    <w:rsid w:val="003502DB"/>
    <w:rsid w:val="003548D8"/>
    <w:rsid w:val="00363CC2"/>
    <w:rsid w:val="00370C9A"/>
    <w:rsid w:val="00371EEC"/>
    <w:rsid w:val="0037544B"/>
    <w:rsid w:val="003876F3"/>
    <w:rsid w:val="00390426"/>
    <w:rsid w:val="003908B9"/>
    <w:rsid w:val="00394AEB"/>
    <w:rsid w:val="003A4476"/>
    <w:rsid w:val="003A6353"/>
    <w:rsid w:val="003B2F28"/>
    <w:rsid w:val="003C13C6"/>
    <w:rsid w:val="003D5958"/>
    <w:rsid w:val="003D6AC7"/>
    <w:rsid w:val="003E15A0"/>
    <w:rsid w:val="003E49A6"/>
    <w:rsid w:val="003E5E34"/>
    <w:rsid w:val="003E6021"/>
    <w:rsid w:val="003F27E2"/>
    <w:rsid w:val="003F53FB"/>
    <w:rsid w:val="00400B4D"/>
    <w:rsid w:val="00401F18"/>
    <w:rsid w:val="00403B06"/>
    <w:rsid w:val="004056B7"/>
    <w:rsid w:val="004059D9"/>
    <w:rsid w:val="0040788F"/>
    <w:rsid w:val="00410AC8"/>
    <w:rsid w:val="00412CCC"/>
    <w:rsid w:val="00414664"/>
    <w:rsid w:val="004172C1"/>
    <w:rsid w:val="00423E3A"/>
    <w:rsid w:val="004328D9"/>
    <w:rsid w:val="00434C0A"/>
    <w:rsid w:val="00435E05"/>
    <w:rsid w:val="0043771F"/>
    <w:rsid w:val="00442410"/>
    <w:rsid w:val="00443460"/>
    <w:rsid w:val="004443E1"/>
    <w:rsid w:val="0044773C"/>
    <w:rsid w:val="004534FA"/>
    <w:rsid w:val="00461B8A"/>
    <w:rsid w:val="004672B5"/>
    <w:rsid w:val="00470A8F"/>
    <w:rsid w:val="004763FD"/>
    <w:rsid w:val="00476E93"/>
    <w:rsid w:val="004844D1"/>
    <w:rsid w:val="0048559D"/>
    <w:rsid w:val="0049001D"/>
    <w:rsid w:val="00494A93"/>
    <w:rsid w:val="00494D75"/>
    <w:rsid w:val="004A1763"/>
    <w:rsid w:val="004B1E83"/>
    <w:rsid w:val="004B347D"/>
    <w:rsid w:val="004D1C78"/>
    <w:rsid w:val="004D441E"/>
    <w:rsid w:val="004D46D1"/>
    <w:rsid w:val="004D6CF0"/>
    <w:rsid w:val="004E1D9E"/>
    <w:rsid w:val="004E5B39"/>
    <w:rsid w:val="00500F74"/>
    <w:rsid w:val="00501A15"/>
    <w:rsid w:val="005164DC"/>
    <w:rsid w:val="00520B6F"/>
    <w:rsid w:val="00522B8D"/>
    <w:rsid w:val="0052585C"/>
    <w:rsid w:val="00530EBD"/>
    <w:rsid w:val="005622FE"/>
    <w:rsid w:val="00567912"/>
    <w:rsid w:val="00570098"/>
    <w:rsid w:val="005805E7"/>
    <w:rsid w:val="005825A4"/>
    <w:rsid w:val="00583F5D"/>
    <w:rsid w:val="0058424C"/>
    <w:rsid w:val="00584F8D"/>
    <w:rsid w:val="00590922"/>
    <w:rsid w:val="005A0350"/>
    <w:rsid w:val="005A1570"/>
    <w:rsid w:val="005A7D9E"/>
    <w:rsid w:val="005B1C92"/>
    <w:rsid w:val="005B2697"/>
    <w:rsid w:val="005B5990"/>
    <w:rsid w:val="005C6147"/>
    <w:rsid w:val="005D5F8C"/>
    <w:rsid w:val="005E5148"/>
    <w:rsid w:val="005F39B6"/>
    <w:rsid w:val="0060114B"/>
    <w:rsid w:val="00603D4A"/>
    <w:rsid w:val="006114B5"/>
    <w:rsid w:val="00611DE2"/>
    <w:rsid w:val="00612EFD"/>
    <w:rsid w:val="00614A1C"/>
    <w:rsid w:val="006227B3"/>
    <w:rsid w:val="00625B5C"/>
    <w:rsid w:val="00627B1F"/>
    <w:rsid w:val="00631C6F"/>
    <w:rsid w:val="00642220"/>
    <w:rsid w:val="0065148D"/>
    <w:rsid w:val="00652ED1"/>
    <w:rsid w:val="006559C7"/>
    <w:rsid w:val="006626FF"/>
    <w:rsid w:val="00664797"/>
    <w:rsid w:val="006650A8"/>
    <w:rsid w:val="0067772C"/>
    <w:rsid w:val="00683A96"/>
    <w:rsid w:val="00685435"/>
    <w:rsid w:val="00687746"/>
    <w:rsid w:val="00690F56"/>
    <w:rsid w:val="006969A0"/>
    <w:rsid w:val="006A4637"/>
    <w:rsid w:val="006C39F8"/>
    <w:rsid w:val="006D2508"/>
    <w:rsid w:val="006E1A08"/>
    <w:rsid w:val="006E41D4"/>
    <w:rsid w:val="006E4433"/>
    <w:rsid w:val="006E54FE"/>
    <w:rsid w:val="006E604F"/>
    <w:rsid w:val="006E63C6"/>
    <w:rsid w:val="006F2132"/>
    <w:rsid w:val="006F66F9"/>
    <w:rsid w:val="006F6E13"/>
    <w:rsid w:val="007010C5"/>
    <w:rsid w:val="007011F1"/>
    <w:rsid w:val="007127A1"/>
    <w:rsid w:val="00713ACE"/>
    <w:rsid w:val="00715F82"/>
    <w:rsid w:val="0071749C"/>
    <w:rsid w:val="00721774"/>
    <w:rsid w:val="00721E05"/>
    <w:rsid w:val="007412B6"/>
    <w:rsid w:val="00743127"/>
    <w:rsid w:val="00746354"/>
    <w:rsid w:val="00753389"/>
    <w:rsid w:val="00753EB2"/>
    <w:rsid w:val="00755761"/>
    <w:rsid w:val="00762F78"/>
    <w:rsid w:val="007636EC"/>
    <w:rsid w:val="00767D37"/>
    <w:rsid w:val="00774503"/>
    <w:rsid w:val="007754A0"/>
    <w:rsid w:val="00775C24"/>
    <w:rsid w:val="00777CD2"/>
    <w:rsid w:val="00780272"/>
    <w:rsid w:val="0078038F"/>
    <w:rsid w:val="0078153B"/>
    <w:rsid w:val="00785FE9"/>
    <w:rsid w:val="00786E04"/>
    <w:rsid w:val="00792E63"/>
    <w:rsid w:val="007963C1"/>
    <w:rsid w:val="007A7F79"/>
    <w:rsid w:val="007C124D"/>
    <w:rsid w:val="007D46C2"/>
    <w:rsid w:val="007E3065"/>
    <w:rsid w:val="007F3B38"/>
    <w:rsid w:val="007F3C02"/>
    <w:rsid w:val="00802605"/>
    <w:rsid w:val="00802A30"/>
    <w:rsid w:val="008043E5"/>
    <w:rsid w:val="00804A1A"/>
    <w:rsid w:val="0081073D"/>
    <w:rsid w:val="00813CC0"/>
    <w:rsid w:val="00823ED8"/>
    <w:rsid w:val="008323ED"/>
    <w:rsid w:val="00835955"/>
    <w:rsid w:val="00835EB9"/>
    <w:rsid w:val="00843B49"/>
    <w:rsid w:val="00846701"/>
    <w:rsid w:val="00851E59"/>
    <w:rsid w:val="008551AB"/>
    <w:rsid w:val="008624D5"/>
    <w:rsid w:val="00864802"/>
    <w:rsid w:val="00871CA6"/>
    <w:rsid w:val="008773DB"/>
    <w:rsid w:val="00882AB5"/>
    <w:rsid w:val="00882B1D"/>
    <w:rsid w:val="0088672C"/>
    <w:rsid w:val="008945D9"/>
    <w:rsid w:val="008A1F0C"/>
    <w:rsid w:val="008A40D1"/>
    <w:rsid w:val="008B07D0"/>
    <w:rsid w:val="008B3128"/>
    <w:rsid w:val="008B541B"/>
    <w:rsid w:val="008C656B"/>
    <w:rsid w:val="008E1ECD"/>
    <w:rsid w:val="008F47CB"/>
    <w:rsid w:val="00901003"/>
    <w:rsid w:val="0090158E"/>
    <w:rsid w:val="00901EF6"/>
    <w:rsid w:val="0090413E"/>
    <w:rsid w:val="00911513"/>
    <w:rsid w:val="009201C2"/>
    <w:rsid w:val="00923B37"/>
    <w:rsid w:val="009271B1"/>
    <w:rsid w:val="0093485F"/>
    <w:rsid w:val="009407FC"/>
    <w:rsid w:val="009441E2"/>
    <w:rsid w:val="00963680"/>
    <w:rsid w:val="00964D3F"/>
    <w:rsid w:val="00964F91"/>
    <w:rsid w:val="009700D9"/>
    <w:rsid w:val="0097266B"/>
    <w:rsid w:val="00983CA7"/>
    <w:rsid w:val="00985369"/>
    <w:rsid w:val="00985C15"/>
    <w:rsid w:val="00990368"/>
    <w:rsid w:val="00996A5D"/>
    <w:rsid w:val="009A6DCA"/>
    <w:rsid w:val="009B00FD"/>
    <w:rsid w:val="009B38D1"/>
    <w:rsid w:val="009B4116"/>
    <w:rsid w:val="009B689F"/>
    <w:rsid w:val="009B6955"/>
    <w:rsid w:val="009C2A10"/>
    <w:rsid w:val="009C3EDB"/>
    <w:rsid w:val="009C5494"/>
    <w:rsid w:val="009C6480"/>
    <w:rsid w:val="009D0BBA"/>
    <w:rsid w:val="009D1EA2"/>
    <w:rsid w:val="009D39D5"/>
    <w:rsid w:val="009E0141"/>
    <w:rsid w:val="009E234B"/>
    <w:rsid w:val="009F26AD"/>
    <w:rsid w:val="009F52F3"/>
    <w:rsid w:val="00A10441"/>
    <w:rsid w:val="00A15094"/>
    <w:rsid w:val="00A217C3"/>
    <w:rsid w:val="00A21F98"/>
    <w:rsid w:val="00A2391E"/>
    <w:rsid w:val="00A33AAC"/>
    <w:rsid w:val="00A41C21"/>
    <w:rsid w:val="00A47DA7"/>
    <w:rsid w:val="00A52DE7"/>
    <w:rsid w:val="00A55023"/>
    <w:rsid w:val="00A56B86"/>
    <w:rsid w:val="00A57C82"/>
    <w:rsid w:val="00A632EF"/>
    <w:rsid w:val="00A643CF"/>
    <w:rsid w:val="00A677E9"/>
    <w:rsid w:val="00A73F4B"/>
    <w:rsid w:val="00A740AB"/>
    <w:rsid w:val="00A834BF"/>
    <w:rsid w:val="00A90769"/>
    <w:rsid w:val="00A94E02"/>
    <w:rsid w:val="00A973AA"/>
    <w:rsid w:val="00AA177A"/>
    <w:rsid w:val="00AA418C"/>
    <w:rsid w:val="00AB097D"/>
    <w:rsid w:val="00AB2E8F"/>
    <w:rsid w:val="00AB4DC3"/>
    <w:rsid w:val="00AC775D"/>
    <w:rsid w:val="00AD022F"/>
    <w:rsid w:val="00AD113F"/>
    <w:rsid w:val="00AD75AC"/>
    <w:rsid w:val="00AE0D00"/>
    <w:rsid w:val="00AF2C11"/>
    <w:rsid w:val="00AF3788"/>
    <w:rsid w:val="00AF5262"/>
    <w:rsid w:val="00AF6F55"/>
    <w:rsid w:val="00AF7928"/>
    <w:rsid w:val="00B07E92"/>
    <w:rsid w:val="00B13844"/>
    <w:rsid w:val="00B13A80"/>
    <w:rsid w:val="00B26E3E"/>
    <w:rsid w:val="00B35DAD"/>
    <w:rsid w:val="00B417B3"/>
    <w:rsid w:val="00B47443"/>
    <w:rsid w:val="00B5043F"/>
    <w:rsid w:val="00B5377A"/>
    <w:rsid w:val="00B6181C"/>
    <w:rsid w:val="00B64496"/>
    <w:rsid w:val="00B66231"/>
    <w:rsid w:val="00B674DE"/>
    <w:rsid w:val="00B67A3F"/>
    <w:rsid w:val="00B829BB"/>
    <w:rsid w:val="00B85AE7"/>
    <w:rsid w:val="00B874F7"/>
    <w:rsid w:val="00B9439C"/>
    <w:rsid w:val="00B96E43"/>
    <w:rsid w:val="00BA6A42"/>
    <w:rsid w:val="00BA6C9C"/>
    <w:rsid w:val="00BB2AA1"/>
    <w:rsid w:val="00BB3BEF"/>
    <w:rsid w:val="00BC5F22"/>
    <w:rsid w:val="00BD21CA"/>
    <w:rsid w:val="00BD34F2"/>
    <w:rsid w:val="00BD7D1C"/>
    <w:rsid w:val="00BF0E96"/>
    <w:rsid w:val="00BF132F"/>
    <w:rsid w:val="00BF1DC3"/>
    <w:rsid w:val="00BF22A8"/>
    <w:rsid w:val="00C02E4A"/>
    <w:rsid w:val="00C05B4B"/>
    <w:rsid w:val="00C05B88"/>
    <w:rsid w:val="00C07F7F"/>
    <w:rsid w:val="00C12530"/>
    <w:rsid w:val="00C14429"/>
    <w:rsid w:val="00C155DE"/>
    <w:rsid w:val="00C16FA7"/>
    <w:rsid w:val="00C247D8"/>
    <w:rsid w:val="00C25486"/>
    <w:rsid w:val="00C25E66"/>
    <w:rsid w:val="00C34009"/>
    <w:rsid w:val="00C4763A"/>
    <w:rsid w:val="00C564B0"/>
    <w:rsid w:val="00C63D1E"/>
    <w:rsid w:val="00C667F3"/>
    <w:rsid w:val="00C712D2"/>
    <w:rsid w:val="00C73321"/>
    <w:rsid w:val="00C77B5C"/>
    <w:rsid w:val="00C824C6"/>
    <w:rsid w:val="00C8275F"/>
    <w:rsid w:val="00C87068"/>
    <w:rsid w:val="00C9162F"/>
    <w:rsid w:val="00CA2F0A"/>
    <w:rsid w:val="00CB1ECE"/>
    <w:rsid w:val="00CB3579"/>
    <w:rsid w:val="00CB5C31"/>
    <w:rsid w:val="00CC0731"/>
    <w:rsid w:val="00CC1B60"/>
    <w:rsid w:val="00CC770C"/>
    <w:rsid w:val="00CD215D"/>
    <w:rsid w:val="00CD4F92"/>
    <w:rsid w:val="00CD6628"/>
    <w:rsid w:val="00CE038A"/>
    <w:rsid w:val="00CE1515"/>
    <w:rsid w:val="00D00B48"/>
    <w:rsid w:val="00D2331B"/>
    <w:rsid w:val="00D241F7"/>
    <w:rsid w:val="00D36BB6"/>
    <w:rsid w:val="00D472BE"/>
    <w:rsid w:val="00D53DEB"/>
    <w:rsid w:val="00D57DE8"/>
    <w:rsid w:val="00D735B0"/>
    <w:rsid w:val="00D73AAD"/>
    <w:rsid w:val="00D75842"/>
    <w:rsid w:val="00D802D6"/>
    <w:rsid w:val="00D86A15"/>
    <w:rsid w:val="00D86FF7"/>
    <w:rsid w:val="00DA7DC9"/>
    <w:rsid w:val="00DB1A07"/>
    <w:rsid w:val="00DB7B7C"/>
    <w:rsid w:val="00DD6DF0"/>
    <w:rsid w:val="00E0031C"/>
    <w:rsid w:val="00E00C66"/>
    <w:rsid w:val="00E0138A"/>
    <w:rsid w:val="00E06430"/>
    <w:rsid w:val="00E13DE5"/>
    <w:rsid w:val="00E163CF"/>
    <w:rsid w:val="00E16D8C"/>
    <w:rsid w:val="00E20D5B"/>
    <w:rsid w:val="00E22463"/>
    <w:rsid w:val="00E23871"/>
    <w:rsid w:val="00E322E9"/>
    <w:rsid w:val="00E400EA"/>
    <w:rsid w:val="00E42913"/>
    <w:rsid w:val="00E45544"/>
    <w:rsid w:val="00E46EE5"/>
    <w:rsid w:val="00E57F5E"/>
    <w:rsid w:val="00E60FB0"/>
    <w:rsid w:val="00E614A1"/>
    <w:rsid w:val="00E618D1"/>
    <w:rsid w:val="00E6600D"/>
    <w:rsid w:val="00E674A9"/>
    <w:rsid w:val="00E700AD"/>
    <w:rsid w:val="00E737F8"/>
    <w:rsid w:val="00E74698"/>
    <w:rsid w:val="00E74ABD"/>
    <w:rsid w:val="00E81C88"/>
    <w:rsid w:val="00E81CEB"/>
    <w:rsid w:val="00E829F2"/>
    <w:rsid w:val="00E83023"/>
    <w:rsid w:val="00E83271"/>
    <w:rsid w:val="00E833E4"/>
    <w:rsid w:val="00E84630"/>
    <w:rsid w:val="00E86973"/>
    <w:rsid w:val="00E909D5"/>
    <w:rsid w:val="00E92EED"/>
    <w:rsid w:val="00E93A0F"/>
    <w:rsid w:val="00EA3E66"/>
    <w:rsid w:val="00EC0B43"/>
    <w:rsid w:val="00EC4383"/>
    <w:rsid w:val="00EC5D7E"/>
    <w:rsid w:val="00ED49C1"/>
    <w:rsid w:val="00EE2223"/>
    <w:rsid w:val="00EF6692"/>
    <w:rsid w:val="00EF70DB"/>
    <w:rsid w:val="00F11AA8"/>
    <w:rsid w:val="00F12F81"/>
    <w:rsid w:val="00F23106"/>
    <w:rsid w:val="00F24787"/>
    <w:rsid w:val="00F27223"/>
    <w:rsid w:val="00F3623C"/>
    <w:rsid w:val="00F41116"/>
    <w:rsid w:val="00F44D20"/>
    <w:rsid w:val="00F4518C"/>
    <w:rsid w:val="00F4529D"/>
    <w:rsid w:val="00F53F09"/>
    <w:rsid w:val="00F56B20"/>
    <w:rsid w:val="00F6219B"/>
    <w:rsid w:val="00F64E0B"/>
    <w:rsid w:val="00F72D66"/>
    <w:rsid w:val="00F8164B"/>
    <w:rsid w:val="00F935EE"/>
    <w:rsid w:val="00F96885"/>
    <w:rsid w:val="00F97093"/>
    <w:rsid w:val="00FA0DE3"/>
    <w:rsid w:val="00FA3D8C"/>
    <w:rsid w:val="00FA44D4"/>
    <w:rsid w:val="00FB026D"/>
    <w:rsid w:val="00FB587F"/>
    <w:rsid w:val="00FD35DD"/>
    <w:rsid w:val="00FD5326"/>
    <w:rsid w:val="00FF045B"/>
    <w:rsid w:val="00FF2B30"/>
    <w:rsid w:val="00FF2B53"/>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74089C95-4CB3-4811-9A58-C7E0D91B3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2" ma:contentTypeDescription="Create a new document." ma:contentTypeScope="" ma:versionID="d0bef64abee424df7e9dfbfb3a29a1fd">
  <xsd:schema xmlns:xsd="http://www.w3.org/2001/XMLSchema" xmlns:xs="http://www.w3.org/2001/XMLSchema" xmlns:p="http://schemas.microsoft.com/office/2006/metadata/properties" xmlns:ns2="c2287735-bcfa-44b1-b621-4f7c9c60dacc" targetNamespace="http://schemas.microsoft.com/office/2006/metadata/properties" ma:root="true" ma:fieldsID="38faf990d6e55ff9d8500dfaac598176" ns2:_="">
    <xsd:import namespace="c2287735-bcfa-44b1-b621-4f7c9c60dac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87735-bcfa-44b1-b621-4f7c9c60da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D758F8-25E5-4FB5-A7A5-E146B6B66744}">
  <ds:schemaRefs>
    <ds:schemaRef ds:uri="http://schemas.microsoft.com/office/2006/documentManagement/types"/>
    <ds:schemaRef ds:uri="http://purl.org/dc/terms/"/>
    <ds:schemaRef ds:uri="http://www.w3.org/XML/1998/namespace"/>
    <ds:schemaRef ds:uri="http://purl.org/dc/dcmitype/"/>
    <ds:schemaRef ds:uri="http://purl.org/dc/elements/1.1/"/>
    <ds:schemaRef ds:uri="http://schemas.microsoft.com/office/2006/metadata/properties"/>
    <ds:schemaRef ds:uri="http://schemas.openxmlformats.org/package/2006/metadata/core-properties"/>
    <ds:schemaRef ds:uri="c2287735-bcfa-44b1-b621-4f7c9c60dacc"/>
    <ds:schemaRef ds:uri="http://schemas.microsoft.com/office/infopath/2007/PartnerControls"/>
  </ds:schemaRefs>
</ds:datastoreItem>
</file>

<file path=customXml/itemProps2.xml><?xml version="1.0" encoding="utf-8"?>
<ds:datastoreItem xmlns:ds="http://schemas.openxmlformats.org/officeDocument/2006/customXml" ds:itemID="{8DDFF11D-8AB4-499D-9FEA-F688CEB0604A}">
  <ds:schemaRefs>
    <ds:schemaRef ds:uri="http://schemas.openxmlformats.org/officeDocument/2006/bibliography"/>
  </ds:schemaRefs>
</ds:datastoreItem>
</file>

<file path=customXml/itemProps3.xml><?xml version="1.0" encoding="utf-8"?>
<ds:datastoreItem xmlns:ds="http://schemas.openxmlformats.org/officeDocument/2006/customXml" ds:itemID="{A6E87273-6C3C-4E72-AFE5-8F505A4A2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87735-bcfa-44b1-b621-4f7c9c60d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371776-8F7D-47C3-A999-AFC17801CA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1395</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Frye, Christa</cp:lastModifiedBy>
  <cp:revision>2</cp:revision>
  <cp:lastPrinted>2020-02-19T15:46:00Z</cp:lastPrinted>
  <dcterms:created xsi:type="dcterms:W3CDTF">2024-11-01T19:24:00Z</dcterms:created>
  <dcterms:modified xsi:type="dcterms:W3CDTF">2024-11-01T19:24:00Z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